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F4338">
      <w:pPr>
        <w:spacing w:before="240" w:beforeLines="100" w:line="240" w:lineRule="auto"/>
        <w:ind w:left="803" w:right="-107" w:rightChars="-51" w:hanging="803" w:hangingChars="200"/>
        <w:jc w:val="both"/>
        <w:rPr>
          <w:rFonts w:hint="eastAsia" w:ascii="宋体" w:hAnsi="宋体" w:cs="宋体"/>
          <w:b/>
          <w:sz w:val="40"/>
          <w:szCs w:val="40"/>
          <w:lang w:eastAsia="zh-CN"/>
        </w:rPr>
      </w:pPr>
    </w:p>
    <w:p w14:paraId="26392A20">
      <w:pPr>
        <w:spacing w:before="240" w:beforeLines="100" w:line="240" w:lineRule="auto"/>
        <w:ind w:left="803" w:right="-107" w:rightChars="-51" w:hanging="803" w:hangingChars="200"/>
        <w:jc w:val="both"/>
        <w:rPr>
          <w:rFonts w:hint="eastAsia" w:ascii="宋体" w:hAnsi="宋体" w:cs="宋体"/>
          <w:b/>
          <w:sz w:val="40"/>
          <w:szCs w:val="40"/>
          <w:lang w:eastAsia="zh-CN"/>
        </w:rPr>
      </w:pPr>
      <w:r>
        <w:rPr>
          <w:rFonts w:hint="eastAsia" w:ascii="宋体" w:hAnsi="宋体" w:cs="宋体"/>
          <w:b/>
          <w:sz w:val="40"/>
          <w:szCs w:val="40"/>
          <w:lang w:eastAsia="zh-CN"/>
        </w:rPr>
        <w:t>嵊州市绿色共富项目（甘霖）一期--“稻梦谷·富乐田园”项目-农田建设数字化项目</w:t>
      </w:r>
    </w:p>
    <w:p w14:paraId="1787D281">
      <w:pPr>
        <w:spacing w:before="240" w:beforeLines="100" w:line="240" w:lineRule="auto"/>
        <w:ind w:left="800" w:leftChars="381" w:right="-107" w:rightChars="-51" w:firstLine="2008" w:firstLineChars="500"/>
        <w:jc w:val="both"/>
        <w:rPr>
          <w:rFonts w:hint="eastAsia" w:ascii="宋体" w:hAnsi="宋体" w:cs="宋体"/>
          <w:b/>
          <w:sz w:val="40"/>
          <w:szCs w:val="40"/>
          <w:lang w:eastAsia="zh-CN"/>
        </w:rPr>
      </w:pPr>
      <w:r>
        <w:rPr>
          <w:rFonts w:hint="eastAsia" w:ascii="宋体" w:hAnsi="宋体" w:cs="宋体"/>
          <w:b/>
          <w:sz w:val="40"/>
          <w:szCs w:val="40"/>
          <w:lang w:eastAsia="zh-CN"/>
        </w:rPr>
        <w:t>（国有企业采购）</w:t>
      </w:r>
    </w:p>
    <w:p w14:paraId="35B4A170">
      <w:pPr>
        <w:spacing w:before="480" w:beforeLines="200" w:line="240" w:lineRule="auto"/>
        <w:ind w:right="-107" w:rightChars="-51" w:firstLine="0" w:firstLineChars="0"/>
        <w:jc w:val="center"/>
        <w:rPr>
          <w:rFonts w:hint="eastAsia" w:ascii="宋体" w:hAnsi="宋体" w:eastAsia="宋体" w:cs="宋体"/>
          <w:sz w:val="44"/>
          <w:szCs w:val="44"/>
          <w:lang w:eastAsia="zh-CN"/>
        </w:rPr>
      </w:pPr>
      <w:r>
        <w:rPr>
          <w:rFonts w:hint="eastAsia" w:ascii="宋体" w:hAnsi="宋体" w:cs="宋体"/>
          <w:b/>
          <w:sz w:val="44"/>
          <w:szCs w:val="44"/>
        </w:rPr>
        <w:t>项目编号：</w:t>
      </w:r>
      <w:r>
        <w:rPr>
          <w:rFonts w:hint="eastAsia" w:ascii="宋体" w:hAnsi="宋体" w:cs="宋体"/>
          <w:b/>
          <w:bCs/>
          <w:sz w:val="44"/>
          <w:szCs w:val="44"/>
          <w:lang w:eastAsia="zh-CN"/>
        </w:rPr>
        <w:t>GTSZ-25-0</w:t>
      </w:r>
      <w:r>
        <w:rPr>
          <w:rFonts w:hint="eastAsia" w:ascii="宋体" w:hAnsi="宋体" w:cs="宋体"/>
          <w:b/>
          <w:bCs/>
          <w:sz w:val="44"/>
          <w:szCs w:val="44"/>
          <w:lang w:val="en-US" w:eastAsia="zh-CN"/>
        </w:rPr>
        <w:t>07</w:t>
      </w:r>
      <w:r>
        <w:rPr>
          <w:rFonts w:hint="eastAsia" w:ascii="宋体" w:hAnsi="宋体" w:cs="宋体"/>
          <w:b/>
          <w:bCs/>
          <w:sz w:val="44"/>
          <w:szCs w:val="44"/>
          <w:lang w:eastAsia="zh-CN"/>
        </w:rPr>
        <w:t>F</w:t>
      </w:r>
    </w:p>
    <w:p w14:paraId="2C096153">
      <w:pPr>
        <w:ind w:firstLine="0" w:firstLineChars="0"/>
        <w:rPr>
          <w:rFonts w:ascii="宋体" w:hAnsi="宋体" w:cs="宋体"/>
          <w:sz w:val="44"/>
          <w:szCs w:val="44"/>
        </w:rPr>
      </w:pPr>
    </w:p>
    <w:p w14:paraId="412A8C39">
      <w:pPr>
        <w:ind w:firstLine="0" w:firstLineChars="0"/>
        <w:rPr>
          <w:rFonts w:hint="eastAsia" w:ascii="宋体" w:hAnsi="宋体" w:eastAsia="宋体" w:cs="宋体"/>
          <w:sz w:val="44"/>
          <w:szCs w:val="44"/>
          <w:lang w:eastAsia="zh-CN"/>
        </w:rPr>
      </w:pPr>
    </w:p>
    <w:p w14:paraId="29A37897">
      <w:pPr>
        <w:pStyle w:val="8"/>
        <w:rPr>
          <w:rFonts w:hint="eastAsia" w:ascii="宋体" w:hAnsi="宋体" w:eastAsia="宋体" w:cs="宋体"/>
          <w:sz w:val="44"/>
          <w:szCs w:val="44"/>
          <w:lang w:eastAsia="zh-CN"/>
        </w:rPr>
      </w:pPr>
    </w:p>
    <w:p w14:paraId="03F9C382">
      <w:pPr>
        <w:rPr>
          <w:rFonts w:hint="eastAsia"/>
          <w:lang w:eastAsia="zh-CN"/>
        </w:rPr>
      </w:pPr>
    </w:p>
    <w:p w14:paraId="4A5F0CC5">
      <w:pPr>
        <w:ind w:firstLine="0" w:firstLineChars="0"/>
        <w:jc w:val="center"/>
        <w:rPr>
          <w:rFonts w:ascii="宋体" w:hAnsi="宋体" w:cs="宋体"/>
          <w:b/>
          <w:bCs/>
          <w:sz w:val="72"/>
          <w:szCs w:val="72"/>
        </w:rPr>
      </w:pPr>
      <w:r>
        <w:rPr>
          <w:rFonts w:hint="eastAsia" w:ascii="宋体" w:hAnsi="宋体" w:cs="宋体"/>
          <w:b/>
          <w:sz w:val="72"/>
          <w:szCs w:val="72"/>
        </w:rPr>
        <w:t>公 开 招 标</w:t>
      </w:r>
      <w:bookmarkStart w:id="0" w:name="_Toc180555915"/>
      <w:bookmarkStart w:id="1" w:name="_Toc105829294"/>
      <w:r>
        <w:rPr>
          <w:rFonts w:hint="eastAsia" w:ascii="宋体" w:hAnsi="宋体" w:cs="宋体"/>
          <w:b/>
          <w:sz w:val="72"/>
          <w:szCs w:val="72"/>
        </w:rPr>
        <w:t xml:space="preserve"> 文 件</w:t>
      </w:r>
    </w:p>
    <w:p w14:paraId="1E9D76F9">
      <w:pPr>
        <w:spacing w:line="480" w:lineRule="auto"/>
        <w:ind w:firstLine="0" w:firstLineChars="0"/>
        <w:rPr>
          <w:rFonts w:ascii="宋体" w:hAnsi="宋体" w:cs="宋体"/>
          <w:b/>
          <w:bCs/>
          <w:sz w:val="44"/>
          <w:szCs w:val="44"/>
        </w:rPr>
      </w:pPr>
    </w:p>
    <w:p w14:paraId="6ACEEBC1">
      <w:pPr>
        <w:pStyle w:val="12"/>
        <w:ind w:firstLine="883"/>
        <w:rPr>
          <w:rFonts w:ascii="宋体" w:hAnsi="宋体" w:cs="宋体"/>
          <w:b/>
          <w:bCs/>
          <w:sz w:val="44"/>
          <w:szCs w:val="44"/>
        </w:rPr>
      </w:pPr>
    </w:p>
    <w:p w14:paraId="764DAC0E">
      <w:pPr>
        <w:spacing w:line="660" w:lineRule="exact"/>
        <w:ind w:left="0" w:leftChars="0" w:firstLine="0" w:firstLineChars="0"/>
        <w:jc w:val="center"/>
        <w:rPr>
          <w:rFonts w:ascii="宋体" w:hAnsi="宋体" w:cs="宋体"/>
          <w:b/>
          <w:sz w:val="28"/>
          <w:szCs w:val="28"/>
        </w:rPr>
      </w:pPr>
      <w:bookmarkStart w:id="2" w:name="_Toc340322162"/>
      <w:bookmarkStart w:id="3" w:name="_Toc348704821"/>
      <w:bookmarkStart w:id="4" w:name="_Toc304551308"/>
      <w:bookmarkStart w:id="5" w:name="_Toc383683529"/>
      <w:bookmarkStart w:id="6" w:name="_Toc226337756"/>
      <w:bookmarkStart w:id="7" w:name="_Toc340321907"/>
      <w:bookmarkStart w:id="8" w:name="_Toc339302123"/>
      <w:bookmarkStart w:id="9" w:name="_Toc248065034"/>
      <w:bookmarkStart w:id="10" w:name="_Toc341768534"/>
      <w:bookmarkStart w:id="11" w:name="_Toc348709927"/>
      <w:r>
        <w:rPr>
          <w:rFonts w:hint="eastAsia" w:ascii="宋体" w:hAnsi="宋体" w:cs="宋体"/>
          <w:b/>
          <w:sz w:val="28"/>
          <w:szCs w:val="28"/>
        </w:rPr>
        <w:t>采购单位：嵊州市两山实业发展有限公司</w:t>
      </w:r>
    </w:p>
    <w:p w14:paraId="4C58A2D7">
      <w:pPr>
        <w:spacing w:line="660" w:lineRule="exact"/>
        <w:ind w:left="0" w:leftChars="0" w:firstLine="1687" w:firstLineChars="600"/>
        <w:jc w:val="both"/>
        <w:rPr>
          <w:rFonts w:ascii="宋体" w:hAnsi="宋体" w:cs="宋体"/>
          <w:b/>
          <w:sz w:val="28"/>
          <w:szCs w:val="28"/>
        </w:rPr>
      </w:pPr>
      <w:r>
        <w:rPr>
          <w:rFonts w:hint="eastAsia" w:ascii="宋体" w:hAnsi="宋体" w:cs="宋体"/>
          <w:b/>
          <w:sz w:val="28"/>
          <w:szCs w:val="28"/>
        </w:rPr>
        <w:t>实施单位：嵊州市甘霖镇人民政府</w:t>
      </w:r>
    </w:p>
    <w:p w14:paraId="72CB226D">
      <w:pPr>
        <w:spacing w:line="660" w:lineRule="exact"/>
        <w:ind w:left="0" w:leftChars="0" w:firstLine="1687" w:firstLineChars="600"/>
        <w:jc w:val="both"/>
        <w:rPr>
          <w:rFonts w:hint="eastAsia" w:ascii="宋体" w:hAnsi="宋体" w:cs="宋体"/>
          <w:b/>
          <w:sz w:val="28"/>
          <w:szCs w:val="28"/>
        </w:rPr>
      </w:pPr>
      <w:r>
        <w:rPr>
          <w:rFonts w:hint="eastAsia" w:ascii="宋体" w:hAnsi="宋体" w:cs="宋体"/>
          <w:b/>
          <w:sz w:val="28"/>
          <w:szCs w:val="28"/>
        </w:rPr>
        <w:t>代理机构：浙江广通工程咨询有限公司</w:t>
      </w:r>
    </w:p>
    <w:p w14:paraId="0E95ADFC">
      <w:pPr>
        <w:spacing w:line="660" w:lineRule="exact"/>
        <w:ind w:left="0" w:leftChars="0" w:firstLine="1687" w:firstLineChars="600"/>
        <w:jc w:val="both"/>
        <w:rPr>
          <w:rFonts w:hint="eastAsia" w:ascii="宋体" w:hAnsi="宋体" w:cs="宋体"/>
          <w:b/>
          <w:sz w:val="28"/>
          <w:szCs w:val="28"/>
        </w:rPr>
      </w:pPr>
      <w:bookmarkStart w:id="12" w:name="用户单位名称"/>
      <w:bookmarkEnd w:id="12"/>
      <w:r>
        <w:rPr>
          <w:rFonts w:hint="eastAsia" w:ascii="宋体" w:hAnsi="宋体" w:cs="宋体"/>
          <w:b/>
          <w:sz w:val="28"/>
          <w:szCs w:val="28"/>
        </w:rPr>
        <w:t>日</w:t>
      </w:r>
      <w:r>
        <w:rPr>
          <w:rFonts w:hint="eastAsia" w:ascii="宋体" w:hAnsi="宋体" w:cs="宋体"/>
          <w:b/>
          <w:sz w:val="28"/>
          <w:szCs w:val="28"/>
          <w:lang w:val="en-US" w:eastAsia="zh-CN"/>
        </w:rPr>
        <w:t xml:space="preserve">    </w:t>
      </w:r>
      <w:r>
        <w:rPr>
          <w:rFonts w:hint="eastAsia" w:ascii="宋体" w:hAnsi="宋体" w:cs="宋体"/>
          <w:b/>
          <w:sz w:val="28"/>
          <w:szCs w:val="28"/>
        </w:rPr>
        <w:t>期：2025年</w:t>
      </w:r>
      <w:r>
        <w:rPr>
          <w:rFonts w:hint="eastAsia" w:ascii="宋体" w:hAnsi="宋体" w:cs="宋体"/>
          <w:b/>
          <w:sz w:val="28"/>
          <w:szCs w:val="28"/>
          <w:lang w:val="en-US" w:eastAsia="zh-CN"/>
        </w:rPr>
        <w:t>3</w:t>
      </w:r>
      <w:r>
        <w:rPr>
          <w:rFonts w:hint="eastAsia" w:ascii="宋体" w:hAnsi="宋体" w:cs="宋体"/>
          <w:b/>
          <w:sz w:val="28"/>
          <w:szCs w:val="28"/>
        </w:rPr>
        <w:t>月</w:t>
      </w:r>
    </w:p>
    <w:p w14:paraId="7A4A031B">
      <w:pPr>
        <w:ind w:firstLine="482"/>
        <w:rPr>
          <w:rFonts w:ascii="宋体" w:hAnsi="宋体" w:cs="宋体"/>
          <w:b/>
          <w:sz w:val="24"/>
          <w:szCs w:val="24"/>
        </w:rPr>
      </w:pPr>
      <w:r>
        <w:rPr>
          <w:rFonts w:hint="eastAsia" w:ascii="宋体" w:hAnsi="宋体" w:cs="宋体"/>
          <w:b/>
          <w:sz w:val="24"/>
          <w:szCs w:val="24"/>
        </w:rPr>
        <w:br w:type="page"/>
      </w:r>
    </w:p>
    <w:p w14:paraId="075F1346">
      <w:pPr>
        <w:tabs>
          <w:tab w:val="right" w:leader="dot" w:pos="8478"/>
        </w:tabs>
        <w:ind w:firstLine="0" w:firstLineChars="0"/>
        <w:jc w:val="center"/>
        <w:rPr>
          <w:rFonts w:ascii="宋体" w:hAnsi="宋体" w:cs="宋体"/>
          <w:b/>
          <w:sz w:val="24"/>
          <w:szCs w:val="24"/>
        </w:rPr>
      </w:pPr>
    </w:p>
    <w:p w14:paraId="6C90553C">
      <w:pPr>
        <w:tabs>
          <w:tab w:val="right" w:leader="dot" w:pos="8478"/>
        </w:tabs>
        <w:ind w:firstLine="0" w:firstLineChars="0"/>
        <w:jc w:val="center"/>
        <w:rPr>
          <w:rFonts w:ascii="宋体" w:hAnsi="宋体" w:cs="宋体"/>
          <w:strike/>
          <w:sz w:val="24"/>
          <w:szCs w:val="24"/>
        </w:rPr>
      </w:pPr>
      <w:r>
        <w:rPr>
          <w:rFonts w:hint="eastAsia" w:ascii="宋体" w:hAnsi="宋体" w:cs="宋体"/>
          <w:b/>
          <w:sz w:val="24"/>
          <w:szCs w:val="24"/>
        </w:rPr>
        <w:t>目 录</w:t>
      </w:r>
      <w:r>
        <w:rPr>
          <w:rFonts w:hint="eastAsia" w:ascii="宋体" w:hAnsi="宋体" w:cs="宋体"/>
          <w:b/>
          <w:strike/>
          <w:sz w:val="24"/>
          <w:szCs w:val="24"/>
        </w:rPr>
        <w:fldChar w:fldCharType="begin"/>
      </w:r>
      <w:r>
        <w:rPr>
          <w:rFonts w:hint="eastAsia" w:ascii="宋体" w:hAnsi="宋体" w:cs="宋体"/>
          <w:b/>
          <w:strike/>
          <w:sz w:val="24"/>
          <w:szCs w:val="24"/>
        </w:rPr>
        <w:instrText xml:space="preserve"> TOC \o "1-3" \h \z \u </w:instrText>
      </w:r>
      <w:r>
        <w:rPr>
          <w:rFonts w:hint="eastAsia" w:ascii="宋体" w:hAnsi="宋体" w:cs="宋体"/>
          <w:b/>
          <w:strike/>
          <w:sz w:val="24"/>
          <w:szCs w:val="24"/>
        </w:rPr>
        <w:fldChar w:fldCharType="separate"/>
      </w:r>
    </w:p>
    <w:p w14:paraId="5BCE2D59">
      <w:pPr>
        <w:pStyle w:val="18"/>
        <w:tabs>
          <w:tab w:val="right" w:leader="dot" w:pos="8488"/>
        </w:tabs>
        <w:spacing w:line="360" w:lineRule="auto"/>
        <w:rPr>
          <w:rFonts w:ascii="宋体" w:hAnsi="宋体" w:cs="宋体"/>
          <w:sz w:val="24"/>
          <w:szCs w:val="24"/>
        </w:rPr>
      </w:pPr>
      <w:r>
        <w:fldChar w:fldCharType="begin"/>
      </w:r>
      <w:r>
        <w:instrText xml:space="preserve"> HYPERLINK \l "_Toc29389" </w:instrText>
      </w:r>
      <w:r>
        <w:fldChar w:fldCharType="separate"/>
      </w:r>
      <w:r>
        <w:rPr>
          <w:rFonts w:hint="eastAsia" w:ascii="宋体" w:hAnsi="宋体" w:cs="宋体"/>
          <w:bCs/>
          <w:sz w:val="24"/>
          <w:szCs w:val="24"/>
        </w:rPr>
        <w:t>第一部分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_Toc29389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E558AFE">
      <w:pPr>
        <w:pStyle w:val="18"/>
        <w:tabs>
          <w:tab w:val="right" w:leader="dot" w:pos="8488"/>
        </w:tabs>
        <w:spacing w:line="360" w:lineRule="auto"/>
        <w:rPr>
          <w:rFonts w:ascii="宋体" w:hAnsi="宋体" w:cs="宋体"/>
          <w:sz w:val="24"/>
          <w:szCs w:val="24"/>
        </w:rPr>
      </w:pPr>
      <w:r>
        <w:fldChar w:fldCharType="begin"/>
      </w:r>
      <w:r>
        <w:instrText xml:space="preserve"> HYPERLINK \l "_Toc11201" </w:instrText>
      </w:r>
      <w:r>
        <w:fldChar w:fldCharType="separate"/>
      </w:r>
      <w:r>
        <w:rPr>
          <w:rFonts w:hint="eastAsia" w:ascii="宋体" w:hAnsi="宋体" w:cs="宋体"/>
          <w:sz w:val="24"/>
          <w:szCs w:val="24"/>
        </w:rPr>
        <w:t>第二部分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_Toc11201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606FC104">
      <w:pPr>
        <w:pStyle w:val="18"/>
        <w:tabs>
          <w:tab w:val="right" w:leader="dot" w:pos="8488"/>
        </w:tabs>
        <w:spacing w:line="360" w:lineRule="auto"/>
        <w:rPr>
          <w:rFonts w:ascii="宋体" w:hAnsi="宋体" w:cs="宋体"/>
          <w:sz w:val="24"/>
          <w:szCs w:val="24"/>
        </w:rPr>
      </w:pPr>
      <w:r>
        <w:fldChar w:fldCharType="begin"/>
      </w:r>
      <w:r>
        <w:instrText xml:space="preserve"> HYPERLINK \l "_Toc18104" </w:instrText>
      </w:r>
      <w:r>
        <w:fldChar w:fldCharType="separate"/>
      </w:r>
      <w:r>
        <w:rPr>
          <w:rFonts w:hint="eastAsia" w:ascii="宋体" w:hAnsi="宋体" w:cs="宋体"/>
          <w:sz w:val="24"/>
          <w:szCs w:val="24"/>
        </w:rPr>
        <w:t>第三部分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_Toc18104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4444651">
      <w:pPr>
        <w:pStyle w:val="18"/>
        <w:tabs>
          <w:tab w:val="right" w:leader="dot" w:pos="8488"/>
        </w:tabs>
        <w:spacing w:line="360" w:lineRule="auto"/>
        <w:rPr>
          <w:rFonts w:ascii="宋体" w:hAnsi="宋体" w:cs="宋体"/>
          <w:sz w:val="24"/>
          <w:szCs w:val="24"/>
        </w:rPr>
      </w:pPr>
      <w:r>
        <w:fldChar w:fldCharType="begin"/>
      </w:r>
      <w:r>
        <w:instrText xml:space="preserve"> HYPERLINK \l "_Toc5628" </w:instrText>
      </w:r>
      <w:r>
        <w:fldChar w:fldCharType="separate"/>
      </w:r>
      <w:r>
        <w:rPr>
          <w:rFonts w:hint="eastAsia" w:ascii="宋体" w:hAnsi="宋体" w:cs="宋体"/>
          <w:bCs/>
          <w:sz w:val="24"/>
          <w:szCs w:val="24"/>
        </w:rPr>
        <w:t>第四部分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_Toc5628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79EDF91">
      <w:pPr>
        <w:pStyle w:val="18"/>
        <w:tabs>
          <w:tab w:val="right" w:leader="dot" w:pos="8488"/>
        </w:tabs>
        <w:spacing w:line="360" w:lineRule="auto"/>
        <w:rPr>
          <w:rFonts w:ascii="宋体" w:hAnsi="宋体" w:cs="宋体"/>
          <w:sz w:val="24"/>
          <w:szCs w:val="24"/>
        </w:rPr>
      </w:pPr>
      <w:r>
        <w:fldChar w:fldCharType="begin"/>
      </w:r>
      <w:r>
        <w:instrText xml:space="preserve"> HYPERLINK \l "_Toc4674" </w:instrText>
      </w:r>
      <w:r>
        <w:fldChar w:fldCharType="separate"/>
      </w:r>
      <w:r>
        <w:rPr>
          <w:rFonts w:hint="eastAsia" w:ascii="宋体" w:hAnsi="宋体" w:cs="宋体"/>
          <w:sz w:val="24"/>
          <w:szCs w:val="24"/>
        </w:rPr>
        <w:t>第五部分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_Toc4674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37A56C85">
      <w:pPr>
        <w:pStyle w:val="18"/>
        <w:tabs>
          <w:tab w:val="right" w:leader="dot" w:pos="8488"/>
        </w:tabs>
        <w:spacing w:line="360" w:lineRule="auto"/>
        <w:rPr>
          <w:rFonts w:hint="eastAsia" w:ascii="宋体" w:hAnsi="宋体" w:eastAsia="宋体" w:cs="宋体"/>
          <w:sz w:val="24"/>
          <w:szCs w:val="24"/>
          <w:lang w:val="en-US" w:eastAsia="zh-CN"/>
        </w:rPr>
      </w:pPr>
      <w:r>
        <w:fldChar w:fldCharType="begin"/>
      </w:r>
      <w:r>
        <w:instrText xml:space="preserve"> HYPERLINK \l "_Toc29273" </w:instrText>
      </w:r>
      <w:r>
        <w:fldChar w:fldCharType="separate"/>
      </w:r>
      <w:r>
        <w:rPr>
          <w:rFonts w:hint="eastAsia" w:ascii="宋体" w:hAnsi="宋体" w:cs="宋体"/>
          <w:sz w:val="24"/>
          <w:szCs w:val="24"/>
        </w:rPr>
        <w:t>第六部分 投标文件格式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0</w:t>
      </w:r>
    </w:p>
    <w:p w14:paraId="7AF0A115">
      <w:pPr>
        <w:pStyle w:val="18"/>
        <w:tabs>
          <w:tab w:val="right" w:leader="dot" w:pos="8478"/>
        </w:tabs>
        <w:spacing w:before="0" w:after="0" w:line="360" w:lineRule="auto"/>
        <w:jc w:val="center"/>
        <w:rPr>
          <w:rStyle w:val="33"/>
          <w:rFonts w:ascii="宋体" w:hAnsi="宋体" w:cs="宋体"/>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1191" w:right="1440" w:bottom="1400" w:left="1979" w:header="851" w:footer="992" w:gutter="0"/>
          <w:cols w:space="720" w:num="1"/>
          <w:docGrid w:linePitch="326" w:charSpace="0"/>
        </w:sectPr>
      </w:pPr>
      <w:r>
        <w:rPr>
          <w:rFonts w:hint="eastAsia" w:ascii="宋体" w:hAnsi="宋体" w:cs="宋体"/>
          <w:strike/>
          <w:sz w:val="24"/>
          <w:szCs w:val="24"/>
        </w:rPr>
        <w:fldChar w:fldCharType="end"/>
      </w:r>
    </w:p>
    <w:p w14:paraId="681607D4">
      <w:pPr>
        <w:pStyle w:val="2"/>
        <w:tabs>
          <w:tab w:val="left" w:pos="358"/>
          <w:tab w:val="clear" w:pos="478"/>
        </w:tabs>
        <w:spacing w:before="0" w:after="0" w:line="360" w:lineRule="auto"/>
        <w:ind w:left="958" w:hanging="958"/>
        <w:rPr>
          <w:rFonts w:hAnsi="宋体" w:cs="宋体"/>
          <w:b/>
          <w:bCs/>
          <w:color w:val="auto"/>
          <w:sz w:val="32"/>
          <w:szCs w:val="32"/>
        </w:rPr>
      </w:pPr>
      <w:bookmarkStart w:id="13" w:name="_Toc514938669"/>
      <w:bookmarkStart w:id="14" w:name="_Toc29389"/>
      <w:r>
        <w:rPr>
          <w:rFonts w:hint="eastAsia" w:hAnsi="宋体" w:cs="宋体"/>
          <w:b/>
          <w:bCs/>
          <w:color w:val="auto"/>
          <w:sz w:val="32"/>
          <w:szCs w:val="32"/>
        </w:rPr>
        <w:t>第一部分</w:t>
      </w:r>
      <w:bookmarkEnd w:id="0"/>
      <w:bookmarkEnd w:id="1"/>
      <w:bookmarkEnd w:id="2"/>
      <w:bookmarkEnd w:id="3"/>
      <w:bookmarkEnd w:id="4"/>
      <w:bookmarkEnd w:id="5"/>
      <w:bookmarkEnd w:id="6"/>
      <w:bookmarkEnd w:id="7"/>
      <w:bookmarkEnd w:id="8"/>
      <w:bookmarkEnd w:id="9"/>
      <w:bookmarkEnd w:id="10"/>
      <w:bookmarkEnd w:id="11"/>
      <w:r>
        <w:rPr>
          <w:rFonts w:hint="eastAsia" w:hAnsi="宋体" w:cs="宋体"/>
          <w:b/>
          <w:bCs/>
          <w:color w:val="auto"/>
          <w:sz w:val="32"/>
          <w:szCs w:val="32"/>
        </w:rPr>
        <w:t xml:space="preserve"> 公开招标采购公告</w:t>
      </w:r>
      <w:bookmarkEnd w:id="13"/>
      <w:bookmarkEnd w:id="14"/>
    </w:p>
    <w:p w14:paraId="57C3EF7B">
      <w:pPr>
        <w:pBdr>
          <w:top w:val="single" w:color="auto" w:sz="4" w:space="1"/>
          <w:left w:val="single" w:color="auto" w:sz="4" w:space="4"/>
          <w:bottom w:val="single" w:color="auto" w:sz="4" w:space="1"/>
          <w:right w:val="single" w:color="auto" w:sz="4" w:space="4"/>
        </w:pBdr>
        <w:ind w:firstLine="480"/>
        <w:rPr>
          <w:rFonts w:ascii="宋体" w:hAnsi="宋体" w:cs="宋体"/>
          <w:sz w:val="24"/>
          <w:szCs w:val="24"/>
        </w:rPr>
      </w:pPr>
      <w:r>
        <w:rPr>
          <w:rFonts w:hint="eastAsia" w:ascii="宋体" w:hAnsi="宋体" w:cs="宋体"/>
          <w:sz w:val="24"/>
          <w:szCs w:val="24"/>
        </w:rPr>
        <w:t>项目概况</w:t>
      </w:r>
    </w:p>
    <w:p w14:paraId="035035F3">
      <w:pPr>
        <w:pBdr>
          <w:top w:val="single" w:color="auto" w:sz="4" w:space="1"/>
          <w:left w:val="single" w:color="auto" w:sz="4" w:space="4"/>
          <w:bottom w:val="single" w:color="auto" w:sz="4" w:space="1"/>
          <w:right w:val="single" w:color="auto" w:sz="4" w:space="4"/>
        </w:pBdr>
        <w:ind w:firstLine="480"/>
        <w:jc w:val="left"/>
        <w:rPr>
          <w:rFonts w:ascii="宋体" w:hAnsi="宋体" w:cs="宋体"/>
          <w:sz w:val="24"/>
          <w:szCs w:val="24"/>
          <w:u w:val="single"/>
        </w:rPr>
      </w:pPr>
      <w:r>
        <w:rPr>
          <w:rFonts w:hint="eastAsia" w:ascii="宋体" w:hAnsi="宋体" w:cs="宋体"/>
          <w:sz w:val="24"/>
          <w:szCs w:val="24"/>
          <w:u w:val="single"/>
          <w:lang w:eastAsia="zh-CN"/>
        </w:rPr>
        <w:t>嵊州市绿色共富项目（甘霖）一期--“稻梦谷·富乐田园”项目-农田建设数字化项目</w:t>
      </w:r>
      <w:r>
        <w:rPr>
          <w:rFonts w:hint="eastAsia" w:ascii="宋体" w:hAnsi="宋体" w:cs="宋体"/>
          <w:sz w:val="24"/>
          <w:szCs w:val="24"/>
        </w:rPr>
        <w:t>招标项目的潜在投标人应在乐采云平台（</w:t>
      </w:r>
      <w:r>
        <w:rPr>
          <w:rFonts w:hint="eastAsia" w:ascii="宋体" w:hAnsi="宋体" w:cs="宋体"/>
          <w:color w:val="auto"/>
          <w:sz w:val="24"/>
          <w:szCs w:val="24"/>
          <w:u w:val="none"/>
        </w:rPr>
        <w:t>https://www.lecaiyun.com/）获取（下载）招标文件，并于</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31</w:t>
      </w:r>
      <w:r>
        <w:rPr>
          <w:rFonts w:hint="eastAsia" w:ascii="宋体" w:hAnsi="宋体" w:cs="宋体"/>
          <w:color w:val="auto"/>
          <w:sz w:val="24"/>
          <w:szCs w:val="24"/>
          <w:highlight w:val="none"/>
          <w:u w:val="none"/>
        </w:rPr>
        <w:t>日09:00</w:t>
      </w:r>
      <w:r>
        <w:rPr>
          <w:rFonts w:hint="eastAsia" w:ascii="宋体" w:hAnsi="宋体" w:cs="宋体"/>
          <w:bCs/>
          <w:sz w:val="24"/>
          <w:szCs w:val="24"/>
          <w:highlight w:val="none"/>
        </w:rPr>
        <w:t>（</w:t>
      </w:r>
      <w:r>
        <w:rPr>
          <w:rFonts w:hint="eastAsia" w:ascii="宋体" w:hAnsi="宋体" w:cs="宋体"/>
          <w:bCs/>
          <w:sz w:val="24"/>
          <w:szCs w:val="24"/>
        </w:rPr>
        <w:t>北京时间）前</w:t>
      </w:r>
      <w:r>
        <w:rPr>
          <w:rFonts w:hint="eastAsia" w:ascii="宋体" w:hAnsi="宋体" w:cs="宋体"/>
          <w:sz w:val="24"/>
          <w:szCs w:val="24"/>
        </w:rPr>
        <w:t>递交（上传）投标文件。</w:t>
      </w:r>
    </w:p>
    <w:p w14:paraId="466E500F">
      <w:pPr>
        <w:ind w:firstLine="482"/>
        <w:rPr>
          <w:rFonts w:ascii="宋体" w:hAnsi="宋体" w:cs="宋体"/>
          <w:b/>
          <w:sz w:val="24"/>
          <w:szCs w:val="24"/>
        </w:rPr>
      </w:pPr>
      <w:r>
        <w:rPr>
          <w:rFonts w:hint="eastAsia" w:ascii="宋体" w:hAnsi="宋体" w:cs="宋体"/>
          <w:b/>
          <w:sz w:val="24"/>
          <w:szCs w:val="24"/>
        </w:rPr>
        <w:t>一、项目基本情况</w:t>
      </w:r>
    </w:p>
    <w:p w14:paraId="17587E0F">
      <w:pPr>
        <w:ind w:firstLine="48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iCs/>
          <w:sz w:val="24"/>
          <w:szCs w:val="24"/>
          <w:lang w:eastAsia="zh-CN"/>
        </w:rPr>
        <w:t>GTSZ-25-007F</w:t>
      </w:r>
    </w:p>
    <w:p w14:paraId="71988A26">
      <w:pPr>
        <w:ind w:firstLine="480"/>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嵊州市绿色共富项目（甘霖）一期--“稻梦谷·富乐田园”项目-农田建设数字化项目</w:t>
      </w:r>
    </w:p>
    <w:p w14:paraId="6030A80B">
      <w:pPr>
        <w:ind w:firstLine="48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1796800.00</w:t>
      </w:r>
      <w:r>
        <w:rPr>
          <w:rFonts w:hint="eastAsia" w:ascii="宋体" w:hAnsi="宋体" w:cs="宋体"/>
          <w:sz w:val="24"/>
          <w:szCs w:val="24"/>
        </w:rPr>
        <w:t>元</w:t>
      </w:r>
    </w:p>
    <w:p w14:paraId="6EE0AD33">
      <w:pPr>
        <w:ind w:firstLine="480"/>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1796800.00</w:t>
      </w:r>
      <w:r>
        <w:rPr>
          <w:rFonts w:hint="eastAsia" w:ascii="宋体" w:hAnsi="宋体" w:cs="宋体"/>
          <w:sz w:val="24"/>
          <w:szCs w:val="24"/>
        </w:rPr>
        <w:t>元</w:t>
      </w:r>
    </w:p>
    <w:p w14:paraId="00ADA52C">
      <w:pPr>
        <w:pStyle w:val="8"/>
        <w:spacing w:line="360" w:lineRule="auto"/>
        <w:ind w:firstLine="480"/>
        <w:rPr>
          <w:rFonts w:ascii="宋体" w:hAnsi="宋体" w:cs="宋体"/>
          <w:bCs/>
          <w:spacing w:val="6"/>
          <w:sz w:val="24"/>
          <w:szCs w:val="24"/>
        </w:rPr>
      </w:pPr>
      <w:r>
        <w:rPr>
          <w:rFonts w:hint="eastAsia" w:ascii="宋体" w:hAnsi="宋体" w:cs="宋体"/>
          <w:sz w:val="24"/>
          <w:szCs w:val="24"/>
        </w:rPr>
        <w:t>采购需求：详见招标文件第三部分</w:t>
      </w:r>
    </w:p>
    <w:tbl>
      <w:tblPr>
        <w:tblStyle w:val="27"/>
        <w:tblpPr w:leftFromText="180" w:rightFromText="180" w:vertAnchor="text" w:horzAnchor="page" w:tblpX="1441" w:tblpY="246"/>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372"/>
        <w:gridCol w:w="944"/>
        <w:gridCol w:w="2428"/>
        <w:gridCol w:w="1031"/>
      </w:tblGrid>
      <w:tr w14:paraId="01C3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0" w:type="dxa"/>
            <w:vAlign w:val="center"/>
          </w:tcPr>
          <w:p w14:paraId="1DE8C9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序号</w:t>
            </w:r>
          </w:p>
        </w:tc>
        <w:tc>
          <w:tcPr>
            <w:tcW w:w="4372" w:type="dxa"/>
            <w:vAlign w:val="center"/>
          </w:tcPr>
          <w:p w14:paraId="698D6534">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采购项目</w:t>
            </w:r>
          </w:p>
        </w:tc>
        <w:tc>
          <w:tcPr>
            <w:tcW w:w="944" w:type="dxa"/>
            <w:vAlign w:val="center"/>
          </w:tcPr>
          <w:p w14:paraId="290FD9A2">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数量</w:t>
            </w:r>
          </w:p>
        </w:tc>
        <w:tc>
          <w:tcPr>
            <w:tcW w:w="2428" w:type="dxa"/>
            <w:vAlign w:val="center"/>
          </w:tcPr>
          <w:p w14:paraId="4D7602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预算（元）</w:t>
            </w:r>
          </w:p>
        </w:tc>
        <w:tc>
          <w:tcPr>
            <w:tcW w:w="1031" w:type="dxa"/>
            <w:vAlign w:val="center"/>
          </w:tcPr>
          <w:p w14:paraId="38645747">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备注</w:t>
            </w:r>
          </w:p>
        </w:tc>
      </w:tr>
      <w:tr w14:paraId="7DA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90" w:type="dxa"/>
            <w:vAlign w:val="center"/>
          </w:tcPr>
          <w:p w14:paraId="71C54BA0">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w:t>
            </w:r>
          </w:p>
        </w:tc>
        <w:tc>
          <w:tcPr>
            <w:tcW w:w="4372" w:type="dxa"/>
            <w:vAlign w:val="center"/>
          </w:tcPr>
          <w:p w14:paraId="4C5125D3">
            <w:pPr>
              <w:ind w:left="0" w:leftChars="0" w:firstLine="0" w:firstLineChars="0"/>
              <w:rPr>
                <w:rFonts w:ascii="宋体" w:hAnsi="宋体" w:cs="宋体"/>
                <w:sz w:val="24"/>
                <w:szCs w:val="24"/>
                <w:highlight w:val="none"/>
              </w:rPr>
            </w:pPr>
            <w:r>
              <w:rPr>
                <w:rFonts w:hint="eastAsia" w:ascii="宋体" w:hAnsi="宋体" w:cs="宋体"/>
                <w:sz w:val="24"/>
                <w:szCs w:val="24"/>
                <w:lang w:eastAsia="zh-CN"/>
              </w:rPr>
              <w:t>嵊州市绿色共富项目（甘霖）一期--“稻梦谷·富乐田园”项目-农田建设数字化项目</w:t>
            </w:r>
          </w:p>
        </w:tc>
        <w:tc>
          <w:tcPr>
            <w:tcW w:w="944" w:type="dxa"/>
            <w:vAlign w:val="center"/>
          </w:tcPr>
          <w:p w14:paraId="349D7C86">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1项</w:t>
            </w:r>
          </w:p>
        </w:tc>
        <w:tc>
          <w:tcPr>
            <w:tcW w:w="2428" w:type="dxa"/>
            <w:vAlign w:val="center"/>
          </w:tcPr>
          <w:p w14:paraId="4F8E126B">
            <w:pPr>
              <w:spacing w:line="440" w:lineRule="exact"/>
              <w:ind w:firstLine="0" w:firstLineChars="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1796800.00</w:t>
            </w:r>
          </w:p>
        </w:tc>
        <w:tc>
          <w:tcPr>
            <w:tcW w:w="1031" w:type="dxa"/>
            <w:vAlign w:val="center"/>
          </w:tcPr>
          <w:p w14:paraId="29A2ACBF">
            <w:pPr>
              <w:spacing w:line="440" w:lineRule="exact"/>
              <w:ind w:firstLine="0" w:firstLineChars="0"/>
              <w:jc w:val="left"/>
              <w:rPr>
                <w:rFonts w:ascii="宋体" w:hAnsi="宋体" w:cs="宋体"/>
                <w:sz w:val="24"/>
                <w:szCs w:val="24"/>
                <w:highlight w:val="none"/>
              </w:rPr>
            </w:pPr>
          </w:p>
        </w:tc>
      </w:tr>
    </w:tbl>
    <w:p w14:paraId="54194630">
      <w:pPr>
        <w:ind w:firstLine="480"/>
        <w:jc w:val="left"/>
        <w:rPr>
          <w:rFonts w:hint="eastAsia" w:ascii="宋体" w:hAnsi="宋体" w:eastAsia="宋体" w:cs="宋体"/>
          <w:sz w:val="24"/>
          <w:szCs w:val="24"/>
          <w:u w:val="single"/>
          <w:lang w:eastAsia="zh-CN"/>
        </w:rPr>
      </w:pPr>
      <w:r>
        <w:rPr>
          <w:rFonts w:hint="eastAsia" w:ascii="宋体" w:hAnsi="宋体" w:cs="宋体"/>
          <w:sz w:val="24"/>
          <w:szCs w:val="24"/>
        </w:rPr>
        <w:t>合同履行期限：详见招标文件</w:t>
      </w:r>
      <w:r>
        <w:rPr>
          <w:rFonts w:hint="eastAsia" w:ascii="宋体" w:hAnsi="宋体" w:cs="宋体"/>
          <w:sz w:val="24"/>
          <w:szCs w:val="24"/>
          <w:lang w:eastAsia="zh-CN"/>
        </w:rPr>
        <w:t>。</w:t>
      </w:r>
    </w:p>
    <w:p w14:paraId="4DCB9993">
      <w:pPr>
        <w:ind w:firstLine="506"/>
        <w:rPr>
          <w:lang w:val="zh-CN"/>
        </w:rPr>
      </w:pPr>
      <w:r>
        <w:rPr>
          <w:rFonts w:hint="eastAsia" w:ascii="宋体" w:hAnsi="宋体" w:eastAsia="宋体" w:cs="宋体"/>
          <w:b w:val="0"/>
          <w:bCs/>
          <w:spacing w:val="6"/>
          <w:sz w:val="24"/>
          <w:szCs w:val="24"/>
          <w:lang w:val="en-US" w:eastAsia="zh-CN"/>
        </w:rPr>
        <w:t>本项目（否）接受联合体</w:t>
      </w:r>
      <w:r>
        <w:rPr>
          <w:rFonts w:hint="eastAsia" w:ascii="宋体" w:hAnsi="宋体" w:eastAsia="宋体" w:cs="宋体"/>
          <w:b w:val="0"/>
          <w:bCs/>
          <w:spacing w:val="6"/>
          <w:sz w:val="24"/>
          <w:szCs w:val="24"/>
        </w:rPr>
        <w:t>。</w:t>
      </w:r>
    </w:p>
    <w:p w14:paraId="1E6B5F7D">
      <w:pPr>
        <w:ind w:firstLine="506"/>
        <w:rPr>
          <w:rFonts w:ascii="宋体" w:hAnsi="宋体" w:cs="宋体"/>
          <w:b/>
          <w:spacing w:val="6"/>
          <w:sz w:val="24"/>
          <w:szCs w:val="24"/>
        </w:rPr>
      </w:pPr>
      <w:r>
        <w:rPr>
          <w:rFonts w:hint="eastAsia" w:ascii="宋体" w:hAnsi="宋体" w:cs="宋体"/>
          <w:b/>
          <w:spacing w:val="6"/>
          <w:sz w:val="24"/>
          <w:szCs w:val="24"/>
        </w:rPr>
        <w:t>二、投标人资格要求</w:t>
      </w:r>
    </w:p>
    <w:p w14:paraId="713FB8C4">
      <w:pPr>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具备《嵊州市市属国有企业货物和服务采购管理办法（试行）》第十七条规定的条件：</w:t>
      </w:r>
    </w:p>
    <w:p w14:paraId="5FEB15D5">
      <w:pPr>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.具有独立承担民事责任的能力；</w:t>
      </w:r>
    </w:p>
    <w:p w14:paraId="3F75D964">
      <w:pPr>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.具有良好的商业信誉；</w:t>
      </w:r>
    </w:p>
    <w:p w14:paraId="2C67EE89">
      <w:pPr>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.具有履行合同所必需的设备和专业技术，售后保障等能力；</w:t>
      </w:r>
    </w:p>
    <w:p w14:paraId="775F7ECC">
      <w:pPr>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.有依法缴纳税收和社会保障资金的良好记录；</w:t>
      </w:r>
    </w:p>
    <w:p w14:paraId="7653601D">
      <w:pPr>
        <w:ind w:firstLine="48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.参加采购活动前三年内，没有重大违法记录，严重失信行为和行贿记录；</w:t>
      </w:r>
    </w:p>
    <w:p w14:paraId="07204C7B">
      <w:pPr>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.法律、行政法规规定的其他条件；</w:t>
      </w:r>
    </w:p>
    <w:p w14:paraId="096BFEEE">
      <w:pPr>
        <w:ind w:firstLine="480"/>
        <w:jc w:val="left"/>
        <w:rPr>
          <w:rFonts w:ascii="宋体" w:hAnsi="宋体" w:cs="宋体"/>
          <w:sz w:val="24"/>
          <w:szCs w:val="24"/>
        </w:rPr>
      </w:pPr>
      <w:r>
        <w:rPr>
          <w:rFonts w:hint="eastAsia" w:ascii="宋体" w:hAnsi="宋体" w:cs="宋体"/>
          <w:sz w:val="24"/>
          <w:szCs w:val="24"/>
        </w:rPr>
        <w:t>未被“信用中国”（www.creditchina.gov.cn)、中国政府采购网（www.ccgp.gov.cn）列入失信被执行人、重大税收违法案件当事人名单、政府采购严重违法失信行为记录名单；</w:t>
      </w:r>
    </w:p>
    <w:p w14:paraId="0358BF5A">
      <w:pPr>
        <w:ind w:firstLine="48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.本项目的特定资格要求：</w:t>
      </w:r>
      <w:r>
        <w:rPr>
          <w:rFonts w:hint="eastAsia" w:ascii="宋体" w:hAnsi="宋体" w:cs="宋体"/>
          <w:sz w:val="24"/>
          <w:szCs w:val="24"/>
          <w:highlight w:val="none"/>
          <w:lang w:val="en-US" w:eastAsia="zh-CN"/>
        </w:rPr>
        <w:t>无</w:t>
      </w:r>
    </w:p>
    <w:p w14:paraId="391CCBB0">
      <w:pPr>
        <w:ind w:firstLine="48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878F394">
      <w:pPr>
        <w:ind w:firstLine="482"/>
        <w:rPr>
          <w:rFonts w:ascii="宋体" w:hAnsi="宋体" w:cs="宋体"/>
          <w:sz w:val="24"/>
          <w:szCs w:val="24"/>
        </w:rPr>
      </w:pPr>
      <w:r>
        <w:rPr>
          <w:rFonts w:hint="eastAsia" w:ascii="宋体" w:hAnsi="宋体" w:cs="宋体"/>
          <w:b/>
          <w:bCs/>
          <w:sz w:val="24"/>
          <w:szCs w:val="24"/>
        </w:rPr>
        <w:t>三、招标文件的获取</w:t>
      </w:r>
    </w:p>
    <w:p w14:paraId="75B07C15">
      <w:pPr>
        <w:ind w:firstLine="480"/>
        <w:rPr>
          <w:rFonts w:ascii="宋体" w:hAnsi="宋体" w:cs="宋体"/>
          <w:bCs/>
          <w:sz w:val="24"/>
          <w:szCs w:val="24"/>
        </w:rPr>
      </w:pPr>
      <w:bookmarkStart w:id="15" w:name="_Toc339302124"/>
      <w:bookmarkStart w:id="16" w:name="_Toc341768535"/>
      <w:bookmarkStart w:id="17" w:name="_Toc348704822"/>
      <w:bookmarkStart w:id="18" w:name="_Toc226337757"/>
      <w:bookmarkStart w:id="19" w:name="_Toc304551309"/>
      <w:bookmarkStart w:id="20" w:name="_Toc248065035"/>
      <w:bookmarkStart w:id="21" w:name="_Toc340322163"/>
      <w:bookmarkStart w:id="22" w:name="_Toc340321908"/>
      <w:bookmarkStart w:id="23" w:name="_Toc348709928"/>
      <w:bookmarkStart w:id="24" w:name="_Toc383683530"/>
      <w:bookmarkStart w:id="25" w:name="_Toc180555916"/>
      <w:r>
        <w:rPr>
          <w:rFonts w:hint="eastAsia" w:ascii="宋体" w:hAnsi="宋体" w:cs="宋体"/>
          <w:bCs/>
          <w:sz w:val="24"/>
          <w:szCs w:val="24"/>
        </w:rPr>
        <w:t>1.时间：/</w:t>
      </w:r>
      <w:r>
        <w:rPr>
          <w:rFonts w:hint="eastAsia" w:ascii="宋体" w:hAnsi="宋体" w:cs="宋体"/>
          <w:bCs/>
          <w:color w:val="auto"/>
          <w:sz w:val="24"/>
          <w:szCs w:val="24"/>
          <w:highlight w:val="none"/>
        </w:rPr>
        <w:t>至</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31</w:t>
      </w:r>
      <w:r>
        <w:rPr>
          <w:rFonts w:hint="eastAsia" w:ascii="宋体" w:hAnsi="宋体" w:cs="宋体"/>
          <w:color w:val="auto"/>
          <w:sz w:val="24"/>
          <w:szCs w:val="24"/>
          <w:highlight w:val="none"/>
          <w:u w:val="none"/>
        </w:rPr>
        <w:t>日</w:t>
      </w:r>
      <w:r>
        <w:rPr>
          <w:rFonts w:hint="eastAsia" w:ascii="宋体" w:hAnsi="宋体" w:cs="宋体"/>
          <w:bCs/>
          <w:sz w:val="24"/>
          <w:szCs w:val="24"/>
          <w:highlight w:val="none"/>
        </w:rPr>
        <w:t>，每</w:t>
      </w:r>
      <w:r>
        <w:rPr>
          <w:rFonts w:hint="eastAsia" w:ascii="宋体" w:hAnsi="宋体" w:cs="宋体"/>
          <w:bCs/>
          <w:sz w:val="24"/>
          <w:szCs w:val="24"/>
        </w:rPr>
        <w:t>天上午00:00至12:00，下午12:00至23:59（北京时间，线上获取法定节假日均可，线下获取文件法定节假日除外）。</w:t>
      </w:r>
    </w:p>
    <w:p w14:paraId="12D69871">
      <w:pPr>
        <w:ind w:firstLine="480"/>
        <w:rPr>
          <w:rFonts w:ascii="宋体" w:hAnsi="宋体" w:cs="宋体"/>
          <w:bCs/>
          <w:sz w:val="24"/>
          <w:szCs w:val="24"/>
        </w:rPr>
      </w:pPr>
      <w:r>
        <w:rPr>
          <w:rFonts w:hint="eastAsia" w:ascii="宋体" w:hAnsi="宋体" w:cs="宋体"/>
          <w:bCs/>
          <w:sz w:val="24"/>
          <w:szCs w:val="24"/>
        </w:rPr>
        <w:t>2.地点（网址）：乐采云平台（https://www.lecaiyun.com/）。</w:t>
      </w:r>
    </w:p>
    <w:p w14:paraId="49F01197">
      <w:pPr>
        <w:ind w:firstLine="480"/>
        <w:rPr>
          <w:rFonts w:ascii="宋体" w:hAnsi="宋体" w:cs="宋体"/>
          <w:bCs/>
          <w:sz w:val="24"/>
          <w:szCs w:val="24"/>
        </w:rPr>
      </w:pPr>
      <w:r>
        <w:rPr>
          <w:rFonts w:hint="eastAsia" w:ascii="宋体" w:hAnsi="宋体" w:cs="宋体"/>
          <w:bCs/>
          <w:sz w:val="24"/>
          <w:szCs w:val="24"/>
        </w:rPr>
        <w:t xml:space="preserve">3.方式：供应商登录乐采云平台https://www.lecaiyun.com/在线申请获取采购文件（进入“项目采购”应用，在获取采购文件菜单中选择项目，申请获取采购文件）。 </w:t>
      </w:r>
    </w:p>
    <w:p w14:paraId="54B09DAE">
      <w:pPr>
        <w:snapToGrid w:val="0"/>
        <w:ind w:firstLine="480"/>
        <w:rPr>
          <w:rFonts w:ascii="宋体" w:hAnsi="宋体" w:cs="宋体"/>
          <w:bCs/>
          <w:sz w:val="24"/>
          <w:szCs w:val="24"/>
        </w:rPr>
      </w:pPr>
      <w:r>
        <w:rPr>
          <w:rFonts w:hint="eastAsia" w:ascii="宋体" w:hAnsi="宋体" w:cs="宋体"/>
          <w:bCs/>
          <w:sz w:val="24"/>
          <w:szCs w:val="24"/>
        </w:rPr>
        <w:t>4.售价（元）：0。</w:t>
      </w:r>
    </w:p>
    <w:p w14:paraId="7A440A78">
      <w:pPr>
        <w:snapToGrid w:val="0"/>
        <w:ind w:firstLine="480"/>
        <w:rPr>
          <w:rFonts w:ascii="宋体" w:hAnsi="宋体" w:cs="宋体"/>
          <w:sz w:val="24"/>
          <w:szCs w:val="24"/>
        </w:rPr>
      </w:pPr>
      <w:r>
        <w:rPr>
          <w:rFonts w:hint="eastAsia" w:ascii="宋体" w:hAnsi="宋体" w:cs="宋体"/>
          <w:sz w:val="24"/>
          <w:szCs w:val="24"/>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41F02C15">
      <w:pPr>
        <w:snapToGrid w:val="0"/>
        <w:ind w:firstLine="480"/>
        <w:rPr>
          <w:rFonts w:ascii="宋体" w:hAnsi="宋体" w:cs="宋体"/>
          <w:sz w:val="24"/>
          <w:szCs w:val="24"/>
        </w:rPr>
      </w:pPr>
      <w:r>
        <w:rPr>
          <w:rFonts w:hint="eastAsia" w:ascii="宋体" w:hAnsi="宋体" w:cs="宋体"/>
          <w:sz w:val="24"/>
          <w:szCs w:val="24"/>
        </w:rPr>
        <w:t>注：请供应商按上述要求获取采购文件，如未在“乐采云”系统内完成相关流程，引起的投标无效责任自负。</w:t>
      </w:r>
    </w:p>
    <w:p w14:paraId="7D330EEE">
      <w:pPr>
        <w:numPr>
          <w:ilvl w:val="0"/>
          <w:numId w:val="0"/>
        </w:numPr>
        <w:snapToGrid w:val="0"/>
        <w:ind w:firstLine="480" w:firstLineChars="200"/>
      </w:pPr>
      <w:r>
        <w:rPr>
          <w:rFonts w:hint="eastAsia" w:ascii="宋体" w:hAnsi="宋体" w:cs="宋体"/>
          <w:sz w:val="24"/>
          <w:szCs w:val="24"/>
          <w:lang w:val="en-US" w:eastAsia="zh-CN"/>
        </w:rPr>
        <w:t>6.</w:t>
      </w:r>
      <w:r>
        <w:rPr>
          <w:rFonts w:hint="eastAsia" w:ascii="宋体" w:hAnsi="宋体" w:cs="宋体"/>
          <w:sz w:val="24"/>
          <w:szCs w:val="24"/>
        </w:rPr>
        <w:t>公告信息及更正补充公告请自行登录浙江政府采购网，在采购公告及更正公告页面中下载。</w:t>
      </w:r>
    </w:p>
    <w:p w14:paraId="43AAA2C7">
      <w:pPr>
        <w:snapToGrid w:val="0"/>
        <w:ind w:firstLine="482"/>
        <w:rPr>
          <w:rFonts w:ascii="宋体" w:hAnsi="宋体" w:cs="宋体"/>
          <w:b/>
          <w:bCs/>
          <w:sz w:val="24"/>
          <w:szCs w:val="24"/>
        </w:rPr>
      </w:pPr>
      <w:r>
        <w:rPr>
          <w:rFonts w:hint="eastAsia" w:ascii="宋体" w:hAnsi="宋体" w:cs="宋体"/>
          <w:b/>
          <w:bCs/>
          <w:sz w:val="24"/>
          <w:szCs w:val="24"/>
        </w:rPr>
        <w:t>四、提交投标文件截止时间、开标时间和地点</w:t>
      </w:r>
    </w:p>
    <w:p w14:paraId="68C7CC94">
      <w:pPr>
        <w:snapToGrid w:val="0"/>
        <w:spacing w:line="360" w:lineRule="auto"/>
        <w:ind w:firstLine="480"/>
        <w:rPr>
          <w:rFonts w:ascii="宋体" w:hAnsi="宋体" w:cs="宋体"/>
          <w:sz w:val="24"/>
          <w:szCs w:val="24"/>
        </w:rPr>
      </w:pPr>
      <w:r>
        <w:rPr>
          <w:rFonts w:hint="eastAsia" w:ascii="宋体" w:hAnsi="宋体" w:cs="宋体"/>
          <w:sz w:val="24"/>
          <w:szCs w:val="24"/>
        </w:rPr>
        <w:t>1.提交投标文件截止时间</w:t>
      </w:r>
      <w:r>
        <w:rPr>
          <w:rFonts w:hint="eastAsia" w:ascii="宋体" w:hAnsi="宋体" w:cs="宋体"/>
          <w:sz w:val="24"/>
          <w:szCs w:val="24"/>
          <w:highlight w:val="none"/>
        </w:rPr>
        <w:t>：</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31</w:t>
      </w:r>
      <w:r>
        <w:rPr>
          <w:rFonts w:hint="eastAsia" w:ascii="宋体" w:hAnsi="宋体" w:cs="宋体"/>
          <w:color w:val="auto"/>
          <w:sz w:val="24"/>
          <w:szCs w:val="24"/>
          <w:highlight w:val="none"/>
          <w:u w:val="none"/>
        </w:rPr>
        <w:t>日</w:t>
      </w:r>
      <w:r>
        <w:rPr>
          <w:rFonts w:hint="eastAsia" w:ascii="宋体" w:hAnsi="宋体" w:cs="宋体"/>
          <w:sz w:val="24"/>
          <w:szCs w:val="24"/>
          <w:highlight w:val="none"/>
        </w:rPr>
        <w:t>09:00</w:t>
      </w:r>
      <w:r>
        <w:rPr>
          <w:rFonts w:hint="eastAsia" w:ascii="宋体" w:hAnsi="宋体" w:cs="宋体"/>
          <w:sz w:val="24"/>
          <w:szCs w:val="24"/>
        </w:rPr>
        <w:t>（北京时间）</w:t>
      </w:r>
    </w:p>
    <w:p w14:paraId="0CD00020">
      <w:pPr>
        <w:snapToGrid w:val="0"/>
        <w:spacing w:line="360" w:lineRule="auto"/>
        <w:ind w:firstLine="480"/>
        <w:rPr>
          <w:rFonts w:ascii="宋体" w:hAnsi="宋体" w:cs="宋体"/>
          <w:sz w:val="24"/>
          <w:szCs w:val="24"/>
        </w:rPr>
      </w:pPr>
      <w:r>
        <w:rPr>
          <w:rFonts w:hint="eastAsia" w:ascii="宋体" w:hAnsi="宋体" w:cs="宋体"/>
          <w:sz w:val="24"/>
          <w:szCs w:val="24"/>
        </w:rPr>
        <w:t>2.投标地点（网址）：乐采云平台（https://www.lecaiyun.com/）</w:t>
      </w:r>
    </w:p>
    <w:p w14:paraId="1CF7EB3D">
      <w:pPr>
        <w:snapToGrid w:val="0"/>
        <w:spacing w:line="360" w:lineRule="auto"/>
        <w:ind w:firstLine="480"/>
        <w:rPr>
          <w:rFonts w:ascii="宋体" w:hAnsi="宋体" w:cs="宋体"/>
          <w:sz w:val="24"/>
          <w:szCs w:val="24"/>
        </w:rPr>
      </w:pPr>
      <w:r>
        <w:rPr>
          <w:rFonts w:hint="eastAsia" w:ascii="宋体" w:hAnsi="宋体" w:cs="宋体"/>
          <w:sz w:val="24"/>
          <w:szCs w:val="24"/>
        </w:rPr>
        <w:t>3.开标时间：</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31</w:t>
      </w:r>
      <w:r>
        <w:rPr>
          <w:rFonts w:hint="eastAsia" w:ascii="宋体" w:hAnsi="宋体" w:cs="宋体"/>
          <w:color w:val="auto"/>
          <w:sz w:val="24"/>
          <w:szCs w:val="24"/>
          <w:highlight w:val="none"/>
          <w:u w:val="none"/>
        </w:rPr>
        <w:t>日</w:t>
      </w:r>
      <w:r>
        <w:rPr>
          <w:rFonts w:hint="eastAsia" w:ascii="宋体" w:hAnsi="宋体" w:cs="宋体"/>
          <w:sz w:val="24"/>
          <w:szCs w:val="24"/>
          <w:highlight w:val="none"/>
        </w:rPr>
        <w:t>09:00（北</w:t>
      </w:r>
      <w:r>
        <w:rPr>
          <w:rFonts w:hint="eastAsia" w:ascii="宋体" w:hAnsi="宋体" w:cs="宋体"/>
          <w:sz w:val="24"/>
          <w:szCs w:val="24"/>
        </w:rPr>
        <w:t>京时间）</w:t>
      </w:r>
    </w:p>
    <w:p w14:paraId="50AA23D5">
      <w:pPr>
        <w:tabs>
          <w:tab w:val="left" w:pos="3780"/>
        </w:tabs>
        <w:spacing w:line="360" w:lineRule="auto"/>
        <w:ind w:firstLine="480"/>
        <w:rPr>
          <w:rFonts w:hint="eastAsia" w:asciiTheme="minorEastAsia" w:hAnsiTheme="minorEastAsia" w:eastAsiaTheme="minorEastAsia" w:cstheme="minorEastAsia"/>
          <w:sz w:val="24"/>
          <w:szCs w:val="24"/>
        </w:rPr>
      </w:pPr>
      <w:r>
        <w:rPr>
          <w:rFonts w:hint="eastAsia" w:ascii="宋体" w:hAnsi="宋体" w:cs="宋体"/>
          <w:sz w:val="24"/>
          <w:szCs w:val="24"/>
        </w:rPr>
        <w:t>4.开标地点（网址）：乐采云平台（https://www.lecaiyun.com/）</w:t>
      </w:r>
    </w:p>
    <w:p w14:paraId="26D3D446">
      <w:pPr>
        <w:tabs>
          <w:tab w:val="left" w:pos="3780"/>
        </w:tabs>
        <w:spacing w:line="440" w:lineRule="exact"/>
        <w:ind w:firstLine="480"/>
        <w:rPr>
          <w:rFonts w:hint="eastAsia" w:ascii="宋体" w:hAnsi="宋体" w:cs="宋体"/>
          <w:b/>
          <w:spacing w:val="6"/>
          <w:sz w:val="24"/>
          <w:szCs w:val="24"/>
        </w:rPr>
      </w:pPr>
      <w:r>
        <w:rPr>
          <w:rFonts w:hint="eastAsia" w:ascii="宋体" w:hAnsi="宋体" w:cs="宋体"/>
          <w:b/>
          <w:spacing w:val="6"/>
          <w:sz w:val="24"/>
          <w:szCs w:val="24"/>
        </w:rPr>
        <w:t>五、投标保证金</w:t>
      </w:r>
    </w:p>
    <w:p w14:paraId="153FAFF4">
      <w:pPr>
        <w:ind w:firstLine="480"/>
        <w:jc w:val="left"/>
        <w:rPr>
          <w:rFonts w:hint="eastAsia" w:ascii="宋体" w:hAnsi="宋体" w:cs="宋体"/>
          <w:b/>
          <w:bCs/>
          <w:sz w:val="24"/>
          <w:szCs w:val="24"/>
        </w:rPr>
      </w:pPr>
      <w:r>
        <w:rPr>
          <w:rFonts w:hint="eastAsia" w:ascii="宋体" w:hAnsi="宋体" w:cs="宋体"/>
          <w:sz w:val="24"/>
          <w:szCs w:val="24"/>
        </w:rPr>
        <w:t>投标保证金：</w:t>
      </w:r>
      <w:r>
        <w:rPr>
          <w:rFonts w:hint="eastAsia" w:ascii="宋体" w:hAnsi="宋体" w:cs="宋体"/>
          <w:b/>
          <w:bCs/>
          <w:sz w:val="24"/>
          <w:szCs w:val="24"/>
        </w:rPr>
        <w:t>人民币</w:t>
      </w:r>
      <w:r>
        <w:rPr>
          <w:rFonts w:hint="eastAsia" w:ascii="宋体" w:hAnsi="宋体" w:cs="宋体"/>
          <w:b/>
          <w:bCs/>
          <w:sz w:val="24"/>
          <w:szCs w:val="24"/>
          <w:lang w:val="en-US" w:eastAsia="zh-CN"/>
        </w:rPr>
        <w:t>35</w:t>
      </w:r>
      <w:r>
        <w:rPr>
          <w:rFonts w:hint="eastAsia" w:ascii="宋体" w:hAnsi="宋体" w:cs="宋体"/>
          <w:b/>
          <w:bCs/>
          <w:sz w:val="24"/>
          <w:szCs w:val="24"/>
          <w:lang w:eastAsia="zh-CN"/>
        </w:rPr>
        <w:t>000</w:t>
      </w:r>
      <w:r>
        <w:rPr>
          <w:rFonts w:hint="eastAsia" w:ascii="宋体" w:hAnsi="宋体" w:cs="宋体"/>
          <w:b/>
          <w:bCs/>
          <w:sz w:val="24"/>
          <w:szCs w:val="24"/>
        </w:rPr>
        <w:t>.00元（</w:t>
      </w:r>
      <w:r>
        <w:rPr>
          <w:rFonts w:hint="eastAsia" w:ascii="宋体" w:hAnsi="宋体" w:cs="宋体"/>
          <w:b/>
          <w:bCs/>
          <w:sz w:val="24"/>
          <w:szCs w:val="24"/>
          <w:lang w:val="en-US" w:eastAsia="zh-CN"/>
        </w:rPr>
        <w:t>叁万伍仟</w:t>
      </w:r>
      <w:r>
        <w:rPr>
          <w:rFonts w:hint="eastAsia" w:ascii="宋体" w:hAnsi="宋体" w:cs="宋体"/>
          <w:b/>
          <w:bCs/>
          <w:sz w:val="24"/>
          <w:szCs w:val="24"/>
          <w:lang w:eastAsia="zh-CN"/>
        </w:rPr>
        <w:t>元</w:t>
      </w:r>
      <w:r>
        <w:rPr>
          <w:rFonts w:hint="eastAsia" w:ascii="宋体" w:hAnsi="宋体" w:cs="宋体"/>
          <w:b/>
          <w:bCs/>
          <w:sz w:val="24"/>
          <w:szCs w:val="24"/>
        </w:rPr>
        <w:t>整）</w:t>
      </w:r>
    </w:p>
    <w:p w14:paraId="4BC274CD">
      <w:pPr>
        <w:ind w:firstLine="480"/>
        <w:jc w:val="left"/>
        <w:rPr>
          <w:rFonts w:ascii="宋体" w:hAnsi="宋体" w:cs="宋体"/>
          <w:sz w:val="24"/>
          <w:szCs w:val="24"/>
        </w:rPr>
      </w:pPr>
      <w:r>
        <w:rPr>
          <w:rFonts w:hint="eastAsia" w:ascii="宋体" w:hAnsi="宋体" w:cs="宋体"/>
          <w:sz w:val="24"/>
          <w:szCs w:val="24"/>
        </w:rPr>
        <w:t>投标人应于</w:t>
      </w:r>
      <w:r>
        <w:rPr>
          <w:rFonts w:hint="eastAsia" w:ascii="宋体" w:hAnsi="宋体" w:cs="宋体"/>
          <w:color w:val="auto"/>
          <w:sz w:val="24"/>
          <w:szCs w:val="24"/>
          <w:highlight w:val="none"/>
          <w:u w:val="single"/>
        </w:rPr>
        <w:t>2025年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日</w:t>
      </w:r>
      <w:r>
        <w:rPr>
          <w:rFonts w:hint="eastAsia" w:ascii="宋体" w:hAnsi="宋体" w:cs="宋体"/>
          <w:sz w:val="24"/>
          <w:szCs w:val="24"/>
          <w:highlight w:val="none"/>
          <w:u w:val="single"/>
        </w:rPr>
        <w:t>16：00时</w:t>
      </w:r>
      <w:r>
        <w:rPr>
          <w:rFonts w:hint="eastAsia" w:ascii="宋体" w:hAnsi="宋体" w:cs="宋体"/>
          <w:sz w:val="24"/>
          <w:szCs w:val="24"/>
          <w:highlight w:val="none"/>
        </w:rPr>
        <w:t>前</w:t>
      </w:r>
      <w:r>
        <w:rPr>
          <w:rFonts w:hint="eastAsia" w:ascii="宋体" w:hAnsi="宋体" w:cs="宋体"/>
          <w:sz w:val="24"/>
          <w:szCs w:val="24"/>
        </w:rPr>
        <w:t>将投标保证金以电汇、转账、网上银行交至浙江广通工程咨询有限公司嵊州分公司，投标保证金以到账时间为准。</w:t>
      </w:r>
      <w:r>
        <w:rPr>
          <w:rFonts w:hint="eastAsia" w:ascii="宋体" w:hAnsi="宋体" w:cs="宋体"/>
          <w:b/>
          <w:bCs/>
          <w:color w:val="auto"/>
          <w:sz w:val="24"/>
          <w:szCs w:val="24"/>
          <w:highlight w:val="none"/>
        </w:rPr>
        <w:t>如因投标人自身原因，造成投标人保证金未及时到账的，一律视为不响应采购文件，投标无效。投标人的投标保证金必须从其基本账户转出。</w:t>
      </w:r>
    </w:p>
    <w:p w14:paraId="3F43356B">
      <w:pPr>
        <w:tabs>
          <w:tab w:val="left" w:pos="3780"/>
        </w:tabs>
        <w:spacing w:line="440" w:lineRule="exact"/>
        <w:ind w:firstLine="480"/>
        <w:rPr>
          <w:rFonts w:ascii="宋体" w:hAnsi="宋体" w:cs="宋体"/>
          <w:bCs/>
          <w:sz w:val="24"/>
          <w:szCs w:val="24"/>
          <w:u w:val="single"/>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u w:val="single"/>
        </w:rPr>
        <w:t>浙</w:t>
      </w:r>
      <w:r>
        <w:rPr>
          <w:rFonts w:hint="eastAsia" w:ascii="宋体" w:hAnsi="宋体" w:cs="宋体"/>
          <w:bCs/>
          <w:sz w:val="24"/>
          <w:szCs w:val="24"/>
          <w:u w:val="single"/>
        </w:rPr>
        <w:t>江广通工程咨询有限公司嵊州分公司</w:t>
      </w:r>
    </w:p>
    <w:p w14:paraId="5D12376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开</w:t>
      </w:r>
      <w:r>
        <w:rPr>
          <w:rFonts w:hint="eastAsia" w:ascii="宋体" w:hAnsi="宋体" w:cs="宋体"/>
          <w:bCs/>
          <w:sz w:val="24"/>
          <w:szCs w:val="24"/>
          <w:lang w:val="en-US" w:eastAsia="zh-CN"/>
        </w:rPr>
        <w:t xml:space="preserve"> </w:t>
      </w:r>
      <w:r>
        <w:rPr>
          <w:rFonts w:hint="eastAsia" w:ascii="宋体" w:hAnsi="宋体" w:cs="宋体"/>
          <w:bCs/>
          <w:sz w:val="24"/>
          <w:szCs w:val="24"/>
        </w:rPr>
        <w:t>户</w:t>
      </w:r>
      <w:r>
        <w:rPr>
          <w:rFonts w:hint="eastAsia" w:ascii="宋体" w:hAnsi="宋体" w:cs="宋体"/>
          <w:bCs/>
          <w:sz w:val="24"/>
          <w:szCs w:val="24"/>
          <w:lang w:val="en-US" w:eastAsia="zh-CN"/>
        </w:rPr>
        <w:t xml:space="preserve"> </w:t>
      </w:r>
      <w:r>
        <w:rPr>
          <w:rFonts w:hint="eastAsia" w:ascii="宋体" w:hAnsi="宋体" w:cs="宋体"/>
          <w:bCs/>
          <w:sz w:val="24"/>
          <w:szCs w:val="24"/>
        </w:rPr>
        <w:t>行：</w:t>
      </w:r>
      <w:r>
        <w:rPr>
          <w:rFonts w:hint="eastAsia" w:ascii="宋体" w:hAnsi="宋体" w:cs="宋体"/>
          <w:bCs/>
          <w:sz w:val="24"/>
          <w:szCs w:val="24"/>
          <w:u w:val="single"/>
        </w:rPr>
        <w:t>嵊州农商银行甘霖支行</w:t>
      </w:r>
    </w:p>
    <w:p w14:paraId="744CBA72">
      <w:pPr>
        <w:tabs>
          <w:tab w:val="left" w:pos="3780"/>
        </w:tabs>
        <w:spacing w:line="440" w:lineRule="exact"/>
        <w:ind w:firstLine="48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号：</w:t>
      </w:r>
      <w:r>
        <w:rPr>
          <w:rFonts w:hint="eastAsia" w:asciiTheme="minorEastAsia" w:hAnsiTheme="minorEastAsia" w:eastAsiaTheme="minorEastAsia" w:cstheme="minorEastAsia"/>
          <w:sz w:val="24"/>
          <w:szCs w:val="24"/>
          <w:u w:val="single"/>
        </w:rPr>
        <w:t>201000309849681</w:t>
      </w:r>
    </w:p>
    <w:p w14:paraId="42F5F6D5">
      <w:pPr>
        <w:snapToGrid w:val="0"/>
        <w:ind w:firstLine="482"/>
        <w:rPr>
          <w:rFonts w:ascii="宋体" w:hAnsi="宋体" w:cs="宋体"/>
          <w:b/>
          <w:bCs/>
          <w:sz w:val="24"/>
          <w:szCs w:val="24"/>
        </w:rPr>
      </w:pPr>
      <w:r>
        <w:rPr>
          <w:rFonts w:hint="eastAsia" w:ascii="宋体" w:hAnsi="宋体" w:cs="宋体"/>
          <w:b/>
          <w:bCs/>
          <w:sz w:val="24"/>
          <w:szCs w:val="24"/>
        </w:rPr>
        <w:t>六、公告期限</w:t>
      </w:r>
    </w:p>
    <w:p w14:paraId="2C125A2A">
      <w:pPr>
        <w:snapToGrid w:val="0"/>
        <w:ind w:firstLine="480"/>
        <w:rPr>
          <w:rFonts w:ascii="宋体" w:hAnsi="宋体" w:cs="宋体"/>
          <w:b/>
          <w:bCs/>
          <w:sz w:val="24"/>
          <w:szCs w:val="24"/>
        </w:rPr>
      </w:pPr>
      <w:r>
        <w:rPr>
          <w:rFonts w:hint="eastAsia" w:ascii="宋体" w:hAnsi="宋体" w:cs="宋体"/>
          <w:sz w:val="24"/>
          <w:szCs w:val="24"/>
        </w:rPr>
        <w:t>自本公告发布之日起5个工作日。</w:t>
      </w:r>
    </w:p>
    <w:p w14:paraId="2082F12E">
      <w:pPr>
        <w:snapToGrid w:val="0"/>
        <w:ind w:firstLine="482"/>
        <w:rPr>
          <w:rFonts w:ascii="宋体" w:hAnsi="宋体" w:cs="宋体"/>
          <w:b/>
          <w:bCs/>
          <w:sz w:val="24"/>
          <w:szCs w:val="24"/>
        </w:rPr>
      </w:pPr>
      <w:r>
        <w:rPr>
          <w:rFonts w:hint="eastAsia" w:ascii="宋体" w:hAnsi="宋体" w:cs="宋体"/>
          <w:b/>
          <w:bCs/>
          <w:sz w:val="24"/>
          <w:szCs w:val="24"/>
        </w:rPr>
        <w:t>七、其他补充事宜</w:t>
      </w:r>
    </w:p>
    <w:p w14:paraId="24DF92CB">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1E2E6FC0">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2.“乐采云电子交易客户端”请自行前往“浙江政府采购网-下载专区-电子交易客户端”进行下载；电子投标具体操作流程详见本公告附件《供应商项目采购-电子招投标操作指南》；通过“乐采云”参与在线投标时如遇平台技术问题详询95763。</w:t>
      </w:r>
    </w:p>
    <w:p w14:paraId="79F00CE9">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1B4A062E">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4.投标供应商应当在投标截止时间前，将生成的“电子加密投标文件”上传至“乐采云平台”。投标截止时间以后上传递交的投标文件将被“乐采云平台”拒收。</w:t>
      </w:r>
    </w:p>
    <w:p w14:paraId="4B18486C">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F5E124A">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26041A74">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7.投标人依法获取招标文件后认为招标文件使自己的权益受到损害的，可以自收到招标文件之日（招标文件获取之日在招标文件公告期限届满之日后的以公告期限届满之日</w:t>
      </w:r>
      <w:r>
        <w:rPr>
          <w:rFonts w:hint="eastAsia" w:ascii="宋体" w:hAnsi="宋体" w:cs="宋体"/>
          <w:spacing w:val="6"/>
          <w:kern w:val="1"/>
          <w:sz w:val="24"/>
          <w:szCs w:val="24"/>
          <w:lang w:val="zh-CN"/>
        </w:rPr>
        <w:t>为准，</w:t>
      </w:r>
      <w:r>
        <w:rPr>
          <w:rFonts w:hint="eastAsia" w:ascii="宋体" w:hAnsi="宋体" w:cs="宋体"/>
          <w:spacing w:val="6"/>
          <w:kern w:val="1"/>
          <w:sz w:val="24"/>
          <w:szCs w:val="24"/>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质疑函范本、投诉书范本请到浙江政府采购网下载专区下载。</w:t>
      </w:r>
    </w:p>
    <w:p w14:paraId="382072F9">
      <w:pPr>
        <w:snapToGrid w:val="0"/>
        <w:ind w:firstLine="482"/>
        <w:rPr>
          <w:rFonts w:hint="eastAsia" w:ascii="宋体" w:hAnsi="宋体" w:cs="宋体"/>
          <w:b/>
          <w:bCs/>
          <w:sz w:val="24"/>
          <w:szCs w:val="24"/>
        </w:rPr>
      </w:pPr>
      <w:r>
        <w:rPr>
          <w:rFonts w:hint="eastAsia" w:ascii="宋体" w:hAnsi="宋体" w:cs="宋体"/>
          <w:b/>
          <w:bCs/>
          <w:sz w:val="24"/>
          <w:szCs w:val="24"/>
        </w:rPr>
        <w:t>八、对本次采购提出询问、质疑、投诉，请按以下方式联系</w:t>
      </w:r>
    </w:p>
    <w:p w14:paraId="28424276">
      <w:pPr>
        <w:widowControl/>
        <w:ind w:firstLine="480"/>
        <w:jc w:val="left"/>
        <w:rPr>
          <w:rFonts w:asciiTheme="minorEastAsia" w:hAnsiTheme="minorEastAsia" w:eastAsiaTheme="minorEastAsia" w:cstheme="minorEastAsia"/>
          <w:sz w:val="24"/>
          <w:szCs w:val="24"/>
        </w:rPr>
      </w:pPr>
      <w:bookmarkStart w:id="26" w:name="_Toc514938670"/>
      <w:r>
        <w:rPr>
          <w:rFonts w:hint="eastAsia" w:asciiTheme="minorEastAsia" w:hAnsiTheme="minorEastAsia" w:eastAsiaTheme="minorEastAsia" w:cstheme="minorEastAsia"/>
          <w:sz w:val="24"/>
          <w:szCs w:val="24"/>
        </w:rPr>
        <w:t>1.采购人信息</w:t>
      </w:r>
    </w:p>
    <w:p w14:paraId="1781C4FD">
      <w:pPr>
        <w:widowControl/>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名称：嵊州市两山实业发展有限公司</w:t>
      </w:r>
    </w:p>
    <w:p w14:paraId="1D1FD65B">
      <w:pPr>
        <w:widowControl/>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lang w:val="en-US" w:eastAsia="zh-CN"/>
        </w:rPr>
        <w:t>浙江省浦口街道华发南路88号</w:t>
      </w:r>
      <w:r>
        <w:rPr>
          <w:rFonts w:hint="eastAsia" w:asciiTheme="minorEastAsia" w:hAnsiTheme="minorEastAsia" w:eastAsiaTheme="minorEastAsia" w:cstheme="minorEastAsia"/>
          <w:sz w:val="24"/>
          <w:szCs w:val="24"/>
          <w:highlight w:val="none"/>
        </w:rPr>
        <w:t xml:space="preserve">      </w:t>
      </w:r>
    </w:p>
    <w:p w14:paraId="551273AD">
      <w:pPr>
        <w:widowControl/>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项目联系人（询问）：</w:t>
      </w:r>
      <w:r>
        <w:rPr>
          <w:rFonts w:hint="eastAsia" w:asciiTheme="minorEastAsia" w:hAnsiTheme="minorEastAsia" w:eastAsiaTheme="minorEastAsia" w:cstheme="minorEastAsia"/>
          <w:sz w:val="24"/>
          <w:szCs w:val="24"/>
          <w:highlight w:val="none"/>
          <w:lang w:val="en-US" w:eastAsia="zh-CN"/>
        </w:rPr>
        <w:t>楼先生</w:t>
      </w:r>
      <w:r>
        <w:rPr>
          <w:rFonts w:hint="eastAsia" w:asciiTheme="minorEastAsia" w:hAnsiTheme="minorEastAsia" w:eastAsiaTheme="minorEastAsia" w:cstheme="minorEastAsia"/>
          <w:sz w:val="24"/>
          <w:szCs w:val="24"/>
          <w:highlight w:val="none"/>
        </w:rPr>
        <w:t xml:space="preserve">  </w:t>
      </w:r>
    </w:p>
    <w:p w14:paraId="3AA003CD">
      <w:pPr>
        <w:widowControl/>
        <w:ind w:firstLine="480"/>
        <w:jc w:val="left"/>
        <w:rPr>
          <w:highlight w:val="none"/>
        </w:rPr>
      </w:pPr>
      <w:r>
        <w:rPr>
          <w:rFonts w:hint="eastAsia" w:asciiTheme="minorEastAsia" w:hAnsiTheme="minorEastAsia" w:eastAsiaTheme="minorEastAsia" w:cstheme="minorEastAsia"/>
          <w:sz w:val="24"/>
          <w:szCs w:val="24"/>
          <w:highlight w:val="none"/>
        </w:rPr>
        <w:t>项目联系方式（询问）：0575-31381865</w:t>
      </w:r>
    </w:p>
    <w:p w14:paraId="4760DB08">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2.实施单位</w:t>
      </w:r>
    </w:p>
    <w:p w14:paraId="33FB1A3E">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名称：嵊州市甘霖镇人民政府       　</w:t>
      </w:r>
    </w:p>
    <w:p w14:paraId="38F52FA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地址：嵊州市甘霖镇桃源路1号   </w:t>
      </w:r>
    </w:p>
    <w:p w14:paraId="7D2E5F2D">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联系人：史先生　 　 　        　　  </w:t>
      </w:r>
    </w:p>
    <w:p w14:paraId="4254ACC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联系方式：0575-89303859              </w:t>
      </w:r>
    </w:p>
    <w:p w14:paraId="233013F3">
      <w:pPr>
        <w:ind w:firstLine="480"/>
        <w:jc w:val="left"/>
        <w:rPr>
          <w:rFonts w:asciiTheme="minorEastAsia" w:hAnsiTheme="minorEastAsia" w:eastAsiaTheme="minorEastAsia" w:cstheme="minorEastAsia"/>
          <w:sz w:val="24"/>
          <w:szCs w:val="24"/>
        </w:rPr>
      </w:pPr>
      <w:bookmarkStart w:id="27" w:name="_Toc28359009"/>
      <w:bookmarkStart w:id="28" w:name="_Toc28359086"/>
      <w:r>
        <w:rPr>
          <w:rFonts w:hint="eastAsia" w:asciiTheme="minorEastAsia" w:hAnsiTheme="minorEastAsia" w:eastAsiaTheme="minorEastAsia" w:cstheme="minorEastAsia"/>
          <w:sz w:val="24"/>
          <w:szCs w:val="24"/>
        </w:rPr>
        <w:t>3.采购代理机构信息</w:t>
      </w:r>
      <w:bookmarkEnd w:id="27"/>
      <w:bookmarkEnd w:id="28"/>
    </w:p>
    <w:p w14:paraId="11F1CF22">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名称：浙江广通工程咨询有限公司      </w:t>
      </w:r>
    </w:p>
    <w:p w14:paraId="1D9BF943">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地址：嵊州市文创园12幢108号</w:t>
      </w:r>
    </w:p>
    <w:p w14:paraId="1AF20D05">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项目联系人：玛丽              </w:t>
      </w:r>
    </w:p>
    <w:p w14:paraId="452322B9">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电话：13989537736　</w:t>
      </w:r>
    </w:p>
    <w:p w14:paraId="17D68D9A">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质疑联系人：</w:t>
      </w:r>
      <w:r>
        <w:rPr>
          <w:rFonts w:hint="eastAsia" w:asciiTheme="minorEastAsia" w:hAnsiTheme="minorEastAsia" w:eastAsiaTheme="minorEastAsia" w:cstheme="minorEastAsia"/>
          <w:sz w:val="24"/>
          <w:szCs w:val="24"/>
          <w:lang w:val="en-US" w:eastAsia="zh-CN"/>
        </w:rPr>
        <w:t>邢</w:t>
      </w:r>
      <w:r>
        <w:rPr>
          <w:rFonts w:hint="eastAsia" w:asciiTheme="minorEastAsia" w:hAnsiTheme="minorEastAsia" w:eastAsiaTheme="minorEastAsia" w:cstheme="minorEastAsia"/>
          <w:sz w:val="24"/>
          <w:szCs w:val="24"/>
          <w:lang w:eastAsia="zh-CN"/>
        </w:rPr>
        <w:t>女士</w:t>
      </w:r>
    </w:p>
    <w:p w14:paraId="5F8ADCC7">
      <w:pPr>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质疑联系方式：0575-</w:t>
      </w:r>
      <w:r>
        <w:rPr>
          <w:rFonts w:hint="eastAsia" w:asciiTheme="minorEastAsia" w:hAnsiTheme="minorEastAsia" w:eastAsiaTheme="minorEastAsia" w:cstheme="minorEastAsia"/>
          <w:sz w:val="24"/>
          <w:szCs w:val="24"/>
          <w:lang w:val="en-US" w:eastAsia="zh-CN"/>
        </w:rPr>
        <w:t>83088551</w:t>
      </w:r>
    </w:p>
    <w:p w14:paraId="56210F54">
      <w:pPr>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.采购监督管理</w:t>
      </w:r>
      <w:r>
        <w:rPr>
          <w:rFonts w:hint="eastAsia" w:asciiTheme="minorEastAsia" w:hAnsiTheme="minorEastAsia" w:eastAsiaTheme="minorEastAsia" w:cstheme="minorEastAsia"/>
          <w:sz w:val="24"/>
          <w:szCs w:val="24"/>
          <w:highlight w:val="none"/>
          <w:lang w:val="en-US" w:eastAsia="zh-CN"/>
        </w:rPr>
        <w:t>机构</w:t>
      </w:r>
    </w:p>
    <w:p w14:paraId="3818C688">
      <w:pPr>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称：嵊州市交通投资发展集团有限公司监察内审部</w:t>
      </w:r>
    </w:p>
    <w:p w14:paraId="1B5E5A7A">
      <w:pPr>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lang w:val="en-US" w:eastAsia="zh-CN"/>
        </w:rPr>
        <w:t>浙江省浦口街道华发南路88号</w:t>
      </w:r>
    </w:p>
    <w:p w14:paraId="721CB625">
      <w:pPr>
        <w:ind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国先生</w:t>
      </w:r>
    </w:p>
    <w:p w14:paraId="3B75A521">
      <w:pPr>
        <w:ind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监督投诉电话：0575-8</w:t>
      </w:r>
      <w:r>
        <w:rPr>
          <w:rFonts w:hint="eastAsia" w:asciiTheme="minorEastAsia" w:hAnsiTheme="minorEastAsia" w:eastAsiaTheme="minorEastAsia" w:cstheme="minorEastAsia"/>
          <w:sz w:val="24"/>
          <w:szCs w:val="24"/>
          <w:highlight w:val="none"/>
          <w:lang w:val="en-US" w:eastAsia="zh-CN"/>
        </w:rPr>
        <w:t>3106709</w:t>
      </w:r>
    </w:p>
    <w:p w14:paraId="64F9DB0A">
      <w:pPr>
        <w:adjustRightInd w:val="0"/>
        <w:snapToGrid w:val="0"/>
        <w:ind w:firstLine="480" w:firstLineChars="0"/>
        <w:rPr>
          <w:rFonts w:ascii="宋体" w:hAnsi="宋体" w:cs="宋体"/>
          <w:kern w:val="1"/>
          <w:sz w:val="24"/>
          <w:szCs w:val="24"/>
        </w:rPr>
      </w:pPr>
      <w:r>
        <w:rPr>
          <w:rFonts w:hint="eastAsia" w:ascii="宋体" w:hAnsi="宋体" w:cs="宋体"/>
          <w:kern w:val="1"/>
          <w:sz w:val="24"/>
          <w:szCs w:val="24"/>
        </w:rPr>
        <w:t>若对项目采购电子交易系统操作有疑问，可登录乐采云（https://www.lecaiyun.com/），点击右侧咨询小采，获取采小蜜智能服务管家帮助，或拨打乐采云服务热线95763获取热线服务帮助。</w:t>
      </w:r>
    </w:p>
    <w:p w14:paraId="4ACD4EAF">
      <w:pPr>
        <w:pStyle w:val="3"/>
        <w:spacing w:before="0"/>
        <w:jc w:val="center"/>
        <w:rPr>
          <w:rFonts w:ascii="宋体" w:hAnsi="宋体" w:cs="宋体"/>
          <w:b w:val="0"/>
          <w:bCs/>
          <w:sz w:val="24"/>
          <w:szCs w:val="24"/>
        </w:rPr>
      </w:pPr>
      <w:bookmarkStart w:id="29" w:name="_Toc20437"/>
      <w:r>
        <w:rPr>
          <w:rFonts w:hint="eastAsia" w:ascii="宋体" w:hAnsi="宋体" w:cs="宋体"/>
          <w:b w:val="0"/>
          <w:bCs/>
          <w:kern w:val="1"/>
          <w:sz w:val="24"/>
          <w:szCs w:val="24"/>
        </w:rPr>
        <w:t>CA问题联系电话（人工）：汇信CA 400-888-4636；天谷CA 400-087-8198。</w:t>
      </w:r>
      <w:bookmarkEnd w:id="29"/>
    </w:p>
    <w:p w14:paraId="4030086B">
      <w:pPr>
        <w:ind w:firstLine="480"/>
        <w:rPr>
          <w:rFonts w:ascii="宋体" w:hAnsi="宋体" w:cs="宋体"/>
          <w:sz w:val="24"/>
          <w:szCs w:val="24"/>
        </w:rPr>
      </w:pPr>
    </w:p>
    <w:p w14:paraId="2A5F1A2C">
      <w:pPr>
        <w:pStyle w:val="2"/>
        <w:spacing w:before="0" w:after="0" w:line="360" w:lineRule="auto"/>
        <w:ind w:left="0" w:firstLine="0"/>
        <w:rPr>
          <w:rFonts w:hAnsi="宋体" w:cs="宋体"/>
          <w:b/>
          <w:color w:val="auto"/>
          <w:sz w:val="32"/>
          <w:szCs w:val="32"/>
        </w:rPr>
      </w:pPr>
      <w:bookmarkStart w:id="30" w:name="_Toc11201"/>
      <w:r>
        <w:rPr>
          <w:rFonts w:hint="eastAsia" w:hAnsi="宋体" w:cs="宋体"/>
          <w:b/>
          <w:color w:val="auto"/>
          <w:sz w:val="32"/>
          <w:szCs w:val="32"/>
        </w:rPr>
        <w:t>第二部分</w:t>
      </w:r>
      <w:r>
        <w:rPr>
          <w:rFonts w:hint="eastAsia" w:hAnsi="宋体" w:cs="宋体"/>
          <w:color w:val="auto"/>
          <w:sz w:val="32"/>
          <w:szCs w:val="32"/>
        </w:rPr>
        <w:t xml:space="preserve"> </w:t>
      </w:r>
      <w:r>
        <w:rPr>
          <w:rFonts w:hint="eastAsia" w:hAnsi="宋体" w:cs="宋体"/>
          <w:b/>
          <w:color w:val="auto"/>
          <w:sz w:val="32"/>
          <w:szCs w:val="32"/>
        </w:rPr>
        <w:t>投标须知</w:t>
      </w:r>
      <w:bookmarkEnd w:id="15"/>
      <w:bookmarkEnd w:id="16"/>
      <w:bookmarkEnd w:id="17"/>
      <w:bookmarkEnd w:id="18"/>
      <w:bookmarkEnd w:id="19"/>
      <w:bookmarkEnd w:id="20"/>
      <w:bookmarkEnd w:id="21"/>
      <w:bookmarkEnd w:id="22"/>
      <w:bookmarkEnd w:id="23"/>
      <w:bookmarkEnd w:id="24"/>
      <w:bookmarkEnd w:id="25"/>
      <w:bookmarkEnd w:id="26"/>
      <w:bookmarkEnd w:id="30"/>
    </w:p>
    <w:p w14:paraId="3B41C71F">
      <w:pPr>
        <w:pStyle w:val="3"/>
        <w:spacing w:before="0"/>
        <w:ind w:left="0" w:firstLine="0"/>
        <w:jc w:val="center"/>
        <w:rPr>
          <w:rFonts w:ascii="宋体" w:hAnsi="宋体" w:cs="宋体"/>
          <w:sz w:val="24"/>
          <w:szCs w:val="24"/>
        </w:rPr>
      </w:pPr>
      <w:bookmarkStart w:id="31" w:name="_Toc341768536"/>
      <w:bookmarkStart w:id="32" w:name="_Toc340321909"/>
      <w:bookmarkStart w:id="33" w:name="_Toc348704823"/>
      <w:bookmarkStart w:id="34" w:name="_Toc248065036"/>
      <w:bookmarkStart w:id="35" w:name="_Toc226337758"/>
      <w:bookmarkStart w:id="36" w:name="_Toc340322164"/>
      <w:bookmarkStart w:id="37" w:name="_Toc348709929"/>
      <w:bookmarkStart w:id="38" w:name="_Toc339302125"/>
      <w:bookmarkStart w:id="39" w:name="_Toc384363120"/>
      <w:bookmarkStart w:id="40" w:name="_Toc180555917"/>
      <w:bookmarkStart w:id="41" w:name="_Toc514938671"/>
      <w:bookmarkStart w:id="42" w:name="_Toc5478"/>
      <w:bookmarkStart w:id="43" w:name="_Toc383683531"/>
      <w:bookmarkStart w:id="44" w:name="_Toc304551310"/>
      <w:r>
        <w:rPr>
          <w:rFonts w:hint="eastAsia" w:ascii="宋体" w:hAnsi="宋体" w:cs="宋体"/>
          <w:sz w:val="24"/>
          <w:szCs w:val="24"/>
        </w:rPr>
        <w:t>投标须知前附表</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2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44"/>
        <w:gridCol w:w="6867"/>
      </w:tblGrid>
      <w:tr w14:paraId="2CDA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7EE92874">
            <w:pPr>
              <w:tabs>
                <w:tab w:val="left" w:pos="3780"/>
              </w:tabs>
              <w:spacing w:line="440" w:lineRule="exact"/>
              <w:ind w:firstLine="0" w:firstLineChars="0"/>
              <w:jc w:val="center"/>
              <w:rPr>
                <w:rFonts w:ascii="宋体" w:hAnsi="宋体" w:cs="宋体"/>
                <w:b/>
                <w:sz w:val="24"/>
                <w:szCs w:val="24"/>
              </w:rPr>
            </w:pPr>
            <w:bookmarkStart w:id="45" w:name="_Toc473985733"/>
            <w:bookmarkStart w:id="46" w:name="_Toc226337759"/>
            <w:bookmarkStart w:id="47" w:name="_Toc340322165"/>
            <w:bookmarkStart w:id="48" w:name="_Toc330215254"/>
            <w:bookmarkStart w:id="49" w:name="_Toc381971526"/>
            <w:bookmarkStart w:id="50" w:name="_Toc514938672"/>
            <w:bookmarkStart w:id="51" w:name="_Toc330212058"/>
            <w:bookmarkStart w:id="52" w:name="_Toc498451748"/>
            <w:bookmarkStart w:id="53" w:name="_Toc26108"/>
            <w:bookmarkStart w:id="54" w:name="_Toc504504523"/>
            <w:bookmarkStart w:id="55" w:name="_Toc330214699"/>
            <w:bookmarkStart w:id="56" w:name="_Toc340321910"/>
            <w:bookmarkStart w:id="57" w:name="_Toc330215452"/>
            <w:bookmarkStart w:id="58" w:name="_Toc330214827"/>
            <w:bookmarkStart w:id="59" w:name="_Toc339302126"/>
            <w:bookmarkStart w:id="60" w:name="_Toc304551311"/>
            <w:bookmarkStart w:id="61" w:name="_Toc510614920"/>
            <w:bookmarkStart w:id="62" w:name="_Toc248065037"/>
            <w:bookmarkStart w:id="63" w:name="_Toc180555918"/>
            <w:r>
              <w:rPr>
                <w:rFonts w:hint="eastAsia" w:ascii="宋体" w:hAnsi="宋体" w:cs="宋体"/>
                <w:b/>
                <w:sz w:val="24"/>
                <w:szCs w:val="24"/>
              </w:rPr>
              <w:t>序号</w:t>
            </w:r>
          </w:p>
        </w:tc>
        <w:tc>
          <w:tcPr>
            <w:tcW w:w="1544" w:type="dxa"/>
            <w:vAlign w:val="center"/>
          </w:tcPr>
          <w:p w14:paraId="5A50566C">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项目</w:t>
            </w:r>
          </w:p>
        </w:tc>
        <w:tc>
          <w:tcPr>
            <w:tcW w:w="6867" w:type="dxa"/>
            <w:vAlign w:val="center"/>
          </w:tcPr>
          <w:p w14:paraId="6A7ADD3A">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编例内容</w:t>
            </w:r>
          </w:p>
        </w:tc>
      </w:tr>
      <w:tr w14:paraId="2632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313C8A1C">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544" w:type="dxa"/>
            <w:vAlign w:val="center"/>
          </w:tcPr>
          <w:p w14:paraId="39EF5DBD">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投标人按照项目要求特许资格、资信证明文件</w:t>
            </w:r>
          </w:p>
          <w:p w14:paraId="02CF5C90">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（如果有）</w:t>
            </w:r>
          </w:p>
        </w:tc>
        <w:tc>
          <w:tcPr>
            <w:tcW w:w="6867" w:type="dxa"/>
            <w:vAlign w:val="center"/>
          </w:tcPr>
          <w:p w14:paraId="23463E26">
            <w:pPr>
              <w:keepNext w:val="0"/>
              <w:keepLines w:val="0"/>
              <w:pageBreakBefore w:val="0"/>
              <w:widowControl w:val="0"/>
              <w:kinsoku/>
              <w:wordWrap/>
              <w:overflowPunct/>
              <w:topLinePunct w:val="0"/>
              <w:bidi w:val="0"/>
              <w:adjustRightInd w:val="0"/>
              <w:spacing w:line="440" w:lineRule="exact"/>
              <w:ind w:right="0" w:rightChars="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b/>
                <w:color w:val="auto"/>
                <w:sz w:val="24"/>
                <w:highlight w:val="none"/>
              </w:rPr>
              <w:t>投标人按照项目要求特许资格、资信证明文件（如果有）：</w:t>
            </w:r>
          </w:p>
          <w:p w14:paraId="49FD7E42">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62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0D4B2F5">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1544" w:type="dxa"/>
            <w:vAlign w:val="center"/>
          </w:tcPr>
          <w:p w14:paraId="25F32196">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资格审查</w:t>
            </w:r>
          </w:p>
        </w:tc>
        <w:tc>
          <w:tcPr>
            <w:tcW w:w="6867" w:type="dxa"/>
            <w:vAlign w:val="center"/>
          </w:tcPr>
          <w:p w14:paraId="4CDEEBE9">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1.资格后审。</w:t>
            </w:r>
          </w:p>
          <w:p w14:paraId="5BD1627F">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2.法定代表人的被授权委托人必须是投标单位职工。需在投标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592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5504BE26">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1544" w:type="dxa"/>
            <w:vAlign w:val="center"/>
          </w:tcPr>
          <w:p w14:paraId="06F8667A">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采购内容</w:t>
            </w:r>
          </w:p>
        </w:tc>
        <w:tc>
          <w:tcPr>
            <w:tcW w:w="6867" w:type="dxa"/>
            <w:vAlign w:val="center"/>
          </w:tcPr>
          <w:p w14:paraId="163D4294">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详见第三部分 采购需求</w:t>
            </w:r>
          </w:p>
        </w:tc>
      </w:tr>
      <w:tr w14:paraId="14D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306C641">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p>
        </w:tc>
        <w:tc>
          <w:tcPr>
            <w:tcW w:w="1544" w:type="dxa"/>
            <w:vAlign w:val="center"/>
          </w:tcPr>
          <w:p w14:paraId="3767C638">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投标有效期</w:t>
            </w:r>
          </w:p>
        </w:tc>
        <w:tc>
          <w:tcPr>
            <w:tcW w:w="6867" w:type="dxa"/>
            <w:vAlign w:val="center"/>
          </w:tcPr>
          <w:p w14:paraId="091EC49D">
            <w:pPr>
              <w:tabs>
                <w:tab w:val="left" w:pos="3780"/>
              </w:tabs>
              <w:spacing w:line="440" w:lineRule="exact"/>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highlight w:val="none"/>
              </w:rPr>
              <w:t>投标有效期：</w:t>
            </w:r>
            <w:r>
              <w:rPr>
                <w:rFonts w:hint="eastAsia" w:asciiTheme="majorEastAsia" w:hAnsiTheme="majorEastAsia" w:eastAsiaTheme="majorEastAsia" w:cstheme="majorEastAsia"/>
                <w:color w:val="auto"/>
                <w:sz w:val="24"/>
                <w:highlight w:val="none"/>
              </w:rPr>
              <w:t>投标有效期为从提交投标文件的截止之日起90天。</w:t>
            </w:r>
            <w:r>
              <w:rPr>
                <w:rFonts w:hint="eastAsia" w:asciiTheme="majorEastAsia" w:hAnsiTheme="majorEastAsia" w:eastAsiaTheme="majorEastAsia" w:cstheme="majorEastAsia"/>
                <w:b/>
                <w:color w:val="auto"/>
                <w:sz w:val="24"/>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tc>
      </w:tr>
      <w:tr w14:paraId="509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3154656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5</w:t>
            </w:r>
          </w:p>
        </w:tc>
        <w:tc>
          <w:tcPr>
            <w:tcW w:w="1544" w:type="dxa"/>
            <w:vAlign w:val="center"/>
          </w:tcPr>
          <w:p w14:paraId="5491F85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投标报价</w:t>
            </w:r>
          </w:p>
        </w:tc>
        <w:tc>
          <w:tcPr>
            <w:tcW w:w="6867" w:type="dxa"/>
            <w:vAlign w:val="center"/>
          </w:tcPr>
          <w:p w14:paraId="176A8E3E">
            <w:pPr>
              <w:spacing w:line="460" w:lineRule="exact"/>
              <w:ind w:firstLine="0" w:firstLineChars="0"/>
              <w:rPr>
                <w:rFonts w:asciiTheme="minorEastAsia" w:hAnsiTheme="minorEastAsia" w:eastAsiaTheme="minorEastAsia" w:cstheme="minorEastAsia"/>
                <w:b/>
                <w:sz w:val="24"/>
                <w:szCs w:val="24"/>
                <w:u w:val="thick"/>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本次投标报价为人民币报价，超过最高限价的作无效标处理</w:t>
            </w:r>
            <w:r>
              <w:rPr>
                <w:rFonts w:hint="eastAsia" w:asciiTheme="minorEastAsia" w:hAnsiTheme="minorEastAsia" w:eastAsiaTheme="minorEastAsia" w:cstheme="minorEastAsia"/>
                <w:b/>
                <w:bCs/>
                <w:sz w:val="24"/>
                <w:szCs w:val="24"/>
              </w:rPr>
              <w:t>。</w:t>
            </w:r>
          </w:p>
          <w:p w14:paraId="171575B7">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7F8FB53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投标报价应按不同费用类别分开填写，具体详见“投标文件格式”。</w:t>
            </w:r>
          </w:p>
          <w:p w14:paraId="36A377C0">
            <w:pPr>
              <w:spacing w:line="460" w:lineRule="exact"/>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所投标项只允许有一个报价，不接受有选择报价的投标文件</w:t>
            </w:r>
            <w:r>
              <w:rPr>
                <w:rFonts w:hint="eastAsia" w:asciiTheme="minorEastAsia" w:hAnsiTheme="minorEastAsia" w:eastAsiaTheme="minorEastAsia" w:cstheme="minorEastAsia"/>
                <w:b/>
                <w:sz w:val="24"/>
                <w:szCs w:val="24"/>
              </w:rPr>
              <w:t>。</w:t>
            </w:r>
          </w:p>
        </w:tc>
      </w:tr>
      <w:tr w14:paraId="69E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2B8CF75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6</w:t>
            </w:r>
          </w:p>
        </w:tc>
        <w:tc>
          <w:tcPr>
            <w:tcW w:w="1544" w:type="dxa"/>
            <w:vAlign w:val="center"/>
          </w:tcPr>
          <w:p w14:paraId="745830E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信用记录</w:t>
            </w:r>
          </w:p>
        </w:tc>
        <w:tc>
          <w:tcPr>
            <w:tcW w:w="6867" w:type="dxa"/>
            <w:vAlign w:val="center"/>
          </w:tcPr>
          <w:p w14:paraId="609994FC">
            <w:pPr>
              <w:tabs>
                <w:tab w:val="left" w:pos="3780"/>
              </w:tabs>
              <w:spacing w:line="440" w:lineRule="exact"/>
              <w:ind w:firstLine="0" w:firstLineChars="0"/>
              <w:jc w:val="left"/>
              <w:rPr>
                <w:rFonts w:ascii="宋体" w:hAnsi="宋体" w:cs="宋体"/>
                <w:sz w:val="24"/>
                <w:szCs w:val="24"/>
              </w:rPr>
            </w:pPr>
            <w:r>
              <w:rPr>
                <w:rFonts w:hint="eastAsia" w:ascii="宋体" w:hAnsi="宋体" w:cs="宋体"/>
                <w:sz w:val="24"/>
                <w:szCs w:val="24"/>
              </w:rPr>
              <w:t>根据相关文件，通过“信用中国”网站</w:t>
            </w:r>
            <w:r>
              <w:rPr>
                <w:rFonts w:hint="eastAsia" w:ascii="宋体" w:hAnsi="宋体" w:cs="宋体"/>
                <w:sz w:val="24"/>
                <w:szCs w:val="24"/>
                <w:lang w:eastAsia="zh-CN"/>
              </w:rPr>
              <w:t>（</w:t>
            </w:r>
            <w:r>
              <w:rPr>
                <w:rFonts w:hint="eastAsia" w:ascii="宋体" w:hAnsi="宋体" w:cs="宋体"/>
                <w:sz w:val="24"/>
                <w:szCs w:val="24"/>
              </w:rPr>
              <w:t>www.</w:t>
            </w:r>
            <w:r>
              <w:rPr>
                <w:rFonts w:hint="eastAsia" w:ascii="宋体" w:hAnsi="宋体" w:cs="宋体"/>
                <w:bCs/>
                <w:sz w:val="24"/>
                <w:szCs w:val="24"/>
              </w:rPr>
              <w:t>creditchina</w:t>
            </w:r>
            <w:r>
              <w:rPr>
                <w:rFonts w:hint="eastAsia" w:ascii="宋体" w:hAnsi="宋体" w:cs="宋体"/>
                <w:sz w:val="24"/>
                <w:szCs w:val="24"/>
              </w:rPr>
              <w:t>.gov.cn）、中国政府采购网（www.ccgp.gov.cn），以开标当日网页查询记录为准。对列入失信被执行人、重大税收违法案件当事人名单、采购严重违法失信行为记录名单的供应商，</w:t>
            </w:r>
            <w:r>
              <w:rPr>
                <w:rFonts w:hint="eastAsia" w:ascii="宋体" w:hAnsi="宋体" w:cs="宋体"/>
                <w:b/>
                <w:sz w:val="24"/>
                <w:szCs w:val="24"/>
              </w:rPr>
              <w:t>其投标将作无效标处理</w:t>
            </w:r>
            <w:r>
              <w:rPr>
                <w:rFonts w:hint="eastAsia" w:ascii="宋体" w:hAnsi="宋体" w:cs="宋体"/>
                <w:sz w:val="24"/>
                <w:szCs w:val="24"/>
              </w:rPr>
              <w:t>。</w:t>
            </w:r>
          </w:p>
        </w:tc>
      </w:tr>
      <w:tr w14:paraId="247E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7591BAF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7</w:t>
            </w:r>
          </w:p>
        </w:tc>
        <w:tc>
          <w:tcPr>
            <w:tcW w:w="1544" w:type="dxa"/>
            <w:vAlign w:val="center"/>
          </w:tcPr>
          <w:p w14:paraId="7DC76CD2">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转包与分包</w:t>
            </w:r>
          </w:p>
        </w:tc>
        <w:tc>
          <w:tcPr>
            <w:tcW w:w="6867" w:type="dxa"/>
            <w:vAlign w:val="center"/>
          </w:tcPr>
          <w:p w14:paraId="6CEC215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086FC654">
            <w:pPr>
              <w:tabs>
                <w:tab w:val="left" w:pos="3780"/>
              </w:tabs>
              <w:spacing w:line="440" w:lineRule="exact"/>
              <w:ind w:firstLine="0" w:firstLineChars="0"/>
              <w:rPr>
                <w:rFonts w:ascii="宋体" w:hAnsi="宋体" w:cs="宋体"/>
                <w:kern w:val="0"/>
                <w:sz w:val="24"/>
                <w:szCs w:val="24"/>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r>
              <w:rPr>
                <w:rFonts w:hint="eastAsia" w:ascii="仿宋" w:hAnsi="仿宋" w:eastAsia="仿宋" w:cs="仿宋"/>
                <w:color w:val="auto"/>
                <w:sz w:val="24"/>
                <w:highlight w:val="none"/>
              </w:rPr>
              <w:t>。</w:t>
            </w:r>
          </w:p>
        </w:tc>
      </w:tr>
      <w:tr w14:paraId="020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vAlign w:val="center"/>
          </w:tcPr>
          <w:p w14:paraId="60ED96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8</w:t>
            </w:r>
          </w:p>
        </w:tc>
        <w:tc>
          <w:tcPr>
            <w:tcW w:w="1544" w:type="dxa"/>
            <w:vAlign w:val="center"/>
          </w:tcPr>
          <w:p w14:paraId="1565DCAD">
            <w:pPr>
              <w:tabs>
                <w:tab w:val="left" w:pos="3780"/>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现场踏勘</w:t>
            </w:r>
          </w:p>
        </w:tc>
        <w:tc>
          <w:tcPr>
            <w:tcW w:w="6867" w:type="dxa"/>
            <w:vAlign w:val="center"/>
          </w:tcPr>
          <w:p w14:paraId="7FB48D22">
            <w:pPr>
              <w:tabs>
                <w:tab w:val="left" w:pos="3780"/>
              </w:tabs>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不集中组织。供应商</w:t>
            </w:r>
            <w:r>
              <w:rPr>
                <w:rFonts w:hint="eastAsia" w:ascii="宋体" w:hAnsi="宋体" w:eastAsia="宋体" w:cs="宋体"/>
                <w:sz w:val="24"/>
                <w:szCs w:val="24"/>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自负</w:t>
            </w:r>
            <w:r>
              <w:rPr>
                <w:rFonts w:hint="eastAsia" w:ascii="宋体" w:hAnsi="宋体" w:eastAsia="宋体" w:cs="宋体"/>
                <w:sz w:val="24"/>
                <w:szCs w:val="24"/>
                <w:lang w:eastAsia="zh-CN"/>
              </w:rPr>
              <w:t>。</w:t>
            </w:r>
          </w:p>
        </w:tc>
      </w:tr>
      <w:tr w14:paraId="09B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Align w:val="center"/>
          </w:tcPr>
          <w:p w14:paraId="1EAFEC8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9</w:t>
            </w:r>
          </w:p>
        </w:tc>
        <w:tc>
          <w:tcPr>
            <w:tcW w:w="1544" w:type="dxa"/>
            <w:vAlign w:val="center"/>
          </w:tcPr>
          <w:p w14:paraId="5CF6E1C4">
            <w:pPr>
              <w:autoSpaceDE w:val="0"/>
              <w:autoSpaceDN w:val="0"/>
              <w:snapToGrid w:val="0"/>
              <w:spacing w:line="440" w:lineRule="exact"/>
              <w:ind w:firstLine="0" w:firstLineChars="0"/>
              <w:jc w:val="center"/>
              <w:textAlignment w:val="bottom"/>
              <w:rPr>
                <w:rFonts w:ascii="宋体" w:hAnsi="宋体" w:cs="宋体"/>
                <w:bCs/>
                <w:sz w:val="24"/>
                <w:szCs w:val="24"/>
              </w:rPr>
            </w:pPr>
            <w:r>
              <w:rPr>
                <w:rFonts w:hint="eastAsia" w:ascii="宋体" w:hAnsi="宋体" w:cs="宋体"/>
                <w:sz w:val="24"/>
                <w:szCs w:val="24"/>
              </w:rPr>
              <w:t>样品</w:t>
            </w:r>
          </w:p>
        </w:tc>
        <w:tc>
          <w:tcPr>
            <w:tcW w:w="6867" w:type="dxa"/>
            <w:vAlign w:val="center"/>
          </w:tcPr>
          <w:p w14:paraId="7A385327">
            <w:pPr>
              <w:adjustRightInd w:val="0"/>
              <w:spacing w:line="440" w:lineRule="exact"/>
              <w:ind w:firstLine="0" w:firstLineChars="0"/>
              <w:rPr>
                <w:rFonts w:ascii="宋体" w:hAnsi="宋体" w:cs="宋体"/>
                <w:b/>
                <w:sz w:val="24"/>
                <w:szCs w:val="24"/>
              </w:rPr>
            </w:pPr>
            <w:r>
              <w:rPr>
                <w:rFonts w:hint="eastAsia" w:ascii="宋体" w:hAnsi="宋体" w:cs="宋体"/>
                <w:b/>
                <w:sz w:val="24"/>
                <w:szCs w:val="24"/>
              </w:rPr>
              <w:t>样品提供：</w:t>
            </w:r>
          </w:p>
          <w:p w14:paraId="086C846A">
            <w:pPr>
              <w:adjustRightInd w:val="0"/>
              <w:spacing w:line="440" w:lineRule="exact"/>
              <w:ind w:firstLine="0" w:firstLineChars="0"/>
              <w:rPr>
                <w:rFonts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A</w:t>
            </w:r>
            <w:r>
              <w:rPr>
                <w:rFonts w:hint="eastAsia" w:ascii="宋体" w:hAnsi="宋体" w:cs="宋体"/>
                <w:sz w:val="24"/>
                <w:szCs w:val="24"/>
              </w:rPr>
              <w:t>不要求提供。</w:t>
            </w:r>
          </w:p>
          <w:p w14:paraId="108E88C3">
            <w:pPr>
              <w:adjustRightInd w:val="0"/>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B要求提供，</w:t>
            </w:r>
          </w:p>
          <w:p w14:paraId="7E3B9366">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napToGrid w:val="0"/>
                <w:kern w:val="28"/>
                <w:sz w:val="24"/>
                <w:szCs w:val="24"/>
              </w:rPr>
              <w:t>样品：</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2F763921">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napToGrid w:val="0"/>
                <w:kern w:val="28"/>
                <w:sz w:val="24"/>
                <w:szCs w:val="24"/>
              </w:rPr>
              <w:t>样品制作的标准和要求：</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72FA01B8">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（3）样品的评审方法以及评审标准</w:t>
            </w:r>
            <w:r>
              <w:rPr>
                <w:rFonts w:hint="eastAsia" w:ascii="宋体" w:hAnsi="宋体" w:cs="宋体"/>
                <w:snapToGrid w:val="0"/>
                <w:kern w:val="28"/>
                <w:sz w:val="24"/>
                <w:szCs w:val="24"/>
              </w:rPr>
              <w:t>：详见</w:t>
            </w:r>
            <w:r>
              <w:rPr>
                <w:rFonts w:hint="eastAsia" w:ascii="宋体" w:hAnsi="宋体" w:cs="宋体"/>
                <w:sz w:val="24"/>
                <w:szCs w:val="24"/>
                <w:u w:val="single"/>
              </w:rPr>
              <w:t>评标办法</w:t>
            </w:r>
            <w:r>
              <w:rPr>
                <w:rFonts w:hint="eastAsia" w:ascii="宋体" w:hAnsi="宋体" w:cs="宋体"/>
                <w:kern w:val="0"/>
                <w:sz w:val="24"/>
                <w:szCs w:val="24"/>
              </w:rPr>
              <w:t>；</w:t>
            </w:r>
          </w:p>
          <w:p w14:paraId="372D6812">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（4）是否需要随样品提交检测报告：</w:t>
            </w:r>
            <w:r>
              <w:rPr>
                <w:rFonts w:hint="eastAsia" w:ascii="宋体" w:hAnsi="宋体" w:cs="宋体"/>
                <w:kern w:val="0"/>
                <w:sz w:val="24"/>
                <w:szCs w:val="24"/>
                <w:lang w:eastAsia="zh-CN"/>
              </w:rPr>
              <w:t>□</w:t>
            </w:r>
            <w:r>
              <w:rPr>
                <w:rFonts w:hint="eastAsia" w:ascii="宋体" w:hAnsi="宋体" w:cs="宋体"/>
                <w:kern w:val="0"/>
                <w:sz w:val="24"/>
                <w:szCs w:val="24"/>
              </w:rPr>
              <w:t>否；□是，检测机构的要求</w:t>
            </w:r>
            <w:r>
              <w:rPr>
                <w:rFonts w:hint="eastAsia" w:ascii="宋体" w:hAnsi="宋体" w:cs="宋体"/>
                <w:sz w:val="24"/>
                <w:szCs w:val="24"/>
              </w:rPr>
              <w:t>：</w:t>
            </w:r>
            <w:r>
              <w:rPr>
                <w:rFonts w:hint="eastAsia" w:ascii="宋体" w:hAnsi="宋体" w:cs="宋体"/>
                <w:sz w:val="24"/>
                <w:szCs w:val="24"/>
                <w:u w:val="single"/>
              </w:rPr>
              <w:t xml:space="preserve"> / </w:t>
            </w:r>
            <w:r>
              <w:rPr>
                <w:rFonts w:hint="eastAsia" w:ascii="宋体" w:hAnsi="宋体" w:cs="宋体"/>
                <w:kern w:val="0"/>
                <w:sz w:val="24"/>
                <w:szCs w:val="24"/>
              </w:rPr>
              <w:t>；检测内容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kern w:val="0"/>
                <w:sz w:val="24"/>
                <w:szCs w:val="24"/>
              </w:rPr>
              <w:t>。</w:t>
            </w:r>
          </w:p>
          <w:p w14:paraId="0A143DC4">
            <w:pPr>
              <w:adjustRightInd w:val="0"/>
              <w:spacing w:line="440" w:lineRule="exact"/>
              <w:ind w:firstLine="0" w:firstLineChars="0"/>
              <w:rPr>
                <w:rFonts w:ascii="宋体" w:hAnsi="宋体" w:cs="宋体"/>
                <w:sz w:val="24"/>
                <w:szCs w:val="24"/>
              </w:rPr>
            </w:pPr>
            <w:r>
              <w:rPr>
                <w:rFonts w:hint="eastAsia" w:ascii="宋体" w:hAnsi="宋体" w:cs="宋体"/>
                <w:sz w:val="24"/>
                <w:szCs w:val="24"/>
              </w:rPr>
              <w:t>（</w:t>
            </w:r>
            <w:r>
              <w:rPr>
                <w:rFonts w:hint="eastAsia" w:ascii="宋体" w:hAnsi="宋体" w:cs="宋体"/>
                <w:sz w:val="24"/>
                <w:szCs w:val="24"/>
                <w:highlight w:val="none"/>
              </w:rPr>
              <w:t>5）提供样品的时间：</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；地点：</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；联系人：</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，联系电话：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请投</w:t>
            </w:r>
            <w:r>
              <w:rPr>
                <w:rFonts w:hint="eastAsia" w:ascii="宋体" w:hAnsi="宋体" w:cs="宋体"/>
                <w:sz w:val="24"/>
                <w:szCs w:val="24"/>
              </w:rPr>
              <w:t>标人在上述时间内提供样品并按规定位置安装完毕。超过截止时间的，采购人或采购代理机构将不予接收，并将清场并封闭样品现场。</w:t>
            </w:r>
          </w:p>
          <w:p w14:paraId="45083D43">
            <w:pPr>
              <w:adjustRightInd w:val="0"/>
              <w:spacing w:line="440" w:lineRule="exact"/>
              <w:ind w:firstLine="0" w:firstLineChars="0"/>
              <w:rPr>
                <w:rFonts w:hint="eastAsia" w:ascii="宋体" w:hAnsi="宋体" w:cs="宋体"/>
                <w:sz w:val="24"/>
                <w:szCs w:val="24"/>
              </w:rPr>
            </w:pPr>
            <w:r>
              <w:rPr>
                <w:rFonts w:hint="eastAsia" w:ascii="宋体" w:hAnsi="宋体" w:cs="宋体"/>
                <w:sz w:val="24"/>
                <w:szCs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F379B3">
            <w:pPr>
              <w:autoSpaceDE w:val="0"/>
              <w:autoSpaceDN w:val="0"/>
              <w:adjustRightInd w:val="0"/>
              <w:spacing w:line="440" w:lineRule="exact"/>
              <w:ind w:firstLine="0" w:firstLineChars="0"/>
              <w:jc w:val="left"/>
              <w:rPr>
                <w:rFonts w:ascii="宋体" w:hAnsi="宋体" w:cs="宋体"/>
                <w:sz w:val="24"/>
                <w:szCs w:val="24"/>
              </w:rPr>
            </w:pPr>
            <w:r>
              <w:rPr>
                <w:rFonts w:hint="eastAsia" w:ascii="宋体" w:hAnsi="宋体" w:cs="宋体"/>
                <w:sz w:val="24"/>
                <w:szCs w:val="24"/>
              </w:rPr>
              <w:t>（7）制作、运输、安装和保管样品所发生的一切费用由投标人自理。</w:t>
            </w:r>
          </w:p>
        </w:tc>
      </w:tr>
      <w:tr w14:paraId="7060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800" w:type="dxa"/>
            <w:vAlign w:val="center"/>
          </w:tcPr>
          <w:p w14:paraId="6C309AD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10</w:t>
            </w:r>
          </w:p>
        </w:tc>
        <w:tc>
          <w:tcPr>
            <w:tcW w:w="1544" w:type="dxa"/>
            <w:vAlign w:val="center"/>
          </w:tcPr>
          <w:p w14:paraId="01668873">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投标保证金</w:t>
            </w:r>
          </w:p>
        </w:tc>
        <w:tc>
          <w:tcPr>
            <w:tcW w:w="6867" w:type="dxa"/>
            <w:vAlign w:val="center"/>
          </w:tcPr>
          <w:p w14:paraId="290B8189">
            <w:pPr>
              <w:tabs>
                <w:tab w:val="left" w:pos="3780"/>
              </w:tabs>
              <w:spacing w:line="440" w:lineRule="exact"/>
              <w:ind w:firstLine="0" w:firstLineChars="0"/>
              <w:rPr>
                <w:rFonts w:ascii="宋体" w:hAnsi="宋体" w:cs="宋体"/>
                <w:sz w:val="24"/>
                <w:szCs w:val="24"/>
                <w:highlight w:val="none"/>
              </w:rPr>
            </w:pPr>
            <w:r>
              <w:rPr>
                <w:rFonts w:hint="eastAsia" w:ascii="宋体" w:hAnsi="宋体" w:cs="宋体"/>
                <w:bCs/>
                <w:sz w:val="24"/>
                <w:szCs w:val="24"/>
              </w:rPr>
              <w:t>1.</w:t>
            </w:r>
            <w:r>
              <w:rPr>
                <w:rFonts w:hint="eastAsia" w:ascii="宋体" w:hAnsi="宋体" w:cs="宋体"/>
                <w:b/>
                <w:bCs/>
                <w:sz w:val="24"/>
                <w:szCs w:val="24"/>
                <w:highlight w:val="none"/>
              </w:rPr>
              <w:t>投标保证金：人民币</w:t>
            </w:r>
            <w:r>
              <w:rPr>
                <w:rFonts w:hint="eastAsia" w:ascii="宋体" w:hAnsi="宋体" w:cs="宋体"/>
                <w:b/>
                <w:bCs/>
                <w:sz w:val="24"/>
                <w:szCs w:val="24"/>
                <w:highlight w:val="none"/>
                <w:lang w:val="en-US" w:eastAsia="zh-CN"/>
              </w:rPr>
              <w:t>35000</w:t>
            </w:r>
            <w:r>
              <w:rPr>
                <w:rFonts w:hint="eastAsia" w:ascii="宋体" w:hAnsi="宋体" w:cs="宋体"/>
                <w:b/>
                <w:bCs/>
                <w:sz w:val="24"/>
                <w:szCs w:val="24"/>
                <w:highlight w:val="none"/>
              </w:rPr>
              <w:t>.00元（</w:t>
            </w:r>
            <w:r>
              <w:rPr>
                <w:rFonts w:hint="eastAsia" w:ascii="宋体" w:hAnsi="宋体" w:cs="宋体"/>
                <w:b/>
                <w:bCs/>
                <w:sz w:val="24"/>
                <w:szCs w:val="24"/>
                <w:highlight w:val="none"/>
                <w:lang w:val="en-US" w:eastAsia="zh-CN"/>
              </w:rPr>
              <w:t>叁万伍仟</w:t>
            </w:r>
            <w:r>
              <w:rPr>
                <w:rFonts w:hint="eastAsia" w:ascii="宋体" w:hAnsi="宋体" w:cs="宋体"/>
                <w:b/>
                <w:bCs/>
                <w:sz w:val="24"/>
                <w:szCs w:val="24"/>
                <w:highlight w:val="none"/>
                <w:lang w:eastAsia="zh-CN"/>
              </w:rPr>
              <w:t>元</w:t>
            </w:r>
            <w:r>
              <w:rPr>
                <w:rFonts w:hint="eastAsia" w:ascii="宋体" w:hAnsi="宋体" w:cs="宋体"/>
                <w:b/>
                <w:bCs/>
                <w:sz w:val="24"/>
                <w:szCs w:val="24"/>
                <w:highlight w:val="none"/>
              </w:rPr>
              <w:t>整）</w:t>
            </w:r>
          </w:p>
          <w:p w14:paraId="5FCD9B9D">
            <w:pPr>
              <w:adjustRightInd w:val="0"/>
              <w:snapToGrid w:val="0"/>
              <w:spacing w:line="500" w:lineRule="exact"/>
              <w:ind w:firstLine="0" w:firstLineChars="0"/>
              <w:rPr>
                <w:rFonts w:ascii="宋体" w:hAnsi="宋体" w:cs="宋体"/>
                <w:sz w:val="24"/>
                <w:szCs w:val="24"/>
                <w:highlight w:val="none"/>
              </w:rPr>
            </w:pPr>
            <w:r>
              <w:rPr>
                <w:rFonts w:hint="eastAsia" w:ascii="宋体" w:hAnsi="宋体" w:cs="宋体"/>
                <w:sz w:val="24"/>
                <w:szCs w:val="24"/>
                <w:highlight w:val="none"/>
              </w:rPr>
              <w:t>投标人应于202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日16：00时前将投标保证金以电汇、转账、网上银行交至</w:t>
            </w:r>
            <w:r>
              <w:rPr>
                <w:rFonts w:hint="eastAsia" w:asciiTheme="minorEastAsia" w:hAnsiTheme="minorEastAsia" w:eastAsiaTheme="minorEastAsia" w:cstheme="minorEastAsia"/>
                <w:sz w:val="24"/>
                <w:szCs w:val="24"/>
                <w:highlight w:val="none"/>
              </w:rPr>
              <w:t>浙</w:t>
            </w:r>
            <w:r>
              <w:rPr>
                <w:rFonts w:hint="eastAsia" w:ascii="宋体" w:hAnsi="宋体" w:cs="宋体"/>
                <w:bCs/>
                <w:sz w:val="24"/>
                <w:szCs w:val="24"/>
                <w:highlight w:val="none"/>
              </w:rPr>
              <w:t>江广通工程咨询有限公司嵊州分公司</w:t>
            </w:r>
            <w:r>
              <w:rPr>
                <w:rFonts w:hint="eastAsia" w:ascii="宋体" w:hAnsi="宋体" w:cs="宋体"/>
                <w:sz w:val="24"/>
                <w:szCs w:val="24"/>
                <w:highlight w:val="none"/>
              </w:rPr>
              <w:t>，投标保证金以到账时间为准。</w:t>
            </w:r>
            <w:r>
              <w:rPr>
                <w:rFonts w:hint="eastAsia" w:ascii="宋体" w:hAnsi="宋体" w:cs="宋体"/>
                <w:b/>
                <w:bCs/>
                <w:sz w:val="24"/>
                <w:szCs w:val="24"/>
                <w:highlight w:val="none"/>
              </w:rPr>
              <w:t>如因投标人自身原因，造成投标人保证金未及时到账的，一律视为不响应采购文件，投标无效。投标人的投标保证金必须从其基本账户转出。</w:t>
            </w:r>
          </w:p>
          <w:p w14:paraId="45D3B73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u w:val="single"/>
              </w:rPr>
              <w:t>浙</w:t>
            </w:r>
            <w:r>
              <w:rPr>
                <w:rFonts w:hint="eastAsia" w:ascii="宋体" w:hAnsi="宋体" w:cs="宋体"/>
                <w:bCs/>
                <w:sz w:val="24"/>
                <w:szCs w:val="24"/>
                <w:u w:val="single"/>
              </w:rPr>
              <w:t>江广通工程咨询有限公司嵊州分公司</w:t>
            </w:r>
          </w:p>
          <w:p w14:paraId="198BAC5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开户行：</w:t>
            </w:r>
            <w:r>
              <w:rPr>
                <w:rFonts w:hint="eastAsia" w:ascii="宋体" w:hAnsi="宋体" w:cs="宋体"/>
                <w:bCs/>
                <w:sz w:val="24"/>
                <w:szCs w:val="24"/>
                <w:u w:val="single"/>
              </w:rPr>
              <w:t>嵊州农商银行甘霖支行</w:t>
            </w:r>
          </w:p>
          <w:p w14:paraId="22BFB602">
            <w:pPr>
              <w:tabs>
                <w:tab w:val="left" w:pos="3780"/>
              </w:tabs>
              <w:spacing w:line="440" w:lineRule="exact"/>
              <w:ind w:firstLine="480"/>
              <w:rPr>
                <w:rFonts w:ascii="宋体" w:hAnsi="宋体" w:cs="宋体"/>
                <w:b/>
                <w:sz w:val="24"/>
                <w:szCs w:val="24"/>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u w:val="single"/>
              </w:rPr>
              <w:t>201000309849681</w:t>
            </w:r>
          </w:p>
          <w:p w14:paraId="6978C6E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2.投标人有下列情形之一的，投标保证金将不予退还：</w:t>
            </w:r>
          </w:p>
          <w:p w14:paraId="6978AE80">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（1）投标人在投标有效期内撤回投标文件的；</w:t>
            </w:r>
          </w:p>
          <w:p w14:paraId="729C4169">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（2）未按规定提交履约保证金的；</w:t>
            </w:r>
          </w:p>
          <w:p w14:paraId="261E048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（3）投标人在投标过程中弄虚作假，提供虚假材料的；</w:t>
            </w:r>
          </w:p>
          <w:p w14:paraId="0D816D63">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（4）中标供应商无正当理由不与采购人签订合同的；</w:t>
            </w:r>
          </w:p>
          <w:p w14:paraId="4D2E6E37">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（5）其他严重扰乱招投标程序的。</w:t>
            </w:r>
          </w:p>
        </w:tc>
      </w:tr>
      <w:tr w14:paraId="30E4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00" w:type="dxa"/>
            <w:vAlign w:val="center"/>
          </w:tcPr>
          <w:p w14:paraId="0BD880B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11</w:t>
            </w:r>
          </w:p>
        </w:tc>
        <w:tc>
          <w:tcPr>
            <w:tcW w:w="1544" w:type="dxa"/>
            <w:vAlign w:val="center"/>
          </w:tcPr>
          <w:p w14:paraId="4EA4F86D">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质疑与投诉</w:t>
            </w:r>
          </w:p>
        </w:tc>
        <w:tc>
          <w:tcPr>
            <w:tcW w:w="6867" w:type="dxa"/>
            <w:vAlign w:val="center"/>
          </w:tcPr>
          <w:p w14:paraId="04F3B33A">
            <w:pPr>
              <w:tabs>
                <w:tab w:val="left" w:pos="3780"/>
              </w:tabs>
              <w:spacing w:line="440" w:lineRule="exact"/>
              <w:ind w:firstLine="0" w:firstLineChars="0"/>
              <w:rPr>
                <w:rFonts w:ascii="宋体" w:hAnsi="宋体" w:cs="宋体"/>
                <w:bCs/>
                <w:sz w:val="24"/>
                <w:szCs w:val="24"/>
              </w:rPr>
            </w:pPr>
            <w:r>
              <w:rPr>
                <w:rFonts w:hint="eastAsia" w:ascii="宋体" w:hAnsi="宋体" w:cs="宋体"/>
                <w:spacing w:val="6"/>
                <w:kern w:val="1"/>
                <w:sz w:val="24"/>
                <w:szCs w:val="24"/>
              </w:rPr>
              <w:t>投标人依法获取招标文件后认为招标文件使自己的权益受到损害的</w:t>
            </w:r>
            <w:r>
              <w:rPr>
                <w:rFonts w:hint="eastAsia" w:ascii="宋体" w:hAnsi="宋体" w:cs="宋体"/>
                <w:bCs/>
                <w:sz w:val="24"/>
                <w:szCs w:val="24"/>
              </w:rPr>
              <w:t>，可以自收到招标文件之日（招标文件获取之日在招标文件公告期限届满之日后的以公告期限届满之日为准，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w:t>
            </w:r>
          </w:p>
        </w:tc>
      </w:tr>
      <w:tr w14:paraId="3D62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0" w:type="dxa"/>
            <w:vAlign w:val="center"/>
          </w:tcPr>
          <w:p w14:paraId="16D13D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12</w:t>
            </w:r>
          </w:p>
        </w:tc>
        <w:tc>
          <w:tcPr>
            <w:tcW w:w="1544" w:type="dxa"/>
            <w:vAlign w:val="center"/>
          </w:tcPr>
          <w:p w14:paraId="379BADBE">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开标时间</w:t>
            </w:r>
          </w:p>
          <w:p w14:paraId="596245C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和地点</w:t>
            </w:r>
          </w:p>
        </w:tc>
        <w:tc>
          <w:tcPr>
            <w:tcW w:w="6867" w:type="dxa"/>
            <w:vAlign w:val="center"/>
          </w:tcPr>
          <w:p w14:paraId="08D863AF">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FBB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728CF73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13</w:t>
            </w:r>
          </w:p>
        </w:tc>
        <w:tc>
          <w:tcPr>
            <w:tcW w:w="1544" w:type="dxa"/>
            <w:vAlign w:val="center"/>
          </w:tcPr>
          <w:p w14:paraId="133BCBB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投标截止</w:t>
            </w:r>
          </w:p>
          <w:p w14:paraId="69FD3F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时间</w:t>
            </w:r>
          </w:p>
        </w:tc>
        <w:tc>
          <w:tcPr>
            <w:tcW w:w="6867" w:type="dxa"/>
            <w:vAlign w:val="center"/>
          </w:tcPr>
          <w:p w14:paraId="4B8744E6">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B7D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vAlign w:val="center"/>
          </w:tcPr>
          <w:p w14:paraId="396D1EF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14</w:t>
            </w:r>
          </w:p>
        </w:tc>
        <w:tc>
          <w:tcPr>
            <w:tcW w:w="1544" w:type="dxa"/>
            <w:vAlign w:val="center"/>
          </w:tcPr>
          <w:p w14:paraId="5CE25293">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ADE9D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组成</w:t>
            </w:r>
          </w:p>
        </w:tc>
        <w:tc>
          <w:tcPr>
            <w:tcW w:w="6867" w:type="dxa"/>
            <w:vAlign w:val="center"/>
          </w:tcPr>
          <w:p w14:paraId="4F645ED8">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由“资格证明文件”、“商务技术文件”和“报价文件”三个部分组成。</w:t>
            </w:r>
          </w:p>
        </w:tc>
      </w:tr>
      <w:tr w14:paraId="1012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7397C67E">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15</w:t>
            </w:r>
          </w:p>
        </w:tc>
        <w:tc>
          <w:tcPr>
            <w:tcW w:w="1544" w:type="dxa"/>
            <w:vAlign w:val="center"/>
          </w:tcPr>
          <w:p w14:paraId="2126C34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投标文件的签章形式</w:t>
            </w:r>
          </w:p>
        </w:tc>
        <w:tc>
          <w:tcPr>
            <w:tcW w:w="6867" w:type="dxa"/>
            <w:vAlign w:val="center"/>
          </w:tcPr>
          <w:p w14:paraId="7A56F3C2">
            <w:pPr>
              <w:tabs>
                <w:tab w:val="left" w:pos="3780"/>
              </w:tabs>
              <w:spacing w:line="440" w:lineRule="exact"/>
              <w:ind w:firstLine="0" w:firstLineChars="0"/>
              <w:rPr>
                <w:rFonts w:ascii="宋体" w:hAnsi="宋体" w:cs="宋体"/>
                <w:b/>
                <w:bCs/>
                <w:kern w:val="0"/>
                <w:sz w:val="24"/>
                <w:szCs w:val="24"/>
                <w:highlight w:val="yellow"/>
              </w:rPr>
            </w:pPr>
            <w:r>
              <w:rPr>
                <w:rFonts w:hint="eastAsia" w:ascii="宋体" w:hAnsi="宋体" w:cs="宋体"/>
                <w:b/>
                <w:kern w:val="0"/>
                <w:sz w:val="24"/>
                <w:szCs w:val="24"/>
              </w:rPr>
              <w:t>☑</w:t>
            </w:r>
            <w:r>
              <w:rPr>
                <w:rFonts w:hint="eastAsia" w:ascii="宋体" w:hAnsi="宋体" w:cs="宋体"/>
                <w:b/>
                <w:kern w:val="0"/>
                <w:sz w:val="24"/>
                <w:szCs w:val="24"/>
                <w:u w:val="single"/>
              </w:rPr>
              <w:t>电子签章</w:t>
            </w:r>
            <w:r>
              <w:rPr>
                <w:rFonts w:hint="eastAsia" w:ascii="宋体" w:hAnsi="宋体" w:cs="宋体"/>
                <w:kern w:val="0"/>
                <w:sz w:val="24"/>
                <w:szCs w:val="24"/>
              </w:rPr>
              <w:t>。</w:t>
            </w:r>
            <w:r>
              <w:rPr>
                <w:rFonts w:hint="eastAsia" w:ascii="宋体" w:hAnsi="宋体" w:cs="宋体"/>
                <w:sz w:val="24"/>
                <w:szCs w:val="24"/>
              </w:rPr>
              <w:t>按《第二部分 投标</w:t>
            </w:r>
            <w:r>
              <w:rPr>
                <w:rFonts w:hint="eastAsia" w:ascii="宋体" w:hAnsi="宋体" w:cs="宋体"/>
                <w:bCs/>
                <w:sz w:val="24"/>
                <w:szCs w:val="24"/>
              </w:rPr>
              <w:t>须知</w:t>
            </w:r>
            <w:r>
              <w:rPr>
                <w:rFonts w:hint="eastAsia" w:ascii="宋体" w:hAnsi="宋体" w:cs="宋体"/>
                <w:sz w:val="24"/>
                <w:szCs w:val="24"/>
              </w:rPr>
              <w:t>》和《第六部分 投标文件格式》标注的要求进行盖章、签署（电子签章）。</w:t>
            </w:r>
          </w:p>
        </w:tc>
      </w:tr>
      <w:tr w14:paraId="389E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737DC8E6">
            <w:pPr>
              <w:autoSpaceDE w:val="0"/>
              <w:autoSpaceDN w:val="0"/>
              <w:snapToGrid w:val="0"/>
              <w:spacing w:line="400" w:lineRule="exact"/>
              <w:ind w:firstLine="240" w:firstLineChars="100"/>
              <w:textAlignment w:val="bottom"/>
              <w:rPr>
                <w:rFonts w:ascii="宋体" w:hAnsi="宋体" w:cs="宋体"/>
                <w:bCs/>
                <w:sz w:val="24"/>
                <w:szCs w:val="24"/>
              </w:rPr>
            </w:pPr>
            <w:r>
              <w:rPr>
                <w:rFonts w:hint="eastAsia" w:asciiTheme="minorEastAsia" w:hAnsiTheme="minorEastAsia" w:eastAsiaTheme="minorEastAsia" w:cstheme="minorEastAsia"/>
                <w:sz w:val="24"/>
                <w:szCs w:val="24"/>
              </w:rPr>
              <w:t>16</w:t>
            </w:r>
          </w:p>
        </w:tc>
        <w:tc>
          <w:tcPr>
            <w:tcW w:w="1544" w:type="dxa"/>
            <w:vAlign w:val="center"/>
          </w:tcPr>
          <w:p w14:paraId="17EE8F72">
            <w:pPr>
              <w:autoSpaceDE w:val="0"/>
              <w:autoSpaceDN w:val="0"/>
              <w:snapToGrid w:val="0"/>
              <w:spacing w:line="400" w:lineRule="exact"/>
              <w:ind w:firstLine="0" w:firstLineChars="0"/>
              <w:jc w:val="center"/>
              <w:textAlignment w:val="bottom"/>
              <w:rPr>
                <w:rFonts w:ascii="宋体" w:hAnsi="宋体" w:cs="宋体"/>
                <w:bCs/>
                <w:sz w:val="24"/>
                <w:szCs w:val="24"/>
                <w:highlight w:val="none"/>
              </w:rPr>
            </w:pPr>
            <w:r>
              <w:rPr>
                <w:rFonts w:hint="eastAsia"/>
                <w:b/>
                <w:bCs/>
                <w:sz w:val="24"/>
                <w:szCs w:val="28"/>
                <w:highlight w:val="none"/>
              </w:rPr>
              <w:t>特别说明</w:t>
            </w:r>
          </w:p>
        </w:tc>
        <w:tc>
          <w:tcPr>
            <w:tcW w:w="6867" w:type="dxa"/>
            <w:vAlign w:val="center"/>
          </w:tcPr>
          <w:p w14:paraId="20CF240A">
            <w:pPr>
              <w:pStyle w:val="47"/>
              <w:widowControl w:val="0"/>
              <w:autoSpaceDE w:val="0"/>
              <w:autoSpaceDN w:val="0"/>
              <w:snapToGrid w:val="0"/>
              <w:spacing w:line="288" w:lineRule="auto"/>
              <w:textAlignment w:val="bottom"/>
              <w:rPr>
                <w:rFonts w:ascii="宋体" w:hAnsi="宋体" w:cs="宋体"/>
                <w:b/>
                <w:kern w:val="0"/>
                <w:sz w:val="24"/>
                <w:szCs w:val="24"/>
                <w:highlight w:val="none"/>
              </w:rPr>
            </w:pPr>
            <w:r>
              <w:rPr>
                <w:rFonts w:hint="eastAsia" w:asciiTheme="minorEastAsia" w:hAnsiTheme="minorEastAsia" w:eastAsiaTheme="minorEastAsia" w:cstheme="minorEastAsia"/>
                <w:color w:val="auto"/>
                <w:szCs w:val="24"/>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433B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3E39B990">
            <w:pPr>
              <w:autoSpaceDE w:val="0"/>
              <w:autoSpaceDN w:val="0"/>
              <w:snapToGrid w:val="0"/>
              <w:spacing w:line="400" w:lineRule="exact"/>
              <w:ind w:firstLine="240" w:firstLineChars="100"/>
              <w:textAlignment w:val="bottom"/>
              <w:rPr>
                <w:rFonts w:ascii="宋体" w:hAnsi="宋体" w:cs="宋体"/>
                <w:bCs/>
                <w:sz w:val="24"/>
                <w:szCs w:val="24"/>
              </w:rPr>
            </w:pPr>
            <w:r>
              <w:rPr>
                <w:rFonts w:hint="eastAsia" w:asciiTheme="minorEastAsia" w:hAnsiTheme="minorEastAsia" w:eastAsiaTheme="minorEastAsia" w:cstheme="minorEastAsia"/>
                <w:sz w:val="24"/>
                <w:szCs w:val="24"/>
              </w:rPr>
              <w:t>17</w:t>
            </w:r>
          </w:p>
        </w:tc>
        <w:tc>
          <w:tcPr>
            <w:tcW w:w="1544" w:type="dxa"/>
            <w:vAlign w:val="center"/>
          </w:tcPr>
          <w:p w14:paraId="6CD70894">
            <w:pPr>
              <w:snapToGrid w:val="0"/>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方案讲解</w:t>
            </w:r>
          </w:p>
          <w:p w14:paraId="486B34C7">
            <w:pPr>
              <w:snapToGrid w:val="0"/>
              <w:ind w:firstLine="0" w:firstLineChars="0"/>
              <w:jc w:val="center"/>
              <w:rPr>
                <w:rFonts w:ascii="宋体" w:hAnsi="宋体" w:cs="宋体"/>
                <w:bCs/>
                <w:sz w:val="24"/>
                <w:szCs w:val="24"/>
              </w:rPr>
            </w:pPr>
            <w:r>
              <w:rPr>
                <w:rFonts w:hint="eastAsia" w:asciiTheme="minorEastAsia" w:hAnsiTheme="minorEastAsia" w:eastAsiaTheme="minorEastAsia" w:cstheme="minorEastAsia"/>
                <w:b/>
                <w:sz w:val="24"/>
                <w:szCs w:val="24"/>
              </w:rPr>
              <w:t>演示</w:t>
            </w:r>
          </w:p>
        </w:tc>
        <w:tc>
          <w:tcPr>
            <w:tcW w:w="6867" w:type="dxa"/>
            <w:vAlign w:val="center"/>
          </w:tcPr>
          <w:p w14:paraId="0463BB2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方案讲解演示</w:t>
            </w:r>
            <w:r>
              <w:rPr>
                <w:rFonts w:hint="eastAsia" w:ascii="宋体" w:hAnsi="宋体" w:eastAsia="宋体" w:cs="宋体"/>
                <w:b/>
                <w:color w:val="auto"/>
                <w:sz w:val="24"/>
                <w:szCs w:val="24"/>
                <w:highlight w:val="none"/>
              </w:rPr>
              <w:t>：</w:t>
            </w:r>
          </w:p>
          <w:p w14:paraId="0A4BF201">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1D6042DC">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B有方案讲解演示：</w:t>
            </w:r>
          </w:p>
          <w:p w14:paraId="01DA85D8">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分钟（编制时可根据项目情况进行调整），讲解次序以投标文件解密时间先后次序为准。</w:t>
            </w:r>
          </w:p>
          <w:p w14:paraId="0410410C">
            <w:pPr>
              <w:keepNext w:val="0"/>
              <w:keepLines w:val="0"/>
              <w:pageBreakBefore w:val="0"/>
              <w:widowControl w:val="0"/>
              <w:numPr>
                <w:ilvl w:val="0"/>
                <w:numId w:val="0"/>
              </w:numPr>
              <w:kinsoku/>
              <w:wordWrap/>
              <w:overflowPunct/>
              <w:topLinePunct w:val="0"/>
              <w:bidi w:val="0"/>
              <w:adjustRightInd w:val="0"/>
              <w:spacing w:line="440" w:lineRule="exact"/>
              <w:ind w:leftChars="20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0E15CED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方式一：</w:t>
            </w:r>
            <w:r>
              <w:rPr>
                <w:rFonts w:hint="eastAsia" w:ascii="宋体" w:hAnsi="宋体" w:eastAsia="宋体" w:cs="宋体"/>
                <w:color w:val="auto"/>
                <w:sz w:val="24"/>
                <w:szCs w:val="24"/>
                <w:highlight w:val="none"/>
                <w:lang w:val="zh-CN"/>
              </w:rPr>
              <w:t>乐采云平台在线讲解演示。乐采云平台在线讲解需供应商根据乐采云平台操作要求做好准备工作，提前完善软硬件配置环境。</w:t>
            </w:r>
          </w:p>
          <w:p w14:paraId="338DBFF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kern w:val="0"/>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讲解演示人员不超过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人</w:t>
            </w:r>
            <w:r>
              <w:rPr>
                <w:rFonts w:hint="eastAsia" w:ascii="宋体" w:hAnsi="宋体" w:eastAsia="宋体" w:cs="宋体"/>
                <w:color w:val="auto"/>
                <w:sz w:val="24"/>
                <w:szCs w:val="24"/>
                <w:highlight w:val="none"/>
                <w:lang w:val="zh-CN"/>
              </w:rPr>
              <w:t>（编制时可根据项目情况进行调整）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0BF6BFA5">
            <w:pPr>
              <w:snapToGrid w:val="0"/>
              <w:spacing w:line="288" w:lineRule="auto"/>
              <w:ind w:left="0" w:leftChars="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b/>
                <w:bCs/>
                <w:kern w:val="0"/>
                <w:sz w:val="24"/>
                <w:szCs w:val="24"/>
                <w:highlight w:val="none"/>
              </w:rPr>
              <w:t>方式三：</w:t>
            </w:r>
            <w:r>
              <w:rPr>
                <w:rFonts w:hint="eastAsia" w:ascii="宋体" w:hAnsi="宋体" w:eastAsia="宋体" w:cs="宋体"/>
                <w:kern w:val="0"/>
                <w:sz w:val="24"/>
                <w:szCs w:val="24"/>
                <w:highlight w:val="none"/>
              </w:rPr>
              <w:t>采用视频录制方式，用介质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U盘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储存快递或邮寄至代理机构（公告中列明的地址</w:t>
            </w:r>
            <w:r>
              <w:rPr>
                <w:rFonts w:hint="eastAsia" w:ascii="宋体" w:hAnsi="宋体" w:eastAsia="宋体" w:cs="宋体"/>
                <w:kern w:val="0"/>
                <w:sz w:val="24"/>
                <w:szCs w:val="24"/>
                <w:highlight w:val="none"/>
                <w:lang w:eastAsia="zh-CN"/>
              </w:rPr>
              <w:t>、</w:t>
            </w:r>
            <w:r>
              <w:rPr>
                <w:rFonts w:hint="eastAsia" w:ascii="宋体" w:hAnsi="宋体" w:cs="宋体"/>
                <w:b w:val="0"/>
                <w:bCs/>
                <w:kern w:val="0"/>
                <w:sz w:val="24"/>
                <w:szCs w:val="24"/>
              </w:rPr>
              <w:t>投标截止时间</w:t>
            </w:r>
            <w:r>
              <w:rPr>
                <w:rFonts w:hint="eastAsia" w:ascii="宋体" w:hAnsi="宋体" w:eastAsia="宋体" w:cs="宋体"/>
                <w:kern w:val="0"/>
                <w:sz w:val="24"/>
                <w:szCs w:val="24"/>
                <w:highlight w:val="none"/>
              </w:rPr>
              <w:t>），视频中演示人应出示身份证。</w:t>
            </w:r>
            <w:r>
              <w:rPr>
                <w:rFonts w:hint="eastAsia" w:ascii="宋体" w:hAnsi="宋体" w:eastAsia="宋体" w:cs="宋体"/>
                <w:b/>
                <w:bCs/>
                <w:kern w:val="0"/>
                <w:sz w:val="24"/>
                <w:szCs w:val="24"/>
                <w:highlight w:val="none"/>
              </w:rPr>
              <w:t>未派遣投标文件中的</w:t>
            </w:r>
            <w:r>
              <w:rPr>
                <w:rFonts w:hint="eastAsia" w:ascii="宋体" w:hAnsi="宋体" w:eastAsia="宋体" w:cs="宋体"/>
                <w:b/>
                <w:bCs/>
                <w:kern w:val="0"/>
                <w:sz w:val="24"/>
                <w:szCs w:val="24"/>
                <w:highlight w:val="none"/>
                <w:u w:val="single"/>
              </w:rPr>
              <w:t>项目组人员</w:t>
            </w:r>
            <w:r>
              <w:rPr>
                <w:rFonts w:hint="eastAsia" w:ascii="宋体" w:hAnsi="宋体" w:eastAsia="宋体" w:cs="宋体"/>
                <w:b/>
                <w:bCs/>
                <w:kern w:val="0"/>
                <w:sz w:val="24"/>
                <w:szCs w:val="24"/>
                <w:highlight w:val="none"/>
              </w:rPr>
              <w:t>进行演示讲解或未提供身份证明的，评分项不得分。</w:t>
            </w:r>
            <w:r>
              <w:rPr>
                <w:rFonts w:hint="eastAsia" w:ascii="宋体" w:hAnsi="宋体" w:eastAsia="宋体" w:cs="宋体"/>
                <w:kern w:val="0"/>
                <w:sz w:val="24"/>
                <w:szCs w:val="24"/>
                <w:highlight w:val="none"/>
              </w:rPr>
              <w:t>若因U盘损坏或打不开则按视为未提交。</w:t>
            </w:r>
          </w:p>
          <w:p w14:paraId="515C2CD6">
            <w:pPr>
              <w:snapToGrid w:val="0"/>
              <w:spacing w:line="288" w:lineRule="auto"/>
              <w:ind w:firstLine="0" w:firstLineChars="0"/>
              <w:contextualSpacing/>
              <w:rPr>
                <w:rFonts w:hint="eastAsia" w:ascii="宋体" w:hAnsi="宋体" w:eastAsia="宋体" w:cs="宋体"/>
                <w:sz w:val="24"/>
                <w:szCs w:val="24"/>
                <w:lang w:val="zh-CN"/>
              </w:rPr>
            </w:pPr>
            <w:r>
              <w:rPr>
                <w:rFonts w:hint="eastAsia" w:ascii="宋体" w:hAnsi="宋体" w:eastAsia="宋体" w:cs="宋体"/>
                <w:kern w:val="0"/>
                <w:sz w:val="24"/>
                <w:szCs w:val="24"/>
              </w:rPr>
              <w:t>☐</w:t>
            </w:r>
            <w:r>
              <w:rPr>
                <w:rFonts w:hint="eastAsia" w:ascii="宋体" w:hAnsi="宋体" w:eastAsia="宋体" w:cs="宋体"/>
                <w:b/>
                <w:bCs/>
                <w:kern w:val="0"/>
                <w:sz w:val="24"/>
                <w:szCs w:val="24"/>
              </w:rPr>
              <w:t>方式四：</w:t>
            </w:r>
            <w:r>
              <w:rPr>
                <w:rFonts w:hint="eastAsia" w:ascii="宋体" w:hAnsi="宋体" w:eastAsia="宋体" w:cs="宋体"/>
                <w:kern w:val="0"/>
                <w:sz w:val="24"/>
                <w:szCs w:val="24"/>
              </w:rPr>
              <w:t>采用现场钉钉直播演示的。开标后，演示人请加钉钉号：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0F5F95F0">
            <w:pPr>
              <w:snapToGrid w:val="0"/>
              <w:spacing w:line="288" w:lineRule="auto"/>
              <w:ind w:left="0" w:leftChars="0" w:firstLine="0" w:firstLineChars="0"/>
              <w:contextualSpacing/>
              <w:rPr>
                <w:rFonts w:hint="default" w:eastAsia="宋体"/>
                <w:lang w:val="en-US" w:eastAsia="zh-CN"/>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因供应商自身原因导致无法演示或者演示效果不理想的，责任自负。因平台原因导致本项目方案讲解演示环节无法顺利开展，</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《浙江省政府采购项目电子交易管理暂行办法》相关规定执行。</w:t>
            </w:r>
          </w:p>
        </w:tc>
      </w:tr>
      <w:tr w14:paraId="190F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A9D40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18</w:t>
            </w:r>
          </w:p>
        </w:tc>
        <w:tc>
          <w:tcPr>
            <w:tcW w:w="1544" w:type="dxa"/>
            <w:vAlign w:val="center"/>
          </w:tcPr>
          <w:p w14:paraId="43821FF5">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投标文件的形式</w:t>
            </w:r>
          </w:p>
        </w:tc>
        <w:tc>
          <w:tcPr>
            <w:tcW w:w="6867" w:type="dxa"/>
            <w:vAlign w:val="center"/>
          </w:tcPr>
          <w:p w14:paraId="4C46955D">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电子投标文件（包括“电子</w:t>
            </w:r>
            <w:r>
              <w:rPr>
                <w:rFonts w:hint="eastAsia" w:ascii="宋体" w:hAnsi="宋体" w:cs="宋体"/>
                <w:bCs/>
                <w:sz w:val="24"/>
                <w:szCs w:val="24"/>
              </w:rPr>
              <w:t>加密</w:t>
            </w:r>
            <w:r>
              <w:rPr>
                <w:rFonts w:hint="eastAsia" w:ascii="宋体" w:hAnsi="宋体" w:cs="宋体"/>
                <w:kern w:val="0"/>
                <w:sz w:val="24"/>
                <w:szCs w:val="24"/>
              </w:rPr>
              <w:t>投标文件”和“备份投标文件”，在投标文件编制完成后同时生成）：</w:t>
            </w:r>
          </w:p>
          <w:p w14:paraId="2BA8423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（1）“电子加密投标文件”是指通过“乐采云电子交易客户端”完成投标文件编制后生成并加密的数据电文形式的投标文件。</w:t>
            </w:r>
          </w:p>
          <w:p w14:paraId="2044F58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（2）“备份投标文件”是指与“电子加密投标文件”同时生成的以介质（U盘）存储的数据电文形式的电子文件（备份标书），其他方式编制的备份投标文件视为无效备份投标文件。</w:t>
            </w:r>
          </w:p>
        </w:tc>
      </w:tr>
      <w:tr w14:paraId="3EAE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09C20F4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19</w:t>
            </w:r>
          </w:p>
        </w:tc>
        <w:tc>
          <w:tcPr>
            <w:tcW w:w="1544" w:type="dxa"/>
            <w:vAlign w:val="center"/>
          </w:tcPr>
          <w:p w14:paraId="4742DA4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91709A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份数</w:t>
            </w:r>
          </w:p>
        </w:tc>
        <w:tc>
          <w:tcPr>
            <w:tcW w:w="6867" w:type="dxa"/>
            <w:vAlign w:val="center"/>
          </w:tcPr>
          <w:p w14:paraId="50D77EC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w:t>
            </w:r>
            <w:r>
              <w:rPr>
                <w:rFonts w:hint="eastAsia" w:ascii="宋体" w:hAnsi="宋体" w:cs="宋体"/>
                <w:bCs/>
                <w:sz w:val="24"/>
                <w:szCs w:val="24"/>
              </w:rPr>
              <w:t>在线</w:t>
            </w:r>
            <w:r>
              <w:rPr>
                <w:rFonts w:hint="eastAsia" w:ascii="宋体" w:hAnsi="宋体" w:cs="宋体"/>
                <w:kern w:val="0"/>
                <w:sz w:val="24"/>
                <w:szCs w:val="24"/>
              </w:rPr>
              <w:t>上传递交（一份）。</w:t>
            </w:r>
          </w:p>
          <w:p w14:paraId="5AB42DA8">
            <w:pPr>
              <w:tabs>
                <w:tab w:val="left" w:pos="3780"/>
              </w:tabs>
              <w:spacing w:line="440" w:lineRule="exact"/>
              <w:ind w:firstLine="0" w:firstLineChars="0"/>
              <w:rPr>
                <w:rFonts w:hint="eastAsia" w:ascii="宋体" w:hAnsi="宋体" w:cs="宋体"/>
                <w:kern w:val="0"/>
                <w:sz w:val="24"/>
                <w:szCs w:val="24"/>
              </w:rPr>
            </w:pPr>
            <w:r>
              <w:rPr>
                <w:rFonts w:hint="eastAsia" w:ascii="宋体" w:hAnsi="宋体" w:cs="宋体"/>
                <w:kern w:val="0"/>
                <w:sz w:val="24"/>
                <w:szCs w:val="24"/>
              </w:rPr>
              <w:t>（2）“备份投标文件”：密封包装后（建议以EMS、顺丰邮寄等形式）投标截止时间前（送达时间以采购组织机构实际签收时间为准）送达（一份）（邮寄地址：</w:t>
            </w:r>
            <w:r>
              <w:rPr>
                <w:rFonts w:hint="eastAsia" w:asciiTheme="minorEastAsia" w:hAnsiTheme="minorEastAsia" w:eastAsiaTheme="minorEastAsia" w:cstheme="minorEastAsia"/>
                <w:sz w:val="24"/>
                <w:szCs w:val="24"/>
              </w:rPr>
              <w:t>嵊州市文创园12幢108号</w:t>
            </w:r>
            <w:r>
              <w:rPr>
                <w:rFonts w:hint="eastAsia" w:ascii="宋体" w:hAnsi="宋体" w:cs="宋体"/>
                <w:kern w:val="1"/>
                <w:sz w:val="24"/>
                <w:szCs w:val="24"/>
              </w:rPr>
              <w:t>，</w:t>
            </w:r>
            <w:r>
              <w:rPr>
                <w:rFonts w:hint="eastAsia" w:asciiTheme="minorEastAsia" w:hAnsiTheme="minorEastAsia" w:eastAsiaTheme="minorEastAsia" w:cstheme="minorEastAsia"/>
                <w:sz w:val="24"/>
                <w:szCs w:val="24"/>
                <w:lang w:val="en-US" w:eastAsia="zh-CN"/>
              </w:rPr>
              <w:t>邢工</w:t>
            </w:r>
            <w:r>
              <w:rPr>
                <w:rFonts w:hint="eastAsia" w:ascii="宋体" w:hAnsi="宋体" w:cs="宋体"/>
                <w:kern w:val="0"/>
                <w:sz w:val="24"/>
                <w:szCs w:val="24"/>
              </w:rPr>
              <w:t>，</w:t>
            </w:r>
            <w:r>
              <w:rPr>
                <w:rFonts w:hint="eastAsia" w:asciiTheme="minorEastAsia" w:hAnsiTheme="minorEastAsia" w:eastAsiaTheme="minorEastAsia" w:cstheme="minorEastAsia"/>
                <w:sz w:val="24"/>
                <w:szCs w:val="24"/>
                <w:lang w:val="en-US" w:eastAsia="zh-CN"/>
              </w:rPr>
              <w:t>13819550710</w:t>
            </w:r>
            <w:r>
              <w:rPr>
                <w:rFonts w:hint="eastAsia" w:ascii="宋体" w:hAnsi="宋体" w:cs="宋体"/>
                <w:kern w:val="0"/>
                <w:sz w:val="24"/>
                <w:szCs w:val="24"/>
              </w:rPr>
              <w:t>）。</w:t>
            </w:r>
          </w:p>
          <w:p w14:paraId="57440A71">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（备份投标文件由投标人自愿提交，招标文件不作强制性要求）</w:t>
            </w:r>
          </w:p>
        </w:tc>
      </w:tr>
      <w:tr w14:paraId="2217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B402C59">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20</w:t>
            </w:r>
          </w:p>
        </w:tc>
        <w:tc>
          <w:tcPr>
            <w:tcW w:w="1544" w:type="dxa"/>
            <w:vAlign w:val="center"/>
          </w:tcPr>
          <w:p w14:paraId="5C927DE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电子加密投标文件的上传、递交</w:t>
            </w:r>
          </w:p>
        </w:tc>
        <w:tc>
          <w:tcPr>
            <w:tcW w:w="6867" w:type="dxa"/>
            <w:vAlign w:val="center"/>
          </w:tcPr>
          <w:p w14:paraId="07305B0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1.投标供应商应在投标截止时间前将“电子加密投标文件”成功上传递交至“乐采云平台</w:t>
            </w:r>
            <w:r>
              <w:rPr>
                <w:rFonts w:hint="eastAsia" w:ascii="宋体" w:hAnsi="宋体" w:cs="宋体"/>
                <w:spacing w:val="6"/>
                <w:kern w:val="0"/>
                <w:sz w:val="24"/>
                <w:szCs w:val="24"/>
              </w:rPr>
              <w:t>（www.lecaiyun.com）</w:t>
            </w:r>
            <w:r>
              <w:rPr>
                <w:rFonts w:hint="eastAsia" w:ascii="宋体" w:hAnsi="宋体" w:cs="宋体"/>
                <w:kern w:val="0"/>
                <w:sz w:val="24"/>
                <w:szCs w:val="24"/>
              </w:rPr>
              <w:t>”，否则投标无效。</w:t>
            </w:r>
          </w:p>
          <w:p w14:paraId="74A7BF30">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2.“电子加密</w:t>
            </w:r>
            <w:r>
              <w:rPr>
                <w:rFonts w:hint="eastAsia" w:ascii="宋体" w:hAnsi="宋体" w:cs="宋体"/>
                <w:bCs/>
                <w:sz w:val="24"/>
                <w:szCs w:val="24"/>
              </w:rPr>
              <w:t>投标</w:t>
            </w:r>
            <w:r>
              <w:rPr>
                <w:rFonts w:hint="eastAsia" w:ascii="宋体" w:hAnsi="宋体" w:cs="宋体"/>
                <w:kern w:val="0"/>
                <w:sz w:val="24"/>
                <w:szCs w:val="24"/>
              </w:rPr>
              <w:t>文件”成功上传递交后，供应商可自行打印投标文件接收回执。</w:t>
            </w:r>
          </w:p>
        </w:tc>
      </w:tr>
      <w:tr w14:paraId="2E99D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5" w:hRule="atLeast"/>
          <w:jc w:val="center"/>
        </w:trPr>
        <w:tc>
          <w:tcPr>
            <w:tcW w:w="800" w:type="dxa"/>
            <w:vAlign w:val="center"/>
          </w:tcPr>
          <w:p w14:paraId="6C93730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21</w:t>
            </w:r>
          </w:p>
        </w:tc>
        <w:tc>
          <w:tcPr>
            <w:tcW w:w="1544" w:type="dxa"/>
            <w:vAlign w:val="center"/>
          </w:tcPr>
          <w:p w14:paraId="57089A7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电子加密投标文件的解密和异常情况处理</w:t>
            </w:r>
          </w:p>
        </w:tc>
        <w:tc>
          <w:tcPr>
            <w:tcW w:w="6867" w:type="dxa"/>
            <w:vAlign w:val="center"/>
          </w:tcPr>
          <w:p w14:paraId="016B65FC">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1.开标后，采购组织机构将向各投标供应商发出“电子加密投标文件”的解密通知，各投标供应商代表应当在接到解密通知后30分钟内自行完成“电子加密投标文件”的在线解密。</w:t>
            </w:r>
          </w:p>
          <w:p w14:paraId="30B2E32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2.通过“</w:t>
            </w:r>
            <w:r>
              <w:rPr>
                <w:rFonts w:hint="eastAsia" w:ascii="宋体" w:hAnsi="宋体" w:cs="宋体"/>
                <w:spacing w:val="6"/>
                <w:kern w:val="0"/>
                <w:sz w:val="24"/>
                <w:szCs w:val="24"/>
              </w:rPr>
              <w:t>乐采云平台（www.lecaiyun.com）</w:t>
            </w:r>
            <w:r>
              <w:rPr>
                <w:rFonts w:hint="eastAsia" w:ascii="宋体" w:hAnsi="宋体" w:cs="宋体"/>
                <w:kern w:val="0"/>
                <w:sz w:val="24"/>
                <w:szCs w:val="24"/>
              </w:rPr>
              <w:t>”成功上传递交的“电子加密投标文件”无法按时解密，投标供应商如按规定递交了“备份投标文件”的，以“备份投标文件”为依据（由采购组织机构按“乐采云”操作规范将“备份投标文件”上传至“乐采云平台”，上传成功后，“电子加密投标文件”自动失效），否则视为投标文件撤回。</w:t>
            </w:r>
          </w:p>
          <w:p w14:paraId="4E9A5AC6">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3.投标截止时间前，投标供应商仅递交了“备份投标文件”而未将电子加密投标文件上传至“乐采云平台”的，投标无效。</w:t>
            </w:r>
          </w:p>
        </w:tc>
      </w:tr>
      <w:tr w14:paraId="20E3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7B846C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22</w:t>
            </w:r>
          </w:p>
        </w:tc>
        <w:tc>
          <w:tcPr>
            <w:tcW w:w="1544" w:type="dxa"/>
            <w:vAlign w:val="center"/>
          </w:tcPr>
          <w:p w14:paraId="56E6E2C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代理服务费</w:t>
            </w:r>
          </w:p>
        </w:tc>
        <w:tc>
          <w:tcPr>
            <w:tcW w:w="6867" w:type="dxa"/>
            <w:vAlign w:val="center"/>
          </w:tcPr>
          <w:p w14:paraId="79348AEA">
            <w:pPr>
              <w:pStyle w:val="47"/>
              <w:widowControl w:val="0"/>
              <w:autoSpaceDE w:val="0"/>
              <w:autoSpaceDN w:val="0"/>
              <w:snapToGrid w:val="0"/>
              <w:spacing w:line="288" w:lineRule="auto"/>
              <w:textAlignment w:val="bottom"/>
              <w:rPr>
                <w:rFonts w:hAnsi="宋体" w:cs="宋体"/>
                <w:color w:val="auto"/>
                <w:szCs w:val="24"/>
              </w:rPr>
            </w:pPr>
            <w:r>
              <w:rPr>
                <w:rFonts w:hint="eastAsia" w:hAnsi="宋体" w:cs="宋体"/>
                <w:color w:val="auto"/>
                <w:szCs w:val="24"/>
              </w:rPr>
              <w:t>1.本项目代理服务费按照以下标准收取（招标代理费按差额定率累进法计算</w:t>
            </w:r>
            <w:r>
              <w:rPr>
                <w:rFonts w:hint="eastAsia" w:hAnsi="宋体" w:cs="宋体"/>
                <w:color w:val="auto"/>
                <w:szCs w:val="24"/>
                <w:lang w:val="en-US" w:eastAsia="zh-CN"/>
              </w:rPr>
              <w:t>*60%</w:t>
            </w:r>
            <w:r>
              <w:rPr>
                <w:rFonts w:hint="eastAsia" w:hAnsi="宋体" w:cs="宋体"/>
                <w:color w:val="auto"/>
                <w:szCs w:val="24"/>
              </w:rPr>
              <w:t>），</w:t>
            </w:r>
            <w:r>
              <w:rPr>
                <w:rFonts w:hint="eastAsia" w:asciiTheme="minorEastAsia" w:hAnsiTheme="minorEastAsia" w:eastAsiaTheme="minorEastAsia" w:cstheme="minorEastAsia"/>
                <w:color w:val="auto"/>
                <w:szCs w:val="24"/>
              </w:rPr>
              <w:t>其他费用按实结算。</w:t>
            </w:r>
          </w:p>
          <w:tbl>
            <w:tblPr>
              <w:tblStyle w:val="27"/>
              <w:tblW w:w="5978" w:type="dxa"/>
              <w:tblInd w:w="91" w:type="dxa"/>
              <w:tblLayout w:type="fixed"/>
              <w:tblCellMar>
                <w:top w:w="0" w:type="dxa"/>
                <w:left w:w="108" w:type="dxa"/>
                <w:bottom w:w="0" w:type="dxa"/>
                <w:right w:w="108" w:type="dxa"/>
              </w:tblCellMar>
            </w:tblPr>
            <w:tblGrid>
              <w:gridCol w:w="2718"/>
              <w:gridCol w:w="1630"/>
              <w:gridCol w:w="1630"/>
            </w:tblGrid>
            <w:tr w14:paraId="6DCF5A7C">
              <w:tblPrEx>
                <w:tblCellMar>
                  <w:top w:w="0" w:type="dxa"/>
                  <w:left w:w="108" w:type="dxa"/>
                  <w:bottom w:w="0" w:type="dxa"/>
                  <w:right w:w="108" w:type="dxa"/>
                </w:tblCellMar>
              </w:tblPrEx>
              <w:trPr>
                <w:trHeight w:val="1013" w:hRule="atLeast"/>
              </w:trPr>
              <w:tc>
                <w:tcPr>
                  <w:tcW w:w="2718"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F9C8BE0">
                  <w:pPr>
                    <w:widowControl/>
                    <w:spacing w:line="440" w:lineRule="exact"/>
                    <w:ind w:firstLine="480"/>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 xml:space="preserve">        服务类型金额</w:t>
                  </w:r>
                </w:p>
                <w:p w14:paraId="29BABB0A">
                  <w:pPr>
                    <w:widowControl/>
                    <w:spacing w:line="440" w:lineRule="exact"/>
                    <w:jc w:val="left"/>
                    <w:textAlignment w:val="center"/>
                    <w:rPr>
                      <w:rFonts w:ascii="宋体" w:hAnsi="宋体" w:cs="宋体"/>
                      <w:sz w:val="24"/>
                      <w:szCs w:val="24"/>
                    </w:rPr>
                  </w:pPr>
                  <w:r>
                    <w:rPr>
                      <w:rFonts w:hint="eastAsia" w:ascii="宋体" w:hAnsi="宋体" w:cs="宋体"/>
                      <w:kern w:val="0"/>
                      <w:sz w:val="24"/>
                      <w:szCs w:val="24"/>
                      <w:lang w:bidi="ar"/>
                    </w:rPr>
                    <w:t xml:space="preserve">（万元）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C9F">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货物招标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56A6">
                  <w:pPr>
                    <w:widowControl/>
                    <w:spacing w:line="440" w:lineRule="exact"/>
                    <w:ind w:firstLine="0" w:firstLineChars="0"/>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服务招标</w:t>
                  </w:r>
                </w:p>
              </w:tc>
            </w:tr>
            <w:tr w14:paraId="3F5DA8EB">
              <w:tblPrEx>
                <w:tblCellMar>
                  <w:top w:w="0" w:type="dxa"/>
                  <w:left w:w="108" w:type="dxa"/>
                  <w:bottom w:w="0" w:type="dxa"/>
                  <w:right w:w="108" w:type="dxa"/>
                </w:tblCellMar>
              </w:tblPrEx>
              <w:trPr>
                <w:trHeight w:val="3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30A">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100以下</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C0C">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5A88">
                  <w:pPr>
                    <w:widowControl/>
                    <w:spacing w:line="440" w:lineRule="exact"/>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1.5%</w:t>
                  </w:r>
                </w:p>
              </w:tc>
            </w:tr>
            <w:tr w14:paraId="635C865A">
              <w:tblPrEx>
                <w:tblCellMar>
                  <w:top w:w="0" w:type="dxa"/>
                  <w:left w:w="108" w:type="dxa"/>
                  <w:bottom w:w="0" w:type="dxa"/>
                  <w:right w:w="108" w:type="dxa"/>
                </w:tblCellMar>
              </w:tblPrEx>
              <w:trPr>
                <w:trHeight w:val="3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3D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100-500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00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693F">
                  <w:pPr>
                    <w:widowControl/>
                    <w:spacing w:line="440" w:lineRule="exact"/>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0.8</w:t>
                  </w:r>
                  <w:r>
                    <w:rPr>
                      <w:rFonts w:hint="eastAsia" w:ascii="宋体" w:hAnsi="宋体" w:cs="宋体"/>
                      <w:kern w:val="0"/>
                      <w:sz w:val="24"/>
                      <w:szCs w:val="24"/>
                      <w:lang w:bidi="ar"/>
                    </w:rPr>
                    <w:t>%</w:t>
                  </w:r>
                </w:p>
              </w:tc>
            </w:tr>
            <w:tr w14:paraId="65EC1060">
              <w:tblPrEx>
                <w:tblCellMar>
                  <w:top w:w="0" w:type="dxa"/>
                  <w:left w:w="108" w:type="dxa"/>
                  <w:bottom w:w="0" w:type="dxa"/>
                  <w:right w:w="108" w:type="dxa"/>
                </w:tblCellMar>
              </w:tblPrEx>
              <w:trPr>
                <w:trHeight w:val="3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E564">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500-1000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B48">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0.8%</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309E">
                  <w:pPr>
                    <w:widowControl/>
                    <w:spacing w:line="440" w:lineRule="exact"/>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0.45</w:t>
                  </w:r>
                  <w:r>
                    <w:rPr>
                      <w:rFonts w:hint="eastAsia" w:ascii="宋体" w:hAnsi="宋体" w:cs="宋体"/>
                      <w:kern w:val="0"/>
                      <w:sz w:val="24"/>
                      <w:szCs w:val="24"/>
                      <w:lang w:bidi="ar"/>
                    </w:rPr>
                    <w:t>%</w:t>
                  </w:r>
                </w:p>
              </w:tc>
            </w:tr>
            <w:tr w14:paraId="37E39572">
              <w:tblPrEx>
                <w:tblCellMar>
                  <w:top w:w="0" w:type="dxa"/>
                  <w:left w:w="108" w:type="dxa"/>
                  <w:bottom w:w="0" w:type="dxa"/>
                  <w:right w:w="108" w:type="dxa"/>
                </w:tblCellMar>
              </w:tblPrEx>
              <w:trPr>
                <w:trHeight w:val="90"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52FD">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1000-5000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606A">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6E1A">
                  <w:pPr>
                    <w:widowControl/>
                    <w:spacing w:line="440" w:lineRule="exact"/>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0.25</w:t>
                  </w:r>
                  <w:r>
                    <w:rPr>
                      <w:rFonts w:hint="eastAsia" w:ascii="宋体" w:hAnsi="宋体" w:cs="宋体"/>
                      <w:kern w:val="0"/>
                      <w:sz w:val="24"/>
                      <w:szCs w:val="24"/>
                      <w:lang w:bidi="ar"/>
                    </w:rPr>
                    <w:t>%</w:t>
                  </w:r>
                </w:p>
              </w:tc>
            </w:tr>
            <w:tr w14:paraId="236D9F4F">
              <w:tblPrEx>
                <w:tblCellMar>
                  <w:top w:w="0" w:type="dxa"/>
                  <w:left w:w="108" w:type="dxa"/>
                  <w:bottom w:w="0" w:type="dxa"/>
                  <w:right w:w="108" w:type="dxa"/>
                </w:tblCellMar>
              </w:tblPrEx>
              <w:trPr>
                <w:trHeight w:val="353" w:hRule="atLeast"/>
              </w:trPr>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8C4">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5000-10000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7A87">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0.25%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7F7C">
                  <w:pPr>
                    <w:widowControl/>
                    <w:spacing w:line="440" w:lineRule="exact"/>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0.1</w:t>
                  </w:r>
                  <w:r>
                    <w:rPr>
                      <w:rFonts w:hint="eastAsia" w:ascii="宋体" w:hAnsi="宋体" w:cs="宋体"/>
                      <w:kern w:val="0"/>
                      <w:sz w:val="24"/>
                      <w:szCs w:val="24"/>
                      <w:lang w:bidi="ar"/>
                    </w:rPr>
                    <w:t>%</w:t>
                  </w:r>
                </w:p>
              </w:tc>
            </w:tr>
          </w:tbl>
          <w:p w14:paraId="6023DCFC">
            <w:pPr>
              <w:spacing w:line="440" w:lineRule="exact"/>
              <w:ind w:firstLine="0" w:firstLineChars="0"/>
              <w:rPr>
                <w:rFonts w:ascii="宋体" w:hAnsi="宋体" w:cs="宋体"/>
                <w:sz w:val="24"/>
                <w:szCs w:val="24"/>
              </w:rPr>
            </w:pPr>
            <w:r>
              <w:rPr>
                <w:rFonts w:hint="eastAsia" w:ascii="宋体" w:hAnsi="宋体" w:cs="宋体"/>
                <w:sz w:val="24"/>
                <w:szCs w:val="24"/>
              </w:rPr>
              <w:t>由中标人在领取中标通知书时支付；</w:t>
            </w:r>
          </w:p>
          <w:p w14:paraId="29C9F31F">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2.代理服务费以（转账或现金形式支付）转账账户 ：</w:t>
            </w:r>
          </w:p>
          <w:p w14:paraId="7C2525C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公司名称：</w:t>
            </w:r>
            <w:r>
              <w:rPr>
                <w:rFonts w:hint="eastAsia" w:ascii="宋体" w:hAnsi="宋体" w:cs="宋体"/>
                <w:kern w:val="0"/>
                <w:sz w:val="24"/>
                <w:szCs w:val="24"/>
                <w:u w:val="single"/>
              </w:rPr>
              <w:t>浙江广通工程咨询有限公司嵊州分公司</w:t>
            </w:r>
          </w:p>
          <w:p w14:paraId="283E4B4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开</w:t>
            </w:r>
            <w:r>
              <w:rPr>
                <w:rFonts w:hint="eastAsia" w:ascii="宋体" w:hAnsi="宋体" w:cs="宋体"/>
                <w:kern w:val="0"/>
                <w:sz w:val="24"/>
                <w:szCs w:val="24"/>
                <w:lang w:val="en-US" w:eastAsia="zh-CN"/>
              </w:rPr>
              <w:t xml:space="preserve"> </w:t>
            </w:r>
            <w:r>
              <w:rPr>
                <w:rFonts w:hint="eastAsia" w:ascii="宋体" w:hAnsi="宋体" w:cs="宋体"/>
                <w:kern w:val="0"/>
                <w:sz w:val="24"/>
                <w:szCs w:val="24"/>
              </w:rPr>
              <w:t>户</w:t>
            </w:r>
            <w:r>
              <w:rPr>
                <w:rFonts w:hint="eastAsia" w:ascii="宋体" w:hAnsi="宋体" w:cs="宋体"/>
                <w:kern w:val="0"/>
                <w:sz w:val="24"/>
                <w:szCs w:val="24"/>
                <w:lang w:val="en-US" w:eastAsia="zh-CN"/>
              </w:rPr>
              <w:t xml:space="preserve"> </w:t>
            </w:r>
            <w:r>
              <w:rPr>
                <w:rFonts w:hint="eastAsia" w:ascii="宋体" w:hAnsi="宋体" w:cs="宋体"/>
                <w:kern w:val="0"/>
                <w:sz w:val="24"/>
                <w:szCs w:val="24"/>
              </w:rPr>
              <w:t>行：</w:t>
            </w:r>
            <w:r>
              <w:rPr>
                <w:rFonts w:hint="eastAsia" w:ascii="宋体" w:hAnsi="宋体" w:cs="宋体"/>
                <w:kern w:val="0"/>
                <w:sz w:val="24"/>
                <w:szCs w:val="24"/>
                <w:u w:val="single"/>
              </w:rPr>
              <w:t>嵊州农商银行甘霖支行</w:t>
            </w:r>
          </w:p>
          <w:p w14:paraId="1F71328F">
            <w:pPr>
              <w:tabs>
                <w:tab w:val="left" w:pos="3780"/>
              </w:tabs>
              <w:spacing w:line="440" w:lineRule="exact"/>
              <w:ind w:firstLine="0" w:firstLineChars="0"/>
              <w:rPr>
                <w:rFonts w:ascii="宋体" w:hAnsi="宋体" w:cs="宋体"/>
                <w:sz w:val="24"/>
                <w:szCs w:val="24"/>
              </w:rPr>
            </w:pPr>
            <w:r>
              <w:rPr>
                <w:rFonts w:hint="eastAsia" w:asciiTheme="minorEastAsia" w:hAnsiTheme="minorEastAsia" w:eastAsiaTheme="minorEastAsia" w:cstheme="minorEastAsia"/>
                <w:sz w:val="24"/>
                <w:szCs w:val="24"/>
              </w:rPr>
              <w:t xml:space="preserve">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号：</w:t>
            </w:r>
            <w:r>
              <w:rPr>
                <w:rFonts w:hint="eastAsia" w:asciiTheme="minorEastAsia" w:hAnsiTheme="minorEastAsia" w:eastAsiaTheme="minorEastAsia" w:cstheme="minorEastAsia"/>
                <w:sz w:val="24"/>
                <w:szCs w:val="24"/>
                <w:u w:val="single"/>
              </w:rPr>
              <w:t>201000309849681</w:t>
            </w:r>
          </w:p>
        </w:tc>
      </w:tr>
      <w:tr w14:paraId="50C4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318D61F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23</w:t>
            </w:r>
          </w:p>
        </w:tc>
        <w:tc>
          <w:tcPr>
            <w:tcW w:w="1544" w:type="dxa"/>
            <w:vAlign w:val="center"/>
          </w:tcPr>
          <w:p w14:paraId="6C52813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讲标询标</w:t>
            </w:r>
          </w:p>
        </w:tc>
        <w:tc>
          <w:tcPr>
            <w:tcW w:w="6867" w:type="dxa"/>
            <w:vAlign w:val="center"/>
          </w:tcPr>
          <w:p w14:paraId="229E0ED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如有需要，在评标时各投标人需准备并接受评委在线询标，开评标时需保持网络的通畅及在线。</w:t>
            </w:r>
          </w:p>
        </w:tc>
      </w:tr>
      <w:tr w14:paraId="6B18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06AA4029">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24</w:t>
            </w:r>
          </w:p>
        </w:tc>
        <w:tc>
          <w:tcPr>
            <w:tcW w:w="1544" w:type="dxa"/>
            <w:vAlign w:val="center"/>
          </w:tcPr>
          <w:p w14:paraId="0175A82D">
            <w:pPr>
              <w:tabs>
                <w:tab w:val="left" w:pos="3780"/>
              </w:tabs>
              <w:spacing w:line="440" w:lineRule="exact"/>
              <w:ind w:firstLine="0" w:firstLineChars="0"/>
              <w:jc w:val="center"/>
              <w:rPr>
                <w:rFonts w:hint="eastAsia" w:ascii="宋体" w:hAnsi="宋体" w:eastAsia="宋体" w:cs="宋体"/>
                <w:bCs/>
                <w:sz w:val="24"/>
                <w:szCs w:val="24"/>
              </w:rPr>
            </w:pPr>
            <w:r>
              <w:rPr>
                <w:rFonts w:hint="eastAsia" w:ascii="宋体" w:hAnsi="宋体" w:eastAsia="宋体" w:cs="宋体"/>
                <w:b/>
                <w:bCs/>
                <w:color w:val="auto"/>
                <w:sz w:val="24"/>
                <w:highlight w:val="none"/>
              </w:rPr>
              <w:t>中标候选人</w:t>
            </w:r>
          </w:p>
        </w:tc>
        <w:tc>
          <w:tcPr>
            <w:tcW w:w="6867" w:type="dxa"/>
            <w:vAlign w:val="center"/>
          </w:tcPr>
          <w:p w14:paraId="194D54DB">
            <w:pPr>
              <w:tabs>
                <w:tab w:val="left" w:pos="3780"/>
              </w:tabs>
              <w:spacing w:line="440" w:lineRule="exact"/>
              <w:ind w:firstLine="0" w:firstLineChars="0"/>
              <w:rPr>
                <w:rFonts w:hint="eastAsia" w:ascii="宋体" w:hAnsi="宋体" w:eastAsia="宋体" w:cs="宋体"/>
                <w:kern w:val="0"/>
                <w:sz w:val="24"/>
                <w:szCs w:val="24"/>
              </w:rPr>
            </w:pPr>
            <w:r>
              <w:rPr>
                <w:rFonts w:hint="eastAsia" w:ascii="宋体" w:hAnsi="宋体" w:eastAsia="宋体" w:cs="宋体"/>
                <w:b/>
                <w:bCs/>
                <w:color w:val="auto"/>
                <w:sz w:val="24"/>
                <w:highlight w:val="none"/>
              </w:rPr>
              <w:t>推荐中标候选人数量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1815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4A8AFCF4">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25</w:t>
            </w:r>
          </w:p>
        </w:tc>
        <w:tc>
          <w:tcPr>
            <w:tcW w:w="1544" w:type="dxa"/>
            <w:vAlign w:val="center"/>
          </w:tcPr>
          <w:p w14:paraId="47E91AA7">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中标文件</w:t>
            </w:r>
          </w:p>
        </w:tc>
        <w:tc>
          <w:tcPr>
            <w:tcW w:w="6867" w:type="dxa"/>
            <w:vAlign w:val="center"/>
          </w:tcPr>
          <w:p w14:paraId="65D7A609">
            <w:pPr>
              <w:tabs>
                <w:tab w:val="left" w:pos="3780"/>
              </w:tabs>
              <w:spacing w:line="440" w:lineRule="exact"/>
              <w:ind w:firstLine="0" w:firstLineChars="0"/>
              <w:rPr>
                <w:rFonts w:hint="eastAsia" w:ascii="宋体" w:hAnsi="宋体" w:cs="宋体"/>
                <w:kern w:val="0"/>
                <w:sz w:val="24"/>
                <w:szCs w:val="24"/>
              </w:rPr>
            </w:pPr>
            <w:r>
              <w:rPr>
                <w:rFonts w:hint="eastAsia" w:ascii="宋体" w:hAnsi="宋体" w:cs="宋体"/>
                <w:b/>
                <w:bCs/>
                <w:kern w:val="0"/>
                <w:sz w:val="24"/>
                <w:szCs w:val="24"/>
              </w:rPr>
              <w:t>在领取中标通知书时中标供应商需根据采购人要求提供纸质投标文件（与电子投标文件一致）至少三份，递交至代理机构，如</w:t>
            </w:r>
            <w:r>
              <w:rPr>
                <w:rFonts w:hint="eastAsia" w:ascii="宋体" w:hAnsi="宋体" w:cs="宋体"/>
                <w:b/>
                <w:bCs/>
                <w:sz w:val="24"/>
                <w:szCs w:val="24"/>
              </w:rPr>
              <w:t>与电子投标文件不符将影响中标供应商领取中标通知书。</w:t>
            </w:r>
          </w:p>
        </w:tc>
      </w:tr>
      <w:tr w14:paraId="276E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21BD07C1">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26</w:t>
            </w:r>
          </w:p>
        </w:tc>
        <w:tc>
          <w:tcPr>
            <w:tcW w:w="1544" w:type="dxa"/>
            <w:vAlign w:val="center"/>
          </w:tcPr>
          <w:p w14:paraId="6852159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解释</w:t>
            </w:r>
          </w:p>
        </w:tc>
        <w:tc>
          <w:tcPr>
            <w:tcW w:w="6867" w:type="dxa"/>
            <w:vAlign w:val="center"/>
          </w:tcPr>
          <w:p w14:paraId="05C74139">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凡涉及本招标文件的</w:t>
            </w:r>
            <w:r>
              <w:rPr>
                <w:rFonts w:hint="eastAsia" w:ascii="宋体" w:hAnsi="宋体" w:cs="宋体"/>
                <w:bCs/>
                <w:sz w:val="24"/>
                <w:szCs w:val="24"/>
              </w:rPr>
              <w:t>解释权</w:t>
            </w:r>
            <w:r>
              <w:rPr>
                <w:rFonts w:hint="eastAsia" w:ascii="宋体" w:hAnsi="宋体" w:cs="宋体"/>
                <w:kern w:val="0"/>
                <w:sz w:val="24"/>
                <w:szCs w:val="24"/>
              </w:rPr>
              <w:t>属于招标人和招标代理单位。</w:t>
            </w:r>
          </w:p>
        </w:tc>
      </w:tr>
      <w:tr w14:paraId="6F7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9211" w:type="dxa"/>
            <w:gridSpan w:val="3"/>
            <w:vAlign w:val="center"/>
          </w:tcPr>
          <w:p w14:paraId="1FDCC8BB">
            <w:pPr>
              <w:tabs>
                <w:tab w:val="left" w:pos="3780"/>
              </w:tabs>
              <w:spacing w:line="440" w:lineRule="exact"/>
              <w:ind w:firstLine="0" w:firstLineChars="0"/>
              <w:rPr>
                <w:rFonts w:ascii="宋体" w:hAnsi="宋体" w:cs="宋体"/>
                <w:kern w:val="0"/>
                <w:sz w:val="24"/>
                <w:szCs w:val="24"/>
              </w:rPr>
            </w:pPr>
            <w:bookmarkStart w:id="64" w:name="_Toc32679"/>
            <w:bookmarkStart w:id="65" w:name="_Toc7408"/>
            <w:bookmarkStart w:id="66" w:name="_Toc13370"/>
            <w:bookmarkStart w:id="67" w:name="_Toc749"/>
            <w:bookmarkStart w:id="68" w:name="_Toc1521"/>
            <w:bookmarkStart w:id="69" w:name="_Toc330212071"/>
            <w:bookmarkStart w:id="70" w:name="_Toc381971539"/>
            <w:bookmarkStart w:id="71" w:name="_Toc330214840"/>
            <w:bookmarkStart w:id="72" w:name="_Toc330215465"/>
            <w:bookmarkStart w:id="73" w:name="_Toc330215267"/>
            <w:bookmarkStart w:id="74" w:name="_Toc330214712"/>
            <w:r>
              <w:rPr>
                <w:rFonts w:hint="eastAsia" w:ascii="宋体" w:hAnsi="宋体" w:cs="宋体"/>
                <w:kern w:val="0"/>
                <w:sz w:val="24"/>
                <w:szCs w:val="24"/>
              </w:rPr>
              <w:t>注：中标候选人放弃中标资格或因质疑、投诉被取消中标资格或不能履行合同的，采购人重新组织招标。代理费及其他费用在投标保证金中扣除。</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tbl>
    <w:p w14:paraId="2E1E7FF4">
      <w:pPr>
        <w:ind w:firstLine="3935" w:firstLineChars="1400"/>
        <w:outlineLvl w:val="1"/>
        <w:rPr>
          <w:rFonts w:ascii="宋体" w:hAnsi="宋体" w:cs="宋体"/>
          <w:b/>
          <w:sz w:val="28"/>
          <w:szCs w:val="28"/>
        </w:rPr>
      </w:pPr>
      <w:r>
        <w:rPr>
          <w:rFonts w:hint="eastAsia" w:ascii="宋体" w:hAnsi="宋体" w:cs="宋体"/>
          <w:b/>
          <w:sz w:val="28"/>
          <w:szCs w:val="28"/>
        </w:rPr>
        <w:t>一、总  则</w:t>
      </w:r>
      <w:bookmarkEnd w:id="64"/>
      <w:bookmarkEnd w:id="65"/>
      <w:bookmarkEnd w:id="66"/>
      <w:bookmarkEnd w:id="67"/>
      <w:bookmarkEnd w:id="68"/>
    </w:p>
    <w:bookmarkEnd w:id="69"/>
    <w:bookmarkEnd w:id="70"/>
    <w:bookmarkEnd w:id="71"/>
    <w:bookmarkEnd w:id="72"/>
    <w:bookmarkEnd w:id="73"/>
    <w:bookmarkEnd w:id="74"/>
    <w:p w14:paraId="506E1DAF">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hint="eastAsia" w:ascii="宋体" w:hAnsi="宋体" w:eastAsia="宋体" w:cs="宋体"/>
          <w:b/>
          <w:color w:val="auto"/>
          <w:sz w:val="24"/>
          <w:szCs w:val="24"/>
          <w:highlight w:val="none"/>
        </w:rPr>
      </w:pPr>
      <w:bookmarkStart w:id="75" w:name="_Toc18104"/>
      <w:r>
        <w:rPr>
          <w:rFonts w:hint="eastAsia" w:ascii="宋体" w:hAnsi="宋体" w:eastAsia="宋体" w:cs="宋体"/>
          <w:b/>
          <w:color w:val="auto"/>
          <w:sz w:val="24"/>
          <w:szCs w:val="24"/>
          <w:highlight w:val="none"/>
        </w:rPr>
        <w:t>1.适用范围</w:t>
      </w:r>
    </w:p>
    <w:p w14:paraId="07A80AC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083DCA12">
      <w:pPr>
        <w:keepNext w:val="0"/>
        <w:keepLines w:val="0"/>
        <w:pageBreakBefore w:val="0"/>
        <w:widowControl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55CCAA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2.1“采购人”系指招标公告中载明的本项目的采购人。</w:t>
      </w:r>
    </w:p>
    <w:p w14:paraId="775EB08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2.2“采购代理机构”系指招标公告中载明的本项目的采购代理机构。</w:t>
      </w:r>
    </w:p>
    <w:p w14:paraId="664D7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2.3“投标人”“供应商”系指是指响应招标、参加投标竞争的法人、其他组织或者自然人。</w:t>
      </w:r>
    </w:p>
    <w:p w14:paraId="5D06C5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2.4“监督单位”系指招标公告中载明的本项目的监督管理部门。</w:t>
      </w:r>
    </w:p>
    <w:p w14:paraId="2399D3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2.5“负责人”系指法人企业的法定负责人，或其他组织为法律、行政法规规定代表单位行使职权的主要负责人，或自然人本人。</w:t>
      </w:r>
    </w:p>
    <w:p w14:paraId="6FB27F2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160B14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2.7“电子交易平台”系指本项目采购活动所依托的乐采云平台（https://www.lecaiyun.com/）。</w:t>
      </w:r>
    </w:p>
    <w:p w14:paraId="59D223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688018D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2.9其他定义</w:t>
      </w:r>
    </w:p>
    <w:p w14:paraId="410AA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0D9434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3.采购项目需要落实的采购政策</w:t>
      </w:r>
    </w:p>
    <w:p w14:paraId="7FFB6F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ED2F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3.2支持绿色发展</w:t>
      </w:r>
    </w:p>
    <w:p w14:paraId="628FC22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B313CB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支持科技创新发展</w:t>
      </w:r>
    </w:p>
    <w:p w14:paraId="47EDD8D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对省级以上主管部门认定的首台套产品，自纳入《省推广应用指导目录》起三年内参加采购活动，视同已具备相应销售业绩，业绩分为满分。</w:t>
      </w:r>
    </w:p>
    <w:p w14:paraId="00B0BD9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平等对待内外资企业和符合条件的破产重整企业</w:t>
      </w:r>
    </w:p>
    <w:p w14:paraId="25C9D01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186A61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★4.特别说明：</w:t>
      </w:r>
    </w:p>
    <w:p w14:paraId="75BBFF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4.1供应商投标所使用的资格、信誉、荣誉、业绩与企业认证必须为投标单位所拥有。供应商投标所使用的采购项目实施人员必须为投标单位正式员工。</w:t>
      </w:r>
    </w:p>
    <w:p w14:paraId="1DEAAAC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4.2供应商应仔细阅读招标文件的所有内容，按照招标文件的要求提交投标文件，并对所提供的全部资料的真实性承担法律责任。</w:t>
      </w:r>
    </w:p>
    <w:p w14:paraId="76A96D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A09E5B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特殊投标人投标规定</w:t>
      </w:r>
    </w:p>
    <w:p w14:paraId="118F59F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E3C46CD">
      <w:pPr>
        <w:pStyle w:val="58"/>
        <w:keepNext w:val="0"/>
        <w:keepLines w:val="0"/>
        <w:pageBreakBefore w:val="0"/>
        <w:kinsoku/>
        <w:wordWrap/>
        <w:overflowPunct/>
        <w:topLinePunct w:val="0"/>
        <w:bidi w:val="0"/>
        <w:snapToGrid w:val="0"/>
        <w:spacing w:before="0" w:line="440" w:lineRule="exact"/>
        <w:ind w:firstLine="640"/>
        <w:textAlignment w:val="auto"/>
        <w:rPr>
          <w:rFonts w:hint="eastAsia" w:ascii="宋体" w:hAnsi="宋体" w:eastAsia="宋体" w:cs="宋体"/>
          <w:color w:val="auto"/>
          <w:sz w:val="28"/>
          <w:szCs w:val="28"/>
          <w:highlight w:val="none"/>
        </w:rPr>
      </w:pPr>
    </w:p>
    <w:p w14:paraId="3197C59A">
      <w:pPr>
        <w:keepNext w:val="0"/>
        <w:keepLines w:val="0"/>
        <w:pageBreakBefore w:val="0"/>
        <w:kinsoku/>
        <w:wordWrap/>
        <w:overflowPunct/>
        <w:topLinePunct w:val="0"/>
        <w:bidi w:val="0"/>
        <w:adjustRightInd/>
        <w:spacing w:line="440" w:lineRule="exact"/>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14:paraId="34BB189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招标方式</w:t>
      </w:r>
    </w:p>
    <w:p w14:paraId="681EDC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1.1本次招标采用公开招标方式进行。</w:t>
      </w:r>
    </w:p>
    <w:p w14:paraId="531C82A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1.2如某一标项投标人或实质性响应招标文件的投标人不足三家时，由采购人重新组织招标或按有关规定实施。</w:t>
      </w:r>
    </w:p>
    <w:p w14:paraId="057E8CE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1.3本次招标设定限价，即招标公告中公布的各标项预算金额或最高限价。</w:t>
      </w:r>
    </w:p>
    <w:p w14:paraId="658495C1">
      <w:pPr>
        <w:pStyle w:val="13"/>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6A7DBD1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58BE394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31DD4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对上述费用不负任何责任。</w:t>
      </w:r>
    </w:p>
    <w:p w14:paraId="12D93D9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4.招标文件的修改</w:t>
      </w:r>
    </w:p>
    <w:p w14:paraId="2CCBFC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4.1招标文件包括本招标文件及所有的招标答疑记录（澄清、修改）和发出的补充通知。</w:t>
      </w:r>
    </w:p>
    <w:p w14:paraId="1A3D85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4.2招标文件的澄清 </w:t>
      </w:r>
    </w:p>
    <w:p w14:paraId="488B59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投标人对招标文件如有疑点要求澄清，可用书面形式（包括并不仅限于纸质、信件和数据电文(包括电报、电传、传真、电子数据交换和电子邮件）)等通知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，但通知不得迟于开标前7日使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将用书面形式予以答复。如有必要，可将不说明来源的答复发给所有投标人。</w:t>
      </w:r>
    </w:p>
    <w:p w14:paraId="561A47E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4.3招标文件的修改</w:t>
      </w:r>
    </w:p>
    <w:p w14:paraId="68884C2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4.3.1在投标截止时间前，</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48EE0F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4.3.2为使投标人有足够的时间按修改文件要求修正投标文件，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可酌情推迟投标截止时间和开标时间，并将此变更通知投标人。在这种情况下，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与投标人以前在投标截止期方面的全部权力、责任和义务，将适用于延长后新的投标截止期。</w:t>
      </w:r>
    </w:p>
    <w:p w14:paraId="2C34DEEF">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5.参考品牌</w:t>
      </w:r>
    </w:p>
    <w:p w14:paraId="44750CE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7280C8A9">
      <w:pPr>
        <w:keepNext w:val="0"/>
        <w:keepLines w:val="0"/>
        <w:pageBreakBefore w:val="0"/>
        <w:kinsoku/>
        <w:wordWrap/>
        <w:overflowPunct/>
        <w:topLinePunct w:val="0"/>
        <w:bidi w:val="0"/>
        <w:adjustRightInd/>
        <w:spacing w:line="440" w:lineRule="exact"/>
        <w:ind w:firstLine="3373" w:firstLineChars="120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w:t>
      </w:r>
    </w:p>
    <w:p w14:paraId="61CF0F5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1.投标文件的语言、计量单位、形式及效力</w:t>
      </w:r>
    </w:p>
    <w:p w14:paraId="6A0E0C7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211DA10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71A648C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4494272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755465A0">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2F27B58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1.5.1投标文件为电子投标文件，电子投标文件按“乐采云供应商项目采购-电子招投标操作指南”及本招标文件要求制作、加密传输。</w:t>
      </w:r>
    </w:p>
    <w:p w14:paraId="5CB49C43">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223F13D1">
      <w:pPr>
        <w:keepNext w:val="0"/>
        <w:keepLines w:val="0"/>
        <w:pageBreakBefore w:val="0"/>
        <w:kinsoku/>
        <w:wordWrap/>
        <w:overflowPunct/>
        <w:topLinePunct w:val="0"/>
        <w:bidi w:val="0"/>
        <w:snapToGrid w:val="0"/>
        <w:spacing w:line="440" w:lineRule="exact"/>
        <w:ind w:firstLine="723" w:firstLineChars="3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1810CD14">
      <w:pPr>
        <w:pStyle w:val="14"/>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投标文件的组成</w:t>
      </w:r>
    </w:p>
    <w:p w14:paraId="61BD00AF">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投标文件由“资格文件”、“商务技术（资信）文件资料”、“报价文件资料”三部分组成，其中</w:t>
      </w:r>
      <w:r>
        <w:rPr>
          <w:rFonts w:hint="eastAsia" w:ascii="宋体" w:hAnsi="宋体" w:eastAsia="宋体" w:cs="宋体"/>
          <w:b/>
          <w:color w:val="auto"/>
          <w:sz w:val="24"/>
          <w:szCs w:val="24"/>
          <w:highlight w:val="none"/>
        </w:rPr>
        <w:t>电子投标文件中所须加盖公章部分均应采用电子签章。</w:t>
      </w:r>
    </w:p>
    <w:p w14:paraId="61029FA9">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2B3C6524">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.1.1营业执照扫描件；</w:t>
      </w:r>
    </w:p>
    <w:p w14:paraId="4EDD27B0">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r>
        <w:rPr>
          <w:rFonts w:hint="eastAsia" w:ascii="宋体" w:hAnsi="宋体" w:eastAsia="宋体" w:cs="宋体"/>
          <w:color w:val="auto"/>
          <w:sz w:val="24"/>
          <w:szCs w:val="24"/>
          <w:highlight w:val="none"/>
        </w:rPr>
        <w:t>法定代表人身份证明书；</w:t>
      </w:r>
    </w:p>
    <w:p w14:paraId="1ECBC90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0985FBA">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符合参加采购活动应当具备的一般条件的承诺函；</w:t>
      </w:r>
    </w:p>
    <w:p w14:paraId="0ACE203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单位负责人为同一人或者存在直接控股、管理关系的不同供应商，不得参加同一合同项下的采购活动（开标后提供《</w:t>
      </w:r>
      <w:r>
        <w:rPr>
          <w:rFonts w:hint="eastAsia" w:ascii="宋体" w:hAnsi="宋体" w:eastAsia="宋体" w:cs="宋体"/>
          <w:color w:val="auto"/>
          <w:kern w:val="0"/>
          <w:sz w:val="24"/>
          <w:szCs w:val="24"/>
          <w:highlight w:val="none"/>
        </w:rPr>
        <w:t>政企</w:t>
      </w:r>
      <w:r>
        <w:rPr>
          <w:rFonts w:hint="eastAsia" w:ascii="宋体" w:hAnsi="宋体" w:eastAsia="宋体" w:cs="宋体"/>
          <w:color w:val="auto"/>
          <w:sz w:val="24"/>
          <w:szCs w:val="24"/>
          <w:highlight w:val="none"/>
          <w:lang w:eastAsia="zh-CN"/>
        </w:rPr>
        <w:t>采购活动现场确认声明书》（PDF格式），发送至邮箱</w:t>
      </w:r>
      <w:r>
        <w:rPr>
          <w:rStyle w:val="33"/>
          <w:rFonts w:hint="eastAsia" w:ascii="宋体" w:hAnsi="宋体" w:cs="宋体"/>
          <w:color w:val="auto"/>
          <w:kern w:val="0"/>
          <w:sz w:val="24"/>
          <w:szCs w:val="24"/>
          <w:highlight w:val="none"/>
          <w:u w:val="none"/>
          <w:lang w:val="en-US" w:eastAsia="zh-CN"/>
        </w:rPr>
        <w:t>875506599</w:t>
      </w:r>
      <w:r>
        <w:rPr>
          <w:rStyle w:val="33"/>
          <w:rFonts w:hint="eastAsia" w:ascii="宋体" w:hAnsi="宋体" w:eastAsia="宋体" w:cs="宋体"/>
          <w:color w:val="auto"/>
          <w:kern w:val="0"/>
          <w:sz w:val="24"/>
          <w:szCs w:val="24"/>
          <w:highlight w:val="none"/>
          <w:u w:val="none"/>
          <w:lang w:eastAsia="zh-CN"/>
        </w:rPr>
        <w:t>@qq.com</w:t>
      </w:r>
      <w:r>
        <w:rPr>
          <w:rFonts w:hint="eastAsia" w:ascii="宋体" w:hAnsi="宋体" w:eastAsia="宋体" w:cs="宋体"/>
          <w:color w:val="auto"/>
          <w:sz w:val="24"/>
          <w:szCs w:val="24"/>
          <w:highlight w:val="none"/>
          <w:lang w:eastAsia="zh-CN"/>
        </w:rPr>
        <w:t>）；</w:t>
      </w:r>
    </w:p>
    <w:p w14:paraId="6C5CD218">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02050A11">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2.2.1</w:t>
      </w:r>
      <w:r>
        <w:rPr>
          <w:rFonts w:hint="eastAsia" w:ascii="宋体" w:hAnsi="宋体" w:cs="宋体"/>
          <w:bCs/>
          <w:sz w:val="24"/>
          <w:szCs w:val="24"/>
          <w:lang w:bidi="ar"/>
        </w:rPr>
        <w:t>评分索引表</w:t>
      </w:r>
      <w:r>
        <w:rPr>
          <w:rFonts w:hint="eastAsia" w:ascii="宋体" w:hAnsi="宋体" w:cs="宋体"/>
          <w:kern w:val="0"/>
          <w:sz w:val="24"/>
          <w:szCs w:val="24"/>
        </w:rPr>
        <w:t>（格式见附件）；</w:t>
      </w:r>
    </w:p>
    <w:p w14:paraId="4158BBED">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2.2.2</w:t>
      </w:r>
      <w:r>
        <w:rPr>
          <w:rFonts w:hint="eastAsia" w:ascii="宋体" w:hAnsi="宋体" w:cs="宋体"/>
          <w:sz w:val="24"/>
          <w:szCs w:val="24"/>
        </w:rPr>
        <w:t>营业执照(或事业法人登记证书或其他工商等登记证明材料；自然人参与采购，提供身份证)扫描件加盖CA签章；</w:t>
      </w:r>
    </w:p>
    <w:p w14:paraId="18067548">
      <w:pPr>
        <w:snapToGrid w:val="0"/>
        <w:ind w:firstLine="480"/>
        <w:jc w:val="left"/>
        <w:rPr>
          <w:rFonts w:ascii="宋体" w:hAnsi="宋体" w:cs="宋体"/>
          <w:bCs/>
          <w:sz w:val="24"/>
          <w:szCs w:val="24"/>
          <w:lang w:bidi="ar"/>
        </w:rPr>
      </w:pPr>
      <w:r>
        <w:rPr>
          <w:rFonts w:hint="eastAsia" w:ascii="宋体" w:hAnsi="宋体" w:cs="宋体"/>
          <w:sz w:val="24"/>
          <w:szCs w:val="24"/>
          <w:lang w:val="en-US" w:eastAsia="zh-CN"/>
        </w:rPr>
        <w:t>2.2.3</w:t>
      </w:r>
      <w:r>
        <w:rPr>
          <w:rFonts w:hint="eastAsia" w:ascii="宋体" w:hAnsi="宋体" w:cs="宋体"/>
          <w:bCs/>
          <w:sz w:val="24"/>
          <w:szCs w:val="24"/>
          <w:lang w:bidi="ar"/>
        </w:rPr>
        <w:t>投标函（格式见附件）；</w:t>
      </w:r>
    </w:p>
    <w:p w14:paraId="3847A6BD">
      <w:pPr>
        <w:snapToGrid w:val="0"/>
        <w:ind w:firstLine="480"/>
        <w:jc w:val="left"/>
        <w:rPr>
          <w:rFonts w:ascii="宋体" w:hAnsi="宋体" w:cs="宋体"/>
          <w:sz w:val="24"/>
          <w:szCs w:val="24"/>
        </w:rPr>
      </w:pPr>
      <w:r>
        <w:rPr>
          <w:rFonts w:hint="eastAsia" w:ascii="宋体" w:hAnsi="宋体" w:cs="宋体"/>
          <w:sz w:val="24"/>
          <w:szCs w:val="24"/>
          <w:lang w:val="en-US" w:eastAsia="zh-CN"/>
        </w:rPr>
        <w:t>2.2.4</w:t>
      </w:r>
      <w:r>
        <w:rPr>
          <w:rFonts w:hint="eastAsia" w:ascii="宋体" w:hAnsi="宋体" w:cs="宋体"/>
          <w:sz w:val="24"/>
          <w:szCs w:val="24"/>
        </w:rPr>
        <w:t>投标人须提供法定代表人（单位负责人、自然人本人）身份证明书、法人授权委托书（若委托）(格式见附件)；</w:t>
      </w:r>
    </w:p>
    <w:p w14:paraId="228E8C08">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2.2.5</w:t>
      </w:r>
      <w:r>
        <w:rPr>
          <w:rFonts w:hint="eastAsia" w:ascii="宋体" w:hAnsi="宋体" w:cs="宋体"/>
          <w:bCs/>
          <w:sz w:val="24"/>
          <w:szCs w:val="24"/>
          <w:lang w:bidi="ar"/>
        </w:rPr>
        <w:t>资信及商务响应表</w:t>
      </w:r>
      <w:r>
        <w:rPr>
          <w:rFonts w:hint="eastAsia" w:ascii="宋体" w:hAnsi="宋体" w:cs="宋体"/>
          <w:sz w:val="24"/>
          <w:szCs w:val="24"/>
        </w:rPr>
        <w:t>（格式见附件）</w:t>
      </w:r>
      <w:r>
        <w:rPr>
          <w:rFonts w:hint="eastAsia" w:ascii="宋体" w:hAnsi="宋体" w:cs="宋体"/>
          <w:bCs/>
          <w:sz w:val="24"/>
          <w:szCs w:val="24"/>
          <w:lang w:bidi="ar"/>
        </w:rPr>
        <w:t>；</w:t>
      </w:r>
    </w:p>
    <w:p w14:paraId="779844C5">
      <w:pPr>
        <w:snapToGrid w:val="0"/>
        <w:ind w:firstLine="480"/>
        <w:jc w:val="left"/>
        <w:rPr>
          <w:rFonts w:ascii="宋体" w:hAnsi="宋体" w:cs="宋体"/>
          <w:sz w:val="24"/>
          <w:szCs w:val="24"/>
        </w:rPr>
      </w:pPr>
      <w:r>
        <w:rPr>
          <w:rFonts w:hint="eastAsia" w:ascii="宋体" w:hAnsi="宋体" w:cs="宋体"/>
          <w:sz w:val="24"/>
          <w:szCs w:val="24"/>
          <w:lang w:val="en-US" w:eastAsia="zh-CN"/>
        </w:rPr>
        <w:t>2.2.6</w:t>
      </w:r>
      <w:r>
        <w:rPr>
          <w:rFonts w:hint="eastAsia" w:ascii="宋体" w:hAnsi="宋体" w:cs="宋体"/>
          <w:sz w:val="24"/>
          <w:szCs w:val="24"/>
        </w:rPr>
        <w:t>技术响应表（格式见附件）；</w:t>
      </w:r>
    </w:p>
    <w:p w14:paraId="7E1AD124">
      <w:pPr>
        <w:snapToGrid w:val="0"/>
        <w:ind w:firstLine="480"/>
        <w:jc w:val="left"/>
        <w:rPr>
          <w:rFonts w:hint="eastAsia" w:ascii="宋体" w:hAnsi="宋体" w:cs="宋体"/>
          <w:sz w:val="24"/>
          <w:szCs w:val="24"/>
          <w:lang w:val="zh-CN"/>
        </w:rPr>
      </w:pPr>
      <w:r>
        <w:rPr>
          <w:rFonts w:hint="eastAsia" w:ascii="宋体" w:hAnsi="宋体" w:cs="宋体"/>
          <w:sz w:val="24"/>
          <w:szCs w:val="24"/>
          <w:lang w:val="en-US" w:eastAsia="zh-CN"/>
        </w:rPr>
        <w:t>2.2.7</w:t>
      </w:r>
      <w:r>
        <w:rPr>
          <w:rFonts w:hint="eastAsia" w:ascii="宋体" w:hAnsi="宋体" w:cs="宋体"/>
          <w:sz w:val="24"/>
          <w:szCs w:val="24"/>
          <w:u w:val="wave"/>
        </w:rPr>
        <w:t>评标标准相应</w:t>
      </w:r>
      <w:r>
        <w:rPr>
          <w:rFonts w:hint="eastAsia" w:ascii="宋体" w:hAnsi="宋体" w:cs="宋体"/>
          <w:sz w:val="24"/>
          <w:szCs w:val="24"/>
        </w:rPr>
        <w:t>的商务技术</w:t>
      </w:r>
      <w:r>
        <w:rPr>
          <w:rFonts w:hint="eastAsia" w:ascii="宋体" w:hAnsi="宋体" w:cs="宋体"/>
          <w:sz w:val="24"/>
          <w:szCs w:val="24"/>
          <w:lang w:val="zh-CN"/>
        </w:rPr>
        <w:t>资料；</w:t>
      </w:r>
    </w:p>
    <w:p w14:paraId="534523AE">
      <w:pPr>
        <w:snapToGrid w:val="0"/>
        <w:ind w:firstLine="480"/>
        <w:jc w:val="left"/>
      </w:pPr>
      <w:r>
        <w:rPr>
          <w:rFonts w:hint="eastAsia" w:ascii="宋体" w:hAnsi="宋体" w:cs="宋体"/>
          <w:sz w:val="24"/>
          <w:szCs w:val="24"/>
          <w:lang w:val="en-US" w:eastAsia="zh-CN"/>
        </w:rPr>
        <w:t>2.2.8</w:t>
      </w:r>
      <w:r>
        <w:rPr>
          <w:rFonts w:hint="eastAsia" w:ascii="宋体" w:hAnsi="宋体" w:cs="宋体"/>
          <w:sz w:val="24"/>
          <w:szCs w:val="24"/>
          <w:lang w:val="zh-CN"/>
        </w:rPr>
        <w:t>政企采购供应商廉洁自律承诺书</w:t>
      </w:r>
    </w:p>
    <w:p w14:paraId="0C0E61F8">
      <w:pPr>
        <w:snapToGrid w:val="0"/>
        <w:ind w:firstLine="480"/>
        <w:jc w:val="left"/>
        <w:rPr>
          <w:rFonts w:ascii="宋体" w:hAnsi="宋体" w:cs="宋体"/>
          <w:sz w:val="24"/>
          <w:szCs w:val="24"/>
        </w:rPr>
      </w:pPr>
      <w:r>
        <w:rPr>
          <w:rFonts w:hint="eastAsia" w:ascii="宋体" w:hAnsi="宋体" w:cs="宋体"/>
          <w:sz w:val="24"/>
          <w:szCs w:val="24"/>
          <w:lang w:val="en-US" w:eastAsia="zh-CN"/>
        </w:rPr>
        <w:t>2.2.9</w:t>
      </w:r>
      <w:r>
        <w:rPr>
          <w:rFonts w:hint="eastAsia" w:ascii="宋体" w:hAnsi="宋体" w:cs="宋体"/>
          <w:sz w:val="24"/>
          <w:szCs w:val="24"/>
        </w:rPr>
        <w:t>投标人认为与招标文件或评分有关的需要提供的其他资料（若有）。</w:t>
      </w:r>
    </w:p>
    <w:p w14:paraId="3541ADF2">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2.3报价文件：</w:t>
      </w:r>
    </w:p>
    <w:p w14:paraId="7E674234">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3.1供应商应按招标文件中《开标一览表》等附表要求填写。</w:t>
      </w:r>
    </w:p>
    <w:p w14:paraId="4D78BE52">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3.2投标报价是履行合同的最终价格，即完成本项目服务内容和要求所产生的所有费用，包括货款、包装、验收、备品备件、售后服务、税金、代理服务费等一切与本项目相关的费用。</w:t>
      </w:r>
    </w:p>
    <w:p w14:paraId="0989139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264A302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3.4招标文件未列明，而供应商认为必需的费用也需列入报价。</w:t>
      </w:r>
    </w:p>
    <w:p w14:paraId="02D3762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3.5投标报价只允许有一个报价，有选择的报价将不予接受（除指定外）</w:t>
      </w:r>
      <w:r>
        <w:rPr>
          <w:rFonts w:hint="eastAsia" w:ascii="宋体" w:hAnsi="宋体" w:eastAsia="宋体" w:cs="宋体"/>
          <w:b/>
          <w:bCs/>
          <w:color w:val="auto"/>
          <w:sz w:val="24"/>
          <w:szCs w:val="24"/>
          <w:highlight w:val="none"/>
          <w:lang w:val="en-US"/>
        </w:rPr>
        <w:t>。</w:t>
      </w:r>
    </w:p>
    <w:p w14:paraId="20ADAB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3.6《资格文件》和《商务技术文件》中不得出现本项目投标报价，否则投标无效。</w:t>
      </w:r>
    </w:p>
    <w:p w14:paraId="085CA4E8">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3.7投标人提供虚假材料投标的，投标无效。</w:t>
      </w:r>
    </w:p>
    <w:p w14:paraId="5ACC9BF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3.投标报价</w:t>
      </w:r>
    </w:p>
    <w:p w14:paraId="557D8F3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3.1供应商应按招标文件中《开标一览表》等附表要求填写。</w:t>
      </w:r>
    </w:p>
    <w:p w14:paraId="6E22E58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3.2投标报价是履行合同的最终价格，即完成本项目服务内容和要求所产生的所有费用，包括货款、包装、验收、备品备件、售后服务、税金、代理服务费等一切与本项目相关的费用。</w:t>
      </w:r>
    </w:p>
    <w:p w14:paraId="5C21949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0B6B707B">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3.4招标文件未列明，而供应商认为必需的费用也需列入报价。</w:t>
      </w:r>
    </w:p>
    <w:p w14:paraId="7E077512">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3.5投标报价只允许有一个报价，有选择的报价将不予接受（除指定外）</w:t>
      </w:r>
      <w:r>
        <w:rPr>
          <w:rFonts w:hint="eastAsia" w:ascii="宋体" w:hAnsi="宋体" w:eastAsia="宋体" w:cs="宋体"/>
          <w:b/>
          <w:bCs/>
          <w:color w:val="auto"/>
          <w:sz w:val="24"/>
          <w:szCs w:val="24"/>
          <w:highlight w:val="none"/>
          <w:lang w:val="en-US"/>
        </w:rPr>
        <w:t>。</w:t>
      </w:r>
    </w:p>
    <w:p w14:paraId="3993426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3.6《资格文件》和《商务技术文件》中不得出现本项目投标报价，否则投标无效。</w:t>
      </w:r>
    </w:p>
    <w:p w14:paraId="34A10094">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3.7投标人提供虚假材料投标的，投标无效。</w:t>
      </w:r>
    </w:p>
    <w:p w14:paraId="1D7F1EAF">
      <w:pPr>
        <w:pStyle w:val="58"/>
        <w:keepNext w:val="0"/>
        <w:keepLines w:val="0"/>
        <w:pageBreakBefore w:val="0"/>
        <w:kinsoku/>
        <w:wordWrap/>
        <w:overflowPunct/>
        <w:topLinePunct w:val="0"/>
        <w:bidi w:val="0"/>
        <w:snapToGrid w:val="0"/>
        <w:spacing w:before="0" w:line="440" w:lineRule="exact"/>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sz w:val="24"/>
          <w:szCs w:val="24"/>
          <w:highlight w:val="none"/>
        </w:rPr>
        <w:t>投标文件的编制和签署</w:t>
      </w:r>
    </w:p>
    <w:p w14:paraId="0A72238F">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6DB665">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2EA4F432">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.3使用“乐采云电子交易客户端”需要提前申领CA数字证书，申领流程请自行前往“浙江政府采购网-下载专区-电子交易客户端-CA驱动和申领流程”进行查阅。</w:t>
      </w:r>
    </w:p>
    <w:p w14:paraId="5B56E54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投标文件按照招标文件第六部分格式要求进行签署、盖章。投标人的投标文件未按照招标文件要求签署、盖章的，其投标无效。</w:t>
      </w:r>
    </w:p>
    <w:p w14:paraId="3AE43ECC">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46B9431A">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zh-CN"/>
        </w:rPr>
        <w:t>招标文件对投标文件签署、盖章的要求适用于电子签名。</w:t>
      </w:r>
    </w:p>
    <w:p w14:paraId="31192129">
      <w:pPr>
        <w:pStyle w:val="58"/>
        <w:keepNext w:val="0"/>
        <w:keepLines w:val="0"/>
        <w:pageBreakBefore w:val="0"/>
        <w:kinsoku/>
        <w:wordWrap/>
        <w:overflowPunct/>
        <w:topLinePunct w:val="0"/>
        <w:bidi w:val="0"/>
        <w:spacing w:before="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5.投标文件的提交、补充、修改、撤回</w:t>
      </w:r>
    </w:p>
    <w:p w14:paraId="5CCE1439">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EA8EA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117B0857">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9E5EE2D">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5.4备份投标文件</w:t>
      </w:r>
    </w:p>
    <w:p w14:paraId="2996D04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5.4.1投标人在电子交易平台传输递交投标文件后，还可以在投标截止时间前以EMS、顺丰邮寄等形式递交备份投标文件1份，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869DBFF">
      <w:pPr>
        <w:pStyle w:val="14"/>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2备份投标文件须在“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盘中。备份投标文件应当密封包装并在包装上加盖公章并注明投标项目名称，投标人名称(</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754BFF9">
      <w:pPr>
        <w:pStyle w:val="14"/>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27AB130F">
      <w:pPr>
        <w:pStyle w:val="14"/>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5395057">
      <w:pPr>
        <w:pStyle w:val="14"/>
        <w:keepNext w:val="0"/>
        <w:keepLines w:val="0"/>
        <w:pageBreakBefore w:val="0"/>
        <w:kinsoku/>
        <w:wordWrap/>
        <w:overflowPunct/>
        <w:topLinePunct w:val="0"/>
        <w:bidi w:val="0"/>
        <w:spacing w:line="440" w:lineRule="exact"/>
        <w:ind w:firstLine="479" w:firstLineChars="199"/>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rPr>
        <w:t>5投标人仅提交备份投标文件，没有在电子交易平台传输递交投标文件的，投标无效。</w:t>
      </w:r>
    </w:p>
    <w:p w14:paraId="4303723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6.投标有效期</w:t>
      </w:r>
    </w:p>
    <w:p w14:paraId="2F655D3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6.1投标有效期为从提交投标文件的截止之日起90天。投标人的投标文件中承诺的投标有效期少于招标文件中载明的投标有效期的，投标无效。</w:t>
      </w:r>
    </w:p>
    <w:p w14:paraId="2C1AF76D">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6.2投标文件合格投递后，自投标截止日期起，在投标有效期内有效。</w:t>
      </w:r>
    </w:p>
    <w:p w14:paraId="120BB6FE">
      <w:pPr>
        <w:pStyle w:val="58"/>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44207CFB">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关联投标人投标限制</w:t>
      </w:r>
    </w:p>
    <w:p w14:paraId="2FA2E35C">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本采购文件所称“关联企业”，是指存在关联关系的企业；“关联关系”的界定适用《中华人民共和国公司法》217条之规定。</w:t>
      </w:r>
    </w:p>
    <w:p w14:paraId="66670595">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7.1</w:t>
      </w:r>
      <w:r>
        <w:rPr>
          <w:rFonts w:hint="eastAsia" w:ascii="宋体" w:hAnsi="宋体" w:eastAsia="宋体" w:cs="宋体"/>
          <w:b w:val="0"/>
          <w:bCs/>
          <w:color w:val="auto"/>
          <w:sz w:val="24"/>
          <w:szCs w:val="24"/>
          <w:highlight w:val="none"/>
        </w:rPr>
        <w:t>单位负责人为同一人或者存在直接控股、管理关系的不同投标人参加同一合同项下的采购活动的，相关投标人均作资格无效处理。</w:t>
      </w:r>
    </w:p>
    <w:p w14:paraId="07EF51EE">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7.2</w:t>
      </w:r>
      <w:r>
        <w:rPr>
          <w:rFonts w:hint="eastAsia" w:ascii="宋体" w:hAnsi="宋体" w:eastAsia="宋体" w:cs="宋体"/>
          <w:b w:val="0"/>
          <w:bCs/>
          <w:color w:val="auto"/>
          <w:sz w:val="24"/>
          <w:szCs w:val="24"/>
          <w:highlight w:val="none"/>
        </w:rPr>
        <w:t>不同投标人之间存在以下利害关系并且存在影响采购公平竞争行为的，不得参加同一合同项下的采购活动，相关投标人的投标均作无效处理：</w:t>
      </w:r>
    </w:p>
    <w:p w14:paraId="39E1ECF8">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（1）法定代表人或负责人或实际控制人是夫妻关系；</w:t>
      </w:r>
    </w:p>
    <w:p w14:paraId="4FC6AFFD">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（2）法定代表人或负责人或实际控制人是直系血亲关系；</w:t>
      </w:r>
    </w:p>
    <w:p w14:paraId="6B92DD11">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（3）法定代表人或负责人或实际控制人存在三代以内旁系血亲关系；</w:t>
      </w:r>
    </w:p>
    <w:p w14:paraId="1DB900FC">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（4）法定代表人或负责人或实际控制人存在近姻亲关系；</w:t>
      </w:r>
    </w:p>
    <w:p w14:paraId="0B634FE9">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（5）法定代表人或负责人或实际控制人存在股份控制或实际控制关系；</w:t>
      </w:r>
    </w:p>
    <w:p w14:paraId="6D5BC195">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（6）存在共同直接或间接投资设立子公司、联营企业和合营企业情况；</w:t>
      </w:r>
    </w:p>
    <w:p w14:paraId="00C2A000">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（7）存在分级代理或代销关系、同一生产制造商关系、管理关系、重要业务（占主营业务收入50%以上）或重要财务往来关系（如融资）等其他实质性控制关系。</w:t>
      </w:r>
    </w:p>
    <w:p w14:paraId="13B070DE">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7.3</w:t>
      </w:r>
      <w:r>
        <w:rPr>
          <w:rFonts w:hint="eastAsia" w:ascii="宋体" w:hAnsi="宋体" w:eastAsia="宋体" w:cs="宋体"/>
          <w:b w:val="0"/>
          <w:bCs/>
          <w:color w:val="auto"/>
          <w:sz w:val="24"/>
          <w:szCs w:val="24"/>
          <w:highlight w:val="none"/>
        </w:rPr>
        <w:t>除单一来源采购项目外，为采购项目提供整体设计、规范编制或者项目管理、监理、检测等服务的投标人，不得再参加该采购项目的其他采购活动，相关投标人的投标作无效处理。</w:t>
      </w:r>
    </w:p>
    <w:p w14:paraId="78D052D4">
      <w:pPr>
        <w:pStyle w:val="58"/>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7.4</w:t>
      </w:r>
      <w:r>
        <w:rPr>
          <w:rFonts w:hint="eastAsia" w:ascii="宋体" w:hAnsi="宋体" w:eastAsia="宋体" w:cs="宋体"/>
          <w:b w:val="0"/>
          <w:bCs/>
          <w:color w:val="auto"/>
          <w:sz w:val="24"/>
          <w:szCs w:val="24"/>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E384EA9">
      <w:pPr>
        <w:pStyle w:val="58"/>
        <w:keepNext w:val="0"/>
        <w:keepLines w:val="0"/>
        <w:pageBreakBefore w:val="0"/>
        <w:kinsoku/>
        <w:wordWrap/>
        <w:overflowPunct/>
        <w:topLinePunct w:val="0"/>
        <w:bidi w:val="0"/>
        <w:spacing w:before="0" w:line="440" w:lineRule="exact"/>
        <w:ind w:firstLine="643"/>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7.5</w:t>
      </w:r>
      <w:r>
        <w:rPr>
          <w:rFonts w:hint="eastAsia" w:ascii="宋体" w:hAnsi="宋体" w:eastAsia="宋体" w:cs="宋体"/>
          <w:b w:val="0"/>
          <w:bCs/>
          <w:color w:val="auto"/>
          <w:sz w:val="24"/>
          <w:szCs w:val="24"/>
          <w:highlight w:val="none"/>
        </w:rPr>
        <w:t>（综合评分法、非单一产品采购项目适用）通过资格审查、符合性审查的不同投标人参加同一合同项下投标时，提供的核心产品品牌均相同的，按照上条款处理。</w:t>
      </w:r>
    </w:p>
    <w:p w14:paraId="6B52E88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bookmarkStart w:id="76" w:name="_Toc91899903"/>
    </w:p>
    <w:p w14:paraId="0D800DD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四、开标和评标</w:t>
      </w:r>
    </w:p>
    <w:p w14:paraId="4511E0E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电子招投标开标及评审程序</w:t>
      </w:r>
    </w:p>
    <w:p w14:paraId="1CBF57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1.1投标截止时间后，主持人宣布开标会开始。</w:t>
      </w:r>
    </w:p>
    <w:p w14:paraId="0F64CB3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1.2投标人登录乐采云平台，用“项目采购-开标评标”功能对电子投标文件进行在线解密。在线解密电子投标文件时间为开标时间起30分钟内。</w:t>
      </w:r>
    </w:p>
    <w:p w14:paraId="2728C48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采购人或采购代理机构对招标文件资格进行审查。</w:t>
      </w:r>
    </w:p>
    <w:p w14:paraId="59C6577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招标文件符合性进行审查，对符合性通过的商务技术文件进行评审</w:t>
      </w:r>
      <w:r>
        <w:rPr>
          <w:rFonts w:hint="eastAsia" w:ascii="宋体" w:hAnsi="宋体" w:eastAsia="宋体" w:cs="宋体"/>
          <w:color w:val="auto"/>
          <w:sz w:val="24"/>
          <w:szCs w:val="24"/>
          <w:highlight w:val="none"/>
        </w:rPr>
        <w:t>。</w:t>
      </w:r>
    </w:p>
    <w:p w14:paraId="2012FB6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主持人宣布商务技术得分及无效（废）投标情形（如有），公布经商务技术（资信）评审符合招标文件要求的投标人名单及其商务技术得分。</w:t>
      </w:r>
    </w:p>
    <w:p w14:paraId="5EC61B0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启封报价文件资料。</w:t>
      </w:r>
    </w:p>
    <w:p w14:paraId="7C3D5E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评标委员会对投标文件报价文件资料进行评审，核准投标报价及计算价格分，汇总商务技术分、价格分，根据得分排序确定中标候选人。</w:t>
      </w:r>
    </w:p>
    <w:p w14:paraId="529A221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主持人公布评标结果。</w:t>
      </w:r>
    </w:p>
    <w:p w14:paraId="7B0C897D">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特别说明：乐采云公司如对电子化开标及评审程序有调整的，按调整后的程序操作。</w:t>
      </w:r>
    </w:p>
    <w:p w14:paraId="00F7AA1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1BF90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51C412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126303C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670DA3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7A36350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2738AF5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2A7DBC4">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w:t>
      </w:r>
    </w:p>
    <w:p w14:paraId="0EAF87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541A53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3.2评标工作由评标委员会负责。评标委员会按有关规定产生。评标委员会由采购人代表和评审专家组成，成员人员为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人（含）以上单数。</w:t>
      </w:r>
    </w:p>
    <w:p w14:paraId="5662B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评标委员会可以要求投标人对其投标文件中含义不明确的内容作必要的澄清或者说明，但澄清或者说明不得超过投标文件的范围或者改变投标文件的实质性内容。</w:t>
      </w:r>
    </w:p>
    <w:p w14:paraId="48B859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1DCCFD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供应商通过乐采云平台交换的数据电文必须进行电子签章。</w:t>
      </w:r>
    </w:p>
    <w:p w14:paraId="64B6351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0FF28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评标委员会对投标文件的判定，只依据投标文件和招标文件内容本身，不依据任何外来证明。</w:t>
      </w:r>
    </w:p>
    <w:p w14:paraId="188446B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评标委员会不向落标方解释落标的原因。</w:t>
      </w:r>
    </w:p>
    <w:p w14:paraId="76B65F1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投标文件的初审鉴定</w:t>
      </w:r>
    </w:p>
    <w:p w14:paraId="6092DB4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267CCA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06D972C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45E712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3FFE2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29009306">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5</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sz w:val="24"/>
          <w:szCs w:val="24"/>
          <w:highlight w:val="none"/>
        </w:rPr>
        <w:t>投标文件报价出现前后不一致的，按照下列规定修正：</w:t>
      </w:r>
    </w:p>
    <w:p w14:paraId="3F7C56E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399FEFA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154CB8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009D03F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4637C44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val="en-US" w:eastAsia="zh-CN"/>
        </w:rPr>
        <w:t>参照相关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eastAsia="宋体" w:cs="宋体"/>
          <w:color w:val="auto"/>
          <w:sz w:val="24"/>
          <w:szCs w:val="24"/>
          <w:highlight w:val="none"/>
        </w:rPr>
        <w:t>经投标人确认后产生约束力，投标人不确认的，其投标无效。</w:t>
      </w:r>
    </w:p>
    <w:p w14:paraId="751A981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0E596C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30F6CB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27691E7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0311C805">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6.4在评审过程中，如属于实质性偏离或符合无效响应条件的，应当询问相关投标人，并可对其通过乐采云平台进行线上确认，但不允许对偏离条款进行补充、修正或撤回。</w:t>
      </w:r>
    </w:p>
    <w:p w14:paraId="2B3591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51F2B40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4E72EE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27ACDBB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6294E0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如需投标价格修正，按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规定对投标价格进行修正。</w:t>
      </w:r>
    </w:p>
    <w:p w14:paraId="328D78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65DAF938">
      <w:pPr>
        <w:pStyle w:val="7"/>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4F8E3B31">
      <w:pPr>
        <w:pStyle w:val="7"/>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7.1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263DB00">
      <w:pPr>
        <w:pStyle w:val="14"/>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4166F6BD">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4388B9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8.1投标人不具备招标文件中规定的资格要求的（投标人未提供有效的资格文件的，视为投标人不具备招标文件中规定的资格要求）；</w:t>
      </w:r>
    </w:p>
    <w:p w14:paraId="664FAE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8.2未按照招标文件规定要求签字或盖章的；</w:t>
      </w:r>
    </w:p>
    <w:p w14:paraId="1D20C8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8.3</w:t>
      </w:r>
      <w:r>
        <w:rPr>
          <w:rFonts w:hint="eastAsia" w:ascii="宋体" w:hAnsi="宋体" w:eastAsia="宋体" w:cs="宋体"/>
          <w:b w:val="0"/>
          <w:bCs w:val="0"/>
          <w:color w:val="auto"/>
          <w:sz w:val="24"/>
          <w:szCs w:val="24"/>
          <w:highlight w:val="none"/>
        </w:rPr>
        <w:t>单位负责人为同一人或者存在直接控股、管理关系的不同供应商参加同一合同项下的采购活动的（均无效）；</w:t>
      </w:r>
    </w:p>
    <w:p w14:paraId="6557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为采购项目提供整体设计、规范编制或者项目管理、监理、检测等服务的供应商参加该采购项目的其他采购活动的； </w:t>
      </w:r>
    </w:p>
    <w:p w14:paraId="6F2549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8.5《法定代表人身份证明书》与提供的身份证复印件信息不符的；《法定代表人授权委托书》与提供的身份证复印件信息不符的；</w:t>
      </w:r>
    </w:p>
    <w:p w14:paraId="127B15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8.6《法定代表人授权委托书》或《法定代表人身份证明书》填写不全、错误、</w:t>
      </w:r>
      <w:r>
        <w:rPr>
          <w:rFonts w:hint="eastAsia" w:ascii="宋体" w:hAnsi="宋体" w:eastAsia="宋体" w:cs="宋体"/>
          <w:b w:val="0"/>
          <w:bCs w:val="0"/>
          <w:color w:val="auto"/>
          <w:sz w:val="24"/>
          <w:szCs w:val="24"/>
          <w:highlight w:val="none"/>
          <w:lang w:val="en-US" w:eastAsia="zh-CN"/>
        </w:rPr>
        <w:t>或授权代表未经有效授权的</w:t>
      </w:r>
      <w:r>
        <w:rPr>
          <w:rFonts w:hint="eastAsia" w:ascii="宋体" w:hAnsi="宋体" w:eastAsia="宋体" w:cs="宋体"/>
          <w:b w:val="0"/>
          <w:bCs w:val="0"/>
          <w:color w:val="auto"/>
          <w:sz w:val="24"/>
          <w:szCs w:val="24"/>
          <w:highlight w:val="none"/>
        </w:rPr>
        <w:t>；</w:t>
      </w:r>
    </w:p>
    <w:p w14:paraId="43417EC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授权代表非投标单位正式职工的（以社保证明为准，如授权代表为离退休返聘人员的，需提供退休证明及单位聘用证明），法定代表人及个体工商户除外；</w:t>
      </w:r>
    </w:p>
    <w:p w14:paraId="28591C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投标文件中承诺的投标有效期少于招标文件中载明的投标有效期的；</w:t>
      </w:r>
    </w:p>
    <w:p w14:paraId="63D1D8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报价一经涂改，未在涂改处加盖投标单位公章或者未经法定代表人或其授权代表签字或盖章的；</w:t>
      </w:r>
    </w:p>
    <w:p w14:paraId="20C6D5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未按招标文件规定的格式填写，或对招标服务或技术或产品等要求未详细应答或应答内容不全、有缺失的,经评标委员会认定为无法评审的；</w:t>
      </w:r>
    </w:p>
    <w:p w14:paraId="258A3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出现同一标的物或本次招标产品(服务)内的主要产品(重要组成部分)出现商务技术（资信）文件资料、报价文件资料描述不一致或前后描述不一致，经评标委员会认定后为无法评审的；</w:t>
      </w:r>
    </w:p>
    <w:p w14:paraId="296AC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投标有效期、服务期、付款方式、履约保证金等商务条款不能满足招标文件要求的</w:t>
      </w:r>
      <w:r>
        <w:rPr>
          <w:rFonts w:hint="eastAsia" w:ascii="宋体" w:hAnsi="宋体" w:eastAsia="宋体" w:cs="宋体"/>
          <w:b w:val="0"/>
          <w:bCs w:val="0"/>
          <w:color w:val="auto"/>
          <w:sz w:val="24"/>
          <w:szCs w:val="24"/>
          <w:highlight w:val="none"/>
        </w:rPr>
        <w:t>；</w:t>
      </w:r>
    </w:p>
    <w:p w14:paraId="6D5AA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投标文件含有采购人不能接受的附加条件；</w:t>
      </w:r>
    </w:p>
    <w:p w14:paraId="0801DB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val="0"/>
          <w:bCs w:val="0"/>
          <w:color w:val="auto"/>
          <w:sz w:val="24"/>
          <w:szCs w:val="24"/>
          <w:highlight w:val="none"/>
          <w:lang w:eastAsia="zh-CN"/>
        </w:rPr>
        <w:t>；</w:t>
      </w:r>
    </w:p>
    <w:p w14:paraId="78AD2C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报价超过招标文件中规定的预算金额或最高限价的</w:t>
      </w:r>
      <w:r>
        <w:rPr>
          <w:rFonts w:hint="eastAsia" w:ascii="宋体" w:hAnsi="宋体" w:cs="宋体"/>
          <w:b w:val="0"/>
          <w:bCs w:val="0"/>
          <w:color w:val="auto"/>
          <w:sz w:val="24"/>
          <w:szCs w:val="24"/>
          <w:highlight w:val="none"/>
          <w:lang w:eastAsia="zh-CN"/>
        </w:rPr>
        <w:t>；</w:t>
      </w:r>
    </w:p>
    <w:p w14:paraId="4ABF1B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投标文件“商务技术（资信）文件资料”部分中出现《开标一览表》相关内容的；</w:t>
      </w:r>
    </w:p>
    <w:p w14:paraId="5C4C59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评标委员会</w:t>
      </w:r>
      <w:r>
        <w:rPr>
          <w:rFonts w:hint="eastAsia" w:ascii="宋体" w:hAnsi="宋体" w:eastAsia="宋体" w:cs="宋体"/>
          <w:color w:val="auto"/>
          <w:sz w:val="24"/>
          <w:szCs w:val="24"/>
          <w:highlight w:val="none"/>
        </w:rPr>
        <w:t>认定有重大偏差或</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实质性不响应</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eastAsia="zh-CN"/>
        </w:rPr>
        <w:t>；</w:t>
      </w:r>
    </w:p>
    <w:p w14:paraId="792A61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8.1</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《开标一览表》填写不完整或字迹不能辨认或有漏项的，经评标委员会认定属于重大偏差的；</w:t>
      </w:r>
    </w:p>
    <w:p w14:paraId="7B475B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投标人对根据修正原则修正后的报价不确认的；</w:t>
      </w:r>
    </w:p>
    <w:p w14:paraId="21689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kern w:val="0"/>
          <w:sz w:val="24"/>
          <w:szCs w:val="24"/>
          <w:highlight w:val="none"/>
          <w:lang w:val="en-US" w:eastAsia="zh-CN"/>
        </w:rPr>
        <w:t>8.2</w:t>
      </w:r>
      <w:r>
        <w:rPr>
          <w:rFonts w:hint="eastAsia" w:ascii="宋体" w:hAnsi="宋体" w:cs="宋体"/>
          <w:b w:val="0"/>
          <w:bCs/>
          <w:color w:val="auto"/>
          <w:kern w:val="0"/>
          <w:sz w:val="24"/>
          <w:szCs w:val="24"/>
          <w:highlight w:val="none"/>
          <w:lang w:val="en-US" w:eastAsia="zh-CN"/>
        </w:rPr>
        <w:t>0</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color w:val="auto"/>
          <w:sz w:val="24"/>
          <w:szCs w:val="24"/>
          <w:highlight w:val="none"/>
        </w:rPr>
        <w:t>递交两份或两份以上内容不同的</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文件，且未声明哪一份有效的；</w:t>
      </w:r>
    </w:p>
    <w:p w14:paraId="1A506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投标人提供虚假材料投标的（包括但不限于以下情节）</w:t>
      </w:r>
      <w:r>
        <w:rPr>
          <w:rFonts w:hint="eastAsia" w:ascii="宋体" w:hAnsi="宋体" w:eastAsia="宋体" w:cs="宋体"/>
          <w:b w:val="0"/>
          <w:bCs w:val="0"/>
          <w:color w:val="auto"/>
          <w:sz w:val="24"/>
          <w:szCs w:val="24"/>
          <w:highlight w:val="none"/>
          <w:lang w:eastAsia="zh-CN"/>
        </w:rPr>
        <w:t>：</w:t>
      </w:r>
    </w:p>
    <w:p w14:paraId="4718A2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.1使用伪造、变造的许可证件；</w:t>
      </w:r>
    </w:p>
    <w:p w14:paraId="07D079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.2提供虚假的财务状况或者业绩；</w:t>
      </w:r>
    </w:p>
    <w:p w14:paraId="4DE230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.3提供虚假的项目负责人或者主要技术人员简历、劳动关系证明；</w:t>
      </w:r>
    </w:p>
    <w:p w14:paraId="64F0FF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4提供虚假的信用状况；</w:t>
      </w:r>
    </w:p>
    <w:p w14:paraId="64F379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.5其他弄虚作假的行为。</w:t>
      </w:r>
    </w:p>
    <w:p w14:paraId="27C813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下列情形之一的，视为投标人串通投标，其投标无效：</w:t>
      </w:r>
    </w:p>
    <w:p w14:paraId="57B57B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.1不同投标人的投标文件由同一单位或者个人编制；</w:t>
      </w:r>
    </w:p>
    <w:p w14:paraId="5B0661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.2不同投标人委托同一单位或者个人办理投标事宜；</w:t>
      </w:r>
    </w:p>
    <w:p w14:paraId="5C1E78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.3不同投标人的投标文件载明的项目管理成员或者联系人员为同一人；</w:t>
      </w:r>
    </w:p>
    <w:p w14:paraId="5DF7E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.4不同投标人的投标文件异常一致或者投标报价呈规律性差异；</w:t>
      </w:r>
    </w:p>
    <w:p w14:paraId="07F92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.5不同投标人的投标文件相互混装；</w:t>
      </w:r>
    </w:p>
    <w:p w14:paraId="714B31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1A027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有下列情形之一的，属于恶意串通，其投标无效：</w:t>
      </w:r>
    </w:p>
    <w:p w14:paraId="5CEF1E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.1供应商直接或者间接从采购人或者采购机构处获得其他供应商的相关情况并修改其投标文件或者响应文件；</w:t>
      </w:r>
    </w:p>
    <w:p w14:paraId="6AE315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.2供应商按照采购人或者采购机构的授意撤换、修改投标文件或者响应文件；</w:t>
      </w:r>
    </w:p>
    <w:p w14:paraId="3F9497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.3供应商之间协商报价、技术方案等投标文件或者响应文件的实质性内容；</w:t>
      </w:r>
    </w:p>
    <w:p w14:paraId="2ADC66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.4属于同一集团、协会、商会等组织成员的供应商按照该组织要求协同参加采购活动；</w:t>
      </w:r>
    </w:p>
    <w:p w14:paraId="597BA6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.5供应商之间事先约定由某一特定供应商中标、成交；</w:t>
      </w:r>
    </w:p>
    <w:p w14:paraId="6901C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.6供应商之间商定部分供应商放弃参加采购活动或者放弃中标、成交；</w:t>
      </w:r>
    </w:p>
    <w:p w14:paraId="592B5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.7供应商与采购人或者采购机构之间、供应商相互之间，为谋求特定供应商中标、成交或者排斥其他供应商的其他串通行为。</w:t>
      </w:r>
    </w:p>
    <w:p w14:paraId="371E1B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评标委员会认定有重大偏差或实质性不响应招标文件要求的；</w:t>
      </w:r>
    </w:p>
    <w:p w14:paraId="3D9437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投标文件出现不是唯一的、有选择性投标报价的；</w:t>
      </w:r>
    </w:p>
    <w:p w14:paraId="68B1DE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8.2</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其他违反法律、法规的情形。</w:t>
      </w:r>
    </w:p>
    <w:p w14:paraId="496F0A9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9.废标的情形</w:t>
      </w:r>
    </w:p>
    <w:p w14:paraId="33B5BF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在招标采购中，出现下列情形之一的，应予废标：</w:t>
      </w:r>
    </w:p>
    <w:p w14:paraId="48FFAE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9.1符合专业条件的投标人或者对招标文件作实质性响应的投标人不足三家的；</w:t>
      </w:r>
    </w:p>
    <w:p w14:paraId="5C22D6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9.2出现影响采购公正的违法、违规行为的；</w:t>
      </w:r>
    </w:p>
    <w:p w14:paraId="792C7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9.3投标人的报价均超过了采购预算，采购人不能支付的；</w:t>
      </w:r>
    </w:p>
    <w:p w14:paraId="6ED1C5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9.4因重大变故，采购任务取消的。</w:t>
      </w:r>
    </w:p>
    <w:p w14:paraId="7737C1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.评标过程保密</w:t>
      </w:r>
    </w:p>
    <w:p w14:paraId="3BD6F0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B8C68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.2 在评标期间，投标人企图影响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bookmarkEnd w:id="76"/>
    <w:p w14:paraId="60C10663">
      <w:pPr>
        <w:pStyle w:val="14"/>
        <w:keepNext w:val="0"/>
        <w:keepLines w:val="0"/>
        <w:pageBreakBefore w:val="0"/>
        <w:kinsoku/>
        <w:wordWrap/>
        <w:overflowPunct/>
        <w:topLinePunct w:val="0"/>
        <w:bidi w:val="0"/>
        <w:spacing w:line="440" w:lineRule="exact"/>
        <w:ind w:firstLine="726"/>
        <w:jc w:val="center"/>
        <w:textAlignment w:val="auto"/>
        <w:rPr>
          <w:rFonts w:hint="eastAsia" w:ascii="宋体" w:hAnsi="宋体" w:eastAsia="宋体" w:cs="宋体"/>
          <w:b/>
          <w:color w:val="auto"/>
          <w:sz w:val="28"/>
          <w:szCs w:val="28"/>
          <w:highlight w:val="none"/>
        </w:rPr>
      </w:pPr>
      <w:bookmarkStart w:id="77" w:name="_Toc81372953"/>
      <w:bookmarkStart w:id="78" w:name="_Toc84325929"/>
      <w:bookmarkStart w:id="79" w:name="_Toc81372776"/>
      <w:r>
        <w:rPr>
          <w:rFonts w:hint="eastAsia" w:ascii="宋体" w:hAnsi="宋体" w:eastAsia="宋体" w:cs="宋体"/>
          <w:b/>
          <w:color w:val="auto"/>
          <w:sz w:val="28"/>
          <w:szCs w:val="28"/>
          <w:highlight w:val="none"/>
        </w:rPr>
        <w:t>五、授予合同</w:t>
      </w:r>
    </w:p>
    <w:bookmarkEnd w:id="77"/>
    <w:bookmarkEnd w:id="78"/>
    <w:bookmarkEnd w:id="79"/>
    <w:p w14:paraId="50D9A024">
      <w:pPr>
        <w:pStyle w:val="7"/>
        <w:keepNext w:val="0"/>
        <w:keepLines w:val="0"/>
        <w:pageBreakBefore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7F5457D8">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1239B02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0318CBB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最为有利，最大限度满足招标文件的要求；</w:t>
      </w:r>
    </w:p>
    <w:p w14:paraId="0AC88EC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3DA4812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将把中标通知书授予最佳投标者，但最低价不是中标的绝对保证。</w:t>
      </w:r>
    </w:p>
    <w:p w14:paraId="175F3218">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1FDEE4B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1FA972B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6AB0EC6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6E4ADC7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中标通知</w:t>
      </w:r>
    </w:p>
    <w:p w14:paraId="13E57C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3.1采购代理机构对中标结果在指定媒体（浙江政府采购网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）发布中标公告，中标公告期限为1个工作日。</w:t>
      </w:r>
    </w:p>
    <w:p w14:paraId="11B604A0">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3.2采购</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szCs w:val="24"/>
          <w:highlight w:val="none"/>
          <w:lang w:val="zh-CN"/>
        </w:rPr>
        <w:t>。</w:t>
      </w:r>
    </w:p>
    <w:p w14:paraId="59341C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09161FFE">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DD3C4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4.1中标单位按照招标文件规定递交履约保证金。</w:t>
      </w:r>
    </w:p>
    <w:p w14:paraId="0F8A12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4.2签订合同后，如中标单位不按双方合同约定履约，则没收其全部履约保证金，履约保证金不足以赔偿损失的，按实际损失赔偿。</w:t>
      </w:r>
    </w:p>
    <w:p w14:paraId="625F1483">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4.3中标单位如未按时交纳履约保证金，采购人有权撤销其中标资格，报请批准后另行采购。</w:t>
      </w:r>
    </w:p>
    <w:p w14:paraId="4E30DE3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合同签订及备案</w:t>
      </w:r>
    </w:p>
    <w:p w14:paraId="010758B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中标人应当在中标通知书发出之日起30天内</w:t>
      </w:r>
      <w:r>
        <w:rPr>
          <w:rFonts w:hint="eastAsia" w:ascii="宋体" w:hAnsi="宋体" w:eastAsia="宋体" w:cs="宋体"/>
          <w:color w:val="auto"/>
          <w:sz w:val="24"/>
          <w:szCs w:val="24"/>
          <w:highlight w:val="none"/>
        </w:rPr>
        <w:t>（投诉处理等原因导致签订合同延误的除外）</w:t>
      </w:r>
      <w:r>
        <w:rPr>
          <w:rFonts w:hint="eastAsia" w:ascii="宋体" w:hAnsi="宋体" w:eastAsia="宋体" w:cs="宋体"/>
          <w:color w:val="auto"/>
          <w:sz w:val="24"/>
          <w:szCs w:val="24"/>
          <w:highlight w:val="none"/>
          <w:lang w:val="en-US" w:eastAsia="zh-CN"/>
        </w:rPr>
        <w:t>与采购人签订合同</w:t>
      </w:r>
      <w:r>
        <w:rPr>
          <w:rFonts w:hint="eastAsia" w:ascii="宋体" w:hAnsi="宋体" w:eastAsia="宋体" w:cs="宋体"/>
          <w:color w:val="auto"/>
          <w:sz w:val="24"/>
          <w:szCs w:val="24"/>
          <w:highlight w:val="none"/>
        </w:rPr>
        <w:t>，自采购合同签订之日起</w:t>
      </w:r>
      <w:r>
        <w:rPr>
          <w:rFonts w:hint="eastAsia" w:ascii="宋体" w:hAnsi="宋体" w:eastAsia="宋体" w:cs="宋体"/>
          <w:b w:val="0"/>
          <w:bCs w:val="0"/>
          <w:color w:val="auto"/>
          <w:sz w:val="24"/>
          <w:szCs w:val="24"/>
          <w:highlight w:val="none"/>
        </w:rPr>
        <w:t>3个工作日内</w:t>
      </w:r>
      <w:r>
        <w:rPr>
          <w:rFonts w:hint="eastAsia" w:ascii="宋体" w:hAnsi="宋体" w:eastAsia="宋体" w:cs="宋体"/>
          <w:color w:val="auto"/>
          <w:sz w:val="24"/>
          <w:szCs w:val="24"/>
          <w:highlight w:val="none"/>
        </w:rPr>
        <w:t>，通过电子交易平台进行备案。</w:t>
      </w:r>
    </w:p>
    <w:p w14:paraId="0022E9C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5.2如中标人为联合体的，由联合体成员各方法定代表人或其授权代表与采购人代表签订合同。</w:t>
      </w:r>
    </w:p>
    <w:p w14:paraId="45CC1EE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083FE1C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1B451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706B58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336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CAD2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77DF7D8B">
      <w:pPr>
        <w:keepNext w:val="0"/>
        <w:keepLines w:val="0"/>
        <w:pageBreakBefore w:val="0"/>
        <w:kinsoku/>
        <w:wordWrap/>
        <w:overflowPunct/>
        <w:topLinePunct w:val="0"/>
        <w:bidi w:val="0"/>
        <w:adjustRightInd/>
        <w:spacing w:line="440" w:lineRule="exact"/>
        <w:ind w:left="0" w:leftChars="0" w:firstLine="0" w:firstLineChars="0"/>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bCs/>
          <w:color w:val="auto"/>
          <w:sz w:val="28"/>
          <w:szCs w:val="28"/>
          <w:highlight w:val="none"/>
        </w:rPr>
        <w:t>询问、质疑与投诉</w:t>
      </w:r>
    </w:p>
    <w:p w14:paraId="77933E3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1.在线询问、质疑、投诉</w:t>
      </w:r>
    </w:p>
    <w:p w14:paraId="7C3506E6">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AA908F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2.供应商询问</w:t>
      </w:r>
    </w:p>
    <w:p w14:paraId="3A9B1893">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ABB6C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3.供应商质疑</w:t>
      </w:r>
    </w:p>
    <w:p w14:paraId="08FE98CE">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sz w:val="24"/>
          <w:szCs w:val="24"/>
          <w:highlight w:val="none"/>
        </w:rPr>
        <w:t>.1质疑提出时效</w:t>
      </w:r>
    </w:p>
    <w:p w14:paraId="58870B6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8BA79C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0"/>
          <w:sz w:val="24"/>
          <w:szCs w:val="24"/>
          <w:highlight w:val="none"/>
          <w:vertAlign w:val="baseline"/>
          <w:lang w:val="zh-CN" w:eastAsia="zh-CN" w:bidi="ar-SA"/>
        </w:rPr>
        <w:t>3</w:t>
      </w:r>
      <w:r>
        <w:rPr>
          <w:rFonts w:hint="eastAsia" w:ascii="宋体" w:hAnsi="宋体" w:eastAsia="宋体" w:cs="宋体"/>
          <w:b w:val="0"/>
          <w:bCs w:val="0"/>
          <w:i w:val="0"/>
          <w:iCs w:val="0"/>
          <w:color w:val="auto"/>
          <w:kern w:val="2"/>
          <w:sz w:val="24"/>
          <w:szCs w:val="24"/>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750ED13E">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snapToGrid/>
          <w:color w:val="auto"/>
          <w:kern w:val="2"/>
          <w:sz w:val="24"/>
          <w:szCs w:val="24"/>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29B6133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3.1.2.2对采购过程提出质疑的，质疑期限为各采购程序环节结束之日起计算。</w:t>
      </w:r>
    </w:p>
    <w:p w14:paraId="4DD29FD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3.1.2.3对采购结果提出质疑的，质疑期限自采购结果公告期限届满之日起计算。</w:t>
      </w:r>
    </w:p>
    <w:p w14:paraId="20146074">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i w:val="0"/>
          <w:iCs w:val="0"/>
          <w:color w:val="auto"/>
          <w:kern w:val="2"/>
          <w:sz w:val="24"/>
          <w:szCs w:val="24"/>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eastAsia" w:ascii="宋体" w:hAnsi="宋体" w:eastAsia="宋体" w:cs="宋体"/>
          <w:b/>
          <w:bCs/>
          <w:i w:val="0"/>
          <w:iCs w:val="0"/>
          <w:color w:val="auto"/>
          <w:kern w:val="2"/>
          <w:sz w:val="24"/>
          <w:szCs w:val="24"/>
          <w:highlight w:val="none"/>
          <w:vertAlign w:val="baseline"/>
          <w:lang w:val="en-US" w:eastAsia="zh-CN" w:bidi="ar-SA"/>
        </w:rPr>
        <w:t>。</w:t>
      </w:r>
    </w:p>
    <w:p w14:paraId="3161E2AB">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73DAA70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3.2.1供应商提出质疑应当提交质疑函和必要的证明材料。质疑函应当包括下列内容：</w:t>
      </w:r>
    </w:p>
    <w:p w14:paraId="5700451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576F54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7152F33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33890E2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41F91D6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36C0CF6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6B96B99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b w:val="0"/>
          <w:bCs w:val="0"/>
          <w:i w:val="0"/>
          <w:iCs w:val="0"/>
          <w:color w:val="auto"/>
          <w:kern w:val="2"/>
          <w:sz w:val="24"/>
          <w:szCs w:val="24"/>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i w:val="0"/>
          <w:iCs w:val="0"/>
          <w:color w:val="auto"/>
          <w:kern w:val="2"/>
          <w:sz w:val="24"/>
          <w:szCs w:val="24"/>
          <w:highlight w:val="none"/>
          <w:vertAlign w:val="baseline"/>
          <w:lang w:val="en-US" w:eastAsia="zh-CN" w:bidi="ar-SA"/>
        </w:rPr>
        <w:t>质疑函不符合相关规定的，应在规定期限内补齐的，招标方自收到补齐材料之日起受理；逾期未补齐的，按自动撤回质疑处理。</w:t>
      </w:r>
    </w:p>
    <w:p w14:paraId="16B5A0D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质疑函范本及制作说明详见附件1。</w:t>
      </w:r>
    </w:p>
    <w:p w14:paraId="7225E21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4.供应商投诉</w:t>
      </w:r>
    </w:p>
    <w:p w14:paraId="5708120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4.1质疑供应商对采购人或采购代理机构的答复不满意或者采购人、采购代理机构未在规定的时间内作出答复的，可以在答复期满后十五个工作日内向采购监督管理部门提出投诉。</w:t>
      </w:r>
    </w:p>
    <w:p w14:paraId="1F29E72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4.2供应商投诉的事项不得超出已质疑事项的范围，基于质疑答复内容提出的投诉事项除外。</w:t>
      </w:r>
    </w:p>
    <w:p w14:paraId="63B954F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1905BC9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19669DF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r>
        <w:rPr>
          <w:rFonts w:hint="eastAsia" w:ascii="宋体" w:hAnsi="宋体" w:eastAsia="宋体" w:cs="宋体"/>
          <w:b w:val="0"/>
          <w:bCs w:val="0"/>
          <w:color w:val="auto"/>
          <w:sz w:val="24"/>
          <w:szCs w:val="24"/>
          <w:highlight w:val="none"/>
        </w:rPr>
        <w:t>投诉书范本及制作说明详见附件2</w:t>
      </w:r>
    </w:p>
    <w:bookmarkEnd w:id="75"/>
    <w:p w14:paraId="4A7E25D6">
      <w:pPr>
        <w:pStyle w:val="75"/>
        <w:ind w:firstLine="0" w:firstLineChars="0"/>
        <w:jc w:val="center"/>
        <w:rPr>
          <w:rFonts w:asciiTheme="minorEastAsia" w:hAnsiTheme="minorEastAsia" w:eastAsiaTheme="minorEastAsia" w:cstheme="minorEastAsia"/>
          <w:b/>
          <w:bCs/>
          <w:kern w:val="0"/>
          <w:sz w:val="36"/>
          <w:szCs w:val="36"/>
        </w:rPr>
      </w:pPr>
      <w:bookmarkStart w:id="80" w:name="_Toc5628"/>
      <w:bookmarkStart w:id="81" w:name="_Toc304551332"/>
      <w:bookmarkStart w:id="82" w:name="_Toc226337802"/>
      <w:bookmarkStart w:id="83" w:name="_Toc297662418"/>
      <w:bookmarkStart w:id="84" w:name="_Toc248065080"/>
      <w:bookmarkStart w:id="85" w:name="_Toc148453844"/>
      <w:bookmarkStart w:id="86" w:name="_Toc180555960"/>
      <w:bookmarkStart w:id="87" w:name="_Toc465774040"/>
      <w:bookmarkStart w:id="88" w:name="_Toc148453847"/>
      <w:bookmarkStart w:id="89" w:name="_Toc22296"/>
      <w:bookmarkStart w:id="90" w:name="_Toc149016131"/>
      <w:bookmarkStart w:id="91" w:name="_Toc4674"/>
      <w:r>
        <w:rPr>
          <w:rFonts w:hint="eastAsia" w:asciiTheme="minorEastAsia" w:hAnsiTheme="minorEastAsia" w:eastAsiaTheme="minorEastAsia" w:cstheme="minorEastAsia"/>
          <w:b/>
          <w:bCs/>
          <w:kern w:val="0"/>
          <w:sz w:val="36"/>
          <w:szCs w:val="36"/>
        </w:rPr>
        <w:t>第三部分  项目招标范围及服务要求</w:t>
      </w:r>
    </w:p>
    <w:p w14:paraId="008894F2">
      <w:pPr>
        <w:pStyle w:val="75"/>
        <w:spacing w:line="360" w:lineRule="auto"/>
        <w:ind w:firstLine="442"/>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一、项目概况</w:t>
      </w:r>
    </w:p>
    <w:p w14:paraId="0BBA5DA4">
      <w:pPr>
        <w:ind w:firstLine="560"/>
        <w:rPr>
          <w:rFonts w:hint="eastAsia" w:ascii="宋体" w:hAnsi="宋体" w:eastAsia="宋体" w:cs="宋体"/>
          <w:sz w:val="24"/>
          <w:szCs w:val="24"/>
        </w:rPr>
      </w:pPr>
      <w:r>
        <w:rPr>
          <w:rFonts w:hint="eastAsia" w:ascii="宋体" w:hAnsi="宋体" w:eastAsia="宋体" w:cs="宋体"/>
          <w:sz w:val="24"/>
          <w:szCs w:val="24"/>
        </w:rPr>
        <w:t>响应国家一号文件精神，以粮食“稳产保供”的核心要求为指导目标，基于甘霖镇孔村及沙地村多年扎实的粮食基础，结合现代农业数字化感知技术，综合提升农田生产效率和风险预警能力，引领示范现代高标准农田建设新模式。以高标准农田标准建设提升2000亩耕地数字化水平，建设一套完备的综合四情监测点，实现全部300多个闸门、5个泵站、31个监控点位、</w:t>
      </w:r>
      <w:r>
        <w:rPr>
          <w:rFonts w:hint="eastAsia" w:ascii="宋体" w:hAnsi="宋体" w:eastAsia="宋体" w:cs="宋体"/>
          <w:sz w:val="24"/>
          <w:szCs w:val="24"/>
          <w:lang w:val="en-US" w:eastAsia="zh-CN"/>
        </w:rPr>
        <w:t>60</w:t>
      </w:r>
      <w:r>
        <w:rPr>
          <w:rFonts w:hint="eastAsia" w:ascii="宋体" w:hAnsi="宋体" w:eastAsia="宋体" w:cs="宋体"/>
          <w:sz w:val="24"/>
          <w:szCs w:val="24"/>
        </w:rPr>
        <w:t>个景观杀虫灯的全面联网，引领示范甘霖镇农田数字化提升建设。</w:t>
      </w:r>
    </w:p>
    <w:p w14:paraId="5A008A7D">
      <w:pPr>
        <w:ind w:firstLine="560"/>
        <w:rPr>
          <w:rFonts w:hint="eastAsia" w:ascii="宋体" w:hAnsi="宋体" w:eastAsia="宋体" w:cs="宋体"/>
          <w:b/>
          <w:bCs/>
          <w:kern w:val="0"/>
          <w:sz w:val="24"/>
          <w:szCs w:val="24"/>
        </w:rPr>
      </w:pPr>
      <w:r>
        <w:rPr>
          <w:rFonts w:hint="eastAsia" w:ascii="宋体" w:hAnsi="宋体" w:eastAsia="宋体" w:cs="宋体"/>
          <w:sz w:val="24"/>
          <w:szCs w:val="24"/>
        </w:rPr>
        <w:t>预期实现甘霖镇孔村及沙地村区域的农田生产数字化管理，提升过的高标准农田上图入库、粮食生产全过程数字化管控、粮食生产服务的一站到位。融合文旅经营，提升乡村面貌，增加农民收入，增强群众获得感。</w:t>
      </w:r>
    </w:p>
    <w:p w14:paraId="1D92AD72">
      <w:pPr>
        <w:pStyle w:val="35"/>
        <w:numPr>
          <w:ilvl w:val="0"/>
          <w:numId w:val="4"/>
        </w:numPr>
        <w:jc w:val="both"/>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清单内容</w:t>
      </w:r>
    </w:p>
    <w:tbl>
      <w:tblPr>
        <w:tblStyle w:val="27"/>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305"/>
        <w:gridCol w:w="1410"/>
        <w:gridCol w:w="4464"/>
        <w:gridCol w:w="768"/>
        <w:gridCol w:w="859"/>
      </w:tblGrid>
      <w:tr w14:paraId="1B23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AC3B">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4B0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分类</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BA1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名称</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C2A7">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详细描述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E7B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067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r>
      <w:tr w14:paraId="4FE0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AD70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一、数字化装备配套建设</w:t>
            </w:r>
          </w:p>
        </w:tc>
      </w:tr>
      <w:tr w14:paraId="2188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72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B55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物联监测体系（综合监测示范点）</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B2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智能远程虫情测报灯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E3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虫情测报灯是由（撞击屏、昆虫导流屏、昆虫收集盘，昆虫虫水分离系统、昆虫红外烘干系统、昆虫收集处理箱、金属卤化物诱虫灯，光控、雨控、时控系统）等核心部件构成。 </w:t>
            </w:r>
          </w:p>
          <w:p w14:paraId="795B53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 整体设备符合GB/T 24689.1-2009植物保护机械虫情测报灯</w:t>
            </w:r>
          </w:p>
          <w:p w14:paraId="73B8C6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2.能源配置：交流供电，AC220V，50HZ；太阳能供电:400AH,600W；</w:t>
            </w:r>
          </w:p>
          <w:p w14:paraId="797750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3.控制模式：光控，雨控，时控，分段时控，远程控制，可编程自动控制；</w:t>
            </w:r>
          </w:p>
          <w:p w14:paraId="622B7B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4.液晶显示屏：10英寸彩色液晶触摸平板电脑，搭载Android系统操作简单，可通过平板电脑对产品进行控制模式设定、功能测试；</w:t>
            </w:r>
          </w:p>
          <w:p w14:paraId="6A2B76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5.自动落虫机构：害虫通过特殊的落虫机构，进入烘烤系统后，传送到拍照平台上；</w:t>
            </w:r>
          </w:p>
          <w:p w14:paraId="547B9F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6.虫水分离机构：具有自动排水的虫水分离机构，能有效将雨虫分离，箱体内不留明显积水；</w:t>
            </w:r>
          </w:p>
          <w:p w14:paraId="057CAB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 害虫自动烘干功能：采用烘烤技术，定时自动对害虫进行烘干，确保虫体干燥不腐烂，有两个接虫仓，同时烘烤；</w:t>
            </w:r>
          </w:p>
          <w:p w14:paraId="550893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8.烘干温度控制：配有温度自动调节器，工作15分钟后达到85±5℃，烘干时间长度可以自行设置；</w:t>
            </w:r>
          </w:p>
          <w:p w14:paraId="76D1BC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9.烘干杀虫效率：杀虫率&gt;98%，虫体完整率&gt;95%；</w:t>
            </w:r>
          </w:p>
          <w:p w14:paraId="3FA355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10.拍照平台：拍照平台为圆盘结构，并具有自动清洁功能，自动清洁接虫盘上的残余虫尸骸，确保拍照背景清晰；</w:t>
            </w:r>
          </w:p>
          <w:p w14:paraId="762050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11.自动图像采集功能：通过工业相机，1200W像素，定时采集害虫照片，上传到软件平台；</w:t>
            </w:r>
          </w:p>
          <w:p w14:paraId="459A2A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13.兼容性：具有物联网链接端口，可搭载气象、土壤等监测设备，并通过软件平台呈现监测数据；</w:t>
            </w:r>
          </w:p>
          <w:p w14:paraId="62EAAE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14.底部具备大容量接虫仓，方便收集接虫盘上被清理的害虫；</w:t>
            </w:r>
          </w:p>
          <w:p w14:paraId="686D2B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15.自动控制功能：晚上自动开灯，白天自动关灯(或根据时控控制）；</w:t>
            </w:r>
          </w:p>
          <w:p w14:paraId="6131E4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16.时段控制: 可根据靶标害虫生活习性规律，设定多个工作时间段；</w:t>
            </w:r>
          </w:p>
          <w:p w14:paraId="24E21B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17.具有断电记忆功能，断电恢复之后可将断电前的工作做完再开始新的工作；</w:t>
            </w:r>
          </w:p>
          <w:p w14:paraId="773E78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18.具备远程无线重启功能，可通过PC端发送相应的命令进行远程重启；</w:t>
            </w:r>
          </w:p>
          <w:p w14:paraId="5382C1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19.远程调试功能：具备远程调试功能，能提供远距离技术支持服务；</w:t>
            </w:r>
          </w:p>
          <w:p w14:paraId="161EC3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 功耗：测报灯功率：≤187W；待机功率≤15W。</w:t>
            </w:r>
          </w:p>
          <w:p w14:paraId="22A752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 诱虫光源：诱集光源采用功率为18W/波长为320~590(nm)，波峰为372nm的灯管；</w:t>
            </w:r>
          </w:p>
          <w:p w14:paraId="37F9FD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 整体尺寸约650mm*650mm*2000mm，四块撞击屏互成90度角，单屏尺寸：长608mm±2mm、宽330±2mm、厚度不小于5mm；</w:t>
            </w:r>
          </w:p>
          <w:p w14:paraId="71C329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 灯管启动时间：≤5s；</w:t>
            </w:r>
          </w:p>
          <w:p w14:paraId="46CB10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 避雷和接地装置：绝缘电阻和介电强度≥2.5MΩ，并能承受频率为50HZ，电压为1500耐电压实验，历时1min无击穿现象；在壳体的明显部位应装有接地装置和标志；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10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FB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0C21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63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64E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7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管式土壤墒情监测仪</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86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1、同时测量多层土壤温湿度，内置锂电池+采集模块+通讯模块+充放电控制器，外置太阳能板，可持续工作；</w:t>
            </w:r>
          </w:p>
          <w:p w14:paraId="7CAE38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2、湿度量程：0~60%；分辨率：0.1%；湿度误差：±3%，温度量程：-50～100℃；分辩率：0.1℃；准确度：±0.5℃；</w:t>
            </w:r>
          </w:p>
          <w:p w14:paraId="034608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3、同时监测多层土壤温度土壤湿度，整体为非金属非直接接触式传感器，传感器直径尺寸为ϕ63mm；</w:t>
            </w:r>
          </w:p>
          <w:p w14:paraId="563A88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4、采用特殊定制PVC塑料管，采用环氧树脂做为密封材料，可防老化，更耐土壤中酸碱盐的腐蚀，可长期浸泡水中而不会发生渗漏，传感器外壳防水等级为IP67级；</w:t>
            </w:r>
          </w:p>
          <w:p w14:paraId="2047AE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5、根据需求可支持RS485数字输出，或者支持GPRS无线网络数据通讯功能；</w:t>
            </w:r>
          </w:p>
          <w:p w14:paraId="7FE721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6、产品通过16小时的-30℃低温试验，通过16小时的60℃高温实验，并通过60分钟的IPX8浸泡实验；</w:t>
            </w:r>
          </w:p>
          <w:p w14:paraId="0059D1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7、整体产品具备可靠性、维护性、易用性、可移植性；</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04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67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320D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2D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B5E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C2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苗情监测仪</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0F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200万40倍低功耗球机套装，电池60AH 太阳能板120W</w:t>
            </w:r>
          </w:p>
          <w:p w14:paraId="39B5A8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6寸低功耗全彩球机， 支持4G（移动、联通，电信）网络传输</w:t>
            </w:r>
          </w:p>
          <w:p w14:paraId="67E85E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支持1/2.8" 200万40倍光学变焦镜头，采用高效补光阵列，低功耗，红外补光150 m，白光补光30 m，内置GPS定位模块，支持OSD显示安装位置经纬度信息</w:t>
            </w:r>
          </w:p>
          <w:p w14:paraId="0040DA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支持区域入侵侦测，越界侦测，进入区域侦测和离开区域侦测等智能侦测</w:t>
            </w:r>
          </w:p>
          <w:p w14:paraId="60786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适用于农田、森林，河道、水库、矿区、野外等场景</w:t>
            </w:r>
          </w:p>
          <w:p w14:paraId="375D05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 × 24小时本地录像无光照续航约12天（工作模式：4G保活不预览，不开补光灯，不开智能，按照平均功耗2.5 W计算）；2）休眠定时抓拍应用场景（30分钟一张）无光照续航约20天（工作模式：4G保活，无光照续航，抓图时按开启智能功能计算）</w:t>
            </w:r>
          </w:p>
          <w:p w14:paraId="7C831B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支持休眠状态下，执行预置点定时抓图任务</w:t>
            </w:r>
          </w:p>
          <w:p w14:paraId="651F51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支持除雾配置功能，可通过调用手动除雾预置点来实现手动控制，内置加热玻璃，有效除雾</w:t>
            </w:r>
          </w:p>
          <w:p w14:paraId="13CF94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支持两进一出报警，一进一出音频</w:t>
            </w:r>
          </w:p>
          <w:p w14:paraId="3782D4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IP66，抗干扰能力强，适用于严酷的电磁环境，符合GB/T17626.2/3/4/5/6四级标准</w:t>
            </w:r>
          </w:p>
          <w:p w14:paraId="47A225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支持485读取标准电池电量信息并进行OSD叠加</w:t>
            </w:r>
          </w:p>
          <w:p w14:paraId="4B6595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内置可插拔电信4G NANO物联网卡，此卡定向到互联服务器</w:t>
            </w:r>
          </w:p>
          <w:p w14:paraId="7E6755FD">
            <w:pPr>
              <w:keepNext w:val="0"/>
              <w:keepLines w:val="0"/>
              <w:widowControl/>
              <w:suppressLineNumbers w:val="0"/>
              <w:ind w:left="0" w:leftChars="0" w:firstLine="0" w:firstLineChars="0"/>
              <w:jc w:val="both"/>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支持Wi-Fi AP，仅供短距离调试使用</w:t>
            </w:r>
          </w:p>
          <w:p w14:paraId="47A636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传感器类型：1/2.8＂ progressive scan CMOS</w:t>
            </w:r>
          </w:p>
          <w:p w14:paraId="56BFE2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最低照度：彩色：0.005Lux @ (F1.5，AGC ON),黑白：0.001Lux @ (F1.5，AGC ON)；0 lux with IR</w:t>
            </w:r>
          </w:p>
          <w:p w14:paraId="323B93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宽动态：支持真宽动态 </w:t>
            </w:r>
          </w:p>
          <w:p w14:paraId="67DF5F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焦距：5.9 mm-236 mm，40倍光学变倍</w:t>
            </w:r>
          </w:p>
          <w:p w14:paraId="365E66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视场角：【水平】60.2°~1.8°（广角~望远）</w:t>
            </w:r>
          </w:p>
          <w:p w14:paraId="45C74D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【垂直】35.2° to 1°（广角~望远）</w:t>
            </w:r>
          </w:p>
          <w:p w14:paraId="1A88F1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【对角线】67.4° to 2°（广角~望远） </w:t>
            </w:r>
          </w:p>
          <w:p w14:paraId="138AAC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补光灯类型：混合补光</w:t>
            </w:r>
          </w:p>
          <w:p w14:paraId="3461B6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补光灯距离：【白光】30m</w:t>
            </w:r>
          </w:p>
          <w:p w14:paraId="3A0039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【红外】150m </w:t>
            </w:r>
          </w:p>
          <w:p w14:paraId="0EF48D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水平范围：360°</w:t>
            </w:r>
          </w:p>
          <w:p w14:paraId="7CDFDA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垂直范围：-15°-90°(自动翻转)</w:t>
            </w:r>
          </w:p>
          <w:p w14:paraId="5D1A90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水平速度：水平键控速度：0.1°-120°/s,速度可设;水平预置点速度：120°/s</w:t>
            </w:r>
          </w:p>
          <w:p w14:paraId="65425F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垂直速度：垂直键控速度：0.1°-80°/s,速度可设;垂直预置点速度：80°/s </w:t>
            </w:r>
          </w:p>
          <w:p w14:paraId="39F316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主码流帧率分辨率：50 Hz：25 fps（1920 × 1080，1280 × 960，1280 × 720）</w:t>
            </w:r>
          </w:p>
          <w:p w14:paraId="3413B0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 Hz：30 fps（1920 × 1080，1280 × 960，1280 × 720）</w:t>
            </w:r>
          </w:p>
          <w:p w14:paraId="0FB8D7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视频压缩标准：H.265;H.264;MJPEG </w:t>
            </w:r>
          </w:p>
          <w:p w14:paraId="3C0C01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无线频段： LTE FDD: Band 1,3,5,8  LTE TDD: Band 34,38,39,40,41 WCDMA/HSPA+: Band 1,8  TD-SCDMA: Band 34,39  CDMA/EVDO: BC0 GSM/GPRS/EDGE: 900/1800MHz</w:t>
            </w:r>
          </w:p>
          <w:p w14:paraId="4B05D0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无线制式： LTE FDD/LTE TDD/WCDMA/HSPA+/TD-SCDMA/CDMA/EVDO/GSM/GPRS/EDGE </w:t>
            </w:r>
          </w:p>
          <w:p w14:paraId="52B1E3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SD卡扩展：内置MicroSD插槽，最大支持512 GB</w:t>
            </w:r>
          </w:p>
          <w:p w14:paraId="51D56CA4">
            <w:pPr>
              <w:keepNext w:val="0"/>
              <w:keepLines w:val="0"/>
              <w:widowControl/>
              <w:suppressLineNumbers w:val="0"/>
              <w:ind w:left="0" w:leftChars="0" w:firstLine="0" w:firstLineChars="0"/>
              <w:jc w:val="both"/>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RS-485：采用半双工模式，支持电池电量协议</w:t>
            </w:r>
          </w:p>
          <w:p w14:paraId="017FD6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网络接口：RJ45网口，自适应10M/100M网络数据 </w:t>
            </w:r>
          </w:p>
          <w:p w14:paraId="1365CD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音频输入：1路音频输入，音频峰值：2-2.4V[p-p]，输入阻抗：1 kΩ±10%</w:t>
            </w:r>
          </w:p>
          <w:p w14:paraId="7A547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音频输出：1路音频输出，线性电平，阻抗:600Ω </w:t>
            </w:r>
          </w:p>
          <w:p w14:paraId="750242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供电方式：DC12V</w:t>
            </w:r>
          </w:p>
          <w:p w14:paraId="3A34C9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工作温湿度：-30℃-65℃;湿度小于90%</w:t>
            </w:r>
          </w:p>
          <w:p w14:paraId="0122F8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恢复出厂设置：支持</w:t>
            </w:r>
          </w:p>
          <w:p w14:paraId="1D865B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除雾：加热玻璃除雾（默认关闭）</w:t>
            </w:r>
          </w:p>
          <w:p w14:paraId="1527DB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尺寸：Ø208 mm × 344.7 mm </w:t>
            </w:r>
          </w:p>
          <w:p w14:paraId="1F26A3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重量：摄像机重约3.4 kg </w:t>
            </w:r>
          </w:p>
          <w:p w14:paraId="4D6C7F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防护：IP66; 6000V 防雷、防浪涌、防突波，符合GB/T17626.2/3/4/5/6四级标准 </w:t>
            </w:r>
          </w:p>
          <w:p w14:paraId="64897E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太阳能组件类型：单晶硅</w:t>
            </w:r>
          </w:p>
          <w:p w14:paraId="03D3E2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太阳能组件转换效率：≥22%</w:t>
            </w:r>
          </w:p>
          <w:p w14:paraId="42E82F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太阳能组件功耗/电压/电流：120Wp/19.6V/6.12A</w:t>
            </w:r>
          </w:p>
          <w:p w14:paraId="04363F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太阳能板尺寸/重量：1005*665*35mm/6.85kg</w:t>
            </w:r>
          </w:p>
          <w:p w14:paraId="0688A9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电池类型：磷酸铁锂蓄电池</w:t>
            </w:r>
          </w:p>
          <w:p w14:paraId="7E8B4D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电池额定电压：12.8V</w:t>
            </w:r>
          </w:p>
          <w:p w14:paraId="31E057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工作电压范围：11.6V-14.6V宽压输出</w:t>
            </w:r>
          </w:p>
          <w:p w14:paraId="36B502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电池最大持续工作电流：10A</w:t>
            </w:r>
          </w:p>
          <w:p w14:paraId="0012CA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电池循环使用次数：&gt;2000 次 (@25℃)   ， 容量≥初始容量 70%</w:t>
            </w:r>
          </w:p>
          <w:p w14:paraId="56D7AE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低温性能：低温0℃智能开启充电加热，温升至10℃时关闭</w:t>
            </w:r>
          </w:p>
          <w:p w14:paraId="1B2A37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电池保护功能：过压，过流，欠压，低温，高温，短路保护（输入、输出），输入防反</w:t>
            </w:r>
          </w:p>
          <w:p w14:paraId="5A08D6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电池充电温度：0-45℃</w:t>
            </w:r>
          </w:p>
          <w:p w14:paraId="469241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电池放电温度：-10℃-55℃</w:t>
            </w:r>
          </w:p>
          <w:p w14:paraId="58BDDA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电池工作温度：-10℃-55℃</w:t>
            </w:r>
          </w:p>
          <w:p w14:paraId="0A22A5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电池额定容量：768wh</w:t>
            </w:r>
          </w:p>
          <w:p w14:paraId="7D991B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电池续航时间：基于太阳能组件容量768wh，球机不同模式续航如下：</w:t>
            </w:r>
          </w:p>
          <w:p w14:paraId="031B18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全功耗模式：7 W（4G预览、打开补光灯），约100h</w:t>
            </w:r>
          </w:p>
          <w:p w14:paraId="3BA0FC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低功耗本地录像场景：2.5 W（4G保活、不预览、关闭补光灯），约300h</w:t>
            </w:r>
          </w:p>
          <w:p w14:paraId="3E9EAD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低功耗本地录像场景：5 W（4G保活、不预览、打开补光灯），约150h</w:t>
            </w:r>
          </w:p>
          <w:p w14:paraId="68760E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低功耗预览场景：3.5 W（4G预览、关闭补光灯） ，约200h</w:t>
            </w:r>
          </w:p>
          <w:p w14:paraId="5B91E6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休眠模式功耗：0.2 W （4G保活、MCU保活、其他模块关闭），约3000h</w:t>
            </w:r>
          </w:p>
          <w:p w14:paraId="04786B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安装方式：立杆安装，抱箍范围（∅89-210mm）</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20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28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3F1F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FC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7BD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F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巡田无人机套装</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73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遥感无人机参数表</w:t>
            </w:r>
          </w:p>
          <w:p w14:paraId="4CE1D5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影像传感器：1 英寸 CMOS - RGB 传感器</w:t>
            </w:r>
          </w:p>
          <w:p w14:paraId="6329EA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像元大小：2.4 微米</w:t>
            </w:r>
          </w:p>
          <w:p w14:paraId="355F78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镜头：焦距：10.6 毫米</w:t>
            </w:r>
          </w:p>
          <w:p w14:paraId="6F3FF3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等效焦距：28.6 毫米</w:t>
            </w:r>
          </w:p>
          <w:p w14:paraId="13AF2C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ISO范围：100 ~ 3200</w:t>
            </w:r>
          </w:p>
          <w:p w14:paraId="0871EC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快门速度</w:t>
            </w:r>
          </w:p>
          <w:p w14:paraId="7D440E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机械快门速度：1/30 ~ 1/2000 秒</w:t>
            </w:r>
          </w:p>
          <w:p w14:paraId="2397C3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电子快门速度：1/30 ~ 1/4000 秒</w:t>
            </w:r>
          </w:p>
          <w:p w14:paraId="4FB230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拍照照片尺寸</w:t>
            </w:r>
          </w:p>
          <w:p w14:paraId="3C64BC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5472 × 3648，4864 × 3648</w:t>
            </w:r>
          </w:p>
          <w:p w14:paraId="2D081E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云台稳定系统：机械 3 轴增稳</w:t>
            </w:r>
          </w:p>
          <w:p w14:paraId="399E59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云台俯仰可控范围：-90° 至 +45°</w:t>
            </w:r>
          </w:p>
          <w:p w14:paraId="31098A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云台最大控制速度</w:t>
            </w:r>
          </w:p>
          <w:p w14:paraId="789EA7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俯仰：90° /秒</w:t>
            </w:r>
          </w:p>
          <w:p w14:paraId="1D5DFF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云台角度抖动量：±0.05°</w:t>
            </w:r>
          </w:p>
          <w:p w14:paraId="68AD63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工作温度：0 ~ 40 摄氏度</w:t>
            </w:r>
          </w:p>
          <w:p w14:paraId="4F022A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智能遥控器</w:t>
            </w:r>
          </w:p>
          <w:p w14:paraId="10B598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屏幕尺寸：5.5 英寸（1920 x 1080）</w:t>
            </w:r>
          </w:p>
          <w:p w14:paraId="70C0E0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最大信号有效距离（无干扰、无遮挡）</w:t>
            </w:r>
          </w:p>
          <w:p w14:paraId="5E2A24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图传：3 千米</w:t>
            </w:r>
          </w:p>
          <w:p w14:paraId="07DBD1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数传：5 千米</w:t>
            </w:r>
          </w:p>
          <w:p w14:paraId="5BB81E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续航时间</w:t>
            </w:r>
          </w:p>
          <w:p w14:paraId="04A174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工作状态：4.5 ~ 8 小时（使用官方推荐充电宝/移动电源可达 8 小时续航）</w:t>
            </w:r>
          </w:p>
          <w:p w14:paraId="4DB2D0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待机状态：15 小时</w:t>
            </w:r>
          </w:p>
          <w:p w14:paraId="1A762F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无人机智能电池（6000mah）</w:t>
            </w:r>
          </w:p>
          <w:p w14:paraId="1B4ADF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容量：6000 毫安时</w:t>
            </w:r>
          </w:p>
          <w:p w14:paraId="4C4E19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电池类型</w:t>
            </w:r>
          </w:p>
          <w:p w14:paraId="1BD260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锂聚合物电池</w:t>
            </w:r>
          </w:p>
          <w:p w14:paraId="38A1E1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工作温度：10 ~ 40 摄氏度</w:t>
            </w:r>
          </w:p>
          <w:p w14:paraId="535B85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链路通讯：最大 Wi-Fi 数链距离：5 千米</w:t>
            </w:r>
          </w:p>
          <w:p w14:paraId="4037D6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Wi-Fi 图传距离：3 千米</w:t>
            </w:r>
          </w:p>
          <w:p w14:paraId="1F129B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GNSS</w:t>
            </w:r>
          </w:p>
          <w:p w14:paraId="5A836C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单频高灵敏度 GNSS</w:t>
            </w:r>
          </w:p>
          <w:p w14:paraId="2EEC75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多频多系统高精度 RTK GNSS</w:t>
            </w:r>
          </w:p>
          <w:p w14:paraId="311562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使用频点</w:t>
            </w:r>
          </w:p>
          <w:p w14:paraId="364575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BDS B1/B2；GPS L1/L2；GLONASS L1/L2；</w:t>
            </w:r>
          </w:p>
          <w:p w14:paraId="0B2583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Galileo E1/E5b对地雷达</w:t>
            </w:r>
          </w:p>
          <w:p w14:paraId="15CF30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测距距离：300 米</w:t>
            </w:r>
          </w:p>
          <w:p w14:paraId="2BC8C7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测距精度：±0.5 米</w:t>
            </w:r>
          </w:p>
          <w:p w14:paraId="1C456E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前向雷达</w:t>
            </w:r>
          </w:p>
          <w:p w14:paraId="51A16E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测距距离：30 米</w:t>
            </w:r>
          </w:p>
          <w:p w14:paraId="3C0B4F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测距精度：±0.5 米对地双目视觉</w:t>
            </w:r>
          </w:p>
          <w:p w14:paraId="487AE1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测距距离：4 米</w:t>
            </w:r>
          </w:p>
          <w:p w14:paraId="61C680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测距精度：±2.5 厘米RTK 位置精度</w:t>
            </w:r>
          </w:p>
          <w:p w14:paraId="21EA78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水平方向误差 10 厘米，</w:t>
            </w:r>
          </w:p>
          <w:p w14:paraId="244C0A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飞行器离基站每超过 1 公里误差增加 1 毫米；</w:t>
            </w:r>
          </w:p>
          <w:p w14:paraId="4F5390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垂直方向误差 30 厘米，</w:t>
            </w:r>
          </w:p>
          <w:p w14:paraId="23B197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飞行器离基站每超过 1 公里误差增加 1 毫米最大上升速度</w:t>
            </w:r>
          </w:p>
          <w:p w14:paraId="265560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 米/秒</w:t>
            </w:r>
          </w:p>
          <w:p w14:paraId="689F31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最大下降速度：2 米/秒（航线模式）</w:t>
            </w:r>
          </w:p>
          <w:p w14:paraId="41C857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最大水平飞行速度：10 米/秒（航线模式）</w:t>
            </w:r>
          </w:p>
          <w:p w14:paraId="5C8502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最大起飞海拔高度：6000 米</w:t>
            </w:r>
          </w:p>
          <w:p w14:paraId="604763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最大抗风能力：4 级风</w:t>
            </w:r>
          </w:p>
          <w:p w14:paraId="2DADC8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工作环境温度：0 ~ 40 摄氏度</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FE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F2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64C7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F2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95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A8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设备基础围栏及停机坪建设</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2E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 地板道，设备水泥基础，无人机起降平台基础及标识、配套保护围栏以及警示标识和智能设备介绍看板，对智能装备进行保护和示范介绍.含无人机充电设施及线路</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7EB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9C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3A76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5D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24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田间苗情监控</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64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高台观测</w:t>
            </w:r>
          </w:p>
          <w:p w14:paraId="1E921E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（农田核心景观区）</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27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3200万360°球型鹰眼，全景采用8个F1.0大光圈全彩镜头拼接而成，可输出2x180°大场景拼接画面;</w:t>
            </w:r>
          </w:p>
          <w:p w14:paraId="2776AF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全景画面可支持关注区域畸变矫正，细节内置40倍变焦镜头;</w:t>
            </w:r>
          </w:p>
          <w:p w14:paraId="3E3E72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全景支持Smart事件、人员密度；细节支持人脸抓拍、Smart事件；更好助力平安城市公共安全管理;</w:t>
            </w:r>
          </w:p>
          <w:p w14:paraId="347D78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适用于城市高点、机场车站、城管市政、企业园区、景区、校园等;</w:t>
            </w:r>
          </w:p>
          <w:p w14:paraId="5DA909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全景摄像机;</w:t>
            </w:r>
          </w:p>
          <w:p w14:paraId="14F959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8个1/1.8＂ 4MP Progressive Scan CMOS，最高分辨率及帧率可达2个 5520×2400@30fps;</w:t>
            </w:r>
          </w:p>
          <w:p w14:paraId="40FF40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视场角：水平2 × 180°，垂直85°;</w:t>
            </w:r>
          </w:p>
          <w:p w14:paraId="3B91E6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星光级超低照度，0.0005Lux/F1.0（彩色），0.0001Lux/F1.0（黑白）;</w:t>
            </w:r>
          </w:p>
          <w:p w14:paraId="5F7F79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细节摄像机;</w:t>
            </w:r>
          </w:p>
          <w:p w14:paraId="25F728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1/1.8＂ 4MP Progressive Scan CMOS，最高分辨率及帧率可达2560x1440@30fps;</w:t>
            </w:r>
          </w:p>
          <w:p w14:paraId="789F6C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星光级超低照度，0.0005Lux/F1.2（彩色），0.0001Lux/F1.2（黑白），0 Lux with IR ;</w:t>
            </w:r>
          </w:p>
          <w:p w14:paraId="512898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40倍光学变倍，16倍数字变倍;</w:t>
            </w:r>
          </w:p>
          <w:p w14:paraId="6F0FFD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水平360°连续旋转，垂直-15°-90°（自动翻转）;</w:t>
            </w:r>
          </w:p>
          <w:p w14:paraId="12EB47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采用高效红外阵列，低功耗，照射距离最远可达250m;</w:t>
            </w:r>
          </w:p>
          <w:p w14:paraId="1A1D6A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【全景】支持区域入侵侦测、越界侦测、进入区域、离开区域事件侦测功能;</w:t>
            </w:r>
          </w:p>
          <w:p w14:paraId="030C8E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系统参数;</w:t>
            </w:r>
          </w:p>
          <w:p w14:paraId="1CEDDC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【全景】支持人员密度检测功能，检测覆盖范围半径200米;</w:t>
            </w:r>
          </w:p>
          <w:p w14:paraId="3F6321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支持点击联动功能，通过在客户端点击或者框选全景摄像机画面任意位置，细节跟踪摄像机可自动通过云台调整与变焦，将该区域置于画面中心。;</w:t>
            </w:r>
          </w:p>
          <w:p w14:paraId="6E4DE9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支持目标自动跟踪功能，通过设置智能事件规则，对设定区域内触发事件的运动目标在设定的跟踪时间内进行持续稳定跟踪。并可在跟踪过程中手动切换跟踪目标;</w:t>
            </w:r>
          </w:p>
          <w:p w14:paraId="2A4C52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支持手动选择跟踪目标，在设定跟踪时间内进行持续稳定跟踪;</w:t>
            </w:r>
          </w:p>
          <w:p w14:paraId="7E6A31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【细节】支持多目标自动切换跟踪，目标切换时间小于1秒;</w:t>
            </w:r>
          </w:p>
          <w:p w14:paraId="4AAF2E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支持软件集成的开放式API、ISAPI、SDK、</w:t>
            </w:r>
          </w:p>
          <w:p w14:paraId="165459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内置7路报警输入、2路报警输出、1路音频输入、1路音频输出 ;</w:t>
            </w:r>
          </w:p>
          <w:p w14:paraId="11B5FF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光口（FC）+电口(RJ-45)网络接口设计;</w:t>
            </w:r>
          </w:p>
          <w:p w14:paraId="7D7DDD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支持GB35114安全加密;</w:t>
            </w:r>
          </w:p>
          <w:p w14:paraId="1F5A53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传感器类型：【全景】1/1.8＂ progressive scan CMOS,【细节】1/1.8＂ progressive scan CMOS</w:t>
            </w:r>
          </w:p>
          <w:p w14:paraId="156D38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最低照度：【全景】0.0005Lux/F1.0（彩色），0.0001Lux/F1.0（黑白）；【细节】星光级超低照度，0.0005Lux/F1.2（彩色），0.0001Lux/F1.2（黑白），0 Lux with IR </w:t>
            </w:r>
          </w:p>
          <w:p w14:paraId="0A18F9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宽动态：全景不支持，细节支持120dB超宽动态</w:t>
            </w:r>
          </w:p>
          <w:p w14:paraId="0AED46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光学变倍：40倍 </w:t>
            </w:r>
          </w:p>
          <w:p w14:paraId="6F95C6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焦距：【全景】2.8 mm；【细节】6~240mm</w:t>
            </w:r>
          </w:p>
          <w:p w14:paraId="68635D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视场角：水平视场角 56.6-1.8度(广角-望远) </w:t>
            </w:r>
          </w:p>
          <w:p w14:paraId="792349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垂直视场角 33.7-1.0度(广角-望远) </w:t>
            </w:r>
          </w:p>
          <w:p w14:paraId="1E5F9C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对角线视场角 63.4-2.0度(广角-望远) </w:t>
            </w:r>
          </w:p>
          <w:p w14:paraId="42A27D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红外照射距离：250m</w:t>
            </w:r>
          </w:p>
          <w:p w14:paraId="05E76D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防补光过曝：支持 </w:t>
            </w:r>
          </w:p>
          <w:p w14:paraId="4D0135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水平范围：360°</w:t>
            </w:r>
          </w:p>
          <w:p w14:paraId="5AD2A0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垂直范围：-15°-90°(自动翻转)</w:t>
            </w:r>
          </w:p>
          <w:p w14:paraId="07C501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水平速度：  水平键控速度：0.1°-210°/s,速度可设;水平预置点速度：240°/s</w:t>
            </w:r>
          </w:p>
          <w:p w14:paraId="57BEEB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垂直速度：垂直键控速度：0.1°-150°/s,速度可设;垂直预置点速度：200°/s </w:t>
            </w:r>
          </w:p>
          <w:p w14:paraId="6EC775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主码流帧率分辨率：全景：50Hz: 25fps (5520×2400×2,  4096×1800×2，3840×1680×2, 2784×1200×2) 60Hz: 30fps (5520×2400×2,  4096×1800×2，3840×1680×2, 2784×1200×2)</w:t>
            </w:r>
          </w:p>
          <w:p w14:paraId="2D6EFA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细节：50Hz:25fps (2560x1440,1920×1080,1280×960,1280x720) 60Hz:30fps (2560x1440,1920x1080,1280x960,1280x720) </w:t>
            </w:r>
          </w:p>
          <w:p w14:paraId="7CD9BA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视频压缩标准：H.265;H.264;MJPEG </w:t>
            </w:r>
          </w:p>
          <w:p w14:paraId="714653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网络接口：RJ45网口;自适应10M/100M/1000M网络数据</w:t>
            </w:r>
          </w:p>
          <w:p w14:paraId="43D36C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光纤接口：FC接口;内置光纤模块;波长TX1310/RX1550nm;20km传输距离;单模单纤;1000M网络数据</w:t>
            </w:r>
          </w:p>
          <w:p w14:paraId="2FB42D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SD卡扩展：支持Micro SD/Micro SDHC/Micro SDXC卡,最大支持256G</w:t>
            </w:r>
          </w:p>
          <w:p w14:paraId="1726F9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报警输入：7路报警输入</w:t>
            </w:r>
          </w:p>
          <w:p w14:paraId="1438ED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报警输出：2路报警输出</w:t>
            </w:r>
          </w:p>
          <w:p w14:paraId="5ED7E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音频输入：1路音频输入，音频峰值：2-2.4V[p-p]，输入阻抗：1 kΩ±10%</w:t>
            </w:r>
          </w:p>
          <w:p w14:paraId="3106FD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音频输出：1路音频输出，线性电平，阻抗:600Ω</w:t>
            </w:r>
          </w:p>
          <w:p w14:paraId="417C15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RS485接口：采用半双工模式，PELCO-P和PELCO-D(可添加)协议 </w:t>
            </w:r>
          </w:p>
          <w:p w14:paraId="4B0C3A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供电方式：DC36V</w:t>
            </w:r>
          </w:p>
          <w:p w14:paraId="3598E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设备功耗：135W max(其中红外灯12W max)工作温湿度：-40℃-70℃;湿度小于90%</w:t>
            </w:r>
          </w:p>
          <w:p w14:paraId="062A1B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恢复出厂设置：支持</w:t>
            </w:r>
          </w:p>
          <w:p w14:paraId="538A9F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除雾：支持</w:t>
            </w:r>
          </w:p>
          <w:p w14:paraId="01E143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尺寸：Φ433.5x430.4mm</w:t>
            </w:r>
          </w:p>
          <w:p w14:paraId="479476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重量：18kg </w:t>
            </w:r>
          </w:p>
          <w:p w14:paraId="5FA97B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 xml:space="preserve">防护：IP67; 6000V 防雷、防浪涌、防突波，符合GB/T17626.2/3/4/5/6四级标准 </w:t>
            </w:r>
          </w:p>
          <w:p w14:paraId="43872A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▲全景镜头光圈均不小于F1.0，彩色：0.0003lux；黑白：0.0001lux，摄像机内置除湿器，可对摄像机内部进行除湿，</w:t>
            </w:r>
            <w:r>
              <w:rPr>
                <w:rFonts w:hint="eastAsia" w:ascii="宋体" w:hAnsi="宋体" w:cs="宋体"/>
                <w:i w:val="0"/>
                <w:iCs w:val="0"/>
                <w:color w:val="000000" w:themeColor="text1"/>
                <w:sz w:val="22"/>
                <w:szCs w:val="22"/>
                <w:u w:val="none"/>
                <w:lang w:val="en-US" w:eastAsia="zh-CN"/>
                <w14:textFill>
                  <w14:solidFill>
                    <w14:schemeClr w14:val="tx1"/>
                  </w14:solidFill>
                </w14:textFill>
              </w:rPr>
              <w:t>除</w:t>
            </w:r>
            <w:r>
              <w:rPr>
                <w:rFonts w:hint="eastAsia" w:ascii="宋体" w:hAnsi="宋体" w:eastAsia="宋体" w:cs="宋体"/>
                <w:i w:val="0"/>
                <w:iCs w:val="0"/>
                <w:color w:val="000000" w:themeColor="text1"/>
                <w:sz w:val="22"/>
                <w:szCs w:val="22"/>
                <w:u w:val="none"/>
                <w14:textFill>
                  <w14:solidFill>
                    <w14:schemeClr w14:val="tx1"/>
                  </w14:solidFill>
                </w14:textFill>
              </w:rPr>
              <w:t>去玻璃罩上的水状附着物。</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（需提供公安部检测报告复印件并加盖原厂公章）</w:t>
            </w:r>
          </w:p>
          <w:p w14:paraId="209EAA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（需提供公安部检测报告复印件并加盖原厂公章）</w:t>
            </w:r>
          </w:p>
          <w:p w14:paraId="4E451A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▲支持撞击报警功能，当样机外壳受到外力撞击时，可给出语音报警提示，支持远距离跟踪功能，可对距离样机至少700米处的不大于1.7米x0.5米的移动目标进行检测并联动细节通道进行跟踪。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（需提供公安部检测报告复印件并加盖原厂公章）</w:t>
            </w:r>
          </w:p>
          <w:p w14:paraId="37D0D0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所投产品需要提供原厂提供的授权函</w:t>
            </w:r>
            <w:r>
              <w:rPr>
                <w:rFonts w:hint="eastAsia" w:ascii="宋体" w:hAnsi="宋体" w:eastAsia="宋体" w:cs="宋体"/>
                <w:i w:val="0"/>
                <w:iCs w:val="0"/>
                <w:color w:val="000000" w:themeColor="text1"/>
                <w:sz w:val="22"/>
                <w:szCs w:val="22"/>
                <w:u w:val="none"/>
                <w:lang w:eastAsia="zh-CN"/>
                <w14:textFill>
                  <w14:solidFill>
                    <w14:schemeClr w14:val="tx1"/>
                  </w14:solidFill>
                </w14:textFill>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D5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E9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10AC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CEE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749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8F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球机监控</w:t>
            </w:r>
          </w:p>
          <w:p w14:paraId="21AEF4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（主要农田区域）</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93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400万7寸23倍全彩声光警戒球机</w:t>
            </w:r>
          </w:p>
          <w:p w14:paraId="678D87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支持深度学习算法，提供精准的人车分类侦测、报警、联动跟踪</w:t>
            </w:r>
          </w:p>
          <w:p w14:paraId="0B2C8A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支持声光警戒：报警联动白光闪烁报警和声音报警，声音内容可选</w:t>
            </w:r>
          </w:p>
          <w:p w14:paraId="320933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支持区域入侵侦测、越界侦测、进入区域侦测和离开区域侦查等智能侦测并联动跟踪</w:t>
            </w:r>
          </w:p>
          <w:p w14:paraId="017BBF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支持切换为人脸抓拍模式，最大同时抓拍5张人脸</w:t>
            </w:r>
          </w:p>
          <w:p w14:paraId="6EF8E1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内置扬声器：功率5w；30m不低于60dB</w:t>
            </w:r>
          </w:p>
          <w:p w14:paraId="3D1CFD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采用高效补光阵列，低功耗，白光补光30m，红外补光150m</w:t>
            </w:r>
          </w:p>
          <w:p w14:paraId="13A7C1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内置加热玻璃，有效除雾</w:t>
            </w:r>
          </w:p>
          <w:p w14:paraId="3B4C80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支持最大2560×1440@30fps高清画面输出</w:t>
            </w:r>
          </w:p>
          <w:p w14:paraId="591C94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支持超低照度，0.005Lux/F1.5(彩色),0.001Lux/F1.5(黑白),0 Lux with IR</w:t>
            </w:r>
          </w:p>
          <w:p w14:paraId="5DC8E9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支持23倍光学变倍，16倍数字变倍</w:t>
            </w:r>
          </w:p>
          <w:p w14:paraId="32B3B0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支持三码流技术，每路码流可独立配置分辨率及帧率</w:t>
            </w:r>
          </w:p>
          <w:p w14:paraId="020520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支持3D数字降噪, 支持真宽动态</w:t>
            </w:r>
          </w:p>
          <w:p w14:paraId="494127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支持定时抓图与事件抓图功能</w:t>
            </w:r>
          </w:p>
          <w:p w14:paraId="282009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支持定时任务、一键守望、一键巡航功能</w:t>
            </w:r>
          </w:p>
          <w:p w14:paraId="03CAD3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支持SDK、视图库、开放型网络视频接口、ISAPI、GB/T28181、ISUP、</w:t>
            </w:r>
          </w:p>
          <w:p w14:paraId="4DD063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支持两进一出报警、一进一出音频、最大支持512G microSD卡存储</w:t>
            </w:r>
          </w:p>
          <w:p w14:paraId="68F270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IP66，抗干扰能力强，适用于严酷的电磁环境，符合GB/T17626.2/3/4/5/6四级标准</w:t>
            </w:r>
          </w:p>
          <w:p w14:paraId="6885DD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传感器类型：1/1.8＂ progressive scan CMOS</w:t>
            </w:r>
          </w:p>
          <w:p w14:paraId="53D035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最低照度：彩色：0.005Lux @ (F1.5，AGC ON),黑白：0.001Lux @ (F1.5，AGC ON)；0 lux with IR</w:t>
            </w:r>
          </w:p>
          <w:p w14:paraId="537610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宽动态：支持真宽动态 </w:t>
            </w:r>
          </w:p>
          <w:p w14:paraId="350FD4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焦距：5.9-135.7mm，23倍光学变倍 </w:t>
            </w:r>
          </w:p>
          <w:p w14:paraId="3B2D6C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视场角：60.2-3.4度(广角-望远)  </w:t>
            </w:r>
          </w:p>
          <w:p w14:paraId="2A2586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防补光过曝：支持</w:t>
            </w:r>
          </w:p>
          <w:p w14:paraId="604500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白光照射距离：30米</w:t>
            </w:r>
          </w:p>
          <w:p w14:paraId="020EB4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红外照射距离：150米 </w:t>
            </w:r>
          </w:p>
          <w:p w14:paraId="0DBABB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水平范围：360°</w:t>
            </w:r>
          </w:p>
          <w:p w14:paraId="743C85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垂直范围：-15°-90°(自动翻转)</w:t>
            </w:r>
          </w:p>
          <w:p w14:paraId="75C821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水平速度：水平键控速度：0.1°-160°/s,速度可设;水平预置点速度：240°/s</w:t>
            </w:r>
          </w:p>
          <w:p w14:paraId="77C4EE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垂直速度：垂直键控速度：0.1°-120°/s,速度可设;垂直预置点速度：200°/s </w:t>
            </w:r>
          </w:p>
          <w:p w14:paraId="6BEAC7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主码流帧率分辨率：50Hz:25fps (2560×1440,1920×1080,1280×960,1280×720)</w:t>
            </w:r>
          </w:p>
          <w:p w14:paraId="36D6D7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60Hz: 30fps(2560×1440,1920×1080,1280×960,1280×720)  </w:t>
            </w:r>
          </w:p>
          <w:p w14:paraId="263C8C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视频压缩标准：H.265;H.264;MJPEG </w:t>
            </w:r>
          </w:p>
          <w:p w14:paraId="344340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内置扬声器：一个内置扬声器，有效距离可达30 m</w:t>
            </w:r>
          </w:p>
          <w:p w14:paraId="7AA369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网络接口：RJ45网口，自适应10M/100M网络数据 </w:t>
            </w:r>
          </w:p>
          <w:p w14:paraId="256986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SD卡扩展：内置Micro SD卡插槽，支持Micro SD/Micro SDHC/Micro SDXC卡（最大支持512GB）</w:t>
            </w:r>
          </w:p>
          <w:p w14:paraId="38ED8C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报警输入：2路报警输入</w:t>
            </w:r>
          </w:p>
          <w:p w14:paraId="0CEFB5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报警输出：1路报警输出</w:t>
            </w:r>
          </w:p>
          <w:p w14:paraId="3A03B7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音频输入：1路音频输入，音频峰值：2-2.4V[p-p]，输入阻抗：1 kΩ±10%</w:t>
            </w:r>
          </w:p>
          <w:p w14:paraId="47A77D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音频输出：1路音频输出，线性电平，阻抗:600Ω </w:t>
            </w:r>
          </w:p>
          <w:p w14:paraId="39DD33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供电方式：AC24V</w:t>
            </w:r>
          </w:p>
          <w:p w14:paraId="548999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电流及功耗：最大功耗：42 W（其中加热最大功耗：10 W，补光灯最大功耗：15 W）</w:t>
            </w:r>
          </w:p>
          <w:p w14:paraId="297224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工作温湿度：-30℃-65℃;湿度小于90%</w:t>
            </w:r>
          </w:p>
          <w:p w14:paraId="47ACEF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恢复出厂设置：支持</w:t>
            </w:r>
          </w:p>
          <w:p w14:paraId="59C646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除雾：加热玻璃除雾</w:t>
            </w:r>
          </w:p>
          <w:p w14:paraId="7AFB5F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尺寸：φ220mm×363.3mm</w:t>
            </w:r>
          </w:p>
          <w:p w14:paraId="39F47B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重量：5Kg </w:t>
            </w:r>
          </w:p>
          <w:p w14:paraId="5FF316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防护：IP66;抗干扰能力强，适用于严酷的电磁环境，符合GB/T17626.2/3/4/5/6四级标准 </w:t>
            </w:r>
          </w:p>
          <w:p w14:paraId="54762C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内置GPU芯片，支持人脸抓拍设置，具有最佳抓拍和快速抓拍两种模式设置选项，支持像素显示功能，可显示监控画面上选定区域的水平像素大小和垂直像素大小（需提供公安部检测报告复印件并加盖原厂公章）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4E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AF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5A5F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55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9ACD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03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管控点枪机监控</w:t>
            </w:r>
          </w:p>
          <w:p w14:paraId="6B6120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（泵站、主要路口）</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91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600万全彩筒型网络摄像机</w:t>
            </w:r>
          </w:p>
          <w:p w14:paraId="09E582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全彩级高灵敏度传感器，F1.0超大光圈镜头，提供更清晰的视频流输入</w:t>
            </w:r>
          </w:p>
          <w:p w14:paraId="20742E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最高分辨率可达3200 × 1800 @20 fps</w:t>
            </w:r>
          </w:p>
          <w:p w14:paraId="69B9E1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支持Smart侦测：场景变更侦测，虚焦侦测，区域入侵侦测 ，越界侦测，进入区域侦测，离开区域侦测，物品遗留侦测，物品拿取侦测，徘徊侦测，停车侦测，人员聚集侦测，快速移动侦测，音频异常侦测，音频陡升侦测，音频陡降侦测</w:t>
            </w:r>
          </w:p>
          <w:p w14:paraId="67FB2E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支持背光补偿，强光抑制，3D数字降噪，120 dB宽动态</w:t>
            </w:r>
          </w:p>
          <w:p w14:paraId="488D89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支持柔光灯补光，照射距离最远可达30 m</w:t>
            </w:r>
          </w:p>
          <w:p w14:paraId="039F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1个内置麦克风</w:t>
            </w:r>
          </w:p>
          <w:p w14:paraId="6D3042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符合IP66防尘防水设计，可靠性高</w:t>
            </w:r>
          </w:p>
          <w:p w14:paraId="129605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传感器类型：1/1.8" Progressive Scan CMOS </w:t>
            </w:r>
          </w:p>
          <w:p w14:paraId="3CB172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最低照度：彩色：0.0005 Lux</w:t>
            </w:r>
          </w:p>
          <w:p w14:paraId="4AD07C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宽动态：120 dB </w:t>
            </w:r>
          </w:p>
          <w:p w14:paraId="38F027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补光灯类型：柔光灯</w:t>
            </w:r>
          </w:p>
          <w:p w14:paraId="0C1AAA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补光距离：最远可达30 m</w:t>
            </w:r>
          </w:p>
          <w:p w14:paraId="2436C3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防补光过曝：支持 </w:t>
            </w:r>
          </w:p>
          <w:p w14:paraId="12FE21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视频压缩标准：主码流：H.265/H.264</w:t>
            </w:r>
          </w:p>
          <w:p w14:paraId="180B85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子码流：H.265/H.264/MJPEG</w:t>
            </w:r>
          </w:p>
          <w:p w14:paraId="092020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第三码流：H.265/H.264</w:t>
            </w:r>
          </w:p>
          <w:p w14:paraId="111987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主码流、子码流、三码流支持超级智能编码</w:t>
            </w:r>
          </w:p>
          <w:p w14:paraId="71302A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最大分辨率：3200 × 1800 </w:t>
            </w:r>
          </w:p>
          <w:p w14:paraId="34E14E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网络：1个RJ45 10 M/100 M自适应以太网口</w:t>
            </w:r>
          </w:p>
          <w:p w14:paraId="721186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音频：1个内置麦克风 </w:t>
            </w:r>
          </w:p>
          <w:p w14:paraId="46B629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启动及工作温湿度：-30 ℃~60 ℃，湿度小于95%（无凝结）</w:t>
            </w:r>
          </w:p>
          <w:p w14:paraId="1C130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恢复出厂设置：支持客户端或浏览器恢复</w:t>
            </w:r>
          </w:p>
          <w:p w14:paraId="02DE3D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电流及功耗：DC：12 V，0.58 A，最大功耗：7.0 W</w:t>
            </w:r>
          </w:p>
          <w:p w14:paraId="3D8D26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PoE：IEEE 802.3af，CLASS 3，最大功耗：8.0 W</w:t>
            </w:r>
          </w:p>
          <w:p w14:paraId="28B95F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供电方式：DC：12 V ± 25%，支持防反接保护</w:t>
            </w:r>
          </w:p>
          <w:p w14:paraId="1A93A8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PoE：IEEE 802.3af，CLASS 3</w:t>
            </w:r>
          </w:p>
          <w:p w14:paraId="0BA69D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电源接口类型：Ø5.5 mm圆口 </w:t>
            </w:r>
          </w:p>
          <w:p w14:paraId="4EA14E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防护：IP66 </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FB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0A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54FC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77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A52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A9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鹰眼立杆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50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8米高鹰眼专用立杆：</w:t>
            </w:r>
          </w:p>
          <w:p w14:paraId="6DC2ED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整体热镀锌喷塑八角杆，主杆165*120*4厚，横臂120*80*3.0厚，法兰400*400*14厚，连接法兰260*12厚，</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75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E3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根</w:t>
            </w:r>
          </w:p>
        </w:tc>
      </w:tr>
      <w:tr w14:paraId="2154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E7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894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FE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监控立杆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E0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材质采用镀锌钢管，高温静电烤漆工艺，环境适应性好</w:t>
            </w:r>
          </w:p>
          <w:p w14:paraId="220DA9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组合后最大高度≥3500mm，下杆直径≥114mm，上杆直径≥76mm，钢管壁厚≥1.8mm</w:t>
            </w:r>
          </w:p>
          <w:p w14:paraId="487229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可根据需求组合不同的高度，选配不同的支架，灵活方便</w:t>
            </w:r>
          </w:p>
          <w:p w14:paraId="7D404A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底部法兰盘采用Q235钢板，厚度8mm</w:t>
            </w:r>
          </w:p>
          <w:p w14:paraId="072EB5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可选配支架有300mm长枪机支架，300mm长球机支架，500mm长枪机支架，500mm长球机支架，及300mm长或500mm长枪球机一体支架</w:t>
            </w:r>
          </w:p>
          <w:p w14:paraId="6A3E2D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需要另外配地笼</w:t>
            </w:r>
          </w:p>
          <w:p w14:paraId="428E0A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立杆顶部四面都有法兰，四个方向都可以装支架</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18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26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根</w:t>
            </w:r>
          </w:p>
        </w:tc>
      </w:tr>
      <w:tr w14:paraId="5F28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B3FA">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9C28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58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组合支架</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90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安装枪机鸭嘴支架</w:t>
            </w:r>
          </w:p>
          <w:p w14:paraId="79E1FF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含与支架固定的螺丝，可直接安装枪机</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15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FC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r>
      <w:tr w14:paraId="424F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E5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322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C0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抱杆信息箱</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1F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内含：201不锈钢室外防水箱 *1只 规格：400*300*170mm（中）；</w:t>
            </w:r>
          </w:p>
          <w:p w14:paraId="05A474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防水箱抱柱 支架 30CM*2根，不锈钢抱箍（直径0-100mm）*2个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B1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92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r>
      <w:tr w14:paraId="0827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0A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941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3B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1米挑臂</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15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枪机监控立杆定制安装支架</w:t>
            </w:r>
          </w:p>
          <w:p w14:paraId="1F5B43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支架尺寸为40mm*40mm*300mm方管，壁厚1.1mm，与立杆连接法兰壁厚2mm，长度1米</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FA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C5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根</w:t>
            </w:r>
          </w:p>
        </w:tc>
      </w:tr>
      <w:tr w14:paraId="3ABC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A2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88D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D4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监控录像机</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22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1.5U机架式5盘位嵌入式网络硬盘录像机，整机采用短机箱设计，搭载高性能ATX电源</w:t>
            </w:r>
          </w:p>
          <w:p w14:paraId="226708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【硬件规格】</w:t>
            </w:r>
          </w:p>
          <w:p w14:paraId="500D22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1，存储接口：5个SATA接口，支持满配12TB硬盘</w:t>
            </w:r>
          </w:p>
          <w:p w14:paraId="49FC9F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2，视频接口：2×HDMI，1×VGA</w:t>
            </w:r>
          </w:p>
          <w:p w14:paraId="7B5E89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3，网络接口：2×RJ45 10/100/1000Mbps自适应以太网口</w:t>
            </w:r>
          </w:p>
          <w:p w14:paraId="7A97477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4，报警接口：16路报警输入，4路报警输出</w:t>
            </w:r>
          </w:p>
          <w:p w14:paraId="17E6E2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5，反向供电：1路DC12V 1A</w:t>
            </w:r>
          </w:p>
          <w:p w14:paraId="1E919D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6，串行接口：1路RS-232接口，1路全双工RS-485接口</w:t>
            </w:r>
          </w:p>
          <w:p w14:paraId="27000A7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7，USB接口：2×USB 2.0，1×USB 3.0</w:t>
            </w:r>
          </w:p>
          <w:p w14:paraId="7EBAFE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【产品性能】</w:t>
            </w:r>
          </w:p>
          <w:p w14:paraId="598225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1，输入带宽：256Mbps</w:t>
            </w:r>
          </w:p>
          <w:p w14:paraId="08D6A5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2，输出带宽：256Mbps</w:t>
            </w:r>
          </w:p>
          <w:p w14:paraId="783C13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3，接入能力：16路H.264、H.265格式高清码流接入</w:t>
            </w:r>
          </w:p>
          <w:p w14:paraId="138F2A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4，解码能力：最大支持32×1080P</w:t>
            </w:r>
          </w:p>
          <w:p w14:paraId="0CE73A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5，显示能力：最大支持8K+1080P、2×4K异源输出                                                                                                                                                                                                     6，设备具有2个HDMI接口，1个VGA接口，1个CVBS接口，支持3组异源输出，每组输出可独立配置全局音频预览，</w:t>
            </w:r>
          </w:p>
          <w:p w14:paraId="69A06F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sz w:val="22"/>
                <w:szCs w:val="22"/>
                <w:u w:val="none"/>
                <w14:textFill>
                  <w14:solidFill>
                    <w14:schemeClr w14:val="tx1"/>
                  </w14:solidFill>
                </w14:textFill>
              </w:rPr>
              <w:t>支持OTA升级功能，支持手动检查和设备自动检查云端升级包，自动升级，支持云端定向升级发布包，可根据设备序列号范围推送指定的升级包</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（需提供公安部检测报告复印件并加盖原厂公章）</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5B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3D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189C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74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6AE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8AD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8T监控硬盘</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BD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容量:≥8TB</w:t>
            </w:r>
          </w:p>
          <w:p w14:paraId="452FC7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转速:≥5640转</w:t>
            </w:r>
          </w:p>
          <w:p w14:paraId="5DBC38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缓存:≥256M</w:t>
            </w:r>
          </w:p>
          <w:p w14:paraId="62EFB4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接口类型:SATA</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A5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83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r>
      <w:tr w14:paraId="7C24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50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FF0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E4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8口POE交换机</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11A8">
            <w:pPr>
              <w:keepNext w:val="0"/>
              <w:keepLines w:val="0"/>
              <w:widowControl/>
              <w:numPr>
                <w:ilvl w:val="0"/>
                <w:numId w:val="5"/>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交换容量≥672Gbps/6.72Tbps；包转发率≥102Mpps/126Mpps；千兆POE电口数≥8个，1G/2.5G光口≥4个；Console口≥1个。</w:t>
            </w:r>
          </w:p>
          <w:p w14:paraId="09AFDA8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2.支持M-LAG技术，跨设备链路聚合（非堆叠技术实现），要求配对的设备有独立的控制平面。</w:t>
            </w:r>
          </w:p>
          <w:p w14:paraId="7E6406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3.支持智能交换机和普通交换机两种工作模式，可以根据不同的组网需要，随时灵活的进行切换</w:t>
            </w:r>
          </w:p>
          <w:p w14:paraId="26C068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4.支持基于终端类型自动识别结果，禁止非法终端(例如私接路由器)接入；要求提供具有CMA和CNAS认证章的第三方权威机构测试报告；</w:t>
            </w:r>
          </w:p>
          <w:p w14:paraId="6F7189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5.支持禁止通过内网PC端进行私接随身WiFi共享；要求提供具有CMA和CNAS认证章的第三方权威机构测试报告；</w:t>
            </w:r>
          </w:p>
          <w:p w14:paraId="411FE4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6.支持终端类型库，基于指纹自动识别PC、路由器、摄像头设备、无线AP等；要求提供具有CMA和CNAS认证章的第三方权威机构测试报告；</w:t>
            </w:r>
          </w:p>
          <w:p w14:paraId="277A80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7.支持基于交换机端口组实现通过检测设备供电特征，有无要电防止仿冒设备接入；要求提供具有CMA和CNAS认证章的第三方权威机构测试报告；</w:t>
            </w:r>
          </w:p>
          <w:p w14:paraId="1EA3E3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sz w:val="22"/>
                <w:szCs w:val="22"/>
                <w:u w:val="none"/>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支持在交换机上创建东西向安全策略，实现全网安全风险拦截；要求提供具有CMA和CNAS认证章的第三方权威机构测试报告。</w:t>
            </w:r>
          </w:p>
          <w:p w14:paraId="41707A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9.▲为了满足网络安全建设需求，交换机需满足《信息安全技术交换机安全技术要求 GA/T 684-2007》，提供公安部质量监督检测中心出具的与之对应的检测报告复印件。</w:t>
            </w:r>
          </w:p>
          <w:p w14:paraId="1773F1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10.为保证设备在受到外界机械碰撞时能够正常运行，要求所投交换机IK防护测试级别至少达到IK06。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3C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1D9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55F1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67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025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74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网线</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5B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千兆网线(线缆标准:GB/T 18015.5-2007 十字骨架:有 撕裂绳:有，导体直径:0.53±0.01 mm ，导体直流电阻:≤95欧姆/千米 )（含施工）</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B6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D1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r>
      <w:tr w14:paraId="00B3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89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9A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82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电缆线</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BE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电缆线（含施工）</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56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48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r>
      <w:tr w14:paraId="7797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63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4D0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93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PVC管</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C9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PVC管（含施工）</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FB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A4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r>
      <w:tr w14:paraId="0E6E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8B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4E3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04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通信柜</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6C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通信柜，201不锈钢室外 防水箱600*600*450（带10公分底座，内配镀锌隔板</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06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A5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7D94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36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D6F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绿色防控</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62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太阳能景观杀虫灯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E9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技术参数</w:t>
            </w:r>
          </w:p>
          <w:p w14:paraId="040A1A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1、太阳能电池板:功率50W单晶硅材质</w:t>
            </w:r>
          </w:p>
          <w:p w14:paraId="6A3220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2、电池:12V/24AH专用锂电池</w:t>
            </w:r>
          </w:p>
          <w:p w14:paraId="68EED2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3、诱集光源:采用多光谱多面太阳能杀虫灯专用LED光源</w:t>
            </w:r>
          </w:p>
          <w:p w14:paraId="3C9281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波长320nm-680nm 之间</w:t>
            </w:r>
          </w:p>
          <w:p w14:paraId="1D3391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4、整灯功率:≤35W</w:t>
            </w:r>
          </w:p>
          <w:p w14:paraId="6D36CA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5、灯杆高度:≥2米(可根据要求定制)</w:t>
            </w:r>
          </w:p>
          <w:p w14:paraId="12F61C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照明光源:LED进口灯珠功率30W.单颗1W高光效LED灯珠使用寿命50000小时以上:</w:t>
            </w:r>
          </w:p>
          <w:p w14:paraId="238A6E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360°广告:独有的外观设计，可用于各个景观区域展示:杀虫方式:灯光透虫，风机负压杀虫增设挡板和导流灯器提高气流速度，增强害虫撞击效果。</w:t>
            </w:r>
          </w:p>
          <w:p w14:paraId="646210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应用环境</w:t>
            </w:r>
          </w:p>
          <w:p w14:paraId="6793B9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广泛应用于农业(蔬菜基地，果园、茶园、烟草种植，水产养殖、畜牧养殖等)、林业、公园、学校、医院、住宅小区.仓库等场所。</w:t>
            </w:r>
          </w:p>
          <w:p w14:paraId="708CB3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适用范围广:适用于山区、川区、平原等不同自然地理条件下的果园，公园，林场，动植物园，花圃，苗圃，草坪，自然保护区、农田、草地、农场、渔场、高尔夫球场，居住小区等场所的病虫害防治。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55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39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74F0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A75D">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0A4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84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杆式频振式杀虫灯</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C4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1、符合GB/T24689.2- 2017《植物保护机械杀虫灯》标准；</w:t>
            </w:r>
          </w:p>
          <w:p w14:paraId="66FB5E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2、整灯功率≤20W；</w:t>
            </w:r>
          </w:p>
          <w:p w14:paraId="5FA00C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3、太阳能电池组件功率：单晶硅，功率≥40W；</w:t>
            </w:r>
          </w:p>
          <w:p w14:paraId="66FF3F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4、锂电池容量：12V/24AH，锂电池具有过充，过放，短路保护功能；</w:t>
            </w:r>
          </w:p>
          <w:p w14:paraId="711FC0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5、诱集光源：波长320mm-680mm（主波：365/404/435/545/577），灯管启动时间≤1s，灯管功率≤15W；</w:t>
            </w:r>
          </w:p>
          <w:p w14:paraId="06C8A6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7、高压触杀电网：高压触杀电网：采用不锈钢竖网连接，竖丝直径≧2.0mm,网丝间</w:t>
            </w:r>
          </w:p>
          <w:p w14:paraId="3DF928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距≤10mm， 电网电压：4700V±5%，诱集害虫撞击面积≧0.21m²，设有电网过流短路</w:t>
            </w:r>
          </w:p>
          <w:p w14:paraId="7D368B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保护装置，防止因虫体残余电网短路。正常工作时不得产生电弧；</w:t>
            </w:r>
          </w:p>
          <w:p w14:paraId="1B25DD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8、灯杆高度≧2.5m，不锈钢材质或镀锌管喷塑，整体焊牢靠；表面光滑，无明显的气孔、焊瘤，固定支架部位采用顶丝固定可实现360旋转；</w:t>
            </w:r>
          </w:p>
          <w:p w14:paraId="3EC6BE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9、绝缘电阻≧2.5MΩ，高压电网连续电弧放电&gt;30min,绝缘柱无炭化现象。</w:t>
            </w:r>
          </w:p>
          <w:p w14:paraId="6E6779D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10、时控功能：根据目标昆虫生活习性规律，可设定多个时间段。</w:t>
            </w:r>
          </w:p>
          <w:p w14:paraId="79DCE8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11、光控功能：在光照&lt;20lx情况下诱集光源自动亮起，杀虫灯进入正常工作状态，在光照&gt;30lx情况下诱集光源自动熄灭，杀虫灯停止工作，进入充电模式。</w:t>
            </w:r>
          </w:p>
          <w:p w14:paraId="1E46D4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12、雨控功能：杀虫灯在雨天应自动即可自动进入保护状态，雨停后可自动恢复工作</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C1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A5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272B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3E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026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地笼及水泥基础辅材</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30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辅材</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89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水晶头，胶布，直接，三通等，开挖回填</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C2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93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r>
      <w:tr w14:paraId="0CF1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97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E09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04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防雷器浪涌保护器</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77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额定工作电压  220V50Hz</w:t>
            </w:r>
          </w:p>
          <w:p w14:paraId="62663F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最大持续运行电压  385V50Hz</w:t>
            </w:r>
          </w:p>
          <w:p w14:paraId="1FC611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电压保护水平 L/N-PE: 1.8kV</w:t>
            </w:r>
          </w:p>
          <w:p w14:paraId="5CC666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短路电流耐受能力  300A</w:t>
            </w:r>
          </w:p>
          <w:p w14:paraId="1E19D2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电流类型  交流</w:t>
            </w:r>
          </w:p>
          <w:p w14:paraId="152117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相数 单相 三相</w:t>
            </w:r>
          </w:p>
          <w:p w14:paraId="080F69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IP防护等级  IP20</w:t>
            </w:r>
          </w:p>
          <w:p w14:paraId="305B5C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使用模式  L-PE/N-PE</w:t>
            </w:r>
          </w:p>
          <w:p w14:paraId="70038A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温度范围 -40℃+80℃</w:t>
            </w:r>
          </w:p>
          <w:p w14:paraId="162C09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脱离动作指示   绿:正常/红:失效(脱离)</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6F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78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r>
      <w:tr w14:paraId="75AF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1F6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159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E5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网口防雷器</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2A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专业防雷设计，可对以太网接口提供共模6kV、差模6kV的防雷保护，保障室外网络设备的安全使用支持抱杆、壁挂安装</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9A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9C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r>
      <w:tr w14:paraId="2AB8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43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34C4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D6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鹰眼点位基础</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95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水泥基础及地笼M20*100cm高（铁板3.0mm）</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BA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2B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r>
      <w:tr w14:paraId="2070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99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642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4F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杀虫灯水泥基础</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5E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常规水泥基础及组合地笼（孔距145*145mm）长188mm 宽188mm 深360mm</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3A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69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r>
      <w:tr w14:paraId="44BE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C5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5604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67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视频监控水泥基础</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AF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常规水泥基础及组合地笼（孔距145*145mm）长188mm 宽188mm 深360mm</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A8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D4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r>
      <w:tr w14:paraId="1CEA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719B5">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二、软件平台开发</w:t>
            </w:r>
          </w:p>
        </w:tc>
      </w:tr>
      <w:tr w14:paraId="789D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20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12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数字农田管理平台</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B0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田园开发管理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9F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整体展示和管理本次项目建设区域田园开发规划布局和详细内容，包括上图分析、数据统计、特色分析。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746B6">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577BB">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75B5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F6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838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1B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服务中心管理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42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整体展示和管理甘霖镇拟建设农事服务中心的能力配置和辐射范围，包括上图分析、服务分析、成效分析。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0884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783CC">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0856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9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DA9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5E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节水灌溉管理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09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整体展示和管理本次项目农田提升节水灌溉工程的智能化设施，并分析用水情况，包括上图分析、数据分析、精细分析。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79ABD">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656F2">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4921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AD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A36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E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智慧物联管理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BA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整体展示和管理本次项目智慧物联工程的智能化设施，并综合分析，包括上图分析、田况指标分析。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230E0">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25B4C">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12E4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7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681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D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示范区720全景图</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5A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利用无人机倾斜摄影技术，采用高精度拍摄无人机进行农田区域的高精度数据采集，建立720全景图，总计范围不超过2000亩，一处高空，8-10处实景拍摄，并能够接入和调取鹰眼查看实时图像。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2CCFA">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B843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601F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6C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FA0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5E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数字人问答互动</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87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定制化数字人形象建模，包含语义识别模块和语音回答功能，能够听取和回答互动共计40个问题，并针对部分数据分析的问题可以实现与数字农田管理系统进行互动进行指标展示。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F9BDA">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47490">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27FB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9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A0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数字设备控制台</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54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设备接入管理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83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接入智慧物联设备、灌溉设备、无人机设备进行管理。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8BF1D">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DF992">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6E26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88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A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A8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农田监测管理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C3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管理农田综合监测点设备（虫情、墒情、气象），查看实时数据，设备情况。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C05F1">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480F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5B6E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BC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E98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33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无人机管理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FE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集成跳转至无人机管理软件平台进行无人机专用设备管控。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BFEC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FF7D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2180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AE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B27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1F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节水灌溉管理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F9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管理智慧灌溉设备，包括智慧闸口、智控泵站等。</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E55BF">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2D6A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7AF7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9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DCC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C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视频监控管理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9D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管理视频监控设备通过监控列表查看视频监控设备图像，支持监控上墙，球机操控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38C3B">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CC807">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670B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37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B85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9F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综合观测台</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7F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通过一张页面集成主要物联网设备关键指标的实时观测，显示当前气象、虫害、墒情、灌溉流量等数据指标，并轮播主要场所视频监控图像、无人机拍摄图片等</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0FF87">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A39A4">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690B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D3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0A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农田数据资源管理系统</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CC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农田数据管理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C0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针对项目农田建设和管理数据进行统一管理，包括农田空间数据、现代装备数据、农田建设数据、农田指标数据、农田统计数据、农田生产数据等项目建设需要的数据资源。</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F41B2">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E188A">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2794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6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846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C3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数据资产统计表</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1D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通过一张系统报表统计分析农田数据资产总体情况。</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0D0E7">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DE170">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4E06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4E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1F1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64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数据对接管理</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70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按照“浙农田”开发数据接入规范要求，建立数据对接前置数据库，方便上级主管部门系统相关数据得调取和交换。</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190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1430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r>
      <w:tr w14:paraId="3621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0C1A5">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三、部署配套</w:t>
            </w:r>
          </w:p>
        </w:tc>
      </w:tr>
      <w:tr w14:paraId="0F7B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25161">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D16BE">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信创云资源</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91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云主机计算</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72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 核，32GB</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562F0">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AD38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60B9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7A42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BD44A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9E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云主机存储</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36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高效云 400G</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9D394">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CB57B">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2CA8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4E2BE">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6DFD18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AC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互联网IP</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B2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互联网IP</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57892">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D51A1">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3019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B2540">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0F0026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75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操作系统</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A5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操作系统(银河麒麟 V10)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0B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BD717">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1248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4DA1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2404AB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6F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数据库软件</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8C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数据库软件授权(达梦V8)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71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BCE4C">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7CC8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6641A">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994454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F4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中间件</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37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东方通</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5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F3CF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61CA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0125E">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127C47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40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安全服务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09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主机安全加固(webshell,暴力破解）</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BB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EDB8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5B78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77985">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6CCEB6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EB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安全服务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98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态势感知</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8A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4E05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3F91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5FEA6">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A9FF34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4A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安全服务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19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综合日志审计,保留180天</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D1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C3C86">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3E81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82188">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FAFD2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EF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安全服务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A6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堡垒机服务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CD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4DB6F">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月</w:t>
            </w:r>
          </w:p>
        </w:tc>
      </w:tr>
      <w:tr w14:paraId="0A58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21AC9">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31EBC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5D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安全服务</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5F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渗透测试服务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C5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C6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r>
      <w:tr w14:paraId="48C0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AA874">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4BF1">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网络安全</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31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等保二测评</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40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项目验收需要完成等保二测评</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2C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BC7FC">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r>
      <w:tr w14:paraId="615A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D75D6">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9217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16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商业密码评测</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516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项目验收需要完成商业密码评测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C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34F12">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r>
      <w:tr w14:paraId="22D1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0A0EA">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8289">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网络传输</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19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管式土壤墒情监测仪和苗情监测仪通讯模块及数据传输配套</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BF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管式土壤墒情监测仪和苗情监测仪通讯模块及数据传输配套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3A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F0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r>
      <w:tr w14:paraId="7DCC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3947F">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3DB7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18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互联网专线</w:t>
            </w:r>
          </w:p>
        </w:tc>
        <w:tc>
          <w:tcPr>
            <w:tcW w:w="2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F0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VPN专线不小于20M，3年</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AD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71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条</w:t>
            </w:r>
          </w:p>
        </w:tc>
      </w:tr>
    </w:tbl>
    <w:p w14:paraId="77B9304D">
      <w:pPr>
        <w:numPr>
          <w:ilvl w:val="0"/>
          <w:numId w:val="0"/>
        </w:numPr>
        <w:rPr>
          <w:rFonts w:hint="default"/>
          <w:lang w:val="en-US" w:eastAsia="zh-CN"/>
        </w:rPr>
      </w:pPr>
    </w:p>
    <w:p w14:paraId="7F29CF8A">
      <w:pPr>
        <w:pStyle w:val="75"/>
        <w:numPr>
          <w:ilvl w:val="0"/>
          <w:numId w:val="4"/>
        </w:numPr>
        <w:spacing w:line="360" w:lineRule="auto"/>
        <w:ind w:left="0" w:leftChars="0" w:firstLine="482" w:firstLineChars="200"/>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政策文件</w:t>
      </w:r>
    </w:p>
    <w:p w14:paraId="46DA7415">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 xml:space="preserve">《高标准农田建设技术规范》(NY/T 2949-2016) </w:t>
      </w:r>
    </w:p>
    <w:p w14:paraId="6E04B5B1">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《全国高标准农田建设规划》2021—2030年</w:t>
      </w:r>
    </w:p>
    <w:p w14:paraId="26F188B9">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《国务院办公厅关于防止耕地“非粮化”稳定粮食生产的意见》</w:t>
      </w:r>
    </w:p>
    <w:p w14:paraId="001E0675">
      <w:pPr>
        <w:numPr>
          <w:ilvl w:val="0"/>
          <w:numId w:val="6"/>
        </w:numPr>
        <w:ind w:firstLine="560"/>
        <w:rPr>
          <w:rFonts w:hint="eastAsia" w:ascii="宋体" w:hAnsi="宋体" w:eastAsia="宋体" w:cs="宋体"/>
          <w:sz w:val="24"/>
          <w:szCs w:val="24"/>
        </w:rPr>
      </w:pPr>
      <w:bookmarkStart w:id="92" w:name="_Hlk73267657"/>
      <w:r>
        <w:rPr>
          <w:rFonts w:hint="eastAsia" w:ascii="宋体" w:hAnsi="宋体" w:eastAsia="宋体" w:cs="宋体"/>
          <w:sz w:val="24"/>
          <w:szCs w:val="24"/>
        </w:rPr>
        <w:t>《国家数字农业农村发展规划纲要（2018-2025）》</w:t>
      </w:r>
    </w:p>
    <w:p w14:paraId="304B7C4C">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2024年中央一号文件《国务院关于学习运用“千村示范、万村整治”工程经验有力有效推进乡村全面振兴的意见》</w:t>
      </w:r>
    </w:p>
    <w:p w14:paraId="027814E4">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《高标准农田建设通则》(GB/T 30600-2022 )</w:t>
      </w:r>
    </w:p>
    <w:p w14:paraId="44D9C5DF">
      <w:pPr>
        <w:numPr>
          <w:ilvl w:val="0"/>
          <w:numId w:val="6"/>
        </w:numPr>
        <w:ind w:firstLine="560"/>
        <w:rPr>
          <w:rFonts w:hint="eastAsia" w:ascii="宋体" w:hAnsi="宋体" w:eastAsia="宋体" w:cs="宋体"/>
          <w:sz w:val="24"/>
          <w:szCs w:val="24"/>
        </w:rPr>
      </w:pPr>
      <w:r>
        <w:rPr>
          <w:rFonts w:hint="eastAsia" w:ascii="宋体" w:hAnsi="宋体" w:eastAsia="宋体" w:cs="宋体"/>
          <w:sz w:val="24"/>
          <w:szCs w:val="24"/>
        </w:rPr>
        <w:t xml:space="preserve"> 浙江省高标准农田建设“十四五”规划</w:t>
      </w:r>
    </w:p>
    <w:bookmarkEnd w:id="92"/>
    <w:p w14:paraId="76FA512C">
      <w:pPr>
        <w:pStyle w:val="4"/>
        <w:rPr>
          <w:rFonts w:hint="eastAsia" w:ascii="宋体" w:hAnsi="宋体" w:eastAsia="宋体" w:cs="宋体"/>
          <w:b/>
          <w:bCs/>
          <w:kern w:val="0"/>
          <w:sz w:val="24"/>
          <w:szCs w:val="24"/>
          <w:lang w:val="en-US" w:eastAsia="zh-CN" w:bidi="ar-SA"/>
        </w:rPr>
      </w:pPr>
      <w:bookmarkStart w:id="93" w:name="_Toc7591"/>
      <w:bookmarkStart w:id="94" w:name="_Toc11695"/>
      <w:bookmarkStart w:id="95" w:name="_Toc53087641"/>
      <w:bookmarkStart w:id="96" w:name="_Toc11946"/>
      <w:bookmarkStart w:id="97" w:name="_Toc3329"/>
      <w:bookmarkStart w:id="98" w:name="_Toc21970"/>
      <w:bookmarkStart w:id="99" w:name="_Toc1943892188"/>
      <w:bookmarkStart w:id="100" w:name="_Toc23165"/>
      <w:bookmarkStart w:id="101" w:name="_Toc11040"/>
      <w:bookmarkStart w:id="102" w:name="_Toc15895"/>
      <w:bookmarkStart w:id="103" w:name="_Toc16035"/>
      <w:bookmarkStart w:id="104" w:name="_Toc31616"/>
      <w:bookmarkStart w:id="105" w:name="_Toc171466707"/>
      <w:bookmarkStart w:id="106" w:name="_Toc16982"/>
      <w:bookmarkStart w:id="107" w:name="_Toc1588016047"/>
      <w:r>
        <w:rPr>
          <w:rFonts w:hint="eastAsia" w:ascii="宋体" w:hAnsi="宋体" w:eastAsia="宋体" w:cs="宋体"/>
          <w:b/>
          <w:bCs/>
          <w:kern w:val="0"/>
          <w:sz w:val="24"/>
          <w:szCs w:val="24"/>
          <w:lang w:val="en-US" w:eastAsia="zh-CN" w:bidi="ar-SA"/>
        </w:rPr>
        <w:t>四、技术规范</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EB595C7">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《计算机软件产品开发编写指南》，GB8567-1988</w:t>
      </w:r>
    </w:p>
    <w:p w14:paraId="76D4B4A2">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《信息处理-数据流程图、程序流程图、系统流程图、程序网络图和系统资源图的文件编制符号及约定》，GB1526-1989</w:t>
      </w:r>
    </w:p>
    <w:p w14:paraId="7EDB6BA7">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《计算机软件质量保证计划规范》，GB/T12504-1990</w:t>
      </w:r>
    </w:p>
    <w:p w14:paraId="072EEF86">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《计算机软件配置管理计划规范》，GB/T12505-1990</w:t>
      </w:r>
    </w:p>
    <w:p w14:paraId="48F5939A">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《电子计算机机房设计规范》，GB50174-1993</w:t>
      </w:r>
    </w:p>
    <w:p w14:paraId="18794AE7">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《计算机软件文档编制规范》，GBT8567-2006</w:t>
      </w:r>
    </w:p>
    <w:p w14:paraId="642CD918">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《信息处理系统计算机系统配置图符号及约定》，GB/T14085-1993</w:t>
      </w:r>
    </w:p>
    <w:p w14:paraId="627D3D7B">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《计算机信息系统安全保护等级划分准则》，GB17859-1999</w:t>
      </w:r>
    </w:p>
    <w:p w14:paraId="04DF5903">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《地理信息公共平台基本规定》，GB/T30318-2013</w:t>
      </w:r>
    </w:p>
    <w:p w14:paraId="05660A58">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《地理信息定位服务》，GB/T28589-2012</w:t>
      </w:r>
    </w:p>
    <w:p w14:paraId="42EE1117">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《地理信息位置服务术语》，GB/T35638-2017</w:t>
      </w:r>
    </w:p>
    <w:p w14:paraId="57A9190F">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《实景地图数据产品》，GB/T35628-2017</w:t>
      </w:r>
    </w:p>
    <w:p w14:paraId="19602B89">
      <w:pPr>
        <w:numPr>
          <w:ilvl w:val="0"/>
          <w:numId w:val="7"/>
        </w:numPr>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《手机地图数据规范》，GB/T35630-2017</w:t>
      </w:r>
    </w:p>
    <w:p w14:paraId="43602473">
      <w:pPr>
        <w:numPr>
          <w:ilvl w:val="0"/>
          <w:numId w:val="7"/>
        </w:numPr>
        <w:ind w:firstLine="560"/>
        <w:rPr>
          <w:rFonts w:hint="eastAsia" w:ascii="宋体" w:hAnsi="宋体" w:eastAsia="宋体" w:cs="宋体"/>
          <w:b/>
          <w:bCs/>
          <w:kern w:val="0"/>
          <w:sz w:val="24"/>
          <w:szCs w:val="24"/>
          <w:lang w:val="en-US" w:eastAsia="zh-CN" w:bidi="ar-SA"/>
        </w:rPr>
      </w:pPr>
      <w:r>
        <w:rPr>
          <w:rFonts w:hint="eastAsia" w:ascii="宋体" w:hAnsi="宋体" w:eastAsia="宋体" w:cs="宋体"/>
          <w:color w:val="000000"/>
          <w:sz w:val="24"/>
          <w:szCs w:val="24"/>
        </w:rPr>
        <w:t>《卫星导航定位基准站网基本产品规范》，GB/T35767-2017</w:t>
      </w:r>
    </w:p>
    <w:p w14:paraId="44351420">
      <w:pPr>
        <w:pStyle w:val="75"/>
        <w:numPr>
          <w:ilvl w:val="0"/>
          <w:numId w:val="0"/>
        </w:numPr>
        <w:spacing w:line="360" w:lineRule="auto"/>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五、</w:t>
      </w:r>
      <w:r>
        <w:rPr>
          <w:rFonts w:hint="eastAsia" w:asciiTheme="majorEastAsia" w:hAnsiTheme="majorEastAsia" w:eastAsiaTheme="majorEastAsia" w:cstheme="majorEastAsia"/>
          <w:b/>
          <w:bCs/>
          <w:kern w:val="0"/>
          <w:sz w:val="24"/>
          <w:szCs w:val="24"/>
        </w:rPr>
        <w:t>项目建设内容</w:t>
      </w:r>
    </w:p>
    <w:p w14:paraId="47E0EB25">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本次项目主要建设内容包括：软件平台开发和数字化配套装备建设。</w:t>
      </w:r>
    </w:p>
    <w:p w14:paraId="167CE7D3">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其中软件平台包括：</w:t>
      </w:r>
    </w:p>
    <w:p w14:paraId="2E1DB468">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①</w:t>
      </w:r>
      <w:r>
        <w:rPr>
          <w:rFonts w:hint="eastAsia" w:asciiTheme="majorEastAsia" w:hAnsiTheme="majorEastAsia" w:eastAsiaTheme="majorEastAsia" w:cstheme="majorEastAsia"/>
          <w:b/>
          <w:bCs/>
          <w:kern w:val="0"/>
          <w:sz w:val="24"/>
          <w:szCs w:val="24"/>
        </w:rPr>
        <w:t>数字农田管理平台</w:t>
      </w:r>
    </w:p>
    <w:p w14:paraId="25E321F4">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针对农田提升区域的开发</w:t>
      </w:r>
      <w:r>
        <w:rPr>
          <w:rFonts w:hint="eastAsia" w:asciiTheme="majorEastAsia" w:hAnsiTheme="majorEastAsia" w:eastAsiaTheme="majorEastAsia" w:cstheme="majorEastAsia"/>
          <w:kern w:val="0"/>
          <w:sz w:val="24"/>
          <w:szCs w:val="24"/>
        </w:rPr>
        <w:t>建设</w:t>
      </w:r>
      <w:r>
        <w:rPr>
          <w:rFonts w:hint="eastAsia" w:asciiTheme="majorEastAsia" w:hAnsiTheme="majorEastAsia" w:eastAsiaTheme="majorEastAsia" w:cstheme="majorEastAsia"/>
          <w:kern w:val="0"/>
          <w:sz w:val="24"/>
          <w:szCs w:val="24"/>
          <w:lang w:val="en-US" w:eastAsia="zh-CN"/>
        </w:rPr>
        <w:t>总体情况</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机械化</w:t>
      </w:r>
      <w:r>
        <w:rPr>
          <w:rFonts w:hint="eastAsia" w:asciiTheme="majorEastAsia" w:hAnsiTheme="majorEastAsia" w:eastAsiaTheme="majorEastAsia" w:cstheme="majorEastAsia"/>
          <w:kern w:val="0"/>
          <w:sz w:val="24"/>
          <w:szCs w:val="24"/>
        </w:rPr>
        <w:t>生产、</w:t>
      </w:r>
      <w:r>
        <w:rPr>
          <w:rFonts w:hint="eastAsia" w:asciiTheme="majorEastAsia" w:hAnsiTheme="majorEastAsia" w:eastAsiaTheme="majorEastAsia" w:cstheme="majorEastAsia"/>
          <w:kern w:val="0"/>
          <w:sz w:val="24"/>
          <w:szCs w:val="24"/>
          <w:lang w:val="en-US" w:eastAsia="zh-CN"/>
        </w:rPr>
        <w:t>节水灌溉</w:t>
      </w:r>
      <w:r>
        <w:rPr>
          <w:rFonts w:hint="eastAsia" w:asciiTheme="majorEastAsia" w:hAnsiTheme="majorEastAsia" w:eastAsiaTheme="majorEastAsia" w:cstheme="majorEastAsia"/>
          <w:kern w:val="0"/>
          <w:sz w:val="24"/>
          <w:szCs w:val="24"/>
        </w:rPr>
        <w:t>管理</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lang w:val="en-US" w:eastAsia="zh-CN"/>
        </w:rPr>
        <w:t>物联监测</w:t>
      </w:r>
      <w:r>
        <w:rPr>
          <w:rFonts w:hint="eastAsia" w:asciiTheme="majorEastAsia" w:hAnsiTheme="majorEastAsia" w:eastAsiaTheme="majorEastAsia" w:cstheme="majorEastAsia"/>
          <w:kern w:val="0"/>
          <w:sz w:val="24"/>
          <w:szCs w:val="24"/>
        </w:rPr>
        <w:t>数据为核心，通过GIS手段，将物联网设备采集数据、管理收集的数据，基于地图上显示</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lang w:val="en-US" w:eastAsia="zh-CN"/>
        </w:rPr>
        <w:t>并制作AR全景地图用于农田展示和后续文旅运营的研学互动体验。</w:t>
      </w:r>
    </w:p>
    <w:p w14:paraId="56A1F388">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②</w:t>
      </w:r>
      <w:r>
        <w:rPr>
          <w:rFonts w:hint="eastAsia" w:asciiTheme="majorEastAsia" w:hAnsiTheme="majorEastAsia" w:eastAsiaTheme="majorEastAsia" w:cstheme="majorEastAsia"/>
          <w:b/>
          <w:bCs/>
          <w:kern w:val="0"/>
          <w:sz w:val="24"/>
          <w:szCs w:val="24"/>
        </w:rPr>
        <w:t>数字设备控制台</w:t>
      </w:r>
    </w:p>
    <w:p w14:paraId="4EA734D5">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集成农田区域的智慧灌溉控制设备、环境监测设备、视频监控设备，通过直观操作台进行管理和调度，方便农田经营管控。</w:t>
      </w:r>
    </w:p>
    <w:p w14:paraId="4688413A">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③</w:t>
      </w:r>
      <w:r>
        <w:rPr>
          <w:rFonts w:hint="eastAsia" w:asciiTheme="majorEastAsia" w:hAnsiTheme="majorEastAsia" w:eastAsiaTheme="majorEastAsia" w:cstheme="majorEastAsia"/>
          <w:b/>
          <w:bCs/>
          <w:kern w:val="0"/>
          <w:sz w:val="24"/>
          <w:szCs w:val="24"/>
        </w:rPr>
        <w:t>农田数据资源管理系统</w:t>
      </w:r>
    </w:p>
    <w:p w14:paraId="6833B765">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按照浙江省农田建设相关数据标准规范，梳理和集合农田区域数字化建设的数据资产和成果，并开发接口满足“浙农田”等各级涉农平台的对接需求。</w:t>
      </w:r>
    </w:p>
    <w:p w14:paraId="3D7E7028">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数字化配套装备建设包括：</w:t>
      </w:r>
    </w:p>
    <w:p w14:paraId="4951EA48">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①</w:t>
      </w:r>
      <w:r>
        <w:rPr>
          <w:rFonts w:hint="eastAsia" w:asciiTheme="majorEastAsia" w:hAnsiTheme="majorEastAsia" w:eastAsiaTheme="majorEastAsia" w:cstheme="majorEastAsia"/>
          <w:b/>
          <w:bCs/>
          <w:kern w:val="0"/>
          <w:sz w:val="24"/>
          <w:szCs w:val="24"/>
        </w:rPr>
        <w:t>农田综合四情监测点</w:t>
      </w:r>
    </w:p>
    <w:p w14:paraId="0AD9FA6E">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建设虫情测报装置、气象站（自配）、土壤墒情检测设备、苗情监控设备、无人机巡视设备等，以及综合展示管理点的基础设施，满足区域农田环境综合管理需求。</w:t>
      </w:r>
    </w:p>
    <w:p w14:paraId="2F34D431">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②</w:t>
      </w:r>
      <w:r>
        <w:rPr>
          <w:rFonts w:hint="eastAsia" w:asciiTheme="majorEastAsia" w:hAnsiTheme="majorEastAsia" w:eastAsiaTheme="majorEastAsia" w:cstheme="majorEastAsia"/>
          <w:b/>
          <w:bCs/>
          <w:kern w:val="0"/>
          <w:sz w:val="24"/>
          <w:szCs w:val="24"/>
        </w:rPr>
        <w:t>田间视频监控布点</w:t>
      </w:r>
    </w:p>
    <w:p w14:paraId="6CACEF15">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分布在农田建设区域建设1套鹰眼摄像机、20个球机、10个枪机，满足区域管理和展示需求。</w:t>
      </w:r>
    </w:p>
    <w:p w14:paraId="72E83BE6">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③</w:t>
      </w:r>
      <w:r>
        <w:rPr>
          <w:rFonts w:hint="eastAsia" w:asciiTheme="majorEastAsia" w:hAnsiTheme="majorEastAsia" w:eastAsiaTheme="majorEastAsia" w:cstheme="majorEastAsia"/>
          <w:b/>
          <w:bCs/>
          <w:kern w:val="0"/>
          <w:sz w:val="24"/>
          <w:szCs w:val="24"/>
        </w:rPr>
        <w:t>绿色防控</w:t>
      </w:r>
    </w:p>
    <w:p w14:paraId="1289505D">
      <w:pPr>
        <w:widowControl/>
        <w:spacing w:line="360" w:lineRule="auto"/>
        <w:ind w:firstLine="44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采用太阳能物理杀虫设备，改善农田区域害虫影响，并针对文旅融合区域采用景观结合的景观杀虫等。</w:t>
      </w:r>
    </w:p>
    <w:p w14:paraId="2F9E3E00">
      <w:pPr>
        <w:widowControl/>
        <w:spacing w:line="360" w:lineRule="auto"/>
        <w:ind w:firstLine="440"/>
        <w:jc w:val="left"/>
        <w:rPr>
          <w:color w:val="000000" w:themeColor="text1"/>
          <w14:textFill>
            <w14:solidFill>
              <w14:schemeClr w14:val="tx1"/>
            </w14:solidFill>
          </w14:textFill>
        </w:rPr>
      </w:pPr>
      <w:r>
        <w:rPr>
          <w:rFonts w:hint="eastAsia" w:asciiTheme="majorEastAsia" w:hAnsiTheme="majorEastAsia" w:eastAsiaTheme="majorEastAsia" w:cstheme="majorEastAsia"/>
          <w:b/>
          <w:bCs/>
          <w:sz w:val="24"/>
          <w:szCs w:val="24"/>
          <w:lang w:val="en-US" w:eastAsia="zh-CN"/>
        </w:rPr>
        <w:t>六</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其他项目要求</w:t>
      </w:r>
    </w:p>
    <w:p w14:paraId="2815C8C4">
      <w:pPr>
        <w:widowControl/>
        <w:spacing w:line="360" w:lineRule="auto"/>
        <w:ind w:firstLine="420" w:firstLineChars="175"/>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①本次项目视频监控设备建设完成后需要按照嵊州市大数据局要求规范接入嵊州市视频融合赋能平台，并承担对接该平台所产生的全部费用。</w:t>
      </w:r>
    </w:p>
    <w:p w14:paraId="024C524A">
      <w:pPr>
        <w:widowControl/>
        <w:spacing w:line="360" w:lineRule="auto"/>
        <w:ind w:firstLine="420" w:firstLineChars="175"/>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②项目建设农田区域无人机拍摄基础数据需要按照大数据局相关要求进行共享。</w:t>
      </w:r>
    </w:p>
    <w:p w14:paraId="4F2F53BF">
      <w:pPr>
        <w:widowControl/>
        <w:spacing w:line="360" w:lineRule="auto"/>
        <w:ind w:firstLine="420" w:firstLineChars="175"/>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lang w:val="en-US" w:eastAsia="zh-CN"/>
        </w:rPr>
        <w:t>③项目软件开发需要按照全省农业数据标准规范，支持系统相关数据接入“浙农田”。</w:t>
      </w:r>
    </w:p>
    <w:p w14:paraId="3E3056D5">
      <w:pPr>
        <w:overflowPunct w:val="0"/>
        <w:autoSpaceDE w:val="0"/>
        <w:autoSpaceDN w:val="0"/>
        <w:adjustRightInd w:val="0"/>
        <w:snapToGrid w:val="0"/>
        <w:spacing w:line="360" w:lineRule="auto"/>
        <w:ind w:left="0" w:leftChars="0" w:firstLine="0" w:firstLineChars="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lang w:val="en-US" w:eastAsia="zh-CN"/>
        </w:rPr>
        <w:t>七</w:t>
      </w:r>
      <w:r>
        <w:rPr>
          <w:rFonts w:hint="eastAsia" w:asciiTheme="majorEastAsia" w:hAnsiTheme="majorEastAsia" w:eastAsiaTheme="majorEastAsia" w:cstheme="majorEastAsia"/>
          <w:b/>
          <w:sz w:val="24"/>
          <w:szCs w:val="24"/>
        </w:rPr>
        <w:t>、验收</w:t>
      </w:r>
      <w:r>
        <w:rPr>
          <w:rFonts w:hint="eastAsia" w:asciiTheme="majorEastAsia" w:hAnsiTheme="majorEastAsia" w:eastAsiaTheme="majorEastAsia" w:cstheme="majorEastAsia"/>
          <w:b/>
          <w:bCs/>
          <w:sz w:val="24"/>
          <w:szCs w:val="24"/>
        </w:rPr>
        <w:t>标准和规范依据</w:t>
      </w:r>
    </w:p>
    <w:p w14:paraId="63063A87">
      <w:pPr>
        <w:tabs>
          <w:tab w:val="left" w:pos="469"/>
        </w:tabs>
        <w:spacing w:line="360" w:lineRule="auto"/>
        <w:ind w:firstLine="241"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（1）相关法律法规</w:t>
      </w:r>
    </w:p>
    <w:p w14:paraId="5E301810">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《中华人民共和国工程建设标准强制性条文（房屋建筑部分）》</w:t>
      </w:r>
    </w:p>
    <w:p w14:paraId="7203447D">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《嵊州市国土空间总体规划》（2021-2035）</w:t>
      </w:r>
    </w:p>
    <w:p w14:paraId="1CDF0525">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《嵊州市国民经济和社会发展第十三个五年规划纲要》</w:t>
      </w:r>
    </w:p>
    <w:p w14:paraId="401B994C">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《建筑工程施工质量验收统一标准》（GB50300－2013）</w:t>
      </w:r>
    </w:p>
    <w:p w14:paraId="3D1F983D">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《建筑装修工程质量验收规范》（GB50210）</w:t>
      </w:r>
    </w:p>
    <w:p w14:paraId="0BCDF97C">
      <w:pPr>
        <w:overflowPunct w:val="0"/>
        <w:autoSpaceDE w:val="0"/>
        <w:autoSpaceDN w:val="0"/>
        <w:adjustRightInd w:val="0"/>
        <w:snapToGrid w:val="0"/>
        <w:spacing w:line="240" w:lineRule="auto"/>
        <w:ind w:left="0" w:leftChars="0" w:firstLine="0" w:firstLineChars="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国际、地方、行业的相关设计规范、政策。若设计人使用的标准在本标书的规定外，则应明确说明用于替代的标准或使用规范，并提供所使用的标准，该标准必须是国际公认的同等或更高级的标准。</w:t>
      </w:r>
    </w:p>
    <w:p w14:paraId="6735F78D">
      <w:pPr>
        <w:overflowPunct w:val="0"/>
        <w:autoSpaceDE w:val="0"/>
        <w:autoSpaceDN w:val="0"/>
        <w:adjustRightInd w:val="0"/>
        <w:snapToGrid w:val="0"/>
        <w:spacing w:line="240" w:lineRule="auto"/>
        <w:ind w:left="0" w:leftChars="0" w:firstLine="0" w:firstLineChars="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val="en-US" w:eastAsia="zh-CN"/>
        </w:rPr>
        <w:t>八、商务要求表</w:t>
      </w:r>
    </w:p>
    <w:tbl>
      <w:tblPr>
        <w:tblStyle w:val="28"/>
        <w:tblpPr w:leftFromText="180" w:rightFromText="180" w:vertAnchor="text" w:horzAnchor="page" w:tblpX="1335" w:tblpY="152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42"/>
        <w:gridCol w:w="7463"/>
      </w:tblGrid>
      <w:tr w14:paraId="0321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vAlign w:val="center"/>
          </w:tcPr>
          <w:p w14:paraId="1232EBD0">
            <w:pPr>
              <w:spacing w:line="240" w:lineRule="auto"/>
              <w:ind w:firstLine="0" w:firstLineChars="0"/>
              <w:jc w:val="center"/>
              <w:rPr>
                <w:rFonts w:hint="eastAsia" w:asciiTheme="majorEastAsia" w:hAnsiTheme="majorEastAsia" w:eastAsiaTheme="majorEastAsia" w:cstheme="majorEastAsia"/>
                <w:snapToGrid w:val="0"/>
                <w:color w:val="000000"/>
                <w:kern w:val="0"/>
                <w:sz w:val="24"/>
                <w:szCs w:val="24"/>
              </w:rPr>
            </w:pPr>
            <w:r>
              <w:rPr>
                <w:rFonts w:hint="eastAsia" w:asciiTheme="majorEastAsia" w:hAnsiTheme="majorEastAsia" w:eastAsiaTheme="majorEastAsia" w:cstheme="majorEastAsia"/>
                <w:snapToGrid w:val="0"/>
                <w:color w:val="000000"/>
                <w:kern w:val="0"/>
                <w:sz w:val="24"/>
                <w:szCs w:val="24"/>
              </w:rPr>
              <w:t>1</w:t>
            </w:r>
          </w:p>
        </w:tc>
        <w:tc>
          <w:tcPr>
            <w:tcW w:w="1342" w:type="dxa"/>
            <w:vAlign w:val="center"/>
          </w:tcPr>
          <w:p w14:paraId="2E440674">
            <w:pPr>
              <w:spacing w:line="240" w:lineRule="auto"/>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服务期限</w:t>
            </w:r>
          </w:p>
        </w:tc>
        <w:tc>
          <w:tcPr>
            <w:tcW w:w="7463" w:type="dxa"/>
            <w:vAlign w:val="center"/>
          </w:tcPr>
          <w:p w14:paraId="66F0F824">
            <w:pPr>
              <w:spacing w:line="240" w:lineRule="auto"/>
              <w:ind w:firstLine="0" w:firstLineChars="0"/>
              <w:jc w:val="both"/>
              <w:rPr>
                <w:rFonts w:hint="eastAsia" w:asciiTheme="majorEastAsia" w:hAnsiTheme="majorEastAsia" w:eastAsiaTheme="majorEastAsia" w:cstheme="majorEastAsia"/>
                <w:snapToGrid w:val="0"/>
                <w:color w:val="000000"/>
                <w:kern w:val="0"/>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90</w:t>
            </w:r>
            <w:r>
              <w:rPr>
                <w:rFonts w:hint="eastAsia" w:asciiTheme="majorEastAsia" w:hAnsiTheme="majorEastAsia" w:eastAsiaTheme="majorEastAsia" w:cstheme="majorEastAsia"/>
                <w:sz w:val="24"/>
                <w:szCs w:val="24"/>
                <w:highlight w:val="none"/>
              </w:rPr>
              <w:t>日历天。</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具体以采购人指定开工日期开始计算</w:t>
            </w:r>
            <w:r>
              <w:rPr>
                <w:rFonts w:hint="eastAsia" w:asciiTheme="majorEastAsia" w:hAnsiTheme="majorEastAsia" w:eastAsiaTheme="majorEastAsia" w:cstheme="majorEastAsia"/>
                <w:sz w:val="24"/>
                <w:szCs w:val="24"/>
                <w:highlight w:val="none"/>
                <w:lang w:eastAsia="zh-CN"/>
              </w:rPr>
              <w:t>）</w:t>
            </w:r>
          </w:p>
        </w:tc>
      </w:tr>
      <w:tr w14:paraId="29AA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35" w:type="dxa"/>
            <w:vAlign w:val="center"/>
          </w:tcPr>
          <w:p w14:paraId="63CBC044">
            <w:pPr>
              <w:spacing w:line="240" w:lineRule="auto"/>
              <w:ind w:firstLine="240" w:firstLineChars="1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42" w:type="dxa"/>
            <w:vAlign w:val="center"/>
          </w:tcPr>
          <w:p w14:paraId="3F4A0F61">
            <w:pPr>
              <w:spacing w:line="240" w:lineRule="auto"/>
              <w:ind w:firstLine="0" w:firstLineChars="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质保期</w:t>
            </w:r>
          </w:p>
        </w:tc>
        <w:tc>
          <w:tcPr>
            <w:tcW w:w="7463" w:type="dxa"/>
            <w:vAlign w:val="center"/>
          </w:tcPr>
          <w:p w14:paraId="3A74D261">
            <w:pPr>
              <w:spacing w:line="240" w:lineRule="auto"/>
              <w:ind w:firstLine="0" w:firstLineChars="0"/>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2年</w:t>
            </w:r>
          </w:p>
        </w:tc>
      </w:tr>
      <w:tr w14:paraId="173C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35" w:type="dxa"/>
            <w:vAlign w:val="center"/>
          </w:tcPr>
          <w:p w14:paraId="3F41972A">
            <w:pPr>
              <w:spacing w:line="420" w:lineRule="exact"/>
              <w:ind w:firstLine="240" w:firstLineChars="1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c>
          <w:tcPr>
            <w:tcW w:w="1342" w:type="dxa"/>
            <w:vAlign w:val="center"/>
          </w:tcPr>
          <w:p w14:paraId="3EBBB420">
            <w:pPr>
              <w:spacing w:line="420" w:lineRule="exact"/>
              <w:ind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实施地点</w:t>
            </w:r>
          </w:p>
        </w:tc>
        <w:tc>
          <w:tcPr>
            <w:tcW w:w="7463" w:type="dxa"/>
            <w:vAlign w:val="center"/>
          </w:tcPr>
          <w:p w14:paraId="019416EB">
            <w:pPr>
              <w:spacing w:line="420" w:lineRule="exact"/>
              <w:ind w:firstLine="0"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嵊州市甘霖镇。</w:t>
            </w:r>
          </w:p>
        </w:tc>
      </w:tr>
      <w:tr w14:paraId="14F3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5" w:type="dxa"/>
            <w:vAlign w:val="center"/>
          </w:tcPr>
          <w:p w14:paraId="733784B1">
            <w:pPr>
              <w:spacing w:line="420" w:lineRule="exact"/>
              <w:ind w:firstLine="240" w:firstLineChars="100"/>
              <w:rPr>
                <w:rFonts w:hint="eastAsia" w:asciiTheme="majorEastAsia" w:hAnsiTheme="majorEastAsia" w:eastAsiaTheme="majorEastAsia" w:cstheme="majorEastAsia"/>
                <w:snapToGrid w:val="0"/>
                <w:color w:val="000000"/>
                <w:kern w:val="0"/>
                <w:sz w:val="24"/>
                <w:szCs w:val="24"/>
                <w:highlight w:val="none"/>
                <w:lang w:eastAsia="zh-CN"/>
              </w:rPr>
            </w:pPr>
            <w:r>
              <w:rPr>
                <w:rFonts w:hint="eastAsia" w:asciiTheme="majorEastAsia" w:hAnsiTheme="majorEastAsia" w:eastAsiaTheme="majorEastAsia" w:cstheme="majorEastAsia"/>
                <w:snapToGrid w:val="0"/>
                <w:color w:val="000000"/>
                <w:kern w:val="0"/>
                <w:sz w:val="24"/>
                <w:szCs w:val="24"/>
                <w:highlight w:val="none"/>
                <w:lang w:val="en-US" w:eastAsia="zh-CN"/>
              </w:rPr>
              <w:t>4</w:t>
            </w:r>
          </w:p>
        </w:tc>
        <w:tc>
          <w:tcPr>
            <w:tcW w:w="1342" w:type="dxa"/>
            <w:vAlign w:val="center"/>
          </w:tcPr>
          <w:p w14:paraId="68E22C18">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lang w:val="en-US" w:eastAsia="zh-CN"/>
              </w:rPr>
              <w:t>验收</w:t>
            </w:r>
          </w:p>
        </w:tc>
        <w:tc>
          <w:tcPr>
            <w:tcW w:w="7463" w:type="dxa"/>
            <w:vAlign w:val="center"/>
          </w:tcPr>
          <w:p w14:paraId="044BB18F">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1.由</w:t>
            </w:r>
            <w:r>
              <w:rPr>
                <w:rFonts w:hint="eastAsia" w:asciiTheme="majorEastAsia" w:hAnsiTheme="majorEastAsia" w:eastAsiaTheme="majorEastAsia" w:cstheme="majorEastAsia"/>
                <w:snapToGrid w:val="0"/>
                <w:color w:val="000000"/>
                <w:kern w:val="0"/>
                <w:sz w:val="24"/>
                <w:szCs w:val="24"/>
                <w:highlight w:val="none"/>
                <w:lang w:val="en-US" w:eastAsia="zh-CN"/>
              </w:rPr>
              <w:t>采购人（监理）</w:t>
            </w:r>
            <w:r>
              <w:rPr>
                <w:rFonts w:hint="eastAsia" w:asciiTheme="majorEastAsia" w:hAnsiTheme="majorEastAsia" w:eastAsiaTheme="majorEastAsia" w:cstheme="majorEastAsia"/>
                <w:snapToGrid w:val="0"/>
                <w:color w:val="000000"/>
                <w:kern w:val="0"/>
                <w:sz w:val="24"/>
                <w:szCs w:val="24"/>
                <w:highlight w:val="none"/>
              </w:rPr>
              <w:t>负责进行验收。</w:t>
            </w:r>
          </w:p>
          <w:p w14:paraId="7667EE2D">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2.项目安装完成</w:t>
            </w:r>
            <w:r>
              <w:rPr>
                <w:rFonts w:hint="eastAsia" w:asciiTheme="majorEastAsia" w:hAnsiTheme="majorEastAsia" w:eastAsiaTheme="majorEastAsia" w:cstheme="majorEastAsia"/>
                <w:snapToGrid w:val="0"/>
                <w:color w:val="000000"/>
                <w:kern w:val="0"/>
                <w:sz w:val="24"/>
                <w:szCs w:val="24"/>
                <w:highlight w:val="none"/>
                <w:lang w:val="en-US" w:eastAsia="zh-CN"/>
              </w:rPr>
              <w:t>并经采购人</w:t>
            </w:r>
            <w:r>
              <w:rPr>
                <w:rFonts w:hint="eastAsia" w:asciiTheme="majorEastAsia" w:hAnsiTheme="majorEastAsia" w:eastAsiaTheme="majorEastAsia" w:cstheme="majorEastAsia"/>
                <w:snapToGrid w:val="0"/>
                <w:color w:val="000000"/>
                <w:kern w:val="0"/>
                <w:sz w:val="24"/>
                <w:szCs w:val="24"/>
                <w:highlight w:val="none"/>
              </w:rPr>
              <w:t>验收合格后，</w:t>
            </w:r>
            <w:r>
              <w:rPr>
                <w:rFonts w:hint="eastAsia" w:asciiTheme="majorEastAsia" w:hAnsiTheme="majorEastAsia" w:eastAsiaTheme="majorEastAsia" w:cstheme="majorEastAsia"/>
                <w:snapToGrid w:val="0"/>
                <w:color w:val="000000"/>
                <w:kern w:val="0"/>
                <w:sz w:val="24"/>
                <w:szCs w:val="24"/>
                <w:highlight w:val="none"/>
                <w:lang w:val="en-US" w:eastAsia="zh-CN"/>
              </w:rPr>
              <w:t>采购人</w:t>
            </w:r>
            <w:r>
              <w:rPr>
                <w:rFonts w:hint="eastAsia" w:asciiTheme="majorEastAsia" w:hAnsiTheme="majorEastAsia" w:eastAsiaTheme="majorEastAsia" w:cstheme="majorEastAsia"/>
                <w:snapToGrid w:val="0"/>
                <w:color w:val="000000"/>
                <w:kern w:val="0"/>
                <w:sz w:val="24"/>
                <w:szCs w:val="24"/>
                <w:highlight w:val="none"/>
              </w:rPr>
              <w:t>在验收单上签字并加盖单位公章。</w:t>
            </w:r>
          </w:p>
          <w:p w14:paraId="011D843A">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3.验收条件及标准：</w:t>
            </w:r>
          </w:p>
          <w:p w14:paraId="762AE00F">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3.1结果符合我国国家有关技术规范要求和技术标准及合同要求。</w:t>
            </w:r>
          </w:p>
          <w:p w14:paraId="4404F6C8">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w:t>
            </w:r>
            <w:r>
              <w:rPr>
                <w:rFonts w:hint="eastAsia" w:asciiTheme="majorEastAsia" w:hAnsiTheme="majorEastAsia" w:eastAsiaTheme="majorEastAsia" w:cstheme="majorEastAsia"/>
                <w:snapToGrid w:val="0"/>
                <w:color w:val="000000"/>
                <w:kern w:val="0"/>
                <w:sz w:val="24"/>
                <w:szCs w:val="24"/>
                <w:highlight w:val="none"/>
                <w:lang w:val="en-US" w:eastAsia="zh-CN"/>
              </w:rPr>
              <w:t>2</w:t>
            </w:r>
            <w:r>
              <w:rPr>
                <w:rFonts w:hint="eastAsia" w:asciiTheme="majorEastAsia" w:hAnsiTheme="majorEastAsia" w:eastAsiaTheme="majorEastAsia" w:cstheme="majorEastAsia"/>
                <w:snapToGrid w:val="0"/>
                <w:color w:val="000000"/>
                <w:kern w:val="0"/>
                <w:sz w:val="24"/>
                <w:szCs w:val="24"/>
                <w:highlight w:val="none"/>
              </w:rPr>
              <w:t>所有合同中规定的货物、材料和技术文件都已提交。</w:t>
            </w:r>
          </w:p>
          <w:p w14:paraId="3E04E479">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lang w:val="en-US" w:eastAsia="zh-CN"/>
              </w:rPr>
              <w:t>4</w:t>
            </w:r>
            <w:r>
              <w:rPr>
                <w:rFonts w:hint="eastAsia" w:asciiTheme="majorEastAsia" w:hAnsiTheme="majorEastAsia" w:eastAsiaTheme="majorEastAsia" w:cstheme="majorEastAsia"/>
                <w:snapToGrid w:val="0"/>
                <w:color w:val="000000"/>
                <w:kern w:val="0"/>
                <w:sz w:val="24"/>
                <w:szCs w:val="24"/>
                <w:highlight w:val="none"/>
              </w:rPr>
              <w:t>.如第一次验收未合格，</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找出原因进行更正，并应在第一次验收结束后7个工作日内进行再次验收，</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承担由此而产生的全部费用。如第二次验收仍不能符合合格条件，</w:t>
            </w:r>
            <w:r>
              <w:rPr>
                <w:rFonts w:hint="eastAsia" w:asciiTheme="majorEastAsia" w:hAnsiTheme="majorEastAsia" w:eastAsiaTheme="majorEastAsia" w:cstheme="majorEastAsia"/>
                <w:snapToGrid w:val="0"/>
                <w:color w:val="000000"/>
                <w:kern w:val="0"/>
                <w:sz w:val="24"/>
                <w:szCs w:val="24"/>
                <w:highlight w:val="none"/>
                <w:lang w:val="en-US" w:eastAsia="zh-CN"/>
              </w:rPr>
              <w:t>采购人</w:t>
            </w:r>
            <w:r>
              <w:rPr>
                <w:rFonts w:hint="eastAsia" w:asciiTheme="majorEastAsia" w:hAnsiTheme="majorEastAsia" w:eastAsiaTheme="majorEastAsia" w:cstheme="majorEastAsia"/>
                <w:snapToGrid w:val="0"/>
                <w:color w:val="000000"/>
                <w:kern w:val="0"/>
                <w:sz w:val="24"/>
                <w:szCs w:val="24"/>
                <w:highlight w:val="none"/>
              </w:rPr>
              <w:t>可拒绝接受全部货物并有权解除合同，</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负责赔偿一切损失。</w:t>
            </w:r>
          </w:p>
        </w:tc>
      </w:tr>
      <w:tr w14:paraId="09AB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55D0A44">
            <w:pPr>
              <w:spacing w:line="420" w:lineRule="exact"/>
              <w:ind w:firstLine="240" w:firstLineChars="100"/>
              <w:rPr>
                <w:rFonts w:hint="eastAsia" w:asciiTheme="majorEastAsia" w:hAnsiTheme="majorEastAsia" w:eastAsiaTheme="majorEastAsia" w:cstheme="majorEastAsia"/>
                <w:snapToGrid w:val="0"/>
                <w:color w:val="000000"/>
                <w:kern w:val="0"/>
                <w:sz w:val="24"/>
                <w:szCs w:val="24"/>
                <w:lang w:eastAsia="zh-CN"/>
              </w:rPr>
            </w:pPr>
            <w:r>
              <w:rPr>
                <w:rFonts w:hint="eastAsia" w:asciiTheme="majorEastAsia" w:hAnsiTheme="majorEastAsia" w:eastAsiaTheme="majorEastAsia" w:cstheme="majorEastAsia"/>
                <w:snapToGrid w:val="0"/>
                <w:color w:val="000000"/>
                <w:kern w:val="0"/>
                <w:sz w:val="24"/>
                <w:szCs w:val="24"/>
                <w:lang w:val="en-US" w:eastAsia="zh-CN"/>
              </w:rPr>
              <w:t>5</w:t>
            </w:r>
          </w:p>
        </w:tc>
        <w:tc>
          <w:tcPr>
            <w:tcW w:w="1342" w:type="dxa"/>
            <w:vAlign w:val="center"/>
          </w:tcPr>
          <w:p w14:paraId="5E1399B8">
            <w:pPr>
              <w:spacing w:line="420" w:lineRule="exact"/>
              <w:ind w:firstLine="0" w:firstLineChars="0"/>
              <w:jc w:val="both"/>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履约</w:t>
            </w:r>
          </w:p>
          <w:p w14:paraId="12A79BD3">
            <w:pPr>
              <w:spacing w:line="420" w:lineRule="exact"/>
              <w:ind w:firstLine="0" w:firstLineChars="0"/>
              <w:jc w:val="both"/>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保证金</w:t>
            </w:r>
          </w:p>
        </w:tc>
        <w:tc>
          <w:tcPr>
            <w:tcW w:w="7463" w:type="dxa"/>
            <w:vAlign w:val="center"/>
          </w:tcPr>
          <w:p w14:paraId="32E6024E">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rPr>
              <w:t>①</w:t>
            </w:r>
            <w:r>
              <w:rPr>
                <w:rFonts w:hint="eastAsia" w:asciiTheme="majorEastAsia" w:hAnsiTheme="majorEastAsia" w:eastAsiaTheme="majorEastAsia" w:cstheme="majorEastAsia"/>
                <w:snapToGrid w:val="0"/>
                <w:color w:val="000000"/>
                <w:kern w:val="0"/>
                <w:sz w:val="24"/>
                <w:szCs w:val="24"/>
                <w:highlight w:val="none"/>
              </w:rPr>
              <w:t>中标通知书发出后5个工作日内中标人向采购人缴纳</w:t>
            </w:r>
            <w:r>
              <w:rPr>
                <w:rFonts w:hint="eastAsia" w:asciiTheme="majorEastAsia" w:hAnsiTheme="majorEastAsia" w:eastAsiaTheme="majorEastAsia" w:cstheme="majorEastAsia"/>
                <w:snapToGrid w:val="0"/>
                <w:color w:val="000000"/>
                <w:kern w:val="0"/>
                <w:sz w:val="24"/>
                <w:szCs w:val="24"/>
                <w:highlight w:val="none"/>
                <w:lang w:val="en-US" w:eastAsia="zh-CN"/>
              </w:rPr>
              <w:t>签约</w:t>
            </w:r>
            <w:r>
              <w:rPr>
                <w:rFonts w:hint="eastAsia" w:asciiTheme="majorEastAsia" w:hAnsiTheme="majorEastAsia" w:eastAsiaTheme="majorEastAsia" w:cstheme="majorEastAsia"/>
                <w:snapToGrid w:val="0"/>
                <w:color w:val="000000"/>
                <w:kern w:val="0"/>
                <w:sz w:val="24"/>
                <w:szCs w:val="24"/>
                <w:highlight w:val="none"/>
              </w:rPr>
              <w:t>合同总金额的1%作为履约保证金，在</w:t>
            </w:r>
            <w:r>
              <w:rPr>
                <w:rFonts w:hint="eastAsia" w:asciiTheme="majorEastAsia" w:hAnsiTheme="majorEastAsia" w:eastAsiaTheme="majorEastAsia" w:cstheme="majorEastAsia"/>
                <w:sz w:val="24"/>
                <w:szCs w:val="24"/>
                <w:highlight w:val="none"/>
              </w:rPr>
              <w:t>项目验收</w:t>
            </w:r>
            <w:r>
              <w:rPr>
                <w:rFonts w:hint="eastAsia" w:asciiTheme="majorEastAsia" w:hAnsiTheme="majorEastAsia" w:eastAsiaTheme="majorEastAsia" w:cstheme="majorEastAsia"/>
                <w:snapToGrid w:val="0"/>
                <w:color w:val="000000"/>
                <w:kern w:val="0"/>
                <w:sz w:val="24"/>
                <w:szCs w:val="24"/>
                <w:highlight w:val="none"/>
              </w:rPr>
              <w:t>后</w:t>
            </w:r>
            <w:r>
              <w:rPr>
                <w:rFonts w:hint="eastAsia" w:asciiTheme="majorEastAsia" w:hAnsiTheme="majorEastAsia" w:eastAsiaTheme="majorEastAsia" w:cstheme="majorEastAsia"/>
                <w:sz w:val="24"/>
                <w:szCs w:val="24"/>
                <w:highlight w:val="none"/>
              </w:rPr>
              <w:t>15个工作日</w:t>
            </w:r>
            <w:r>
              <w:rPr>
                <w:rFonts w:hint="eastAsia" w:asciiTheme="majorEastAsia" w:hAnsiTheme="majorEastAsia" w:eastAsiaTheme="majorEastAsia" w:cstheme="majorEastAsia"/>
                <w:snapToGrid w:val="0"/>
                <w:color w:val="000000"/>
                <w:kern w:val="0"/>
                <w:sz w:val="24"/>
                <w:szCs w:val="24"/>
                <w:highlight w:val="none"/>
              </w:rPr>
              <w:t>内无息返还。</w:t>
            </w:r>
          </w:p>
          <w:p w14:paraId="7BF58A6D">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rPr>
              <w:t>②</w:t>
            </w:r>
            <w:r>
              <w:rPr>
                <w:rFonts w:hint="eastAsia" w:asciiTheme="majorEastAsia" w:hAnsiTheme="majorEastAsia" w:eastAsiaTheme="majorEastAsia" w:cstheme="majorEastAsia"/>
                <w:snapToGrid w:val="0"/>
                <w:color w:val="000000"/>
                <w:kern w:val="0"/>
                <w:sz w:val="24"/>
                <w:szCs w:val="24"/>
                <w:highlight w:val="none"/>
              </w:rPr>
              <w:t>履约保证金支付方式：保函、网上银行、电汇、汇票或转账形式。保函包括银行保函、保险机构保证保险保单和融资担保公司保函。</w:t>
            </w:r>
          </w:p>
        </w:tc>
      </w:tr>
      <w:tr w14:paraId="25F2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4F32334">
            <w:pPr>
              <w:spacing w:line="420" w:lineRule="exact"/>
              <w:ind w:firstLine="240" w:firstLineChars="100"/>
              <w:rPr>
                <w:rFonts w:hint="eastAsia" w:asciiTheme="majorEastAsia" w:hAnsiTheme="majorEastAsia" w:eastAsiaTheme="majorEastAsia" w:cstheme="majorEastAsia"/>
                <w:snapToGrid w:val="0"/>
                <w:color w:val="000000"/>
                <w:kern w:val="0"/>
                <w:sz w:val="24"/>
                <w:szCs w:val="24"/>
                <w:highlight w:val="none"/>
                <w:lang w:eastAsia="zh-CN"/>
              </w:rPr>
            </w:pPr>
            <w:r>
              <w:rPr>
                <w:rFonts w:hint="eastAsia" w:asciiTheme="majorEastAsia" w:hAnsiTheme="majorEastAsia" w:eastAsiaTheme="majorEastAsia" w:cstheme="majorEastAsia"/>
                <w:snapToGrid w:val="0"/>
                <w:color w:val="000000"/>
                <w:kern w:val="0"/>
                <w:sz w:val="24"/>
                <w:szCs w:val="24"/>
                <w:highlight w:val="none"/>
                <w:lang w:val="en-US" w:eastAsia="zh-CN"/>
              </w:rPr>
              <w:t>6</w:t>
            </w:r>
          </w:p>
        </w:tc>
        <w:tc>
          <w:tcPr>
            <w:tcW w:w="1342" w:type="dxa"/>
            <w:vAlign w:val="center"/>
          </w:tcPr>
          <w:p w14:paraId="14713CBF">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付款方式</w:t>
            </w:r>
          </w:p>
        </w:tc>
        <w:tc>
          <w:tcPr>
            <w:tcW w:w="7463" w:type="dxa"/>
            <w:vAlign w:val="center"/>
          </w:tcPr>
          <w:p w14:paraId="5FF788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1、在合同签订生效后30个工作日内支付合同价的40%；</w:t>
            </w:r>
          </w:p>
          <w:p w14:paraId="479D1B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2、项目验收合格后30个工作日内支付合同价98%；</w:t>
            </w:r>
          </w:p>
          <w:p w14:paraId="398837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3、余款2%待质保期满后一个月内支付(无息)。</w:t>
            </w:r>
          </w:p>
          <w:p w14:paraId="119F610C">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b/>
                <w:bCs/>
                <w:sz w:val="24"/>
                <w:szCs w:val="24"/>
                <w:highlight w:val="none"/>
              </w:rPr>
              <w:t>注：每次结算前中标人均须提供符合采购人要求的正式发票。</w:t>
            </w:r>
          </w:p>
        </w:tc>
      </w:tr>
      <w:tr w14:paraId="2EAC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vAlign w:val="center"/>
          </w:tcPr>
          <w:p w14:paraId="53C19DE7">
            <w:pPr>
              <w:spacing w:line="420" w:lineRule="exact"/>
              <w:ind w:firstLine="240" w:firstLineChars="100"/>
              <w:rPr>
                <w:rFonts w:hint="default" w:asciiTheme="majorEastAsia" w:hAnsiTheme="majorEastAsia" w:eastAsiaTheme="majorEastAsia" w:cstheme="majorEastAsia"/>
                <w:snapToGrid w:val="0"/>
                <w:color w:val="000000"/>
                <w:kern w:val="0"/>
                <w:sz w:val="24"/>
                <w:szCs w:val="24"/>
                <w:highlight w:val="none"/>
                <w:lang w:val="en-US" w:eastAsia="zh-CN"/>
              </w:rPr>
            </w:pPr>
            <w:r>
              <w:rPr>
                <w:rFonts w:hint="eastAsia" w:asciiTheme="majorEastAsia" w:hAnsiTheme="majorEastAsia" w:eastAsiaTheme="majorEastAsia" w:cstheme="majorEastAsia"/>
                <w:snapToGrid w:val="0"/>
                <w:color w:val="000000"/>
                <w:kern w:val="0"/>
                <w:sz w:val="24"/>
                <w:szCs w:val="24"/>
                <w:highlight w:val="none"/>
                <w:lang w:val="en-US" w:eastAsia="zh-CN"/>
              </w:rPr>
              <w:t>7</w:t>
            </w:r>
          </w:p>
        </w:tc>
        <w:tc>
          <w:tcPr>
            <w:tcW w:w="1342" w:type="dxa"/>
            <w:vAlign w:val="center"/>
          </w:tcPr>
          <w:p w14:paraId="2B32F6B0">
            <w:pPr>
              <w:spacing w:line="420" w:lineRule="exact"/>
              <w:ind w:firstLine="0" w:firstLineChars="0"/>
              <w:jc w:val="center"/>
              <w:rPr>
                <w:rFonts w:hint="default" w:asciiTheme="majorEastAsia" w:hAnsiTheme="majorEastAsia" w:eastAsiaTheme="majorEastAsia" w:cstheme="majorEastAsia"/>
                <w:snapToGrid w:val="0"/>
                <w:color w:val="000000"/>
                <w:kern w:val="0"/>
                <w:sz w:val="24"/>
                <w:szCs w:val="24"/>
                <w:highlight w:val="none"/>
                <w:lang w:val="en-US" w:eastAsia="zh-CN"/>
              </w:rPr>
            </w:pPr>
            <w:r>
              <w:rPr>
                <w:rFonts w:hint="eastAsia" w:asciiTheme="majorEastAsia" w:hAnsiTheme="majorEastAsia" w:eastAsiaTheme="majorEastAsia" w:cstheme="majorEastAsia"/>
                <w:snapToGrid w:val="0"/>
                <w:color w:val="000000"/>
                <w:kern w:val="0"/>
                <w:sz w:val="24"/>
                <w:szCs w:val="24"/>
                <w:highlight w:val="none"/>
                <w:lang w:val="en-US" w:eastAsia="zh-CN"/>
              </w:rPr>
              <w:t>其他</w:t>
            </w:r>
          </w:p>
        </w:tc>
        <w:tc>
          <w:tcPr>
            <w:tcW w:w="7463" w:type="dxa"/>
            <w:vAlign w:val="center"/>
          </w:tcPr>
          <w:p w14:paraId="54FD9E69">
            <w:pPr>
              <w:spacing w:line="420" w:lineRule="exact"/>
              <w:ind w:firstLine="0" w:firstLineChars="0"/>
              <w:rPr>
                <w:rFonts w:hint="default"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 xml:space="preserve"> 本项目相关的知识产权的归属于采购人，技术开发合同产生的发明创造归属采购人。</w:t>
            </w:r>
          </w:p>
        </w:tc>
      </w:tr>
      <w:bookmarkEnd w:id="80"/>
      <w:bookmarkEnd w:id="81"/>
      <w:bookmarkEnd w:id="82"/>
      <w:bookmarkEnd w:id="83"/>
      <w:bookmarkEnd w:id="84"/>
      <w:bookmarkEnd w:id="85"/>
      <w:bookmarkEnd w:id="86"/>
      <w:bookmarkEnd w:id="87"/>
      <w:bookmarkEnd w:id="88"/>
      <w:bookmarkEnd w:id="89"/>
      <w:bookmarkEnd w:id="90"/>
    </w:tbl>
    <w:p w14:paraId="44029340">
      <w:pPr>
        <w:pStyle w:val="2"/>
        <w:ind w:left="0" w:leftChars="0" w:firstLine="0" w:firstLineChars="0"/>
        <w:jc w:val="both"/>
        <w:rPr>
          <w:rFonts w:hint="eastAsia"/>
        </w:rPr>
      </w:pPr>
    </w:p>
    <w:p w14:paraId="0D4CF3AC">
      <w:pPr>
        <w:ind w:firstLine="1446" w:firstLineChars="4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第四</w:t>
      </w:r>
      <w:r>
        <w:rPr>
          <w:rFonts w:hint="eastAsia" w:ascii="仿宋" w:hAnsi="仿宋" w:eastAsia="仿宋" w:cs="仿宋"/>
          <w:b/>
          <w:color w:val="auto"/>
          <w:kern w:val="0"/>
          <w:sz w:val="36"/>
          <w:szCs w:val="36"/>
          <w:highlight w:val="none"/>
          <w:lang w:eastAsia="zh-CN"/>
        </w:rPr>
        <w:t>部分</w:t>
      </w:r>
      <w:r>
        <w:rPr>
          <w:rFonts w:hint="eastAsia" w:ascii="仿宋" w:hAnsi="仿宋" w:eastAsia="仿宋" w:cs="仿宋"/>
          <w:b/>
          <w:color w:val="auto"/>
          <w:kern w:val="0"/>
          <w:sz w:val="36"/>
          <w:szCs w:val="36"/>
          <w:highlight w:val="none"/>
        </w:rPr>
        <w:t xml:space="preserve"> 评标办法及评分标准</w:t>
      </w:r>
    </w:p>
    <w:p w14:paraId="5FE3CD0B">
      <w:pPr>
        <w:ind w:firstLine="480"/>
        <w:rPr>
          <w:rFonts w:ascii="宋体" w:hAnsi="宋体" w:cs="宋体"/>
          <w:sz w:val="24"/>
          <w:szCs w:val="24"/>
        </w:rPr>
      </w:pPr>
      <w:r>
        <w:rPr>
          <w:rFonts w:hint="eastAsia" w:ascii="宋体" w:hAnsi="宋体" w:cs="宋体"/>
          <w:sz w:val="24"/>
          <w:szCs w:val="24"/>
        </w:rPr>
        <w:t>根据有关规定及此项目的实际情况，遵循公平、公正、科学择优的原则，特制定本办法。</w:t>
      </w:r>
    </w:p>
    <w:p w14:paraId="2D86EB5C">
      <w:pPr>
        <w:ind w:firstLine="482"/>
        <w:outlineLvl w:val="1"/>
        <w:rPr>
          <w:rFonts w:ascii="宋体" w:hAnsi="宋体" w:cs="宋体"/>
          <w:b/>
          <w:sz w:val="24"/>
          <w:szCs w:val="24"/>
        </w:rPr>
      </w:pPr>
      <w:bookmarkStart w:id="108" w:name="_Toc297662419"/>
      <w:bookmarkStart w:id="109" w:name="_Toc23895"/>
      <w:bookmarkStart w:id="110" w:name="_Toc22707"/>
      <w:r>
        <w:rPr>
          <w:rFonts w:hint="eastAsia" w:ascii="宋体" w:hAnsi="宋体" w:cs="宋体"/>
          <w:b/>
          <w:sz w:val="24"/>
          <w:szCs w:val="24"/>
        </w:rPr>
        <w:t>一、评标组织</w:t>
      </w:r>
      <w:bookmarkEnd w:id="108"/>
      <w:bookmarkEnd w:id="109"/>
      <w:bookmarkEnd w:id="110"/>
    </w:p>
    <w:p w14:paraId="7742387B">
      <w:pPr>
        <w:ind w:firstLine="480"/>
        <w:rPr>
          <w:rFonts w:ascii="宋体" w:hAnsi="宋体" w:cs="宋体"/>
          <w:sz w:val="24"/>
          <w:szCs w:val="24"/>
        </w:rPr>
      </w:pPr>
      <w:r>
        <w:rPr>
          <w:rFonts w:hint="eastAsia" w:ascii="宋体" w:hAnsi="宋体" w:cs="宋体"/>
          <w:sz w:val="24"/>
          <w:szCs w:val="24"/>
        </w:rPr>
        <w:t>1.评标工作由评标委员会负责。评标委员会按有关规定产生。评标委员会由采购人代表和评审专家组成，成员人数</w:t>
      </w:r>
      <w:r>
        <w:rPr>
          <w:rFonts w:hint="eastAsia" w:ascii="宋体" w:hAnsi="宋体" w:cs="宋体"/>
          <w:sz w:val="24"/>
          <w:szCs w:val="24"/>
          <w:highlight w:val="none"/>
        </w:rPr>
        <w:t>为</w:t>
      </w:r>
      <w:r>
        <w:rPr>
          <w:rFonts w:hint="eastAsia" w:ascii="宋体" w:hAnsi="宋体" w:cs="宋体"/>
          <w:sz w:val="24"/>
          <w:szCs w:val="24"/>
          <w:highlight w:val="none"/>
          <w:lang w:val="en-US" w:eastAsia="zh-CN"/>
        </w:rPr>
        <w:t>5</w:t>
      </w:r>
      <w:r>
        <w:rPr>
          <w:rFonts w:hint="eastAsia" w:ascii="宋体" w:hAnsi="宋体" w:cs="宋体"/>
          <w:sz w:val="24"/>
          <w:szCs w:val="24"/>
          <w:highlight w:val="none"/>
        </w:rPr>
        <w:t>人，其中采购人代表为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w:t>
      </w:r>
    </w:p>
    <w:p w14:paraId="50E03319">
      <w:pPr>
        <w:ind w:firstLine="482"/>
        <w:outlineLvl w:val="1"/>
        <w:rPr>
          <w:rFonts w:ascii="宋体" w:hAnsi="宋体" w:cs="宋体"/>
          <w:b/>
          <w:sz w:val="24"/>
          <w:szCs w:val="24"/>
        </w:rPr>
      </w:pPr>
      <w:bookmarkStart w:id="111" w:name="_Toc5959"/>
      <w:bookmarkStart w:id="112" w:name="_Toc297662420"/>
      <w:bookmarkStart w:id="113" w:name="_Toc11215"/>
      <w:r>
        <w:rPr>
          <w:rFonts w:hint="eastAsia" w:ascii="宋体" w:hAnsi="宋体" w:cs="宋体"/>
          <w:b/>
          <w:sz w:val="24"/>
          <w:szCs w:val="24"/>
        </w:rPr>
        <w:t>二、评标方法</w:t>
      </w:r>
      <w:bookmarkEnd w:id="111"/>
      <w:bookmarkEnd w:id="112"/>
      <w:bookmarkEnd w:id="113"/>
    </w:p>
    <w:p w14:paraId="10B066F8">
      <w:pPr>
        <w:ind w:firstLine="480"/>
        <w:rPr>
          <w:rFonts w:ascii="宋体" w:hAnsi="宋体" w:cs="宋体"/>
          <w:sz w:val="24"/>
          <w:szCs w:val="24"/>
        </w:rPr>
      </w:pPr>
      <w:r>
        <w:rPr>
          <w:rFonts w:hint="eastAsia" w:ascii="宋体" w:hAnsi="宋体" w:cs="宋体"/>
          <w:sz w:val="24"/>
          <w:szCs w:val="24"/>
        </w:rPr>
        <w:t>综合评分法。开标后，评标委员会首先对所有通过资格审查的投标人的投标文件进行符合性审查，凡投标人的投标文件完整性、合法性存在欠缺的，或投标文件实质性内容和关键格式严重不符合有关规定和不响应招标文件要求的，作为无效标予以废除，不进入评议打分范围。</w:t>
      </w:r>
    </w:p>
    <w:p w14:paraId="13F8BFE9">
      <w:pPr>
        <w:ind w:firstLine="480"/>
        <w:rPr>
          <w:rFonts w:ascii="宋体" w:hAnsi="宋体" w:cs="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29DA1335">
      <w:pPr>
        <w:ind w:firstLine="480"/>
        <w:rPr>
          <w:rFonts w:hint="eastAsia" w:ascii="宋体" w:hAnsi="宋体" w:cs="宋体"/>
          <w:sz w:val="24"/>
          <w:szCs w:val="24"/>
          <w:highlight w:val="none"/>
        </w:rPr>
      </w:pPr>
      <w:r>
        <w:rPr>
          <w:rFonts w:hint="eastAsia" w:ascii="宋体" w:hAnsi="宋体" w:cs="宋体"/>
          <w:sz w:val="24"/>
          <w:szCs w:val="24"/>
        </w:rPr>
        <w:t>投标人的综合得分为技术资信部分、价格部分评分的总计（指定专人进行计算和复核，四舍五入法，保留两位小数），中标候选资格按评标得分由高到低顺序排列，得分相同的，按投标报价由低到高顺序排列</w:t>
      </w:r>
      <w:r>
        <w:rPr>
          <w:rFonts w:hint="eastAsia" w:ascii="宋体" w:hAnsi="宋体" w:cs="宋体"/>
          <w:sz w:val="24"/>
          <w:szCs w:val="24"/>
          <w:highlight w:val="none"/>
        </w:rPr>
        <w:t xml:space="preserve">；得分且投标报价相同的并列。投标文件满足招标文件全部实质性要求，且按照评审因素的量化指标评审得分最高的投标人为中标候选人。中标候选人并列的，采用随机抽取的方式确定。 </w:t>
      </w:r>
    </w:p>
    <w:p w14:paraId="635F9EA8">
      <w:pPr>
        <w:ind w:firstLine="482"/>
        <w:outlineLvl w:val="1"/>
        <w:rPr>
          <w:rFonts w:ascii="宋体" w:hAnsi="宋体" w:cs="宋体"/>
          <w:b/>
          <w:sz w:val="24"/>
          <w:szCs w:val="24"/>
        </w:rPr>
      </w:pPr>
      <w:bookmarkStart w:id="114" w:name="_Toc27428"/>
      <w:bookmarkStart w:id="115" w:name="_Toc4514"/>
      <w:bookmarkStart w:id="116" w:name="_Toc297662421"/>
      <w:r>
        <w:rPr>
          <w:rFonts w:hint="eastAsia" w:ascii="宋体" w:hAnsi="宋体" w:cs="宋体"/>
          <w:b/>
          <w:sz w:val="24"/>
          <w:szCs w:val="24"/>
        </w:rPr>
        <w:t>三、定标办法</w:t>
      </w:r>
      <w:bookmarkEnd w:id="114"/>
      <w:bookmarkEnd w:id="115"/>
      <w:bookmarkEnd w:id="116"/>
    </w:p>
    <w:p w14:paraId="2B37DED6">
      <w:pPr>
        <w:ind w:firstLine="480"/>
        <w:rPr>
          <w:rFonts w:ascii="宋体" w:hAnsi="宋体" w:cs="宋体"/>
          <w:sz w:val="24"/>
          <w:szCs w:val="24"/>
        </w:rPr>
      </w:pPr>
      <w:r>
        <w:rPr>
          <w:rFonts w:hint="eastAsia" w:ascii="宋体" w:hAnsi="宋体" w:cs="宋体"/>
          <w:sz w:val="24"/>
          <w:szCs w:val="24"/>
        </w:rPr>
        <w:t>评标结束后，采购人根据评标委员会提交的评标报告和推荐意见，对进入候选的投标人进行最终审查。终审后根据推荐的候选中标人情况确定中标人。最低报价不是中标的唯一保证。</w:t>
      </w:r>
    </w:p>
    <w:p w14:paraId="60BB6D9B">
      <w:pPr>
        <w:ind w:firstLine="480"/>
        <w:rPr>
          <w:rFonts w:ascii="宋体" w:hAnsi="宋体" w:cs="宋体"/>
          <w:sz w:val="24"/>
          <w:szCs w:val="24"/>
        </w:rPr>
      </w:pPr>
      <w:r>
        <w:rPr>
          <w:rFonts w:hint="eastAsia" w:ascii="宋体" w:hAnsi="宋体" w:cs="宋体"/>
          <w:sz w:val="24"/>
          <w:szCs w:val="24"/>
        </w:rPr>
        <w:t xml:space="preserve">整个评标过程应严格保密，评标委员会成员及工作人员应严格遵守纪律，不得泄露任何评标信息。 </w:t>
      </w:r>
    </w:p>
    <w:p w14:paraId="232C93F6">
      <w:pPr>
        <w:ind w:firstLine="482"/>
        <w:outlineLvl w:val="1"/>
        <w:rPr>
          <w:rFonts w:ascii="宋体" w:hAnsi="宋体" w:cs="宋体"/>
          <w:b/>
          <w:sz w:val="24"/>
          <w:szCs w:val="24"/>
        </w:rPr>
      </w:pPr>
      <w:bookmarkStart w:id="117" w:name="_Toc5490"/>
      <w:r>
        <w:rPr>
          <w:rFonts w:hint="eastAsia" w:ascii="宋体" w:hAnsi="宋体" w:cs="宋体"/>
          <w:b/>
          <w:sz w:val="24"/>
          <w:szCs w:val="24"/>
        </w:rPr>
        <w:t>四、分值的计算</w:t>
      </w:r>
      <w:bookmarkEnd w:id="117"/>
    </w:p>
    <w:p w14:paraId="217A1038">
      <w:pPr>
        <w:ind w:firstLine="480"/>
        <w:rPr>
          <w:rFonts w:ascii="宋体" w:hAnsi="宋体" w:cs="宋体"/>
          <w:kern w:val="1"/>
          <w:sz w:val="24"/>
          <w:szCs w:val="24"/>
        </w:rPr>
      </w:pPr>
      <w:r>
        <w:rPr>
          <w:rFonts w:hint="eastAsia" w:ascii="宋体" w:hAnsi="宋体" w:cs="宋体"/>
          <w:kern w:val="1"/>
          <w:sz w:val="24"/>
          <w:szCs w:val="24"/>
        </w:rPr>
        <w:t>资信及技术分=评标委员会所有成员评分合计数/评标委员会组成人员数</w:t>
      </w:r>
    </w:p>
    <w:p w14:paraId="61EA7784">
      <w:pPr>
        <w:ind w:firstLine="480"/>
        <w:rPr>
          <w:rFonts w:ascii="宋体" w:hAnsi="宋体" w:cs="宋体"/>
          <w:b/>
          <w:sz w:val="24"/>
          <w:szCs w:val="24"/>
        </w:rPr>
      </w:pPr>
      <w:r>
        <w:rPr>
          <w:rFonts w:hint="eastAsia" w:ascii="宋体" w:hAnsi="宋体" w:cs="宋体"/>
          <w:kern w:val="1"/>
          <w:sz w:val="24"/>
          <w:szCs w:val="24"/>
        </w:rPr>
        <w:t>投标人评标综合得分=价格分+资信及技术分</w:t>
      </w:r>
      <w:bookmarkStart w:id="118" w:name="_Toc381971563"/>
      <w:bookmarkEnd w:id="118"/>
      <w:bookmarkStart w:id="119" w:name="_Toc446245388"/>
      <w:bookmarkEnd w:id="119"/>
    </w:p>
    <w:p w14:paraId="283A4125">
      <w:pPr>
        <w:ind w:firstLine="482"/>
        <w:outlineLvl w:val="1"/>
        <w:rPr>
          <w:rFonts w:ascii="宋体" w:hAnsi="宋体" w:cs="宋体"/>
          <w:b/>
          <w:sz w:val="24"/>
          <w:szCs w:val="24"/>
        </w:rPr>
      </w:pPr>
      <w:bookmarkStart w:id="120" w:name="_Toc25606"/>
      <w:r>
        <w:rPr>
          <w:rFonts w:hint="eastAsia" w:ascii="宋体" w:hAnsi="宋体" w:cs="宋体"/>
          <w:b/>
          <w:sz w:val="24"/>
          <w:szCs w:val="24"/>
        </w:rPr>
        <w:t>五、评标内容及标准</w:t>
      </w:r>
      <w:bookmarkEnd w:id="120"/>
    </w:p>
    <w:p w14:paraId="192FEBD0">
      <w:pPr>
        <w:ind w:firstLine="482"/>
        <w:rPr>
          <w:rFonts w:hint="eastAsia" w:ascii="宋体" w:hAnsi="宋体" w:eastAsia="宋体" w:cs="宋体"/>
          <w:color w:val="auto"/>
          <w:kern w:val="0"/>
          <w:sz w:val="24"/>
          <w:szCs w:val="24"/>
          <w:highlight w:val="none"/>
          <w:u w:color="000000"/>
        </w:rPr>
      </w:pPr>
      <w:r>
        <w:rPr>
          <w:rFonts w:hint="eastAsia" w:ascii="宋体" w:hAnsi="宋体" w:cs="宋体"/>
          <w:b/>
          <w:bCs/>
          <w:kern w:val="1"/>
          <w:sz w:val="24"/>
          <w:szCs w:val="24"/>
        </w:rPr>
        <w:t>1.资信及技术分（70分）</w:t>
      </w:r>
    </w:p>
    <w:tbl>
      <w:tblPr>
        <w:tblStyle w:val="2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39"/>
        <w:gridCol w:w="5947"/>
        <w:gridCol w:w="773"/>
      </w:tblGrid>
      <w:tr w14:paraId="7DAF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CE346FF">
            <w:pPr>
              <w:adjustRightInd w:val="0"/>
              <w:snapToGrid w:val="0"/>
              <w:spacing w:line="440" w:lineRule="exact"/>
              <w:ind w:left="0" w:leftChars="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C14B9B6">
            <w:pPr>
              <w:adjustRightInd w:val="0"/>
              <w:snapToGrid w:val="0"/>
              <w:spacing w:line="440" w:lineRule="exact"/>
              <w:ind w:left="0" w:leftChars="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评分项目</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003EAA44">
            <w:pPr>
              <w:adjustRightInd w:val="0"/>
              <w:snapToGrid w:val="0"/>
              <w:spacing w:line="440" w:lineRule="exact"/>
              <w:ind w:left="0" w:leftChars="0" w:firstLine="0" w:firstLineChars="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评分要点及说明</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FE6D293">
            <w:pPr>
              <w:adjustRightInd w:val="0"/>
              <w:snapToGrid w:val="0"/>
              <w:spacing w:line="440" w:lineRule="exact"/>
              <w:ind w:left="0" w:leftChars="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14:paraId="17A8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2D66081">
            <w:pPr>
              <w:pStyle w:val="12"/>
              <w:adjustRightInd w:val="0"/>
              <w:snapToGrid w:val="0"/>
              <w:spacing w:after="0" w:line="440" w:lineRule="exact"/>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88FAB26">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认证证书</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0BCB30B4">
            <w:pPr>
              <w:widowControl/>
              <w:adjustRightInd/>
              <w:spacing w:line="264" w:lineRule="auto"/>
              <w:ind w:left="0" w:leftChars="0" w:firstLine="0" w:firstLineChars="0"/>
              <w:jc w:val="left"/>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bidi="ar"/>
                <w14:textFill>
                  <w14:solidFill>
                    <w14:schemeClr w14:val="tx1"/>
                  </w14:solidFill>
                </w14:textFill>
              </w:rPr>
              <w:t>.投标人具有T/SIA 011-2019 信息系统服务商交付能力评估要求（一级）得2分；</w:t>
            </w:r>
          </w:p>
          <w:p w14:paraId="441479C6">
            <w:pPr>
              <w:widowControl/>
              <w:adjustRightInd/>
              <w:spacing w:line="264" w:lineRule="auto"/>
              <w:ind w:left="0" w:leftChars="0" w:firstLine="0" w:firstLineChars="0"/>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投标人具</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有</w:t>
            </w:r>
            <w:r>
              <w:rPr>
                <w:rFonts w:hint="eastAsia" w:ascii="宋体" w:hAnsi="宋体" w:eastAsia="宋体" w:cs="宋体"/>
                <w:color w:val="000000" w:themeColor="text1"/>
                <w:kern w:val="0"/>
                <w:sz w:val="24"/>
                <w:szCs w:val="24"/>
                <w:highlight w:val="none"/>
                <w:lang w:bidi="ar"/>
                <w14:textFill>
                  <w14:solidFill>
                    <w14:schemeClr w14:val="tx1"/>
                  </w14:solidFill>
                </w14:textFill>
              </w:rPr>
              <w:t>ISO27032网络安全管理体系认证证书的得2分</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7B5BBB44">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3.投标人具有CCRC信息安全服务资质（安全运维）（二级）及以上的得2分。</w:t>
            </w:r>
          </w:p>
          <w:p w14:paraId="60D757DB">
            <w:pPr>
              <w:widowControl/>
              <w:spacing w:line="440" w:lineRule="exact"/>
              <w:ind w:left="0" w:leftChars="0"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提供以上有效期内证书扫描件并加盖CA签章，不提供不得分</w:t>
            </w:r>
            <w:r>
              <w:rPr>
                <w:rFonts w:hint="eastAsia" w:ascii="宋体" w:hAnsi="宋体" w:eastAsia="宋体" w:cs="宋体"/>
                <w:b/>
                <w:bCs/>
                <w:color w:val="000000" w:themeColor="text1"/>
                <w:kern w:val="0"/>
                <w:sz w:val="24"/>
                <w:szCs w:val="24"/>
                <w:highlight w:val="none"/>
                <w14:textFill>
                  <w14:solidFill>
                    <w14:schemeClr w14:val="tx1"/>
                  </w14:solidFill>
                </w14:textFill>
              </w:rPr>
              <w:t>。</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A0CD4E9">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6分</w:t>
            </w:r>
          </w:p>
        </w:tc>
      </w:tr>
      <w:tr w14:paraId="475B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C278258">
            <w:pPr>
              <w:pStyle w:val="12"/>
              <w:adjustRightInd w:val="0"/>
              <w:snapToGrid w:val="0"/>
              <w:spacing w:after="0" w:line="440" w:lineRule="exact"/>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3554DE3">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项目案例</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2C262366">
            <w:pPr>
              <w:widowControl/>
              <w:spacing w:line="44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投标人提供2022年1月1日起至今（以签订合同时间为准）以来类似项目成功实施案例，每提供一个得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41845A2B">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投标文件中提供合同</w:t>
            </w:r>
            <w:r>
              <w:rPr>
                <w:rFonts w:hint="eastAsia" w:ascii="宋体" w:hAnsi="宋体" w:eastAsia="宋体" w:cs="宋体"/>
                <w:b/>
                <w:bCs/>
                <w:color w:val="000000" w:themeColor="text1"/>
                <w:sz w:val="24"/>
                <w:szCs w:val="24"/>
                <w:highlight w:val="none"/>
                <w:lang w:eastAsia="zh-CN"/>
                <w14:textFill>
                  <w14:solidFill>
                    <w14:schemeClr w14:val="tx1"/>
                  </w14:solidFill>
                </w14:textFill>
              </w:rPr>
              <w:t>及中标通知书</w:t>
            </w:r>
            <w:r>
              <w:rPr>
                <w:rFonts w:hint="eastAsia" w:ascii="宋体" w:hAnsi="宋体" w:eastAsia="宋体" w:cs="宋体"/>
                <w:b/>
                <w:bCs/>
                <w:color w:val="000000" w:themeColor="text1"/>
                <w:sz w:val="24"/>
                <w:szCs w:val="24"/>
                <w:highlight w:val="none"/>
                <w14:textFill>
                  <w14:solidFill>
                    <w14:schemeClr w14:val="tx1"/>
                  </w14:solidFill>
                </w14:textFill>
              </w:rPr>
              <w:t>扫描件并加盖CA签章</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8C192DE">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r>
      <w:tr w14:paraId="07CF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09AD8B0">
            <w:pPr>
              <w:pStyle w:val="12"/>
              <w:adjustRightInd w:val="0"/>
              <w:snapToGrid w:val="0"/>
              <w:spacing w:after="0" w:line="440" w:lineRule="exact"/>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BDB84FA">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项目组成人员</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0C9A03D4">
            <w:pPr>
              <w:adjustRightInd/>
              <w:spacing w:line="264" w:lineRule="auto"/>
              <w:ind w:left="0" w:leftChars="0" w:firstLine="0" w:firstLineChars="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拟派项目经理具有</w:t>
            </w:r>
            <w:r>
              <w:rPr>
                <w:rFonts w:hint="eastAsia" w:ascii="宋体" w:hAnsi="宋体" w:eastAsia="宋体" w:cs="宋体"/>
                <w:color w:val="000000" w:themeColor="text1"/>
                <w:sz w:val="24"/>
                <w:szCs w:val="24"/>
                <w:lang w:val="en-US" w:eastAsia="zh-CN"/>
                <w14:textFill>
                  <w14:solidFill>
                    <w14:schemeClr w14:val="tx1"/>
                  </w14:solidFill>
                </w14:textFill>
              </w:rPr>
              <w:t>网络规划设计师（高级）</w:t>
            </w:r>
            <w:r>
              <w:rPr>
                <w:rFonts w:hint="eastAsia" w:ascii="宋体" w:hAnsi="宋体" w:eastAsia="宋体" w:cs="宋体"/>
                <w:color w:val="000000" w:themeColor="text1"/>
                <w:sz w:val="24"/>
                <w:szCs w:val="24"/>
                <w14:textFill>
                  <w14:solidFill>
                    <w14:schemeClr w14:val="tx1"/>
                  </w14:solidFill>
                </w14:textFill>
              </w:rPr>
              <w:t>、高级工程师职称证书（通信工程设计）、信息系统项目管理师（高级）证书的，全部具备得3分，每缺少1本扣1分；</w:t>
            </w:r>
          </w:p>
          <w:p w14:paraId="7D18D6BA">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2.拟派项目技术负责人具有CISAW(信息安全保障人员认证)、系统分析师证书（高级软考）、软件设计师证书（中级软考）的每提供一个得1分</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052CBC85">
            <w:pPr>
              <w:widowControl/>
              <w:spacing w:line="440" w:lineRule="exact"/>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3.除项目经理、项目技术负责人以外拟派项目小组成员具有系统集成项目管理工程师证书（人社部颁发）、软件架构高级测评证书、系统架构设计师证书（高级软考）的，每提供一个得1分，最高得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同一人只计取一次。</w:t>
            </w:r>
          </w:p>
          <w:p w14:paraId="3D5C7D22">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在投标文件中提供证书扫描件及该人员近三个月的社保证明并加盖CA签章</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DDC325D">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r>
      <w:tr w14:paraId="24E0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B625BC0">
            <w:pPr>
              <w:adjustRightInd w:val="0"/>
              <w:snapToGrid w:val="0"/>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p w14:paraId="494861E6">
            <w:pPr>
              <w:pStyle w:val="82"/>
              <w:rPr>
                <w:rFonts w:hint="eastAsia" w:ascii="宋体" w:hAnsi="宋体" w:eastAsia="宋体" w:cs="宋体"/>
                <w:color w:val="000000" w:themeColor="text1"/>
                <w:sz w:val="24"/>
                <w:szCs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C212301">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需求理解与分析</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1AB70CB1">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对项目</w:t>
            </w:r>
            <w:r>
              <w:rPr>
                <w:rFonts w:hint="eastAsia" w:ascii="宋体" w:hAnsi="宋体" w:eastAsia="宋体" w:cs="宋体"/>
                <w:color w:val="000000" w:themeColor="text1"/>
                <w:sz w:val="24"/>
                <w:szCs w:val="24"/>
                <w:lang w:val="en-US" w:eastAsia="zh-CN"/>
                <w14:textFill>
                  <w14:solidFill>
                    <w14:schemeClr w14:val="tx1"/>
                  </w14:solidFill>
                </w14:textFill>
              </w:rPr>
              <w:t>提出的背景和依据、综合体建设总体目标</w:t>
            </w:r>
            <w:r>
              <w:rPr>
                <w:rFonts w:hint="eastAsia" w:ascii="宋体" w:hAnsi="宋体" w:eastAsia="宋体" w:cs="宋体"/>
                <w:color w:val="000000" w:themeColor="text1"/>
                <w:sz w:val="24"/>
                <w:szCs w:val="24"/>
                <w14:textFill>
                  <w14:solidFill>
                    <w14:schemeClr w14:val="tx1"/>
                  </w14:solidFill>
                </w14:textFill>
              </w:rPr>
              <w:t>分析、</w:t>
            </w:r>
            <w:r>
              <w:rPr>
                <w:rFonts w:hint="eastAsia" w:ascii="宋体" w:hAnsi="宋体" w:eastAsia="宋体" w:cs="宋体"/>
                <w:color w:val="000000" w:themeColor="text1"/>
                <w:sz w:val="24"/>
                <w:szCs w:val="24"/>
                <w:lang w:val="en-US" w:eastAsia="zh-CN"/>
                <w14:textFill>
                  <w14:solidFill>
                    <w14:schemeClr w14:val="tx1"/>
                  </w14:solidFill>
                </w14:textFill>
              </w:rPr>
              <w:t>农田提升工程内容分析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农田提升数字化建设目标等内容的描述进行打分</w:t>
            </w:r>
            <w:r>
              <w:rPr>
                <w:rFonts w:hint="eastAsia" w:ascii="宋体" w:hAnsi="宋体" w:eastAsia="宋体" w:cs="宋体"/>
                <w:color w:val="000000" w:themeColor="text1"/>
                <w:sz w:val="24"/>
                <w:szCs w:val="24"/>
                <w14:textFill>
                  <w14:solidFill>
                    <w14:schemeClr w14:val="tx1"/>
                  </w14:solidFill>
                </w14:textFill>
              </w:rPr>
              <w:t>。</w:t>
            </w:r>
          </w:p>
          <w:p w14:paraId="2E14314E">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1.项目需求理解描述详细、流程清晰、逻辑合理、针对性强的得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.0分；</w:t>
            </w:r>
          </w:p>
          <w:p w14:paraId="0B4E29A3">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2.项目需求理解描述一般、流程杂乱、逻辑复杂、针对性一般的得1.1-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.0分；</w:t>
            </w:r>
          </w:p>
          <w:p w14:paraId="11EE6124">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3.项目需求理解描述缺项漏项、</w:t>
            </w:r>
            <w:r>
              <w:rPr>
                <w:rFonts w:hint="eastAsia" w:ascii="宋体" w:hAnsi="宋体" w:eastAsia="宋体" w:cs="宋体"/>
                <w:color w:val="000000" w:themeColor="text1"/>
                <w:sz w:val="24"/>
                <w:szCs w:val="24"/>
                <w:lang w:val="en-US" w:eastAsia="zh-CN"/>
                <w14:textFill>
                  <w14:solidFill>
                    <w14:schemeClr w14:val="tx1"/>
                  </w14:solidFill>
                </w14:textFill>
              </w:rPr>
              <w:t>内容笼统模糊、</w:t>
            </w:r>
            <w:r>
              <w:rPr>
                <w:rFonts w:hint="eastAsia" w:ascii="宋体" w:hAnsi="宋体" w:eastAsia="宋体" w:cs="宋体"/>
                <w:color w:val="000000" w:themeColor="text1"/>
                <w:sz w:val="24"/>
                <w:szCs w:val="24"/>
                <w14:textFill>
                  <w14:solidFill>
                    <w14:schemeClr w14:val="tx1"/>
                  </w14:solidFill>
                </w14:textFill>
              </w:rPr>
              <w:t>不能满足采购人需求的得0-1.0分。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8F887F4">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r>
      <w:tr w14:paraId="6FB5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A2BFE54">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9DCF102">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总体设计</w:t>
            </w:r>
            <w:r>
              <w:rPr>
                <w:rFonts w:hint="eastAsia" w:ascii="宋体" w:hAnsi="宋体" w:eastAsia="宋体" w:cs="宋体"/>
                <w:color w:val="000000" w:themeColor="text1"/>
                <w:sz w:val="24"/>
                <w:szCs w:val="24"/>
                <w14:textFill>
                  <w14:solidFill>
                    <w14:schemeClr w14:val="tx1"/>
                  </w14:solidFill>
                </w14:textFill>
              </w:rPr>
              <w:t>方案</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32524CD5">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w:t>
            </w:r>
            <w:r>
              <w:rPr>
                <w:rFonts w:hint="eastAsia" w:ascii="宋体" w:hAnsi="宋体" w:eastAsia="宋体" w:cs="宋体"/>
                <w:color w:val="000000" w:themeColor="text1"/>
                <w:sz w:val="24"/>
                <w:szCs w:val="24"/>
                <w:lang w:val="en-US" w:eastAsia="zh-CN"/>
                <w14:textFill>
                  <w14:solidFill>
                    <w14:schemeClr w14:val="tx1"/>
                  </w14:solidFill>
                </w14:textFill>
              </w:rPr>
              <w:t>建设原则、总体架构设计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技术路线</w:t>
            </w:r>
            <w:r>
              <w:rPr>
                <w:rFonts w:hint="eastAsia" w:ascii="宋体" w:hAnsi="宋体" w:eastAsia="宋体" w:cs="宋体"/>
                <w:color w:val="000000" w:themeColor="text1"/>
                <w:sz w:val="24"/>
                <w:szCs w:val="24"/>
                <w14:textFill>
                  <w14:solidFill>
                    <w14:schemeClr w14:val="tx1"/>
                  </w14:solidFill>
                </w14:textFill>
              </w:rPr>
              <w:t>等技术方案的完整性、合理性、针对性进行打分。</w:t>
            </w:r>
          </w:p>
          <w:p w14:paraId="3DCBBA1C">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1.方案完全满足招标文件对项目的要求，内容全面详实，且针对性较强的得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14:paraId="649D9E95">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2.方案能够满足招标文件对项目的要求，方案表述一般，针对性一般，但不影响实质性意思表达的得</w:t>
            </w: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p>
          <w:p w14:paraId="4C5065B4">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3.方案内容笼统，</w:t>
            </w:r>
            <w:r>
              <w:rPr>
                <w:rFonts w:hint="eastAsia" w:ascii="宋体" w:hAnsi="宋体" w:eastAsia="宋体" w:cs="宋体"/>
                <w:color w:val="000000" w:themeColor="text1"/>
                <w:sz w:val="24"/>
                <w:szCs w:val="24"/>
                <w:lang w:val="en-US" w:eastAsia="zh-CN"/>
                <w14:textFill>
                  <w14:solidFill>
                    <w14:schemeClr w14:val="tx1"/>
                  </w14:solidFill>
                </w14:textFill>
              </w:rPr>
              <w:t>不完全符合</w:t>
            </w:r>
            <w:r>
              <w:rPr>
                <w:rFonts w:hint="eastAsia" w:ascii="宋体" w:hAnsi="宋体" w:eastAsia="宋体" w:cs="宋体"/>
                <w:color w:val="000000" w:themeColor="text1"/>
                <w:sz w:val="24"/>
                <w:szCs w:val="24"/>
                <w14:textFill>
                  <w14:solidFill>
                    <w14:schemeClr w14:val="tx1"/>
                  </w14:solidFill>
                </w14:textFill>
              </w:rPr>
              <w:t>本项目的得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DD0CBF6">
            <w:pPr>
              <w:adjustRightInd w:val="0"/>
              <w:snapToGrid w:val="0"/>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2268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7F1CD21">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81FCF64">
            <w:pPr>
              <w:bidi w:val="0"/>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软件平台设计方案</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7AEAB193">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根据投标人提供的软件平台设计方案</w:t>
            </w:r>
            <w:r>
              <w:rPr>
                <w:rFonts w:hint="eastAsia" w:ascii="宋体" w:hAnsi="宋体" w:eastAsia="宋体" w:cs="宋体"/>
                <w:color w:val="000000" w:themeColor="text1"/>
                <w:sz w:val="24"/>
                <w:szCs w:val="24"/>
                <w14:textFill>
                  <w14:solidFill>
                    <w14:schemeClr w14:val="tx1"/>
                  </w14:solidFill>
                </w14:textFill>
              </w:rPr>
              <w:t>的完整性、合理性、</w:t>
            </w:r>
            <w:r>
              <w:rPr>
                <w:rFonts w:hint="eastAsia" w:ascii="宋体" w:hAnsi="宋体" w:eastAsia="宋体" w:cs="宋体"/>
                <w:color w:val="000000" w:themeColor="text1"/>
                <w:sz w:val="24"/>
                <w:szCs w:val="24"/>
                <w:lang w:val="en-US" w:eastAsia="zh-CN"/>
                <w14:textFill>
                  <w14:solidFill>
                    <w14:schemeClr w14:val="tx1"/>
                  </w14:solidFill>
                </w14:textFill>
              </w:rPr>
              <w:t>可行</w:t>
            </w:r>
            <w:r>
              <w:rPr>
                <w:rFonts w:hint="eastAsia" w:ascii="宋体" w:hAnsi="宋体" w:eastAsia="宋体" w:cs="宋体"/>
                <w:color w:val="000000" w:themeColor="text1"/>
                <w:sz w:val="24"/>
                <w:szCs w:val="24"/>
                <w14:textFill>
                  <w14:solidFill>
                    <w14:schemeClr w14:val="tx1"/>
                  </w14:solidFill>
                </w14:textFill>
              </w:rPr>
              <w:t>性进行打分。</w:t>
            </w:r>
          </w:p>
          <w:p w14:paraId="3981D042">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1.方案完全满足招标文件对项目的要求，内容全面详实，</w:t>
            </w:r>
            <w:r>
              <w:rPr>
                <w:rFonts w:hint="eastAsia" w:ascii="宋体" w:hAnsi="宋体" w:eastAsia="宋体" w:cs="宋体"/>
                <w:color w:val="000000" w:themeColor="text1"/>
                <w:sz w:val="24"/>
                <w:szCs w:val="24"/>
                <w:lang w:val="en-US"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能够针对</w:t>
            </w:r>
            <w:r>
              <w:rPr>
                <w:rFonts w:hint="eastAsia" w:ascii="宋体" w:hAnsi="宋体" w:eastAsia="宋体" w:cs="宋体"/>
                <w:color w:val="000000" w:themeColor="text1"/>
                <w:sz w:val="24"/>
                <w:szCs w:val="24"/>
                <w:lang w:val="en-US" w:eastAsia="zh-CN"/>
                <w14:textFill>
                  <w14:solidFill>
                    <w14:schemeClr w14:val="tx1"/>
                  </w14:solidFill>
                </w14:textFill>
              </w:rPr>
              <w:t>项目软件平台采购</w:t>
            </w:r>
            <w:r>
              <w:rPr>
                <w:rFonts w:hint="eastAsia" w:ascii="宋体" w:hAnsi="宋体" w:eastAsia="宋体" w:cs="宋体"/>
                <w:color w:val="000000" w:themeColor="text1"/>
                <w:sz w:val="24"/>
                <w:szCs w:val="24"/>
                <w14:textFill>
                  <w14:solidFill>
                    <w14:schemeClr w14:val="tx1"/>
                  </w14:solidFill>
                </w14:textFill>
              </w:rPr>
              <w:t>内容要求</w:t>
            </w:r>
            <w:r>
              <w:rPr>
                <w:rFonts w:hint="eastAsia" w:ascii="宋体" w:hAnsi="宋体" w:eastAsia="宋体" w:cs="宋体"/>
                <w:color w:val="000000" w:themeColor="text1"/>
                <w:sz w:val="24"/>
                <w:szCs w:val="24"/>
                <w:lang w:val="en-US" w:eastAsia="zh-CN"/>
                <w14:textFill>
                  <w14:solidFill>
                    <w14:schemeClr w14:val="tx1"/>
                  </w14:solidFill>
                </w14:textFill>
              </w:rPr>
              <w:t>提供主要系统界面效果设计图的</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14:paraId="3F5439A9">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2.方案能够满足招标文件对项目的要求，方案</w:t>
            </w:r>
            <w:r>
              <w:rPr>
                <w:rFonts w:hint="eastAsia" w:ascii="宋体" w:hAnsi="宋体" w:eastAsia="宋体" w:cs="宋体"/>
                <w:color w:val="000000" w:themeColor="text1"/>
                <w:sz w:val="24"/>
                <w:szCs w:val="24"/>
                <w:lang w:val="en-US" w:eastAsia="zh-CN"/>
                <w14:textFill>
                  <w14:solidFill>
                    <w14:schemeClr w14:val="tx1"/>
                  </w14:solidFill>
                </w14:textFill>
              </w:rPr>
              <w:t>内容完整</w:t>
            </w:r>
            <w:r>
              <w:rPr>
                <w:rFonts w:hint="eastAsia" w:ascii="宋体" w:hAnsi="宋体" w:eastAsia="宋体" w:cs="宋体"/>
                <w:color w:val="000000" w:themeColor="text1"/>
                <w:sz w:val="24"/>
                <w:szCs w:val="24"/>
                <w14:textFill>
                  <w14:solidFill>
                    <w14:schemeClr w14:val="tx1"/>
                  </w14:solidFill>
                </w14:textFill>
              </w:rPr>
              <w:t>一般，针对性一般，但不影响实质性意思表达的得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.0分；</w:t>
            </w:r>
          </w:p>
          <w:p w14:paraId="09DE9632">
            <w:pPr>
              <w:widowControl/>
              <w:spacing w:line="440" w:lineRule="exact"/>
              <w:ind w:left="0" w:leftChars="0" w:firstLine="0" w:firstLineChars="0"/>
              <w:rPr>
                <w:rFonts w:hint="eastAsia" w:ascii="宋体" w:hAnsi="宋体" w:eastAsia="宋体" w:cs="宋体"/>
                <w:b/>
                <w:bCs/>
                <w:color w:val="000000" w:themeColor="text1"/>
                <w:sz w:val="24"/>
                <w:szCs w:val="24"/>
                <w:highlight w:val="green"/>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3.方案内容笼统，没有针对本项目制定的得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31385C1">
            <w:pPr>
              <w:adjustRightInd w:val="0"/>
              <w:snapToGrid w:val="0"/>
              <w:spacing w:line="440" w:lineRule="exact"/>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7847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4028072">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2DCC64A">
            <w:pPr>
              <w:bidi w:val="0"/>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硬件设备响应</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133E81F9">
            <w:pPr>
              <w:widowControl/>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根据投标人所投硬件产品的技术指标与招标需求的偏差情况，包括硬件功能、详细配置、技术指标及相关证明资料，能够满足采购文件要求，对打▲号的重要技术指标每负偏离一项扣减2分，其</w:t>
            </w:r>
            <w:r>
              <w:rPr>
                <w:rFonts w:hint="eastAsia" w:ascii="宋体" w:hAnsi="宋体" w:eastAsia="宋体" w:cs="宋体"/>
                <w:color w:val="000000" w:themeColor="text1"/>
                <w:sz w:val="24"/>
                <w:szCs w:val="24"/>
                <w:highlight w:val="none"/>
                <w:lang w:val="en-US" w:eastAsia="zh-CN"/>
                <w14:textFill>
                  <w14:solidFill>
                    <w14:schemeClr w14:val="tx1"/>
                  </w14:solidFill>
                </w14:textFill>
              </w:rPr>
              <w:t>他</w:t>
            </w:r>
            <w:r>
              <w:rPr>
                <w:rFonts w:hint="eastAsia" w:ascii="宋体" w:hAnsi="宋体" w:eastAsia="宋体" w:cs="宋体"/>
                <w:color w:val="000000" w:themeColor="text1"/>
                <w:sz w:val="24"/>
                <w:szCs w:val="24"/>
                <w:highlight w:val="none"/>
                <w14:textFill>
                  <w14:solidFill>
                    <w14:schemeClr w14:val="tx1"/>
                  </w14:solidFill>
                </w14:textFill>
              </w:rPr>
              <w:t>指标每负偏离一项扣减1分。</w:t>
            </w:r>
          </w:p>
          <w:p w14:paraId="651F3790">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关键指标需要提供材料证明的，投标人需提供证明材料加盖原厂公章扫描件，证明所投设备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指标的检测报告、文件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b/>
                <w:bCs/>
                <w:color w:val="000000" w:themeColor="text1"/>
                <w:sz w:val="24"/>
                <w:szCs w:val="24"/>
                <w:highlight w:val="none"/>
                <w14:textFill>
                  <w14:solidFill>
                    <w14:schemeClr w14:val="tx1"/>
                  </w14:solidFill>
                </w14:textFill>
              </w:rPr>
              <w:t>证书未提供或不满足的视作</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负偏离</w:t>
            </w:r>
            <w:r>
              <w:rPr>
                <w:rFonts w:hint="eastAsia" w:ascii="宋体" w:hAnsi="宋体" w:eastAsia="宋体" w:cs="宋体"/>
                <w:b/>
                <w:bCs/>
                <w:color w:val="000000" w:themeColor="text1"/>
                <w:sz w:val="24"/>
                <w:szCs w:val="24"/>
                <w:highlight w:val="none"/>
                <w14:textFill>
                  <w14:solidFill>
                    <w14:schemeClr w14:val="tx1"/>
                  </w14:solidFill>
                </w14:textFill>
              </w:rPr>
              <w:t>，扣完为止。</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7F58001">
            <w:pPr>
              <w:adjustRightInd w:val="0"/>
              <w:snapToGrid w:val="0"/>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10分</w:t>
            </w:r>
          </w:p>
        </w:tc>
      </w:tr>
      <w:tr w14:paraId="216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365B009">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A4623A8">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项目实施方案</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5DE74C03">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根据投标人提供的项目实施方案进行打分。</w:t>
            </w:r>
          </w:p>
          <w:p w14:paraId="3A742C06">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.确保工期的计划和方案（0-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6FA524E0">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.质量控制手段和保证措施（0-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0AF026D">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r>
      <w:tr w14:paraId="254E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4" w:type="dxa"/>
            <w:tcBorders>
              <w:left w:val="single" w:color="auto" w:sz="4" w:space="0"/>
              <w:bottom w:val="single" w:color="auto" w:sz="4" w:space="0"/>
              <w:right w:val="single" w:color="auto" w:sz="4" w:space="0"/>
            </w:tcBorders>
            <w:noWrap w:val="0"/>
            <w:vAlign w:val="center"/>
          </w:tcPr>
          <w:p w14:paraId="2DFBB10A">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339" w:type="dxa"/>
            <w:tcBorders>
              <w:left w:val="single" w:color="auto" w:sz="4" w:space="0"/>
              <w:bottom w:val="single" w:color="auto" w:sz="4" w:space="0"/>
              <w:right w:val="single" w:color="auto" w:sz="4" w:space="0"/>
            </w:tcBorders>
            <w:noWrap w:val="0"/>
            <w:vAlign w:val="center"/>
          </w:tcPr>
          <w:p w14:paraId="1C095E2B">
            <w:pPr>
              <w:widowControl/>
              <w:spacing w:line="440" w:lineRule="exact"/>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售后服务方案</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5084C409">
            <w:pPr>
              <w:widowControl/>
              <w:spacing w:line="440" w:lineRule="exact"/>
              <w:ind w:left="0" w:leftChars="0" w:firstLine="0" w:firstLineChars="0"/>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kern w:val="0"/>
                <w:sz w:val="24"/>
                <w:szCs w:val="24"/>
                <w:highlight w:val="none"/>
                <w:lang w:bidi="ar"/>
                <w14:textFill>
                  <w14:solidFill>
                    <w14:schemeClr w14:val="tx1"/>
                  </w14:solidFill>
                </w14:textFill>
              </w:rPr>
              <w:t>提供完善的售后服务</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方案</w:t>
            </w:r>
            <w:r>
              <w:rPr>
                <w:rFonts w:hint="eastAsia" w:ascii="宋体" w:hAnsi="宋体" w:eastAsia="宋体" w:cs="宋体"/>
                <w:color w:val="000000" w:themeColor="text1"/>
                <w:kern w:val="0"/>
                <w:sz w:val="24"/>
                <w:szCs w:val="24"/>
                <w:highlight w:val="none"/>
                <w:lang w:bidi="ar"/>
                <w14:textFill>
                  <w14:solidFill>
                    <w14:schemeClr w14:val="tx1"/>
                  </w14:solidFill>
                </w14:textFill>
              </w:rPr>
              <w:t>，并以科学、合理的售后服务保障项目实际需要。</w:t>
            </w:r>
          </w:p>
          <w:p w14:paraId="5392BD8E">
            <w:pPr>
              <w:widowControl/>
              <w:numPr>
                <w:ilvl w:val="0"/>
                <w:numId w:val="8"/>
              </w:numPr>
              <w:spacing w:line="440" w:lineRule="exact"/>
              <w:ind w:left="-200" w:leftChars="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售后问题管理</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341074E2">
            <w:pPr>
              <w:widowControl/>
              <w:numPr>
                <w:ilvl w:val="0"/>
                <w:numId w:val="8"/>
              </w:numPr>
              <w:spacing w:line="440" w:lineRule="exact"/>
              <w:ind w:left="-200" w:leftChars="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本地售后</w:t>
            </w:r>
            <w:bookmarkStart w:id="124" w:name="_GoBack"/>
            <w:bookmarkEnd w:id="124"/>
            <w:r>
              <w:rPr>
                <w:rFonts w:hint="eastAsia" w:ascii="宋体" w:hAnsi="宋体" w:eastAsia="宋体" w:cs="宋体"/>
                <w:color w:val="000000" w:themeColor="text1"/>
                <w:sz w:val="24"/>
                <w:szCs w:val="24"/>
                <w:highlight w:val="none"/>
                <w:lang w:val="en-US" w:eastAsia="zh-CN"/>
                <w14:textFill>
                  <w14:solidFill>
                    <w14:schemeClr w14:val="tx1"/>
                  </w14:solidFill>
                </w14:textFill>
              </w:rPr>
              <w:t>服务能力</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14:paraId="4FB061B6">
            <w:pPr>
              <w:widowControl/>
              <w:numPr>
                <w:ilvl w:val="0"/>
                <w:numId w:val="8"/>
              </w:numPr>
              <w:spacing w:line="440" w:lineRule="exact"/>
              <w:ind w:left="-200" w:leftChars="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售后服务</w:t>
            </w:r>
            <w:r>
              <w:rPr>
                <w:rFonts w:hint="eastAsia" w:ascii="宋体" w:hAnsi="宋体" w:eastAsia="宋体" w:cs="宋体"/>
                <w:color w:val="000000" w:themeColor="text1"/>
                <w:kern w:val="0"/>
                <w:sz w:val="24"/>
                <w:szCs w:val="24"/>
                <w:highlight w:val="none"/>
                <w:lang w:bidi="ar"/>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220B4C19">
            <w:pPr>
              <w:adjustRightInd w:val="0"/>
              <w:snapToGrid w:val="0"/>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CA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93D58D5">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1988A68">
            <w:pPr>
              <w:widowControl/>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培训方案</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4E61CB56">
            <w:pPr>
              <w:widowControl/>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根据项目建设单位实际情况，提供完善、详实、考虑周全且具备良好的可行性的培训方案，包括但不限于①培训工作流程、②培训方式、③培训课程及计划、④培训质量保障，每提供一项得</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bidi="ar"/>
                <w14:textFill>
                  <w14:solidFill>
                    <w14:schemeClr w14:val="tx1"/>
                  </w14:solidFill>
                </w14:textFill>
              </w:rPr>
              <w:t>分，未提供不得分。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95DC31C">
            <w:pPr>
              <w:adjustRightInd w:val="0"/>
              <w:snapToGrid w:val="0"/>
              <w:spacing w:line="44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r>
      <w:tr w14:paraId="11B9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24760F4">
            <w:pPr>
              <w:widowControl/>
              <w:spacing w:line="440" w:lineRule="exact"/>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2F5E3B1">
            <w:pPr>
              <w:widowControl/>
              <w:spacing w:line="440" w:lineRule="exact"/>
              <w:ind w:left="0" w:leftChars="0" w:firstLine="0" w:firstLine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平台功能演示</w:t>
            </w:r>
          </w:p>
        </w:tc>
        <w:tc>
          <w:tcPr>
            <w:tcW w:w="5947" w:type="dxa"/>
            <w:tcBorders>
              <w:top w:val="single" w:color="auto" w:sz="4" w:space="0"/>
              <w:left w:val="single" w:color="auto" w:sz="4" w:space="0"/>
              <w:bottom w:val="single" w:color="auto" w:sz="4" w:space="0"/>
              <w:right w:val="single" w:color="auto" w:sz="4" w:space="0"/>
            </w:tcBorders>
            <w:noWrap w:val="0"/>
            <w:vAlign w:val="center"/>
          </w:tcPr>
          <w:p w14:paraId="317759CA">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基于软件平台系统功能进行视频录制</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cs="宋体"/>
                <w:color w:val="000000" w:themeColor="text1"/>
                <w:kern w:val="0"/>
                <w:sz w:val="24"/>
                <w:szCs w:val="24"/>
                <w:lang w:val="en-US" w:eastAsia="zh-CN" w:bidi="ar"/>
                <w14:textFill>
                  <w14:solidFill>
                    <w14:schemeClr w14:val="tx1"/>
                  </w14:solidFill>
                </w14:textFill>
              </w:rPr>
              <w:t>U盘</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演示，演示时间不超过10分钟。</w:t>
            </w:r>
          </w:p>
          <w:p w14:paraId="4622EB29">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1.演示首页功能</w:t>
            </w:r>
          </w:p>
          <w:p w14:paraId="459ED1FD">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演示系统首页，需要具备领导驾驶舱、农田建设管理系统、大田物联网智能管理平台、智慧节水灌溉等功能模块。（0-2分）</w:t>
            </w:r>
          </w:p>
          <w:p w14:paraId="63514B31">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2.演示设备管理功能</w:t>
            </w:r>
          </w:p>
          <w:p w14:paraId="7969B665">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演示设备看板功能，可以通过图标列表查看系统接入的泵站、病虫害监测设备、气象监测设备、无人机遥感设备，点击具体设备图标能够查看详细设备名称、设备数量、设备状态情况。（0-2分）</w:t>
            </w:r>
          </w:p>
          <w:p w14:paraId="0D78C89A">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3.演示驾驶舱功能</w:t>
            </w:r>
          </w:p>
          <w:p w14:paraId="03045841">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（1）演示首页总览功能，系统针对高标准农田建设情况、建设指标完成情况、种植品类占比、农机使用、监测预警等数据进行分析，并可以通过系统地图查看地块分布情况和地块信息介绍。（0-2分）</w:t>
            </w:r>
          </w:p>
          <w:p w14:paraId="31F05517">
            <w:pPr>
              <w:pStyle w:val="82"/>
              <w:numPr>
                <w:ilvl w:val="0"/>
                <w:numId w:val="0"/>
              </w:numPr>
              <w:ind w:leftChars="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（2）演示四情监测功能，系统针对虫情监测、气象监测、土壤监测、视频监测、设备状态等关键数据进行分析，并可以通过系统地图查看各种类型设备的实际分布情况。（0-2分）</w:t>
            </w:r>
          </w:p>
          <w:p w14:paraId="0B609B38">
            <w:pPr>
              <w:pStyle w:val="82"/>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演示节水灌溉功能，系统针对水泵、泵闸、监控、电磁阀等设备进行数量统计和在线情况展示，通过列表对设备异常进行预警，对环境走势进行图表分析，分析农户用水情况，并通过地图查看设备分布情况。（0-2分）</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71EAEE83">
            <w:pPr>
              <w:adjustRightInd w:val="0"/>
              <w:snapToGrid w:val="0"/>
              <w:spacing w:line="44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r>
    </w:tbl>
    <w:p w14:paraId="44B783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color w:val="auto"/>
          <w:kern w:val="0"/>
          <w:sz w:val="24"/>
          <w:szCs w:val="24"/>
          <w:highlight w:val="none"/>
          <w:lang w:val="en-US" w:eastAsia="zh-CN"/>
        </w:rPr>
      </w:pPr>
    </w:p>
    <w:p w14:paraId="247512D7">
      <w:pPr>
        <w:ind w:firstLine="0" w:firstLineChars="0"/>
        <w:jc w:val="left"/>
        <w:rPr>
          <w:rFonts w:hint="eastAsia" w:ascii="宋体" w:hAnsi="宋体" w:eastAsia="宋体" w:cs="宋体"/>
          <w:b/>
          <w:color w:val="auto"/>
          <w:kern w:val="0"/>
          <w:sz w:val="24"/>
          <w:szCs w:val="24"/>
          <w:highlight w:val="none"/>
          <w:u w:color="000000"/>
        </w:rPr>
      </w:pPr>
      <w:r>
        <w:rPr>
          <w:rFonts w:hint="eastAsia" w:ascii="宋体" w:hAnsi="宋体" w:eastAsia="宋体" w:cs="宋体"/>
          <w:b/>
          <w:color w:val="auto"/>
          <w:kern w:val="0"/>
          <w:sz w:val="24"/>
          <w:szCs w:val="24"/>
          <w:highlight w:val="none"/>
          <w:u w:color="000000"/>
        </w:rPr>
        <w:t>（3）价格部分（</w:t>
      </w:r>
      <w:r>
        <w:rPr>
          <w:rFonts w:hint="eastAsia" w:ascii="宋体" w:hAnsi="宋体" w:eastAsia="宋体" w:cs="宋体"/>
          <w:b/>
          <w:color w:val="auto"/>
          <w:kern w:val="0"/>
          <w:sz w:val="24"/>
          <w:szCs w:val="24"/>
          <w:highlight w:val="none"/>
          <w:u w:color="000000"/>
          <w:lang w:val="en-US" w:eastAsia="zh-CN"/>
        </w:rPr>
        <w:t>30</w:t>
      </w:r>
      <w:r>
        <w:rPr>
          <w:rFonts w:hint="eastAsia" w:ascii="宋体" w:hAnsi="宋体" w:eastAsia="宋体" w:cs="宋体"/>
          <w:b/>
          <w:color w:val="auto"/>
          <w:kern w:val="0"/>
          <w:sz w:val="24"/>
          <w:szCs w:val="24"/>
          <w:highlight w:val="none"/>
          <w:u w:color="000000"/>
        </w:rPr>
        <w:t>分）</w:t>
      </w:r>
    </w:p>
    <w:p w14:paraId="6A96AB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评标基准价：以有效投标价中的最低折扣率为评标基准价，其价格分为满分。其他投标人的价格分统一按照下列公式计算：</w:t>
      </w:r>
    </w:p>
    <w:p w14:paraId="313493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投标报价得分=(评标基准价／投标报价)×价格权值×100</w:t>
      </w:r>
    </w:p>
    <w:p w14:paraId="49070E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2EBDDD1F">
      <w:pPr>
        <w:spacing w:line="360" w:lineRule="auto"/>
        <w:rPr>
          <w:rFonts w:hint="eastAsia" w:ascii="Times New Roman" w:hAnsi="Times New Roman" w:eastAsia="宋体" w:cs="宋体"/>
          <w:kern w:val="0"/>
          <w:sz w:val="24"/>
          <w:szCs w:val="20"/>
          <w:lang w:val="en-US" w:eastAsia="zh-CN" w:bidi="ar-SA"/>
        </w:rPr>
      </w:pPr>
      <w:r>
        <w:rPr>
          <w:rFonts w:hint="eastAsia" w:ascii="Times New Roman" w:hAnsi="Times New Roman" w:eastAsia="宋体" w:cs="宋体"/>
          <w:kern w:val="0"/>
          <w:sz w:val="24"/>
          <w:szCs w:val="20"/>
          <w:lang w:val="en-US" w:eastAsia="zh-CN" w:bidi="ar-SA"/>
        </w:rPr>
        <w:t>本项目</w:t>
      </w:r>
      <w:r>
        <w:rPr>
          <w:rFonts w:hint="eastAsia" w:ascii="宋体" w:hAnsi="宋体" w:eastAsia="宋体" w:cs="宋体"/>
          <w:b/>
          <w:color w:val="auto"/>
          <w:kern w:val="0"/>
          <w:sz w:val="24"/>
          <w:szCs w:val="24"/>
          <w:highlight w:val="none"/>
          <w:u w:color="000000"/>
        </w:rPr>
        <w:t>预算价为</w:t>
      </w:r>
      <w:r>
        <w:rPr>
          <w:rFonts w:hint="eastAsia" w:ascii="宋体" w:hAnsi="宋体" w:cs="宋体"/>
          <w:b/>
          <w:color w:val="auto"/>
          <w:kern w:val="0"/>
          <w:sz w:val="24"/>
          <w:szCs w:val="24"/>
          <w:highlight w:val="none"/>
          <w:u w:color="000000"/>
          <w:lang w:val="en-US" w:eastAsia="zh-CN"/>
        </w:rPr>
        <w:t>1796800.00</w:t>
      </w:r>
      <w:r>
        <w:rPr>
          <w:rFonts w:hint="eastAsia" w:ascii="宋体" w:hAnsi="宋体" w:eastAsia="宋体" w:cs="宋体"/>
          <w:b/>
          <w:color w:val="auto"/>
          <w:kern w:val="0"/>
          <w:sz w:val="24"/>
          <w:szCs w:val="24"/>
          <w:highlight w:val="none"/>
          <w:u w:color="000000"/>
        </w:rPr>
        <w:t>元，最高限价为</w:t>
      </w:r>
      <w:r>
        <w:rPr>
          <w:rFonts w:hint="eastAsia" w:ascii="宋体" w:hAnsi="宋体" w:cs="宋体"/>
          <w:b/>
          <w:color w:val="auto"/>
          <w:kern w:val="0"/>
          <w:sz w:val="24"/>
          <w:szCs w:val="24"/>
          <w:highlight w:val="none"/>
          <w:u w:color="000000"/>
          <w:lang w:val="en-US" w:eastAsia="zh-CN"/>
        </w:rPr>
        <w:t>1796800.00</w:t>
      </w:r>
      <w:r>
        <w:rPr>
          <w:rFonts w:hint="eastAsia" w:ascii="宋体" w:hAnsi="宋体" w:eastAsia="宋体" w:cs="宋体"/>
          <w:b/>
          <w:color w:val="auto"/>
          <w:kern w:val="0"/>
          <w:sz w:val="24"/>
          <w:szCs w:val="24"/>
          <w:highlight w:val="none"/>
          <w:u w:color="000000"/>
        </w:rPr>
        <w:t>元，风险控制价为</w:t>
      </w:r>
      <w:r>
        <w:rPr>
          <w:rFonts w:hint="eastAsia" w:ascii="宋体" w:hAnsi="宋体" w:cs="宋体"/>
          <w:b/>
          <w:color w:val="auto"/>
          <w:kern w:val="0"/>
          <w:sz w:val="24"/>
          <w:szCs w:val="24"/>
          <w:highlight w:val="none"/>
          <w:u w:color="000000"/>
          <w:lang w:val="en-US" w:eastAsia="zh-CN"/>
        </w:rPr>
        <w:t>1437440.00</w:t>
      </w:r>
      <w:r>
        <w:rPr>
          <w:rFonts w:hint="eastAsia" w:ascii="宋体" w:hAnsi="宋体" w:eastAsia="宋体" w:cs="宋体"/>
          <w:b/>
          <w:color w:val="auto"/>
          <w:kern w:val="0"/>
          <w:sz w:val="24"/>
          <w:szCs w:val="24"/>
          <w:highlight w:val="none"/>
          <w:u w:color="000000"/>
        </w:rPr>
        <w:t>元（最高限价的</w:t>
      </w:r>
      <w:r>
        <w:rPr>
          <w:rFonts w:hint="eastAsia" w:ascii="宋体" w:hAnsi="宋体" w:eastAsia="宋体" w:cs="宋体"/>
          <w:b/>
          <w:color w:val="auto"/>
          <w:kern w:val="0"/>
          <w:sz w:val="24"/>
          <w:szCs w:val="24"/>
          <w:highlight w:val="none"/>
          <w:u w:color="000000"/>
          <w:lang w:val="en-US" w:eastAsia="zh-CN"/>
        </w:rPr>
        <w:t>80</w:t>
      </w:r>
      <w:r>
        <w:rPr>
          <w:rFonts w:hint="eastAsia" w:ascii="宋体" w:hAnsi="宋体" w:eastAsia="宋体" w:cs="宋体"/>
          <w:b/>
          <w:color w:val="auto"/>
          <w:kern w:val="0"/>
          <w:sz w:val="24"/>
          <w:szCs w:val="24"/>
          <w:highlight w:val="none"/>
          <w:u w:color="000000"/>
        </w:rPr>
        <w:t>%）。</w:t>
      </w:r>
      <w:r>
        <w:rPr>
          <w:rFonts w:hint="eastAsia" w:ascii="Times New Roman" w:hAnsi="Times New Roman" w:eastAsia="宋体" w:cs="宋体"/>
          <w:kern w:val="0"/>
          <w:sz w:val="24"/>
          <w:szCs w:val="20"/>
          <w:lang w:val="en-US" w:eastAsia="zh-CN" w:bidi="ar-SA"/>
        </w:rPr>
        <w:t>凡低于该风险控制价的，中标人应在中标通知书发出后5个工作日内补交中标价净值与风险控制价之差额，中标人不提交的视为放弃中标。差额保证金待</w:t>
      </w:r>
      <w:r>
        <w:rPr>
          <w:rFonts w:hint="eastAsia" w:cs="宋体"/>
          <w:kern w:val="0"/>
          <w:sz w:val="24"/>
          <w:szCs w:val="20"/>
          <w:lang w:val="en-US" w:eastAsia="zh-CN" w:bidi="ar-SA"/>
        </w:rPr>
        <w:t>验收合格</w:t>
      </w:r>
      <w:r>
        <w:rPr>
          <w:rFonts w:hint="eastAsia" w:ascii="Times New Roman" w:hAnsi="Times New Roman" w:eastAsia="宋体" w:cs="宋体"/>
          <w:kern w:val="0"/>
          <w:sz w:val="24"/>
          <w:szCs w:val="20"/>
          <w:lang w:val="en-US" w:eastAsia="zh-CN" w:bidi="ar-SA"/>
        </w:rPr>
        <w:t>后7个工作日内无息退还。（差额保证金应在中标通知书发出后5个工作日内交至采购单位，以现金、电汇、转账方式交纳，其他方式不接受)</w:t>
      </w:r>
    </w:p>
    <w:p w14:paraId="72DFB26D">
      <w:pPr>
        <w:rPr>
          <w:rFonts w:hint="eastAsia" w:ascii="宋体" w:hAnsi="宋体" w:cs="宋体"/>
          <w:b/>
          <w:sz w:val="36"/>
          <w:szCs w:val="36"/>
        </w:rPr>
      </w:pPr>
      <w:r>
        <w:rPr>
          <w:rFonts w:hint="eastAsia" w:ascii="宋体" w:hAnsi="宋体" w:cs="宋体"/>
          <w:b/>
          <w:sz w:val="36"/>
          <w:szCs w:val="36"/>
        </w:rPr>
        <w:br w:type="page"/>
      </w:r>
    </w:p>
    <w:p w14:paraId="5C2B2929">
      <w:pPr>
        <w:ind w:firstLine="723"/>
        <w:jc w:val="center"/>
        <w:outlineLvl w:val="0"/>
        <w:rPr>
          <w:rFonts w:ascii="宋体" w:hAnsi="宋体" w:cs="宋体"/>
          <w:b/>
          <w:sz w:val="36"/>
          <w:szCs w:val="36"/>
        </w:rPr>
      </w:pPr>
      <w:r>
        <w:rPr>
          <w:rFonts w:hint="eastAsia" w:ascii="宋体" w:hAnsi="宋体" w:cs="宋体"/>
          <w:b/>
          <w:sz w:val="36"/>
          <w:szCs w:val="36"/>
        </w:rPr>
        <w:t>第五部分 拟签订的合同文本</w:t>
      </w:r>
      <w:bookmarkEnd w:id="91"/>
    </w:p>
    <w:p w14:paraId="083D66C6">
      <w:pPr>
        <w:spacing w:line="480" w:lineRule="auto"/>
        <w:ind w:firstLine="482"/>
        <w:jc w:val="center"/>
        <w:rPr>
          <w:rFonts w:ascii="宋体" w:hAnsi="宋体" w:cs="宋体"/>
          <w:b/>
          <w:sz w:val="24"/>
          <w:szCs w:val="24"/>
        </w:rPr>
      </w:pPr>
    </w:p>
    <w:p w14:paraId="4D784752">
      <w:pPr>
        <w:spacing w:line="480" w:lineRule="auto"/>
        <w:ind w:firstLine="482"/>
        <w:jc w:val="center"/>
        <w:rPr>
          <w:rFonts w:ascii="宋体" w:hAnsi="宋体" w:cs="宋体"/>
          <w:b/>
          <w:sz w:val="24"/>
          <w:szCs w:val="24"/>
        </w:rPr>
      </w:pPr>
    </w:p>
    <w:p w14:paraId="4B8F988D">
      <w:pPr>
        <w:spacing w:line="480" w:lineRule="auto"/>
        <w:ind w:firstLine="643"/>
        <w:jc w:val="center"/>
        <w:rPr>
          <w:rFonts w:ascii="宋体" w:hAnsi="宋体" w:cs="宋体"/>
          <w:b/>
          <w:sz w:val="32"/>
          <w:szCs w:val="32"/>
        </w:rPr>
      </w:pPr>
    </w:p>
    <w:p w14:paraId="2CAE8F08">
      <w:pPr>
        <w:spacing w:line="480" w:lineRule="auto"/>
        <w:ind w:firstLine="643"/>
        <w:jc w:val="center"/>
        <w:rPr>
          <w:rFonts w:ascii="宋体" w:hAnsi="宋体" w:cs="宋体"/>
          <w:b/>
          <w:sz w:val="32"/>
          <w:szCs w:val="32"/>
        </w:rPr>
      </w:pPr>
      <w:r>
        <w:rPr>
          <w:rFonts w:hint="eastAsia" w:ascii="宋体" w:hAnsi="宋体" w:cs="宋体"/>
          <w:b/>
          <w:sz w:val="32"/>
          <w:szCs w:val="32"/>
        </w:rPr>
        <w:t>采购合同参考范本</w:t>
      </w:r>
    </w:p>
    <w:p w14:paraId="2466723B">
      <w:pPr>
        <w:pStyle w:val="60"/>
        <w:rPr>
          <w:rFonts w:ascii="宋体" w:hAnsi="宋体" w:cs="宋体"/>
          <w:szCs w:val="24"/>
        </w:rPr>
      </w:pPr>
    </w:p>
    <w:p w14:paraId="292B0EA0">
      <w:pPr>
        <w:pStyle w:val="60"/>
        <w:rPr>
          <w:rFonts w:ascii="宋体" w:hAnsi="宋体" w:cs="宋体"/>
          <w:szCs w:val="24"/>
        </w:rPr>
      </w:pPr>
    </w:p>
    <w:p w14:paraId="2D18C69F">
      <w:pPr>
        <w:pStyle w:val="60"/>
        <w:jc w:val="center"/>
        <w:rPr>
          <w:rFonts w:ascii="宋体" w:hAnsi="宋体" w:cs="宋体"/>
          <w:szCs w:val="24"/>
        </w:rPr>
      </w:pPr>
    </w:p>
    <w:p w14:paraId="46CAEBCA">
      <w:pPr>
        <w:pStyle w:val="60"/>
        <w:ind w:left="0" w:leftChars="0" w:firstLine="0" w:firstLineChars="0"/>
        <w:rPr>
          <w:rFonts w:ascii="宋体" w:hAnsi="宋体" w:cs="宋体"/>
          <w:szCs w:val="24"/>
        </w:rPr>
      </w:pPr>
    </w:p>
    <w:p w14:paraId="4305D72C">
      <w:pPr>
        <w:spacing w:before="120" w:line="22" w:lineRule="atLeast"/>
        <w:ind w:firstLine="480"/>
        <w:rPr>
          <w:rFonts w:ascii="宋体" w:hAnsi="宋体" w:cs="宋体"/>
          <w:sz w:val="24"/>
          <w:szCs w:val="24"/>
        </w:rPr>
      </w:pPr>
    </w:p>
    <w:p w14:paraId="70610D06">
      <w:pPr>
        <w:spacing w:before="120" w:line="22" w:lineRule="atLeast"/>
        <w:ind w:left="960" w:firstLine="48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09D2566D">
      <w:pPr>
        <w:pStyle w:val="61"/>
        <w:spacing w:before="120" w:line="22" w:lineRule="atLeast"/>
        <w:ind w:firstLine="480"/>
        <w:rPr>
          <w:rFonts w:ascii="宋体" w:hAnsi="宋体" w:eastAsia="宋体" w:cs="宋体"/>
          <w:szCs w:val="24"/>
        </w:rPr>
      </w:pPr>
    </w:p>
    <w:p w14:paraId="7ABFB913">
      <w:pPr>
        <w:pStyle w:val="61"/>
        <w:spacing w:before="120" w:line="22" w:lineRule="atLeast"/>
        <w:ind w:firstLine="480"/>
        <w:rPr>
          <w:rFonts w:ascii="宋体" w:hAnsi="宋体" w:eastAsia="宋体" w:cs="宋体"/>
          <w:szCs w:val="24"/>
        </w:rPr>
      </w:pPr>
    </w:p>
    <w:p w14:paraId="21DFC128">
      <w:pPr>
        <w:ind w:firstLine="480"/>
        <w:rPr>
          <w:rFonts w:ascii="宋体" w:hAnsi="宋体" w:cs="宋体"/>
          <w:sz w:val="24"/>
          <w:szCs w:val="24"/>
        </w:rPr>
      </w:pPr>
    </w:p>
    <w:p w14:paraId="26B2AC9F">
      <w:pPr>
        <w:spacing w:before="120" w:line="22" w:lineRule="atLeast"/>
        <w:ind w:left="960" w:firstLine="48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p>
    <w:p w14:paraId="0A4D1C9F">
      <w:pPr>
        <w:spacing w:before="120" w:line="22" w:lineRule="atLeast"/>
        <w:ind w:firstLine="480"/>
        <w:rPr>
          <w:rFonts w:ascii="宋体" w:hAnsi="宋体" w:cs="宋体"/>
          <w:sz w:val="24"/>
          <w:szCs w:val="24"/>
        </w:rPr>
      </w:pPr>
    </w:p>
    <w:p w14:paraId="29D54C78">
      <w:pPr>
        <w:spacing w:before="120" w:line="22" w:lineRule="atLeast"/>
        <w:ind w:left="960" w:firstLine="48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5C84852B">
      <w:pPr>
        <w:pStyle w:val="12"/>
        <w:ind w:firstLine="480"/>
        <w:rPr>
          <w:rFonts w:ascii="宋体" w:hAnsi="宋体" w:cs="宋体"/>
          <w:sz w:val="24"/>
          <w:szCs w:val="24"/>
          <w:u w:val="single"/>
        </w:rPr>
      </w:pPr>
    </w:p>
    <w:p w14:paraId="3FC23DB0">
      <w:pPr>
        <w:pStyle w:val="12"/>
        <w:ind w:firstLine="1440" w:firstLineChars="600"/>
        <w:rPr>
          <w:rFonts w:ascii="宋体" w:hAnsi="宋体" w:cs="宋体"/>
          <w:sz w:val="24"/>
          <w:szCs w:val="24"/>
        </w:rPr>
      </w:pPr>
      <w:r>
        <w:rPr>
          <w:rFonts w:hint="eastAsia" w:ascii="宋体" w:hAnsi="宋体" w:cs="宋体"/>
          <w:sz w:val="24"/>
          <w:szCs w:val="24"/>
        </w:rPr>
        <w:t>丙方：</w:t>
      </w:r>
      <w:r>
        <w:rPr>
          <w:rFonts w:hint="eastAsia" w:ascii="宋体" w:hAnsi="宋体" w:cs="宋体"/>
          <w:sz w:val="24"/>
          <w:szCs w:val="24"/>
          <w:u w:val="single"/>
        </w:rPr>
        <w:t xml:space="preserve">                                       </w:t>
      </w:r>
    </w:p>
    <w:p w14:paraId="77B08771">
      <w:pPr>
        <w:spacing w:before="120" w:line="22" w:lineRule="atLeast"/>
        <w:ind w:firstLine="1440" w:firstLineChars="600"/>
        <w:rPr>
          <w:rFonts w:ascii="宋体" w:hAnsi="宋体" w:cs="宋体"/>
          <w:sz w:val="24"/>
          <w:szCs w:val="24"/>
        </w:rPr>
      </w:pPr>
    </w:p>
    <w:p w14:paraId="0BB3D9E6">
      <w:pPr>
        <w:spacing w:before="120" w:line="22" w:lineRule="atLeast"/>
        <w:ind w:firstLine="1440" w:firstLineChars="600"/>
        <w:rPr>
          <w:rFonts w:ascii="宋体" w:hAnsi="宋体" w:cs="宋体"/>
          <w:sz w:val="24"/>
          <w:szCs w:val="24"/>
          <w:u w:val="single"/>
        </w:rPr>
      </w:pPr>
      <w:r>
        <w:rPr>
          <w:rFonts w:hint="eastAsia" w:ascii="宋体" w:hAnsi="宋体" w:cs="宋体"/>
          <w:sz w:val="24"/>
          <w:szCs w:val="24"/>
        </w:rPr>
        <w:t>签订地：</w:t>
      </w:r>
      <w:r>
        <w:rPr>
          <w:rFonts w:hint="eastAsia" w:ascii="宋体" w:hAnsi="宋体" w:cs="宋体"/>
          <w:sz w:val="24"/>
          <w:szCs w:val="24"/>
          <w:u w:val="single"/>
        </w:rPr>
        <w:t xml:space="preserve">                                     </w:t>
      </w:r>
    </w:p>
    <w:p w14:paraId="31DF78B9">
      <w:pPr>
        <w:pStyle w:val="12"/>
        <w:ind w:firstLine="400"/>
      </w:pPr>
    </w:p>
    <w:p w14:paraId="40EF0788">
      <w:pPr>
        <w:tabs>
          <w:tab w:val="left" w:pos="478"/>
        </w:tabs>
        <w:ind w:left="659" w:leftChars="314" w:firstLine="828" w:firstLineChars="345"/>
        <w:rPr>
          <w:rFonts w:ascii="宋体" w:hAnsi="宋体" w:cs="宋体"/>
          <w:sz w:val="24"/>
          <w:szCs w:val="24"/>
        </w:rPr>
      </w:pPr>
      <w:r>
        <w:rPr>
          <w:rFonts w:hint="eastAsia" w:ascii="宋体" w:hAnsi="宋体" w:cs="宋体"/>
          <w:sz w:val="24"/>
          <w:szCs w:val="24"/>
        </w:rPr>
        <w:t>签订日期：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9FB3CC7">
      <w:pPr>
        <w:tabs>
          <w:tab w:val="left" w:pos="478"/>
        </w:tabs>
        <w:ind w:firstLine="480"/>
        <w:rPr>
          <w:rFonts w:ascii="宋体" w:hAnsi="宋体" w:cs="宋体"/>
          <w:sz w:val="24"/>
          <w:szCs w:val="24"/>
        </w:rPr>
      </w:pPr>
    </w:p>
    <w:p w14:paraId="5AA2B2B3">
      <w:pPr>
        <w:pStyle w:val="14"/>
        <w:adjustRightInd w:val="0"/>
        <w:snapToGrid w:val="0"/>
        <w:spacing w:before="120" w:after="120" w:line="360" w:lineRule="auto"/>
        <w:ind w:firstLine="480" w:firstLineChars="200"/>
        <w:jc w:val="center"/>
        <w:rPr>
          <w:rFonts w:hAnsi="宋体" w:cs="宋体"/>
          <w:sz w:val="24"/>
          <w:szCs w:val="24"/>
        </w:rPr>
      </w:pPr>
    </w:p>
    <w:p w14:paraId="652ED51D">
      <w:pPr>
        <w:ind w:firstLine="480"/>
        <w:rPr>
          <w:rFonts w:ascii="宋体" w:hAnsi="宋体" w:cs="宋体"/>
          <w:sz w:val="24"/>
          <w:szCs w:val="24"/>
        </w:rPr>
      </w:pPr>
      <w:r>
        <w:rPr>
          <w:rFonts w:hint="eastAsia" w:ascii="宋体" w:hAnsi="宋体" w:cs="宋体"/>
          <w:sz w:val="24"/>
          <w:szCs w:val="24"/>
        </w:rPr>
        <w:br w:type="page"/>
      </w:r>
    </w:p>
    <w:p w14:paraId="2EC9A72D">
      <w:pPr>
        <w:spacing w:line="360" w:lineRule="auto"/>
        <w:ind w:firstLine="480" w:firstLineChars="200"/>
        <w:rPr>
          <w:rFonts w:ascii="宋体" w:hAnsi="宋体" w:cs="宋体"/>
          <w:sz w:val="24"/>
          <w:szCs w:val="32"/>
          <w:u w:val="single"/>
        </w:rPr>
      </w:pPr>
      <w:bookmarkStart w:id="121" w:name="_Toc1479"/>
      <w:r>
        <w:rPr>
          <w:rFonts w:hint="eastAsia" w:ascii="宋体" w:hAnsi="宋体" w:cs="宋体"/>
          <w:sz w:val="24"/>
          <w:szCs w:val="32"/>
        </w:rPr>
        <w:t>甲方：</w:t>
      </w:r>
      <w:r>
        <w:rPr>
          <w:rFonts w:hint="eastAsia" w:ascii="宋体" w:hAnsi="宋体" w:cs="宋体"/>
          <w:sz w:val="24"/>
          <w:szCs w:val="32"/>
          <w:u w:val="single"/>
        </w:rPr>
        <w:t xml:space="preserve">（采购单位） </w:t>
      </w:r>
    </w:p>
    <w:p w14:paraId="318A5DF5">
      <w:pPr>
        <w:spacing w:line="360" w:lineRule="auto"/>
        <w:ind w:firstLine="420"/>
        <w:contextualSpacing/>
        <w:rPr>
          <w:rFonts w:ascii="宋体" w:hAnsi="宋体" w:cs="宋体"/>
          <w:sz w:val="24"/>
          <w:szCs w:val="32"/>
          <w:u w:val="single"/>
        </w:rPr>
      </w:pPr>
      <w:r>
        <w:rPr>
          <w:rFonts w:hint="eastAsia" w:ascii="宋体" w:hAnsi="宋体" w:cs="宋体"/>
          <w:sz w:val="24"/>
          <w:szCs w:val="32"/>
        </w:rPr>
        <w:t>乙方：</w:t>
      </w:r>
      <w:r>
        <w:rPr>
          <w:rFonts w:hint="eastAsia" w:ascii="宋体" w:hAnsi="宋体" w:cs="宋体"/>
          <w:sz w:val="24"/>
          <w:szCs w:val="32"/>
          <w:u w:val="single"/>
        </w:rPr>
        <w:t xml:space="preserve">（供应商）  </w:t>
      </w:r>
    </w:p>
    <w:p w14:paraId="5729C41E">
      <w:pPr>
        <w:ind w:firstLine="420"/>
        <w:rPr>
          <w:rFonts w:hint="eastAsia" w:ascii="宋体" w:hAnsi="宋体" w:cs="宋体"/>
          <w:sz w:val="24"/>
          <w:szCs w:val="24"/>
        </w:rPr>
      </w:pPr>
      <w:r>
        <w:rPr>
          <w:rFonts w:hint="eastAsia" w:ascii="宋体" w:hAnsi="宋体" w:cs="宋体"/>
          <w:sz w:val="24"/>
          <w:szCs w:val="32"/>
        </w:rPr>
        <w:t>丙方：</w:t>
      </w:r>
      <w:r>
        <w:rPr>
          <w:rFonts w:hint="eastAsia" w:ascii="宋体" w:hAnsi="宋体" w:cs="宋体"/>
          <w:sz w:val="24"/>
          <w:szCs w:val="32"/>
          <w:u w:val="single"/>
        </w:rPr>
        <w:t xml:space="preserve">（实施单位） </w:t>
      </w:r>
      <w:r>
        <w:rPr>
          <w:rFonts w:hint="eastAsia" w:ascii="宋体" w:hAnsi="宋体" w:cs="宋体"/>
          <w:sz w:val="32"/>
          <w:szCs w:val="32"/>
        </w:rPr>
        <w:t xml:space="preserve">   </w:t>
      </w:r>
      <w:r>
        <w:rPr>
          <w:rFonts w:hint="eastAsia" w:ascii="宋体" w:hAnsi="宋体" w:cs="宋体"/>
          <w:sz w:val="24"/>
          <w:szCs w:val="24"/>
        </w:rPr>
        <w:t xml:space="preserve">                       </w:t>
      </w:r>
    </w:p>
    <w:p w14:paraId="3CC68D42">
      <w:pPr>
        <w:ind w:firstLine="480"/>
        <w:rPr>
          <w:rFonts w:ascii="宋体" w:hAnsi="宋体" w:cs="宋体"/>
          <w:sz w:val="24"/>
          <w:szCs w:val="24"/>
        </w:rPr>
      </w:pPr>
      <w:r>
        <w:rPr>
          <w:rFonts w:hint="eastAsia" w:ascii="宋体" w:hAnsi="宋体" w:cs="宋体"/>
          <w:sz w:val="24"/>
          <w:szCs w:val="24"/>
        </w:rPr>
        <w:t xml:space="preserve">根据 2025年   月   日    采购（项目编号： </w:t>
      </w:r>
      <w:r>
        <w:rPr>
          <w:rFonts w:hint="eastAsia" w:ascii="宋体" w:hAnsi="宋体" w:cs="宋体"/>
          <w:sz w:val="24"/>
          <w:szCs w:val="24"/>
          <w:lang w:val="en-US" w:eastAsia="zh-CN"/>
        </w:rPr>
        <w:t xml:space="preserve">      </w:t>
      </w:r>
      <w:r>
        <w:rPr>
          <w:rFonts w:hint="eastAsia" w:ascii="宋体" w:hAnsi="宋体" w:cs="宋体"/>
          <w:sz w:val="24"/>
          <w:szCs w:val="24"/>
        </w:rPr>
        <w:t xml:space="preserve">   ）招标结果和招标文件要求，并依照《中华人民共和国</w:t>
      </w:r>
      <w:r>
        <w:rPr>
          <w:rFonts w:hint="eastAsia" w:ascii="宋体" w:hAnsi="宋体" w:cs="宋体"/>
          <w:sz w:val="24"/>
          <w:szCs w:val="24"/>
          <w:lang w:val="zh-CN"/>
        </w:rPr>
        <w:t>民法典</w:t>
      </w:r>
      <w:r>
        <w:rPr>
          <w:rFonts w:hint="eastAsia" w:ascii="宋体" w:hAnsi="宋体" w:cs="宋体"/>
          <w:sz w:val="24"/>
          <w:szCs w:val="24"/>
        </w:rPr>
        <w:t>》及其他行政法律、法规的规定，同时在平等、公平、诚实和信用的原则下，经双方协商一致，订立本合同。</w:t>
      </w:r>
    </w:p>
    <w:p w14:paraId="7D54CFC7">
      <w:pPr>
        <w:widowControl/>
        <w:snapToGrid w:val="0"/>
        <w:ind w:firstLine="482"/>
        <w:rPr>
          <w:rFonts w:ascii="宋体" w:hAnsi="宋体" w:cs="宋体"/>
          <w:b/>
          <w:bCs/>
          <w:kern w:val="0"/>
          <w:sz w:val="24"/>
          <w:szCs w:val="24"/>
        </w:rPr>
      </w:pPr>
      <w:r>
        <w:rPr>
          <w:rFonts w:hint="eastAsia" w:ascii="宋体" w:hAnsi="宋体" w:cs="宋体"/>
          <w:b/>
          <w:bCs/>
          <w:kern w:val="0"/>
          <w:sz w:val="24"/>
          <w:szCs w:val="24"/>
        </w:rPr>
        <w:t>一、</w:t>
      </w:r>
      <w:r>
        <w:rPr>
          <w:rFonts w:hint="eastAsia" w:ascii="宋体" w:hAnsi="宋体" w:cs="宋体"/>
          <w:b/>
          <w:bCs/>
          <w:sz w:val="24"/>
          <w:szCs w:val="24"/>
        </w:rPr>
        <w:t>采购内容</w:t>
      </w:r>
    </w:p>
    <w:p w14:paraId="257ECAE3">
      <w:pPr>
        <w:adjustRightInd w:val="0"/>
        <w:snapToGrid w:val="0"/>
        <w:ind w:firstLine="480"/>
        <w:rPr>
          <w:rFonts w:ascii="宋体" w:hAnsi="宋体" w:cs="宋体"/>
          <w:sz w:val="24"/>
          <w:szCs w:val="24"/>
        </w:rPr>
      </w:pPr>
      <w:r>
        <w:rPr>
          <w:rFonts w:hint="eastAsia" w:ascii="宋体" w:hAnsi="宋体" w:cs="宋体"/>
          <w:sz w:val="24"/>
          <w:szCs w:val="24"/>
        </w:rPr>
        <w:t>1.1采购货物明细</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23A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63961EFA">
            <w:pPr>
              <w:adjustRightInd w:val="0"/>
              <w:snapToGrid w:val="0"/>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4EC8F69D">
            <w:pPr>
              <w:snapToGrid w:val="0"/>
              <w:ind w:firstLine="0" w:firstLineChars="0"/>
              <w:jc w:val="center"/>
              <w:rPr>
                <w:rFonts w:ascii="宋体" w:hAnsi="宋体" w:cs="宋体"/>
                <w:sz w:val="24"/>
                <w:szCs w:val="24"/>
              </w:rPr>
            </w:pPr>
            <w:r>
              <w:rPr>
                <w:rFonts w:hint="eastAsia" w:ascii="宋体" w:hAnsi="宋体" w:cs="宋体"/>
                <w:sz w:val="24"/>
                <w:szCs w:val="24"/>
              </w:rPr>
              <w:t xml:space="preserve"> 名称</w:t>
            </w:r>
          </w:p>
        </w:tc>
        <w:tc>
          <w:tcPr>
            <w:tcW w:w="780" w:type="dxa"/>
            <w:vAlign w:val="center"/>
          </w:tcPr>
          <w:p w14:paraId="58F6CEF5">
            <w:pPr>
              <w:tabs>
                <w:tab w:val="left" w:pos="208"/>
              </w:tabs>
              <w:ind w:firstLine="0" w:firstLineChars="0"/>
              <w:rPr>
                <w:rFonts w:ascii="宋体" w:hAnsi="宋体" w:cs="宋体"/>
                <w:sz w:val="24"/>
                <w:szCs w:val="24"/>
              </w:rPr>
            </w:pPr>
            <w:r>
              <w:rPr>
                <w:rFonts w:hint="eastAsia" w:ascii="宋体" w:hAnsi="宋体" w:cs="宋体"/>
                <w:sz w:val="24"/>
                <w:szCs w:val="24"/>
              </w:rPr>
              <w:t>单位</w:t>
            </w:r>
          </w:p>
        </w:tc>
        <w:tc>
          <w:tcPr>
            <w:tcW w:w="885" w:type="dxa"/>
            <w:vAlign w:val="center"/>
          </w:tcPr>
          <w:p w14:paraId="67BF0C7C">
            <w:pPr>
              <w:snapToGrid w:val="0"/>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0D4338AE">
            <w:pPr>
              <w:snapToGrid w:val="0"/>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08B1F7B7">
            <w:pPr>
              <w:snapToGrid w:val="0"/>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77E27C73">
            <w:pPr>
              <w:snapToGrid w:val="0"/>
              <w:ind w:firstLine="0" w:firstLineChars="0"/>
              <w:jc w:val="center"/>
              <w:rPr>
                <w:rFonts w:ascii="宋体" w:hAnsi="宋体" w:cs="宋体"/>
                <w:sz w:val="24"/>
                <w:szCs w:val="24"/>
              </w:rPr>
            </w:pPr>
            <w:r>
              <w:rPr>
                <w:rFonts w:hint="eastAsia" w:ascii="宋体" w:hAnsi="宋体" w:cs="宋体"/>
                <w:sz w:val="24"/>
                <w:szCs w:val="24"/>
              </w:rPr>
              <w:t>备注</w:t>
            </w:r>
          </w:p>
        </w:tc>
      </w:tr>
      <w:tr w14:paraId="7FD5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2200C0DF">
            <w:pPr>
              <w:adjustRightInd w:val="0"/>
              <w:snapToGrid w:val="0"/>
              <w:ind w:firstLine="0" w:firstLineChars="0"/>
              <w:jc w:val="center"/>
              <w:rPr>
                <w:rFonts w:ascii="宋体" w:hAnsi="宋体" w:cs="宋体"/>
                <w:sz w:val="24"/>
                <w:szCs w:val="24"/>
              </w:rPr>
            </w:pPr>
          </w:p>
        </w:tc>
        <w:tc>
          <w:tcPr>
            <w:tcW w:w="1965" w:type="dxa"/>
          </w:tcPr>
          <w:p w14:paraId="4AF26AC1">
            <w:pPr>
              <w:ind w:firstLine="0" w:firstLineChars="0"/>
              <w:jc w:val="center"/>
              <w:rPr>
                <w:rFonts w:ascii="宋体" w:hAnsi="宋体" w:cs="宋体"/>
                <w:kern w:val="0"/>
                <w:sz w:val="24"/>
                <w:szCs w:val="24"/>
              </w:rPr>
            </w:pPr>
          </w:p>
        </w:tc>
        <w:tc>
          <w:tcPr>
            <w:tcW w:w="780" w:type="dxa"/>
            <w:vAlign w:val="center"/>
          </w:tcPr>
          <w:p w14:paraId="748BAE23">
            <w:pPr>
              <w:snapToGrid w:val="0"/>
              <w:ind w:firstLine="0" w:firstLineChars="0"/>
              <w:jc w:val="center"/>
              <w:rPr>
                <w:rFonts w:ascii="宋体" w:hAnsi="宋体" w:cs="宋体"/>
                <w:sz w:val="24"/>
                <w:szCs w:val="24"/>
              </w:rPr>
            </w:pPr>
          </w:p>
        </w:tc>
        <w:tc>
          <w:tcPr>
            <w:tcW w:w="885" w:type="dxa"/>
            <w:vAlign w:val="center"/>
          </w:tcPr>
          <w:p w14:paraId="42C61610">
            <w:pPr>
              <w:adjustRightInd w:val="0"/>
              <w:snapToGrid w:val="0"/>
              <w:ind w:firstLine="0" w:firstLineChars="0"/>
              <w:jc w:val="center"/>
              <w:rPr>
                <w:rFonts w:ascii="宋体" w:hAnsi="宋体" w:cs="宋体"/>
                <w:sz w:val="24"/>
                <w:szCs w:val="24"/>
              </w:rPr>
            </w:pPr>
          </w:p>
        </w:tc>
        <w:tc>
          <w:tcPr>
            <w:tcW w:w="960" w:type="dxa"/>
            <w:vAlign w:val="center"/>
          </w:tcPr>
          <w:p w14:paraId="48C2486E">
            <w:pPr>
              <w:adjustRightInd w:val="0"/>
              <w:snapToGrid w:val="0"/>
              <w:ind w:firstLine="0" w:firstLineChars="0"/>
              <w:jc w:val="center"/>
              <w:rPr>
                <w:rFonts w:ascii="宋体" w:hAnsi="宋体" w:cs="宋体"/>
                <w:sz w:val="24"/>
                <w:szCs w:val="24"/>
              </w:rPr>
            </w:pPr>
          </w:p>
        </w:tc>
        <w:tc>
          <w:tcPr>
            <w:tcW w:w="2394" w:type="dxa"/>
          </w:tcPr>
          <w:p w14:paraId="0C27872A">
            <w:pPr>
              <w:adjustRightInd w:val="0"/>
              <w:snapToGrid w:val="0"/>
              <w:ind w:firstLine="0" w:firstLineChars="0"/>
              <w:jc w:val="center"/>
              <w:rPr>
                <w:rFonts w:ascii="宋体" w:hAnsi="宋体" w:cs="宋体"/>
                <w:sz w:val="24"/>
                <w:szCs w:val="24"/>
              </w:rPr>
            </w:pPr>
          </w:p>
        </w:tc>
        <w:tc>
          <w:tcPr>
            <w:tcW w:w="1125" w:type="dxa"/>
          </w:tcPr>
          <w:p w14:paraId="53562B9A">
            <w:pPr>
              <w:adjustRightInd w:val="0"/>
              <w:snapToGrid w:val="0"/>
              <w:ind w:firstLine="0" w:firstLineChars="0"/>
              <w:jc w:val="center"/>
              <w:rPr>
                <w:rFonts w:ascii="宋体" w:hAnsi="宋体" w:cs="宋体"/>
                <w:sz w:val="24"/>
                <w:szCs w:val="24"/>
              </w:rPr>
            </w:pPr>
          </w:p>
        </w:tc>
      </w:tr>
    </w:tbl>
    <w:p w14:paraId="78AAE78C">
      <w:pPr>
        <w:autoSpaceDE w:val="0"/>
        <w:autoSpaceDN w:val="0"/>
        <w:adjustRightInd w:val="0"/>
        <w:spacing w:line="460" w:lineRule="exact"/>
        <w:ind w:firstLine="482"/>
        <w:rPr>
          <w:rFonts w:ascii="宋体" w:hAnsi="宋体"/>
          <w:sz w:val="24"/>
          <w:szCs w:val="28"/>
        </w:rPr>
      </w:pPr>
      <w:r>
        <w:rPr>
          <w:rFonts w:ascii="宋体" w:hAnsi="宋体" w:cs="宋体"/>
          <w:b/>
          <w:kern w:val="0"/>
          <w:sz w:val="24"/>
          <w:szCs w:val="24"/>
          <w:lang w:bidi="ar"/>
        </w:rPr>
        <w:t>注:</w:t>
      </w:r>
      <w:r>
        <w:rPr>
          <w:rFonts w:hint="eastAsia" w:ascii="宋体" w:hAnsi="宋体"/>
          <w:sz w:val="24"/>
          <w:szCs w:val="28"/>
        </w:rPr>
        <w:t xml:space="preserve"> </w:t>
      </w:r>
      <w:r>
        <w:rPr>
          <w:rFonts w:ascii="宋体" w:hAnsi="宋体"/>
          <w:sz w:val="24"/>
          <w:szCs w:val="28"/>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或服务导致本系统无</w:t>
      </w:r>
      <w:r>
        <w:rPr>
          <w:rFonts w:ascii="宋体" w:hAnsi="宋体"/>
          <w:sz w:val="24"/>
          <w:szCs w:val="28"/>
          <w:highlight w:val="none"/>
        </w:rPr>
        <w:t>法正常运行，招</w:t>
      </w:r>
      <w:r>
        <w:rPr>
          <w:rFonts w:ascii="宋体" w:hAnsi="宋体"/>
          <w:sz w:val="24"/>
          <w:szCs w:val="28"/>
        </w:rPr>
        <w:t>标人不再另行支付，请投标人结合招标文件、设备参数及技术要求-附件、施工图纸、提供相互协调和完善的优化设计所有费用自行考虑。</w:t>
      </w:r>
    </w:p>
    <w:p w14:paraId="0863AC54">
      <w:pPr>
        <w:autoSpaceDE w:val="0"/>
        <w:autoSpaceDN w:val="0"/>
        <w:adjustRightInd w:val="0"/>
        <w:spacing w:line="460" w:lineRule="exact"/>
        <w:ind w:firstLine="482"/>
        <w:rPr>
          <w:rFonts w:hint="eastAsia" w:ascii="宋体" w:hAnsi="宋体"/>
          <w:sz w:val="24"/>
          <w:szCs w:val="28"/>
        </w:rPr>
      </w:pPr>
      <w:r>
        <w:rPr>
          <w:rFonts w:hint="eastAsia" w:ascii="宋体" w:hAnsi="宋体"/>
          <w:sz w:val="24"/>
          <w:szCs w:val="28"/>
        </w:rPr>
        <w:t>根据上述招标清单及工艺要求进行基础建设、深化设计、采购、制作、运输、安装、维护保养等工作内容，最终方案需经采购人认可。</w:t>
      </w:r>
    </w:p>
    <w:bookmarkEnd w:id="121"/>
    <w:p w14:paraId="22E5ADF6">
      <w:pPr>
        <w:spacing w:before="120" w:beforeLines="50"/>
        <w:ind w:firstLine="422"/>
        <w:jc w:val="left"/>
        <w:rPr>
          <w:rFonts w:ascii="宋体" w:hAnsi="宋体" w:cs="宋体"/>
          <w:kern w:val="0"/>
          <w:szCs w:val="24"/>
        </w:rPr>
      </w:pPr>
      <w:r>
        <w:rPr>
          <w:rFonts w:hint="eastAsia" w:ascii="宋体" w:hAnsi="宋体" w:cs="宋体"/>
          <w:b/>
          <w:bCs/>
          <w:kern w:val="0"/>
          <w:szCs w:val="24"/>
        </w:rPr>
        <w:t>二、服务内容</w:t>
      </w:r>
      <w:r>
        <w:rPr>
          <w:rFonts w:hint="eastAsia" w:ascii="宋体" w:hAnsi="宋体" w:cs="宋体"/>
          <w:kern w:val="0"/>
          <w:szCs w:val="24"/>
        </w:rPr>
        <w:t xml:space="preserve"> </w:t>
      </w:r>
    </w:p>
    <w:p w14:paraId="04237C5F">
      <w:pPr>
        <w:ind w:firstLine="480"/>
        <w:jc w:val="left"/>
        <w:rPr>
          <w:rFonts w:ascii="宋体" w:hAnsi="宋体" w:cs="宋体"/>
          <w:kern w:val="0"/>
          <w:sz w:val="24"/>
          <w:szCs w:val="32"/>
        </w:rPr>
      </w:pPr>
      <w:r>
        <w:rPr>
          <w:rFonts w:hint="eastAsia" w:ascii="宋体" w:hAnsi="宋体" w:cs="宋体"/>
          <w:sz w:val="24"/>
          <w:szCs w:val="32"/>
        </w:rPr>
        <w:t>详见：第三部分  项目招标范围及服务要求</w:t>
      </w:r>
    </w:p>
    <w:p w14:paraId="6B1E1E2B">
      <w:pPr>
        <w:spacing w:before="120" w:beforeLines="50"/>
        <w:ind w:firstLine="482"/>
        <w:rPr>
          <w:rFonts w:ascii="宋体" w:hAnsi="宋体" w:cs="宋体"/>
          <w:b/>
          <w:sz w:val="24"/>
          <w:szCs w:val="32"/>
        </w:rPr>
      </w:pPr>
      <w:r>
        <w:rPr>
          <w:rFonts w:hint="eastAsia" w:ascii="宋体" w:hAnsi="宋体" w:cs="宋体"/>
          <w:b/>
          <w:sz w:val="24"/>
          <w:szCs w:val="32"/>
        </w:rPr>
        <w:t>三、付款方式</w:t>
      </w:r>
    </w:p>
    <w:p w14:paraId="3946D9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1、在合同签订生效后30个工作日内支付合同价的40%；</w:t>
      </w:r>
    </w:p>
    <w:p w14:paraId="6F5FB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2、项目验收合格后30个工作日内支付合同价98%；</w:t>
      </w:r>
    </w:p>
    <w:p w14:paraId="4A1658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3、余款2%待质保期满后一个月内支付(无息)。</w:t>
      </w:r>
    </w:p>
    <w:p w14:paraId="2077D819">
      <w:pPr>
        <w:pStyle w:val="14"/>
        <w:snapToGrid w:val="0"/>
        <w:spacing w:before="156" w:line="36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注：中标人应向采购人提供等额、合法、有效的发票，采购人凭发票付款。如中标人未按约定提供发票的，采购人有权拒绝付款，直至收到中标人提交的相应发票为止，在此情况下，采购人不承担逾期付款违约责任。</w:t>
      </w:r>
    </w:p>
    <w:p w14:paraId="27120BD9">
      <w:pPr>
        <w:pStyle w:val="14"/>
        <w:snapToGrid w:val="0"/>
        <w:spacing w:before="156" w:line="360" w:lineRule="auto"/>
        <w:rPr>
          <w:rFonts w:hAnsi="宋体" w:cs="宋体"/>
          <w:b/>
          <w:sz w:val="24"/>
          <w:szCs w:val="24"/>
        </w:rPr>
      </w:pPr>
      <w:r>
        <w:rPr>
          <w:rFonts w:hint="eastAsia" w:hAnsi="宋体" w:cs="宋体"/>
          <w:b/>
          <w:sz w:val="24"/>
          <w:szCs w:val="24"/>
        </w:rPr>
        <w:t>四、履约保证金</w:t>
      </w:r>
    </w:p>
    <w:p w14:paraId="1B47238E">
      <w:pPr>
        <w:spacing w:before="120" w:beforeLines="50"/>
        <w:jc w:val="left"/>
        <w:rPr>
          <w:rFonts w:hint="eastAsia" w:ascii="宋体" w:hAnsi="宋体" w:eastAsia="宋体" w:cs="宋体"/>
          <w:color w:val="auto"/>
          <w:kern w:val="1"/>
          <w:sz w:val="24"/>
          <w:szCs w:val="24"/>
          <w:highlight w:val="none"/>
          <w:lang w:val="en-US" w:eastAsia="zh-CN" w:bidi="ar"/>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宋体" w:hAnsi="宋体" w:cs="宋体"/>
          <w:color w:val="auto"/>
          <w:kern w:val="1"/>
          <w:sz w:val="24"/>
          <w:szCs w:val="24"/>
          <w:highlight w:val="none"/>
          <w:lang w:val="en-US" w:eastAsia="zh-CN" w:bidi="ar"/>
        </w:rPr>
        <w:t>元，</w:t>
      </w:r>
      <w:r>
        <w:rPr>
          <w:rFonts w:hint="eastAsia" w:ascii="宋体" w:hAnsi="宋体" w:eastAsia="宋体" w:cs="宋体"/>
          <w:color w:val="auto"/>
          <w:kern w:val="1"/>
          <w:sz w:val="24"/>
          <w:szCs w:val="24"/>
          <w:highlight w:val="none"/>
          <w:lang w:val="en-US" w:eastAsia="zh-CN" w:bidi="ar"/>
        </w:rPr>
        <w:t>履约保证金按合同金额的1%计取，中标单位中标通知书发出后5个工作日内向采购人递交履约保证金，履约保证金待</w:t>
      </w:r>
      <w:r>
        <w:rPr>
          <w:rFonts w:hint="eastAsia" w:ascii="宋体" w:hAnsi="宋体" w:eastAsia="宋体" w:cs="宋体"/>
          <w:color w:val="auto"/>
          <w:sz w:val="24"/>
          <w:szCs w:val="24"/>
          <w:highlight w:val="none"/>
          <w:lang w:val="en-US" w:eastAsia="zh-CN"/>
        </w:rPr>
        <w:t>项目服务期满后</w:t>
      </w:r>
      <w:r>
        <w:rPr>
          <w:rFonts w:hint="eastAsia" w:ascii="宋体" w:hAnsi="宋体" w:eastAsia="宋体" w:cs="宋体"/>
          <w:color w:val="auto"/>
          <w:kern w:val="1"/>
          <w:sz w:val="24"/>
          <w:szCs w:val="24"/>
          <w:highlight w:val="none"/>
          <w:lang w:val="en-US" w:eastAsia="zh-CN" w:bidi="ar"/>
        </w:rPr>
        <w:t>且无违约问题后30日内无息退回。</w:t>
      </w:r>
    </w:p>
    <w:p w14:paraId="47F75C4D">
      <w:pPr>
        <w:spacing w:before="120" w:beforeLines="50"/>
        <w:ind w:left="0" w:leftChars="0" w:firstLine="0" w:firstLineChars="0"/>
        <w:jc w:val="left"/>
        <w:rPr>
          <w:rFonts w:hint="eastAsia" w:asciiTheme="majorEastAsia" w:hAnsiTheme="majorEastAsia" w:eastAsiaTheme="majorEastAsia" w:cstheme="majorEastAsia"/>
          <w:b/>
          <w:szCs w:val="24"/>
        </w:rPr>
      </w:pPr>
      <w:r>
        <w:rPr>
          <w:rFonts w:hint="eastAsia" w:ascii="宋体" w:hAnsi="宋体" w:eastAsia="宋体" w:cs="宋体"/>
          <w:b/>
          <w:kern w:val="0"/>
          <w:sz w:val="24"/>
          <w:szCs w:val="24"/>
          <w:lang w:val="en-US" w:eastAsia="zh-CN" w:bidi="ar-SA"/>
        </w:rPr>
        <w:t>五、履约时间、地点</w:t>
      </w:r>
    </w:p>
    <w:p w14:paraId="17651068">
      <w:pPr>
        <w:ind w:firstLine="48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1.合同履行期限：详见采购需求，从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日起至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日止。 </w:t>
      </w:r>
    </w:p>
    <w:p w14:paraId="38DF7F39">
      <w:pPr>
        <w:pStyle w:val="14"/>
        <w:snapToGrid w:val="0"/>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2.项目实施地点：浙江省嵊州市</w:t>
      </w:r>
      <w:r>
        <w:rPr>
          <w:rFonts w:hint="eastAsia" w:asciiTheme="majorEastAsia" w:hAnsiTheme="majorEastAsia" w:eastAsiaTheme="majorEastAsia" w:cstheme="majorEastAsia"/>
          <w:sz w:val="24"/>
          <w:szCs w:val="24"/>
          <w:lang w:val="en-US" w:eastAsia="zh-CN"/>
        </w:rPr>
        <w:t>甘霖镇</w:t>
      </w:r>
      <w:r>
        <w:rPr>
          <w:rFonts w:hint="eastAsia" w:asciiTheme="majorEastAsia" w:hAnsiTheme="majorEastAsia" w:eastAsiaTheme="majorEastAsia" w:cstheme="majorEastAsia"/>
          <w:sz w:val="24"/>
          <w:szCs w:val="24"/>
        </w:rPr>
        <w:t>。</w:t>
      </w:r>
    </w:p>
    <w:p w14:paraId="3A36693C">
      <w:pPr>
        <w:pStyle w:val="14"/>
        <w:snapToGrid w:val="0"/>
        <w:spacing w:line="360" w:lineRule="auto"/>
        <w:rPr>
          <w:rFonts w:hint="default" w:asciiTheme="majorEastAsia" w:hAnsiTheme="majorEastAsia" w:eastAsiaTheme="majorEastAsia" w:cstheme="majorEastAsia"/>
          <w:b/>
          <w:sz w:val="24"/>
          <w:szCs w:val="24"/>
          <w:u w:val="single"/>
          <w:lang w:val="en-US" w:eastAsia="zh-CN"/>
        </w:rPr>
      </w:pPr>
      <w:r>
        <w:rPr>
          <w:rFonts w:hint="eastAsia" w:asciiTheme="majorEastAsia" w:hAnsiTheme="majorEastAsia" w:eastAsiaTheme="majorEastAsia" w:cstheme="majorEastAsia"/>
          <w:b/>
          <w:sz w:val="24"/>
          <w:szCs w:val="24"/>
          <w:lang w:val="en-US" w:eastAsia="zh-CN"/>
        </w:rPr>
        <w:t xml:space="preserve">    3.质保期：</w:t>
      </w:r>
      <w:r>
        <w:rPr>
          <w:rFonts w:hint="eastAsia" w:asciiTheme="majorEastAsia" w:hAnsiTheme="majorEastAsia" w:eastAsiaTheme="majorEastAsia" w:cstheme="majorEastAsia"/>
          <w:b/>
          <w:sz w:val="24"/>
          <w:szCs w:val="24"/>
          <w:u w:val="single"/>
          <w:lang w:val="en-US" w:eastAsia="zh-CN"/>
        </w:rPr>
        <w:t xml:space="preserve">             </w:t>
      </w:r>
    </w:p>
    <w:p w14:paraId="1D2FF584">
      <w:pPr>
        <w:pStyle w:val="14"/>
        <w:snapToGrid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六、违约责任</w:t>
      </w:r>
    </w:p>
    <w:p w14:paraId="175287C3">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1.乙方未能如期提供服务，每日向甲方支付合同款项的千分之二作为违约金。乙方超过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个工作日仍不能提供服务的，甲方、丙方有权解除本合同。乙方因未能如期提供服务或因其他违约行为导致甲方、丙方解除合同的，乙方应向甲方支付合同预估</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 xml:space="preserve">费的百分之五作为违约金。 </w:t>
      </w:r>
    </w:p>
    <w:p w14:paraId="123E779A">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2.甲方未能如期支付款项，每日向乙方支付合同款项的千分之二作为违约金。甲方超过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个工作日仍不能支付款项的，乙方有权单方解除本合同。甲方因未能如期支付款项或因其他违约行为导致乙方解除合同的，甲方应向乙方支付合同预估</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费的百分之五作为违约金。</w:t>
      </w:r>
    </w:p>
    <w:p w14:paraId="6552F319">
      <w:pPr>
        <w:pStyle w:val="14"/>
        <w:snapToGrid w:val="0"/>
        <w:spacing w:before="156"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七、转包及分包</w:t>
      </w:r>
    </w:p>
    <w:p w14:paraId="35E164A8">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1.本合同范围的货物，应由乙方直接供应，不得转让他人供应；</w:t>
      </w:r>
    </w:p>
    <w:p w14:paraId="1B14D722">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2.除非得到甲、丙双方的书面同意，乙方不得将本合同范围的货物全部或部分分包给他人供应；</w:t>
      </w:r>
    </w:p>
    <w:p w14:paraId="4921E6EB">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3.如有转让和未经甲、丙双方同意的分包行为，甲、丙双方有权解除合同。</w:t>
      </w:r>
    </w:p>
    <w:p w14:paraId="31536146">
      <w:pPr>
        <w:pStyle w:val="14"/>
        <w:numPr>
          <w:ilvl w:val="0"/>
          <w:numId w:val="9"/>
        </w:numPr>
        <w:snapToGrid w:val="0"/>
        <w:spacing w:before="156"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其他约定</w:t>
      </w:r>
    </w:p>
    <w:p w14:paraId="4F312888">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1.丙方需确保向乙方提供有关稻梦谷的详细信息及相关资料。</w:t>
      </w:r>
    </w:p>
    <w:p w14:paraId="3786B474">
      <w:pPr>
        <w:pStyle w:val="14"/>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2.工作期间，由丙方为主导联络相关各级政府部门，组织会议、资料传递推进工作，过程中确需乙方协助的，乙方应积极配合。</w:t>
      </w:r>
    </w:p>
    <w:p w14:paraId="14E7707A">
      <w:pPr>
        <w:pStyle w:val="14"/>
        <w:snapToGrid w:val="0"/>
        <w:spacing w:before="120" w:beforeLines="50"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
          <w:sz w:val="24"/>
          <w:szCs w:val="24"/>
        </w:rPr>
        <w:t>九、不可抗力事件处理</w:t>
      </w:r>
    </w:p>
    <w:p w14:paraId="62237598">
      <w:pPr>
        <w:pStyle w:val="14"/>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1.在合同有效期内，任何一方因不可抗力事件导致不能履行合同，则合同履行期可延长，其延长期与不可抗力影响期相同。</w:t>
      </w:r>
    </w:p>
    <w:p w14:paraId="764F0EB4">
      <w:pPr>
        <w:pStyle w:val="14"/>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2.不可抗力事件发生后，应立即通知对方，并寄送有关权威机构出具的证明。</w:t>
      </w:r>
    </w:p>
    <w:p w14:paraId="0E40C2A6">
      <w:pPr>
        <w:pStyle w:val="14"/>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3.不可抗力事件延续120天以上，三方应通过友好协商，确定是否继续履行合同。</w:t>
      </w:r>
    </w:p>
    <w:p w14:paraId="54566526">
      <w:pPr>
        <w:pStyle w:val="14"/>
        <w:snapToGrid w:val="0"/>
        <w:spacing w:before="120" w:beforeLines="50"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十、诉讼</w:t>
      </w:r>
    </w:p>
    <w:p w14:paraId="7C10237C">
      <w:pPr>
        <w:pStyle w:val="14"/>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三方在执行合同中所发生的一切争议，应通过协商解决。如协商不成，可向甲方所在地提起仲裁或法院起诉。</w:t>
      </w:r>
    </w:p>
    <w:p w14:paraId="0B7713C6">
      <w:pPr>
        <w:pStyle w:val="14"/>
        <w:snapToGrid w:val="0"/>
        <w:spacing w:before="120" w:beforeLines="50" w:line="360" w:lineRule="auto"/>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十一、合同生效及其它</w:t>
      </w:r>
    </w:p>
    <w:p w14:paraId="033EEEDF">
      <w:pPr>
        <w:pStyle w:val="6"/>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1.凡有关本合同或与本合同中发生的争端，三方应通过友好协商，妥善解决。如通过协商仍不能解决时，可向绍兴市仲裁机构申请仲裁或向嵊州市人民法院起诉。</w:t>
      </w:r>
    </w:p>
    <w:p w14:paraId="79F3BEF0">
      <w:pPr>
        <w:pStyle w:val="6"/>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2.仲裁和诉讼费用除绍兴市仲裁机构和嵊州市人民法院另有裁决外，由败诉方承担。</w:t>
      </w:r>
    </w:p>
    <w:p w14:paraId="6ED43B43">
      <w:pPr>
        <w:pStyle w:val="6"/>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3.在仲裁和诉讼期间，除正在进行裁定的部分外，本合同其他部分应继续执行。</w:t>
      </w:r>
    </w:p>
    <w:p w14:paraId="5491CCD9">
      <w:pPr>
        <w:pStyle w:val="6"/>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4.合同应在三方签字盖章后开始生效。</w:t>
      </w:r>
    </w:p>
    <w:p w14:paraId="48A65A21">
      <w:pPr>
        <w:pStyle w:val="6"/>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5.本合同未尽事宜，遵照《民法典》有关条文执行。</w:t>
      </w:r>
    </w:p>
    <w:p w14:paraId="07A75F56">
      <w:pPr>
        <w:pStyle w:val="6"/>
        <w:numPr>
          <w:ilvl w:val="0"/>
          <w:numId w:val="0"/>
        </w:numPr>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6.本合同正本一式七份，具有同等法律效力，甲、乙、丙三方各执二份；代理机构备案一份</w:t>
      </w:r>
      <w:r>
        <w:rPr>
          <w:rFonts w:hint="eastAsia" w:asciiTheme="majorEastAsia" w:hAnsiTheme="majorEastAsia" w:eastAsiaTheme="majorEastAsia" w:cstheme="majorEastAsia"/>
          <w:sz w:val="24"/>
          <w:lang w:eastAsia="zh-CN"/>
        </w:rPr>
        <w:t>。</w:t>
      </w:r>
    </w:p>
    <w:p w14:paraId="19347C9A">
      <w:pPr>
        <w:spacing w:line="240" w:lineRule="auto"/>
        <w:ind w:left="842" w:leftChars="200" w:hanging="422" w:hangingChars="200"/>
        <w:jc w:val="left"/>
        <w:rPr>
          <w:rFonts w:hAnsi="宋体" w:cs="宋体"/>
          <w:szCs w:val="24"/>
        </w:rPr>
      </w:pPr>
      <w:r>
        <w:rPr>
          <w:rFonts w:hint="eastAsia" w:hAnsi="宋体" w:cs="宋体"/>
          <w:b/>
          <w:bCs/>
          <w:szCs w:val="24"/>
        </w:rPr>
        <w:t>甲方：</w:t>
      </w:r>
      <w:r>
        <w:rPr>
          <w:rFonts w:hint="eastAsia" w:hAnsi="宋体" w:cs="宋体"/>
          <w:szCs w:val="24"/>
        </w:rPr>
        <w:t xml:space="preserve">                                 </w:t>
      </w:r>
      <w:r>
        <w:rPr>
          <w:rFonts w:hint="eastAsia" w:hAnsi="宋体" w:cs="宋体"/>
          <w:b/>
          <w:bCs/>
          <w:szCs w:val="24"/>
        </w:rPr>
        <w:t xml:space="preserve">  </w:t>
      </w:r>
      <w:r>
        <w:rPr>
          <w:rFonts w:hint="eastAsia" w:hAnsi="宋体" w:cs="宋体"/>
          <w:b/>
          <w:bCs/>
          <w:szCs w:val="24"/>
          <w:lang w:val="en-US" w:eastAsia="zh-CN"/>
        </w:rPr>
        <w:t xml:space="preserve">     </w:t>
      </w:r>
      <w:r>
        <w:rPr>
          <w:rFonts w:hint="eastAsia" w:hAnsi="宋体" w:cs="宋体"/>
          <w:b/>
          <w:bCs/>
          <w:szCs w:val="24"/>
        </w:rPr>
        <w:t>乙方</w:t>
      </w:r>
      <w:r>
        <w:rPr>
          <w:rFonts w:hint="eastAsia" w:hAnsi="宋体" w:cs="宋体"/>
          <w:szCs w:val="24"/>
        </w:rPr>
        <w:t xml:space="preserve">：                                  </w:t>
      </w:r>
    </w:p>
    <w:p w14:paraId="51E4A9C9">
      <w:pPr>
        <w:pStyle w:val="13"/>
        <w:spacing w:line="240" w:lineRule="auto"/>
        <w:ind w:firstLine="420"/>
        <w:contextualSpacing/>
        <w:rPr>
          <w:rFonts w:hAnsi="宋体" w:cs="宋体"/>
          <w:szCs w:val="24"/>
        </w:rPr>
      </w:pPr>
      <w:r>
        <w:rPr>
          <w:rFonts w:hint="eastAsia" w:hAnsi="宋体" w:cs="宋体"/>
          <w:szCs w:val="24"/>
        </w:rPr>
        <w:t xml:space="preserve">地址：                                   地址： </w:t>
      </w:r>
    </w:p>
    <w:p w14:paraId="63603CB1">
      <w:pPr>
        <w:pStyle w:val="13"/>
        <w:spacing w:line="240" w:lineRule="auto"/>
        <w:ind w:firstLine="420"/>
        <w:contextualSpacing/>
        <w:rPr>
          <w:rFonts w:hAnsi="宋体" w:cs="宋体"/>
          <w:szCs w:val="24"/>
        </w:rPr>
      </w:pPr>
      <w:r>
        <w:rPr>
          <w:rFonts w:hint="eastAsia" w:hAnsi="宋体" w:cs="宋体"/>
          <w:szCs w:val="24"/>
        </w:rPr>
        <w:t>法定（授权）代表人：                     法定（授权）代表人：</w:t>
      </w:r>
    </w:p>
    <w:p w14:paraId="0411AAFC">
      <w:pPr>
        <w:pStyle w:val="13"/>
        <w:spacing w:line="240" w:lineRule="auto"/>
        <w:ind w:firstLine="420"/>
        <w:contextualSpacing/>
        <w:rPr>
          <w:rFonts w:hAnsi="宋体" w:cs="宋体"/>
          <w:szCs w:val="24"/>
        </w:rPr>
      </w:pPr>
      <w:r>
        <w:rPr>
          <w:rFonts w:hint="eastAsia" w:hAnsi="宋体" w:cs="宋体"/>
          <w:szCs w:val="24"/>
        </w:rPr>
        <w:t xml:space="preserve">电    话：                               电    话： </w:t>
      </w:r>
    </w:p>
    <w:p w14:paraId="151E8E85">
      <w:pPr>
        <w:pStyle w:val="13"/>
        <w:spacing w:line="240" w:lineRule="auto"/>
        <w:ind w:firstLine="420"/>
        <w:contextualSpacing/>
        <w:rPr>
          <w:rFonts w:hAnsi="宋体" w:cs="宋体"/>
          <w:szCs w:val="24"/>
        </w:rPr>
      </w:pPr>
      <w:r>
        <w:rPr>
          <w:rFonts w:hint="eastAsia" w:hAnsi="宋体" w:cs="宋体"/>
          <w:szCs w:val="24"/>
        </w:rPr>
        <w:t xml:space="preserve">开户银行：                               开户银行：       </w:t>
      </w:r>
    </w:p>
    <w:p w14:paraId="41BC681F">
      <w:pPr>
        <w:pStyle w:val="13"/>
        <w:spacing w:line="240" w:lineRule="auto"/>
        <w:ind w:firstLine="420"/>
        <w:rPr>
          <w:rFonts w:hAnsi="宋体" w:cs="宋体"/>
          <w:szCs w:val="24"/>
        </w:rPr>
      </w:pPr>
      <w:r>
        <w:rPr>
          <w:rFonts w:hint="eastAsia" w:hAnsi="宋体" w:cs="宋体"/>
          <w:szCs w:val="24"/>
        </w:rPr>
        <w:t>账    号：                               账    号：</w:t>
      </w:r>
    </w:p>
    <w:p w14:paraId="551DE408">
      <w:pPr>
        <w:pStyle w:val="13"/>
        <w:spacing w:line="240" w:lineRule="auto"/>
        <w:ind w:firstLine="420"/>
        <w:rPr>
          <w:rFonts w:hint="eastAsia" w:hAnsi="宋体" w:cs="宋体"/>
          <w:b/>
          <w:bCs/>
          <w:szCs w:val="24"/>
        </w:rPr>
      </w:pPr>
      <w:r>
        <w:rPr>
          <w:rFonts w:hint="eastAsia" w:hAnsi="宋体" w:cs="宋体"/>
          <w:szCs w:val="24"/>
        </w:rPr>
        <w:t>日    期：  年  月  日                   日    期：   年  月  日</w:t>
      </w:r>
    </w:p>
    <w:p w14:paraId="430385B0">
      <w:pPr>
        <w:pStyle w:val="13"/>
        <w:spacing w:line="240" w:lineRule="auto"/>
        <w:ind w:left="0" w:leftChars="0" w:firstLine="482" w:firstLineChars="200"/>
        <w:rPr>
          <w:rFonts w:hint="eastAsia" w:hAnsi="宋体" w:cs="宋体"/>
          <w:b/>
          <w:bCs/>
          <w:szCs w:val="24"/>
        </w:rPr>
      </w:pPr>
    </w:p>
    <w:p w14:paraId="3D2DB3D0">
      <w:pPr>
        <w:pStyle w:val="13"/>
        <w:spacing w:line="240" w:lineRule="auto"/>
        <w:ind w:left="0" w:leftChars="0" w:firstLine="482" w:firstLineChars="200"/>
        <w:rPr>
          <w:rFonts w:hint="eastAsia" w:hAnsi="宋体" w:cs="宋体"/>
          <w:b/>
          <w:bCs/>
          <w:szCs w:val="24"/>
        </w:rPr>
      </w:pPr>
    </w:p>
    <w:p w14:paraId="35BF3EBE">
      <w:pPr>
        <w:pStyle w:val="13"/>
        <w:spacing w:line="240" w:lineRule="auto"/>
        <w:ind w:left="0" w:leftChars="0" w:firstLine="482" w:firstLineChars="200"/>
        <w:rPr>
          <w:rFonts w:hAnsi="宋体" w:cs="宋体"/>
          <w:b/>
          <w:bCs/>
          <w:szCs w:val="24"/>
        </w:rPr>
      </w:pPr>
      <w:r>
        <w:rPr>
          <w:rFonts w:hint="eastAsia" w:hAnsi="宋体" w:cs="宋体"/>
          <w:b/>
          <w:bCs/>
          <w:szCs w:val="24"/>
        </w:rPr>
        <w:t>丙方：</w:t>
      </w:r>
    </w:p>
    <w:p w14:paraId="5D0B3318">
      <w:pPr>
        <w:pStyle w:val="13"/>
        <w:spacing w:line="240" w:lineRule="auto"/>
        <w:ind w:firstLine="420"/>
        <w:rPr>
          <w:rFonts w:hAnsi="宋体" w:cs="宋体"/>
          <w:szCs w:val="24"/>
        </w:rPr>
      </w:pPr>
      <w:r>
        <w:rPr>
          <w:rFonts w:hint="eastAsia" w:hAnsi="宋体" w:cs="宋体"/>
          <w:szCs w:val="24"/>
        </w:rPr>
        <w:t>地址：</w:t>
      </w:r>
    </w:p>
    <w:p w14:paraId="499F4B38">
      <w:pPr>
        <w:pStyle w:val="13"/>
        <w:spacing w:line="240" w:lineRule="auto"/>
        <w:ind w:firstLine="420"/>
        <w:rPr>
          <w:rFonts w:hAnsi="宋体" w:cs="宋体"/>
          <w:szCs w:val="24"/>
        </w:rPr>
      </w:pPr>
      <w:r>
        <w:rPr>
          <w:rFonts w:hint="eastAsia" w:hAnsi="宋体" w:cs="宋体"/>
          <w:szCs w:val="24"/>
        </w:rPr>
        <w:t>法定（授权）代表人：</w:t>
      </w:r>
    </w:p>
    <w:p w14:paraId="47086DCB">
      <w:pPr>
        <w:pStyle w:val="13"/>
        <w:spacing w:line="240" w:lineRule="auto"/>
        <w:ind w:firstLine="420"/>
        <w:rPr>
          <w:rFonts w:hint="eastAsia" w:hAnsi="宋体" w:cs="宋体"/>
          <w:szCs w:val="24"/>
        </w:rPr>
      </w:pPr>
      <w:r>
        <w:rPr>
          <w:rFonts w:hint="eastAsia" w:hAnsi="宋体" w:cs="宋体"/>
          <w:szCs w:val="24"/>
        </w:rPr>
        <w:t>电    话：</w:t>
      </w:r>
    </w:p>
    <w:p w14:paraId="23EAC3A0">
      <w:pPr>
        <w:pStyle w:val="13"/>
        <w:spacing w:line="240" w:lineRule="auto"/>
        <w:ind w:firstLine="420"/>
        <w:rPr>
          <w:rFonts w:hint="eastAsia" w:hAnsi="宋体" w:cs="宋体"/>
          <w:szCs w:val="24"/>
          <w:lang w:val="en-US" w:eastAsia="zh-CN"/>
        </w:rPr>
      </w:pPr>
      <w:r>
        <w:rPr>
          <w:rFonts w:hint="eastAsia" w:hAnsi="宋体" w:cs="宋体"/>
          <w:szCs w:val="24"/>
          <w:lang w:val="en-US" w:eastAsia="zh-CN"/>
        </w:rPr>
        <w:t>开户银行：</w:t>
      </w:r>
    </w:p>
    <w:p w14:paraId="6E05E74C">
      <w:pPr>
        <w:pStyle w:val="13"/>
        <w:spacing w:line="240" w:lineRule="auto"/>
        <w:ind w:firstLine="420"/>
        <w:rPr>
          <w:rFonts w:hint="eastAsia" w:ascii="宋体" w:hAnsi="宋体" w:cs="宋体"/>
          <w:szCs w:val="24"/>
        </w:rPr>
      </w:pPr>
      <w:r>
        <w:rPr>
          <w:rFonts w:hint="eastAsia" w:hAnsi="宋体" w:cs="宋体"/>
          <w:szCs w:val="24"/>
          <w:lang w:val="en-US" w:eastAsia="zh-CN"/>
        </w:rPr>
        <w:t>账    号：</w:t>
      </w:r>
      <w:r>
        <w:rPr>
          <w:rFonts w:hint="eastAsia" w:ascii="宋体" w:hAnsi="宋体" w:cs="宋体"/>
          <w:szCs w:val="24"/>
        </w:rPr>
        <w:t>日    期：   年  月  日</w:t>
      </w:r>
    </w:p>
    <w:p w14:paraId="04474BD0">
      <w:pPr>
        <w:spacing w:after="160" w:line="240" w:lineRule="auto"/>
        <w:ind w:left="0" w:leftChars="0" w:firstLine="422" w:firstLineChars="200"/>
        <w:jc w:val="left"/>
        <w:rPr>
          <w:rFonts w:ascii="宋体" w:hAnsi="宋体" w:cs="宋体"/>
          <w:szCs w:val="24"/>
        </w:rPr>
      </w:pPr>
      <w:r>
        <w:rPr>
          <w:rFonts w:hint="eastAsia" w:ascii="宋体" w:hAnsi="宋体" w:cs="宋体"/>
          <w:b/>
          <w:bCs/>
          <w:szCs w:val="24"/>
        </w:rPr>
        <w:t>注：具体以三方签定的正式合同为准，合同内容不得违背本招标文件实质性要求。</w:t>
      </w:r>
    </w:p>
    <w:p w14:paraId="3EC8AD05">
      <w:pPr>
        <w:ind w:left="0" w:leftChars="0" w:firstLine="0" w:firstLineChars="0"/>
        <w:rPr>
          <w:rStyle w:val="77"/>
          <w:rFonts w:hint="eastAsia" w:asciiTheme="minorEastAsia" w:hAnsiTheme="minorEastAsia" w:eastAsiaTheme="minorEastAsia" w:cstheme="minorEastAsia"/>
          <w:b/>
          <w:bCs/>
          <w:color w:val="auto"/>
          <w:szCs w:val="36"/>
        </w:rPr>
      </w:pPr>
    </w:p>
    <w:p w14:paraId="310AE0E7">
      <w:pPr>
        <w:ind w:firstLine="2891" w:firstLineChars="800"/>
        <w:rPr>
          <w:rStyle w:val="77"/>
          <w:rFonts w:asciiTheme="minorEastAsia" w:hAnsiTheme="minorEastAsia" w:eastAsiaTheme="minorEastAsia" w:cstheme="minorEastAsia"/>
          <w:b/>
          <w:bCs/>
          <w:color w:val="auto"/>
          <w:szCs w:val="36"/>
        </w:rPr>
      </w:pPr>
      <w:r>
        <w:rPr>
          <w:rStyle w:val="77"/>
          <w:rFonts w:hint="eastAsia" w:asciiTheme="minorEastAsia" w:hAnsiTheme="minorEastAsia" w:eastAsiaTheme="minorEastAsia" w:cstheme="minorEastAsia"/>
          <w:b/>
          <w:bCs/>
          <w:color w:val="auto"/>
          <w:szCs w:val="36"/>
        </w:rPr>
        <w:t>第六部分  投标文件格式</w:t>
      </w:r>
    </w:p>
    <w:p w14:paraId="3F228078">
      <w:pPr>
        <w:spacing w:line="400" w:lineRule="exact"/>
        <w:ind w:firstLine="643"/>
        <w:jc w:val="center"/>
        <w:rPr>
          <w:rStyle w:val="77"/>
          <w:rFonts w:asciiTheme="minorEastAsia" w:hAnsiTheme="minorEastAsia" w:eastAsiaTheme="minorEastAsia" w:cstheme="minorEastAsia"/>
          <w:b/>
          <w:bCs/>
          <w:color w:val="auto"/>
          <w:sz w:val="32"/>
          <w:szCs w:val="32"/>
        </w:rPr>
      </w:pPr>
    </w:p>
    <w:p w14:paraId="75539958">
      <w:pPr>
        <w:ind w:left="0" w:leftChars="0" w:firstLine="0" w:firstLineChars="0"/>
        <w:jc w:val="both"/>
        <w:outlineLvl w:val="0"/>
        <w:rPr>
          <w:rFonts w:ascii="宋体" w:hAnsi="宋体" w:cs="宋体"/>
          <w:b/>
          <w:color w:val="000000"/>
          <w:sz w:val="36"/>
          <w:szCs w:val="36"/>
        </w:rPr>
      </w:pPr>
    </w:p>
    <w:p w14:paraId="1513BC32">
      <w:pPr>
        <w:ind w:firstLine="3614" w:firstLineChars="1000"/>
        <w:jc w:val="both"/>
        <w:outlineLvl w:val="0"/>
        <w:rPr>
          <w:rFonts w:ascii="宋体" w:hAnsi="宋体" w:cs="宋体"/>
          <w:b/>
          <w:color w:val="000000"/>
          <w:sz w:val="36"/>
          <w:szCs w:val="36"/>
        </w:rPr>
      </w:pPr>
      <w:r>
        <w:rPr>
          <w:rFonts w:hint="eastAsia" w:ascii="宋体" w:hAnsi="宋体" w:cs="宋体"/>
          <w:b/>
          <w:color w:val="000000"/>
          <w:sz w:val="36"/>
          <w:szCs w:val="36"/>
        </w:rPr>
        <w:t>资格文件部分</w:t>
      </w:r>
    </w:p>
    <w:p w14:paraId="6CC6A4C5">
      <w:pPr>
        <w:ind w:firstLine="4337" w:firstLineChars="1200"/>
        <w:jc w:val="both"/>
        <w:outlineLvl w:val="0"/>
        <w:rPr>
          <w:rFonts w:ascii="宋体" w:hAnsi="宋体" w:cs="宋体"/>
          <w:b/>
          <w:color w:val="000000"/>
          <w:sz w:val="36"/>
          <w:szCs w:val="36"/>
        </w:rPr>
      </w:pPr>
      <w:r>
        <w:rPr>
          <w:rFonts w:hint="eastAsia" w:ascii="宋体" w:hAnsi="宋体" w:cs="宋体"/>
          <w:b/>
          <w:color w:val="000000"/>
          <w:sz w:val="36"/>
          <w:szCs w:val="36"/>
        </w:rPr>
        <w:t>目录</w:t>
      </w:r>
    </w:p>
    <w:p w14:paraId="4494A9CB">
      <w:pPr>
        <w:ind w:firstLine="723"/>
        <w:jc w:val="center"/>
        <w:outlineLvl w:val="0"/>
        <w:rPr>
          <w:rFonts w:ascii="宋体" w:hAnsi="宋体" w:cs="宋体"/>
          <w:b/>
          <w:color w:val="000000"/>
          <w:sz w:val="36"/>
          <w:szCs w:val="36"/>
        </w:rPr>
      </w:pPr>
    </w:p>
    <w:p w14:paraId="65BADB92">
      <w:pPr>
        <w:spacing w:line="360" w:lineRule="auto"/>
        <w:jc w:val="center"/>
        <w:outlineLvl w:val="0"/>
        <w:rPr>
          <w:rFonts w:hint="eastAsia" w:ascii="宋体" w:hAnsi="宋体" w:eastAsia="宋体" w:cs="宋体"/>
          <w:b/>
          <w:color w:val="auto"/>
          <w:kern w:val="0"/>
          <w:sz w:val="24"/>
          <w:szCs w:val="24"/>
          <w:highlight w:val="none"/>
        </w:rPr>
      </w:pPr>
    </w:p>
    <w:p w14:paraId="0C89A13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color w:val="auto"/>
          <w:sz w:val="24"/>
          <w:szCs w:val="24"/>
          <w:highlight w:val="none"/>
        </w:rPr>
        <w:t>…………………………………………………………（页码）</w:t>
      </w:r>
    </w:p>
    <w:p w14:paraId="40A0EDA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w:t>
      </w:r>
      <w:r>
        <w:rPr>
          <w:rFonts w:hint="eastAsia" w:ascii="宋体" w:hAnsi="宋体" w:eastAsia="宋体" w:cs="宋体"/>
          <w:color w:val="auto"/>
          <w:sz w:val="24"/>
          <w:szCs w:val="24"/>
          <w:highlight w:val="none"/>
        </w:rPr>
        <w:t>法定代表人身份证明书…………………………………………………（页码）</w:t>
      </w:r>
    </w:p>
    <w:p w14:paraId="47D84FFD">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0C8B61D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符合参加采购活动应当具备的一般条件的承诺函</w:t>
      </w:r>
      <w:r>
        <w:rPr>
          <w:rFonts w:hint="eastAsia" w:ascii="宋体" w:hAnsi="宋体" w:eastAsia="宋体" w:cs="宋体"/>
          <w:color w:val="auto"/>
          <w:sz w:val="24"/>
          <w:szCs w:val="24"/>
          <w:highlight w:val="none"/>
        </w:rPr>
        <w:t>……………………（页码）</w:t>
      </w:r>
    </w:p>
    <w:p w14:paraId="70E39C1A">
      <w:pPr>
        <w:snapToGrid w:val="0"/>
        <w:ind w:firstLine="480"/>
        <w:rPr>
          <w:rFonts w:ascii="宋体" w:hAnsi="宋体" w:cs="宋体"/>
          <w:color w:val="000000"/>
          <w:sz w:val="24"/>
          <w:szCs w:val="24"/>
        </w:rPr>
      </w:pPr>
    </w:p>
    <w:p w14:paraId="249F1FF4">
      <w:pPr>
        <w:ind w:firstLine="480"/>
        <w:rPr>
          <w:rFonts w:hint="eastAsia" w:ascii="宋体" w:hAnsi="宋体" w:eastAsia="宋体" w:cs="宋体"/>
          <w:color w:val="000000"/>
          <w:sz w:val="28"/>
          <w:szCs w:val="28"/>
        </w:rPr>
      </w:pPr>
    </w:p>
    <w:p w14:paraId="3C76AFDF">
      <w:pPr>
        <w:ind w:firstLine="420"/>
        <w:rPr>
          <w:rFonts w:hint="default" w:ascii="宋体" w:hAnsi="宋体" w:eastAsia="宋体" w:cs="宋体"/>
          <w:color w:val="000000"/>
          <w:sz w:val="28"/>
          <w:szCs w:val="28"/>
          <w:lang w:val="en-US"/>
        </w:rPr>
      </w:pPr>
      <w:r>
        <w:rPr>
          <w:rFonts w:hint="eastAsia" w:ascii="宋体" w:hAnsi="宋体" w:eastAsia="宋体" w:cs="宋体"/>
          <w:b/>
          <w:bCs/>
          <w:color w:val="auto"/>
          <w:sz w:val="24"/>
          <w:szCs w:val="24"/>
          <w:highlight w:val="none"/>
          <w:lang w:val="en-US" w:eastAsia="zh-CN"/>
        </w:rPr>
        <w:t>注：</w:t>
      </w:r>
      <w:r>
        <w:rPr>
          <w:rStyle w:val="33"/>
          <w:rFonts w:hint="eastAsia" w:ascii="宋体" w:hAnsi="宋体" w:eastAsia="宋体" w:cs="宋体"/>
          <w:b/>
          <w:bCs/>
          <w:color w:val="auto"/>
          <w:sz w:val="24"/>
          <w:szCs w:val="24"/>
          <w:highlight w:val="none"/>
          <w:lang w:eastAsia="zh-CN"/>
        </w:rPr>
        <w:fldChar w:fldCharType="begin"/>
      </w:r>
      <w:r>
        <w:rPr>
          <w:rStyle w:val="33"/>
          <w:rFonts w:hint="eastAsia" w:ascii="宋体" w:hAnsi="宋体" w:eastAsia="宋体" w:cs="宋体"/>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Style w:val="33"/>
          <w:rFonts w:hint="eastAsia" w:ascii="宋体" w:hAnsi="宋体" w:eastAsia="宋体" w:cs="宋体"/>
          <w:b/>
          <w:bCs/>
          <w:color w:val="auto"/>
          <w:sz w:val="24"/>
          <w:szCs w:val="24"/>
          <w:highlight w:val="none"/>
          <w:lang w:eastAsia="zh-CN"/>
        </w:rPr>
        <w:fldChar w:fldCharType="separate"/>
      </w:r>
      <w:r>
        <w:rPr>
          <w:rStyle w:val="33"/>
          <w:rFonts w:hint="eastAsia" w:ascii="宋体" w:hAnsi="宋体" w:eastAsia="宋体" w:cs="宋体"/>
          <w:b/>
          <w:bCs/>
          <w:color w:val="auto"/>
          <w:sz w:val="24"/>
          <w:szCs w:val="24"/>
          <w:highlight w:val="none"/>
          <w:lang w:eastAsia="zh-CN"/>
        </w:rPr>
        <w:t>在电子投标文件解密后，</w:t>
      </w:r>
      <w:r>
        <w:rPr>
          <w:rStyle w:val="33"/>
          <w:rFonts w:hint="eastAsia" w:ascii="宋体" w:hAnsi="宋体" w:eastAsia="宋体" w:cs="宋体"/>
          <w:b/>
          <w:bCs/>
          <w:color w:val="auto"/>
          <w:sz w:val="24"/>
          <w:szCs w:val="24"/>
          <w:highlight w:val="none"/>
          <w:lang w:val="zh-CN" w:eastAsia="zh-CN"/>
        </w:rPr>
        <w:t>供应商通过邮件形式将经授权代表签署的</w:t>
      </w:r>
      <w:r>
        <w:rPr>
          <w:rStyle w:val="33"/>
          <w:rFonts w:hint="eastAsia" w:ascii="宋体" w:hAnsi="宋体" w:eastAsia="宋体" w:cs="宋体"/>
          <w:b/>
          <w:bCs/>
          <w:color w:val="auto"/>
          <w:sz w:val="24"/>
          <w:szCs w:val="24"/>
          <w:highlight w:val="none"/>
          <w:lang w:eastAsia="zh-CN"/>
        </w:rPr>
        <w:t>《政企采购活动现场确认声明书》</w:t>
      </w:r>
      <w:r>
        <w:rPr>
          <w:rStyle w:val="33"/>
          <w:rFonts w:hint="eastAsia" w:ascii="宋体" w:hAnsi="宋体" w:eastAsia="宋体" w:cs="宋体"/>
          <w:b/>
          <w:bCs/>
          <w:color w:val="auto"/>
          <w:sz w:val="24"/>
          <w:szCs w:val="24"/>
          <w:highlight w:val="none"/>
          <w:lang w:val="zh-CN" w:eastAsia="zh-CN"/>
        </w:rPr>
        <w:t>扫描件发至代理机构经办人邮箱</w:t>
      </w:r>
      <w:r>
        <w:rPr>
          <w:rStyle w:val="33"/>
          <w:rFonts w:hint="eastAsia" w:ascii="宋体" w:hAnsi="宋体" w:eastAsia="宋体" w:cs="宋体"/>
          <w:b/>
          <w:bCs/>
          <w:color w:val="auto"/>
          <w:sz w:val="24"/>
          <w:szCs w:val="24"/>
          <w:highlight w:val="none"/>
          <w:lang w:eastAsia="zh-CN"/>
        </w:rPr>
        <w:t>875506599@qq.com，</w:t>
      </w:r>
      <w:r>
        <w:rPr>
          <w:rStyle w:val="33"/>
          <w:rFonts w:hint="eastAsia" w:ascii="宋体" w:hAnsi="宋体" w:eastAsia="宋体" w:cs="宋体"/>
          <w:b/>
          <w:bCs/>
          <w:color w:val="auto"/>
          <w:sz w:val="24"/>
          <w:szCs w:val="24"/>
          <w:highlight w:val="none"/>
          <w:lang w:eastAsia="zh-CN"/>
        </w:rPr>
        <w:fldChar w:fldCharType="end"/>
      </w:r>
      <w:r>
        <w:rPr>
          <w:rStyle w:val="33"/>
          <w:rFonts w:hint="eastAsia" w:ascii="宋体" w:hAnsi="宋体" w:eastAsia="宋体" w:cs="宋体"/>
          <w:b/>
          <w:bCs/>
          <w:color w:val="auto"/>
          <w:sz w:val="24"/>
          <w:szCs w:val="24"/>
          <w:highlight w:val="none"/>
          <w:lang w:val="en-US" w:eastAsia="zh-CN"/>
        </w:rPr>
        <w:t>联系人：邢工，电话：0575-83088551</w:t>
      </w:r>
    </w:p>
    <w:p w14:paraId="65B9EC74">
      <w:pPr>
        <w:ind w:firstLine="420"/>
        <w:rPr>
          <w:rFonts w:ascii="宋体" w:cs="宋体"/>
          <w:color w:val="000000"/>
          <w:szCs w:val="28"/>
          <w:lang w:val="zh-CN"/>
        </w:rPr>
      </w:pPr>
    </w:p>
    <w:p w14:paraId="6F15B196">
      <w:pPr>
        <w:ind w:firstLine="420"/>
        <w:rPr>
          <w:rFonts w:ascii="宋体" w:cs="宋体"/>
          <w:color w:val="000000"/>
          <w:szCs w:val="28"/>
          <w:lang w:val="zh-CN"/>
        </w:rPr>
      </w:pPr>
    </w:p>
    <w:p w14:paraId="11631051">
      <w:pPr>
        <w:ind w:firstLine="420"/>
        <w:rPr>
          <w:rFonts w:ascii="宋体" w:cs="宋体"/>
          <w:color w:val="000000"/>
          <w:szCs w:val="28"/>
          <w:lang w:val="zh-CN"/>
        </w:rPr>
      </w:pPr>
    </w:p>
    <w:p w14:paraId="7C467A01">
      <w:pPr>
        <w:ind w:firstLine="420"/>
        <w:rPr>
          <w:rFonts w:ascii="宋体" w:cs="宋体"/>
          <w:color w:val="000000"/>
          <w:szCs w:val="28"/>
          <w:lang w:val="zh-CN"/>
        </w:rPr>
      </w:pPr>
    </w:p>
    <w:p w14:paraId="2BCFCFE1">
      <w:pPr>
        <w:ind w:firstLine="420"/>
        <w:rPr>
          <w:rFonts w:ascii="宋体" w:cs="宋体"/>
          <w:color w:val="000000"/>
          <w:szCs w:val="28"/>
          <w:lang w:val="zh-CN"/>
        </w:rPr>
      </w:pPr>
    </w:p>
    <w:p w14:paraId="55041F6F">
      <w:pPr>
        <w:pStyle w:val="3"/>
        <w:rPr>
          <w:color w:val="000000"/>
          <w:szCs w:val="32"/>
          <w:lang w:val="zh-CN"/>
        </w:rPr>
      </w:pPr>
    </w:p>
    <w:p w14:paraId="6A54BE44">
      <w:pPr>
        <w:ind w:firstLine="420"/>
        <w:rPr>
          <w:rFonts w:ascii="宋体" w:cs="宋体"/>
          <w:color w:val="000000"/>
          <w:szCs w:val="28"/>
          <w:lang w:val="zh-CN"/>
        </w:rPr>
      </w:pPr>
    </w:p>
    <w:p w14:paraId="60B30302">
      <w:pPr>
        <w:ind w:firstLine="420"/>
        <w:rPr>
          <w:rFonts w:ascii="宋体" w:cs="宋体"/>
          <w:color w:val="000000"/>
          <w:szCs w:val="28"/>
          <w:lang w:val="zh-CN"/>
        </w:rPr>
      </w:pPr>
    </w:p>
    <w:p w14:paraId="0A93ACA5">
      <w:pPr>
        <w:ind w:firstLine="420"/>
        <w:rPr>
          <w:rFonts w:ascii="宋体" w:cs="宋体"/>
          <w:color w:val="000000"/>
          <w:szCs w:val="28"/>
          <w:lang w:val="zh-CN"/>
        </w:rPr>
      </w:pPr>
    </w:p>
    <w:p w14:paraId="71CA725C">
      <w:pPr>
        <w:ind w:firstLine="420"/>
        <w:rPr>
          <w:rFonts w:ascii="宋体" w:cs="宋体"/>
          <w:color w:val="000000"/>
          <w:szCs w:val="28"/>
          <w:lang w:val="zh-CN"/>
        </w:rPr>
      </w:pPr>
    </w:p>
    <w:p w14:paraId="5C1342F9">
      <w:pPr>
        <w:ind w:firstLine="420"/>
        <w:rPr>
          <w:rFonts w:ascii="宋体" w:cs="宋体"/>
          <w:color w:val="000000"/>
          <w:szCs w:val="28"/>
          <w:lang w:val="zh-CN"/>
        </w:rPr>
      </w:pPr>
    </w:p>
    <w:p w14:paraId="7C4281EE">
      <w:pPr>
        <w:ind w:left="0" w:leftChars="0" w:firstLine="0" w:firstLineChars="0"/>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一、</w:t>
      </w:r>
      <w:r>
        <w:rPr>
          <w:rFonts w:hint="eastAsia" w:ascii="宋体" w:hAnsi="宋体" w:cs="宋体"/>
          <w:b/>
          <w:color w:val="000000"/>
          <w:sz w:val="36"/>
          <w:szCs w:val="36"/>
        </w:rPr>
        <w:t>营业执照扫描件</w:t>
      </w:r>
    </w:p>
    <w:p w14:paraId="4D08B9EC">
      <w:pPr>
        <w:ind w:firstLine="723"/>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二、法定代表人身份证明书</w:t>
      </w:r>
    </w:p>
    <w:p w14:paraId="27BFFE3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2789C4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F64967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5EF409E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43FD74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7E811A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w:t>
      </w:r>
    </w:p>
    <w:p w14:paraId="38E99D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DC50DC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137552CA">
      <w:pPr>
        <w:pStyle w:val="8"/>
        <w:rPr>
          <w:rFonts w:hint="eastAsia" w:eastAsia="宋体"/>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p>
    <w:p w14:paraId="377E588F">
      <w:pPr>
        <w:pStyle w:val="8"/>
        <w:rPr>
          <w:rFonts w:hint="eastAsia" w:ascii="宋体" w:hAnsi="宋体" w:eastAsia="宋体" w:cs="宋体"/>
          <w:color w:val="auto"/>
          <w:sz w:val="24"/>
          <w:szCs w:val="24"/>
          <w:highlight w:val="none"/>
        </w:rPr>
      </w:pPr>
    </w:p>
    <w:p w14:paraId="11F0B51F">
      <w:pPr>
        <w:rPr>
          <w:rFonts w:hint="eastAsia"/>
        </w:rPr>
      </w:pPr>
    </w:p>
    <w:p w14:paraId="3987D46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50BDEB5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法定代表人（签字或盖章）：        </w:t>
      </w:r>
    </w:p>
    <w:p w14:paraId="1C8944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292D4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B2A111">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eastAsia="宋体" w:cs="宋体"/>
          <w:b/>
          <w:color w:val="000000"/>
          <w:kern w:val="2"/>
          <w:sz w:val="36"/>
          <w:szCs w:val="36"/>
          <w:lang w:val="en-US" w:eastAsia="zh-CN" w:bidi="ar-SA"/>
        </w:rPr>
        <w:t>三、</w:t>
      </w:r>
      <w:r>
        <w:rPr>
          <w:rFonts w:hint="eastAsia" w:ascii="宋体" w:hAnsi="宋体" w:cs="宋体"/>
          <w:b/>
          <w:color w:val="000000"/>
          <w:sz w:val="36"/>
          <w:szCs w:val="36"/>
          <w:lang w:val="en-US" w:eastAsia="zh-CN"/>
        </w:rPr>
        <w:t>法定代表人授权委托书及授权代表社保证明</w:t>
      </w:r>
    </w:p>
    <w:p w14:paraId="57F146A5">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（若委托）</w:t>
      </w:r>
    </w:p>
    <w:p w14:paraId="59865355">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720E6F98">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4EB59C4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E7BA429">
      <w:pPr>
        <w:snapToGrid w:val="0"/>
        <w:spacing w:line="600" w:lineRule="exact"/>
        <w:jc w:val="left"/>
        <w:rPr>
          <w:rFonts w:hint="eastAsia" w:ascii="宋体" w:hAnsi="宋体" w:eastAsia="宋体" w:cs="宋体"/>
          <w:color w:val="auto"/>
          <w:sz w:val="24"/>
          <w:szCs w:val="24"/>
          <w:highlight w:val="none"/>
        </w:rPr>
      </w:pPr>
    </w:p>
    <w:p w14:paraId="1B9D6C6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               年龄：</w:t>
      </w:r>
    </w:p>
    <w:p w14:paraId="47E0AA5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               职务：</w:t>
      </w:r>
    </w:p>
    <w:p w14:paraId="57C376C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办公地址：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联系电话：           传真：</w:t>
      </w:r>
    </w:p>
    <w:p w14:paraId="689D90C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109A85D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80BFD14">
      <w:pPr>
        <w:spacing w:line="360" w:lineRule="exact"/>
        <w:rPr>
          <w:rFonts w:hint="eastAsia" w:ascii="宋体" w:hAnsi="宋体" w:eastAsia="宋体" w:cs="宋体"/>
          <w:color w:val="auto"/>
          <w:sz w:val="24"/>
          <w:szCs w:val="24"/>
          <w:highlight w:val="none"/>
        </w:rPr>
      </w:pPr>
    </w:p>
    <w:p w14:paraId="68DEA678">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日期：    年   月   日</w:t>
      </w:r>
    </w:p>
    <w:p w14:paraId="0BF46C98">
      <w:pPr>
        <w:snapToGrid w:val="0"/>
        <w:spacing w:line="360" w:lineRule="auto"/>
        <w:ind w:right="480"/>
        <w:jc w:val="both"/>
        <w:rPr>
          <w:rFonts w:hint="eastAsia" w:ascii="宋体" w:hAnsi="宋体" w:eastAsia="宋体" w:cs="宋体"/>
          <w:b/>
          <w:bCs/>
          <w:color w:val="auto"/>
          <w:sz w:val="24"/>
          <w:szCs w:val="24"/>
          <w:highlight w:val="none"/>
        </w:rPr>
      </w:pPr>
    </w:p>
    <w:p w14:paraId="0A90DC91">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及授权人身份证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w:t>
      </w:r>
    </w:p>
    <w:p w14:paraId="0E088A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F9B0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9A482F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32D4706">
      <w:pPr>
        <w:keepNext w:val="0"/>
        <w:keepLines w:val="0"/>
        <w:pageBreakBefore w:val="0"/>
        <w:widowControl w:val="0"/>
        <w:kinsoku/>
        <w:wordWrap/>
        <w:overflowPunct/>
        <w:topLinePunct w:val="0"/>
        <w:autoSpaceDE/>
        <w:autoSpaceDN/>
        <w:bidi w:val="0"/>
        <w:adjustRightInd w:val="0"/>
        <w:snapToGrid w:val="0"/>
        <w:spacing w:line="360" w:lineRule="auto"/>
        <w:ind w:left="0" w:leftChars="0" w:right="482"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78627AF5">
      <w:pPr>
        <w:pStyle w:val="8"/>
        <w:rPr>
          <w:rFonts w:hint="eastAsia"/>
          <w:lang w:val="en-US" w:eastAsia="zh-CN"/>
        </w:rPr>
      </w:pPr>
    </w:p>
    <w:p w14:paraId="31F82CDE">
      <w:pPr>
        <w:numPr>
          <w:ilvl w:val="0"/>
          <w:numId w:val="0"/>
        </w:numPr>
        <w:ind w:firstLine="643" w:firstLineChars="200"/>
        <w:rPr>
          <w:rFonts w:hint="eastAsia" w:ascii="宋体" w:hAnsi="宋体" w:cs="宋体"/>
          <w:b/>
          <w:sz w:val="32"/>
          <w:szCs w:val="32"/>
          <w:lang w:val="en-US" w:eastAsia="zh-CN"/>
        </w:rPr>
      </w:pPr>
      <w:r>
        <w:rPr>
          <w:rFonts w:hint="eastAsia" w:ascii="宋体" w:hAnsi="宋体" w:cs="宋体"/>
          <w:b/>
          <w:sz w:val="32"/>
          <w:szCs w:val="32"/>
          <w:lang w:val="en-US" w:eastAsia="zh-CN"/>
        </w:rPr>
        <w:t>四、符合参加政企采购活动应当具备的一般条件的承诺函</w:t>
      </w:r>
    </w:p>
    <w:p w14:paraId="5AC72775">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7D710B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】采购活动，郑重承诺：</w:t>
      </w:r>
    </w:p>
    <w:p w14:paraId="6E69369E">
      <w:pPr>
        <w:snapToGrid w:val="0"/>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（一）具备《嵊州市市属国有企业货物和服务采购管理办法（试行）》第十七条规定的条件：</w:t>
      </w:r>
    </w:p>
    <w:p w14:paraId="10E79319">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6ABB0C8E">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w:t>
      </w:r>
    </w:p>
    <w:p w14:paraId="6F86CBF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3.具有履行合同所必需的设备和专业技术，售后保障等能力；</w:t>
      </w:r>
    </w:p>
    <w:p w14:paraId="01A0FEA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14:paraId="3189D7E7">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5.参加采购活动前三年内，没有重大违法记录，严重失信行为和行贿记录；</w:t>
      </w:r>
    </w:p>
    <w:p w14:paraId="31E7E7A5">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6.法律、行政法规规定的其他条件</w:t>
      </w:r>
      <w:r>
        <w:rPr>
          <w:rFonts w:hint="eastAsia" w:ascii="宋体" w:hAnsi="宋体" w:eastAsia="宋体" w:cs="宋体"/>
          <w:color w:val="auto"/>
          <w:kern w:val="0"/>
          <w:sz w:val="24"/>
          <w:highlight w:val="none"/>
          <w:lang w:eastAsia="zh-CN"/>
        </w:rPr>
        <w:t>。</w:t>
      </w:r>
    </w:p>
    <w:p w14:paraId="0EA03D68">
      <w:pPr>
        <w:snapToGrid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DE92F52">
      <w:pPr>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二）未被信用中国（www.creditchina.gov.cn)、中国政府采购（www.ccgp.gov.cn）列入失信被执行人、重大税收违法案件当事人名单、政府采购严重违法失信行为记录名单。</w:t>
      </w:r>
    </w:p>
    <w:p w14:paraId="4720842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6BB8C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4B53ED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0520D5D">
      <w:pPr>
        <w:snapToGrid w:val="0"/>
        <w:spacing w:line="360" w:lineRule="auto"/>
        <w:ind w:firstLine="5520" w:firstLineChars="2300"/>
        <w:rPr>
          <w:rFonts w:hint="eastAsia" w:ascii="宋体" w:hAnsi="宋体" w:eastAsia="宋体" w:cs="宋体"/>
          <w:color w:val="auto"/>
          <w:kern w:val="0"/>
          <w:sz w:val="24"/>
          <w:highlight w:val="none"/>
          <w:lang w:val="zh-CN"/>
        </w:rPr>
      </w:pPr>
    </w:p>
    <w:p w14:paraId="0BD80DA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CE133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C4B8A8">
      <w:pPr>
        <w:snapToGrid w:val="0"/>
        <w:ind w:right="480" w:firstLine="0" w:firstLineChars="0"/>
        <w:rPr>
          <w:rFonts w:ascii="宋体" w:hAnsi="宋体" w:cs="宋体"/>
          <w:b/>
          <w:color w:val="000000"/>
          <w:sz w:val="32"/>
          <w:szCs w:val="32"/>
        </w:rPr>
      </w:pPr>
    </w:p>
    <w:p w14:paraId="63992CB1">
      <w:pPr>
        <w:widowControl/>
        <w:ind w:firstLine="643"/>
        <w:rPr>
          <w:rFonts w:ascii="宋体" w:hAnsi="宋体" w:cs="宋体"/>
          <w:b/>
          <w:color w:val="000000"/>
          <w:sz w:val="32"/>
          <w:szCs w:val="32"/>
        </w:rPr>
      </w:pPr>
    </w:p>
    <w:p w14:paraId="04626054">
      <w:pPr>
        <w:ind w:left="0" w:leftChars="0" w:firstLine="0" w:firstLineChars="0"/>
        <w:jc w:val="center"/>
        <w:rPr>
          <w:rFonts w:ascii="宋体" w:hAnsi="宋体" w:cs="宋体"/>
          <w:b/>
          <w:color w:val="000000"/>
          <w:sz w:val="36"/>
          <w:szCs w:val="36"/>
        </w:rPr>
      </w:pPr>
      <w:r>
        <w:rPr>
          <w:rFonts w:hint="eastAsia" w:ascii="宋体" w:hAnsi="宋体" w:cs="宋体"/>
          <w:b/>
          <w:color w:val="000000"/>
          <w:sz w:val="36"/>
          <w:szCs w:val="36"/>
        </w:rPr>
        <w:t>商务技术文件部分</w:t>
      </w:r>
    </w:p>
    <w:p w14:paraId="6833AB9D">
      <w:pPr>
        <w:ind w:firstLine="562"/>
        <w:jc w:val="center"/>
        <w:outlineLvl w:val="0"/>
        <w:rPr>
          <w:rFonts w:ascii="宋体" w:hAnsi="宋体" w:cs="宋体"/>
          <w:b/>
          <w:color w:val="000000"/>
          <w:sz w:val="28"/>
          <w:szCs w:val="28"/>
        </w:rPr>
      </w:pPr>
      <w:r>
        <w:rPr>
          <w:rFonts w:hint="eastAsia" w:ascii="宋体" w:hAnsi="宋体" w:cs="宋体"/>
          <w:b/>
          <w:color w:val="000000"/>
          <w:sz w:val="28"/>
          <w:szCs w:val="28"/>
        </w:rPr>
        <w:t>目</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录</w:t>
      </w:r>
    </w:p>
    <w:p w14:paraId="538A7BE3">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1）</w:t>
      </w:r>
      <w:r>
        <w:rPr>
          <w:rFonts w:hint="eastAsia" w:ascii="宋体" w:hAnsi="宋体" w:cs="宋体"/>
          <w:bCs/>
          <w:sz w:val="24"/>
          <w:szCs w:val="24"/>
          <w:lang w:bidi="ar"/>
        </w:rPr>
        <w:t>评分索引表</w:t>
      </w:r>
      <w:r>
        <w:rPr>
          <w:rFonts w:hint="eastAsia" w:ascii="宋体" w:hAnsi="宋体" w:cs="宋体"/>
          <w:kern w:val="0"/>
          <w:sz w:val="24"/>
          <w:szCs w:val="24"/>
        </w:rPr>
        <w:t>（格式见附件）；</w:t>
      </w:r>
    </w:p>
    <w:p w14:paraId="0D7D44BF">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w:t>
      </w:r>
      <w:r>
        <w:rPr>
          <w:rFonts w:hint="eastAsia" w:ascii="宋体" w:hAnsi="宋体" w:cs="宋体"/>
          <w:sz w:val="24"/>
          <w:szCs w:val="24"/>
        </w:rPr>
        <w:t>营业执照(或事业法人登记证书或其他工商等登记证明材料；自然人参与采购，提供身份证)扫描件加盖CA签章；</w:t>
      </w:r>
    </w:p>
    <w:p w14:paraId="6C2D6472">
      <w:pPr>
        <w:snapToGrid w:val="0"/>
        <w:ind w:firstLine="480"/>
        <w:jc w:val="left"/>
        <w:rPr>
          <w:rFonts w:ascii="宋体" w:hAnsi="宋体" w:cs="宋体"/>
          <w:bCs/>
          <w:sz w:val="24"/>
          <w:szCs w:val="24"/>
          <w:lang w:bidi="ar"/>
        </w:rPr>
      </w:pPr>
      <w:r>
        <w:rPr>
          <w:rFonts w:hint="eastAsia" w:ascii="宋体" w:hAnsi="宋体" w:cs="宋体"/>
          <w:sz w:val="24"/>
          <w:szCs w:val="24"/>
          <w:lang w:val="en-US" w:eastAsia="zh-CN"/>
        </w:rPr>
        <w:t>3）</w:t>
      </w:r>
      <w:r>
        <w:rPr>
          <w:rFonts w:hint="eastAsia" w:ascii="宋体" w:hAnsi="宋体" w:cs="宋体"/>
          <w:bCs/>
          <w:sz w:val="24"/>
          <w:szCs w:val="24"/>
          <w:lang w:bidi="ar"/>
        </w:rPr>
        <w:t>投标函（格式见附件）；</w:t>
      </w:r>
    </w:p>
    <w:p w14:paraId="4C60F20C">
      <w:pPr>
        <w:snapToGrid w:val="0"/>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投标人须提供法定代表人（单位负责人、自然人本人）身份证明书、法人授权委托书（若委托）(格式见附件)；</w:t>
      </w:r>
    </w:p>
    <w:p w14:paraId="4C4DFCFA">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5）</w:t>
      </w:r>
      <w:r>
        <w:rPr>
          <w:rFonts w:hint="eastAsia" w:ascii="宋体" w:hAnsi="宋体" w:cs="宋体"/>
          <w:bCs/>
          <w:sz w:val="24"/>
          <w:szCs w:val="24"/>
          <w:lang w:bidi="ar"/>
        </w:rPr>
        <w:t>资信及商务响应表</w:t>
      </w:r>
      <w:r>
        <w:rPr>
          <w:rFonts w:hint="eastAsia" w:ascii="宋体" w:hAnsi="宋体" w:cs="宋体"/>
          <w:sz w:val="24"/>
          <w:szCs w:val="24"/>
        </w:rPr>
        <w:t>（格式见附件）</w:t>
      </w:r>
      <w:r>
        <w:rPr>
          <w:rFonts w:hint="eastAsia" w:ascii="宋体" w:hAnsi="宋体" w:cs="宋体"/>
          <w:bCs/>
          <w:sz w:val="24"/>
          <w:szCs w:val="24"/>
          <w:lang w:bidi="ar"/>
        </w:rPr>
        <w:t>；</w:t>
      </w:r>
    </w:p>
    <w:p w14:paraId="096A1FBB">
      <w:pPr>
        <w:snapToGrid w:val="0"/>
        <w:ind w:firstLine="48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技术响应表（格式见附件）；</w:t>
      </w:r>
    </w:p>
    <w:p w14:paraId="56690FFE">
      <w:pPr>
        <w:snapToGrid w:val="0"/>
        <w:ind w:firstLine="480"/>
        <w:jc w:val="left"/>
        <w:rPr>
          <w:rFonts w:hint="eastAsia" w:ascii="宋体" w:hAns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u w:val="wave"/>
        </w:rPr>
        <w:t>评标标准相应</w:t>
      </w:r>
      <w:r>
        <w:rPr>
          <w:rFonts w:hint="eastAsia" w:ascii="宋体" w:hAnsi="宋体" w:cs="宋体"/>
          <w:sz w:val="24"/>
          <w:szCs w:val="24"/>
        </w:rPr>
        <w:t>的商务技术</w:t>
      </w:r>
      <w:r>
        <w:rPr>
          <w:rFonts w:hint="eastAsia" w:ascii="宋体" w:hAnsi="宋体" w:cs="宋体"/>
          <w:sz w:val="24"/>
          <w:szCs w:val="24"/>
          <w:lang w:val="zh-CN"/>
        </w:rPr>
        <w:t>资料；</w:t>
      </w:r>
    </w:p>
    <w:p w14:paraId="492EAC9A">
      <w:pPr>
        <w:snapToGrid w:val="0"/>
        <w:ind w:firstLine="480"/>
        <w:jc w:val="left"/>
      </w:pPr>
      <w:r>
        <w:rPr>
          <w:rFonts w:hint="eastAsia" w:ascii="宋体" w:hAnsi="宋体" w:cs="宋体"/>
          <w:sz w:val="24"/>
          <w:szCs w:val="24"/>
          <w:lang w:val="en-US" w:eastAsia="zh-CN"/>
        </w:rPr>
        <w:t>8）</w:t>
      </w:r>
      <w:r>
        <w:rPr>
          <w:rFonts w:hint="eastAsia" w:ascii="宋体" w:hAnsi="宋体" w:cs="宋体"/>
          <w:sz w:val="24"/>
          <w:szCs w:val="24"/>
          <w:lang w:val="zh-CN"/>
        </w:rPr>
        <w:t>政企采购供应商廉洁自律承诺书</w:t>
      </w:r>
    </w:p>
    <w:p w14:paraId="14930E2D">
      <w:pPr>
        <w:snapToGrid w:val="0"/>
        <w:ind w:firstLine="48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投标人认为与招标文件或评分有关的需要提供的其他资料（若有）。</w:t>
      </w:r>
    </w:p>
    <w:p w14:paraId="0953465F">
      <w:pPr>
        <w:snapToGrid w:val="0"/>
        <w:ind w:firstLine="643"/>
        <w:jc w:val="center"/>
        <w:rPr>
          <w:rFonts w:ascii="宋体" w:hAnsi="宋体" w:cs="宋体"/>
          <w:b/>
          <w:color w:val="000000"/>
          <w:sz w:val="32"/>
          <w:szCs w:val="32"/>
          <w:lang w:val="zh-CN"/>
        </w:rPr>
      </w:pPr>
    </w:p>
    <w:p w14:paraId="1F78D029">
      <w:pPr>
        <w:ind w:firstLine="420"/>
        <w:rPr>
          <w:rFonts w:ascii="宋体" w:cs="宋体"/>
          <w:color w:val="000000"/>
          <w:szCs w:val="28"/>
          <w:lang w:val="zh-CN"/>
        </w:rPr>
      </w:pPr>
    </w:p>
    <w:p w14:paraId="2DE249C0">
      <w:pPr>
        <w:ind w:firstLine="420"/>
        <w:rPr>
          <w:rFonts w:ascii="宋体" w:cs="宋体"/>
          <w:color w:val="000000"/>
          <w:szCs w:val="28"/>
          <w:lang w:val="zh-CN"/>
        </w:rPr>
      </w:pPr>
    </w:p>
    <w:p w14:paraId="0DC9994E">
      <w:pPr>
        <w:rPr>
          <w:lang w:val="zh-CN"/>
        </w:rPr>
      </w:pPr>
      <w:r>
        <w:rPr>
          <w:rFonts w:ascii="宋体" w:cs="宋体"/>
          <w:color w:val="000000"/>
          <w:szCs w:val="28"/>
          <w:lang w:val="zh-CN"/>
        </w:rPr>
        <w:br w:type="page"/>
      </w:r>
    </w:p>
    <w:p w14:paraId="33FD9E4E">
      <w:pPr>
        <w:pStyle w:val="3"/>
        <w:tabs>
          <w:tab w:val="left" w:pos="420"/>
        </w:tabs>
        <w:ind w:left="0" w:firstLine="1606" w:firstLineChars="500"/>
        <w:rPr>
          <w:rFonts w:ascii="仿宋" w:hAnsi="仿宋" w:eastAsia="仿宋" w:cs="仿宋"/>
          <w:sz w:val="24"/>
          <w:szCs w:val="24"/>
        </w:rPr>
      </w:pPr>
      <w:bookmarkStart w:id="122" w:name="_Toc3197"/>
      <w:r>
        <w:rPr>
          <w:rFonts w:hint="eastAsia" w:ascii="仿宋" w:hAnsi="仿宋" w:eastAsia="仿宋" w:cs="仿宋"/>
          <w:szCs w:val="32"/>
          <w:lang w:val="en-US" w:eastAsia="zh-CN"/>
        </w:rPr>
        <w:t xml:space="preserve">          一、</w:t>
      </w:r>
      <w:r>
        <w:rPr>
          <w:rFonts w:hint="eastAsia" w:ascii="仿宋" w:hAnsi="仿宋" w:eastAsia="仿宋" w:cs="仿宋"/>
          <w:szCs w:val="32"/>
        </w:rPr>
        <w:t xml:space="preserve">评分索引表   </w:t>
      </w:r>
      <w:r>
        <w:rPr>
          <w:rFonts w:hint="eastAsia" w:ascii="仿宋" w:hAnsi="仿宋" w:eastAsia="仿宋" w:cs="仿宋"/>
          <w:sz w:val="24"/>
          <w:szCs w:val="24"/>
        </w:rPr>
        <w:t xml:space="preserve">                </w:t>
      </w:r>
    </w:p>
    <w:p w14:paraId="2F6FA644">
      <w:pPr>
        <w:pStyle w:val="3"/>
        <w:tabs>
          <w:tab w:val="left" w:pos="420"/>
        </w:tabs>
        <w:ind w:left="0" w:firstLine="0"/>
        <w:rPr>
          <w:rFonts w:ascii="仿宋" w:hAnsi="仿宋" w:eastAsia="仿宋" w:cs="仿宋"/>
          <w:bCs/>
          <w:sz w:val="30"/>
          <w:szCs w:val="30"/>
        </w:rPr>
      </w:pPr>
    </w:p>
    <w:tbl>
      <w:tblPr>
        <w:tblStyle w:val="27"/>
        <w:tblpPr w:leftFromText="180" w:rightFromText="180" w:vertAnchor="page" w:horzAnchor="page" w:tblpX="1380" w:tblpY="2958"/>
        <w:tblW w:w="9447" w:type="dxa"/>
        <w:tblInd w:w="0" w:type="dxa"/>
        <w:tblLayout w:type="fixed"/>
        <w:tblCellMar>
          <w:top w:w="0" w:type="dxa"/>
          <w:left w:w="108" w:type="dxa"/>
          <w:bottom w:w="0" w:type="dxa"/>
          <w:right w:w="108" w:type="dxa"/>
        </w:tblCellMar>
      </w:tblPr>
      <w:tblGrid>
        <w:gridCol w:w="708"/>
        <w:gridCol w:w="1560"/>
        <w:gridCol w:w="1914"/>
        <w:gridCol w:w="1515"/>
        <w:gridCol w:w="1875"/>
        <w:gridCol w:w="1875"/>
      </w:tblGrid>
      <w:tr w14:paraId="29EACD68">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02568331">
            <w:pPr>
              <w:widowControl/>
              <w:spacing w:after="120" w:line="400" w:lineRule="exact"/>
              <w:ind w:left="-854" w:firstLine="854" w:firstLineChars="0"/>
              <w:jc w:val="center"/>
              <w:rPr>
                <w:rFonts w:ascii="宋体" w:hAnsi="宋体" w:cs="宋体"/>
                <w:kern w:val="0"/>
                <w:sz w:val="24"/>
                <w:szCs w:val="24"/>
              </w:rPr>
            </w:pPr>
            <w:r>
              <w:rPr>
                <w:rFonts w:hint="eastAsia" w:ascii="宋体" w:hAnsi="宋体" w:cs="宋体"/>
                <w:kern w:val="0"/>
                <w:sz w:val="24"/>
                <w:szCs w:val="24"/>
              </w:rPr>
              <w:t>序号</w:t>
            </w:r>
          </w:p>
        </w:tc>
        <w:tc>
          <w:tcPr>
            <w:tcW w:w="1560" w:type="dxa"/>
            <w:tcBorders>
              <w:top w:val="single" w:color="000000" w:sz="4" w:space="0"/>
              <w:left w:val="nil"/>
              <w:bottom w:val="single" w:color="000000" w:sz="4" w:space="0"/>
              <w:right w:val="single" w:color="auto" w:sz="4" w:space="0"/>
            </w:tcBorders>
            <w:vAlign w:val="center"/>
          </w:tcPr>
          <w:p w14:paraId="7DF633E3">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评审内容</w:t>
            </w:r>
          </w:p>
        </w:tc>
        <w:tc>
          <w:tcPr>
            <w:tcW w:w="1914" w:type="dxa"/>
            <w:tcBorders>
              <w:top w:val="single" w:color="000000" w:sz="4" w:space="0"/>
              <w:left w:val="single" w:color="auto" w:sz="4" w:space="0"/>
              <w:bottom w:val="single" w:color="000000" w:sz="4" w:space="0"/>
              <w:right w:val="single" w:color="000000" w:sz="4" w:space="0"/>
            </w:tcBorders>
            <w:vAlign w:val="center"/>
          </w:tcPr>
          <w:p w14:paraId="522DB099">
            <w:pPr>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评审标准</w:t>
            </w:r>
          </w:p>
        </w:tc>
        <w:tc>
          <w:tcPr>
            <w:tcW w:w="1515" w:type="dxa"/>
            <w:tcBorders>
              <w:top w:val="single" w:color="000000" w:sz="4" w:space="0"/>
              <w:left w:val="nil"/>
              <w:bottom w:val="single" w:color="000000" w:sz="4" w:space="0"/>
              <w:right w:val="single" w:color="000000" w:sz="4" w:space="0"/>
            </w:tcBorders>
            <w:vAlign w:val="center"/>
          </w:tcPr>
          <w:p w14:paraId="28649A7F">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评审分值</w:t>
            </w:r>
          </w:p>
        </w:tc>
        <w:tc>
          <w:tcPr>
            <w:tcW w:w="1875" w:type="dxa"/>
            <w:tcBorders>
              <w:top w:val="single" w:color="000000" w:sz="4" w:space="0"/>
              <w:left w:val="nil"/>
              <w:bottom w:val="single" w:color="000000" w:sz="4" w:space="0"/>
              <w:right w:val="single" w:color="000000" w:sz="4" w:space="0"/>
            </w:tcBorders>
            <w:vAlign w:val="center"/>
          </w:tcPr>
          <w:p w14:paraId="5DC519FC">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对应页码范围</w:t>
            </w:r>
          </w:p>
        </w:tc>
        <w:tc>
          <w:tcPr>
            <w:tcW w:w="1875" w:type="dxa"/>
            <w:tcBorders>
              <w:top w:val="single" w:color="000000" w:sz="4" w:space="0"/>
              <w:left w:val="nil"/>
              <w:bottom w:val="single" w:color="000000" w:sz="4" w:space="0"/>
              <w:right w:val="single" w:color="000000" w:sz="4" w:space="0"/>
            </w:tcBorders>
            <w:vAlign w:val="center"/>
          </w:tcPr>
          <w:p w14:paraId="6A0D9708">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客观自评分</w:t>
            </w:r>
          </w:p>
        </w:tc>
      </w:tr>
      <w:tr w14:paraId="76E7875E">
        <w:tblPrEx>
          <w:tblCellMar>
            <w:top w:w="0" w:type="dxa"/>
            <w:left w:w="108" w:type="dxa"/>
            <w:bottom w:w="0" w:type="dxa"/>
            <w:right w:w="108"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7FD7EBD8">
            <w:pPr>
              <w:pStyle w:val="78"/>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200F9BB7">
            <w:pPr>
              <w:pStyle w:val="78"/>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446667B1">
            <w:pPr>
              <w:pStyle w:val="78"/>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64467930">
            <w:pPr>
              <w:widowControl/>
              <w:snapToGrid w:val="0"/>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6972650A">
            <w:pPr>
              <w:widowControl/>
              <w:spacing w:after="120"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06CB7B46">
            <w:pPr>
              <w:widowControl/>
              <w:spacing w:after="120" w:line="400" w:lineRule="exact"/>
              <w:ind w:firstLine="480"/>
              <w:jc w:val="center"/>
              <w:rPr>
                <w:rFonts w:ascii="宋体" w:hAnsi="宋体" w:cs="宋体"/>
                <w:kern w:val="0"/>
                <w:sz w:val="24"/>
                <w:szCs w:val="24"/>
              </w:rPr>
            </w:pPr>
          </w:p>
        </w:tc>
      </w:tr>
      <w:tr w14:paraId="310E5F5D">
        <w:tblPrEx>
          <w:tblCellMar>
            <w:top w:w="0" w:type="dxa"/>
            <w:left w:w="108" w:type="dxa"/>
            <w:bottom w:w="0" w:type="dxa"/>
            <w:right w:w="108"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577596CF">
            <w:pPr>
              <w:pStyle w:val="78"/>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035A1F10">
            <w:pPr>
              <w:pStyle w:val="78"/>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6286D3FA">
            <w:pPr>
              <w:pStyle w:val="78"/>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44D01610">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46D956AD">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5256E6F5">
            <w:pPr>
              <w:widowControl/>
              <w:spacing w:line="400" w:lineRule="exact"/>
              <w:ind w:firstLine="480"/>
              <w:jc w:val="center"/>
              <w:rPr>
                <w:rFonts w:ascii="宋体" w:hAnsi="宋体" w:cs="宋体"/>
                <w:kern w:val="0"/>
                <w:sz w:val="24"/>
                <w:szCs w:val="24"/>
              </w:rPr>
            </w:pPr>
          </w:p>
        </w:tc>
      </w:tr>
      <w:tr w14:paraId="4C456CEE">
        <w:tblPrEx>
          <w:tblCellMar>
            <w:top w:w="0" w:type="dxa"/>
            <w:left w:w="108" w:type="dxa"/>
            <w:bottom w:w="0" w:type="dxa"/>
            <w:right w:w="108"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26AD9773">
            <w:pPr>
              <w:pStyle w:val="78"/>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22EBAF83">
            <w:pPr>
              <w:pStyle w:val="78"/>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12FF8DF2">
            <w:pPr>
              <w:pStyle w:val="78"/>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290FA02D">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12285191">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436273BF">
            <w:pPr>
              <w:widowControl/>
              <w:spacing w:line="400" w:lineRule="exact"/>
              <w:ind w:firstLine="480"/>
              <w:jc w:val="center"/>
              <w:rPr>
                <w:rFonts w:ascii="宋体" w:hAnsi="宋体" w:cs="宋体"/>
                <w:kern w:val="0"/>
                <w:sz w:val="24"/>
                <w:szCs w:val="24"/>
              </w:rPr>
            </w:pPr>
          </w:p>
        </w:tc>
      </w:tr>
      <w:tr w14:paraId="5D9E504F">
        <w:tblPrEx>
          <w:tblCellMar>
            <w:top w:w="0" w:type="dxa"/>
            <w:left w:w="108" w:type="dxa"/>
            <w:bottom w:w="0" w:type="dxa"/>
            <w:right w:w="108"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25A8DECD">
            <w:pPr>
              <w:pStyle w:val="78"/>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17278FB9">
            <w:pPr>
              <w:pStyle w:val="78"/>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69602315">
            <w:pPr>
              <w:pStyle w:val="78"/>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1BDE9F6D">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7A6D1E00">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419AB45B">
            <w:pPr>
              <w:widowControl/>
              <w:spacing w:line="400" w:lineRule="exact"/>
              <w:ind w:firstLine="480"/>
              <w:jc w:val="center"/>
              <w:rPr>
                <w:rFonts w:ascii="宋体" w:hAnsi="宋体" w:cs="宋体"/>
                <w:kern w:val="0"/>
                <w:sz w:val="24"/>
                <w:szCs w:val="24"/>
              </w:rPr>
            </w:pPr>
          </w:p>
        </w:tc>
      </w:tr>
      <w:tr w14:paraId="204B9184">
        <w:tblPrEx>
          <w:tblCellMar>
            <w:top w:w="0" w:type="dxa"/>
            <w:left w:w="108" w:type="dxa"/>
            <w:bottom w:w="0" w:type="dxa"/>
            <w:right w:w="108"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1AB7D35D">
            <w:pPr>
              <w:pStyle w:val="78"/>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16DDB880">
            <w:pPr>
              <w:pStyle w:val="78"/>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43E68352">
            <w:pPr>
              <w:pStyle w:val="78"/>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454D9444">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05E50688">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563DB608">
            <w:pPr>
              <w:widowControl/>
              <w:spacing w:line="400" w:lineRule="exact"/>
              <w:ind w:firstLine="480"/>
              <w:jc w:val="center"/>
              <w:rPr>
                <w:rFonts w:ascii="宋体" w:hAnsi="宋体" w:cs="宋体"/>
                <w:kern w:val="0"/>
                <w:sz w:val="24"/>
                <w:szCs w:val="24"/>
              </w:rPr>
            </w:pPr>
          </w:p>
        </w:tc>
      </w:tr>
    </w:tbl>
    <w:p w14:paraId="4C7DEDD8">
      <w:pPr>
        <w:ind w:firstLine="0" w:firstLineChars="0"/>
        <w:rPr>
          <w:rFonts w:hint="eastAsia" w:ascii="宋体" w:hAnsi="宋体" w:cs="宋体"/>
          <w:kern w:val="0"/>
          <w:sz w:val="24"/>
          <w:szCs w:val="24"/>
        </w:rPr>
      </w:pPr>
    </w:p>
    <w:p w14:paraId="55F9294F">
      <w:pPr>
        <w:ind w:firstLine="0" w:firstLineChars="0"/>
        <w:rPr>
          <w:rFonts w:ascii="宋体" w:hAnsi="宋体" w:cs="宋体"/>
          <w:bCs/>
          <w:color w:val="000000"/>
          <w:sz w:val="32"/>
          <w:szCs w:val="32"/>
        </w:rPr>
      </w:pPr>
      <w:r>
        <w:rPr>
          <w:rFonts w:hint="eastAsia" w:ascii="宋体" w:hAnsi="宋体" w:cs="宋体"/>
          <w:kern w:val="0"/>
          <w:sz w:val="24"/>
          <w:szCs w:val="24"/>
        </w:rPr>
        <w:t>注：本表可根据实际自行扩展。</w:t>
      </w:r>
    </w:p>
    <w:p w14:paraId="3524C73C">
      <w:pPr>
        <w:ind w:firstLine="643"/>
        <w:rPr>
          <w:rFonts w:ascii="宋体" w:hAnsi="宋体" w:cs="宋体"/>
          <w:b/>
          <w:color w:val="000000"/>
          <w:sz w:val="32"/>
          <w:szCs w:val="32"/>
        </w:rPr>
      </w:pPr>
      <w:r>
        <w:rPr>
          <w:rFonts w:hint="eastAsia" w:ascii="宋体" w:hAnsi="宋体" w:cs="宋体"/>
          <w:b/>
          <w:color w:val="000000"/>
          <w:sz w:val="32"/>
          <w:szCs w:val="32"/>
        </w:rPr>
        <w:br w:type="page"/>
      </w:r>
    </w:p>
    <w:p w14:paraId="35573717">
      <w:pPr>
        <w:snapToGrid w:val="0"/>
        <w:ind w:firstLine="3855" w:firstLineChars="1200"/>
        <w:outlineLvl w:val="0"/>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营业执照</w:t>
      </w:r>
    </w:p>
    <w:p w14:paraId="6615C6E6">
      <w:pPr>
        <w:snapToGrid w:val="0"/>
        <w:ind w:firstLine="3855" w:firstLineChars="1200"/>
        <w:outlineLvl w:val="0"/>
        <w:rPr>
          <w:rFonts w:ascii="宋体" w:hAnsi="宋体" w:cs="宋体"/>
          <w:b/>
          <w:color w:val="000000"/>
          <w:sz w:val="32"/>
          <w:szCs w:val="32"/>
        </w:rPr>
      </w:pPr>
      <w:r>
        <w:rPr>
          <w:rFonts w:hint="eastAsia" w:ascii="宋体" w:hAnsi="宋体" w:cs="宋体"/>
          <w:b/>
          <w:color w:val="000000"/>
          <w:sz w:val="32"/>
          <w:szCs w:val="32"/>
          <w:lang w:val="en-US" w:eastAsia="zh-CN"/>
        </w:rPr>
        <w:t>三</w:t>
      </w:r>
      <w:r>
        <w:rPr>
          <w:rFonts w:hint="eastAsia" w:ascii="宋体" w:hAnsi="宋体" w:cs="宋体"/>
          <w:b/>
          <w:color w:val="000000"/>
          <w:sz w:val="32"/>
          <w:szCs w:val="32"/>
        </w:rPr>
        <w:t>、投标函</w:t>
      </w:r>
    </w:p>
    <w:p w14:paraId="470BACFD">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5CAFE813">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我方参加你方组织的（项目名称）【招标编号：（采购编号）】招标的有关活动，并对此项目进行投标。为此：</w:t>
      </w:r>
    </w:p>
    <w:p w14:paraId="3C463D35">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1、我方承诺投标有效期从提交投标文件的截止之日起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天（不少于90天）</w:t>
      </w:r>
      <w:r>
        <w:rPr>
          <w:rFonts w:hint="eastAsia" w:ascii="宋体" w:hAnsi="宋体" w:cs="宋体"/>
          <w:color w:val="000000"/>
          <w:szCs w:val="24"/>
        </w:rPr>
        <w:t>，</w:t>
      </w:r>
      <w:r>
        <w:rPr>
          <w:rFonts w:hint="eastAsia" w:ascii="宋体" w:hAnsi="宋体" w:cs="宋体"/>
          <w:color w:val="000000"/>
          <w:sz w:val="24"/>
          <w:szCs w:val="24"/>
        </w:rPr>
        <w:t>本投标文件在投标有效期满之前均具有约束力。</w:t>
      </w:r>
    </w:p>
    <w:p w14:paraId="2EE148A1">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2、我方的投标文件包括以下内容：</w:t>
      </w:r>
    </w:p>
    <w:p w14:paraId="0619D455">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2.1资格文件：</w:t>
      </w:r>
    </w:p>
    <w:p w14:paraId="5E5D8481">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2.1.1承诺函；</w:t>
      </w:r>
    </w:p>
    <w:p w14:paraId="15A92739">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2.1.2</w:t>
      </w:r>
      <w:r>
        <w:rPr>
          <w:rFonts w:hint="eastAsia" w:ascii="宋体" w:hAnsi="宋体" w:cs="宋体"/>
          <w:snapToGrid w:val="0"/>
          <w:color w:val="000000"/>
          <w:kern w:val="28"/>
          <w:sz w:val="24"/>
          <w:szCs w:val="20"/>
        </w:rPr>
        <w:t>联合协议（如果有)；</w:t>
      </w:r>
    </w:p>
    <w:p w14:paraId="00EA26F2">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2.1.3落实政府采购政策需满足的资格要求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5F2F205A">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2.1.4本项目的特定资格要求</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57BDBE74">
      <w:pPr>
        <w:snapToGrid w:val="0"/>
        <w:spacing w:line="288" w:lineRule="auto"/>
        <w:ind w:left="210" w:leftChars="100" w:firstLine="480"/>
        <w:rPr>
          <w:rFonts w:ascii="宋体" w:hAnsi="宋体" w:cs="宋体"/>
          <w:color w:val="000000"/>
          <w:sz w:val="24"/>
          <w:szCs w:val="24"/>
          <w:lang w:val="zh-CN"/>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 xml:space="preserve"> </w:t>
      </w:r>
      <w:r>
        <w:rPr>
          <w:rFonts w:hint="eastAsia" w:ascii="宋体" w:hAnsi="宋体" w:cs="宋体"/>
          <w:color w:val="000000"/>
          <w:sz w:val="24"/>
          <w:szCs w:val="24"/>
        </w:rPr>
        <w:t>商务技术</w:t>
      </w:r>
      <w:r>
        <w:rPr>
          <w:rFonts w:hint="eastAsia" w:ascii="宋体" w:hAnsi="宋体" w:cs="宋体"/>
          <w:color w:val="000000"/>
          <w:sz w:val="24"/>
          <w:szCs w:val="24"/>
          <w:lang w:val="zh-CN"/>
        </w:rPr>
        <w:t>文件：</w:t>
      </w:r>
    </w:p>
    <w:p w14:paraId="73C0B488">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2.2.1投标函；</w:t>
      </w:r>
      <w:r>
        <w:rPr>
          <w:rFonts w:hint="eastAsia" w:ascii="宋体" w:hAnsi="宋体" w:cs="宋体"/>
          <w:color w:val="000000"/>
          <w:sz w:val="24"/>
          <w:szCs w:val="24"/>
          <w:lang w:val="zh-CN"/>
        </w:rPr>
        <w:t xml:space="preserve"> </w:t>
      </w:r>
    </w:p>
    <w:p w14:paraId="4A1AB255">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2.2.2授权委托书或法定代表人（单位负责人）身份证明；</w:t>
      </w:r>
    </w:p>
    <w:p w14:paraId="78B47D66">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2.2.3分包意向协议</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171D91B7">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2.2.4符合性审查资料；</w:t>
      </w:r>
    </w:p>
    <w:p w14:paraId="3E7CBE49">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2.2.5评标标准相应的商务技术资料；</w:t>
      </w:r>
    </w:p>
    <w:p w14:paraId="2854B700">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2.2.6投标标的清单；</w:t>
      </w:r>
    </w:p>
    <w:p w14:paraId="6A88E182">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2.2.7商务技术偏离表；</w:t>
      </w:r>
    </w:p>
    <w:p w14:paraId="6A5E3386">
      <w:pPr>
        <w:snapToGrid w:val="0"/>
        <w:spacing w:line="288" w:lineRule="auto"/>
        <w:ind w:left="420" w:leftChars="200" w:firstLine="480"/>
        <w:rPr>
          <w:rFonts w:ascii="宋体" w:hAnsi="宋体" w:cs="宋体"/>
          <w:color w:val="000000"/>
          <w:sz w:val="24"/>
          <w:szCs w:val="24"/>
          <w:lang w:val="zh-CN"/>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供应商廉洁自律承诺书；</w:t>
      </w:r>
    </w:p>
    <w:p w14:paraId="4713549D">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3报价文件</w:t>
      </w:r>
    </w:p>
    <w:p w14:paraId="5624FE5C">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2.3.1开标一览表（报价表）；</w:t>
      </w:r>
    </w:p>
    <w:p w14:paraId="4511F158">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2.3.2中小企业声明函（如果有）。</w:t>
      </w:r>
    </w:p>
    <w:p w14:paraId="5484A123">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3、我方承诺除商务技术偏离表列出的偏离外，我方响应招标文件的全部要求。</w:t>
      </w:r>
    </w:p>
    <w:p w14:paraId="2F485475">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4、如我方中标，我方承诺：</w:t>
      </w:r>
    </w:p>
    <w:p w14:paraId="438B2AF6">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4.1在收到中标通知书后，在中标通知书规定的期限内与你方签订合同； </w:t>
      </w:r>
    </w:p>
    <w:p w14:paraId="32A79EFC">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4.2在签订合同时不向你方提出附加条件； </w:t>
      </w:r>
    </w:p>
    <w:p w14:paraId="0D468BAC">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4.3按照招标文件要求提交履约保证金； </w:t>
      </w:r>
    </w:p>
    <w:p w14:paraId="5F975EBD">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4.4在合同约定的期限内完成合同规定的全部义务。 </w:t>
      </w:r>
    </w:p>
    <w:p w14:paraId="3AF8FC2E">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5、其他补充说明:</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386DE32">
      <w:pPr>
        <w:spacing w:line="288" w:lineRule="auto"/>
        <w:ind w:firstLine="4320" w:firstLineChars="1800"/>
        <w:rPr>
          <w:rFonts w:ascii="宋体" w:hAnsi="宋体" w:cs="宋体"/>
          <w:color w:val="000000"/>
          <w:sz w:val="24"/>
          <w:szCs w:val="24"/>
        </w:rPr>
      </w:pPr>
      <w:r>
        <w:rPr>
          <w:rFonts w:hint="eastAsia" w:ascii="宋体" w:hAnsi="宋体" w:cs="宋体"/>
          <w:color w:val="000000"/>
          <w:sz w:val="24"/>
          <w:szCs w:val="24"/>
        </w:rPr>
        <w:t xml:space="preserve">投标人名称（电子签名）：                          </w:t>
      </w:r>
    </w:p>
    <w:p w14:paraId="00DEEDA2">
      <w:pPr>
        <w:spacing w:line="288" w:lineRule="auto"/>
        <w:ind w:firstLine="480"/>
        <w:jc w:val="center"/>
        <w:rPr>
          <w:rFonts w:ascii="宋体" w:hAnsi="宋体" w:cs="宋体"/>
          <w:color w:val="000000"/>
          <w:sz w:val="24"/>
          <w:szCs w:val="24"/>
        </w:rPr>
      </w:pPr>
      <w:r>
        <w:rPr>
          <w:rFonts w:hint="eastAsia" w:ascii="宋体" w:hAnsi="宋体" w:cs="宋体"/>
          <w:color w:val="000000"/>
          <w:sz w:val="24"/>
          <w:szCs w:val="24"/>
        </w:rPr>
        <w:t xml:space="preserve">             日期：  年   月   日</w:t>
      </w:r>
    </w:p>
    <w:p w14:paraId="57B7B1BD">
      <w:pPr>
        <w:snapToGrid w:val="0"/>
        <w:spacing w:line="288" w:lineRule="auto"/>
        <w:ind w:left="420" w:leftChars="200" w:firstLine="4200" w:firstLineChars="1750"/>
        <w:rPr>
          <w:rFonts w:ascii="宋体" w:hAnsi="宋体" w:cs="宋体"/>
          <w:color w:val="000000"/>
          <w:sz w:val="24"/>
          <w:szCs w:val="24"/>
          <w:u w:val="single"/>
        </w:rPr>
      </w:pPr>
    </w:p>
    <w:p w14:paraId="6BE45889">
      <w:pPr>
        <w:spacing w:line="288" w:lineRule="auto"/>
        <w:ind w:right="420" w:firstLine="480"/>
        <w:rPr>
          <w:rFonts w:ascii="宋体" w:hAnsi="宋体" w:cs="宋体"/>
          <w:color w:val="000000"/>
          <w:sz w:val="24"/>
          <w:szCs w:val="24"/>
        </w:rPr>
      </w:pPr>
      <w:r>
        <w:rPr>
          <w:rFonts w:hint="eastAsia" w:ascii="宋体" w:hAnsi="宋体" w:cs="宋体"/>
          <w:color w:val="000000"/>
          <w:sz w:val="24"/>
          <w:szCs w:val="24"/>
        </w:rPr>
        <w:t>注：按本格式和要求提供。</w:t>
      </w:r>
    </w:p>
    <w:p w14:paraId="604D5F16">
      <w:pPr>
        <w:ind w:firstLine="0" w:firstLineChars="0"/>
        <w:rPr>
          <w:rFonts w:hint="eastAsia" w:ascii="宋体" w:hAnsi="宋体" w:cs="宋体"/>
          <w:b/>
          <w:color w:val="000000"/>
          <w:sz w:val="32"/>
          <w:szCs w:val="32"/>
          <w:lang w:val="zh-CN"/>
        </w:rPr>
      </w:pPr>
    </w:p>
    <w:p w14:paraId="494F4422">
      <w:pPr>
        <w:ind w:firstLine="0" w:firstLineChars="0"/>
        <w:rPr>
          <w:rFonts w:ascii="宋体" w:hAnsi="宋体" w:cs="宋体"/>
          <w:b/>
          <w:color w:val="000000"/>
          <w:sz w:val="32"/>
          <w:szCs w:val="32"/>
          <w:lang w:val="zh-CN"/>
        </w:rPr>
      </w:pPr>
      <w:r>
        <w:rPr>
          <w:rFonts w:hint="eastAsia" w:ascii="宋体" w:hAnsi="宋体" w:cs="宋体"/>
          <w:b/>
          <w:color w:val="000000"/>
          <w:sz w:val="32"/>
          <w:szCs w:val="32"/>
          <w:lang w:val="en-US" w:eastAsia="zh-CN"/>
        </w:rPr>
        <w:t>四</w:t>
      </w:r>
      <w:r>
        <w:rPr>
          <w:rFonts w:hint="eastAsia" w:ascii="宋体" w:hAnsi="宋体" w:cs="宋体"/>
          <w:b/>
          <w:color w:val="000000"/>
          <w:sz w:val="32"/>
          <w:szCs w:val="32"/>
          <w:lang w:val="zh-CN"/>
        </w:rPr>
        <w:t>、授权委托书或法定代表人（单位负责人、自然人本人）身份证明</w:t>
      </w:r>
    </w:p>
    <w:p w14:paraId="3589DB7F">
      <w:pPr>
        <w:snapToGrid w:val="0"/>
        <w:ind w:firstLine="480"/>
        <w:rPr>
          <w:rFonts w:ascii="宋体" w:hAnsi="宋体" w:cs="宋体"/>
          <w:color w:val="000000"/>
          <w:sz w:val="24"/>
          <w:szCs w:val="24"/>
        </w:rPr>
      </w:pPr>
      <w:r>
        <w:rPr>
          <w:rFonts w:hint="eastAsia" w:ascii="宋体" w:hAnsi="宋体" w:cs="宋体"/>
          <w:color w:val="000000"/>
          <w:sz w:val="24"/>
          <w:szCs w:val="24"/>
        </w:rPr>
        <w:t xml:space="preserve">                                </w:t>
      </w:r>
    </w:p>
    <w:p w14:paraId="6770BCFC">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357B7942">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3225D72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36EE4935">
      <w:pPr>
        <w:snapToGrid w:val="0"/>
        <w:spacing w:line="600" w:lineRule="exact"/>
        <w:jc w:val="left"/>
        <w:rPr>
          <w:rFonts w:hint="eastAsia" w:ascii="宋体" w:hAnsi="宋体" w:eastAsia="宋体" w:cs="宋体"/>
          <w:color w:val="auto"/>
          <w:sz w:val="24"/>
          <w:szCs w:val="24"/>
          <w:highlight w:val="none"/>
        </w:rPr>
      </w:pPr>
    </w:p>
    <w:p w14:paraId="36FD4A2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               年龄：</w:t>
      </w:r>
    </w:p>
    <w:p w14:paraId="0401F26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               职务：</w:t>
      </w:r>
    </w:p>
    <w:p w14:paraId="280824C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办公地址：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联系电话：           传真：</w:t>
      </w:r>
    </w:p>
    <w:p w14:paraId="453A213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78AC539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1E34FB7">
      <w:pPr>
        <w:spacing w:line="360" w:lineRule="exact"/>
        <w:rPr>
          <w:rFonts w:hint="eastAsia" w:ascii="宋体" w:hAnsi="宋体" w:eastAsia="宋体" w:cs="宋体"/>
          <w:color w:val="auto"/>
          <w:sz w:val="24"/>
          <w:szCs w:val="24"/>
          <w:highlight w:val="none"/>
        </w:rPr>
      </w:pPr>
    </w:p>
    <w:p w14:paraId="2E536AFA">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日期：    年   月   日</w:t>
      </w:r>
    </w:p>
    <w:p w14:paraId="3A83DC10">
      <w:pPr>
        <w:snapToGrid w:val="0"/>
        <w:spacing w:line="360" w:lineRule="auto"/>
        <w:ind w:right="480"/>
        <w:jc w:val="both"/>
        <w:rPr>
          <w:rFonts w:hint="eastAsia" w:ascii="宋体" w:hAnsi="宋体" w:eastAsia="宋体" w:cs="宋体"/>
          <w:b/>
          <w:bCs/>
          <w:color w:val="auto"/>
          <w:sz w:val="24"/>
          <w:szCs w:val="24"/>
          <w:highlight w:val="none"/>
        </w:rPr>
      </w:pPr>
    </w:p>
    <w:p w14:paraId="265E850B">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及授权人身份证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w:t>
      </w:r>
    </w:p>
    <w:p w14:paraId="765AB8E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EB374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DEEAE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D6461D">
      <w:pPr>
        <w:ind w:firstLine="723"/>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法定代表人身份证明书</w:t>
      </w:r>
    </w:p>
    <w:p w14:paraId="26519C9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08CD951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6883E5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613075EF">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DD63E9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C6B10E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w:t>
      </w:r>
    </w:p>
    <w:p w14:paraId="0198C8A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B0B556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4E4009C7">
      <w:pPr>
        <w:pStyle w:val="8"/>
        <w:rPr>
          <w:rFonts w:hint="eastAsia" w:eastAsia="宋体"/>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p>
    <w:p w14:paraId="3EAB31D9">
      <w:pPr>
        <w:pStyle w:val="8"/>
        <w:rPr>
          <w:rFonts w:hint="eastAsia" w:ascii="宋体" w:hAnsi="宋体" w:eastAsia="宋体" w:cs="宋体"/>
          <w:color w:val="auto"/>
          <w:sz w:val="24"/>
          <w:szCs w:val="24"/>
          <w:highlight w:val="none"/>
        </w:rPr>
      </w:pPr>
    </w:p>
    <w:p w14:paraId="307A17EA">
      <w:pPr>
        <w:rPr>
          <w:rFonts w:hint="eastAsia"/>
        </w:rPr>
      </w:pPr>
    </w:p>
    <w:p w14:paraId="1B73029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4643B9F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法定代表人（签字或盖章）：        </w:t>
      </w:r>
    </w:p>
    <w:p w14:paraId="607CA0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2631448">
      <w:pPr>
        <w:ind w:left="0" w:leftChars="0" w:firstLine="3213" w:firstLineChars="1000"/>
        <w:rPr>
          <w:rFonts w:hint="eastAsia" w:ascii="宋体" w:hAnsi="宋体" w:cs="宋体"/>
          <w:b/>
          <w:color w:val="000000"/>
          <w:sz w:val="32"/>
          <w:szCs w:val="32"/>
          <w:lang w:val="en-US" w:eastAsia="zh-CN"/>
        </w:rPr>
      </w:pPr>
    </w:p>
    <w:p w14:paraId="5920164A">
      <w:pPr>
        <w:ind w:left="0" w:leftChars="0" w:firstLine="3213" w:firstLineChars="1000"/>
        <w:rPr>
          <w:rFonts w:hint="eastAsia" w:ascii="宋体" w:hAnsi="宋体" w:cs="宋体"/>
          <w:b/>
          <w:color w:val="000000"/>
          <w:sz w:val="32"/>
          <w:szCs w:val="32"/>
          <w:lang w:val="en-US" w:eastAsia="zh-CN"/>
        </w:rPr>
      </w:pPr>
    </w:p>
    <w:p w14:paraId="295DC2F9">
      <w:pPr>
        <w:ind w:left="0" w:leftChars="0" w:firstLine="3213" w:firstLineChars="1000"/>
        <w:rPr>
          <w:rFonts w:hint="eastAsia" w:ascii="宋体" w:hAnsi="宋体" w:cs="宋体"/>
          <w:b/>
          <w:color w:val="000000"/>
          <w:sz w:val="32"/>
          <w:szCs w:val="32"/>
          <w:lang w:val="en-US" w:eastAsia="zh-CN"/>
        </w:rPr>
      </w:pPr>
    </w:p>
    <w:p w14:paraId="7C3B136B">
      <w:pPr>
        <w:ind w:left="0" w:leftChars="0" w:firstLine="3213" w:firstLineChars="1000"/>
        <w:rPr>
          <w:rFonts w:hint="eastAsia" w:ascii="宋体" w:hAnsi="宋体" w:cs="宋体"/>
          <w:b/>
          <w:color w:val="000000"/>
          <w:sz w:val="32"/>
          <w:szCs w:val="32"/>
          <w:lang w:val="en-US" w:eastAsia="zh-CN"/>
        </w:rPr>
      </w:pPr>
    </w:p>
    <w:p w14:paraId="4C7348C2">
      <w:pPr>
        <w:ind w:left="0" w:leftChars="0" w:firstLine="3213" w:firstLineChars="1000"/>
        <w:rPr>
          <w:rFonts w:hint="eastAsia" w:ascii="宋体" w:hAnsi="宋体" w:cs="宋体"/>
          <w:b/>
          <w:color w:val="000000"/>
          <w:sz w:val="32"/>
          <w:szCs w:val="32"/>
          <w:lang w:val="en-US" w:eastAsia="zh-CN"/>
        </w:rPr>
      </w:pPr>
    </w:p>
    <w:p w14:paraId="638968C8">
      <w:pPr>
        <w:ind w:left="0" w:leftChars="0" w:firstLine="3213" w:firstLineChars="1000"/>
        <w:rPr>
          <w:rFonts w:hint="eastAsia" w:ascii="宋体" w:hAnsi="宋体" w:cs="宋体"/>
          <w:b/>
          <w:color w:val="000000"/>
          <w:sz w:val="32"/>
          <w:szCs w:val="32"/>
          <w:lang w:val="en-US" w:eastAsia="zh-CN"/>
        </w:rPr>
      </w:pPr>
    </w:p>
    <w:p w14:paraId="1CEECBF5">
      <w:pPr>
        <w:ind w:left="0" w:leftChars="0" w:firstLine="3213" w:firstLineChars="1000"/>
        <w:rPr>
          <w:rFonts w:hint="eastAsia" w:ascii="宋体" w:hAnsi="宋体" w:cs="宋体"/>
          <w:b/>
          <w:color w:val="000000"/>
          <w:sz w:val="32"/>
          <w:szCs w:val="32"/>
          <w:lang w:val="en-US" w:eastAsia="zh-CN"/>
        </w:rPr>
      </w:pPr>
    </w:p>
    <w:p w14:paraId="35B8696C">
      <w:pPr>
        <w:ind w:left="0" w:leftChars="0" w:firstLine="3213" w:firstLineChars="1000"/>
        <w:rPr>
          <w:rFonts w:hint="eastAsia" w:ascii="宋体" w:hAnsi="宋体" w:cs="宋体"/>
          <w:b/>
          <w:color w:val="000000"/>
          <w:sz w:val="32"/>
          <w:szCs w:val="32"/>
          <w:lang w:val="en-US" w:eastAsia="zh-CN"/>
        </w:rPr>
      </w:pPr>
    </w:p>
    <w:p w14:paraId="62719F70">
      <w:pPr>
        <w:ind w:left="0" w:leftChars="0" w:firstLine="3213" w:firstLineChars="1000"/>
        <w:rPr>
          <w:rFonts w:hint="eastAsia" w:ascii="宋体" w:hAnsi="宋体" w:cs="宋体"/>
          <w:b/>
          <w:color w:val="000000"/>
          <w:sz w:val="32"/>
          <w:szCs w:val="32"/>
          <w:lang w:val="en-US" w:eastAsia="zh-CN"/>
        </w:rPr>
      </w:pPr>
    </w:p>
    <w:p w14:paraId="5E6941B6">
      <w:pPr>
        <w:ind w:left="0" w:leftChars="0" w:firstLine="3213" w:firstLineChars="1000"/>
        <w:rPr>
          <w:rFonts w:hint="eastAsia" w:ascii="宋体" w:hAnsi="宋体" w:cs="宋体"/>
          <w:b/>
          <w:color w:val="000000"/>
          <w:sz w:val="32"/>
          <w:szCs w:val="32"/>
          <w:lang w:val="en-US" w:eastAsia="zh-CN"/>
        </w:rPr>
      </w:pPr>
    </w:p>
    <w:p w14:paraId="140CB0F9">
      <w:pPr>
        <w:ind w:left="0" w:leftChars="0" w:firstLine="3213" w:firstLineChars="1000"/>
        <w:rPr>
          <w:rFonts w:hint="eastAsia" w:ascii="宋体" w:hAnsi="宋体" w:cs="宋体"/>
          <w:b/>
          <w:color w:val="000000"/>
          <w:sz w:val="32"/>
          <w:szCs w:val="32"/>
          <w:lang w:val="en-US" w:eastAsia="zh-CN"/>
        </w:rPr>
      </w:pPr>
    </w:p>
    <w:p w14:paraId="4C90C965">
      <w:pPr>
        <w:ind w:left="0" w:leftChars="0" w:firstLine="2570" w:firstLineChars="800"/>
        <w:rPr>
          <w:rFonts w:ascii="宋体" w:hAnsi="宋体" w:cs="宋体"/>
          <w:b/>
          <w:color w:val="000000"/>
          <w:sz w:val="32"/>
          <w:szCs w:val="32"/>
        </w:rPr>
      </w:pPr>
      <w:r>
        <w:rPr>
          <w:rFonts w:hint="eastAsia" w:ascii="宋体" w:hAnsi="宋体" w:cs="宋体"/>
          <w:b/>
          <w:color w:val="000000"/>
          <w:sz w:val="32"/>
          <w:szCs w:val="32"/>
          <w:lang w:val="en-US" w:eastAsia="zh-CN"/>
        </w:rPr>
        <w:t>五</w:t>
      </w:r>
      <w:r>
        <w:rPr>
          <w:rFonts w:hint="eastAsia" w:ascii="宋体" w:hAnsi="宋体" w:cs="宋体"/>
          <w:b/>
          <w:color w:val="000000"/>
          <w:sz w:val="32"/>
          <w:szCs w:val="32"/>
        </w:rPr>
        <w:t>、符合性审查资料</w:t>
      </w:r>
    </w:p>
    <w:tbl>
      <w:tblPr>
        <w:tblStyle w:val="27"/>
        <w:tblW w:w="974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37"/>
        <w:gridCol w:w="3088"/>
        <w:gridCol w:w="1753"/>
      </w:tblGrid>
      <w:tr w14:paraId="3A4A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6C02F1E4">
            <w:pPr>
              <w:snapToGrid w:val="0"/>
              <w:spacing w:line="240" w:lineRule="atLeast"/>
              <w:ind w:firstLine="482"/>
              <w:jc w:val="center"/>
              <w:rPr>
                <w:rFonts w:hint="eastAsia" w:ascii="宋体" w:hAnsi="宋体" w:eastAsia="宋体" w:cs="宋体"/>
                <w:b/>
                <w:color w:val="000000"/>
                <w:sz w:val="24"/>
                <w:szCs w:val="24"/>
                <w:lang w:val="en-US" w:eastAsia="zh-CN"/>
              </w:rPr>
            </w:pPr>
            <w:r>
              <w:rPr>
                <w:rFonts w:hint="eastAsia" w:ascii="宋体" w:hAnsi="宋体" w:cs="宋体"/>
                <w:b/>
                <w:color w:val="000000"/>
                <w:sz w:val="24"/>
                <w:szCs w:val="24"/>
              </w:rPr>
              <w:t>序</w:t>
            </w:r>
            <w:r>
              <w:rPr>
                <w:rFonts w:hint="eastAsia" w:ascii="宋体" w:hAnsi="宋体" w:cs="宋体"/>
                <w:b/>
                <w:color w:val="000000"/>
                <w:sz w:val="24"/>
                <w:szCs w:val="24"/>
                <w:lang w:val="en-US" w:eastAsia="zh-CN"/>
              </w:rPr>
              <w:t>序号</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6E023E97">
            <w:pPr>
              <w:snapToGrid w:val="0"/>
              <w:spacing w:line="240" w:lineRule="atLeast"/>
              <w:ind w:firstLine="482"/>
              <w:jc w:val="center"/>
              <w:rPr>
                <w:rFonts w:ascii="宋体" w:hAnsi="宋体" w:cs="宋体"/>
                <w:b/>
                <w:color w:val="000000"/>
                <w:sz w:val="24"/>
                <w:szCs w:val="24"/>
              </w:rPr>
            </w:pPr>
            <w:r>
              <w:rPr>
                <w:rFonts w:hint="eastAsia" w:ascii="宋体" w:hAnsi="宋体" w:cs="宋体"/>
                <w:b/>
                <w:color w:val="000000"/>
                <w:sz w:val="24"/>
                <w:szCs w:val="24"/>
              </w:rPr>
              <w:t>实质性要求</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08199C0D">
            <w:pPr>
              <w:snapToGrid w:val="0"/>
              <w:spacing w:line="240" w:lineRule="atLeast"/>
              <w:ind w:left="0" w:leftChars="0" w:firstLine="0" w:firstLineChars="0"/>
              <w:jc w:val="both"/>
              <w:rPr>
                <w:rFonts w:ascii="宋体" w:hAnsi="宋体" w:cs="宋体"/>
                <w:b/>
                <w:color w:val="000000"/>
                <w:sz w:val="24"/>
                <w:szCs w:val="24"/>
              </w:rPr>
            </w:pPr>
            <w:r>
              <w:rPr>
                <w:rFonts w:hint="eastAsia" w:ascii="宋体" w:hAnsi="宋体" w:cs="宋体"/>
                <w:b/>
                <w:color w:val="000000"/>
                <w:sz w:val="24"/>
                <w:szCs w:val="24"/>
              </w:rPr>
              <w:t>需要提供的符合性审查资料</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5ED5E750">
            <w:pPr>
              <w:snapToGrid w:val="0"/>
              <w:spacing w:line="240" w:lineRule="atLeast"/>
              <w:ind w:left="0" w:leftChars="0" w:firstLine="0" w:firstLineChars="0"/>
              <w:jc w:val="both"/>
              <w:rPr>
                <w:rFonts w:ascii="宋体" w:hAnsi="宋体" w:cs="宋体"/>
                <w:b/>
                <w:color w:val="000000"/>
                <w:sz w:val="24"/>
                <w:szCs w:val="24"/>
              </w:rPr>
            </w:pPr>
            <w:r>
              <w:rPr>
                <w:rFonts w:hint="eastAsia" w:ascii="宋体" w:hAnsi="宋体" w:cs="宋体"/>
                <w:b/>
                <w:color w:val="000000"/>
                <w:sz w:val="24"/>
                <w:szCs w:val="24"/>
              </w:rPr>
              <w:t>投标文件中的</w:t>
            </w:r>
          </w:p>
          <w:p w14:paraId="6FCE41D0">
            <w:pPr>
              <w:snapToGrid w:val="0"/>
              <w:spacing w:line="240" w:lineRule="atLeast"/>
              <w:ind w:firstLine="482"/>
              <w:jc w:val="center"/>
              <w:rPr>
                <w:rFonts w:ascii="宋体" w:hAnsi="宋体" w:cs="宋体"/>
                <w:b/>
                <w:color w:val="000000"/>
                <w:sz w:val="24"/>
                <w:szCs w:val="24"/>
              </w:rPr>
            </w:pPr>
            <w:r>
              <w:rPr>
                <w:rFonts w:hint="eastAsia" w:ascii="宋体" w:hAnsi="宋体" w:cs="宋体"/>
                <w:b/>
                <w:color w:val="000000"/>
                <w:sz w:val="24"/>
                <w:szCs w:val="24"/>
              </w:rPr>
              <w:t>页码位置</w:t>
            </w:r>
          </w:p>
        </w:tc>
      </w:tr>
      <w:tr w14:paraId="6318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566DE18B">
            <w:pPr>
              <w:ind w:firstLine="480"/>
              <w:jc w:val="center"/>
              <w:rPr>
                <w:rFonts w:ascii="宋体" w:hAnsi="宋体" w:cs="宋体"/>
                <w:color w:val="000000"/>
                <w:sz w:val="24"/>
                <w:szCs w:val="24"/>
              </w:rPr>
            </w:pPr>
            <w:r>
              <w:rPr>
                <w:rFonts w:hint="eastAsia" w:ascii="宋体" w:hAnsi="宋体" w:cs="宋体"/>
                <w:color w:val="000000"/>
                <w:sz w:val="24"/>
                <w:szCs w:val="24"/>
              </w:rPr>
              <w:t>1</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6FFCDECC">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投标文件按照招标文件要求签署、盖章。</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32266580">
            <w:pPr>
              <w:spacing w:line="240" w:lineRule="auto"/>
              <w:jc w:val="both"/>
              <w:rPr>
                <w:rFonts w:ascii="宋体" w:hAnsi="宋体" w:cs="宋体"/>
                <w:color w:val="000000"/>
                <w:sz w:val="24"/>
                <w:szCs w:val="24"/>
              </w:rPr>
            </w:pPr>
            <w:r>
              <w:rPr>
                <w:rFonts w:hint="eastAsia" w:ascii="宋体" w:hAnsi="宋体" w:cs="宋体"/>
                <w:color w:val="000000"/>
                <w:sz w:val="24"/>
                <w:szCs w:val="24"/>
              </w:rPr>
              <w:t>需要使用电子签名或者签字盖章的投标文件的组成部分</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19B171F5">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603BAFD7">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r w14:paraId="5FC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0BEAF1E3">
            <w:pPr>
              <w:ind w:firstLine="480"/>
              <w:jc w:val="center"/>
              <w:rPr>
                <w:rFonts w:ascii="宋体" w:hAnsi="宋体" w:cs="宋体"/>
                <w:color w:val="000000"/>
                <w:sz w:val="24"/>
                <w:szCs w:val="24"/>
              </w:rPr>
            </w:pPr>
            <w:r>
              <w:rPr>
                <w:rFonts w:hint="eastAsia" w:ascii="宋体" w:hAnsi="宋体" w:cs="宋体"/>
                <w:color w:val="000000"/>
                <w:sz w:val="24"/>
                <w:szCs w:val="24"/>
              </w:rPr>
              <w:t>2</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5320DF1A">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投标文件中承诺的投标有效期不少于招标文件中载明的投标有效期。</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1AACEEFF">
            <w:pPr>
              <w:spacing w:line="240" w:lineRule="auto"/>
              <w:ind w:firstLine="480"/>
              <w:jc w:val="center"/>
              <w:rPr>
                <w:rFonts w:ascii="宋体" w:hAnsi="宋体" w:cs="宋体"/>
                <w:color w:val="000000"/>
                <w:sz w:val="24"/>
                <w:szCs w:val="24"/>
              </w:rPr>
            </w:pPr>
            <w:r>
              <w:rPr>
                <w:rFonts w:hint="eastAsia" w:ascii="宋体" w:hAnsi="宋体" w:cs="宋体"/>
                <w:color w:val="000000"/>
                <w:sz w:val="24"/>
                <w:szCs w:val="24"/>
              </w:rPr>
              <w:t>投标函</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306A8C2D">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20B5365D">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r w14:paraId="0451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4A0B8AA4">
            <w:pPr>
              <w:ind w:firstLine="480"/>
              <w:jc w:val="center"/>
              <w:rPr>
                <w:rFonts w:ascii="宋体" w:hAnsi="宋体" w:cs="宋体"/>
                <w:color w:val="000000"/>
                <w:sz w:val="24"/>
                <w:szCs w:val="24"/>
              </w:rPr>
            </w:pPr>
            <w:r>
              <w:rPr>
                <w:rFonts w:hint="eastAsia" w:ascii="宋体" w:hAnsi="宋体" w:cs="宋体"/>
                <w:color w:val="000000"/>
                <w:sz w:val="24"/>
                <w:szCs w:val="24"/>
              </w:rPr>
              <w:t>3</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41B38EDC">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投标文件满足招标文件的其它实质性要求。</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10FA3DFF">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招标文件其它实质性要求相应的材料（“▲” 系指实质性要求条款，招标文件无其它实质性要求的，无需提供）</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157511FA">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578A3C84">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bl>
    <w:p w14:paraId="20AA2303">
      <w:pPr>
        <w:ind w:right="420" w:firstLine="480"/>
        <w:rPr>
          <w:rFonts w:ascii="宋体" w:hAnsi="宋体" w:cs="宋体"/>
          <w:color w:val="000000"/>
          <w:sz w:val="24"/>
          <w:szCs w:val="24"/>
        </w:rPr>
      </w:pPr>
      <w:r>
        <w:rPr>
          <w:rFonts w:hint="eastAsia" w:ascii="宋体" w:hAnsi="宋体" w:cs="宋体"/>
          <w:color w:val="000000"/>
          <w:sz w:val="24"/>
          <w:szCs w:val="24"/>
        </w:rPr>
        <w:t>注：按本格式和要求提供。</w:t>
      </w:r>
    </w:p>
    <w:p w14:paraId="67678180">
      <w:pPr>
        <w:ind w:firstLine="643"/>
        <w:jc w:val="center"/>
        <w:rPr>
          <w:rFonts w:ascii="宋体" w:hAnsi="宋体" w:cs="宋体"/>
          <w:b/>
          <w:color w:val="000000"/>
          <w:sz w:val="32"/>
          <w:szCs w:val="32"/>
        </w:rPr>
      </w:pPr>
    </w:p>
    <w:p w14:paraId="72E8CD04">
      <w:pPr>
        <w:ind w:firstLine="643"/>
        <w:jc w:val="center"/>
        <w:rPr>
          <w:rFonts w:ascii="宋体" w:hAnsi="宋体" w:cs="宋体"/>
          <w:b/>
          <w:color w:val="000000"/>
          <w:sz w:val="32"/>
          <w:szCs w:val="32"/>
        </w:rPr>
      </w:pPr>
    </w:p>
    <w:p w14:paraId="65E07ACC">
      <w:pPr>
        <w:ind w:firstLine="643"/>
        <w:jc w:val="center"/>
        <w:rPr>
          <w:rFonts w:ascii="宋体" w:hAnsi="宋体" w:cs="宋体"/>
          <w:b/>
          <w:color w:val="000000"/>
          <w:sz w:val="32"/>
          <w:szCs w:val="32"/>
        </w:rPr>
      </w:pPr>
    </w:p>
    <w:p w14:paraId="206EFD52">
      <w:pPr>
        <w:ind w:firstLine="643"/>
        <w:jc w:val="center"/>
        <w:rPr>
          <w:rFonts w:ascii="宋体" w:hAnsi="宋体" w:cs="宋体"/>
          <w:b/>
          <w:color w:val="000000"/>
          <w:sz w:val="32"/>
          <w:szCs w:val="32"/>
        </w:rPr>
      </w:pPr>
    </w:p>
    <w:p w14:paraId="7F83AD0C">
      <w:pPr>
        <w:ind w:firstLine="643"/>
        <w:jc w:val="center"/>
        <w:rPr>
          <w:rFonts w:ascii="宋体" w:hAnsi="宋体" w:cs="宋体"/>
          <w:b/>
          <w:color w:val="000000"/>
          <w:sz w:val="32"/>
          <w:szCs w:val="32"/>
        </w:rPr>
      </w:pPr>
    </w:p>
    <w:p w14:paraId="5ED6FFF7">
      <w:pPr>
        <w:ind w:firstLine="643"/>
        <w:jc w:val="center"/>
        <w:rPr>
          <w:rFonts w:ascii="宋体" w:hAnsi="宋体" w:cs="宋体"/>
          <w:b/>
          <w:color w:val="000000"/>
          <w:sz w:val="32"/>
          <w:szCs w:val="32"/>
        </w:rPr>
      </w:pPr>
    </w:p>
    <w:p w14:paraId="1745492E">
      <w:pPr>
        <w:ind w:firstLine="643"/>
        <w:jc w:val="center"/>
        <w:rPr>
          <w:rFonts w:ascii="宋体" w:hAnsi="宋体" w:cs="宋体"/>
          <w:b/>
          <w:color w:val="000000"/>
          <w:sz w:val="32"/>
          <w:szCs w:val="32"/>
        </w:rPr>
      </w:pPr>
    </w:p>
    <w:p w14:paraId="314F0057">
      <w:pPr>
        <w:ind w:firstLine="643"/>
        <w:jc w:val="center"/>
        <w:rPr>
          <w:rFonts w:ascii="宋体" w:hAnsi="宋体" w:cs="宋体"/>
          <w:b/>
          <w:color w:val="000000"/>
          <w:sz w:val="32"/>
          <w:szCs w:val="32"/>
        </w:rPr>
      </w:pPr>
    </w:p>
    <w:p w14:paraId="55652F6F">
      <w:pPr>
        <w:pStyle w:val="3"/>
        <w:ind w:left="0" w:firstLine="0"/>
        <w:rPr>
          <w:rFonts w:ascii="宋体" w:hAnsi="宋体" w:cs="宋体"/>
          <w:color w:val="000000"/>
          <w:szCs w:val="32"/>
        </w:rPr>
      </w:pPr>
    </w:p>
    <w:p w14:paraId="55A9B5E9">
      <w:pPr>
        <w:ind w:firstLine="643"/>
        <w:rPr>
          <w:rFonts w:ascii="宋体" w:hAnsi="宋体" w:cs="宋体"/>
          <w:b/>
          <w:color w:val="000000"/>
          <w:sz w:val="32"/>
          <w:szCs w:val="32"/>
        </w:rPr>
      </w:pPr>
    </w:p>
    <w:p w14:paraId="0E62F8E9">
      <w:pPr>
        <w:ind w:firstLine="643"/>
        <w:rPr>
          <w:rFonts w:ascii="宋体" w:hAnsi="宋体" w:cs="宋体"/>
          <w:b/>
          <w:color w:val="000000"/>
          <w:sz w:val="32"/>
          <w:szCs w:val="32"/>
        </w:rPr>
      </w:pPr>
      <w:r>
        <w:rPr>
          <w:rFonts w:hint="eastAsia" w:ascii="宋体" w:hAnsi="宋体" w:cs="宋体"/>
          <w:b/>
          <w:color w:val="000000"/>
          <w:sz w:val="32"/>
          <w:szCs w:val="32"/>
        </w:rPr>
        <w:br w:type="page"/>
      </w:r>
    </w:p>
    <w:p w14:paraId="0490AC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资信及商务响应表</w:t>
      </w:r>
    </w:p>
    <w:p w14:paraId="318760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（由投标人根据采购需求及招标文件要求编制）</w:t>
      </w:r>
    </w:p>
    <w:tbl>
      <w:tblPr>
        <w:tblStyle w:val="2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99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4F6E4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41406D1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669BFFE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7370BA4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09ADD574">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r>
      <w:tr w14:paraId="7AF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0A1E0A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6F3713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04C3503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AFEFDB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304B194">
            <w:pPr>
              <w:adjustRightInd/>
              <w:spacing w:line="380" w:lineRule="exact"/>
              <w:jc w:val="center"/>
              <w:outlineLvl w:val="9"/>
              <w:rPr>
                <w:rFonts w:hint="eastAsia" w:ascii="宋体" w:hAnsi="宋体" w:eastAsia="宋体" w:cs="宋体"/>
                <w:color w:val="auto"/>
                <w:sz w:val="24"/>
                <w:szCs w:val="24"/>
                <w:highlight w:val="none"/>
              </w:rPr>
            </w:pPr>
          </w:p>
        </w:tc>
      </w:tr>
      <w:tr w14:paraId="172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224952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vAlign w:val="center"/>
          </w:tcPr>
          <w:p w14:paraId="055FFD9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6C3F3235">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5A7C184">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F5C230B">
            <w:pPr>
              <w:adjustRightInd/>
              <w:spacing w:line="380" w:lineRule="exact"/>
              <w:jc w:val="center"/>
              <w:outlineLvl w:val="9"/>
              <w:rPr>
                <w:rFonts w:hint="eastAsia" w:ascii="宋体" w:hAnsi="宋体" w:eastAsia="宋体" w:cs="宋体"/>
                <w:color w:val="auto"/>
                <w:sz w:val="24"/>
                <w:szCs w:val="24"/>
                <w:highlight w:val="none"/>
              </w:rPr>
            </w:pPr>
          </w:p>
        </w:tc>
      </w:tr>
      <w:tr w14:paraId="67F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FA005">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vAlign w:val="center"/>
          </w:tcPr>
          <w:p w14:paraId="7501C4D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495A17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AA2E776">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EA33DC3">
            <w:pPr>
              <w:adjustRightInd/>
              <w:spacing w:line="380" w:lineRule="exact"/>
              <w:jc w:val="center"/>
              <w:outlineLvl w:val="9"/>
              <w:rPr>
                <w:rFonts w:hint="eastAsia" w:ascii="宋体" w:hAnsi="宋体" w:eastAsia="宋体" w:cs="宋体"/>
                <w:color w:val="auto"/>
                <w:sz w:val="24"/>
                <w:szCs w:val="24"/>
                <w:highlight w:val="none"/>
              </w:rPr>
            </w:pPr>
          </w:p>
        </w:tc>
      </w:tr>
      <w:tr w14:paraId="704E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D6E6D80">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17" w:type="dxa"/>
            <w:vAlign w:val="center"/>
          </w:tcPr>
          <w:p w14:paraId="3B8AB5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518E9">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D9DB14E">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B458077">
            <w:pPr>
              <w:adjustRightInd/>
              <w:spacing w:line="380" w:lineRule="exact"/>
              <w:jc w:val="center"/>
              <w:outlineLvl w:val="9"/>
              <w:rPr>
                <w:rFonts w:hint="eastAsia" w:ascii="宋体" w:hAnsi="宋体" w:eastAsia="宋体" w:cs="宋体"/>
                <w:color w:val="auto"/>
                <w:sz w:val="24"/>
                <w:szCs w:val="24"/>
                <w:highlight w:val="none"/>
              </w:rPr>
            </w:pPr>
          </w:p>
        </w:tc>
      </w:tr>
      <w:tr w14:paraId="605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B59477">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417" w:type="dxa"/>
            <w:vAlign w:val="center"/>
          </w:tcPr>
          <w:p w14:paraId="0205E64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4839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AC6947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899BF62">
            <w:pPr>
              <w:adjustRightInd/>
              <w:spacing w:line="380" w:lineRule="exact"/>
              <w:jc w:val="center"/>
              <w:outlineLvl w:val="9"/>
              <w:rPr>
                <w:rFonts w:hint="eastAsia" w:ascii="宋体" w:hAnsi="宋体" w:eastAsia="宋体" w:cs="宋体"/>
                <w:color w:val="auto"/>
                <w:sz w:val="24"/>
                <w:szCs w:val="24"/>
                <w:highlight w:val="none"/>
              </w:rPr>
            </w:pPr>
          </w:p>
        </w:tc>
      </w:tr>
      <w:tr w14:paraId="7F8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C1FD52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7" w:type="dxa"/>
            <w:vAlign w:val="center"/>
          </w:tcPr>
          <w:p w14:paraId="3D18A43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EE2404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04DDC92">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2343DD5">
            <w:pPr>
              <w:adjustRightInd/>
              <w:spacing w:line="380" w:lineRule="exact"/>
              <w:jc w:val="center"/>
              <w:outlineLvl w:val="9"/>
              <w:rPr>
                <w:rFonts w:hint="eastAsia" w:ascii="宋体" w:hAnsi="宋体" w:eastAsia="宋体" w:cs="宋体"/>
                <w:color w:val="auto"/>
                <w:sz w:val="24"/>
                <w:szCs w:val="24"/>
                <w:highlight w:val="none"/>
              </w:rPr>
            </w:pPr>
          </w:p>
        </w:tc>
      </w:tr>
      <w:tr w14:paraId="74F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0FD14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17" w:type="dxa"/>
            <w:vAlign w:val="center"/>
          </w:tcPr>
          <w:p w14:paraId="28B8EE0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06700AA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CC93D5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B787474">
            <w:pPr>
              <w:adjustRightInd/>
              <w:spacing w:line="380" w:lineRule="exact"/>
              <w:jc w:val="center"/>
              <w:outlineLvl w:val="9"/>
              <w:rPr>
                <w:rFonts w:hint="eastAsia" w:ascii="宋体" w:hAnsi="宋体" w:eastAsia="宋体" w:cs="宋体"/>
                <w:color w:val="auto"/>
                <w:sz w:val="24"/>
                <w:szCs w:val="24"/>
                <w:highlight w:val="none"/>
              </w:rPr>
            </w:pPr>
          </w:p>
        </w:tc>
      </w:tr>
      <w:tr w14:paraId="6DA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521831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17" w:type="dxa"/>
            <w:vAlign w:val="center"/>
          </w:tcPr>
          <w:p w14:paraId="2F9C482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21B05714">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5B168F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C438C80">
            <w:pPr>
              <w:adjustRightInd/>
              <w:spacing w:line="380" w:lineRule="exact"/>
              <w:jc w:val="center"/>
              <w:outlineLvl w:val="9"/>
              <w:rPr>
                <w:rFonts w:hint="eastAsia" w:ascii="宋体" w:hAnsi="宋体" w:eastAsia="宋体" w:cs="宋体"/>
                <w:color w:val="auto"/>
                <w:sz w:val="24"/>
                <w:szCs w:val="24"/>
                <w:highlight w:val="none"/>
              </w:rPr>
            </w:pPr>
          </w:p>
        </w:tc>
      </w:tr>
      <w:tr w14:paraId="1FC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99327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17" w:type="dxa"/>
            <w:vAlign w:val="center"/>
          </w:tcPr>
          <w:p w14:paraId="03D6C71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11C80C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A78F05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03A4197">
            <w:pPr>
              <w:adjustRightInd/>
              <w:spacing w:line="380" w:lineRule="exact"/>
              <w:jc w:val="center"/>
              <w:outlineLvl w:val="9"/>
              <w:rPr>
                <w:rFonts w:hint="eastAsia" w:ascii="宋体" w:hAnsi="宋体" w:eastAsia="宋体" w:cs="宋体"/>
                <w:color w:val="auto"/>
                <w:sz w:val="24"/>
                <w:szCs w:val="24"/>
                <w:highlight w:val="none"/>
              </w:rPr>
            </w:pPr>
          </w:p>
        </w:tc>
      </w:tr>
      <w:tr w14:paraId="16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6BB1F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17" w:type="dxa"/>
            <w:vAlign w:val="center"/>
          </w:tcPr>
          <w:p w14:paraId="7DC461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C0DC23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47C23AC">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0B99513">
            <w:pPr>
              <w:adjustRightInd/>
              <w:spacing w:line="380" w:lineRule="exact"/>
              <w:jc w:val="center"/>
              <w:outlineLvl w:val="9"/>
              <w:rPr>
                <w:rFonts w:hint="eastAsia" w:ascii="宋体" w:hAnsi="宋体" w:eastAsia="宋体" w:cs="宋体"/>
                <w:color w:val="auto"/>
                <w:sz w:val="24"/>
                <w:szCs w:val="24"/>
                <w:highlight w:val="none"/>
              </w:rPr>
            </w:pPr>
          </w:p>
        </w:tc>
      </w:tr>
      <w:tr w14:paraId="35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A8704D">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17" w:type="dxa"/>
            <w:vAlign w:val="center"/>
          </w:tcPr>
          <w:p w14:paraId="0377F53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E8B4A9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13213E1">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B6ABA03">
            <w:pPr>
              <w:adjustRightInd/>
              <w:spacing w:line="380" w:lineRule="exact"/>
              <w:jc w:val="center"/>
              <w:outlineLvl w:val="9"/>
              <w:rPr>
                <w:rFonts w:hint="eastAsia" w:ascii="宋体" w:hAnsi="宋体" w:eastAsia="宋体" w:cs="宋体"/>
                <w:color w:val="auto"/>
                <w:sz w:val="24"/>
                <w:szCs w:val="24"/>
                <w:highlight w:val="none"/>
              </w:rPr>
            </w:pPr>
          </w:p>
        </w:tc>
      </w:tr>
      <w:tr w14:paraId="018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75DC9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17" w:type="dxa"/>
            <w:vAlign w:val="center"/>
          </w:tcPr>
          <w:p w14:paraId="639F81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2835" w:type="dxa"/>
          </w:tcPr>
          <w:p w14:paraId="3F9CD6E7">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32BC4E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954A753">
            <w:pPr>
              <w:adjustRightInd/>
              <w:spacing w:line="380" w:lineRule="exact"/>
              <w:jc w:val="center"/>
              <w:outlineLvl w:val="9"/>
              <w:rPr>
                <w:rFonts w:hint="eastAsia" w:ascii="宋体" w:hAnsi="宋体" w:eastAsia="宋体" w:cs="宋体"/>
                <w:color w:val="auto"/>
                <w:sz w:val="24"/>
                <w:szCs w:val="24"/>
                <w:highlight w:val="none"/>
              </w:rPr>
            </w:pPr>
          </w:p>
        </w:tc>
      </w:tr>
    </w:tbl>
    <w:p w14:paraId="606D8709">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相关要求</w:t>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要求在“响应情况”栏注明“正偏离”、“负偏离”或“无偏离”。以上内容为实质性条款，</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“负偏离”作无效</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处理。</w:t>
      </w:r>
    </w:p>
    <w:p w14:paraId="701B85A4">
      <w:pPr>
        <w:spacing w:line="360" w:lineRule="auto"/>
        <w:ind w:right="42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2.不填写此表或注明“无偏离”均将视为投标人完全响应及满足招标文件要求。</w:t>
      </w:r>
    </w:p>
    <w:p w14:paraId="74D84932">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p>
    <w:p w14:paraId="6F5D795D">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 xml:space="preserve">）：                                                                                                                                                                                                               </w:t>
      </w:r>
    </w:p>
    <w:p w14:paraId="55B54B95">
      <w:pPr>
        <w:spacing w:line="360" w:lineRule="auto"/>
        <w:ind w:firstLine="4560" w:firstLineChars="19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02F5A1C1">
      <w:pPr>
        <w:spacing w:line="360" w:lineRule="auto"/>
        <w:ind w:left="4620" w:leftChars="2200"/>
        <w:rPr>
          <w:rFonts w:hint="eastAsia" w:ascii="宋体" w:hAnsi="宋体" w:eastAsia="宋体" w:cs="宋体"/>
          <w:color w:val="auto"/>
          <w:kern w:val="0"/>
          <w:sz w:val="24"/>
          <w:szCs w:val="24"/>
          <w:highlight w:val="none"/>
          <w:lang w:val="zh-CN"/>
        </w:rPr>
      </w:pPr>
    </w:p>
    <w:p w14:paraId="7E88BFFC">
      <w:pPr>
        <w:spacing w:line="360" w:lineRule="auto"/>
        <w:jc w:val="center"/>
        <w:rPr>
          <w:rFonts w:hint="eastAsia" w:ascii="宋体" w:hAnsi="宋体" w:eastAsia="宋体" w:cs="宋体"/>
          <w:b/>
          <w:bCs/>
          <w:color w:val="auto"/>
          <w:kern w:val="0"/>
          <w:sz w:val="24"/>
          <w:szCs w:val="24"/>
          <w:highlight w:val="none"/>
          <w:lang w:val="en-US" w:eastAsia="zh-CN"/>
        </w:rPr>
      </w:pPr>
    </w:p>
    <w:p w14:paraId="08E2E901">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color w:val="auto"/>
          <w:kern w:val="0"/>
          <w:sz w:val="24"/>
          <w:szCs w:val="24"/>
          <w:highlight w:val="none"/>
          <w:lang w:val="en-US" w:eastAsia="zh-CN"/>
        </w:rPr>
      </w:pPr>
    </w:p>
    <w:p w14:paraId="65047E7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lang w:val="en-US" w:eastAsia="zh-CN" w:bidi="ar-SA"/>
        </w:rPr>
      </w:pPr>
    </w:p>
    <w:p w14:paraId="38EC6BA2">
      <w:pPr>
        <w:keepNext w:val="0"/>
        <w:keepLines w:val="0"/>
        <w:pageBreakBefore w:val="0"/>
        <w:widowControl w:val="0"/>
        <w:numPr>
          <w:ilvl w:val="0"/>
          <w:numId w:val="0"/>
        </w:numPr>
        <w:kinsoku/>
        <w:wordWrap/>
        <w:overflowPunct/>
        <w:topLinePunct w:val="0"/>
        <w:bidi w:val="0"/>
        <w:adjustRightInd w:val="0"/>
        <w:snapToGrid/>
        <w:spacing w:line="360" w:lineRule="auto"/>
        <w:ind w:firstLine="3534" w:firstLineChars="1100"/>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lang w:val="en-US" w:eastAsia="zh-CN" w:bidi="ar-SA"/>
        </w:rPr>
        <w:t>七</w:t>
      </w:r>
      <w:r>
        <w:rPr>
          <w:rFonts w:hint="eastAsia" w:ascii="宋体" w:hAnsi="宋体" w:eastAsia="宋体" w:cs="宋体"/>
          <w:b/>
          <w:color w:val="auto"/>
          <w:kern w:val="0"/>
          <w:sz w:val="32"/>
          <w:szCs w:val="32"/>
          <w:lang w:val="en-US" w:eastAsia="zh-CN" w:bidi="ar-SA"/>
        </w:rPr>
        <w:t>、</w:t>
      </w:r>
      <w:r>
        <w:rPr>
          <w:rFonts w:hint="eastAsia" w:ascii="宋体" w:hAnsi="宋体" w:eastAsia="宋体" w:cs="宋体"/>
          <w:b/>
          <w:color w:val="auto"/>
          <w:kern w:val="0"/>
          <w:sz w:val="32"/>
          <w:szCs w:val="32"/>
          <w:highlight w:val="none"/>
          <w:lang w:val="en-US" w:eastAsia="zh-CN"/>
        </w:rPr>
        <w:t>技术响应表</w:t>
      </w:r>
    </w:p>
    <w:p w14:paraId="317D39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（由投标人根据采购需求及招标文件要求编制）</w:t>
      </w:r>
    </w:p>
    <w:p w14:paraId="6BB2581A">
      <w:pPr>
        <w:ind w:firstLine="48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27"/>
        <w:tblW w:w="8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4"/>
        <w:gridCol w:w="1867"/>
        <w:gridCol w:w="1903"/>
        <w:gridCol w:w="1191"/>
        <w:gridCol w:w="1531"/>
      </w:tblGrid>
      <w:tr w14:paraId="2971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4D584C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3C75A8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招标文件要求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63589F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投标文件响应</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A6FF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偏离情况</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7D8F9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投标人的承诺或说明</w:t>
            </w:r>
          </w:p>
        </w:tc>
      </w:tr>
      <w:tr w14:paraId="1956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E8A2E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99A2AD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0F078FC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18E4B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2E7869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A71A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824697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3ABB8F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2FA5DD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C60F99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AD01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529CD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3461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AB959E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2A37758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E326B3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BCA8D8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C40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678FE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6F8FCC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9B4F25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81EDE5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2824E7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02F03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CD8FFC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A26635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A1B42D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6DA6CC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1BF5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47B6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56E4693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D76F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18C089E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309FB5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7BECE3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14A14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24FA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184B90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543BB2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D82D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CBBF9A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bl>
    <w:p w14:paraId="5CA75543">
      <w:pPr>
        <w:ind w:left="0" w:leftChars="0" w:right="-21" w:rightChars="-1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产品的技术参数</w:t>
      </w:r>
      <w:r>
        <w:rPr>
          <w:rFonts w:hint="eastAsia" w:ascii="宋体" w:hAnsi="宋体" w:eastAsia="宋体" w:cs="宋体"/>
          <w:color w:val="auto"/>
          <w:sz w:val="24"/>
          <w:szCs w:val="24"/>
          <w:highlight w:val="none"/>
        </w:rPr>
        <w:t>的性能指标、对照招标文件要求在“偏离情况”栏注明“正偏离”、“负偏离”或“无偏离”。</w:t>
      </w:r>
    </w:p>
    <w:p w14:paraId="69E57A29">
      <w:pPr>
        <w:snapToGrid/>
        <w:spacing w:before="0" w:after="0"/>
        <w:ind w:right="-21" w:rightChars="-10" w:firstLine="48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rPr>
        <w:t>2.未填写此表将视为投标人完全响应及满足招标文件要求。</w:t>
      </w:r>
    </w:p>
    <w:p w14:paraId="7250AAF6">
      <w:pPr>
        <w:snapToGrid w:val="0"/>
        <w:spacing w:before="50" w:after="50"/>
        <w:ind w:firstLine="0" w:firstLineChars="0"/>
        <w:jc w:val="left"/>
        <w:outlineLvl w:val="9"/>
        <w:rPr>
          <w:rFonts w:hint="eastAsia" w:ascii="宋体" w:hAnsi="宋体" w:eastAsia="宋体" w:cs="宋体"/>
          <w:color w:val="auto"/>
          <w:spacing w:val="20"/>
          <w:sz w:val="24"/>
          <w:szCs w:val="24"/>
          <w:highlight w:val="none"/>
        </w:rPr>
      </w:pPr>
    </w:p>
    <w:p w14:paraId="4D1F9192">
      <w:pPr>
        <w:ind w:right="-21" w:rightChars="-10" w:firstLine="480"/>
        <w:jc w:val="left"/>
        <w:outlineLvl w:val="9"/>
        <w:rPr>
          <w:rFonts w:hint="eastAsia" w:ascii="宋体" w:hAnsi="宋体" w:eastAsia="宋体" w:cs="宋体"/>
          <w:color w:val="auto"/>
          <w:sz w:val="24"/>
          <w:szCs w:val="24"/>
          <w:highlight w:val="none"/>
        </w:rPr>
      </w:pPr>
    </w:p>
    <w:p w14:paraId="2CB4FEC2">
      <w:pPr>
        <w:ind w:right="-21" w:rightChars="-10" w:firstLine="480"/>
        <w:jc w:val="right"/>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w:t>
      </w:r>
    </w:p>
    <w:p w14:paraId="2C408CE2">
      <w:pPr>
        <w:ind w:right="-21" w:rightChars="-10"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4D03C9D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default" w:ascii="宋体" w:hAnsi="宋体" w:eastAsia="宋体" w:cs="宋体"/>
          <w:b/>
          <w:color w:val="auto"/>
          <w:kern w:val="0"/>
          <w:sz w:val="24"/>
          <w:szCs w:val="24"/>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年  月   日</w:t>
      </w:r>
    </w:p>
    <w:p w14:paraId="336C8E5F">
      <w:pPr>
        <w:ind w:firstLine="1911" w:firstLineChars="595"/>
        <w:rPr>
          <w:rFonts w:ascii="宋体" w:hAnsi="宋体" w:cs="宋体"/>
          <w:b/>
          <w:color w:val="000000"/>
          <w:sz w:val="32"/>
          <w:szCs w:val="32"/>
        </w:rPr>
      </w:pPr>
    </w:p>
    <w:p w14:paraId="209222D1">
      <w:pPr>
        <w:ind w:firstLine="1911" w:firstLineChars="595"/>
        <w:rPr>
          <w:rFonts w:ascii="宋体" w:hAnsi="宋体" w:cs="宋体"/>
          <w:b/>
          <w:color w:val="000000"/>
          <w:sz w:val="32"/>
          <w:szCs w:val="32"/>
        </w:rPr>
      </w:pPr>
    </w:p>
    <w:p w14:paraId="6A4D2A29">
      <w:pPr>
        <w:ind w:firstLine="1911" w:firstLineChars="595"/>
        <w:rPr>
          <w:rFonts w:ascii="宋体" w:hAnsi="宋体" w:cs="宋体"/>
          <w:b/>
          <w:color w:val="000000"/>
          <w:sz w:val="32"/>
          <w:szCs w:val="32"/>
        </w:rPr>
      </w:pPr>
    </w:p>
    <w:p w14:paraId="64D468FF">
      <w:pPr>
        <w:ind w:left="0" w:leftChars="0" w:firstLine="0" w:firstLineChars="0"/>
        <w:rPr>
          <w:rFonts w:ascii="宋体" w:hAnsi="宋体" w:cs="宋体"/>
          <w:b/>
          <w:color w:val="000000"/>
          <w:sz w:val="32"/>
          <w:szCs w:val="32"/>
        </w:rPr>
      </w:pPr>
    </w:p>
    <w:p w14:paraId="653B0206">
      <w:pPr>
        <w:ind w:firstLine="0" w:firstLineChars="0"/>
        <w:rPr>
          <w:rFonts w:ascii="宋体" w:hAnsi="宋体" w:cs="宋体"/>
          <w:b/>
          <w:color w:val="000000"/>
          <w:sz w:val="32"/>
          <w:szCs w:val="32"/>
        </w:rPr>
      </w:pPr>
    </w:p>
    <w:p w14:paraId="4AFBDBC1">
      <w:pPr>
        <w:ind w:firstLine="643"/>
        <w:jc w:val="center"/>
        <w:rPr>
          <w:rFonts w:ascii="宋体" w:hAnsi="宋体" w:cs="宋体"/>
          <w:b/>
          <w:color w:val="000000"/>
          <w:sz w:val="32"/>
          <w:szCs w:val="32"/>
        </w:rPr>
      </w:pPr>
      <w:r>
        <w:rPr>
          <w:rFonts w:hint="eastAsia" w:ascii="宋体" w:hAnsi="宋体" w:cs="宋体"/>
          <w:b/>
          <w:color w:val="000000"/>
          <w:sz w:val="32"/>
          <w:szCs w:val="32"/>
          <w:lang w:val="en-US" w:eastAsia="zh-CN"/>
        </w:rPr>
        <w:t>八</w:t>
      </w:r>
      <w:r>
        <w:rPr>
          <w:rFonts w:hint="eastAsia" w:ascii="宋体" w:hAnsi="宋体" w:cs="宋体"/>
          <w:b/>
          <w:color w:val="000000"/>
          <w:sz w:val="32"/>
          <w:szCs w:val="32"/>
        </w:rPr>
        <w:t>、</w:t>
      </w:r>
      <w:r>
        <w:rPr>
          <w:rFonts w:hint="eastAsia" w:ascii="宋体" w:hAnsi="宋体" w:cs="宋体"/>
          <w:b/>
          <w:color w:val="000000"/>
          <w:sz w:val="32"/>
          <w:szCs w:val="32"/>
          <w:lang w:val="zh-CN"/>
        </w:rPr>
        <w:t>政企采购供应商廉洁自律承诺书</w:t>
      </w:r>
    </w:p>
    <w:p w14:paraId="5A8211C2">
      <w:pPr>
        <w:snapToGrid w:val="0"/>
        <w:ind w:firstLine="480"/>
        <w:rPr>
          <w:rFonts w:ascii="宋体" w:hAnsi="宋体" w:cs="宋体"/>
          <w:color w:val="000000"/>
          <w:sz w:val="24"/>
          <w:szCs w:val="24"/>
        </w:rPr>
      </w:pPr>
    </w:p>
    <w:p w14:paraId="2BA440CE">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5DB96D46">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我单位响应你</w:t>
      </w:r>
      <w:r>
        <w:rPr>
          <w:rFonts w:hint="eastAsia" w:ascii="宋体" w:hAnsi="宋体" w:cs="宋体"/>
          <w:color w:val="000000"/>
          <w:sz w:val="24"/>
          <w:szCs w:val="24"/>
        </w:rPr>
        <w:t>单位</w:t>
      </w:r>
      <w:r>
        <w:rPr>
          <w:rFonts w:hint="eastAsia" w:ascii="宋体" w:hAnsi="宋体" w:cs="宋体"/>
          <w:color w:val="000000"/>
          <w:sz w:val="24"/>
          <w:szCs w:val="24"/>
          <w:lang w:val="zh-CN"/>
        </w:rPr>
        <w:t>项目招标要求参加投标。在这次投标过程中和中标后，我们将严格遵守国家法律法规要求，并郑重承诺：</w:t>
      </w:r>
    </w:p>
    <w:p w14:paraId="7FC924C4">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一、不向项目有关人员及部门赠送礼金礼物、有价证券、回扣以及中介费、介绍费、咨询费等好处费； </w:t>
      </w:r>
    </w:p>
    <w:p w14:paraId="4A5ABAA4">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二、不为项目有关人员及部门报销应由你方单位或个人支付的费用； </w:t>
      </w:r>
    </w:p>
    <w:p w14:paraId="77F6AA3B">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三、不向项目有关人员及部门提供有可能影响公正的宴请和健身娱乐等活动； </w:t>
      </w:r>
    </w:p>
    <w:p w14:paraId="6D34848A">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四、不为项目有关人员及部门出国（境）、旅游等提供方便；</w:t>
      </w:r>
    </w:p>
    <w:p w14:paraId="3D55C4C8">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五、不为项目有关人员个人装修住房、婚丧嫁娶、配偶子女工作安排等提供</w:t>
      </w:r>
    </w:p>
    <w:p w14:paraId="7D97E0F7">
      <w:pPr>
        <w:autoSpaceDE w:val="0"/>
        <w:autoSpaceDN w:val="0"/>
        <w:ind w:left="0" w:leftChars="0"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好处；</w:t>
      </w:r>
    </w:p>
    <w:p w14:paraId="3948012C">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六、严格遵守《中华人民共和国招标投标法》《中华人民共和国民法典》等法律法规，诚实守信，合法经营，坚决抵制各种违法违纪行为。 </w:t>
      </w:r>
    </w:p>
    <w:p w14:paraId="5BCBF19B">
      <w:pPr>
        <w:autoSpaceDE w:val="0"/>
        <w:autoSpaceDN w:val="0"/>
        <w:ind w:firstLine="480"/>
        <w:jc w:val="left"/>
        <w:rPr>
          <w:rFonts w:ascii="宋体" w:hAnsi="宋体" w:cs="宋体"/>
          <w:b/>
          <w:color w:val="000000"/>
          <w:sz w:val="32"/>
          <w:szCs w:val="32"/>
        </w:rPr>
      </w:pPr>
      <w:r>
        <w:rPr>
          <w:rFonts w:hint="eastAsia" w:ascii="宋体" w:hAnsi="宋体" w:cs="宋体"/>
          <w:color w:val="000000"/>
          <w:sz w:val="24"/>
          <w:szCs w:val="24"/>
          <w:lang w:val="zh-CN"/>
        </w:rPr>
        <w:t>如违反上述承诺，你</w:t>
      </w:r>
      <w:r>
        <w:rPr>
          <w:rFonts w:hint="eastAsia" w:ascii="宋体" w:hAnsi="宋体" w:cs="宋体"/>
          <w:color w:val="000000"/>
          <w:sz w:val="24"/>
          <w:szCs w:val="24"/>
        </w:rPr>
        <w:t>单位</w:t>
      </w:r>
      <w:r>
        <w:rPr>
          <w:rFonts w:hint="eastAsia" w:ascii="宋体" w:hAnsi="宋体" w:cs="宋体"/>
          <w:color w:val="000000"/>
          <w:sz w:val="24"/>
          <w:szCs w:val="24"/>
          <w:lang w:val="zh-CN"/>
        </w:rPr>
        <w:t>有权立即取消我单位投标、中标或在建项目的建设资格，有权拒绝我单位在一定时期内进入你</w:t>
      </w:r>
      <w:r>
        <w:rPr>
          <w:rFonts w:hint="eastAsia" w:ascii="宋体" w:hAnsi="宋体" w:cs="宋体"/>
          <w:color w:val="000000"/>
          <w:sz w:val="24"/>
          <w:szCs w:val="24"/>
        </w:rPr>
        <w:t>单位</w:t>
      </w:r>
      <w:r>
        <w:rPr>
          <w:rFonts w:hint="eastAsia" w:ascii="宋体" w:hAnsi="宋体" w:cs="宋体"/>
          <w:color w:val="000000"/>
          <w:sz w:val="24"/>
          <w:szCs w:val="24"/>
          <w:lang w:val="zh-CN"/>
        </w:rPr>
        <w:t>进行项目建设或其他经营活动，并通报市财政局。由此引起的相应损失均由我单位承担。</w:t>
      </w:r>
    </w:p>
    <w:p w14:paraId="20638373">
      <w:pPr>
        <w:pStyle w:val="5"/>
        <w:tabs>
          <w:tab w:val="left" w:pos="2651"/>
        </w:tabs>
        <w:ind w:firstLine="562"/>
        <w:jc w:val="center"/>
        <w:rPr>
          <w:rFonts w:ascii="宋体" w:cs="宋体"/>
          <w:color w:val="000000"/>
          <w:lang w:val="zh-CN"/>
        </w:rPr>
      </w:pPr>
    </w:p>
    <w:p w14:paraId="1E76BB4E">
      <w:pPr>
        <w:ind w:firstLine="420"/>
        <w:rPr>
          <w:rFonts w:ascii="宋体" w:cs="宋体"/>
          <w:color w:val="000000"/>
          <w:szCs w:val="28"/>
          <w:lang w:val="zh-CN"/>
        </w:rPr>
      </w:pPr>
    </w:p>
    <w:p w14:paraId="771EC952">
      <w:pPr>
        <w:pStyle w:val="3"/>
        <w:rPr>
          <w:rFonts w:ascii="宋体" w:cs="宋体"/>
          <w:color w:val="000000"/>
          <w:szCs w:val="28"/>
          <w:lang w:val="zh-CN"/>
        </w:rPr>
      </w:pPr>
    </w:p>
    <w:p w14:paraId="667F57C8">
      <w:pPr>
        <w:spacing w:line="336" w:lineRule="auto"/>
        <w:ind w:left="0" w:leftChars="0"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 xml:space="preserve">）：                          </w:t>
      </w:r>
    </w:p>
    <w:p w14:paraId="479183AF">
      <w:pPr>
        <w:ind w:firstLine="480"/>
        <w:rPr>
          <w:rFonts w:hint="eastAsia" w:ascii="宋体" w:hAnsi="宋体" w:eastAsia="宋体" w:cs="宋体"/>
          <w:sz w:val="24"/>
          <w:szCs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0386F466">
      <w:pPr>
        <w:ind w:firstLine="723"/>
        <w:jc w:val="center"/>
        <w:outlineLvl w:val="0"/>
        <w:rPr>
          <w:rFonts w:hint="eastAsia" w:ascii="宋体" w:hAnsi="宋体" w:cs="宋体"/>
          <w:b/>
          <w:color w:val="000000"/>
          <w:sz w:val="36"/>
          <w:szCs w:val="36"/>
        </w:rPr>
      </w:pPr>
    </w:p>
    <w:p w14:paraId="7790F03B">
      <w:pPr>
        <w:autoSpaceDE w:val="0"/>
        <w:autoSpaceDN w:val="0"/>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注：按本格式和要求提供。</w:t>
      </w:r>
    </w:p>
    <w:p w14:paraId="20B6B121">
      <w:pPr>
        <w:ind w:firstLine="420"/>
        <w:rPr>
          <w:rFonts w:ascii="宋体" w:cs="宋体"/>
          <w:color w:val="000000"/>
          <w:szCs w:val="28"/>
          <w:lang w:val="zh-CN"/>
        </w:rPr>
      </w:pPr>
    </w:p>
    <w:p w14:paraId="3A2C9295">
      <w:pPr>
        <w:ind w:left="0" w:leftChars="0" w:firstLine="3253" w:firstLineChars="900"/>
        <w:jc w:val="both"/>
        <w:outlineLvl w:val="0"/>
        <w:rPr>
          <w:rFonts w:hint="eastAsia" w:ascii="宋体" w:hAnsi="宋体" w:cs="宋体"/>
          <w:b/>
          <w:color w:val="000000"/>
          <w:sz w:val="36"/>
          <w:szCs w:val="36"/>
        </w:rPr>
      </w:pPr>
    </w:p>
    <w:p w14:paraId="623C3131">
      <w:pPr>
        <w:ind w:firstLine="1606" w:firstLineChars="500"/>
        <w:rPr>
          <w:lang w:val="zh-CN"/>
        </w:rPr>
      </w:pPr>
      <w:r>
        <w:rPr>
          <w:rFonts w:hint="eastAsia" w:ascii="宋体" w:hAnsi="宋体" w:cs="宋体"/>
          <w:b/>
          <w:color w:val="000000"/>
          <w:sz w:val="32"/>
          <w:szCs w:val="32"/>
          <w:lang w:val="en-US" w:eastAsia="zh-CN"/>
        </w:rPr>
        <w:t>九、</w:t>
      </w:r>
      <w:r>
        <w:rPr>
          <w:rFonts w:hint="eastAsia" w:ascii="宋体" w:hAnsi="宋体" w:cs="宋体"/>
          <w:b/>
          <w:color w:val="000000"/>
          <w:sz w:val="32"/>
          <w:szCs w:val="32"/>
          <w:lang w:val="zh-CN"/>
        </w:rPr>
        <w:t>评标标准相应的商务技术资料</w:t>
      </w:r>
    </w:p>
    <w:p w14:paraId="7E8D2090">
      <w:pPr>
        <w:ind w:firstLine="480"/>
        <w:rPr>
          <w:rFonts w:hint="eastAsia" w:ascii="宋体" w:hAnsi="宋体" w:cs="宋体"/>
          <w:b/>
          <w:color w:val="000000"/>
          <w:sz w:val="32"/>
          <w:szCs w:val="32"/>
          <w:lang w:val="zh-CN"/>
        </w:rPr>
      </w:pPr>
      <w:r>
        <w:rPr>
          <w:rFonts w:hint="eastAsia" w:ascii="宋体" w:hAnsi="宋体" w:cs="宋体"/>
          <w:b/>
          <w:color w:val="000000"/>
          <w:sz w:val="32"/>
          <w:szCs w:val="32"/>
          <w:lang w:val="en-US" w:eastAsia="zh-CN"/>
        </w:rPr>
        <w:t>十、</w:t>
      </w:r>
      <w:r>
        <w:rPr>
          <w:rFonts w:hint="eastAsia" w:ascii="宋体" w:hAnsi="宋体" w:cs="宋体"/>
          <w:b/>
          <w:color w:val="000000"/>
          <w:sz w:val="32"/>
          <w:szCs w:val="32"/>
          <w:lang w:val="zh-CN"/>
        </w:rPr>
        <w:t>投标人认为需要提供的与投标评标有关的其他资料</w:t>
      </w:r>
    </w:p>
    <w:p w14:paraId="3A1E63D4">
      <w:pPr>
        <w:ind w:left="0" w:leftChars="0" w:firstLine="3253" w:firstLineChars="900"/>
        <w:jc w:val="both"/>
        <w:outlineLvl w:val="0"/>
        <w:rPr>
          <w:rFonts w:hint="eastAsia" w:ascii="宋体" w:hAnsi="宋体" w:cs="宋体"/>
          <w:b/>
          <w:color w:val="000000"/>
          <w:sz w:val="36"/>
          <w:szCs w:val="36"/>
        </w:rPr>
      </w:pPr>
    </w:p>
    <w:p w14:paraId="4836F9E9">
      <w:pPr>
        <w:ind w:firstLine="723"/>
        <w:jc w:val="center"/>
        <w:outlineLvl w:val="0"/>
        <w:rPr>
          <w:rFonts w:hint="eastAsia" w:ascii="宋体" w:hAnsi="宋体" w:cs="宋体"/>
          <w:b/>
          <w:color w:val="000000"/>
          <w:sz w:val="36"/>
          <w:szCs w:val="36"/>
        </w:rPr>
      </w:pPr>
    </w:p>
    <w:p w14:paraId="2BDD2E0C">
      <w:pPr>
        <w:ind w:firstLine="723"/>
        <w:jc w:val="center"/>
        <w:outlineLvl w:val="0"/>
        <w:rPr>
          <w:rFonts w:hint="eastAsia" w:ascii="宋体" w:hAnsi="宋体" w:cs="宋体"/>
          <w:b/>
          <w:color w:val="000000"/>
          <w:sz w:val="36"/>
          <w:szCs w:val="36"/>
        </w:rPr>
      </w:pPr>
    </w:p>
    <w:p w14:paraId="7B1ABD9B">
      <w:pPr>
        <w:ind w:firstLine="723"/>
        <w:jc w:val="center"/>
        <w:outlineLvl w:val="0"/>
        <w:rPr>
          <w:rFonts w:hint="eastAsia" w:ascii="宋体" w:hAnsi="宋体" w:cs="宋体"/>
          <w:b/>
          <w:color w:val="000000"/>
          <w:sz w:val="36"/>
          <w:szCs w:val="36"/>
        </w:rPr>
      </w:pPr>
    </w:p>
    <w:p w14:paraId="2F055290">
      <w:pPr>
        <w:ind w:firstLine="723"/>
        <w:jc w:val="center"/>
        <w:outlineLvl w:val="0"/>
        <w:rPr>
          <w:rFonts w:hint="eastAsia" w:ascii="宋体" w:hAnsi="宋体" w:cs="宋体"/>
          <w:b/>
          <w:color w:val="000000"/>
          <w:sz w:val="36"/>
          <w:szCs w:val="36"/>
        </w:rPr>
      </w:pPr>
    </w:p>
    <w:p w14:paraId="286BD8ED">
      <w:pPr>
        <w:ind w:firstLine="723"/>
        <w:jc w:val="center"/>
        <w:outlineLvl w:val="0"/>
        <w:rPr>
          <w:rFonts w:hint="eastAsia" w:ascii="宋体" w:hAnsi="宋体" w:cs="宋体"/>
          <w:b/>
          <w:color w:val="000000"/>
          <w:sz w:val="36"/>
          <w:szCs w:val="36"/>
        </w:rPr>
      </w:pPr>
    </w:p>
    <w:p w14:paraId="4F95B848">
      <w:pPr>
        <w:ind w:firstLine="723"/>
        <w:jc w:val="center"/>
        <w:outlineLvl w:val="0"/>
        <w:rPr>
          <w:rFonts w:hint="eastAsia" w:ascii="宋体" w:hAnsi="宋体" w:cs="宋体"/>
          <w:b/>
          <w:color w:val="000000"/>
          <w:sz w:val="36"/>
          <w:szCs w:val="36"/>
        </w:rPr>
      </w:pPr>
    </w:p>
    <w:p w14:paraId="59CE1120">
      <w:pPr>
        <w:ind w:firstLine="723"/>
        <w:jc w:val="center"/>
        <w:outlineLvl w:val="0"/>
        <w:rPr>
          <w:rFonts w:hint="eastAsia" w:ascii="宋体" w:hAnsi="宋体" w:cs="宋体"/>
          <w:b/>
          <w:color w:val="000000"/>
          <w:sz w:val="36"/>
          <w:szCs w:val="36"/>
        </w:rPr>
      </w:pPr>
    </w:p>
    <w:p w14:paraId="302EB925">
      <w:pPr>
        <w:ind w:firstLine="723"/>
        <w:jc w:val="center"/>
        <w:outlineLvl w:val="0"/>
        <w:rPr>
          <w:rFonts w:hint="eastAsia" w:ascii="宋体" w:hAnsi="宋体" w:cs="宋体"/>
          <w:b/>
          <w:color w:val="000000"/>
          <w:sz w:val="36"/>
          <w:szCs w:val="36"/>
        </w:rPr>
      </w:pPr>
    </w:p>
    <w:p w14:paraId="762F806F">
      <w:pPr>
        <w:ind w:firstLine="723"/>
        <w:jc w:val="center"/>
        <w:outlineLvl w:val="0"/>
        <w:rPr>
          <w:rFonts w:hint="eastAsia" w:ascii="宋体" w:hAnsi="宋体" w:cs="宋体"/>
          <w:b/>
          <w:color w:val="000000"/>
          <w:sz w:val="36"/>
          <w:szCs w:val="36"/>
        </w:rPr>
      </w:pPr>
    </w:p>
    <w:p w14:paraId="372EA21A">
      <w:pPr>
        <w:ind w:firstLine="723"/>
        <w:jc w:val="center"/>
        <w:outlineLvl w:val="0"/>
        <w:rPr>
          <w:rFonts w:hint="eastAsia" w:ascii="宋体" w:hAnsi="宋体" w:cs="宋体"/>
          <w:b/>
          <w:color w:val="000000"/>
          <w:sz w:val="36"/>
          <w:szCs w:val="36"/>
        </w:rPr>
      </w:pPr>
    </w:p>
    <w:p w14:paraId="2904D1F5">
      <w:pPr>
        <w:ind w:firstLine="723"/>
        <w:jc w:val="center"/>
        <w:outlineLvl w:val="0"/>
        <w:rPr>
          <w:rFonts w:hint="eastAsia" w:ascii="宋体" w:hAnsi="宋体" w:cs="宋体"/>
          <w:b/>
          <w:color w:val="000000"/>
          <w:sz w:val="36"/>
          <w:szCs w:val="36"/>
        </w:rPr>
      </w:pPr>
    </w:p>
    <w:p w14:paraId="2F241BA8">
      <w:pPr>
        <w:ind w:firstLine="723"/>
        <w:jc w:val="center"/>
        <w:outlineLvl w:val="0"/>
        <w:rPr>
          <w:rFonts w:hint="eastAsia" w:ascii="宋体" w:hAnsi="宋体" w:cs="宋体"/>
          <w:b/>
          <w:color w:val="000000"/>
          <w:sz w:val="36"/>
          <w:szCs w:val="36"/>
        </w:rPr>
      </w:pPr>
    </w:p>
    <w:p w14:paraId="5F52A250">
      <w:pPr>
        <w:ind w:firstLine="723"/>
        <w:jc w:val="center"/>
        <w:outlineLvl w:val="0"/>
        <w:rPr>
          <w:rFonts w:hint="eastAsia" w:ascii="宋体" w:hAnsi="宋体" w:cs="宋体"/>
          <w:b/>
          <w:color w:val="000000"/>
          <w:sz w:val="36"/>
          <w:szCs w:val="36"/>
        </w:rPr>
      </w:pPr>
    </w:p>
    <w:p w14:paraId="696652B7">
      <w:pPr>
        <w:ind w:firstLine="723"/>
        <w:jc w:val="center"/>
        <w:outlineLvl w:val="0"/>
        <w:rPr>
          <w:rFonts w:hint="eastAsia" w:ascii="宋体" w:hAnsi="宋体" w:cs="宋体"/>
          <w:b/>
          <w:color w:val="000000"/>
          <w:sz w:val="36"/>
          <w:szCs w:val="36"/>
        </w:rPr>
      </w:pPr>
    </w:p>
    <w:p w14:paraId="7054E266">
      <w:pPr>
        <w:ind w:firstLine="723"/>
        <w:jc w:val="center"/>
        <w:outlineLvl w:val="0"/>
        <w:rPr>
          <w:rFonts w:hint="eastAsia" w:ascii="宋体" w:hAnsi="宋体" w:cs="宋体"/>
          <w:b/>
          <w:color w:val="000000"/>
          <w:sz w:val="36"/>
          <w:szCs w:val="36"/>
        </w:rPr>
      </w:pPr>
    </w:p>
    <w:p w14:paraId="5D06E347">
      <w:pPr>
        <w:ind w:firstLine="723"/>
        <w:jc w:val="center"/>
        <w:outlineLvl w:val="0"/>
        <w:rPr>
          <w:rFonts w:hint="eastAsia" w:ascii="宋体" w:hAnsi="宋体" w:cs="宋体"/>
          <w:b/>
          <w:color w:val="000000"/>
          <w:sz w:val="36"/>
          <w:szCs w:val="36"/>
        </w:rPr>
      </w:pPr>
    </w:p>
    <w:p w14:paraId="08E795CD">
      <w:pPr>
        <w:ind w:firstLine="723"/>
        <w:jc w:val="center"/>
        <w:outlineLvl w:val="0"/>
        <w:rPr>
          <w:rFonts w:hint="eastAsia" w:ascii="宋体" w:hAnsi="宋体" w:cs="宋体"/>
          <w:b/>
          <w:color w:val="000000"/>
          <w:sz w:val="36"/>
          <w:szCs w:val="36"/>
        </w:rPr>
      </w:pPr>
    </w:p>
    <w:p w14:paraId="5A5D0391">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报价文件部分</w:t>
      </w:r>
    </w:p>
    <w:p w14:paraId="3C5744BB">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目录</w:t>
      </w:r>
    </w:p>
    <w:p w14:paraId="273B184E">
      <w:pPr>
        <w:ind w:firstLine="723"/>
        <w:jc w:val="center"/>
        <w:outlineLvl w:val="0"/>
        <w:rPr>
          <w:rFonts w:hint="eastAsia" w:ascii="宋体" w:hAnsi="宋体" w:eastAsia="宋体" w:cs="宋体"/>
          <w:b/>
          <w:color w:val="000000"/>
          <w:sz w:val="24"/>
          <w:szCs w:val="24"/>
        </w:rPr>
      </w:pPr>
    </w:p>
    <w:p w14:paraId="061151D1">
      <w:pPr>
        <w:numPr>
          <w:ilvl w:val="0"/>
          <w:numId w:val="1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开标一览表………………………………………………………………（页码）</w:t>
      </w:r>
    </w:p>
    <w:p w14:paraId="60EA9FC6">
      <w:pPr>
        <w:numPr>
          <w:ilvl w:val="0"/>
          <w:numId w:val="1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投标人针对报价需要说明的其他文件和说明（</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56B40947">
      <w:pPr>
        <w:snapToGrid w:val="0"/>
        <w:ind w:right="480" w:firstLine="643"/>
        <w:jc w:val="center"/>
        <w:rPr>
          <w:rFonts w:hint="eastAsia" w:ascii="宋体" w:hAnsi="宋体" w:eastAsia="宋体" w:cs="宋体"/>
          <w:b/>
          <w:color w:val="000000"/>
          <w:sz w:val="24"/>
          <w:szCs w:val="24"/>
        </w:rPr>
      </w:pPr>
    </w:p>
    <w:p w14:paraId="6CA81A4C">
      <w:pPr>
        <w:snapToGrid w:val="0"/>
        <w:ind w:right="480" w:firstLine="643"/>
        <w:jc w:val="center"/>
        <w:rPr>
          <w:rFonts w:ascii="宋体" w:hAnsi="宋体" w:cs="宋体"/>
          <w:b/>
          <w:color w:val="000000"/>
          <w:sz w:val="32"/>
          <w:szCs w:val="32"/>
        </w:rPr>
      </w:pPr>
    </w:p>
    <w:p w14:paraId="11EC2C88">
      <w:pPr>
        <w:snapToGrid w:val="0"/>
        <w:ind w:right="480" w:firstLine="643"/>
        <w:jc w:val="center"/>
        <w:rPr>
          <w:rFonts w:ascii="宋体" w:hAnsi="宋体" w:cs="宋体"/>
          <w:b/>
          <w:color w:val="000000"/>
          <w:sz w:val="32"/>
          <w:szCs w:val="32"/>
        </w:rPr>
      </w:pPr>
    </w:p>
    <w:p w14:paraId="1DFAF2FD">
      <w:pPr>
        <w:snapToGrid w:val="0"/>
        <w:ind w:right="480" w:firstLine="643"/>
        <w:jc w:val="center"/>
        <w:rPr>
          <w:rFonts w:ascii="宋体" w:hAnsi="宋体" w:cs="宋体"/>
          <w:b/>
          <w:color w:val="000000"/>
          <w:sz w:val="32"/>
          <w:szCs w:val="32"/>
        </w:rPr>
      </w:pPr>
    </w:p>
    <w:p w14:paraId="6EC5C4C6">
      <w:pPr>
        <w:snapToGrid w:val="0"/>
        <w:ind w:right="480" w:firstLine="643"/>
        <w:jc w:val="center"/>
        <w:rPr>
          <w:rFonts w:ascii="宋体" w:hAnsi="宋体" w:cs="宋体"/>
          <w:b/>
          <w:color w:val="000000"/>
          <w:sz w:val="32"/>
          <w:szCs w:val="32"/>
        </w:rPr>
      </w:pPr>
    </w:p>
    <w:p w14:paraId="2B6CD321">
      <w:pPr>
        <w:snapToGrid w:val="0"/>
        <w:ind w:right="480" w:firstLine="643"/>
        <w:jc w:val="center"/>
        <w:rPr>
          <w:rFonts w:ascii="宋体" w:hAnsi="宋体" w:cs="宋体"/>
          <w:b/>
          <w:color w:val="000000"/>
          <w:sz w:val="32"/>
          <w:szCs w:val="32"/>
        </w:rPr>
      </w:pPr>
    </w:p>
    <w:p w14:paraId="29707DFC">
      <w:pPr>
        <w:snapToGrid w:val="0"/>
        <w:ind w:right="480" w:firstLine="643"/>
        <w:jc w:val="center"/>
        <w:rPr>
          <w:rFonts w:ascii="宋体" w:hAnsi="宋体" w:cs="宋体"/>
          <w:b/>
          <w:color w:val="000000"/>
          <w:sz w:val="32"/>
          <w:szCs w:val="32"/>
        </w:rPr>
      </w:pPr>
    </w:p>
    <w:p w14:paraId="37DE18A7">
      <w:pPr>
        <w:snapToGrid w:val="0"/>
        <w:ind w:right="480" w:firstLine="643"/>
        <w:jc w:val="center"/>
        <w:rPr>
          <w:rFonts w:ascii="宋体" w:hAnsi="宋体" w:cs="宋体"/>
          <w:b/>
          <w:color w:val="000000"/>
          <w:sz w:val="32"/>
          <w:szCs w:val="32"/>
        </w:rPr>
      </w:pPr>
    </w:p>
    <w:p w14:paraId="4476DA85">
      <w:pPr>
        <w:pStyle w:val="64"/>
        <w:keepNext w:val="0"/>
        <w:tabs>
          <w:tab w:val="clear" w:pos="720"/>
        </w:tabs>
        <w:snapToGrid w:val="0"/>
        <w:spacing w:before="120" w:after="120"/>
        <w:ind w:firstLine="643"/>
        <w:outlineLvl w:val="9"/>
        <w:rPr>
          <w:rFonts w:ascii="宋体" w:hAnsi="宋体" w:eastAsia="宋体" w:cs="宋体"/>
          <w:color w:val="000000"/>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794" w:footer="992" w:gutter="0"/>
          <w:pgNumType w:fmt="decimal"/>
          <w:cols w:space="720" w:num="1"/>
          <w:titlePg/>
          <w:docGrid w:linePitch="312" w:charSpace="0"/>
        </w:sectPr>
      </w:pPr>
    </w:p>
    <w:p w14:paraId="37E3F98B">
      <w:pPr>
        <w:pStyle w:val="64"/>
        <w:keepNext w:val="0"/>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3E71744">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6ED6DF28">
      <w:pPr>
        <w:snapToGrid w:val="0"/>
        <w:ind w:firstLine="480"/>
        <w:rPr>
          <w:rFonts w:ascii="宋体" w:hAnsi="宋体" w:cs="宋体"/>
          <w:color w:val="000000"/>
          <w:sz w:val="24"/>
          <w:szCs w:val="24"/>
          <w:lang w:val="zh-CN"/>
        </w:rPr>
      </w:pPr>
      <w:r>
        <w:rPr>
          <w:rFonts w:hint="eastAsia" w:ascii="宋体" w:hAnsi="宋体" w:cs="宋体"/>
          <w:color w:val="00000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szCs w:val="24"/>
        </w:rPr>
        <w:t>（项目名称）</w:t>
      </w:r>
      <w:r>
        <w:rPr>
          <w:rFonts w:hint="eastAsia" w:ascii="宋体" w:hAnsi="宋体" w:cs="宋体"/>
          <w:color w:val="000000"/>
          <w:sz w:val="24"/>
          <w:szCs w:val="24"/>
          <w:lang w:val="zh-CN"/>
        </w:rPr>
        <w:t>【招标编号：</w:t>
      </w:r>
      <w:r>
        <w:rPr>
          <w:rFonts w:hint="eastAsia" w:ascii="宋体" w:hAnsi="宋体" w:cs="宋体"/>
          <w:color w:val="000000"/>
          <w:sz w:val="24"/>
          <w:szCs w:val="24"/>
        </w:rPr>
        <w:t>（采购编号）】的实施</w:t>
      </w:r>
      <w:r>
        <w:rPr>
          <w:rFonts w:hint="eastAsia" w:ascii="宋体" w:hAnsi="宋体" w:cs="宋体"/>
          <w:color w:val="000000"/>
          <w:sz w:val="24"/>
          <w:szCs w:val="24"/>
          <w:lang w:val="zh-CN"/>
        </w:rPr>
        <w:t>。</w:t>
      </w:r>
    </w:p>
    <w:p w14:paraId="71358C98">
      <w:pPr>
        <w:ind w:firstLine="482"/>
        <w:jc w:val="center"/>
        <w:rPr>
          <w:rFonts w:ascii="宋体" w:hAnsi="宋体" w:cs="宋体"/>
          <w:b/>
          <w:color w:val="000000"/>
          <w:sz w:val="24"/>
          <w:szCs w:val="24"/>
          <w:lang w:val="zh-CN"/>
        </w:rPr>
      </w:pPr>
      <w:r>
        <w:rPr>
          <w:rFonts w:hint="eastAsia" w:ascii="宋体" w:hAnsi="宋体" w:cs="宋体"/>
          <w:b/>
          <w:color w:val="000000"/>
          <w:sz w:val="24"/>
          <w:szCs w:val="24"/>
          <w:lang w:val="zh-CN"/>
        </w:rPr>
        <w:t>开标一览表（报价表）(单位均为人民币元)</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101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5" w:type="dxa"/>
            <w:vAlign w:val="center"/>
          </w:tcPr>
          <w:p w14:paraId="7B285EA3">
            <w:pPr>
              <w:adjustRightInd w:val="0"/>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0EFD5B8C">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780" w:type="dxa"/>
            <w:vAlign w:val="center"/>
          </w:tcPr>
          <w:p w14:paraId="04214C93">
            <w:pPr>
              <w:tabs>
                <w:tab w:val="left" w:pos="208"/>
              </w:tabs>
              <w:spacing w:line="240" w:lineRule="auto"/>
              <w:ind w:firstLine="0" w:firstLineChars="0"/>
              <w:jc w:val="center"/>
              <w:rPr>
                <w:rFonts w:ascii="宋体" w:hAnsi="宋体" w:cs="宋体"/>
                <w:sz w:val="24"/>
                <w:szCs w:val="24"/>
              </w:rPr>
            </w:pPr>
            <w:r>
              <w:rPr>
                <w:rFonts w:hint="eastAsia" w:ascii="宋体" w:hAnsi="宋体" w:cs="宋体"/>
                <w:sz w:val="24"/>
                <w:szCs w:val="24"/>
              </w:rPr>
              <w:t>单位</w:t>
            </w:r>
          </w:p>
        </w:tc>
        <w:tc>
          <w:tcPr>
            <w:tcW w:w="885" w:type="dxa"/>
            <w:vAlign w:val="center"/>
          </w:tcPr>
          <w:p w14:paraId="311074AE">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2D9167BD">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4DA8606F">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628BAE04">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备注</w:t>
            </w:r>
          </w:p>
        </w:tc>
      </w:tr>
      <w:tr w14:paraId="0D09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7C844A3B">
            <w:pPr>
              <w:adjustRightInd w:val="0"/>
              <w:snapToGrid w:val="0"/>
              <w:ind w:firstLine="0" w:firstLineChars="0"/>
              <w:jc w:val="center"/>
              <w:rPr>
                <w:rFonts w:ascii="宋体" w:hAnsi="宋体" w:cs="宋体"/>
                <w:sz w:val="24"/>
                <w:szCs w:val="24"/>
              </w:rPr>
            </w:pPr>
          </w:p>
        </w:tc>
        <w:tc>
          <w:tcPr>
            <w:tcW w:w="1965" w:type="dxa"/>
          </w:tcPr>
          <w:p w14:paraId="1EE7EA4E">
            <w:pPr>
              <w:ind w:firstLine="0" w:firstLineChars="0"/>
              <w:jc w:val="center"/>
              <w:rPr>
                <w:rFonts w:ascii="宋体" w:hAnsi="宋体" w:cs="宋体"/>
                <w:kern w:val="0"/>
                <w:sz w:val="24"/>
                <w:szCs w:val="24"/>
              </w:rPr>
            </w:pPr>
          </w:p>
        </w:tc>
        <w:tc>
          <w:tcPr>
            <w:tcW w:w="780" w:type="dxa"/>
            <w:vAlign w:val="center"/>
          </w:tcPr>
          <w:p w14:paraId="1A0B5806">
            <w:pPr>
              <w:snapToGrid w:val="0"/>
              <w:ind w:firstLine="0" w:firstLineChars="0"/>
              <w:jc w:val="center"/>
              <w:rPr>
                <w:rFonts w:ascii="宋体" w:hAnsi="宋体" w:cs="宋体"/>
                <w:sz w:val="24"/>
                <w:szCs w:val="24"/>
              </w:rPr>
            </w:pPr>
          </w:p>
        </w:tc>
        <w:tc>
          <w:tcPr>
            <w:tcW w:w="885" w:type="dxa"/>
            <w:vAlign w:val="center"/>
          </w:tcPr>
          <w:p w14:paraId="4470BB3F">
            <w:pPr>
              <w:adjustRightInd w:val="0"/>
              <w:snapToGrid w:val="0"/>
              <w:ind w:firstLine="0" w:firstLineChars="0"/>
              <w:jc w:val="center"/>
              <w:rPr>
                <w:rFonts w:ascii="宋体" w:hAnsi="宋体" w:cs="宋体"/>
                <w:sz w:val="24"/>
                <w:szCs w:val="24"/>
              </w:rPr>
            </w:pPr>
          </w:p>
        </w:tc>
        <w:tc>
          <w:tcPr>
            <w:tcW w:w="960" w:type="dxa"/>
            <w:vAlign w:val="center"/>
          </w:tcPr>
          <w:p w14:paraId="395726CA">
            <w:pPr>
              <w:adjustRightInd w:val="0"/>
              <w:snapToGrid w:val="0"/>
              <w:ind w:firstLine="0" w:firstLineChars="0"/>
              <w:jc w:val="center"/>
              <w:rPr>
                <w:rFonts w:ascii="宋体" w:hAnsi="宋体" w:cs="宋体"/>
                <w:sz w:val="24"/>
                <w:szCs w:val="24"/>
              </w:rPr>
            </w:pPr>
          </w:p>
        </w:tc>
        <w:tc>
          <w:tcPr>
            <w:tcW w:w="2394" w:type="dxa"/>
          </w:tcPr>
          <w:p w14:paraId="32A64923">
            <w:pPr>
              <w:adjustRightInd w:val="0"/>
              <w:snapToGrid w:val="0"/>
              <w:ind w:firstLine="0" w:firstLineChars="0"/>
              <w:jc w:val="center"/>
              <w:rPr>
                <w:rFonts w:ascii="宋体" w:hAnsi="宋体" w:cs="宋体"/>
                <w:sz w:val="24"/>
                <w:szCs w:val="24"/>
              </w:rPr>
            </w:pPr>
          </w:p>
        </w:tc>
        <w:tc>
          <w:tcPr>
            <w:tcW w:w="1125" w:type="dxa"/>
          </w:tcPr>
          <w:p w14:paraId="33BA8C3C">
            <w:pPr>
              <w:adjustRightInd w:val="0"/>
              <w:snapToGrid w:val="0"/>
              <w:ind w:firstLine="0" w:firstLineChars="0"/>
              <w:jc w:val="center"/>
              <w:rPr>
                <w:rFonts w:ascii="宋体" w:hAnsi="宋体" w:cs="宋体"/>
                <w:sz w:val="24"/>
                <w:szCs w:val="24"/>
              </w:rPr>
            </w:pPr>
          </w:p>
        </w:tc>
      </w:tr>
      <w:tr w14:paraId="51BB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6554CD9">
            <w:pPr>
              <w:adjustRightInd w:val="0"/>
              <w:snapToGrid w:val="0"/>
              <w:ind w:firstLine="0" w:firstLineChars="0"/>
              <w:jc w:val="center"/>
              <w:rPr>
                <w:rFonts w:ascii="宋体" w:hAnsi="宋体" w:cs="宋体"/>
                <w:sz w:val="24"/>
                <w:szCs w:val="24"/>
              </w:rPr>
            </w:pPr>
          </w:p>
        </w:tc>
        <w:tc>
          <w:tcPr>
            <w:tcW w:w="1965" w:type="dxa"/>
          </w:tcPr>
          <w:p w14:paraId="6417F01D">
            <w:pPr>
              <w:ind w:firstLine="0" w:firstLineChars="0"/>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w:t>
            </w:r>
          </w:p>
        </w:tc>
        <w:tc>
          <w:tcPr>
            <w:tcW w:w="780" w:type="dxa"/>
            <w:vAlign w:val="center"/>
          </w:tcPr>
          <w:p w14:paraId="13852E87">
            <w:pPr>
              <w:snapToGrid w:val="0"/>
              <w:ind w:firstLine="0" w:firstLineChars="0"/>
              <w:jc w:val="center"/>
              <w:rPr>
                <w:rFonts w:ascii="宋体" w:hAnsi="宋体" w:cs="宋体"/>
                <w:sz w:val="24"/>
                <w:szCs w:val="24"/>
              </w:rPr>
            </w:pPr>
          </w:p>
        </w:tc>
        <w:tc>
          <w:tcPr>
            <w:tcW w:w="885" w:type="dxa"/>
            <w:vAlign w:val="center"/>
          </w:tcPr>
          <w:p w14:paraId="0B20041E">
            <w:pPr>
              <w:adjustRightInd w:val="0"/>
              <w:snapToGrid w:val="0"/>
              <w:ind w:firstLine="0" w:firstLineChars="0"/>
              <w:jc w:val="center"/>
              <w:rPr>
                <w:rFonts w:ascii="宋体" w:hAnsi="宋体" w:cs="宋体"/>
                <w:sz w:val="24"/>
                <w:szCs w:val="24"/>
              </w:rPr>
            </w:pPr>
          </w:p>
        </w:tc>
        <w:tc>
          <w:tcPr>
            <w:tcW w:w="960" w:type="dxa"/>
            <w:vAlign w:val="center"/>
          </w:tcPr>
          <w:p w14:paraId="4E264C5F">
            <w:pPr>
              <w:adjustRightInd w:val="0"/>
              <w:snapToGrid w:val="0"/>
              <w:ind w:firstLine="0" w:firstLineChars="0"/>
              <w:jc w:val="center"/>
              <w:rPr>
                <w:rFonts w:ascii="宋体" w:hAnsi="宋体" w:cs="宋体"/>
                <w:sz w:val="24"/>
                <w:szCs w:val="24"/>
              </w:rPr>
            </w:pPr>
          </w:p>
        </w:tc>
        <w:tc>
          <w:tcPr>
            <w:tcW w:w="2394" w:type="dxa"/>
          </w:tcPr>
          <w:p w14:paraId="24D5B82B">
            <w:pPr>
              <w:adjustRightInd w:val="0"/>
              <w:snapToGrid w:val="0"/>
              <w:ind w:firstLine="0" w:firstLineChars="0"/>
              <w:jc w:val="center"/>
              <w:rPr>
                <w:rFonts w:ascii="宋体" w:hAnsi="宋体" w:cs="宋体"/>
                <w:sz w:val="24"/>
                <w:szCs w:val="24"/>
              </w:rPr>
            </w:pPr>
            <w:r>
              <w:rPr>
                <w:rFonts w:hint="eastAsia" w:ascii="宋体" w:hAnsi="宋体" w:cs="宋体"/>
                <w:kern w:val="0"/>
                <w:sz w:val="24"/>
                <w:szCs w:val="24"/>
                <w:lang w:eastAsia="zh-CN"/>
              </w:rPr>
              <w:t>……</w:t>
            </w:r>
          </w:p>
        </w:tc>
        <w:tc>
          <w:tcPr>
            <w:tcW w:w="1125" w:type="dxa"/>
          </w:tcPr>
          <w:p w14:paraId="40197274">
            <w:pPr>
              <w:adjustRightInd w:val="0"/>
              <w:snapToGrid w:val="0"/>
              <w:ind w:firstLine="0" w:firstLineChars="0"/>
              <w:jc w:val="center"/>
              <w:rPr>
                <w:rFonts w:ascii="宋体" w:hAnsi="宋体" w:cs="宋体"/>
                <w:sz w:val="24"/>
                <w:szCs w:val="24"/>
              </w:rPr>
            </w:pPr>
          </w:p>
        </w:tc>
      </w:tr>
      <w:tr w14:paraId="6B51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32026B6C">
            <w:pPr>
              <w:adjustRightInd w:val="0"/>
              <w:snapToGrid w:val="0"/>
              <w:ind w:firstLine="0" w:firstLineChars="0"/>
              <w:jc w:val="center"/>
              <w:rPr>
                <w:rFonts w:ascii="宋体" w:hAnsi="宋体" w:cs="宋体"/>
                <w:sz w:val="24"/>
                <w:szCs w:val="24"/>
              </w:rPr>
            </w:pPr>
          </w:p>
        </w:tc>
        <w:tc>
          <w:tcPr>
            <w:tcW w:w="1965" w:type="dxa"/>
          </w:tcPr>
          <w:p w14:paraId="0A3D2859">
            <w:pPr>
              <w:ind w:firstLine="0" w:firstLineChars="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总计</w:t>
            </w:r>
          </w:p>
        </w:tc>
        <w:tc>
          <w:tcPr>
            <w:tcW w:w="780" w:type="dxa"/>
            <w:vAlign w:val="center"/>
          </w:tcPr>
          <w:p w14:paraId="185BED7D">
            <w:pPr>
              <w:snapToGrid w:val="0"/>
              <w:ind w:firstLine="0" w:firstLineChars="0"/>
              <w:jc w:val="center"/>
              <w:rPr>
                <w:rFonts w:ascii="宋体" w:hAnsi="宋体" w:cs="宋体"/>
                <w:sz w:val="24"/>
                <w:szCs w:val="24"/>
              </w:rPr>
            </w:pPr>
          </w:p>
        </w:tc>
        <w:tc>
          <w:tcPr>
            <w:tcW w:w="885" w:type="dxa"/>
            <w:vAlign w:val="center"/>
          </w:tcPr>
          <w:p w14:paraId="1400C4BA">
            <w:pPr>
              <w:adjustRightInd w:val="0"/>
              <w:snapToGrid w:val="0"/>
              <w:ind w:firstLine="0" w:firstLineChars="0"/>
              <w:jc w:val="center"/>
              <w:rPr>
                <w:rFonts w:ascii="宋体" w:hAnsi="宋体" w:cs="宋体"/>
                <w:sz w:val="24"/>
                <w:szCs w:val="24"/>
              </w:rPr>
            </w:pPr>
          </w:p>
        </w:tc>
        <w:tc>
          <w:tcPr>
            <w:tcW w:w="960" w:type="dxa"/>
            <w:vAlign w:val="center"/>
          </w:tcPr>
          <w:p w14:paraId="2CF9B40C">
            <w:pPr>
              <w:adjustRightInd w:val="0"/>
              <w:snapToGrid w:val="0"/>
              <w:ind w:firstLine="0" w:firstLineChars="0"/>
              <w:jc w:val="center"/>
              <w:rPr>
                <w:rFonts w:ascii="宋体" w:hAnsi="宋体" w:cs="宋体"/>
                <w:sz w:val="24"/>
                <w:szCs w:val="24"/>
              </w:rPr>
            </w:pPr>
          </w:p>
        </w:tc>
        <w:tc>
          <w:tcPr>
            <w:tcW w:w="2394" w:type="dxa"/>
          </w:tcPr>
          <w:p w14:paraId="64CD651A">
            <w:pPr>
              <w:adjustRightInd w:val="0"/>
              <w:snapToGrid w:val="0"/>
              <w:ind w:firstLine="0" w:firstLineChars="0"/>
              <w:jc w:val="center"/>
              <w:rPr>
                <w:rFonts w:ascii="宋体" w:hAnsi="宋体" w:cs="宋体"/>
                <w:sz w:val="24"/>
                <w:szCs w:val="24"/>
              </w:rPr>
            </w:pPr>
          </w:p>
        </w:tc>
        <w:tc>
          <w:tcPr>
            <w:tcW w:w="1125" w:type="dxa"/>
          </w:tcPr>
          <w:p w14:paraId="3548E2BA">
            <w:pPr>
              <w:adjustRightInd w:val="0"/>
              <w:snapToGrid w:val="0"/>
              <w:ind w:firstLine="0" w:firstLineChars="0"/>
              <w:jc w:val="center"/>
              <w:rPr>
                <w:rFonts w:ascii="宋体" w:hAnsi="宋体" w:cs="宋体"/>
                <w:sz w:val="24"/>
                <w:szCs w:val="24"/>
              </w:rPr>
            </w:pPr>
          </w:p>
        </w:tc>
      </w:tr>
      <w:tr w14:paraId="29F5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7"/>
            <w:vAlign w:val="center"/>
          </w:tcPr>
          <w:p w14:paraId="030FFFDE">
            <w:pPr>
              <w:adjustRightInd w:val="0"/>
              <w:snapToGrid w:val="0"/>
              <w:ind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投标总金额大写：</w:t>
            </w:r>
          </w:p>
        </w:tc>
      </w:tr>
    </w:tbl>
    <w:p w14:paraId="1100D604">
      <w:pPr>
        <w:autoSpaceDE w:val="0"/>
        <w:autoSpaceDN w:val="0"/>
        <w:adjustRightInd w:val="0"/>
        <w:spacing w:line="460" w:lineRule="exact"/>
        <w:ind w:firstLine="422"/>
        <w:rPr>
          <w:rFonts w:ascii="宋体" w:hAnsi="宋体"/>
          <w:sz w:val="24"/>
          <w:szCs w:val="24"/>
        </w:rPr>
      </w:pPr>
      <w:r>
        <w:rPr>
          <w:rFonts w:ascii="宋体" w:hAnsi="宋体" w:cs="宋体"/>
          <w:b/>
          <w:kern w:val="0"/>
          <w:sz w:val="24"/>
          <w:szCs w:val="24"/>
          <w:lang w:bidi="ar"/>
        </w:rPr>
        <w:t>注:</w:t>
      </w:r>
      <w:r>
        <w:rPr>
          <w:rFonts w:hint="eastAsia" w:ascii="宋体" w:hAnsi="宋体"/>
          <w:sz w:val="24"/>
          <w:szCs w:val="24"/>
        </w:rPr>
        <w:t xml:space="preserve"> </w:t>
      </w:r>
      <w:r>
        <w:rPr>
          <w:rFonts w:ascii="宋体" w:hAnsi="宋体"/>
          <w:sz w:val="24"/>
          <w:szCs w:val="24"/>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导致本系统无法正常运行，中标人须免费提供，招标人不再另行支付，请投标人结合招标文件、设备参数及技术要求-附件、施工图纸、提供相互协调和完善的优化设计所有费用自行考虑。</w:t>
      </w:r>
    </w:p>
    <w:p w14:paraId="7F26B3FD">
      <w:pPr>
        <w:ind w:firstLine="420"/>
        <w:jc w:val="left"/>
        <w:rPr>
          <w:rFonts w:hint="eastAsia" w:ascii="宋体" w:hAnsi="宋体"/>
          <w:sz w:val="24"/>
          <w:szCs w:val="24"/>
        </w:rPr>
      </w:pPr>
      <w:r>
        <w:rPr>
          <w:rFonts w:hint="eastAsia" w:ascii="宋体" w:hAnsi="宋体"/>
          <w:sz w:val="24"/>
          <w:szCs w:val="24"/>
        </w:rPr>
        <w:t>根据上述招标清单及工艺要求进行基础建设、深化设计、采购、制作、运输、安装、维护保养等工作内容，最终方案需经采购人认可。</w:t>
      </w:r>
    </w:p>
    <w:p w14:paraId="7AE180CF">
      <w:pPr>
        <w:ind w:firstLine="440"/>
        <w:rPr>
          <w:rFonts w:ascii="宋体" w:hAnsi="宋体" w:cs="宋体"/>
          <w:color w:val="000000"/>
          <w:sz w:val="24"/>
          <w:szCs w:val="24"/>
          <w:lang w:val="zh-CN"/>
        </w:rPr>
      </w:pPr>
      <w:r>
        <w:rPr>
          <w:rFonts w:hint="eastAsia" w:ascii="宋体" w:hAnsi="宋体" w:cs="宋体"/>
          <w:color w:val="000000"/>
          <w:sz w:val="24"/>
          <w:szCs w:val="24"/>
          <w:lang w:val="zh-CN"/>
        </w:rPr>
        <w:t>1、投标人需按本表格式填写</w:t>
      </w:r>
      <w:r>
        <w:rPr>
          <w:rFonts w:hint="eastAsia" w:ascii="宋体" w:hAnsi="宋体" w:cs="宋体"/>
          <w:b/>
          <w:color w:val="000000"/>
          <w:sz w:val="24"/>
          <w:szCs w:val="24"/>
          <w:lang w:val="zh-CN"/>
        </w:rPr>
        <w:t>，</w:t>
      </w:r>
      <w:r>
        <w:rPr>
          <w:rFonts w:hint="eastAsia" w:ascii="宋体" w:hAnsi="宋体" w:cs="宋体"/>
          <w:b/>
          <w:color w:val="000000"/>
          <w:sz w:val="24"/>
          <w:szCs w:val="24"/>
        </w:rPr>
        <w:t>否则视为投标文件含有采购人不能接受的附加条件，投标无效</w:t>
      </w:r>
      <w:r>
        <w:rPr>
          <w:rFonts w:hint="eastAsia" w:ascii="宋体" w:hAnsi="宋体" w:cs="宋体"/>
          <w:color w:val="000000"/>
          <w:sz w:val="24"/>
          <w:szCs w:val="24"/>
          <w:lang w:val="zh-CN"/>
        </w:rPr>
        <w:t>。</w:t>
      </w:r>
    </w:p>
    <w:p w14:paraId="74C0F30A">
      <w:pPr>
        <w:ind w:firstLine="440"/>
        <w:rPr>
          <w:rFonts w:ascii="宋体" w:hAnsi="宋体" w:cs="宋体"/>
          <w:color w:val="000000"/>
          <w:sz w:val="24"/>
          <w:szCs w:val="24"/>
        </w:rPr>
      </w:pPr>
      <w:r>
        <w:rPr>
          <w:rFonts w:hint="eastAsia" w:ascii="宋体" w:hAnsi="宋体" w:cs="宋体"/>
          <w:color w:val="000000"/>
          <w:sz w:val="24"/>
          <w:szCs w:val="24"/>
          <w:lang w:val="zh-CN"/>
        </w:rPr>
        <w:t>2、有关本项目实施所涉及的一切费用均计入报价。</w:t>
      </w:r>
      <w:r>
        <w:rPr>
          <w:rFonts w:hint="eastAsia" w:ascii="宋体" w:hAnsi="宋体" w:cs="宋体"/>
          <w:b/>
          <w:color w:val="000000"/>
          <w:sz w:val="24"/>
          <w:szCs w:val="24"/>
          <w:lang w:val="zh-CN"/>
        </w:rPr>
        <w:t>采购人将以合同形式有偿取得货物或服务，不接受投标人给予的赠品、回扣或者与采购无关的其他商品、服务</w:t>
      </w:r>
      <w:r>
        <w:rPr>
          <w:rFonts w:hint="eastAsia" w:ascii="宋体" w:hAnsi="宋体" w:cs="宋体"/>
          <w:color w:val="000000"/>
          <w:sz w:val="24"/>
          <w:szCs w:val="24"/>
          <w:lang w:val="zh-CN"/>
        </w:rPr>
        <w:t>，</w:t>
      </w:r>
      <w:r>
        <w:rPr>
          <w:rFonts w:hint="eastAsia" w:ascii="宋体" w:hAnsi="宋体" w:cs="宋体"/>
          <w:b/>
          <w:color w:val="000000"/>
          <w:sz w:val="24"/>
          <w:szCs w:val="24"/>
          <w:lang w:val="zh-CN"/>
        </w:rPr>
        <w:t>不得出现“0元”“免费赠送”等形式的无偿报价，</w:t>
      </w:r>
      <w:r>
        <w:rPr>
          <w:rFonts w:hint="eastAsia" w:ascii="宋体" w:hAnsi="宋体" w:cs="宋体"/>
          <w:b/>
          <w:color w:val="000000"/>
          <w:sz w:val="24"/>
          <w:szCs w:val="24"/>
        </w:rPr>
        <w:t>否则视为投标文件含有采购人不能接受的附加条件，投标无效</w:t>
      </w:r>
      <w:r>
        <w:rPr>
          <w:rFonts w:hint="eastAsia" w:ascii="宋体" w:hAnsi="宋体" w:cs="宋体"/>
          <w:b/>
          <w:color w:val="000000"/>
          <w:sz w:val="24"/>
          <w:szCs w:val="24"/>
          <w:lang w:val="zh-CN"/>
        </w:rPr>
        <w:t>；采购内容未包含在《开标一览表（报价表）》名称栏中，投标人不能作出合理解释的，</w:t>
      </w:r>
      <w:r>
        <w:rPr>
          <w:rFonts w:hint="eastAsia" w:ascii="宋体" w:hAnsi="宋体" w:cs="宋体"/>
          <w:b/>
          <w:color w:val="000000"/>
          <w:sz w:val="24"/>
          <w:szCs w:val="24"/>
        </w:rPr>
        <w:t>视为投标文件含有采购人不能接受的附加条件的，投标无效。</w:t>
      </w:r>
    </w:p>
    <w:p w14:paraId="6D5A45C9">
      <w:pPr>
        <w:snapToGrid w:val="0"/>
        <w:ind w:firstLine="440"/>
        <w:jc w:val="left"/>
        <w:rPr>
          <w:rFonts w:ascii="宋体" w:hAnsi="宋体" w:cs="宋体"/>
          <w:color w:val="000000"/>
          <w:sz w:val="24"/>
          <w:szCs w:val="24"/>
          <w:lang w:val="zh-CN"/>
        </w:rPr>
      </w:pPr>
      <w:r>
        <w:rPr>
          <w:rFonts w:hint="eastAsia" w:ascii="宋体" w:hAnsi="宋体" w:cs="宋体"/>
          <w:color w:val="000000"/>
          <w:sz w:val="24"/>
          <w:szCs w:val="24"/>
          <w:lang w:val="zh-CN"/>
        </w:rPr>
        <w:t>3、特别提示：采购代理机构将对项目名称和项目编号，中标供应商名称、地址和中标金额，主要中标标的名称、品牌（如果有）、规格型号、数量、单价等予以公示。</w:t>
      </w:r>
    </w:p>
    <w:bookmarkEnd w:id="122"/>
    <w:p w14:paraId="26983440">
      <w:pPr>
        <w:ind w:firstLine="562"/>
        <w:rPr>
          <w:rFonts w:hAnsi="宋体" w:cs="宋体"/>
          <w:b/>
          <w:bCs/>
          <w:color w:val="000000"/>
          <w:sz w:val="28"/>
          <w:szCs w:val="28"/>
        </w:rPr>
      </w:pPr>
      <w:r>
        <w:rPr>
          <w:rFonts w:hint="eastAsia" w:hAnsi="宋体" w:cs="宋体"/>
          <w:b/>
          <w:bCs/>
          <w:color w:val="000000"/>
          <w:sz w:val="28"/>
          <w:szCs w:val="28"/>
        </w:rPr>
        <w:br w:type="page"/>
      </w:r>
    </w:p>
    <w:p w14:paraId="6890A15B">
      <w:pPr>
        <w:pStyle w:val="65"/>
        <w:snapToGrid w:val="0"/>
        <w:spacing w:before="156" w:beforeLines="50" w:after="156" w:afterLines="50" w:line="500" w:lineRule="exact"/>
        <w:ind w:left="0" w:leftChars="0" w:firstLine="0" w:firstLineChars="0"/>
        <w:jc w:val="center"/>
        <w:rPr>
          <w:rFonts w:hAnsi="宋体" w:cs="宋体"/>
          <w:sz w:val="28"/>
          <w:szCs w:val="28"/>
          <w:u w:val="single"/>
        </w:rPr>
      </w:pPr>
      <w:r>
        <w:rPr>
          <w:rFonts w:hint="eastAsia" w:hAnsi="宋体" w:cs="宋体"/>
          <w:b/>
          <w:bCs/>
          <w:sz w:val="28"/>
          <w:szCs w:val="28"/>
        </w:rPr>
        <w:t>政企</w:t>
      </w:r>
      <w:r>
        <w:rPr>
          <w:rFonts w:hAnsi="宋体" w:cs="宋体"/>
          <w:b/>
          <w:bCs/>
          <w:sz w:val="28"/>
          <w:szCs w:val="28"/>
        </w:rPr>
        <w:t>采购活动现场确认声明书</w:t>
      </w:r>
    </w:p>
    <w:p w14:paraId="60D669BE">
      <w:pPr>
        <w:pStyle w:val="65"/>
        <w:snapToGrid w:val="0"/>
        <w:spacing w:line="400" w:lineRule="exact"/>
        <w:ind w:firstLine="0" w:firstLineChars="0"/>
        <w:rPr>
          <w:rFonts w:hAnsi="宋体" w:cs="宋体"/>
          <w:b/>
          <w:szCs w:val="21"/>
        </w:rPr>
      </w:pPr>
      <w:r>
        <w:rPr>
          <w:rFonts w:hAnsi="宋体" w:cs="宋体"/>
          <w:szCs w:val="21"/>
          <w:u w:val="single"/>
        </w:rPr>
        <w:t xml:space="preserve">              </w:t>
      </w:r>
      <w:r>
        <w:rPr>
          <w:rFonts w:hAnsi="宋体" w:cs="宋体"/>
          <w:szCs w:val="21"/>
        </w:rPr>
        <w:t>：</w:t>
      </w:r>
    </w:p>
    <w:p w14:paraId="104FFC97">
      <w:pPr>
        <w:pStyle w:val="65"/>
        <w:snapToGrid w:val="0"/>
        <w:spacing w:line="400" w:lineRule="exact"/>
        <w:ind w:firstLine="0" w:firstLineChars="0"/>
        <w:rPr>
          <w:rFonts w:hAnsi="宋体" w:cs="宋体"/>
          <w:spacing w:val="6"/>
          <w:sz w:val="24"/>
          <w:szCs w:val="24"/>
        </w:rPr>
      </w:pPr>
      <w:r>
        <w:rPr>
          <w:rFonts w:hint="eastAsia" w:hAnsi="宋体" w:cs="宋体"/>
          <w:spacing w:val="6"/>
          <w:sz w:val="24"/>
          <w:szCs w:val="24"/>
        </w:rPr>
        <w:t>本人</w:t>
      </w:r>
      <w:r>
        <w:rPr>
          <w:rFonts w:hint="eastAsia" w:hAnsi="宋体" w:cs="宋体"/>
          <w:spacing w:val="6"/>
          <w:sz w:val="24"/>
          <w:szCs w:val="24"/>
          <w:u w:val="single"/>
        </w:rPr>
        <w:t xml:space="preserve">           </w:t>
      </w:r>
      <w:r>
        <w:rPr>
          <w:rFonts w:hint="eastAsia" w:hAnsi="宋体" w:cs="宋体"/>
          <w:spacing w:val="6"/>
          <w:sz w:val="24"/>
          <w:szCs w:val="24"/>
        </w:rPr>
        <w:t>（授权代表姓名），经由</w:t>
      </w:r>
      <w:r>
        <w:rPr>
          <w:rFonts w:hint="eastAsia" w:hAnsi="宋体" w:cs="宋体"/>
          <w:spacing w:val="6"/>
          <w:sz w:val="24"/>
          <w:szCs w:val="24"/>
          <w:u w:val="single"/>
        </w:rPr>
        <w:t xml:space="preserve">                       （单位）</w:t>
      </w:r>
      <w:r>
        <w:rPr>
          <w:rFonts w:hint="eastAsia" w:hAnsi="宋体" w:cs="宋体"/>
          <w:spacing w:val="6"/>
          <w:sz w:val="24"/>
          <w:szCs w:val="24"/>
        </w:rPr>
        <w:t>负责人</w:t>
      </w:r>
      <w:r>
        <w:rPr>
          <w:rFonts w:hint="eastAsia" w:hAnsi="宋体" w:cs="宋体"/>
          <w:spacing w:val="6"/>
          <w:sz w:val="24"/>
          <w:szCs w:val="24"/>
          <w:u w:val="single"/>
        </w:rPr>
        <w:t xml:space="preserve">          </w:t>
      </w:r>
      <w:r>
        <w:rPr>
          <w:rFonts w:hint="eastAsia" w:hAnsi="宋体" w:cs="宋体"/>
          <w:spacing w:val="6"/>
          <w:sz w:val="24"/>
          <w:szCs w:val="24"/>
        </w:rPr>
        <w:t>（法定代表人）合法授权参加</w:t>
      </w:r>
      <w:r>
        <w:rPr>
          <w:rFonts w:hint="eastAsia" w:hAnsi="宋体" w:cs="宋体"/>
          <w:spacing w:val="6"/>
          <w:sz w:val="24"/>
          <w:szCs w:val="24"/>
          <w:u w:val="single"/>
        </w:rPr>
        <w:t xml:space="preserve">          </w:t>
      </w:r>
      <w:r>
        <w:rPr>
          <w:rFonts w:hint="eastAsia" w:hAnsi="宋体" w:cs="宋体"/>
          <w:spacing w:val="6"/>
          <w:sz w:val="24"/>
          <w:szCs w:val="24"/>
        </w:rPr>
        <w:t>（编号：</w:t>
      </w:r>
      <w:r>
        <w:rPr>
          <w:rFonts w:hint="eastAsia" w:hAnsi="宋体" w:cs="宋体"/>
          <w:spacing w:val="6"/>
          <w:sz w:val="24"/>
          <w:szCs w:val="24"/>
          <w:u w:val="single"/>
        </w:rPr>
        <w:t xml:space="preserve">      </w:t>
      </w:r>
      <w:r>
        <w:rPr>
          <w:rFonts w:hint="eastAsia" w:hAnsi="宋体" w:cs="宋体"/>
          <w:spacing w:val="6"/>
          <w:sz w:val="24"/>
          <w:szCs w:val="24"/>
        </w:rPr>
        <w:t xml:space="preserve">）政府采购活动，经与本单位法人代表（负责人）联系确认，现就有关公平竞争事项郑重声明如下： </w:t>
      </w:r>
    </w:p>
    <w:p w14:paraId="6F0A238A">
      <w:pPr>
        <w:pStyle w:val="66"/>
        <w:widowControl/>
        <w:numPr>
          <w:ilvl w:val="0"/>
          <w:numId w:val="11"/>
        </w:numPr>
        <w:snapToGrid w:val="0"/>
        <w:spacing w:line="400" w:lineRule="exact"/>
        <w:ind w:firstLine="453" w:firstLineChars="189"/>
        <w:rPr>
          <w:rFonts w:ascii="宋体" w:hAnsi="宋体" w:cs="宋体"/>
          <w:kern w:val="0"/>
          <w:sz w:val="24"/>
          <w:szCs w:val="24"/>
        </w:rPr>
      </w:pPr>
      <w:r>
        <w:rPr>
          <w:rFonts w:hint="eastAsia" w:ascii="宋体" w:hAnsi="宋体" w:cs="宋体"/>
          <w:kern w:val="0"/>
          <w:sz w:val="24"/>
          <w:szCs w:val="24"/>
        </w:rPr>
        <w:t xml:space="preserve">本单位与采购人之间 </w:t>
      </w:r>
      <w:r>
        <w:rPr>
          <w:rFonts w:hint="eastAsia" w:ascii="宋体" w:hAnsi="宋体" w:cs="宋体"/>
          <w:kern w:val="0"/>
          <w:sz w:val="24"/>
          <w:szCs w:val="24"/>
          <w:lang w:eastAsia="zh-CN"/>
        </w:rPr>
        <w:t>□</w:t>
      </w:r>
      <w:r>
        <w:rPr>
          <w:rFonts w:hint="eastAsia" w:ascii="宋体" w:hAnsi="宋体" w:cs="宋体"/>
          <w:kern w:val="0"/>
          <w:sz w:val="24"/>
          <w:szCs w:val="24"/>
        </w:rPr>
        <w:t>不存在利害关系 □存在下列利害关系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488A9ED">
      <w:pPr>
        <w:pStyle w:val="66"/>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A.投资关系    B.行政隶属关系    C.业务指导关系</w:t>
      </w:r>
    </w:p>
    <w:p w14:paraId="1D3B0417">
      <w:pPr>
        <w:pStyle w:val="66"/>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D.其他可能</w:t>
      </w:r>
      <w:r>
        <w:rPr>
          <w:rFonts w:hint="eastAsia" w:ascii="宋体" w:hAnsi="宋体" w:cs="宋体"/>
          <w:sz w:val="24"/>
          <w:szCs w:val="24"/>
        </w:rPr>
        <w:t>影响采购公正的</w:t>
      </w:r>
      <w:r>
        <w:rPr>
          <w:rFonts w:hint="eastAsia" w:ascii="宋体" w:hAnsi="宋体" w:cs="宋体"/>
          <w:kern w:val="0"/>
          <w:sz w:val="24"/>
          <w:szCs w:val="24"/>
        </w:rPr>
        <w:t>利害关系</w:t>
      </w:r>
      <w:r>
        <w:rPr>
          <w:rFonts w:hint="eastAsia" w:ascii="宋体" w:hAnsi="宋体" w:cs="宋体"/>
          <w:kern w:val="0"/>
          <w:sz w:val="24"/>
          <w:szCs w:val="24"/>
          <w:u w:val="single"/>
        </w:rPr>
        <w:t xml:space="preserve">（如有，请如实说明）                 </w:t>
      </w:r>
      <w:r>
        <w:rPr>
          <w:rFonts w:hint="eastAsia" w:ascii="宋体" w:hAnsi="宋体" w:cs="宋体"/>
          <w:kern w:val="0"/>
          <w:sz w:val="24"/>
          <w:szCs w:val="24"/>
        </w:rPr>
        <w:t>。</w:t>
      </w:r>
    </w:p>
    <w:p w14:paraId="7E914498">
      <w:pPr>
        <w:pStyle w:val="66"/>
        <w:widowControl/>
        <w:snapToGrid w:val="0"/>
        <w:spacing w:line="400" w:lineRule="exact"/>
        <w:ind w:firstLine="504"/>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10AEB41">
      <w:pPr>
        <w:pStyle w:val="65"/>
        <w:snapToGrid w:val="0"/>
        <w:spacing w:line="400" w:lineRule="exact"/>
        <w:ind w:firstLine="0" w:firstLineChars="0"/>
        <w:rPr>
          <w:rFonts w:hAnsi="宋体" w:cs="宋体"/>
          <w:sz w:val="24"/>
          <w:szCs w:val="24"/>
        </w:rPr>
      </w:pPr>
      <w:r>
        <w:rPr>
          <w:rFonts w:hint="eastAsia" w:hAnsi="宋体" w:cs="宋体"/>
          <w:sz w:val="24"/>
          <w:szCs w:val="24"/>
        </w:rPr>
        <w:t xml:space="preserve">  A.法定代表人或负责人或实际控制人是同一人</w:t>
      </w:r>
    </w:p>
    <w:p w14:paraId="110205A9">
      <w:pPr>
        <w:pStyle w:val="65"/>
        <w:snapToGrid w:val="0"/>
        <w:spacing w:line="400" w:lineRule="exact"/>
        <w:ind w:firstLine="0" w:firstLineChars="0"/>
        <w:rPr>
          <w:rFonts w:hAnsi="宋体" w:cs="宋体"/>
          <w:spacing w:val="6"/>
          <w:sz w:val="24"/>
          <w:szCs w:val="24"/>
        </w:rPr>
      </w:pPr>
      <w:r>
        <w:rPr>
          <w:rFonts w:hint="eastAsia" w:hAnsi="宋体" w:cs="宋体"/>
          <w:sz w:val="24"/>
          <w:szCs w:val="24"/>
        </w:rPr>
        <w:t xml:space="preserve">  B.法定代表人或负责人或实际控制人是夫妻关系</w:t>
      </w:r>
    </w:p>
    <w:p w14:paraId="398B5260">
      <w:pPr>
        <w:pStyle w:val="65"/>
        <w:snapToGrid w:val="0"/>
        <w:spacing w:line="400" w:lineRule="exact"/>
        <w:ind w:firstLine="0" w:firstLineChars="0"/>
        <w:rPr>
          <w:rFonts w:hAnsi="宋体" w:cs="宋体"/>
          <w:spacing w:val="6"/>
          <w:sz w:val="24"/>
          <w:szCs w:val="24"/>
        </w:rPr>
      </w:pPr>
      <w:r>
        <w:rPr>
          <w:rFonts w:hint="eastAsia" w:hAnsi="宋体" w:cs="宋体"/>
          <w:sz w:val="24"/>
          <w:szCs w:val="24"/>
        </w:rPr>
        <w:t xml:space="preserve">  C.法定代表人或负责人或实际控制人是直系血亲关系</w:t>
      </w:r>
    </w:p>
    <w:p w14:paraId="7269438A">
      <w:pPr>
        <w:pStyle w:val="65"/>
        <w:snapToGrid w:val="0"/>
        <w:spacing w:line="400" w:lineRule="exact"/>
        <w:ind w:firstLine="0" w:firstLineChars="0"/>
        <w:rPr>
          <w:rFonts w:hAnsi="宋体" w:cs="宋体"/>
          <w:spacing w:val="6"/>
          <w:sz w:val="24"/>
          <w:szCs w:val="24"/>
        </w:rPr>
      </w:pPr>
      <w:r>
        <w:rPr>
          <w:rFonts w:hint="eastAsia" w:hAnsi="宋体" w:cs="宋体"/>
          <w:sz w:val="24"/>
          <w:szCs w:val="24"/>
        </w:rPr>
        <w:t xml:space="preserve">  D.法定代表人或负责人或实际控制人存在三代以内旁系血亲关系</w:t>
      </w:r>
    </w:p>
    <w:p w14:paraId="1E4F8BB4">
      <w:pPr>
        <w:pStyle w:val="65"/>
        <w:snapToGrid w:val="0"/>
        <w:spacing w:line="400" w:lineRule="exact"/>
        <w:ind w:firstLine="0" w:firstLineChars="0"/>
        <w:rPr>
          <w:rFonts w:hAnsi="宋体" w:cs="宋体"/>
          <w:sz w:val="24"/>
          <w:szCs w:val="24"/>
        </w:rPr>
      </w:pPr>
      <w:r>
        <w:rPr>
          <w:rFonts w:hint="eastAsia" w:hAnsi="宋体" w:cs="宋体"/>
          <w:sz w:val="24"/>
          <w:szCs w:val="24"/>
        </w:rPr>
        <w:t xml:space="preserve">  E.法定代表人或负责人或实际控制人存在近姻亲关系</w:t>
      </w:r>
    </w:p>
    <w:p w14:paraId="75941736">
      <w:pPr>
        <w:pStyle w:val="65"/>
        <w:snapToGrid w:val="0"/>
        <w:spacing w:line="400" w:lineRule="exact"/>
        <w:ind w:firstLine="0" w:firstLineChars="0"/>
        <w:rPr>
          <w:rFonts w:hAnsi="宋体" w:cs="宋体"/>
          <w:sz w:val="24"/>
          <w:szCs w:val="24"/>
        </w:rPr>
      </w:pPr>
      <w:r>
        <w:rPr>
          <w:rFonts w:hint="eastAsia" w:hAnsi="宋体" w:cs="宋体"/>
          <w:sz w:val="24"/>
          <w:szCs w:val="24"/>
        </w:rPr>
        <w:t xml:space="preserve">  F.法定代表人或负责人或实际控制人存在股份控制或实际控制关系</w:t>
      </w:r>
    </w:p>
    <w:p w14:paraId="42E2AFBA">
      <w:pPr>
        <w:pStyle w:val="65"/>
        <w:snapToGrid w:val="0"/>
        <w:spacing w:line="400" w:lineRule="exact"/>
        <w:ind w:firstLine="0" w:firstLineChars="0"/>
        <w:rPr>
          <w:rFonts w:hAnsi="宋体" w:cs="宋体"/>
          <w:sz w:val="24"/>
          <w:szCs w:val="24"/>
        </w:rPr>
      </w:pPr>
      <w:r>
        <w:rPr>
          <w:rFonts w:hint="eastAsia" w:hAnsi="宋体" w:cs="宋体"/>
          <w:sz w:val="24"/>
          <w:szCs w:val="24"/>
        </w:rPr>
        <w:t xml:space="preserve">  G.存在共同直接或间接投资设立子公司、联营企业和合营企业情况</w:t>
      </w:r>
    </w:p>
    <w:p w14:paraId="15DB882F">
      <w:pPr>
        <w:pStyle w:val="65"/>
        <w:snapToGrid w:val="0"/>
        <w:spacing w:line="400" w:lineRule="exact"/>
        <w:ind w:firstLine="0" w:firstLineChars="0"/>
        <w:rPr>
          <w:rFonts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6FDD77B7">
      <w:pPr>
        <w:pStyle w:val="65"/>
        <w:snapToGrid w:val="0"/>
        <w:spacing w:line="400" w:lineRule="exact"/>
        <w:ind w:firstLine="0" w:firstLineChars="0"/>
        <w:rPr>
          <w:rFonts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6C76612F">
      <w:pPr>
        <w:pStyle w:val="66"/>
        <w:widowControl/>
        <w:numPr>
          <w:ilvl w:val="0"/>
          <w:numId w:val="12"/>
        </w:numPr>
        <w:snapToGrid w:val="0"/>
        <w:spacing w:line="400" w:lineRule="exact"/>
        <w:ind w:firstLine="453" w:firstLineChars="189"/>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2D01D20A">
      <w:pPr>
        <w:pStyle w:val="66"/>
        <w:widowControl/>
        <w:numPr>
          <w:ilvl w:val="0"/>
          <w:numId w:val="12"/>
        </w:numPr>
        <w:snapToGrid w:val="0"/>
        <w:spacing w:line="400" w:lineRule="exact"/>
        <w:ind w:firstLine="453" w:firstLineChars="189"/>
        <w:rPr>
          <w:rFonts w:ascii="宋体" w:hAnsi="宋体" w:cs="宋体"/>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r>
        <w:rPr>
          <w:rFonts w:hint="eastAsia" w:ascii="宋体" w:hAnsi="宋体" w:cs="宋体"/>
          <w:sz w:val="24"/>
          <w:szCs w:val="24"/>
        </w:rPr>
        <w:t xml:space="preserve">                         </w:t>
      </w:r>
    </w:p>
    <w:p w14:paraId="7EB6933E">
      <w:pPr>
        <w:pStyle w:val="65"/>
        <w:snapToGrid w:val="0"/>
        <w:spacing w:line="400" w:lineRule="exact"/>
        <w:ind w:left="0" w:leftChars="0" w:firstLine="4560" w:firstLineChars="1900"/>
        <w:rPr>
          <w:rFonts w:hAnsi="宋体" w:cs="宋体"/>
          <w:sz w:val="24"/>
          <w:szCs w:val="24"/>
        </w:rPr>
      </w:pPr>
      <w:r>
        <w:rPr>
          <w:rFonts w:hint="eastAsia" w:hAnsi="宋体" w:cs="宋体"/>
          <w:sz w:val="24"/>
          <w:szCs w:val="24"/>
        </w:rPr>
        <w:t>供应商代表签名：</w:t>
      </w:r>
    </w:p>
    <w:p w14:paraId="03F7B91F">
      <w:pPr>
        <w:pStyle w:val="65"/>
        <w:snapToGrid w:val="0"/>
        <w:spacing w:line="400" w:lineRule="exact"/>
        <w:ind w:left="4410" w:leftChars="2100" w:firstLine="0" w:firstLineChars="0"/>
        <w:rPr>
          <w:rFonts w:hAnsi="宋体" w:cs="宋体"/>
          <w:b/>
          <w:bCs/>
          <w:color w:val="000000"/>
          <w:szCs w:val="21"/>
        </w:rPr>
      </w:pPr>
      <w:r>
        <w:rPr>
          <w:rFonts w:hint="eastAsia" w:hAnsi="宋体" w:cs="宋体"/>
          <w:sz w:val="24"/>
          <w:szCs w:val="24"/>
        </w:rPr>
        <w:t>202</w:t>
      </w:r>
      <w:r>
        <w:rPr>
          <w:rFonts w:hint="eastAsia" w:hAnsi="宋体" w:cs="宋体"/>
          <w:sz w:val="24"/>
          <w:szCs w:val="24"/>
          <w:lang w:val="en-US" w:eastAsia="zh-CN"/>
        </w:rPr>
        <w:t>5</w:t>
      </w:r>
      <w:r>
        <w:rPr>
          <w:rFonts w:hint="eastAsia" w:hAnsi="宋体" w:cs="宋体"/>
          <w:sz w:val="24"/>
          <w:szCs w:val="24"/>
        </w:rPr>
        <w:t>年   月   日</w:t>
      </w:r>
    </w:p>
    <w:p w14:paraId="288F22B5">
      <w:pPr>
        <w:spacing w:line="400" w:lineRule="exact"/>
        <w:ind w:firstLine="442"/>
        <w:rPr>
          <w:rFonts w:hint="eastAsia" w:ascii="宋体" w:hAnsi="宋体" w:cs="宋体"/>
          <w:b/>
          <w:bCs/>
          <w:color w:val="000000"/>
          <w:sz w:val="22"/>
          <w:szCs w:val="22"/>
        </w:rPr>
      </w:pPr>
      <w:r>
        <w:rPr>
          <w:rFonts w:hint="eastAsia" w:ascii="宋体" w:hAnsi="宋体" w:cs="宋体"/>
          <w:b/>
          <w:bCs/>
          <w:color w:val="000000"/>
          <w:sz w:val="22"/>
          <w:szCs w:val="22"/>
        </w:rPr>
        <w:t>注：投标文件解密结束后，各供应商签署《政府采购活动现场确认声明书》，并在规定时间内通过邮件形式</w:t>
      </w:r>
      <w:r>
        <w:rPr>
          <w:rFonts w:hint="eastAsia" w:ascii="宋体" w:hAnsi="宋体" w:cs="宋体"/>
          <w:b/>
          <w:bCs/>
          <w:color w:val="000000"/>
          <w:sz w:val="22"/>
          <w:szCs w:val="22"/>
          <w:lang w:val="en-US" w:eastAsia="zh-CN"/>
        </w:rPr>
        <w:t>以扫描件格式</w:t>
      </w:r>
      <w:r>
        <w:rPr>
          <w:rFonts w:hint="eastAsia" w:ascii="宋体" w:hAnsi="宋体" w:cs="宋体"/>
          <w:b/>
          <w:bCs/>
          <w:color w:val="000000"/>
          <w:sz w:val="22"/>
          <w:szCs w:val="22"/>
        </w:rPr>
        <w:t>发送至采购代理机构邮箱：875506599@qq.com，如未如实填写，将有可能影响你</w:t>
      </w:r>
      <w:r>
        <w:rPr>
          <w:rFonts w:hint="eastAsia" w:ascii="宋体" w:hAnsi="宋体" w:cs="宋体"/>
          <w:b/>
          <w:bCs/>
          <w:color w:val="000000"/>
          <w:sz w:val="22"/>
          <w:szCs w:val="22"/>
          <w:lang w:val="en-US" w:eastAsia="zh-CN"/>
        </w:rPr>
        <w:t>单位</w:t>
      </w:r>
      <w:r>
        <w:rPr>
          <w:rFonts w:hint="eastAsia" w:ascii="宋体" w:hAnsi="宋体" w:cs="宋体"/>
          <w:b/>
          <w:bCs/>
          <w:color w:val="000000"/>
          <w:sz w:val="22"/>
          <w:szCs w:val="22"/>
        </w:rPr>
        <w:t>投标文件评审（政</w:t>
      </w:r>
      <w:r>
        <w:rPr>
          <w:rFonts w:hint="eastAsia" w:ascii="宋体" w:hAnsi="宋体" w:cs="宋体"/>
          <w:b/>
          <w:bCs/>
          <w:color w:val="000000"/>
          <w:sz w:val="22"/>
          <w:szCs w:val="22"/>
          <w:lang w:val="en-US" w:eastAsia="zh-CN"/>
        </w:rPr>
        <w:t>企</w:t>
      </w:r>
      <w:r>
        <w:rPr>
          <w:rFonts w:hint="eastAsia" w:ascii="宋体" w:hAnsi="宋体" w:cs="宋体"/>
          <w:b/>
          <w:bCs/>
          <w:color w:val="000000"/>
          <w:sz w:val="22"/>
          <w:szCs w:val="22"/>
        </w:rPr>
        <w:t>采购活动现场确认声明书格式见附表）。</w:t>
      </w:r>
      <w:bookmarkStart w:id="123" w:name="_Toc465665161"/>
    </w:p>
    <w:p w14:paraId="42C85574">
      <w:pPr>
        <w:spacing w:line="400" w:lineRule="exact"/>
        <w:ind w:firstLine="442"/>
        <w:rPr>
          <w:rFonts w:hint="eastAsia" w:ascii="宋体" w:hAnsi="宋体" w:cs="宋体"/>
          <w:b/>
          <w:bCs/>
          <w:color w:val="000000"/>
          <w:sz w:val="22"/>
          <w:szCs w:val="22"/>
        </w:rPr>
      </w:pPr>
    </w:p>
    <w:bookmarkEnd w:id="123"/>
    <w:p w14:paraId="782BC22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423FB83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C6655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6AABD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1FA847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161F2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3CBAAC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2C17F5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127F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E7751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6F0C5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010A05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0334BA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537D6F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756D28C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1CBA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344388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0F1D12CA">
      <w:pPr>
        <w:snapToGrid w:val="0"/>
        <w:spacing w:line="360" w:lineRule="auto"/>
        <w:rPr>
          <w:rFonts w:hint="eastAsia" w:ascii="宋体" w:hAnsi="宋体" w:eastAsia="宋体" w:cs="宋体"/>
          <w:color w:val="auto"/>
          <w:sz w:val="24"/>
          <w:highlight w:val="none"/>
        </w:rPr>
      </w:pPr>
    </w:p>
    <w:p w14:paraId="245B76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4DE2020F">
      <w:pPr>
        <w:snapToGrid w:val="0"/>
        <w:spacing w:line="360" w:lineRule="auto"/>
        <w:rPr>
          <w:rFonts w:hint="eastAsia" w:ascii="宋体" w:hAnsi="宋体" w:eastAsia="宋体" w:cs="宋体"/>
          <w:color w:val="auto"/>
          <w:sz w:val="24"/>
          <w:highlight w:val="none"/>
          <w:u w:val="dotted"/>
        </w:rPr>
      </w:pPr>
    </w:p>
    <w:p w14:paraId="19264D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5802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A9ABB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E5D8B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5EA8E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CCF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E489D87">
      <w:pPr>
        <w:spacing w:line="360" w:lineRule="auto"/>
        <w:ind w:left="0" w:leftChars="0" w:firstLine="0" w:firstLineChars="0"/>
        <w:rPr>
          <w:rFonts w:hint="eastAsia" w:ascii="宋体" w:hAnsi="宋体" w:eastAsia="宋体" w:cs="宋体"/>
          <w:b/>
          <w:color w:val="auto"/>
          <w:sz w:val="24"/>
          <w:highlight w:val="none"/>
        </w:rPr>
      </w:pPr>
    </w:p>
    <w:p w14:paraId="3D55EB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462EA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15B4C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CDBFB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C90A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57F0A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3113B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82EDAD">
      <w:pPr>
        <w:widowControl/>
        <w:spacing w:line="360" w:lineRule="auto"/>
        <w:ind w:firstLine="600" w:firstLineChars="200"/>
        <w:jc w:val="left"/>
        <w:rPr>
          <w:rFonts w:hint="eastAsia" w:ascii="宋体" w:hAnsi="宋体" w:eastAsia="宋体" w:cs="宋体"/>
          <w:color w:val="auto"/>
          <w:sz w:val="30"/>
          <w:szCs w:val="30"/>
          <w:highlight w:val="none"/>
        </w:rPr>
      </w:pPr>
    </w:p>
    <w:p w14:paraId="6B31B2BA">
      <w:pPr>
        <w:spacing w:line="360" w:lineRule="auto"/>
        <w:jc w:val="center"/>
        <w:rPr>
          <w:rFonts w:hint="eastAsia" w:ascii="宋体" w:hAnsi="宋体" w:eastAsia="宋体" w:cs="宋体"/>
          <w:b/>
          <w:color w:val="auto"/>
          <w:spacing w:val="6"/>
          <w:sz w:val="32"/>
          <w:szCs w:val="32"/>
          <w:highlight w:val="none"/>
        </w:rPr>
      </w:pPr>
    </w:p>
    <w:p w14:paraId="3073F86F">
      <w:pPr>
        <w:pStyle w:val="37"/>
        <w:rPr>
          <w:rFonts w:hint="eastAsia" w:ascii="宋体" w:hAnsi="宋体" w:eastAsia="宋体" w:cs="宋体"/>
          <w:color w:val="auto"/>
          <w:highlight w:val="none"/>
        </w:rPr>
      </w:pPr>
    </w:p>
    <w:p w14:paraId="3923EDFF">
      <w:pPr>
        <w:pStyle w:val="38"/>
        <w:rPr>
          <w:rFonts w:hint="eastAsia" w:ascii="宋体" w:hAnsi="宋体" w:eastAsia="宋体" w:cs="宋体"/>
          <w:color w:val="auto"/>
          <w:highlight w:val="none"/>
        </w:rPr>
      </w:pPr>
    </w:p>
    <w:p w14:paraId="35C63E56">
      <w:pPr>
        <w:rPr>
          <w:rFonts w:hint="eastAsia" w:ascii="宋体" w:hAnsi="宋体" w:eastAsia="宋体" w:cs="宋体"/>
          <w:color w:val="auto"/>
          <w:highlight w:val="none"/>
        </w:rPr>
      </w:pPr>
    </w:p>
    <w:p w14:paraId="6E66A676">
      <w:pPr>
        <w:pStyle w:val="37"/>
        <w:rPr>
          <w:rFonts w:hint="eastAsia" w:ascii="宋体" w:hAnsi="宋体" w:eastAsia="宋体" w:cs="宋体"/>
          <w:color w:val="auto"/>
          <w:highlight w:val="none"/>
        </w:rPr>
      </w:pPr>
    </w:p>
    <w:p w14:paraId="51C2B44D">
      <w:pPr>
        <w:pStyle w:val="38"/>
        <w:rPr>
          <w:rFonts w:hint="eastAsia" w:ascii="宋体" w:hAnsi="宋体" w:eastAsia="宋体" w:cs="宋体"/>
          <w:color w:val="auto"/>
          <w:highlight w:val="none"/>
        </w:rPr>
      </w:pPr>
    </w:p>
    <w:p w14:paraId="300856A0">
      <w:pPr>
        <w:rPr>
          <w:rFonts w:hint="eastAsia" w:ascii="宋体" w:hAnsi="宋体" w:eastAsia="宋体" w:cs="宋体"/>
          <w:color w:val="auto"/>
          <w:highlight w:val="none"/>
        </w:rPr>
      </w:pPr>
    </w:p>
    <w:p w14:paraId="40B590B6">
      <w:pPr>
        <w:pStyle w:val="37"/>
        <w:rPr>
          <w:rFonts w:hint="eastAsia" w:ascii="宋体" w:hAnsi="宋体" w:eastAsia="宋体" w:cs="宋体"/>
          <w:color w:val="auto"/>
          <w:highlight w:val="none"/>
        </w:rPr>
      </w:pPr>
    </w:p>
    <w:p w14:paraId="1540AEA9">
      <w:pPr>
        <w:pStyle w:val="38"/>
        <w:rPr>
          <w:rFonts w:hint="eastAsia" w:ascii="宋体" w:hAnsi="宋体" w:eastAsia="宋体" w:cs="宋体"/>
          <w:color w:val="auto"/>
          <w:highlight w:val="none"/>
        </w:rPr>
      </w:pPr>
    </w:p>
    <w:p w14:paraId="2FD77BFE">
      <w:pPr>
        <w:rPr>
          <w:rFonts w:hint="eastAsia" w:ascii="宋体" w:hAnsi="宋体" w:eastAsia="宋体" w:cs="宋体"/>
          <w:color w:val="auto"/>
          <w:highlight w:val="none"/>
        </w:rPr>
      </w:pPr>
    </w:p>
    <w:p w14:paraId="1E5240FB">
      <w:pPr>
        <w:pStyle w:val="37"/>
        <w:rPr>
          <w:rFonts w:hint="eastAsia" w:ascii="宋体" w:hAnsi="宋体" w:eastAsia="宋体" w:cs="宋体"/>
          <w:color w:val="auto"/>
          <w:highlight w:val="none"/>
        </w:rPr>
      </w:pPr>
    </w:p>
    <w:p w14:paraId="71DB0924">
      <w:pPr>
        <w:pStyle w:val="37"/>
        <w:rPr>
          <w:rFonts w:hint="eastAsia" w:ascii="宋体" w:hAnsi="宋体" w:eastAsia="宋体" w:cs="宋体"/>
          <w:color w:val="auto"/>
          <w:highlight w:val="none"/>
        </w:rPr>
      </w:pPr>
    </w:p>
    <w:p w14:paraId="7AE30970">
      <w:pPr>
        <w:pStyle w:val="38"/>
        <w:rPr>
          <w:rFonts w:hint="eastAsia" w:ascii="宋体" w:hAnsi="宋体" w:eastAsia="宋体" w:cs="宋体"/>
          <w:color w:val="auto"/>
          <w:highlight w:val="none"/>
        </w:rPr>
      </w:pPr>
    </w:p>
    <w:p w14:paraId="2AF71E55">
      <w:pPr>
        <w:rPr>
          <w:rFonts w:hint="eastAsia" w:ascii="宋体" w:hAnsi="宋体" w:eastAsia="宋体" w:cs="宋体"/>
          <w:color w:val="auto"/>
          <w:highlight w:val="none"/>
        </w:rPr>
      </w:pPr>
    </w:p>
    <w:p w14:paraId="028A6EB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90CA2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3530E0DA">
      <w:pPr>
        <w:spacing w:line="360" w:lineRule="auto"/>
        <w:jc w:val="center"/>
        <w:rPr>
          <w:rFonts w:hint="eastAsia" w:ascii="宋体" w:hAnsi="宋体" w:eastAsia="宋体" w:cs="宋体"/>
          <w:b/>
          <w:color w:val="auto"/>
          <w:sz w:val="24"/>
          <w:highlight w:val="none"/>
        </w:rPr>
      </w:pPr>
    </w:p>
    <w:p w14:paraId="4155663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F908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F843F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F344D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E3D9CE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1B5D08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157FC0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none"/>
        </w:rPr>
        <w:t>：</w:t>
      </w:r>
    </w:p>
    <w:p w14:paraId="4C4D87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14:paraId="21D7E7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411DB1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178A0F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3F03D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49FF3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CC0A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7488A6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43FA3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0C9C96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D0991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678D72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包号：</w:t>
      </w:r>
    </w:p>
    <w:p w14:paraId="16C8C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FB0B5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27DA75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EEAE4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BC4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0E1D7C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日,向提出质疑，质疑事项为：</w:t>
      </w:r>
    </w:p>
    <w:p w14:paraId="2DB26DB0">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采购人/代理机构</w:t>
      </w:r>
      <w:r>
        <w:rPr>
          <w:rFonts w:hint="eastAsia" w:ascii="宋体" w:hAnsi="宋体" w:eastAsia="宋体" w:cs="宋体"/>
          <w:color w:val="auto"/>
          <w:sz w:val="24"/>
          <w:highlight w:val="none"/>
        </w:rPr>
        <w:t>于年月日,就质疑事项作出了答复/没有在法定期限内作出答复。</w:t>
      </w:r>
    </w:p>
    <w:p w14:paraId="7E0159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C4DCD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投诉事项1：</w:t>
      </w:r>
    </w:p>
    <w:p w14:paraId="28B1F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25376D6">
      <w:pPr>
        <w:spacing w:line="360" w:lineRule="auto"/>
        <w:rPr>
          <w:rFonts w:hint="eastAsia" w:ascii="宋体" w:hAnsi="宋体" w:eastAsia="宋体" w:cs="宋体"/>
          <w:color w:val="auto"/>
          <w:sz w:val="24"/>
          <w:highlight w:val="none"/>
          <w:u w:val="dotted"/>
        </w:rPr>
      </w:pPr>
    </w:p>
    <w:p w14:paraId="7C6835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2372453D">
      <w:pPr>
        <w:spacing w:line="360" w:lineRule="auto"/>
        <w:rPr>
          <w:rFonts w:hint="eastAsia" w:ascii="宋体" w:hAnsi="宋体" w:eastAsia="宋体" w:cs="宋体"/>
          <w:color w:val="auto"/>
          <w:sz w:val="24"/>
          <w:highlight w:val="none"/>
          <w:u w:val="dotted"/>
        </w:rPr>
      </w:pPr>
    </w:p>
    <w:p w14:paraId="567941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p>
    <w:p w14:paraId="21CE62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B93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7E1E6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271D2D98">
      <w:pPr>
        <w:spacing w:line="360" w:lineRule="auto"/>
        <w:rPr>
          <w:rFonts w:hint="eastAsia" w:ascii="宋体" w:hAnsi="宋体" w:eastAsia="宋体" w:cs="宋体"/>
          <w:color w:val="auto"/>
          <w:sz w:val="24"/>
          <w:highlight w:val="none"/>
          <w:u w:val="single"/>
        </w:rPr>
      </w:pPr>
    </w:p>
    <w:p w14:paraId="2A85AE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E98B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1AFD0FE">
      <w:pPr>
        <w:spacing w:line="360" w:lineRule="auto"/>
        <w:ind w:left="0" w:leftChars="0" w:firstLine="0" w:firstLineChars="0"/>
        <w:rPr>
          <w:rFonts w:hint="eastAsia" w:ascii="宋体" w:hAnsi="宋体" w:eastAsia="宋体" w:cs="宋体"/>
          <w:b/>
          <w:color w:val="auto"/>
          <w:sz w:val="24"/>
          <w:highlight w:val="none"/>
        </w:rPr>
      </w:pPr>
    </w:p>
    <w:p w14:paraId="2DEF52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E6AC01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FB35F7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FC671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D7C286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2AE08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1B59D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BDACCA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EEB706">
      <w:pPr>
        <w:autoSpaceDE w:val="0"/>
        <w:autoSpaceDN w:val="0"/>
        <w:ind w:left="0" w:leftChars="0" w:firstLine="0" w:firstLineChars="0"/>
        <w:jc w:val="both"/>
        <w:rPr>
          <w:rFonts w:hint="eastAsia" w:ascii="宋体" w:hAnsi="宋体" w:eastAsia="宋体" w:cs="宋体"/>
          <w:b/>
          <w:color w:val="auto"/>
          <w:spacing w:val="6"/>
          <w:sz w:val="32"/>
          <w:szCs w:val="32"/>
          <w:highlight w:val="none"/>
        </w:rPr>
      </w:pPr>
    </w:p>
    <w:p w14:paraId="29CF2204">
      <w:pPr>
        <w:autoSpaceDE w:val="0"/>
        <w:autoSpaceDN w:val="0"/>
        <w:ind w:left="0" w:leftChars="0" w:firstLine="0" w:firstLineChars="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附件3：</w:t>
      </w:r>
      <w:r>
        <w:rPr>
          <w:rFonts w:hint="eastAsia" w:ascii="宋体" w:hAnsi="宋体" w:eastAsia="宋体" w:cs="宋体"/>
          <w:b/>
          <w:bCs/>
          <w:color w:val="auto"/>
          <w:sz w:val="32"/>
          <w:szCs w:val="32"/>
          <w:highlight w:val="none"/>
        </w:rPr>
        <w:t>业务专用章使用说明函</w:t>
      </w:r>
    </w:p>
    <w:p w14:paraId="3700F0E8">
      <w:pPr>
        <w:spacing w:line="360" w:lineRule="auto"/>
        <w:rPr>
          <w:rFonts w:hint="eastAsia" w:ascii="宋体" w:hAnsi="宋体" w:eastAsia="宋体" w:cs="宋体"/>
          <w:color w:val="auto"/>
          <w:sz w:val="24"/>
          <w:highlight w:val="none"/>
          <w:u w:val="single"/>
        </w:rPr>
      </w:pPr>
    </w:p>
    <w:p w14:paraId="4CCD67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C2800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344B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E3E500">
      <w:pPr>
        <w:spacing w:line="360" w:lineRule="auto"/>
        <w:ind w:firstLine="494"/>
        <w:rPr>
          <w:rFonts w:hint="eastAsia" w:ascii="宋体" w:hAnsi="宋体" w:eastAsia="宋体" w:cs="宋体"/>
          <w:color w:val="auto"/>
          <w:sz w:val="24"/>
          <w:highlight w:val="none"/>
        </w:rPr>
      </w:pPr>
    </w:p>
    <w:p w14:paraId="5EE08650">
      <w:pPr>
        <w:spacing w:line="360" w:lineRule="auto"/>
        <w:ind w:firstLine="494"/>
        <w:rPr>
          <w:rFonts w:hint="eastAsia" w:ascii="宋体" w:hAnsi="宋体" w:eastAsia="宋体" w:cs="宋体"/>
          <w:color w:val="auto"/>
          <w:sz w:val="24"/>
          <w:highlight w:val="none"/>
        </w:rPr>
      </w:pPr>
    </w:p>
    <w:p w14:paraId="0BA742EC">
      <w:pPr>
        <w:spacing w:line="360" w:lineRule="auto"/>
        <w:ind w:firstLine="494"/>
        <w:rPr>
          <w:rFonts w:hint="eastAsia" w:ascii="宋体" w:hAnsi="宋体" w:eastAsia="宋体" w:cs="宋体"/>
          <w:color w:val="auto"/>
          <w:sz w:val="24"/>
          <w:highlight w:val="none"/>
        </w:rPr>
      </w:pPr>
    </w:p>
    <w:p w14:paraId="7080A52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CAF07A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3D91E7">
      <w:pPr>
        <w:pStyle w:val="37"/>
        <w:rPr>
          <w:rFonts w:hint="eastAsia" w:ascii="宋体" w:hAnsi="宋体" w:eastAsia="宋体" w:cs="宋体"/>
          <w:color w:val="auto"/>
          <w:highlight w:val="none"/>
        </w:rPr>
      </w:pPr>
    </w:p>
    <w:p w14:paraId="050C3B4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44F95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投标单位法定名称章（印模）投标单位“XX专用章”（印模）</w:t>
      </w:r>
    </w:p>
    <w:p w14:paraId="2FA020C8">
      <w:pPr>
        <w:pStyle w:val="8"/>
        <w:rPr>
          <w:rFonts w:hint="eastAsia"/>
          <w:lang w:eastAsia="zh-CN"/>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2827020</wp:posOffset>
                </wp:positionH>
                <wp:positionV relativeFrom="paragraph">
                  <wp:posOffset>94615</wp:posOffset>
                </wp:positionV>
                <wp:extent cx="2704465" cy="2254250"/>
                <wp:effectExtent l="4445" t="5080" r="15240" b="7620"/>
                <wp:wrapNone/>
                <wp:docPr id="1026" name="Rectangle 17"/>
                <wp:cNvGraphicFramePr/>
                <a:graphic xmlns:a="http://schemas.openxmlformats.org/drawingml/2006/main">
                  <a:graphicData uri="http://schemas.microsoft.com/office/word/2010/wordprocessingShape">
                    <wps:wsp>
                      <wps:cNvSpPr/>
                      <wps:spPr>
                        <a:xfrm>
                          <a:off x="0" y="0"/>
                          <a:ext cx="2704465" cy="2254250"/>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22.6pt;margin-top:7.45pt;height:177.5pt;width:212.95pt;z-index:-251656192;mso-width-relative:page;mso-height-relative:page;" fillcolor="#FFFFFF" filled="t" stroked="t" coordsize="21600,21600" o:gfxdata="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JQYz9gAAAAKAQAADwAAAAAAAAABACAAAAAiAAAAZHJzL2Rvd25yZXYueG1sUEsBAhQAFAAA&#10;AAgAh07iQIMS/0XvAQAAGgQAAA4AAAAAAAAAAQAgAAAAJwEAAGRycy9lMm9Eb2MueG1sUEsFBgAA&#10;AAAGAAYAWQEAAIgFAAAAAA==&#10;">
                <v:fill on="t" focussize="0,0"/>
                <v:stroke color="#000000" joinstyle="miter"/>
                <v:imagedata o:title=""/>
                <o:lock v:ext="edit" aspectratio="f"/>
              </v:rect>
            </w:pict>
          </mc:Fallback>
        </mc:AlternateContent>
      </w:r>
    </w:p>
    <w:p w14:paraId="285D814F">
      <w:pPr>
        <w:autoSpaceDE w:val="0"/>
        <w:autoSpaceDN w:val="0"/>
        <w:jc w:val="center"/>
        <w:rPr>
          <w:rFonts w:hint="eastAsia" w:ascii="宋体" w:hAnsi="宋体" w:eastAsia="宋体" w:cs="宋体"/>
          <w:b/>
          <w:color w:val="auto"/>
          <w:spacing w:val="6"/>
          <w:sz w:val="32"/>
          <w:szCs w:val="32"/>
          <w:highlight w:val="none"/>
        </w:rPr>
      </w:pPr>
    </w:p>
    <w:p w14:paraId="5D495297">
      <w:pPr>
        <w:autoSpaceDE w:val="0"/>
        <w:autoSpaceDN w:val="0"/>
        <w:jc w:val="center"/>
        <w:rPr>
          <w:rFonts w:hint="eastAsia" w:ascii="宋体" w:hAnsi="宋体" w:eastAsia="宋体" w:cs="宋体"/>
          <w:b/>
          <w:color w:val="auto"/>
          <w:spacing w:val="6"/>
          <w:sz w:val="32"/>
          <w:szCs w:val="32"/>
          <w:highlight w:val="none"/>
        </w:rPr>
      </w:pPr>
    </w:p>
    <w:sectPr>
      <w:headerReference r:id="rId17" w:type="default"/>
      <w:footerReference r:id="rId18"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5755">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300F">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0DB5">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3DBD">
    <w:pPr>
      <w:pStyle w:val="16"/>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1D0B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61D0B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7BC">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C58F">
    <w:pPr>
      <w:pStyle w:val="16"/>
      <w:ind w:firstLine="360"/>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7EA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A37EA1">
                    <w:pPr>
                      <w:pStyle w:val="16"/>
                    </w:pPr>
                    <w:r>
                      <w:fldChar w:fldCharType="begin"/>
                    </w:r>
                    <w:r>
                      <w:instrText xml:space="preserve"> PAGE  \* MERGEFORMAT </w:instrText>
                    </w:r>
                    <w:r>
                      <w:fldChar w:fldCharType="separate"/>
                    </w:r>
                    <w:r>
                      <w:t>31</w:t>
                    </w:r>
                    <w:r>
                      <w:fldChar w:fldCharType="end"/>
                    </w:r>
                  </w:p>
                </w:txbxContent>
              </v:textbox>
            </v:shape>
          </w:pict>
        </mc:Fallback>
      </mc:AlternateContent>
    </w:r>
  </w:p>
  <w:p w14:paraId="1A45C520">
    <w:pPr>
      <w:ind w:firstLine="420"/>
      <w:rPr>
        <w:rFonts w:ascii="仿宋_GB2312" w:eastAsia="仿宋_GB2312"/>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8258">
    <w:pPr>
      <w:pStyle w:val="16"/>
      <w:ind w:firstLine="36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60770">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A60770">
                    <w:pPr>
                      <w:pStyle w:val="16"/>
                    </w:pPr>
                    <w:r>
                      <w:fldChar w:fldCharType="begin"/>
                    </w:r>
                    <w:r>
                      <w:instrText xml:space="preserve"> PAGE  \* MERGEFORMAT </w:instrText>
                    </w:r>
                    <w:r>
                      <w:fldChar w:fldCharType="separate"/>
                    </w:r>
                    <w:r>
                      <w:t>30</w:t>
                    </w:r>
                    <w:r>
                      <w:fldChar w:fldCharType="end"/>
                    </w:r>
                  </w:p>
                </w:txbxContent>
              </v:textbox>
            </v:shape>
          </w:pict>
        </mc:Fallback>
      </mc:AlternateContent>
    </w:r>
  </w:p>
  <w:p w14:paraId="53F994FE">
    <w:pPr>
      <w:ind w:firstLine="420"/>
      <w:rPr>
        <w:rFonts w:ascii="仿宋_GB2312" w:eastAsia="仿宋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C790">
    <w:pPr>
      <w:pStyle w:val="16"/>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CE3D4">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6CE3D4">
                    <w:pPr>
                      <w:pStyle w:val="16"/>
                    </w:pPr>
                    <w:r>
                      <w:fldChar w:fldCharType="begin"/>
                    </w:r>
                    <w:r>
                      <w:instrText xml:space="preserve"> PAGE  \* MERGEFORMAT </w:instrText>
                    </w:r>
                    <w:r>
                      <w:fldChar w:fldCharType="separate"/>
                    </w:r>
                    <w:r>
                      <w:t>67</w:t>
                    </w:r>
                    <w:r>
                      <w:fldChar w:fldCharType="end"/>
                    </w:r>
                  </w:p>
                </w:txbxContent>
              </v:textbox>
            </v:shape>
          </w:pict>
        </mc:Fallback>
      </mc:AlternateContent>
    </w:r>
  </w:p>
  <w:p w14:paraId="33179203">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A202">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66D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27C4">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AFE6">
    <w:pPr>
      <w:pStyle w:val="17"/>
      <w:pBdr>
        <w:bottom w:val="thickThinSmallGap" w:color="auto" w:sz="12" w:space="1"/>
      </w:pBdr>
      <w:ind w:left="0" w:leftChars="0" w:firstLine="0" w:firstLineChars="0"/>
      <w:jc w:val="both"/>
      <w:rPr>
        <w:rFonts w:ascii="仿宋_GB2312" w:eastAsia="仿宋_GB2312"/>
        <w:b/>
        <w:i/>
        <w:sz w:val="18"/>
        <w:szCs w:val="24"/>
        <w:u w:val="single"/>
      </w:rPr>
    </w:pPr>
    <w:r>
      <w:rPr>
        <w:rFonts w:hint="eastAsia" w:ascii="宋体" w:hAnsi="宋体" w:cs="宋体"/>
        <w:b/>
        <w:i w:val="0"/>
        <w:iCs w:val="0"/>
        <w:kern w:val="1"/>
        <w:sz w:val="18"/>
        <w:szCs w:val="18"/>
      </w:rPr>
      <w:t>浙江广通工程咨询有限公司</w:t>
    </w:r>
    <w:r>
      <w:rPr>
        <w:rFonts w:hint="eastAsia" w:ascii="宋体" w:hAnsi="宋体" w:cs="宋体"/>
        <w:b/>
        <w:i/>
        <w:iCs/>
        <w:kern w:val="1"/>
        <w:sz w:val="20"/>
        <w:szCs w:val="20"/>
      </w:rPr>
      <w:t xml:space="preserve">  </w:t>
    </w:r>
    <w:r>
      <w:rPr>
        <w:rFonts w:hint="eastAsia" w:ascii="宋体" w:hAnsi="宋体" w:cs="宋体"/>
        <w:b/>
        <w:kern w:val="1"/>
        <w:sz w:val="20"/>
        <w:szCs w:val="20"/>
      </w:rPr>
      <w:t xml:space="preserve">  </w:t>
    </w:r>
    <w:r>
      <w:rPr>
        <w:rFonts w:hint="eastAsia" w:ascii="宋体" w:hAnsi="宋体" w:cs="宋体"/>
        <w:b/>
        <w:kern w:val="1"/>
      </w:rPr>
      <w:t xml:space="preserve">                                               </w:t>
    </w:r>
    <w:r>
      <w:rPr>
        <w:rFonts w:hint="eastAsia" w:ascii="宋体" w:hAnsi="宋体" w:cs="宋体"/>
        <w:b/>
        <w:kern w:val="1"/>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EB3">
    <w:pPr>
      <w:pBdr>
        <w:bottom w:val="single" w:color="auto" w:sz="4" w:space="0"/>
      </w:pBdr>
      <w:spacing w:line="380" w:lineRule="exact"/>
      <w:ind w:firstLine="361"/>
      <w:rPr>
        <w:sz w:val="18"/>
        <w:szCs w:val="24"/>
      </w:rPr>
    </w:pPr>
    <w:r>
      <w:rPr>
        <w:rFonts w:hint="eastAsia" w:ascii="宋体" w:hAnsi="宋体" w:cs="宋体"/>
        <w:b/>
        <w:kern w:val="1"/>
        <w:sz w:val="18"/>
        <w:szCs w:val="18"/>
      </w:rPr>
      <w:t xml:space="preserve">浙江广通工程咨询有限公司                                                   </w:t>
    </w:r>
    <w:r>
      <w:rPr>
        <w:rFonts w:hint="eastAsia" w:ascii="宋体" w:hAnsi="宋体" w:cs="宋体"/>
        <w:b/>
        <w:kern w:val="1"/>
        <w:szCs w:val="21"/>
      </w:rPr>
      <w:t xml:space="preserve">   </w:t>
    </w:r>
    <w:r>
      <w:rPr>
        <w:rFonts w:hint="eastAsia"/>
        <w:sz w:val="18"/>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9FA9">
    <w:pPr>
      <w:pStyle w:val="17"/>
      <w:ind w:firstLine="360"/>
      <w:jc w:val="right"/>
      <w:rPr>
        <w:rFonts w:ascii="仿宋_GB2312" w:eastAsia="仿宋_GB2312"/>
        <w:b/>
        <w:i/>
        <w:szCs w:val="24"/>
        <w:u w:val="single"/>
      </w:rPr>
    </w:pPr>
    <w:r>
      <w:rPr>
        <w:rFonts w:hint="eastAsia"/>
        <w:szCs w:val="24"/>
      </w:rPr>
      <w:t xml:space="preserve">                                 </w:t>
    </w:r>
  </w:p>
  <w:p w14:paraId="1EE3BAA3">
    <w:pPr>
      <w:ind w:firstLine="361"/>
      <w:rPr>
        <w:rFonts w:ascii="仿宋_GB2312" w:eastAsia="仿宋_GB2312"/>
        <w:b/>
        <w:i/>
        <w:sz w:val="18"/>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035CC"/>
    <w:multiLevelType w:val="singleLevel"/>
    <w:tmpl w:val="875035CC"/>
    <w:lvl w:ilvl="0" w:tentative="0">
      <w:start w:val="2"/>
      <w:numFmt w:val="chineseCounting"/>
      <w:suff w:val="nothing"/>
      <w:lvlText w:val="%1、"/>
      <w:lvlJc w:val="left"/>
      <w:rPr>
        <w:rFonts w:hint="eastAsia"/>
      </w:rPr>
    </w:lvl>
  </w:abstractNum>
  <w:abstractNum w:abstractNumId="1">
    <w:nsid w:val="92C214DC"/>
    <w:multiLevelType w:val="singleLevel"/>
    <w:tmpl w:val="92C214DC"/>
    <w:lvl w:ilvl="0" w:tentative="0">
      <w:start w:val="1"/>
      <w:numFmt w:val="decimal"/>
      <w:lvlText w:val="%1."/>
      <w:lvlJc w:val="left"/>
      <w:pPr>
        <w:tabs>
          <w:tab w:val="left" w:pos="312"/>
        </w:tabs>
      </w:pPr>
    </w:lvl>
  </w:abstractNum>
  <w:abstractNum w:abstractNumId="2">
    <w:nsid w:val="93B9F335"/>
    <w:multiLevelType w:val="singleLevel"/>
    <w:tmpl w:val="93B9F335"/>
    <w:lvl w:ilvl="0" w:tentative="0">
      <w:start w:val="1"/>
      <w:numFmt w:val="decimal"/>
      <w:pStyle w:val="7"/>
      <w:lvlText w:val="%1."/>
      <w:lvlJc w:val="left"/>
      <w:pPr>
        <w:tabs>
          <w:tab w:val="left" w:pos="360"/>
        </w:tabs>
        <w:ind w:left="360" w:hanging="360"/>
      </w:pPr>
    </w:lvl>
  </w:abstractNum>
  <w:abstractNum w:abstractNumId="3">
    <w:nsid w:val="BEEB0940"/>
    <w:multiLevelType w:val="singleLevel"/>
    <w:tmpl w:val="BEEB0940"/>
    <w:lvl w:ilvl="0" w:tentative="0">
      <w:start w:val="1"/>
      <w:numFmt w:val="decimal"/>
      <w:lvlText w:val="%1."/>
      <w:lvlJc w:val="left"/>
      <w:pPr>
        <w:tabs>
          <w:tab w:val="left" w:pos="312"/>
        </w:tabs>
        <w:ind w:left="-200"/>
      </w:pPr>
    </w:lvl>
  </w:abstractNum>
  <w:abstractNum w:abstractNumId="4">
    <w:nsid w:val="E0A737EB"/>
    <w:multiLevelType w:val="singleLevel"/>
    <w:tmpl w:val="E0A737EB"/>
    <w:lvl w:ilvl="0" w:tentative="0">
      <w:start w:val="1"/>
      <w:numFmt w:val="decimal"/>
      <w:suff w:val="nothing"/>
      <w:lvlText w:val="（%1）"/>
      <w:lvlJc w:val="left"/>
    </w:lvl>
  </w:abstractNum>
  <w:abstractNum w:abstractNumId="5">
    <w:nsid w:val="E67E7757"/>
    <w:multiLevelType w:val="singleLevel"/>
    <w:tmpl w:val="E67E7757"/>
    <w:lvl w:ilvl="0" w:tentative="0">
      <w:start w:val="1"/>
      <w:numFmt w:val="bullet"/>
      <w:lvlText w:val=""/>
      <w:lvlJc w:val="left"/>
      <w:pPr>
        <w:ind w:left="420" w:hanging="420"/>
      </w:pPr>
      <w:rPr>
        <w:rFonts w:hint="default" w:ascii="Wingdings" w:hAnsi="Wingdings"/>
      </w:rPr>
    </w:lvl>
  </w:abstractNum>
  <w:abstractNum w:abstractNumId="6">
    <w:nsid w:val="FF8002A9"/>
    <w:multiLevelType w:val="singleLevel"/>
    <w:tmpl w:val="FF8002A9"/>
    <w:lvl w:ilvl="0" w:tentative="0">
      <w:start w:val="8"/>
      <w:numFmt w:val="chineseCounting"/>
      <w:suff w:val="nothing"/>
      <w:lvlText w:val="%1、"/>
      <w:lvlJc w:val="left"/>
      <w:rPr>
        <w:rFonts w:hint="eastAsia"/>
      </w:rPr>
    </w:lvl>
  </w:abstractNum>
  <w:abstractNum w:abstractNumId="7">
    <w:nsid w:val="2A0BDADE"/>
    <w:multiLevelType w:val="singleLevel"/>
    <w:tmpl w:val="2A0BDADE"/>
    <w:lvl w:ilvl="0" w:tentative="0">
      <w:start w:val="1"/>
      <w:numFmt w:val="bullet"/>
      <w:lvlText w:val=""/>
      <w:lvlJc w:val="left"/>
      <w:pPr>
        <w:ind w:left="420" w:hanging="420"/>
      </w:pPr>
      <w:rPr>
        <w:rFonts w:hint="default" w:ascii="Wingdings" w:hAnsi="Wingdings"/>
      </w:rPr>
    </w:lvl>
  </w:abstractNum>
  <w:abstractNum w:abstractNumId="8">
    <w:nsid w:val="474CBBD8"/>
    <w:multiLevelType w:val="singleLevel"/>
    <w:tmpl w:val="474CBBD8"/>
    <w:lvl w:ilvl="0" w:tentative="0">
      <w:start w:val="1"/>
      <w:numFmt w:val="decimal"/>
      <w:pStyle w:val="6"/>
      <w:lvlText w:val="%1."/>
      <w:lvlJc w:val="left"/>
      <w:pPr>
        <w:tabs>
          <w:tab w:val="left" w:pos="780"/>
        </w:tabs>
        <w:ind w:left="780" w:hanging="36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96F1A03"/>
    <w:multiLevelType w:val="singleLevel"/>
    <w:tmpl w:val="696F1A03"/>
    <w:lvl w:ilvl="0" w:tentative="0">
      <w:start w:val="1"/>
      <w:numFmt w:val="decimal"/>
      <w:suff w:val="nothing"/>
      <w:lvlText w:val="（%1）"/>
      <w:lvlJc w:val="left"/>
    </w:lvl>
  </w:abstractNum>
  <w:num w:numId="1">
    <w:abstractNumId w:val="8"/>
  </w:num>
  <w:num w:numId="2">
    <w:abstractNumId w:val="2"/>
  </w:num>
  <w:num w:numId="3">
    <w:abstractNumId w:val="4"/>
  </w:num>
  <w:num w:numId="4">
    <w:abstractNumId w:val="0"/>
  </w:num>
  <w:num w:numId="5">
    <w:abstractNumId w:val="1"/>
  </w:num>
  <w:num w:numId="6">
    <w:abstractNumId w:val="7"/>
  </w:num>
  <w:num w:numId="7">
    <w:abstractNumId w:val="5"/>
  </w:num>
  <w:num w:numId="8">
    <w:abstractNumId w:val="3"/>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YxN2I2Y2M4NTRiZTBjZjdhNTkwZDYwMmQwNjEifQ=="/>
  </w:docVars>
  <w:rsids>
    <w:rsidRoot w:val="16274C80"/>
    <w:rsid w:val="000852A8"/>
    <w:rsid w:val="00092509"/>
    <w:rsid w:val="00352320"/>
    <w:rsid w:val="003B3973"/>
    <w:rsid w:val="004E2611"/>
    <w:rsid w:val="00547019"/>
    <w:rsid w:val="00573A28"/>
    <w:rsid w:val="005A2D64"/>
    <w:rsid w:val="00681671"/>
    <w:rsid w:val="006836D3"/>
    <w:rsid w:val="00692E66"/>
    <w:rsid w:val="007A2F73"/>
    <w:rsid w:val="00854FBE"/>
    <w:rsid w:val="00865348"/>
    <w:rsid w:val="008878D1"/>
    <w:rsid w:val="008F3AFE"/>
    <w:rsid w:val="009511AC"/>
    <w:rsid w:val="009A532E"/>
    <w:rsid w:val="009C15CF"/>
    <w:rsid w:val="009F4C1B"/>
    <w:rsid w:val="00A5177B"/>
    <w:rsid w:val="00BD4C1F"/>
    <w:rsid w:val="00BE32F3"/>
    <w:rsid w:val="00C0261C"/>
    <w:rsid w:val="00C313FA"/>
    <w:rsid w:val="00C814D4"/>
    <w:rsid w:val="00DC19CB"/>
    <w:rsid w:val="00E443B8"/>
    <w:rsid w:val="00E72A23"/>
    <w:rsid w:val="00F52A8D"/>
    <w:rsid w:val="00FA00A3"/>
    <w:rsid w:val="0119677B"/>
    <w:rsid w:val="011A24F4"/>
    <w:rsid w:val="01352B1D"/>
    <w:rsid w:val="01401F5A"/>
    <w:rsid w:val="01565C22"/>
    <w:rsid w:val="016043AA"/>
    <w:rsid w:val="016559B0"/>
    <w:rsid w:val="017460A8"/>
    <w:rsid w:val="018604D1"/>
    <w:rsid w:val="018D000E"/>
    <w:rsid w:val="018E53BB"/>
    <w:rsid w:val="019432BD"/>
    <w:rsid w:val="01963E07"/>
    <w:rsid w:val="019714B2"/>
    <w:rsid w:val="01A22C15"/>
    <w:rsid w:val="01B97F5E"/>
    <w:rsid w:val="01D9415D"/>
    <w:rsid w:val="01EE6A86"/>
    <w:rsid w:val="01F01BD2"/>
    <w:rsid w:val="01FD42EF"/>
    <w:rsid w:val="0213141D"/>
    <w:rsid w:val="02291A32"/>
    <w:rsid w:val="0234595A"/>
    <w:rsid w:val="02427F54"/>
    <w:rsid w:val="024E4B4B"/>
    <w:rsid w:val="026305F6"/>
    <w:rsid w:val="02747474"/>
    <w:rsid w:val="02824507"/>
    <w:rsid w:val="02881E0B"/>
    <w:rsid w:val="028B483E"/>
    <w:rsid w:val="02900890"/>
    <w:rsid w:val="029415CA"/>
    <w:rsid w:val="02987B74"/>
    <w:rsid w:val="02A147E9"/>
    <w:rsid w:val="02AD7782"/>
    <w:rsid w:val="02B80B7A"/>
    <w:rsid w:val="02BD0660"/>
    <w:rsid w:val="02C7275D"/>
    <w:rsid w:val="02DA018C"/>
    <w:rsid w:val="02ED4364"/>
    <w:rsid w:val="02EE513F"/>
    <w:rsid w:val="02F94AB6"/>
    <w:rsid w:val="031329E6"/>
    <w:rsid w:val="032C6F7A"/>
    <w:rsid w:val="03327BE2"/>
    <w:rsid w:val="034321D6"/>
    <w:rsid w:val="034C108A"/>
    <w:rsid w:val="034E1C04"/>
    <w:rsid w:val="03653EFA"/>
    <w:rsid w:val="036F3C68"/>
    <w:rsid w:val="03782B1A"/>
    <w:rsid w:val="038F1341"/>
    <w:rsid w:val="039048CF"/>
    <w:rsid w:val="03B1713F"/>
    <w:rsid w:val="03B427AD"/>
    <w:rsid w:val="03BD3D36"/>
    <w:rsid w:val="03C30473"/>
    <w:rsid w:val="03E2021C"/>
    <w:rsid w:val="03E33071"/>
    <w:rsid w:val="03F1578E"/>
    <w:rsid w:val="03F37758"/>
    <w:rsid w:val="03F62DA4"/>
    <w:rsid w:val="03F80920"/>
    <w:rsid w:val="03FF60FC"/>
    <w:rsid w:val="04025BED"/>
    <w:rsid w:val="04137DFA"/>
    <w:rsid w:val="042F4508"/>
    <w:rsid w:val="0440490F"/>
    <w:rsid w:val="044C330C"/>
    <w:rsid w:val="04561A95"/>
    <w:rsid w:val="045D4CC5"/>
    <w:rsid w:val="046C750A"/>
    <w:rsid w:val="04727A0B"/>
    <w:rsid w:val="0482615E"/>
    <w:rsid w:val="04936845"/>
    <w:rsid w:val="049D3B67"/>
    <w:rsid w:val="04B74C29"/>
    <w:rsid w:val="04BB2BA7"/>
    <w:rsid w:val="04CB2483"/>
    <w:rsid w:val="04DE21B6"/>
    <w:rsid w:val="04F76DD4"/>
    <w:rsid w:val="050704DC"/>
    <w:rsid w:val="05410997"/>
    <w:rsid w:val="05526700"/>
    <w:rsid w:val="055E32F7"/>
    <w:rsid w:val="05656433"/>
    <w:rsid w:val="058A5E9A"/>
    <w:rsid w:val="058D6A20"/>
    <w:rsid w:val="05900FD6"/>
    <w:rsid w:val="05942874"/>
    <w:rsid w:val="05976809"/>
    <w:rsid w:val="05A54A82"/>
    <w:rsid w:val="05AA02EA"/>
    <w:rsid w:val="05AE0049"/>
    <w:rsid w:val="05B11678"/>
    <w:rsid w:val="05B22460"/>
    <w:rsid w:val="05B92B70"/>
    <w:rsid w:val="05CB200E"/>
    <w:rsid w:val="05D11D1B"/>
    <w:rsid w:val="05DB12CE"/>
    <w:rsid w:val="05E2157B"/>
    <w:rsid w:val="05E337FC"/>
    <w:rsid w:val="05F24570"/>
    <w:rsid w:val="05FB28F4"/>
    <w:rsid w:val="06085AC8"/>
    <w:rsid w:val="062912E5"/>
    <w:rsid w:val="062A64C0"/>
    <w:rsid w:val="063032E6"/>
    <w:rsid w:val="0639166E"/>
    <w:rsid w:val="06494D3A"/>
    <w:rsid w:val="06744454"/>
    <w:rsid w:val="067B57E2"/>
    <w:rsid w:val="068648B3"/>
    <w:rsid w:val="06872901"/>
    <w:rsid w:val="068B6787"/>
    <w:rsid w:val="0695567D"/>
    <w:rsid w:val="069C69C9"/>
    <w:rsid w:val="06B50CF4"/>
    <w:rsid w:val="06B70F10"/>
    <w:rsid w:val="06E82466"/>
    <w:rsid w:val="06F4757A"/>
    <w:rsid w:val="06F7755F"/>
    <w:rsid w:val="06FD08ED"/>
    <w:rsid w:val="070659F4"/>
    <w:rsid w:val="07097292"/>
    <w:rsid w:val="071F2612"/>
    <w:rsid w:val="07241C47"/>
    <w:rsid w:val="072A0393"/>
    <w:rsid w:val="072D2F81"/>
    <w:rsid w:val="072E6CF9"/>
    <w:rsid w:val="073B6A3E"/>
    <w:rsid w:val="073F4A62"/>
    <w:rsid w:val="07557E59"/>
    <w:rsid w:val="075E75DE"/>
    <w:rsid w:val="07943000"/>
    <w:rsid w:val="07A52452"/>
    <w:rsid w:val="07A52A49"/>
    <w:rsid w:val="07CA6A21"/>
    <w:rsid w:val="07EE72EA"/>
    <w:rsid w:val="07F13FAE"/>
    <w:rsid w:val="07FE66CB"/>
    <w:rsid w:val="080D19C3"/>
    <w:rsid w:val="0817778D"/>
    <w:rsid w:val="08193505"/>
    <w:rsid w:val="081B7BF4"/>
    <w:rsid w:val="082537F9"/>
    <w:rsid w:val="082F4AD6"/>
    <w:rsid w:val="08310FF5"/>
    <w:rsid w:val="08471E20"/>
    <w:rsid w:val="084A33AE"/>
    <w:rsid w:val="084C7436"/>
    <w:rsid w:val="08512C9F"/>
    <w:rsid w:val="0853529F"/>
    <w:rsid w:val="08587C60"/>
    <w:rsid w:val="085F70C6"/>
    <w:rsid w:val="08667C3E"/>
    <w:rsid w:val="088421CE"/>
    <w:rsid w:val="08901A19"/>
    <w:rsid w:val="08AD728E"/>
    <w:rsid w:val="08B51480"/>
    <w:rsid w:val="08BC0A60"/>
    <w:rsid w:val="08C01BD2"/>
    <w:rsid w:val="08D20F35"/>
    <w:rsid w:val="08E61365"/>
    <w:rsid w:val="08EB6C4F"/>
    <w:rsid w:val="091A0B08"/>
    <w:rsid w:val="09202B8C"/>
    <w:rsid w:val="0946657C"/>
    <w:rsid w:val="09491BC8"/>
    <w:rsid w:val="09497E1A"/>
    <w:rsid w:val="0957193B"/>
    <w:rsid w:val="09684744"/>
    <w:rsid w:val="097A4477"/>
    <w:rsid w:val="097C3D4B"/>
    <w:rsid w:val="097F728F"/>
    <w:rsid w:val="098506D5"/>
    <w:rsid w:val="09852E6F"/>
    <w:rsid w:val="098749AC"/>
    <w:rsid w:val="098826F0"/>
    <w:rsid w:val="0989722B"/>
    <w:rsid w:val="09A339CE"/>
    <w:rsid w:val="09B6434D"/>
    <w:rsid w:val="09DB3168"/>
    <w:rsid w:val="0A051F93"/>
    <w:rsid w:val="0A0B523F"/>
    <w:rsid w:val="0A1427E1"/>
    <w:rsid w:val="0A1709AB"/>
    <w:rsid w:val="0A1C108A"/>
    <w:rsid w:val="0A3E36F7"/>
    <w:rsid w:val="0A7477C8"/>
    <w:rsid w:val="0A801619"/>
    <w:rsid w:val="0A893A04"/>
    <w:rsid w:val="0A905715"/>
    <w:rsid w:val="0A9A2F52"/>
    <w:rsid w:val="0AB15C77"/>
    <w:rsid w:val="0ABA32A4"/>
    <w:rsid w:val="0AED566B"/>
    <w:rsid w:val="0AF049F1"/>
    <w:rsid w:val="0AFB246A"/>
    <w:rsid w:val="0AFC15E8"/>
    <w:rsid w:val="0B185CF6"/>
    <w:rsid w:val="0B1D50BA"/>
    <w:rsid w:val="0B2166AE"/>
    <w:rsid w:val="0B5D195B"/>
    <w:rsid w:val="0B78442A"/>
    <w:rsid w:val="0B7849E6"/>
    <w:rsid w:val="0B865355"/>
    <w:rsid w:val="0B8769D7"/>
    <w:rsid w:val="0B896BF3"/>
    <w:rsid w:val="0B9335CE"/>
    <w:rsid w:val="0B9510F4"/>
    <w:rsid w:val="0B9C2890"/>
    <w:rsid w:val="0BB579E9"/>
    <w:rsid w:val="0BB772BD"/>
    <w:rsid w:val="0BCA5242"/>
    <w:rsid w:val="0BCD4D32"/>
    <w:rsid w:val="0BD23A87"/>
    <w:rsid w:val="0BE61950"/>
    <w:rsid w:val="0BED7182"/>
    <w:rsid w:val="0BF4406D"/>
    <w:rsid w:val="0BFD1B76"/>
    <w:rsid w:val="0BFD2E18"/>
    <w:rsid w:val="0BFE6C9A"/>
    <w:rsid w:val="0C0149DC"/>
    <w:rsid w:val="0C0A3890"/>
    <w:rsid w:val="0C160487"/>
    <w:rsid w:val="0C17544E"/>
    <w:rsid w:val="0C1F767A"/>
    <w:rsid w:val="0C2116FC"/>
    <w:rsid w:val="0C213201"/>
    <w:rsid w:val="0C241C28"/>
    <w:rsid w:val="0C29064A"/>
    <w:rsid w:val="0C2A4541"/>
    <w:rsid w:val="0C3703FE"/>
    <w:rsid w:val="0C3722BA"/>
    <w:rsid w:val="0C637445"/>
    <w:rsid w:val="0C686809"/>
    <w:rsid w:val="0C6A2C0A"/>
    <w:rsid w:val="0C6C0502"/>
    <w:rsid w:val="0C9870EE"/>
    <w:rsid w:val="0C9937EA"/>
    <w:rsid w:val="0CAA0BCF"/>
    <w:rsid w:val="0CB00F0A"/>
    <w:rsid w:val="0CB47CA0"/>
    <w:rsid w:val="0CCD7016"/>
    <w:rsid w:val="0CCF6888"/>
    <w:rsid w:val="0CDD4EE8"/>
    <w:rsid w:val="0CF175B3"/>
    <w:rsid w:val="0CFF5876"/>
    <w:rsid w:val="0D014A3C"/>
    <w:rsid w:val="0D0D646B"/>
    <w:rsid w:val="0D2564A8"/>
    <w:rsid w:val="0D374B59"/>
    <w:rsid w:val="0D554FDF"/>
    <w:rsid w:val="0D5C45C0"/>
    <w:rsid w:val="0D5C636E"/>
    <w:rsid w:val="0D645222"/>
    <w:rsid w:val="0D6B4803"/>
    <w:rsid w:val="0D731909"/>
    <w:rsid w:val="0DBE108A"/>
    <w:rsid w:val="0DC31AF9"/>
    <w:rsid w:val="0DC932D7"/>
    <w:rsid w:val="0DD71E98"/>
    <w:rsid w:val="0DE346C8"/>
    <w:rsid w:val="0DE662B0"/>
    <w:rsid w:val="0DE85E53"/>
    <w:rsid w:val="0DF465A6"/>
    <w:rsid w:val="0E042C03"/>
    <w:rsid w:val="0E2311CD"/>
    <w:rsid w:val="0E252C04"/>
    <w:rsid w:val="0E256521"/>
    <w:rsid w:val="0E2C21E4"/>
    <w:rsid w:val="0E310C7C"/>
    <w:rsid w:val="0E3623F7"/>
    <w:rsid w:val="0E39045D"/>
    <w:rsid w:val="0E4A53DA"/>
    <w:rsid w:val="0E50650B"/>
    <w:rsid w:val="0E543E08"/>
    <w:rsid w:val="0E611FF2"/>
    <w:rsid w:val="0E855BE9"/>
    <w:rsid w:val="0E9E6313"/>
    <w:rsid w:val="0EB43F87"/>
    <w:rsid w:val="0EC50D62"/>
    <w:rsid w:val="0ECF414D"/>
    <w:rsid w:val="0ED62150"/>
    <w:rsid w:val="0EEF774B"/>
    <w:rsid w:val="0EF12AE6"/>
    <w:rsid w:val="0F0008B2"/>
    <w:rsid w:val="0F1B4006"/>
    <w:rsid w:val="0F1F0F82"/>
    <w:rsid w:val="0F4C5F6E"/>
    <w:rsid w:val="0F4E618A"/>
    <w:rsid w:val="0F580DB7"/>
    <w:rsid w:val="0F64150A"/>
    <w:rsid w:val="0F6A7266"/>
    <w:rsid w:val="0F850190"/>
    <w:rsid w:val="0F955B67"/>
    <w:rsid w:val="0FA357BF"/>
    <w:rsid w:val="0FAB656E"/>
    <w:rsid w:val="0FB232E1"/>
    <w:rsid w:val="0FBD6E6C"/>
    <w:rsid w:val="0FCC70AF"/>
    <w:rsid w:val="0FE4264A"/>
    <w:rsid w:val="100625C1"/>
    <w:rsid w:val="101E584A"/>
    <w:rsid w:val="10282537"/>
    <w:rsid w:val="102E38C6"/>
    <w:rsid w:val="105E035B"/>
    <w:rsid w:val="10802373"/>
    <w:rsid w:val="108A4FA0"/>
    <w:rsid w:val="108E453B"/>
    <w:rsid w:val="108F6A5A"/>
    <w:rsid w:val="10A02A15"/>
    <w:rsid w:val="10AE08D0"/>
    <w:rsid w:val="10B169D0"/>
    <w:rsid w:val="10B63FE7"/>
    <w:rsid w:val="10B93AD7"/>
    <w:rsid w:val="10E570B8"/>
    <w:rsid w:val="110F36F7"/>
    <w:rsid w:val="110F4BCC"/>
    <w:rsid w:val="113266C8"/>
    <w:rsid w:val="11407D54"/>
    <w:rsid w:val="11580041"/>
    <w:rsid w:val="115A0D82"/>
    <w:rsid w:val="116003F7"/>
    <w:rsid w:val="116946CE"/>
    <w:rsid w:val="117479FE"/>
    <w:rsid w:val="117A6C2B"/>
    <w:rsid w:val="119B4F8B"/>
    <w:rsid w:val="11A922C2"/>
    <w:rsid w:val="11C40985"/>
    <w:rsid w:val="11CB5870"/>
    <w:rsid w:val="11D010D8"/>
    <w:rsid w:val="11D706B9"/>
    <w:rsid w:val="11E73F4F"/>
    <w:rsid w:val="11F36B75"/>
    <w:rsid w:val="121F796A"/>
    <w:rsid w:val="123E6E91"/>
    <w:rsid w:val="12400FB6"/>
    <w:rsid w:val="12463148"/>
    <w:rsid w:val="124D2729"/>
    <w:rsid w:val="125F245C"/>
    <w:rsid w:val="12652FA5"/>
    <w:rsid w:val="126A32DB"/>
    <w:rsid w:val="12763B2B"/>
    <w:rsid w:val="127A1044"/>
    <w:rsid w:val="127C5BD6"/>
    <w:rsid w:val="1284666A"/>
    <w:rsid w:val="129465AA"/>
    <w:rsid w:val="12AB0D47"/>
    <w:rsid w:val="12B72298"/>
    <w:rsid w:val="12B75DF4"/>
    <w:rsid w:val="12BC340B"/>
    <w:rsid w:val="12F86B39"/>
    <w:rsid w:val="13022A1D"/>
    <w:rsid w:val="130A0783"/>
    <w:rsid w:val="1326480B"/>
    <w:rsid w:val="132A7240"/>
    <w:rsid w:val="132B6FEA"/>
    <w:rsid w:val="134F0723"/>
    <w:rsid w:val="13623B86"/>
    <w:rsid w:val="136E0BA9"/>
    <w:rsid w:val="13706B5E"/>
    <w:rsid w:val="13854144"/>
    <w:rsid w:val="138A175B"/>
    <w:rsid w:val="139E0D62"/>
    <w:rsid w:val="13A063DC"/>
    <w:rsid w:val="13CA58CD"/>
    <w:rsid w:val="13CF57F4"/>
    <w:rsid w:val="13E301D4"/>
    <w:rsid w:val="13E9022F"/>
    <w:rsid w:val="13F41A5D"/>
    <w:rsid w:val="13F45281"/>
    <w:rsid w:val="13F54E26"/>
    <w:rsid w:val="13FD62A6"/>
    <w:rsid w:val="13FF5427"/>
    <w:rsid w:val="140E413A"/>
    <w:rsid w:val="142E20E6"/>
    <w:rsid w:val="14456D19"/>
    <w:rsid w:val="144B14A4"/>
    <w:rsid w:val="14516669"/>
    <w:rsid w:val="14757D15"/>
    <w:rsid w:val="147B69EE"/>
    <w:rsid w:val="147E1EE7"/>
    <w:rsid w:val="14A469A9"/>
    <w:rsid w:val="14A64372"/>
    <w:rsid w:val="14CC63C7"/>
    <w:rsid w:val="14CF48FA"/>
    <w:rsid w:val="14D02C0A"/>
    <w:rsid w:val="14D507B4"/>
    <w:rsid w:val="14D709D0"/>
    <w:rsid w:val="150A2B53"/>
    <w:rsid w:val="151431EC"/>
    <w:rsid w:val="151700EF"/>
    <w:rsid w:val="15175270"/>
    <w:rsid w:val="15243815"/>
    <w:rsid w:val="152C0D1B"/>
    <w:rsid w:val="152E4A94"/>
    <w:rsid w:val="153B4ABB"/>
    <w:rsid w:val="154046AE"/>
    <w:rsid w:val="154047C7"/>
    <w:rsid w:val="154871D8"/>
    <w:rsid w:val="15581F72"/>
    <w:rsid w:val="157B75AD"/>
    <w:rsid w:val="157E709D"/>
    <w:rsid w:val="158226E9"/>
    <w:rsid w:val="15947B32"/>
    <w:rsid w:val="1598015F"/>
    <w:rsid w:val="15AE34DE"/>
    <w:rsid w:val="15BC506A"/>
    <w:rsid w:val="15C606CA"/>
    <w:rsid w:val="15CE592F"/>
    <w:rsid w:val="15DA72D2"/>
    <w:rsid w:val="15F23853"/>
    <w:rsid w:val="15F5735F"/>
    <w:rsid w:val="15FB2DB1"/>
    <w:rsid w:val="15FD3709"/>
    <w:rsid w:val="161377E5"/>
    <w:rsid w:val="16157F86"/>
    <w:rsid w:val="162163A6"/>
    <w:rsid w:val="16244FF5"/>
    <w:rsid w:val="162714E3"/>
    <w:rsid w:val="16274C80"/>
    <w:rsid w:val="16282019"/>
    <w:rsid w:val="1628513D"/>
    <w:rsid w:val="163D20FF"/>
    <w:rsid w:val="165F0C7D"/>
    <w:rsid w:val="166B5873"/>
    <w:rsid w:val="16741ECA"/>
    <w:rsid w:val="16780B21"/>
    <w:rsid w:val="16816E45"/>
    <w:rsid w:val="168E7696"/>
    <w:rsid w:val="16902557"/>
    <w:rsid w:val="16A63064"/>
    <w:rsid w:val="16B73E5A"/>
    <w:rsid w:val="16BC1C2B"/>
    <w:rsid w:val="16D20CC2"/>
    <w:rsid w:val="16DA6212"/>
    <w:rsid w:val="16E01DBD"/>
    <w:rsid w:val="16EA2F3E"/>
    <w:rsid w:val="16FF4510"/>
    <w:rsid w:val="17123F41"/>
    <w:rsid w:val="173043C7"/>
    <w:rsid w:val="174D6D27"/>
    <w:rsid w:val="175441EE"/>
    <w:rsid w:val="175971C1"/>
    <w:rsid w:val="175F02F7"/>
    <w:rsid w:val="17861F73"/>
    <w:rsid w:val="17884E38"/>
    <w:rsid w:val="179D5F38"/>
    <w:rsid w:val="17B84AE8"/>
    <w:rsid w:val="17D10471"/>
    <w:rsid w:val="180C273E"/>
    <w:rsid w:val="180E6167"/>
    <w:rsid w:val="18101B13"/>
    <w:rsid w:val="1825027F"/>
    <w:rsid w:val="1840063A"/>
    <w:rsid w:val="18543378"/>
    <w:rsid w:val="185B064A"/>
    <w:rsid w:val="18636065"/>
    <w:rsid w:val="1867206B"/>
    <w:rsid w:val="186B1B5B"/>
    <w:rsid w:val="18787DD4"/>
    <w:rsid w:val="18814EDA"/>
    <w:rsid w:val="189A2440"/>
    <w:rsid w:val="189B3AC2"/>
    <w:rsid w:val="18B84674"/>
    <w:rsid w:val="18F25DD8"/>
    <w:rsid w:val="18F37E20"/>
    <w:rsid w:val="18F51424"/>
    <w:rsid w:val="18F97167"/>
    <w:rsid w:val="19074FB6"/>
    <w:rsid w:val="1916545D"/>
    <w:rsid w:val="19237C06"/>
    <w:rsid w:val="192B3DED"/>
    <w:rsid w:val="192D0BBE"/>
    <w:rsid w:val="193F08F1"/>
    <w:rsid w:val="19461C80"/>
    <w:rsid w:val="19646AC5"/>
    <w:rsid w:val="19651535"/>
    <w:rsid w:val="198C6648"/>
    <w:rsid w:val="198E227A"/>
    <w:rsid w:val="19924EC5"/>
    <w:rsid w:val="19965EDA"/>
    <w:rsid w:val="19974931"/>
    <w:rsid w:val="19A03A86"/>
    <w:rsid w:val="19BB08C0"/>
    <w:rsid w:val="19D76D7C"/>
    <w:rsid w:val="19E020D4"/>
    <w:rsid w:val="19E51499"/>
    <w:rsid w:val="19EE05C1"/>
    <w:rsid w:val="19EE2F85"/>
    <w:rsid w:val="19F618F8"/>
    <w:rsid w:val="1A02029D"/>
    <w:rsid w:val="1A073B05"/>
    <w:rsid w:val="1A172F7A"/>
    <w:rsid w:val="1A1E56FD"/>
    <w:rsid w:val="1A2876FC"/>
    <w:rsid w:val="1A2A15A2"/>
    <w:rsid w:val="1A404921"/>
    <w:rsid w:val="1A487E84"/>
    <w:rsid w:val="1A5F23D0"/>
    <w:rsid w:val="1A6227C5"/>
    <w:rsid w:val="1A6342F4"/>
    <w:rsid w:val="1A6733E4"/>
    <w:rsid w:val="1A815666"/>
    <w:rsid w:val="1A816740"/>
    <w:rsid w:val="1A8C400A"/>
    <w:rsid w:val="1A9133CF"/>
    <w:rsid w:val="1A951111"/>
    <w:rsid w:val="1AA43BCF"/>
    <w:rsid w:val="1AB86BAD"/>
    <w:rsid w:val="1AC63078"/>
    <w:rsid w:val="1AE96D67"/>
    <w:rsid w:val="1AEA562C"/>
    <w:rsid w:val="1AEE4E22"/>
    <w:rsid w:val="1B010432"/>
    <w:rsid w:val="1B1E1106"/>
    <w:rsid w:val="1B1E2FCC"/>
    <w:rsid w:val="1B244243"/>
    <w:rsid w:val="1B2D759B"/>
    <w:rsid w:val="1B356450"/>
    <w:rsid w:val="1B612DA1"/>
    <w:rsid w:val="1B6718B7"/>
    <w:rsid w:val="1B6809BB"/>
    <w:rsid w:val="1B7350C7"/>
    <w:rsid w:val="1B943F06"/>
    <w:rsid w:val="1BC31CAE"/>
    <w:rsid w:val="1BD06794"/>
    <w:rsid w:val="1BE038A2"/>
    <w:rsid w:val="1BF8227F"/>
    <w:rsid w:val="1BF9122C"/>
    <w:rsid w:val="1C00080C"/>
    <w:rsid w:val="1C050BCB"/>
    <w:rsid w:val="1C074B5F"/>
    <w:rsid w:val="1C0A168B"/>
    <w:rsid w:val="1C0E117B"/>
    <w:rsid w:val="1C220411"/>
    <w:rsid w:val="1C4050AC"/>
    <w:rsid w:val="1C4E77C9"/>
    <w:rsid w:val="1C4F0E21"/>
    <w:rsid w:val="1C5D17BA"/>
    <w:rsid w:val="1C692F45"/>
    <w:rsid w:val="1C6E1C1A"/>
    <w:rsid w:val="1C737418"/>
    <w:rsid w:val="1C766D20"/>
    <w:rsid w:val="1C7A6810"/>
    <w:rsid w:val="1C8A6F02"/>
    <w:rsid w:val="1C9C6787"/>
    <w:rsid w:val="1CA4563B"/>
    <w:rsid w:val="1CB33602"/>
    <w:rsid w:val="1CBA6C0D"/>
    <w:rsid w:val="1CC120AC"/>
    <w:rsid w:val="1CC6466D"/>
    <w:rsid w:val="1CDA72AF"/>
    <w:rsid w:val="1CDF6673"/>
    <w:rsid w:val="1CEE4B08"/>
    <w:rsid w:val="1CF55E97"/>
    <w:rsid w:val="1D000DDE"/>
    <w:rsid w:val="1D006663"/>
    <w:rsid w:val="1D035BF9"/>
    <w:rsid w:val="1D1C1676"/>
    <w:rsid w:val="1D1E1D5C"/>
    <w:rsid w:val="1D2B18B9"/>
    <w:rsid w:val="1D2D5631"/>
    <w:rsid w:val="1D2E3064"/>
    <w:rsid w:val="1D497F91"/>
    <w:rsid w:val="1D862B7D"/>
    <w:rsid w:val="1D8A64E2"/>
    <w:rsid w:val="1D9236E6"/>
    <w:rsid w:val="1D9D4AC7"/>
    <w:rsid w:val="1DA67191"/>
    <w:rsid w:val="1DA91EAE"/>
    <w:rsid w:val="1DB00010"/>
    <w:rsid w:val="1DB16262"/>
    <w:rsid w:val="1DC1221D"/>
    <w:rsid w:val="1DC47597"/>
    <w:rsid w:val="1DCF66E8"/>
    <w:rsid w:val="1E1B7B7F"/>
    <w:rsid w:val="1E1E4F79"/>
    <w:rsid w:val="1E2D4A07"/>
    <w:rsid w:val="1E326C77"/>
    <w:rsid w:val="1E3414A4"/>
    <w:rsid w:val="1E3C09E6"/>
    <w:rsid w:val="1E3E561C"/>
    <w:rsid w:val="1E4470D6"/>
    <w:rsid w:val="1E4E3AB1"/>
    <w:rsid w:val="1E4F7829"/>
    <w:rsid w:val="1E5906A7"/>
    <w:rsid w:val="1E62755C"/>
    <w:rsid w:val="1E6D7CAF"/>
    <w:rsid w:val="1E761259"/>
    <w:rsid w:val="1E7E759F"/>
    <w:rsid w:val="1E935967"/>
    <w:rsid w:val="1E9626F5"/>
    <w:rsid w:val="1E9C3FD7"/>
    <w:rsid w:val="1EAA269A"/>
    <w:rsid w:val="1EB311F8"/>
    <w:rsid w:val="1ED64D67"/>
    <w:rsid w:val="1ED85072"/>
    <w:rsid w:val="1EDB2119"/>
    <w:rsid w:val="1EEB1B44"/>
    <w:rsid w:val="1EFB5C5C"/>
    <w:rsid w:val="1EFD54D7"/>
    <w:rsid w:val="1F024FA1"/>
    <w:rsid w:val="1F0C0535"/>
    <w:rsid w:val="1F2111C5"/>
    <w:rsid w:val="1F2B5BA0"/>
    <w:rsid w:val="1F30765A"/>
    <w:rsid w:val="1F6258DF"/>
    <w:rsid w:val="1F635CD3"/>
    <w:rsid w:val="1FB42039"/>
    <w:rsid w:val="1FB55607"/>
    <w:rsid w:val="1FB738D7"/>
    <w:rsid w:val="1FD05B6B"/>
    <w:rsid w:val="1FD75D28"/>
    <w:rsid w:val="1FD91AA0"/>
    <w:rsid w:val="1FE02E2E"/>
    <w:rsid w:val="1FF468DA"/>
    <w:rsid w:val="1FF5217B"/>
    <w:rsid w:val="200309CC"/>
    <w:rsid w:val="20142AD8"/>
    <w:rsid w:val="201A79C2"/>
    <w:rsid w:val="201C5310"/>
    <w:rsid w:val="202A5E57"/>
    <w:rsid w:val="202C6073"/>
    <w:rsid w:val="202D1D4F"/>
    <w:rsid w:val="2039253E"/>
    <w:rsid w:val="205D1611"/>
    <w:rsid w:val="206A26F8"/>
    <w:rsid w:val="206D3F96"/>
    <w:rsid w:val="20816BB4"/>
    <w:rsid w:val="208E4638"/>
    <w:rsid w:val="20970F79"/>
    <w:rsid w:val="209E05F3"/>
    <w:rsid w:val="20A54D85"/>
    <w:rsid w:val="20BA367F"/>
    <w:rsid w:val="20BA3AC3"/>
    <w:rsid w:val="20BD4741"/>
    <w:rsid w:val="20C177AC"/>
    <w:rsid w:val="20CE56C6"/>
    <w:rsid w:val="20D84DCD"/>
    <w:rsid w:val="20E860C3"/>
    <w:rsid w:val="210157B2"/>
    <w:rsid w:val="21040829"/>
    <w:rsid w:val="210E5779"/>
    <w:rsid w:val="21154D5A"/>
    <w:rsid w:val="212725D3"/>
    <w:rsid w:val="212E5E1B"/>
    <w:rsid w:val="213F5933"/>
    <w:rsid w:val="21494A03"/>
    <w:rsid w:val="215138BF"/>
    <w:rsid w:val="215F2BBF"/>
    <w:rsid w:val="21621621"/>
    <w:rsid w:val="21893052"/>
    <w:rsid w:val="21894E00"/>
    <w:rsid w:val="219B279C"/>
    <w:rsid w:val="21A068A5"/>
    <w:rsid w:val="21A31D15"/>
    <w:rsid w:val="21AE4866"/>
    <w:rsid w:val="21B52099"/>
    <w:rsid w:val="21BA76AF"/>
    <w:rsid w:val="21DF0EC4"/>
    <w:rsid w:val="21ED1832"/>
    <w:rsid w:val="221768AF"/>
    <w:rsid w:val="2218072D"/>
    <w:rsid w:val="221A5411"/>
    <w:rsid w:val="22266AF2"/>
    <w:rsid w:val="222F59A7"/>
    <w:rsid w:val="22350CF0"/>
    <w:rsid w:val="22413173"/>
    <w:rsid w:val="22484CBB"/>
    <w:rsid w:val="22553A15"/>
    <w:rsid w:val="22737F8A"/>
    <w:rsid w:val="227E16D3"/>
    <w:rsid w:val="22813D29"/>
    <w:rsid w:val="22910410"/>
    <w:rsid w:val="229171A3"/>
    <w:rsid w:val="22953F21"/>
    <w:rsid w:val="22993768"/>
    <w:rsid w:val="229C09BC"/>
    <w:rsid w:val="22A31EF1"/>
    <w:rsid w:val="22AF3548"/>
    <w:rsid w:val="22B35EB0"/>
    <w:rsid w:val="22C81958"/>
    <w:rsid w:val="22C95F94"/>
    <w:rsid w:val="22E51D82"/>
    <w:rsid w:val="22E70030"/>
    <w:rsid w:val="22EA5D72"/>
    <w:rsid w:val="22F11B15"/>
    <w:rsid w:val="22FE6AE1"/>
    <w:rsid w:val="231352C9"/>
    <w:rsid w:val="231D1697"/>
    <w:rsid w:val="23214660"/>
    <w:rsid w:val="23311E82"/>
    <w:rsid w:val="233B0D22"/>
    <w:rsid w:val="233F1C1A"/>
    <w:rsid w:val="235B5B93"/>
    <w:rsid w:val="239301B8"/>
    <w:rsid w:val="239A5150"/>
    <w:rsid w:val="23A221A9"/>
    <w:rsid w:val="23C34A7A"/>
    <w:rsid w:val="23D22A8E"/>
    <w:rsid w:val="23D42CAA"/>
    <w:rsid w:val="23E34E2B"/>
    <w:rsid w:val="23F35E85"/>
    <w:rsid w:val="24046325"/>
    <w:rsid w:val="24066BDB"/>
    <w:rsid w:val="2412732E"/>
    <w:rsid w:val="241629E9"/>
    <w:rsid w:val="241E2177"/>
    <w:rsid w:val="24396B6F"/>
    <w:rsid w:val="24417C14"/>
    <w:rsid w:val="24457704"/>
    <w:rsid w:val="24523BCF"/>
    <w:rsid w:val="246A0F18"/>
    <w:rsid w:val="24741B8D"/>
    <w:rsid w:val="24853FA4"/>
    <w:rsid w:val="24CC1BD3"/>
    <w:rsid w:val="24D146CE"/>
    <w:rsid w:val="24D252AE"/>
    <w:rsid w:val="24E72D82"/>
    <w:rsid w:val="24FE78B3"/>
    <w:rsid w:val="25046AA6"/>
    <w:rsid w:val="250A6257"/>
    <w:rsid w:val="250F1AC0"/>
    <w:rsid w:val="252512E3"/>
    <w:rsid w:val="252B4B4C"/>
    <w:rsid w:val="25355EDB"/>
    <w:rsid w:val="2536704D"/>
    <w:rsid w:val="25382DC5"/>
    <w:rsid w:val="253F23A5"/>
    <w:rsid w:val="254A23E5"/>
    <w:rsid w:val="25583467"/>
    <w:rsid w:val="2564366C"/>
    <w:rsid w:val="256D6D6E"/>
    <w:rsid w:val="258372A1"/>
    <w:rsid w:val="25A55F80"/>
    <w:rsid w:val="25BE6C7B"/>
    <w:rsid w:val="25CB1859"/>
    <w:rsid w:val="25D725DE"/>
    <w:rsid w:val="25F10744"/>
    <w:rsid w:val="26031625"/>
    <w:rsid w:val="26274F41"/>
    <w:rsid w:val="2637307C"/>
    <w:rsid w:val="26392A5F"/>
    <w:rsid w:val="26487037"/>
    <w:rsid w:val="267270A9"/>
    <w:rsid w:val="26764033"/>
    <w:rsid w:val="26812549"/>
    <w:rsid w:val="26884F62"/>
    <w:rsid w:val="268907C4"/>
    <w:rsid w:val="268A0EDE"/>
    <w:rsid w:val="26942FFE"/>
    <w:rsid w:val="26977FBF"/>
    <w:rsid w:val="26AF5308"/>
    <w:rsid w:val="26B741BD"/>
    <w:rsid w:val="26B83095"/>
    <w:rsid w:val="26C568DA"/>
    <w:rsid w:val="26D0110C"/>
    <w:rsid w:val="2704330D"/>
    <w:rsid w:val="270B4B52"/>
    <w:rsid w:val="270B5F7F"/>
    <w:rsid w:val="270C4509"/>
    <w:rsid w:val="27180CE2"/>
    <w:rsid w:val="27400656"/>
    <w:rsid w:val="27446287"/>
    <w:rsid w:val="275B2D9A"/>
    <w:rsid w:val="275B4950"/>
    <w:rsid w:val="27753D15"/>
    <w:rsid w:val="278E13C2"/>
    <w:rsid w:val="279012A6"/>
    <w:rsid w:val="279B588D"/>
    <w:rsid w:val="27A504B9"/>
    <w:rsid w:val="27AE736E"/>
    <w:rsid w:val="27B23302"/>
    <w:rsid w:val="27B32BD6"/>
    <w:rsid w:val="27B34984"/>
    <w:rsid w:val="27B53A26"/>
    <w:rsid w:val="27B64475"/>
    <w:rsid w:val="27B92602"/>
    <w:rsid w:val="27CD1257"/>
    <w:rsid w:val="27CE77BB"/>
    <w:rsid w:val="27E014F2"/>
    <w:rsid w:val="27E64D5A"/>
    <w:rsid w:val="27FA25B3"/>
    <w:rsid w:val="283F446A"/>
    <w:rsid w:val="28504E67"/>
    <w:rsid w:val="28573B25"/>
    <w:rsid w:val="288E0F4E"/>
    <w:rsid w:val="28AB1AFF"/>
    <w:rsid w:val="28AC1387"/>
    <w:rsid w:val="28B9421C"/>
    <w:rsid w:val="28C80903"/>
    <w:rsid w:val="28DC43AF"/>
    <w:rsid w:val="28EF553B"/>
    <w:rsid w:val="28F03182"/>
    <w:rsid w:val="28F52D92"/>
    <w:rsid w:val="28FB3D1E"/>
    <w:rsid w:val="2900009D"/>
    <w:rsid w:val="29017971"/>
    <w:rsid w:val="290F208E"/>
    <w:rsid w:val="29127DD1"/>
    <w:rsid w:val="291D61F5"/>
    <w:rsid w:val="293461B3"/>
    <w:rsid w:val="29383DBD"/>
    <w:rsid w:val="294010A6"/>
    <w:rsid w:val="294E7722"/>
    <w:rsid w:val="29571265"/>
    <w:rsid w:val="297B7724"/>
    <w:rsid w:val="298C36DF"/>
    <w:rsid w:val="298E7457"/>
    <w:rsid w:val="299F4C73"/>
    <w:rsid w:val="29BC3C97"/>
    <w:rsid w:val="29C94049"/>
    <w:rsid w:val="29CB74C5"/>
    <w:rsid w:val="29E26DED"/>
    <w:rsid w:val="2A0F7F3F"/>
    <w:rsid w:val="2A1060BE"/>
    <w:rsid w:val="2A17569E"/>
    <w:rsid w:val="2A253C4A"/>
    <w:rsid w:val="2A3E70CF"/>
    <w:rsid w:val="2A6B1546"/>
    <w:rsid w:val="2A703001"/>
    <w:rsid w:val="2A7363E0"/>
    <w:rsid w:val="2A770936"/>
    <w:rsid w:val="2A9610ED"/>
    <w:rsid w:val="2A992C71"/>
    <w:rsid w:val="2A9C2048"/>
    <w:rsid w:val="2AA607D0"/>
    <w:rsid w:val="2AA809EC"/>
    <w:rsid w:val="2AB24F59"/>
    <w:rsid w:val="2AC25F2A"/>
    <w:rsid w:val="2AD73E81"/>
    <w:rsid w:val="2ADE005D"/>
    <w:rsid w:val="2AF71B62"/>
    <w:rsid w:val="2B0379D1"/>
    <w:rsid w:val="2B1E2A5D"/>
    <w:rsid w:val="2B3109E2"/>
    <w:rsid w:val="2B4D4859"/>
    <w:rsid w:val="2B555E65"/>
    <w:rsid w:val="2B5621F6"/>
    <w:rsid w:val="2B6A3EF4"/>
    <w:rsid w:val="2B713BB5"/>
    <w:rsid w:val="2B7472CD"/>
    <w:rsid w:val="2B870602"/>
    <w:rsid w:val="2B98372A"/>
    <w:rsid w:val="2BA75C8C"/>
    <w:rsid w:val="2BAA110C"/>
    <w:rsid w:val="2BB86A0D"/>
    <w:rsid w:val="2BBD2276"/>
    <w:rsid w:val="2BD17ACF"/>
    <w:rsid w:val="2BF218C0"/>
    <w:rsid w:val="2BF3655D"/>
    <w:rsid w:val="2C1C51EE"/>
    <w:rsid w:val="2C23698A"/>
    <w:rsid w:val="2C2422F5"/>
    <w:rsid w:val="2C371059"/>
    <w:rsid w:val="2C4209CD"/>
    <w:rsid w:val="2C4C53A8"/>
    <w:rsid w:val="2C615316"/>
    <w:rsid w:val="2C67129C"/>
    <w:rsid w:val="2C6A0808"/>
    <w:rsid w:val="2C7F01E4"/>
    <w:rsid w:val="2C862667"/>
    <w:rsid w:val="2CAC2C30"/>
    <w:rsid w:val="2CB74635"/>
    <w:rsid w:val="2CE774CF"/>
    <w:rsid w:val="2CEB4BC0"/>
    <w:rsid w:val="2CF241A1"/>
    <w:rsid w:val="2CF2615C"/>
    <w:rsid w:val="2D0637A8"/>
    <w:rsid w:val="2D2466B2"/>
    <w:rsid w:val="2D2F62E3"/>
    <w:rsid w:val="2D355E3C"/>
    <w:rsid w:val="2D3B5B48"/>
    <w:rsid w:val="2D406CBA"/>
    <w:rsid w:val="2D4214FC"/>
    <w:rsid w:val="2D4A5D8B"/>
    <w:rsid w:val="2D572256"/>
    <w:rsid w:val="2D6E2CD7"/>
    <w:rsid w:val="2D71156A"/>
    <w:rsid w:val="2D7D436D"/>
    <w:rsid w:val="2DAD45A7"/>
    <w:rsid w:val="2DE57A99"/>
    <w:rsid w:val="2DFB0E33"/>
    <w:rsid w:val="2E0629C2"/>
    <w:rsid w:val="2E13617D"/>
    <w:rsid w:val="2E141EF5"/>
    <w:rsid w:val="2E183793"/>
    <w:rsid w:val="2E1A31F9"/>
    <w:rsid w:val="2E1B648F"/>
    <w:rsid w:val="2E262354"/>
    <w:rsid w:val="2E343585"/>
    <w:rsid w:val="2E3459F9"/>
    <w:rsid w:val="2E434FE5"/>
    <w:rsid w:val="2E437E3F"/>
    <w:rsid w:val="2E6007C2"/>
    <w:rsid w:val="2E9C5041"/>
    <w:rsid w:val="2EAB2859"/>
    <w:rsid w:val="2EAD65D1"/>
    <w:rsid w:val="2EB37960"/>
    <w:rsid w:val="2EEB70FA"/>
    <w:rsid w:val="2EF44200"/>
    <w:rsid w:val="2F06102E"/>
    <w:rsid w:val="2F1031FD"/>
    <w:rsid w:val="2F1403FE"/>
    <w:rsid w:val="2F2C11F4"/>
    <w:rsid w:val="2F387579"/>
    <w:rsid w:val="2F4B7B98"/>
    <w:rsid w:val="2F4C596D"/>
    <w:rsid w:val="2F546A4D"/>
    <w:rsid w:val="2F5C7FF7"/>
    <w:rsid w:val="2F6E5E74"/>
    <w:rsid w:val="2F7C08E8"/>
    <w:rsid w:val="2F946722"/>
    <w:rsid w:val="2F9616D8"/>
    <w:rsid w:val="2F971705"/>
    <w:rsid w:val="2F99080D"/>
    <w:rsid w:val="2FB92D54"/>
    <w:rsid w:val="2FD47B8E"/>
    <w:rsid w:val="2FD7142C"/>
    <w:rsid w:val="2FDC6A42"/>
    <w:rsid w:val="2FE51D9B"/>
    <w:rsid w:val="2FEA5603"/>
    <w:rsid w:val="2FF7387C"/>
    <w:rsid w:val="300C7328"/>
    <w:rsid w:val="30185CCC"/>
    <w:rsid w:val="301A06E5"/>
    <w:rsid w:val="301B1BC1"/>
    <w:rsid w:val="301B3A0F"/>
    <w:rsid w:val="303074BA"/>
    <w:rsid w:val="3038636F"/>
    <w:rsid w:val="30515682"/>
    <w:rsid w:val="305A4537"/>
    <w:rsid w:val="30615CED"/>
    <w:rsid w:val="3062163D"/>
    <w:rsid w:val="306357E2"/>
    <w:rsid w:val="306B169A"/>
    <w:rsid w:val="306E1D90"/>
    <w:rsid w:val="3071362F"/>
    <w:rsid w:val="30760C45"/>
    <w:rsid w:val="307C5212"/>
    <w:rsid w:val="30980BBB"/>
    <w:rsid w:val="309D2676"/>
    <w:rsid w:val="30A23EB5"/>
    <w:rsid w:val="30A43A04"/>
    <w:rsid w:val="30BF083E"/>
    <w:rsid w:val="30C25BF4"/>
    <w:rsid w:val="30C95219"/>
    <w:rsid w:val="30D37E45"/>
    <w:rsid w:val="30DB1DCB"/>
    <w:rsid w:val="30FD3D3F"/>
    <w:rsid w:val="31000F05"/>
    <w:rsid w:val="31132938"/>
    <w:rsid w:val="313B6831"/>
    <w:rsid w:val="31545704"/>
    <w:rsid w:val="315471D8"/>
    <w:rsid w:val="31572824"/>
    <w:rsid w:val="316443FB"/>
    <w:rsid w:val="31777718"/>
    <w:rsid w:val="31813D45"/>
    <w:rsid w:val="318178A1"/>
    <w:rsid w:val="319676D8"/>
    <w:rsid w:val="319C0B7F"/>
    <w:rsid w:val="31D32E74"/>
    <w:rsid w:val="31E23DD4"/>
    <w:rsid w:val="31E85B72"/>
    <w:rsid w:val="31F52A85"/>
    <w:rsid w:val="31F81363"/>
    <w:rsid w:val="3207424B"/>
    <w:rsid w:val="32130593"/>
    <w:rsid w:val="322A1CE7"/>
    <w:rsid w:val="322A618B"/>
    <w:rsid w:val="32325C26"/>
    <w:rsid w:val="32360A39"/>
    <w:rsid w:val="3264344B"/>
    <w:rsid w:val="32843AED"/>
    <w:rsid w:val="32891103"/>
    <w:rsid w:val="32935ADE"/>
    <w:rsid w:val="32963820"/>
    <w:rsid w:val="3296737C"/>
    <w:rsid w:val="32A249FA"/>
    <w:rsid w:val="32A43486"/>
    <w:rsid w:val="32A7158A"/>
    <w:rsid w:val="32A93A25"/>
    <w:rsid w:val="32C0264B"/>
    <w:rsid w:val="32C92DE2"/>
    <w:rsid w:val="32CF28C2"/>
    <w:rsid w:val="32D01D72"/>
    <w:rsid w:val="33076BC7"/>
    <w:rsid w:val="330A0B7A"/>
    <w:rsid w:val="330A66D8"/>
    <w:rsid w:val="330F275E"/>
    <w:rsid w:val="331210F9"/>
    <w:rsid w:val="332352FB"/>
    <w:rsid w:val="332E1CAB"/>
    <w:rsid w:val="33353386"/>
    <w:rsid w:val="333E40D2"/>
    <w:rsid w:val="334212B2"/>
    <w:rsid w:val="33505792"/>
    <w:rsid w:val="33613E2E"/>
    <w:rsid w:val="336851BD"/>
    <w:rsid w:val="336B3220"/>
    <w:rsid w:val="338D4C23"/>
    <w:rsid w:val="33B4200D"/>
    <w:rsid w:val="33D068BE"/>
    <w:rsid w:val="33D44600"/>
    <w:rsid w:val="33E5680D"/>
    <w:rsid w:val="33F6061D"/>
    <w:rsid w:val="33F627C9"/>
    <w:rsid w:val="33FB393B"/>
    <w:rsid w:val="340622E0"/>
    <w:rsid w:val="3430191F"/>
    <w:rsid w:val="343177B9"/>
    <w:rsid w:val="34474DD2"/>
    <w:rsid w:val="34594B05"/>
    <w:rsid w:val="34616E6C"/>
    <w:rsid w:val="34684659"/>
    <w:rsid w:val="346A286F"/>
    <w:rsid w:val="34722A9C"/>
    <w:rsid w:val="34727975"/>
    <w:rsid w:val="347B4A7C"/>
    <w:rsid w:val="348845FB"/>
    <w:rsid w:val="34B955A4"/>
    <w:rsid w:val="34D73CBB"/>
    <w:rsid w:val="34EA44CD"/>
    <w:rsid w:val="34EE3A90"/>
    <w:rsid w:val="350526F2"/>
    <w:rsid w:val="3511718E"/>
    <w:rsid w:val="35170C48"/>
    <w:rsid w:val="35223149"/>
    <w:rsid w:val="352E1AEE"/>
    <w:rsid w:val="354B444E"/>
    <w:rsid w:val="35523A2F"/>
    <w:rsid w:val="35855EE2"/>
    <w:rsid w:val="358A17B9"/>
    <w:rsid w:val="358E5B04"/>
    <w:rsid w:val="35937FBA"/>
    <w:rsid w:val="35942299"/>
    <w:rsid w:val="359A3397"/>
    <w:rsid w:val="359D0A22"/>
    <w:rsid w:val="35B53CCB"/>
    <w:rsid w:val="35D07C76"/>
    <w:rsid w:val="35E11256"/>
    <w:rsid w:val="35F04FF6"/>
    <w:rsid w:val="35F20D6E"/>
    <w:rsid w:val="35FE5964"/>
    <w:rsid w:val="36132E0B"/>
    <w:rsid w:val="362A65E6"/>
    <w:rsid w:val="362C1AE2"/>
    <w:rsid w:val="363C6C33"/>
    <w:rsid w:val="365077E6"/>
    <w:rsid w:val="365E37EA"/>
    <w:rsid w:val="36616112"/>
    <w:rsid w:val="36631C6B"/>
    <w:rsid w:val="36686D57"/>
    <w:rsid w:val="36723C5D"/>
    <w:rsid w:val="36820C9D"/>
    <w:rsid w:val="368220F2"/>
    <w:rsid w:val="3690566F"/>
    <w:rsid w:val="36B44275"/>
    <w:rsid w:val="36CA5847"/>
    <w:rsid w:val="36D6068F"/>
    <w:rsid w:val="36D84407"/>
    <w:rsid w:val="36E84586"/>
    <w:rsid w:val="370451FC"/>
    <w:rsid w:val="37135440"/>
    <w:rsid w:val="3715513B"/>
    <w:rsid w:val="371601C3"/>
    <w:rsid w:val="37277AE0"/>
    <w:rsid w:val="37367CB7"/>
    <w:rsid w:val="37411AAD"/>
    <w:rsid w:val="374B6987"/>
    <w:rsid w:val="376161AB"/>
    <w:rsid w:val="37684B66"/>
    <w:rsid w:val="3782081A"/>
    <w:rsid w:val="37A55F7F"/>
    <w:rsid w:val="37AA4B90"/>
    <w:rsid w:val="37B72E42"/>
    <w:rsid w:val="37ED6FC5"/>
    <w:rsid w:val="37EE573A"/>
    <w:rsid w:val="37F05395"/>
    <w:rsid w:val="37F9231C"/>
    <w:rsid w:val="37FF2CDF"/>
    <w:rsid w:val="3810372D"/>
    <w:rsid w:val="381147D8"/>
    <w:rsid w:val="381F01AD"/>
    <w:rsid w:val="381F1BC2"/>
    <w:rsid w:val="382E4D98"/>
    <w:rsid w:val="38351B40"/>
    <w:rsid w:val="38392C84"/>
    <w:rsid w:val="383B4C4E"/>
    <w:rsid w:val="383F372D"/>
    <w:rsid w:val="38543F62"/>
    <w:rsid w:val="3857135C"/>
    <w:rsid w:val="385E093C"/>
    <w:rsid w:val="388A34DF"/>
    <w:rsid w:val="388E0CC2"/>
    <w:rsid w:val="38A10829"/>
    <w:rsid w:val="38A601D6"/>
    <w:rsid w:val="38A6346D"/>
    <w:rsid w:val="38AD7055"/>
    <w:rsid w:val="38B4115F"/>
    <w:rsid w:val="38C70290"/>
    <w:rsid w:val="38C74734"/>
    <w:rsid w:val="38D633A1"/>
    <w:rsid w:val="38E52E0C"/>
    <w:rsid w:val="38E672FD"/>
    <w:rsid w:val="38F44DFD"/>
    <w:rsid w:val="38FB262F"/>
    <w:rsid w:val="39047736"/>
    <w:rsid w:val="390A586B"/>
    <w:rsid w:val="392576AC"/>
    <w:rsid w:val="392B404E"/>
    <w:rsid w:val="394713D0"/>
    <w:rsid w:val="39681E92"/>
    <w:rsid w:val="3971644D"/>
    <w:rsid w:val="397E2716"/>
    <w:rsid w:val="398D62E7"/>
    <w:rsid w:val="399D7242"/>
    <w:rsid w:val="399F2FBB"/>
    <w:rsid w:val="39C0765B"/>
    <w:rsid w:val="39C3314D"/>
    <w:rsid w:val="39C62C3D"/>
    <w:rsid w:val="39CE38A0"/>
    <w:rsid w:val="39CE564E"/>
    <w:rsid w:val="39F01A68"/>
    <w:rsid w:val="39FA0680"/>
    <w:rsid w:val="39FA6830"/>
    <w:rsid w:val="39FC3710"/>
    <w:rsid w:val="39FC665F"/>
    <w:rsid w:val="39FE4185"/>
    <w:rsid w:val="3A30455A"/>
    <w:rsid w:val="3A3167AB"/>
    <w:rsid w:val="3A4875D7"/>
    <w:rsid w:val="3A7678C9"/>
    <w:rsid w:val="3A804B9A"/>
    <w:rsid w:val="3A81336E"/>
    <w:rsid w:val="3A995C5C"/>
    <w:rsid w:val="3AA12508"/>
    <w:rsid w:val="3AA34D2C"/>
    <w:rsid w:val="3AA82343"/>
    <w:rsid w:val="3AB72586"/>
    <w:rsid w:val="3ACC6031"/>
    <w:rsid w:val="3AD066F6"/>
    <w:rsid w:val="3AD66EB0"/>
    <w:rsid w:val="3ADD15D1"/>
    <w:rsid w:val="3ADE4DEF"/>
    <w:rsid w:val="3AE01ADD"/>
    <w:rsid w:val="3AEF7F72"/>
    <w:rsid w:val="3AFC544C"/>
    <w:rsid w:val="3B0F23C2"/>
    <w:rsid w:val="3B3204DA"/>
    <w:rsid w:val="3B516536"/>
    <w:rsid w:val="3B5D7DBE"/>
    <w:rsid w:val="3B6224F2"/>
    <w:rsid w:val="3B677B08"/>
    <w:rsid w:val="3B88241E"/>
    <w:rsid w:val="3BAD6485"/>
    <w:rsid w:val="3BC00E47"/>
    <w:rsid w:val="3BD20517"/>
    <w:rsid w:val="3BD258AC"/>
    <w:rsid w:val="3BE65DD1"/>
    <w:rsid w:val="3BEE0229"/>
    <w:rsid w:val="3BF3021F"/>
    <w:rsid w:val="3BF85ABC"/>
    <w:rsid w:val="3BFC64A2"/>
    <w:rsid w:val="3BFE5F9F"/>
    <w:rsid w:val="3C027831"/>
    <w:rsid w:val="3C123F18"/>
    <w:rsid w:val="3C3544D3"/>
    <w:rsid w:val="3C36485D"/>
    <w:rsid w:val="3C3D321B"/>
    <w:rsid w:val="3C4A30C0"/>
    <w:rsid w:val="3C5A5A09"/>
    <w:rsid w:val="3C5C3BA2"/>
    <w:rsid w:val="3C610BB2"/>
    <w:rsid w:val="3C6B187A"/>
    <w:rsid w:val="3CA67BBE"/>
    <w:rsid w:val="3CAE0988"/>
    <w:rsid w:val="3CC50F8A"/>
    <w:rsid w:val="3CD26BDC"/>
    <w:rsid w:val="3CE41A85"/>
    <w:rsid w:val="3CE552F6"/>
    <w:rsid w:val="3CEA4F51"/>
    <w:rsid w:val="3CEB0FDA"/>
    <w:rsid w:val="3CEB75EB"/>
    <w:rsid w:val="3CF67395"/>
    <w:rsid w:val="3CFB4C73"/>
    <w:rsid w:val="3D2757A1"/>
    <w:rsid w:val="3D2C725B"/>
    <w:rsid w:val="3D3150BC"/>
    <w:rsid w:val="3D460DC5"/>
    <w:rsid w:val="3D472CD8"/>
    <w:rsid w:val="3D491BBB"/>
    <w:rsid w:val="3D4E5423"/>
    <w:rsid w:val="3D5A3DC8"/>
    <w:rsid w:val="3D6407A3"/>
    <w:rsid w:val="3D6C7561"/>
    <w:rsid w:val="3D71756F"/>
    <w:rsid w:val="3D7B789B"/>
    <w:rsid w:val="3D8B21D4"/>
    <w:rsid w:val="3D967A29"/>
    <w:rsid w:val="3DB80AEF"/>
    <w:rsid w:val="3DC47494"/>
    <w:rsid w:val="3DE028B2"/>
    <w:rsid w:val="3DE07D6C"/>
    <w:rsid w:val="3DE96EFA"/>
    <w:rsid w:val="3DF00AB5"/>
    <w:rsid w:val="3DF842DD"/>
    <w:rsid w:val="3E075F3A"/>
    <w:rsid w:val="3E36794B"/>
    <w:rsid w:val="3E3F6B1A"/>
    <w:rsid w:val="3E483C21"/>
    <w:rsid w:val="3E5C147A"/>
    <w:rsid w:val="3E6447D3"/>
    <w:rsid w:val="3E6B3DB3"/>
    <w:rsid w:val="3E6D4B8F"/>
    <w:rsid w:val="3E704F26"/>
    <w:rsid w:val="3E73398B"/>
    <w:rsid w:val="3E950E30"/>
    <w:rsid w:val="3EA354B9"/>
    <w:rsid w:val="3EA66B99"/>
    <w:rsid w:val="3EAD4513"/>
    <w:rsid w:val="3EAD7F28"/>
    <w:rsid w:val="3EC360D8"/>
    <w:rsid w:val="3ECA495B"/>
    <w:rsid w:val="3EDB3DF6"/>
    <w:rsid w:val="3EDB4A95"/>
    <w:rsid w:val="3EE70D49"/>
    <w:rsid w:val="3F182351"/>
    <w:rsid w:val="3F1E4982"/>
    <w:rsid w:val="3F3025A0"/>
    <w:rsid w:val="3F3146B5"/>
    <w:rsid w:val="3F3441A5"/>
    <w:rsid w:val="3F402B4A"/>
    <w:rsid w:val="3F6C0DC4"/>
    <w:rsid w:val="3F93536F"/>
    <w:rsid w:val="3FAC4683"/>
    <w:rsid w:val="3FBD063E"/>
    <w:rsid w:val="3FE03B95"/>
    <w:rsid w:val="40161AFD"/>
    <w:rsid w:val="40267F92"/>
    <w:rsid w:val="40296CAD"/>
    <w:rsid w:val="403467E6"/>
    <w:rsid w:val="40457BF5"/>
    <w:rsid w:val="404623E2"/>
    <w:rsid w:val="4070745F"/>
    <w:rsid w:val="407E1337"/>
    <w:rsid w:val="409273D5"/>
    <w:rsid w:val="40952235"/>
    <w:rsid w:val="40BE641C"/>
    <w:rsid w:val="40C26689"/>
    <w:rsid w:val="40C41559"/>
    <w:rsid w:val="40C72BB9"/>
    <w:rsid w:val="40DE261A"/>
    <w:rsid w:val="40ED2D09"/>
    <w:rsid w:val="410564AD"/>
    <w:rsid w:val="412D5350"/>
    <w:rsid w:val="41414630"/>
    <w:rsid w:val="41456608"/>
    <w:rsid w:val="41483029"/>
    <w:rsid w:val="4169609A"/>
    <w:rsid w:val="41764F49"/>
    <w:rsid w:val="41941FB2"/>
    <w:rsid w:val="41970A1B"/>
    <w:rsid w:val="419D0727"/>
    <w:rsid w:val="41AE45DE"/>
    <w:rsid w:val="41BD2B78"/>
    <w:rsid w:val="41C96AA6"/>
    <w:rsid w:val="41D30CA2"/>
    <w:rsid w:val="41F67E38"/>
    <w:rsid w:val="41F83F23"/>
    <w:rsid w:val="41F91AD3"/>
    <w:rsid w:val="41FA1B64"/>
    <w:rsid w:val="42093594"/>
    <w:rsid w:val="4214206C"/>
    <w:rsid w:val="421A58D4"/>
    <w:rsid w:val="42336996"/>
    <w:rsid w:val="42404D69"/>
    <w:rsid w:val="424F7E7E"/>
    <w:rsid w:val="425C5091"/>
    <w:rsid w:val="42630DE1"/>
    <w:rsid w:val="428634D5"/>
    <w:rsid w:val="428F229E"/>
    <w:rsid w:val="42905B96"/>
    <w:rsid w:val="4296401C"/>
    <w:rsid w:val="42995053"/>
    <w:rsid w:val="42AD499A"/>
    <w:rsid w:val="42AD68CB"/>
    <w:rsid w:val="42AF1E4A"/>
    <w:rsid w:val="42C972FA"/>
    <w:rsid w:val="42CB3072"/>
    <w:rsid w:val="42CF5E08"/>
    <w:rsid w:val="42D737C5"/>
    <w:rsid w:val="42DC0DDB"/>
    <w:rsid w:val="42F72956"/>
    <w:rsid w:val="430E5437"/>
    <w:rsid w:val="4320516C"/>
    <w:rsid w:val="43274E9A"/>
    <w:rsid w:val="432D7889"/>
    <w:rsid w:val="434F5A51"/>
    <w:rsid w:val="43585CF0"/>
    <w:rsid w:val="435A402D"/>
    <w:rsid w:val="436F68F7"/>
    <w:rsid w:val="437E649A"/>
    <w:rsid w:val="43832EC9"/>
    <w:rsid w:val="438C45B0"/>
    <w:rsid w:val="438D78F3"/>
    <w:rsid w:val="439634A7"/>
    <w:rsid w:val="439C056B"/>
    <w:rsid w:val="43BC25A9"/>
    <w:rsid w:val="43C81360"/>
    <w:rsid w:val="43D545EF"/>
    <w:rsid w:val="43DA6B22"/>
    <w:rsid w:val="43F96667"/>
    <w:rsid w:val="43FD1975"/>
    <w:rsid w:val="44004F9E"/>
    <w:rsid w:val="44056110"/>
    <w:rsid w:val="44093E52"/>
    <w:rsid w:val="44172777"/>
    <w:rsid w:val="44242A3A"/>
    <w:rsid w:val="4436276D"/>
    <w:rsid w:val="443F2FD9"/>
    <w:rsid w:val="4454417F"/>
    <w:rsid w:val="44870C0E"/>
    <w:rsid w:val="4488246F"/>
    <w:rsid w:val="449C6A74"/>
    <w:rsid w:val="44A042A4"/>
    <w:rsid w:val="44A72831"/>
    <w:rsid w:val="44AE67A8"/>
    <w:rsid w:val="44B20090"/>
    <w:rsid w:val="44C265EB"/>
    <w:rsid w:val="44C47D79"/>
    <w:rsid w:val="44C77869"/>
    <w:rsid w:val="44E65F41"/>
    <w:rsid w:val="450A475A"/>
    <w:rsid w:val="452B1BA6"/>
    <w:rsid w:val="45366A52"/>
    <w:rsid w:val="45562C41"/>
    <w:rsid w:val="457437AF"/>
    <w:rsid w:val="457E43CC"/>
    <w:rsid w:val="45825D76"/>
    <w:rsid w:val="458C38C7"/>
    <w:rsid w:val="458E2F8D"/>
    <w:rsid w:val="459D4546"/>
    <w:rsid w:val="45AD4586"/>
    <w:rsid w:val="45B63B66"/>
    <w:rsid w:val="45B71E2A"/>
    <w:rsid w:val="460266E3"/>
    <w:rsid w:val="46032B23"/>
    <w:rsid w:val="4607616F"/>
    <w:rsid w:val="4611106A"/>
    <w:rsid w:val="46130FB8"/>
    <w:rsid w:val="46311219"/>
    <w:rsid w:val="4654337F"/>
    <w:rsid w:val="465515D1"/>
    <w:rsid w:val="466902D9"/>
    <w:rsid w:val="466A5972"/>
    <w:rsid w:val="46761547"/>
    <w:rsid w:val="468457F2"/>
    <w:rsid w:val="4689127A"/>
    <w:rsid w:val="4698770F"/>
    <w:rsid w:val="469A3487"/>
    <w:rsid w:val="46A71700"/>
    <w:rsid w:val="46A81102"/>
    <w:rsid w:val="46BB7578"/>
    <w:rsid w:val="46D1677D"/>
    <w:rsid w:val="46D36AE2"/>
    <w:rsid w:val="46DE3130"/>
    <w:rsid w:val="46E11854"/>
    <w:rsid w:val="470C7F88"/>
    <w:rsid w:val="47376F28"/>
    <w:rsid w:val="474451A1"/>
    <w:rsid w:val="474927B8"/>
    <w:rsid w:val="47596E9F"/>
    <w:rsid w:val="475D0F13"/>
    <w:rsid w:val="475F022D"/>
    <w:rsid w:val="476D46F8"/>
    <w:rsid w:val="47705F96"/>
    <w:rsid w:val="4782250F"/>
    <w:rsid w:val="47983216"/>
    <w:rsid w:val="47BE6D02"/>
    <w:rsid w:val="47E05A3D"/>
    <w:rsid w:val="47EF15B1"/>
    <w:rsid w:val="47EF6F11"/>
    <w:rsid w:val="47FB1D04"/>
    <w:rsid w:val="48054931"/>
    <w:rsid w:val="480C4129"/>
    <w:rsid w:val="481E3C44"/>
    <w:rsid w:val="482C45B3"/>
    <w:rsid w:val="48403BBB"/>
    <w:rsid w:val="48432E9B"/>
    <w:rsid w:val="48587156"/>
    <w:rsid w:val="4864556A"/>
    <w:rsid w:val="486875F5"/>
    <w:rsid w:val="486E0728"/>
    <w:rsid w:val="489108BA"/>
    <w:rsid w:val="48981C49"/>
    <w:rsid w:val="48E21116"/>
    <w:rsid w:val="48E72288"/>
    <w:rsid w:val="48FA020D"/>
    <w:rsid w:val="48FC60D7"/>
    <w:rsid w:val="4902213E"/>
    <w:rsid w:val="492A2683"/>
    <w:rsid w:val="492C4C9B"/>
    <w:rsid w:val="49355EB1"/>
    <w:rsid w:val="494616A5"/>
    <w:rsid w:val="49467FBD"/>
    <w:rsid w:val="494D47E1"/>
    <w:rsid w:val="495316A6"/>
    <w:rsid w:val="49550B65"/>
    <w:rsid w:val="496B69C8"/>
    <w:rsid w:val="497F22FB"/>
    <w:rsid w:val="49801864"/>
    <w:rsid w:val="499046CE"/>
    <w:rsid w:val="49951CE4"/>
    <w:rsid w:val="499F2B63"/>
    <w:rsid w:val="49AA32CE"/>
    <w:rsid w:val="49C10D2B"/>
    <w:rsid w:val="49CD76D0"/>
    <w:rsid w:val="49E07044"/>
    <w:rsid w:val="49E83C32"/>
    <w:rsid w:val="49EC3FFA"/>
    <w:rsid w:val="49ED38CE"/>
    <w:rsid w:val="49F66ADA"/>
    <w:rsid w:val="49F904C5"/>
    <w:rsid w:val="4A007AA5"/>
    <w:rsid w:val="4A176B9D"/>
    <w:rsid w:val="4A1808BB"/>
    <w:rsid w:val="4A1B48DF"/>
    <w:rsid w:val="4A2F3EE7"/>
    <w:rsid w:val="4A2F4251"/>
    <w:rsid w:val="4A325785"/>
    <w:rsid w:val="4A4060F4"/>
    <w:rsid w:val="4A484FA8"/>
    <w:rsid w:val="4A4A6F73"/>
    <w:rsid w:val="4A4C6847"/>
    <w:rsid w:val="4A615DCD"/>
    <w:rsid w:val="4A623EAE"/>
    <w:rsid w:val="4A62692D"/>
    <w:rsid w:val="4A6A13C3"/>
    <w:rsid w:val="4A6B325D"/>
    <w:rsid w:val="4A870198"/>
    <w:rsid w:val="4A871F75"/>
    <w:rsid w:val="4A8F323E"/>
    <w:rsid w:val="4A955161"/>
    <w:rsid w:val="4AA0750A"/>
    <w:rsid w:val="4AA448D5"/>
    <w:rsid w:val="4AAE12AF"/>
    <w:rsid w:val="4ABD1525"/>
    <w:rsid w:val="4ACC7988"/>
    <w:rsid w:val="4AD56736"/>
    <w:rsid w:val="4AE747C1"/>
    <w:rsid w:val="4AEB2C50"/>
    <w:rsid w:val="4AEE5B50"/>
    <w:rsid w:val="4AF173EE"/>
    <w:rsid w:val="4AFA44F5"/>
    <w:rsid w:val="4B101139"/>
    <w:rsid w:val="4B1355B6"/>
    <w:rsid w:val="4B221912"/>
    <w:rsid w:val="4B223D7A"/>
    <w:rsid w:val="4B285566"/>
    <w:rsid w:val="4B2E419E"/>
    <w:rsid w:val="4B44389C"/>
    <w:rsid w:val="4B4669C2"/>
    <w:rsid w:val="4B5005B9"/>
    <w:rsid w:val="4B5C51AF"/>
    <w:rsid w:val="4B661B8A"/>
    <w:rsid w:val="4B6D4FAB"/>
    <w:rsid w:val="4B7D0C82"/>
    <w:rsid w:val="4B8E2E8F"/>
    <w:rsid w:val="4B9E7576"/>
    <w:rsid w:val="4BA919B5"/>
    <w:rsid w:val="4BB01057"/>
    <w:rsid w:val="4BDF51B7"/>
    <w:rsid w:val="4BE9047A"/>
    <w:rsid w:val="4BE94CF3"/>
    <w:rsid w:val="4BFD5F2D"/>
    <w:rsid w:val="4C0373D9"/>
    <w:rsid w:val="4C0575F5"/>
    <w:rsid w:val="4C2B14ED"/>
    <w:rsid w:val="4C2C2DD4"/>
    <w:rsid w:val="4C392662"/>
    <w:rsid w:val="4C3F1086"/>
    <w:rsid w:val="4C4E5810"/>
    <w:rsid w:val="4C7042D7"/>
    <w:rsid w:val="4C7E1155"/>
    <w:rsid w:val="4C8803BE"/>
    <w:rsid w:val="4CA50490"/>
    <w:rsid w:val="4CB70718"/>
    <w:rsid w:val="4CB70FA4"/>
    <w:rsid w:val="4CBF59F6"/>
    <w:rsid w:val="4CC36774"/>
    <w:rsid w:val="4CC72AFC"/>
    <w:rsid w:val="4CDD5E7C"/>
    <w:rsid w:val="4CE02D86"/>
    <w:rsid w:val="4CEF6CE2"/>
    <w:rsid w:val="4CF03E01"/>
    <w:rsid w:val="4CF64CFD"/>
    <w:rsid w:val="4D242D6A"/>
    <w:rsid w:val="4D250F30"/>
    <w:rsid w:val="4D265756"/>
    <w:rsid w:val="4D2C6E03"/>
    <w:rsid w:val="4D31441A"/>
    <w:rsid w:val="4D3D691B"/>
    <w:rsid w:val="4D477799"/>
    <w:rsid w:val="4D49497B"/>
    <w:rsid w:val="4D5D0D6B"/>
    <w:rsid w:val="4D75644C"/>
    <w:rsid w:val="4D773229"/>
    <w:rsid w:val="4D774011"/>
    <w:rsid w:val="4D84279B"/>
    <w:rsid w:val="4D8F4F60"/>
    <w:rsid w:val="4D904369"/>
    <w:rsid w:val="4D9C5D37"/>
    <w:rsid w:val="4DB56DF9"/>
    <w:rsid w:val="4DBD3CC6"/>
    <w:rsid w:val="4DC94652"/>
    <w:rsid w:val="4DCA589B"/>
    <w:rsid w:val="4DCD7C9F"/>
    <w:rsid w:val="4DDB6F48"/>
    <w:rsid w:val="4E08517B"/>
    <w:rsid w:val="4E0B4C6B"/>
    <w:rsid w:val="4E1246D5"/>
    <w:rsid w:val="4E1B3100"/>
    <w:rsid w:val="4E280896"/>
    <w:rsid w:val="4E370DBA"/>
    <w:rsid w:val="4E3C3076"/>
    <w:rsid w:val="4E4361B3"/>
    <w:rsid w:val="4E661EA1"/>
    <w:rsid w:val="4E6C3873"/>
    <w:rsid w:val="4E6C40FA"/>
    <w:rsid w:val="4E760ECF"/>
    <w:rsid w:val="4E7B3B9E"/>
    <w:rsid w:val="4E962786"/>
    <w:rsid w:val="4EA04AA6"/>
    <w:rsid w:val="4EA07161"/>
    <w:rsid w:val="4EBE3A8B"/>
    <w:rsid w:val="4EC54E1A"/>
    <w:rsid w:val="4EC81AE7"/>
    <w:rsid w:val="4ECC43FA"/>
    <w:rsid w:val="4ED25B55"/>
    <w:rsid w:val="4ED31B1C"/>
    <w:rsid w:val="4EEA4880"/>
    <w:rsid w:val="4F164C49"/>
    <w:rsid w:val="4F18763F"/>
    <w:rsid w:val="4F1A1903"/>
    <w:rsid w:val="4F1A5777"/>
    <w:rsid w:val="4F251D61"/>
    <w:rsid w:val="4F2A4A23"/>
    <w:rsid w:val="4F40160A"/>
    <w:rsid w:val="4F446C74"/>
    <w:rsid w:val="4F4F32AA"/>
    <w:rsid w:val="4F5341B6"/>
    <w:rsid w:val="4F6E54B1"/>
    <w:rsid w:val="4F7718D0"/>
    <w:rsid w:val="4F7C5E20"/>
    <w:rsid w:val="4F847B70"/>
    <w:rsid w:val="4F8847C5"/>
    <w:rsid w:val="4F8C5937"/>
    <w:rsid w:val="4F9928FF"/>
    <w:rsid w:val="4F9D18F3"/>
    <w:rsid w:val="4FA55626"/>
    <w:rsid w:val="4FB02DFA"/>
    <w:rsid w:val="4FC74BC1"/>
    <w:rsid w:val="4FCD780E"/>
    <w:rsid w:val="4FD36FA5"/>
    <w:rsid w:val="4FE70DC0"/>
    <w:rsid w:val="50036CCC"/>
    <w:rsid w:val="50093BBA"/>
    <w:rsid w:val="50094FD7"/>
    <w:rsid w:val="502B532A"/>
    <w:rsid w:val="50324731"/>
    <w:rsid w:val="50371D47"/>
    <w:rsid w:val="50395ABF"/>
    <w:rsid w:val="503E47C6"/>
    <w:rsid w:val="50410FC4"/>
    <w:rsid w:val="504B134F"/>
    <w:rsid w:val="504C3F42"/>
    <w:rsid w:val="50586B39"/>
    <w:rsid w:val="505A77E4"/>
    <w:rsid w:val="50606F6A"/>
    <w:rsid w:val="50681F00"/>
    <w:rsid w:val="507D6E7C"/>
    <w:rsid w:val="507E1724"/>
    <w:rsid w:val="50874A7C"/>
    <w:rsid w:val="508807F5"/>
    <w:rsid w:val="508D7A0F"/>
    <w:rsid w:val="50937B6E"/>
    <w:rsid w:val="50A3118B"/>
    <w:rsid w:val="50A82C45"/>
    <w:rsid w:val="50AA2519"/>
    <w:rsid w:val="50B769E4"/>
    <w:rsid w:val="50C80BF1"/>
    <w:rsid w:val="50C86E43"/>
    <w:rsid w:val="50CC248F"/>
    <w:rsid w:val="50DC2AD2"/>
    <w:rsid w:val="50FB2FBD"/>
    <w:rsid w:val="510C4347"/>
    <w:rsid w:val="511D718F"/>
    <w:rsid w:val="51204589"/>
    <w:rsid w:val="51257DF2"/>
    <w:rsid w:val="513149E8"/>
    <w:rsid w:val="515F4C30"/>
    <w:rsid w:val="51864D34"/>
    <w:rsid w:val="518B234A"/>
    <w:rsid w:val="518E5997"/>
    <w:rsid w:val="51B86EB8"/>
    <w:rsid w:val="51CC5C45"/>
    <w:rsid w:val="51D14315"/>
    <w:rsid w:val="51D414AC"/>
    <w:rsid w:val="51E952C3"/>
    <w:rsid w:val="51E959EC"/>
    <w:rsid w:val="51F4331A"/>
    <w:rsid w:val="52320A18"/>
    <w:rsid w:val="5233653E"/>
    <w:rsid w:val="525F17E0"/>
    <w:rsid w:val="527252B8"/>
    <w:rsid w:val="529214B7"/>
    <w:rsid w:val="529701A9"/>
    <w:rsid w:val="52985D0A"/>
    <w:rsid w:val="5299416C"/>
    <w:rsid w:val="52A61F0C"/>
    <w:rsid w:val="52AA6800"/>
    <w:rsid w:val="52B23907"/>
    <w:rsid w:val="52B61649"/>
    <w:rsid w:val="52C33D66"/>
    <w:rsid w:val="52E37F64"/>
    <w:rsid w:val="52E80EE6"/>
    <w:rsid w:val="52EA7840"/>
    <w:rsid w:val="52F43169"/>
    <w:rsid w:val="52F91536"/>
    <w:rsid w:val="52FB705C"/>
    <w:rsid w:val="53071EA5"/>
    <w:rsid w:val="530D54A1"/>
    <w:rsid w:val="5325057D"/>
    <w:rsid w:val="5334431C"/>
    <w:rsid w:val="534053B7"/>
    <w:rsid w:val="53422EDD"/>
    <w:rsid w:val="5364772A"/>
    <w:rsid w:val="537218B9"/>
    <w:rsid w:val="539B25ED"/>
    <w:rsid w:val="539B439B"/>
    <w:rsid w:val="539F032F"/>
    <w:rsid w:val="53AB4D42"/>
    <w:rsid w:val="53B042EA"/>
    <w:rsid w:val="53B4661F"/>
    <w:rsid w:val="53C658BC"/>
    <w:rsid w:val="53E06252"/>
    <w:rsid w:val="53E43F94"/>
    <w:rsid w:val="53F71F19"/>
    <w:rsid w:val="53FE5227"/>
    <w:rsid w:val="5406215C"/>
    <w:rsid w:val="540D3678"/>
    <w:rsid w:val="54244390"/>
    <w:rsid w:val="54316C98"/>
    <w:rsid w:val="54332825"/>
    <w:rsid w:val="5433421A"/>
    <w:rsid w:val="54466874"/>
    <w:rsid w:val="5453207B"/>
    <w:rsid w:val="545470BE"/>
    <w:rsid w:val="54596730"/>
    <w:rsid w:val="545D5AF4"/>
    <w:rsid w:val="546B45AA"/>
    <w:rsid w:val="546E3D96"/>
    <w:rsid w:val="547D1CF3"/>
    <w:rsid w:val="54866DF9"/>
    <w:rsid w:val="548C301C"/>
    <w:rsid w:val="54976AF9"/>
    <w:rsid w:val="54A61306"/>
    <w:rsid w:val="54B0031A"/>
    <w:rsid w:val="54B25E40"/>
    <w:rsid w:val="54B81D72"/>
    <w:rsid w:val="54C33BA9"/>
    <w:rsid w:val="54C6369A"/>
    <w:rsid w:val="54C918DE"/>
    <w:rsid w:val="54D264E2"/>
    <w:rsid w:val="54D3283A"/>
    <w:rsid w:val="54DD775A"/>
    <w:rsid w:val="54E35FFA"/>
    <w:rsid w:val="54E67898"/>
    <w:rsid w:val="54EB5A65"/>
    <w:rsid w:val="54EE6E5A"/>
    <w:rsid w:val="55071C21"/>
    <w:rsid w:val="55217A17"/>
    <w:rsid w:val="55227F9E"/>
    <w:rsid w:val="55352EB9"/>
    <w:rsid w:val="554037A1"/>
    <w:rsid w:val="5543707D"/>
    <w:rsid w:val="55472A2C"/>
    <w:rsid w:val="554C1DF1"/>
    <w:rsid w:val="55515659"/>
    <w:rsid w:val="555649EC"/>
    <w:rsid w:val="555E1F4C"/>
    <w:rsid w:val="557256C6"/>
    <w:rsid w:val="55757F75"/>
    <w:rsid w:val="558C48E3"/>
    <w:rsid w:val="55AC3AD3"/>
    <w:rsid w:val="55B0753C"/>
    <w:rsid w:val="55BE064B"/>
    <w:rsid w:val="55DC637A"/>
    <w:rsid w:val="55F12998"/>
    <w:rsid w:val="55FA2AB8"/>
    <w:rsid w:val="56020701"/>
    <w:rsid w:val="56160149"/>
    <w:rsid w:val="56206DD9"/>
    <w:rsid w:val="56220DA3"/>
    <w:rsid w:val="563D0F57"/>
    <w:rsid w:val="5640122A"/>
    <w:rsid w:val="56496330"/>
    <w:rsid w:val="56576C9F"/>
    <w:rsid w:val="565A22EB"/>
    <w:rsid w:val="565C2507"/>
    <w:rsid w:val="566273F2"/>
    <w:rsid w:val="566413BC"/>
    <w:rsid w:val="56714451"/>
    <w:rsid w:val="567A473C"/>
    <w:rsid w:val="56834428"/>
    <w:rsid w:val="56837A94"/>
    <w:rsid w:val="5689497F"/>
    <w:rsid w:val="568B06F7"/>
    <w:rsid w:val="568D26C1"/>
    <w:rsid w:val="56BF6825"/>
    <w:rsid w:val="56C45FCF"/>
    <w:rsid w:val="56F21594"/>
    <w:rsid w:val="56FB4B4A"/>
    <w:rsid w:val="56FF2E93"/>
    <w:rsid w:val="570566FB"/>
    <w:rsid w:val="570F757A"/>
    <w:rsid w:val="571132F2"/>
    <w:rsid w:val="571406EC"/>
    <w:rsid w:val="57154464"/>
    <w:rsid w:val="57237F93"/>
    <w:rsid w:val="5730129E"/>
    <w:rsid w:val="57441E9D"/>
    <w:rsid w:val="574613CF"/>
    <w:rsid w:val="574D00A2"/>
    <w:rsid w:val="57511940"/>
    <w:rsid w:val="57541431"/>
    <w:rsid w:val="575E2854"/>
    <w:rsid w:val="57686C8A"/>
    <w:rsid w:val="57693417"/>
    <w:rsid w:val="577216B2"/>
    <w:rsid w:val="577C4FFA"/>
    <w:rsid w:val="57812BC2"/>
    <w:rsid w:val="57A20E26"/>
    <w:rsid w:val="57B26DB0"/>
    <w:rsid w:val="57B27F05"/>
    <w:rsid w:val="57D0303B"/>
    <w:rsid w:val="57D367F9"/>
    <w:rsid w:val="57D741CB"/>
    <w:rsid w:val="57E04660"/>
    <w:rsid w:val="57E15064"/>
    <w:rsid w:val="57F3763C"/>
    <w:rsid w:val="57F95B34"/>
    <w:rsid w:val="58095D77"/>
    <w:rsid w:val="58214A53"/>
    <w:rsid w:val="58315BF8"/>
    <w:rsid w:val="585316E8"/>
    <w:rsid w:val="5855374A"/>
    <w:rsid w:val="58575D94"/>
    <w:rsid w:val="58694A68"/>
    <w:rsid w:val="586B07E0"/>
    <w:rsid w:val="5876746B"/>
    <w:rsid w:val="587B71B7"/>
    <w:rsid w:val="587F6039"/>
    <w:rsid w:val="58873140"/>
    <w:rsid w:val="588C69A8"/>
    <w:rsid w:val="588E2720"/>
    <w:rsid w:val="589661EB"/>
    <w:rsid w:val="58A40196"/>
    <w:rsid w:val="58A61818"/>
    <w:rsid w:val="58D42829"/>
    <w:rsid w:val="58DC348C"/>
    <w:rsid w:val="58F20F01"/>
    <w:rsid w:val="58FA452D"/>
    <w:rsid w:val="59077F42"/>
    <w:rsid w:val="591744C4"/>
    <w:rsid w:val="5919023C"/>
    <w:rsid w:val="591D4E77"/>
    <w:rsid w:val="5934394C"/>
    <w:rsid w:val="593B4656"/>
    <w:rsid w:val="59464DA9"/>
    <w:rsid w:val="59486E21"/>
    <w:rsid w:val="594A6647"/>
    <w:rsid w:val="59610C8A"/>
    <w:rsid w:val="597D505A"/>
    <w:rsid w:val="597D6D22"/>
    <w:rsid w:val="598F4D7B"/>
    <w:rsid w:val="59916588"/>
    <w:rsid w:val="59A30110"/>
    <w:rsid w:val="59BC4885"/>
    <w:rsid w:val="59BE0DE3"/>
    <w:rsid w:val="59D62212"/>
    <w:rsid w:val="5A0C1B4F"/>
    <w:rsid w:val="5A0E2AA6"/>
    <w:rsid w:val="5A0E58C7"/>
    <w:rsid w:val="5A296BA4"/>
    <w:rsid w:val="5A2C0443"/>
    <w:rsid w:val="5A326988"/>
    <w:rsid w:val="5A375611"/>
    <w:rsid w:val="5A44578C"/>
    <w:rsid w:val="5A4F52D2"/>
    <w:rsid w:val="5A56101C"/>
    <w:rsid w:val="5A7E4F9D"/>
    <w:rsid w:val="5AC71F19"/>
    <w:rsid w:val="5AE44879"/>
    <w:rsid w:val="5AE605F2"/>
    <w:rsid w:val="5AEB5538"/>
    <w:rsid w:val="5AFA711E"/>
    <w:rsid w:val="5AFD6893"/>
    <w:rsid w:val="5AFD6AB1"/>
    <w:rsid w:val="5B12540A"/>
    <w:rsid w:val="5B2A046D"/>
    <w:rsid w:val="5B330941"/>
    <w:rsid w:val="5B4F43E9"/>
    <w:rsid w:val="5B5437AD"/>
    <w:rsid w:val="5B6065F6"/>
    <w:rsid w:val="5B6C2BA5"/>
    <w:rsid w:val="5B751975"/>
    <w:rsid w:val="5B811EE9"/>
    <w:rsid w:val="5BB57FC4"/>
    <w:rsid w:val="5BBE50CA"/>
    <w:rsid w:val="5BCF3C9E"/>
    <w:rsid w:val="5BD112A2"/>
    <w:rsid w:val="5BD91F04"/>
    <w:rsid w:val="5BE110AF"/>
    <w:rsid w:val="5BEC58D3"/>
    <w:rsid w:val="5BED59B0"/>
    <w:rsid w:val="5BFB631F"/>
    <w:rsid w:val="5C0F5926"/>
    <w:rsid w:val="5C0F5EF4"/>
    <w:rsid w:val="5C621EFA"/>
    <w:rsid w:val="5C71038F"/>
    <w:rsid w:val="5C8370DF"/>
    <w:rsid w:val="5C89392A"/>
    <w:rsid w:val="5CBB075A"/>
    <w:rsid w:val="5CBD35D4"/>
    <w:rsid w:val="5CCD6BA5"/>
    <w:rsid w:val="5CF039A9"/>
    <w:rsid w:val="5D042FB1"/>
    <w:rsid w:val="5D094A6B"/>
    <w:rsid w:val="5D107BA8"/>
    <w:rsid w:val="5D1B2929"/>
    <w:rsid w:val="5D1C42F5"/>
    <w:rsid w:val="5D2F3A4B"/>
    <w:rsid w:val="5D303DA6"/>
    <w:rsid w:val="5D417E51"/>
    <w:rsid w:val="5D4C5693"/>
    <w:rsid w:val="5D811E11"/>
    <w:rsid w:val="5D8A795A"/>
    <w:rsid w:val="5D99194B"/>
    <w:rsid w:val="5DB23820"/>
    <w:rsid w:val="5DC56BE4"/>
    <w:rsid w:val="5DC80482"/>
    <w:rsid w:val="5DD773B8"/>
    <w:rsid w:val="5DEF5A0F"/>
    <w:rsid w:val="5E0F5D96"/>
    <w:rsid w:val="5E1D3A94"/>
    <w:rsid w:val="5E1E00A2"/>
    <w:rsid w:val="5E261391"/>
    <w:rsid w:val="5E262FEA"/>
    <w:rsid w:val="5E2751A9"/>
    <w:rsid w:val="5E287173"/>
    <w:rsid w:val="5E2A7E1A"/>
    <w:rsid w:val="5E345B18"/>
    <w:rsid w:val="5E5256B5"/>
    <w:rsid w:val="5E563CE0"/>
    <w:rsid w:val="5E593011"/>
    <w:rsid w:val="5E6C7060"/>
    <w:rsid w:val="5E7128C8"/>
    <w:rsid w:val="5E750D38"/>
    <w:rsid w:val="5E7E6D93"/>
    <w:rsid w:val="5E820631"/>
    <w:rsid w:val="5E96232F"/>
    <w:rsid w:val="5E980438"/>
    <w:rsid w:val="5E9D190F"/>
    <w:rsid w:val="5EAE7678"/>
    <w:rsid w:val="5EB05FAA"/>
    <w:rsid w:val="5EB23621"/>
    <w:rsid w:val="5EB80414"/>
    <w:rsid w:val="5EC155FD"/>
    <w:rsid w:val="5ED510A9"/>
    <w:rsid w:val="5EE57A83"/>
    <w:rsid w:val="5EF84D97"/>
    <w:rsid w:val="5EFA466C"/>
    <w:rsid w:val="5F0371D6"/>
    <w:rsid w:val="5F0545C8"/>
    <w:rsid w:val="5F256B69"/>
    <w:rsid w:val="5F291E6A"/>
    <w:rsid w:val="5F3062DF"/>
    <w:rsid w:val="5F313E05"/>
    <w:rsid w:val="5F360ED7"/>
    <w:rsid w:val="5F3D27AA"/>
    <w:rsid w:val="5F4D27AE"/>
    <w:rsid w:val="5F522506"/>
    <w:rsid w:val="5F5C25BE"/>
    <w:rsid w:val="5F7A710F"/>
    <w:rsid w:val="5F9A7BFD"/>
    <w:rsid w:val="5F9D03B8"/>
    <w:rsid w:val="5FAA42E4"/>
    <w:rsid w:val="5FBA3DFB"/>
    <w:rsid w:val="5FC87A03"/>
    <w:rsid w:val="600A2FD4"/>
    <w:rsid w:val="600B28A8"/>
    <w:rsid w:val="600D11D9"/>
    <w:rsid w:val="601E69D3"/>
    <w:rsid w:val="60224D70"/>
    <w:rsid w:val="603D591F"/>
    <w:rsid w:val="6045472C"/>
    <w:rsid w:val="60527752"/>
    <w:rsid w:val="60593614"/>
    <w:rsid w:val="605B48BE"/>
    <w:rsid w:val="60673698"/>
    <w:rsid w:val="60736A8B"/>
    <w:rsid w:val="60765F74"/>
    <w:rsid w:val="60A01243"/>
    <w:rsid w:val="60A30D33"/>
    <w:rsid w:val="60B30F76"/>
    <w:rsid w:val="60F11A9E"/>
    <w:rsid w:val="60F15EAC"/>
    <w:rsid w:val="60F31CBA"/>
    <w:rsid w:val="61001CE1"/>
    <w:rsid w:val="61023CAB"/>
    <w:rsid w:val="611A41FB"/>
    <w:rsid w:val="6138591F"/>
    <w:rsid w:val="613B0F6B"/>
    <w:rsid w:val="61502C69"/>
    <w:rsid w:val="61860438"/>
    <w:rsid w:val="61882403"/>
    <w:rsid w:val="618B1B80"/>
    <w:rsid w:val="618F4878"/>
    <w:rsid w:val="619A36FE"/>
    <w:rsid w:val="61AF3E33"/>
    <w:rsid w:val="61B72CE8"/>
    <w:rsid w:val="61B825BC"/>
    <w:rsid w:val="61C15914"/>
    <w:rsid w:val="61C87093"/>
    <w:rsid w:val="61C972E2"/>
    <w:rsid w:val="61EA6C19"/>
    <w:rsid w:val="61ED42C5"/>
    <w:rsid w:val="61F1668F"/>
    <w:rsid w:val="62037CDB"/>
    <w:rsid w:val="620677CB"/>
    <w:rsid w:val="622F2629"/>
    <w:rsid w:val="62307E12"/>
    <w:rsid w:val="625978FB"/>
    <w:rsid w:val="625E3163"/>
    <w:rsid w:val="626C5880"/>
    <w:rsid w:val="62754BDF"/>
    <w:rsid w:val="62797F9D"/>
    <w:rsid w:val="627B3D15"/>
    <w:rsid w:val="628801E0"/>
    <w:rsid w:val="62937823"/>
    <w:rsid w:val="62973EAF"/>
    <w:rsid w:val="62A468BF"/>
    <w:rsid w:val="62A84B6E"/>
    <w:rsid w:val="62B45479"/>
    <w:rsid w:val="62CE02E9"/>
    <w:rsid w:val="62D21DAE"/>
    <w:rsid w:val="62DE1583"/>
    <w:rsid w:val="62E278F0"/>
    <w:rsid w:val="62F2022D"/>
    <w:rsid w:val="62FF591F"/>
    <w:rsid w:val="63057A83"/>
    <w:rsid w:val="63163C07"/>
    <w:rsid w:val="63176E57"/>
    <w:rsid w:val="63316636"/>
    <w:rsid w:val="634405AB"/>
    <w:rsid w:val="63480C41"/>
    <w:rsid w:val="6352606D"/>
    <w:rsid w:val="635D4414"/>
    <w:rsid w:val="63696264"/>
    <w:rsid w:val="636C7B02"/>
    <w:rsid w:val="63732A72"/>
    <w:rsid w:val="637D1D0F"/>
    <w:rsid w:val="638D67F3"/>
    <w:rsid w:val="63B45A91"/>
    <w:rsid w:val="63B82D47"/>
    <w:rsid w:val="63DA2CBD"/>
    <w:rsid w:val="63DF2082"/>
    <w:rsid w:val="63EA1819"/>
    <w:rsid w:val="63EE0517"/>
    <w:rsid w:val="63F35B2D"/>
    <w:rsid w:val="642336D3"/>
    <w:rsid w:val="642D7291"/>
    <w:rsid w:val="64354398"/>
    <w:rsid w:val="64371EBE"/>
    <w:rsid w:val="64395C36"/>
    <w:rsid w:val="643B5F4F"/>
    <w:rsid w:val="64427C95"/>
    <w:rsid w:val="6470717E"/>
    <w:rsid w:val="6478428C"/>
    <w:rsid w:val="648844C8"/>
    <w:rsid w:val="648A0240"/>
    <w:rsid w:val="649410BE"/>
    <w:rsid w:val="649D4417"/>
    <w:rsid w:val="64A82DBC"/>
    <w:rsid w:val="64C15A00"/>
    <w:rsid w:val="64C25C2B"/>
    <w:rsid w:val="64D23995"/>
    <w:rsid w:val="64D836A1"/>
    <w:rsid w:val="64D911C7"/>
    <w:rsid w:val="64DE058B"/>
    <w:rsid w:val="64E33EDE"/>
    <w:rsid w:val="65052753"/>
    <w:rsid w:val="65077AE2"/>
    <w:rsid w:val="652C70D8"/>
    <w:rsid w:val="65312DB1"/>
    <w:rsid w:val="65332685"/>
    <w:rsid w:val="65362175"/>
    <w:rsid w:val="655F791E"/>
    <w:rsid w:val="65680A32"/>
    <w:rsid w:val="656B0071"/>
    <w:rsid w:val="656C5B97"/>
    <w:rsid w:val="659155FE"/>
    <w:rsid w:val="65B15650"/>
    <w:rsid w:val="65B63AF5"/>
    <w:rsid w:val="65BF03BD"/>
    <w:rsid w:val="65CB24B8"/>
    <w:rsid w:val="65CB6D62"/>
    <w:rsid w:val="65CC4888"/>
    <w:rsid w:val="65D5373C"/>
    <w:rsid w:val="65D75FCA"/>
    <w:rsid w:val="65E15C63"/>
    <w:rsid w:val="65E161FA"/>
    <w:rsid w:val="65F155CB"/>
    <w:rsid w:val="65F22540"/>
    <w:rsid w:val="65F55B8D"/>
    <w:rsid w:val="662326FA"/>
    <w:rsid w:val="66291CDA"/>
    <w:rsid w:val="66416C30"/>
    <w:rsid w:val="665F6B90"/>
    <w:rsid w:val="666F137B"/>
    <w:rsid w:val="6672542F"/>
    <w:rsid w:val="66770C98"/>
    <w:rsid w:val="66787FA7"/>
    <w:rsid w:val="668C4743"/>
    <w:rsid w:val="668F4233"/>
    <w:rsid w:val="66C739CD"/>
    <w:rsid w:val="66CF2882"/>
    <w:rsid w:val="66E07BC1"/>
    <w:rsid w:val="66ED2D08"/>
    <w:rsid w:val="67051C91"/>
    <w:rsid w:val="67127912"/>
    <w:rsid w:val="671309C0"/>
    <w:rsid w:val="6739419F"/>
    <w:rsid w:val="673A01C2"/>
    <w:rsid w:val="673C48EB"/>
    <w:rsid w:val="674C5C80"/>
    <w:rsid w:val="674C7A2E"/>
    <w:rsid w:val="67544B35"/>
    <w:rsid w:val="677376B1"/>
    <w:rsid w:val="678B55B6"/>
    <w:rsid w:val="679C45FA"/>
    <w:rsid w:val="679C5ABD"/>
    <w:rsid w:val="67AC671F"/>
    <w:rsid w:val="67AE693B"/>
    <w:rsid w:val="67B47909"/>
    <w:rsid w:val="67B62592"/>
    <w:rsid w:val="67DB0DB2"/>
    <w:rsid w:val="67DB50EE"/>
    <w:rsid w:val="67E04ED3"/>
    <w:rsid w:val="67E704B4"/>
    <w:rsid w:val="67E81E4D"/>
    <w:rsid w:val="67EB7247"/>
    <w:rsid w:val="67FF2CF3"/>
    <w:rsid w:val="681349F0"/>
    <w:rsid w:val="68294213"/>
    <w:rsid w:val="68324E76"/>
    <w:rsid w:val="685511D4"/>
    <w:rsid w:val="68633281"/>
    <w:rsid w:val="686B0388"/>
    <w:rsid w:val="686C6B7B"/>
    <w:rsid w:val="68790CF7"/>
    <w:rsid w:val="687C2595"/>
    <w:rsid w:val="689C6793"/>
    <w:rsid w:val="68A82A54"/>
    <w:rsid w:val="68BF3377"/>
    <w:rsid w:val="68E83CDF"/>
    <w:rsid w:val="68EE73AA"/>
    <w:rsid w:val="69286279"/>
    <w:rsid w:val="692F13B6"/>
    <w:rsid w:val="693B5FAC"/>
    <w:rsid w:val="694641F3"/>
    <w:rsid w:val="694A61EF"/>
    <w:rsid w:val="69581096"/>
    <w:rsid w:val="699102C2"/>
    <w:rsid w:val="699E02E9"/>
    <w:rsid w:val="69B63885"/>
    <w:rsid w:val="69C46485"/>
    <w:rsid w:val="69C73CE4"/>
    <w:rsid w:val="69E23073"/>
    <w:rsid w:val="69FF522C"/>
    <w:rsid w:val="6A002C04"/>
    <w:rsid w:val="6A1011E7"/>
    <w:rsid w:val="6A1862EE"/>
    <w:rsid w:val="6A2F7FCC"/>
    <w:rsid w:val="6A3824EC"/>
    <w:rsid w:val="6A4162B5"/>
    <w:rsid w:val="6A4C2A5C"/>
    <w:rsid w:val="6A707ED8"/>
    <w:rsid w:val="6A7774B8"/>
    <w:rsid w:val="6A7D43A3"/>
    <w:rsid w:val="6A922E84"/>
    <w:rsid w:val="6A9F256B"/>
    <w:rsid w:val="6AB46016"/>
    <w:rsid w:val="6AB67CFA"/>
    <w:rsid w:val="6AC975E8"/>
    <w:rsid w:val="6ADB79A7"/>
    <w:rsid w:val="6AED32D6"/>
    <w:rsid w:val="6AF1726A"/>
    <w:rsid w:val="6AF75B7B"/>
    <w:rsid w:val="6AFA2A24"/>
    <w:rsid w:val="6B086362"/>
    <w:rsid w:val="6B0A55B2"/>
    <w:rsid w:val="6B0E6515"/>
    <w:rsid w:val="6B190993"/>
    <w:rsid w:val="6B1B6095"/>
    <w:rsid w:val="6B1E5CDB"/>
    <w:rsid w:val="6B1F7E37"/>
    <w:rsid w:val="6B20545A"/>
    <w:rsid w:val="6B2129A4"/>
    <w:rsid w:val="6B2807B2"/>
    <w:rsid w:val="6B4355EC"/>
    <w:rsid w:val="6B4A0729"/>
    <w:rsid w:val="6B5240A3"/>
    <w:rsid w:val="6B52582F"/>
    <w:rsid w:val="6B5B2936"/>
    <w:rsid w:val="6B600A76"/>
    <w:rsid w:val="6B652D92"/>
    <w:rsid w:val="6B655563"/>
    <w:rsid w:val="6B767770"/>
    <w:rsid w:val="6BAD30F8"/>
    <w:rsid w:val="6BC8789F"/>
    <w:rsid w:val="6BC95474"/>
    <w:rsid w:val="6BDA1B01"/>
    <w:rsid w:val="6BE803D2"/>
    <w:rsid w:val="6C0134DD"/>
    <w:rsid w:val="6C0578D5"/>
    <w:rsid w:val="6C085ABB"/>
    <w:rsid w:val="6C156025"/>
    <w:rsid w:val="6C172F5F"/>
    <w:rsid w:val="6C57134F"/>
    <w:rsid w:val="6C5817F3"/>
    <w:rsid w:val="6C5B7D72"/>
    <w:rsid w:val="6C64734B"/>
    <w:rsid w:val="6C6B6BA9"/>
    <w:rsid w:val="6C830396"/>
    <w:rsid w:val="6C8857BF"/>
    <w:rsid w:val="6C953C26"/>
    <w:rsid w:val="6CA443DB"/>
    <w:rsid w:val="6CAE5601"/>
    <w:rsid w:val="6CB247D7"/>
    <w:rsid w:val="6CC23A7D"/>
    <w:rsid w:val="6CC91B21"/>
    <w:rsid w:val="6CDD0632"/>
    <w:rsid w:val="6CE34991"/>
    <w:rsid w:val="6CEE1E72"/>
    <w:rsid w:val="6CEE3336"/>
    <w:rsid w:val="6CF61EBB"/>
    <w:rsid w:val="6D1246FB"/>
    <w:rsid w:val="6D205BE5"/>
    <w:rsid w:val="6D296F37"/>
    <w:rsid w:val="6D396CA7"/>
    <w:rsid w:val="6D4B2914"/>
    <w:rsid w:val="6D5C4743"/>
    <w:rsid w:val="6D6B4986"/>
    <w:rsid w:val="6D853C9A"/>
    <w:rsid w:val="6D8C00B5"/>
    <w:rsid w:val="6D9B34BE"/>
    <w:rsid w:val="6DB30807"/>
    <w:rsid w:val="6DC26C9C"/>
    <w:rsid w:val="6DCA69DB"/>
    <w:rsid w:val="6DCB73B6"/>
    <w:rsid w:val="6DD05881"/>
    <w:rsid w:val="6DD644F6"/>
    <w:rsid w:val="6DEA355E"/>
    <w:rsid w:val="6DF171BC"/>
    <w:rsid w:val="6DF54262"/>
    <w:rsid w:val="6E1F40EF"/>
    <w:rsid w:val="6E2214E9"/>
    <w:rsid w:val="6E223865"/>
    <w:rsid w:val="6E22773B"/>
    <w:rsid w:val="6E245AEE"/>
    <w:rsid w:val="6E315FF2"/>
    <w:rsid w:val="6E323894"/>
    <w:rsid w:val="6E3E3FDE"/>
    <w:rsid w:val="6E432CAE"/>
    <w:rsid w:val="6E4C0C5C"/>
    <w:rsid w:val="6E58642E"/>
    <w:rsid w:val="6E67654E"/>
    <w:rsid w:val="6E6E4320"/>
    <w:rsid w:val="6E7F693B"/>
    <w:rsid w:val="6E855401"/>
    <w:rsid w:val="6E9F0D8B"/>
    <w:rsid w:val="6E9F6864"/>
    <w:rsid w:val="6EAB3707"/>
    <w:rsid w:val="6EE60768"/>
    <w:rsid w:val="6EF14242"/>
    <w:rsid w:val="6EFF5CCE"/>
    <w:rsid w:val="6F0B01CF"/>
    <w:rsid w:val="6F141779"/>
    <w:rsid w:val="6F15104E"/>
    <w:rsid w:val="6F1A48B6"/>
    <w:rsid w:val="6F512DAC"/>
    <w:rsid w:val="6F665A56"/>
    <w:rsid w:val="6F6B6EC0"/>
    <w:rsid w:val="6F795A80"/>
    <w:rsid w:val="6F7C5620"/>
    <w:rsid w:val="6F90296F"/>
    <w:rsid w:val="6F937701"/>
    <w:rsid w:val="6F951824"/>
    <w:rsid w:val="6FA36659"/>
    <w:rsid w:val="6FBB43B1"/>
    <w:rsid w:val="6FC36CFC"/>
    <w:rsid w:val="6FC62348"/>
    <w:rsid w:val="6FCC3E02"/>
    <w:rsid w:val="6FCC5BB0"/>
    <w:rsid w:val="6FD20CED"/>
    <w:rsid w:val="6FF346DB"/>
    <w:rsid w:val="70030FCD"/>
    <w:rsid w:val="7016507D"/>
    <w:rsid w:val="701D640C"/>
    <w:rsid w:val="704876EA"/>
    <w:rsid w:val="708244C1"/>
    <w:rsid w:val="70877D29"/>
    <w:rsid w:val="708B5A6B"/>
    <w:rsid w:val="70AE175A"/>
    <w:rsid w:val="70C26FB3"/>
    <w:rsid w:val="70C8271B"/>
    <w:rsid w:val="70CC4DD8"/>
    <w:rsid w:val="70D31FDB"/>
    <w:rsid w:val="70F35ED1"/>
    <w:rsid w:val="70F74EAF"/>
    <w:rsid w:val="71017ADB"/>
    <w:rsid w:val="710855EB"/>
    <w:rsid w:val="71155335"/>
    <w:rsid w:val="71211E57"/>
    <w:rsid w:val="71235CA4"/>
    <w:rsid w:val="713E488C"/>
    <w:rsid w:val="71445C1A"/>
    <w:rsid w:val="714B1CA5"/>
    <w:rsid w:val="71523A5D"/>
    <w:rsid w:val="71533639"/>
    <w:rsid w:val="71573B9F"/>
    <w:rsid w:val="715F6B68"/>
    <w:rsid w:val="7161057A"/>
    <w:rsid w:val="71665B90"/>
    <w:rsid w:val="718A5D23"/>
    <w:rsid w:val="719375CE"/>
    <w:rsid w:val="71A35F1E"/>
    <w:rsid w:val="71B0505E"/>
    <w:rsid w:val="71B13E1A"/>
    <w:rsid w:val="71BA7C8A"/>
    <w:rsid w:val="71CA611F"/>
    <w:rsid w:val="71CB1E97"/>
    <w:rsid w:val="71CB5A96"/>
    <w:rsid w:val="71D8462F"/>
    <w:rsid w:val="71DA0B5A"/>
    <w:rsid w:val="71E2790D"/>
    <w:rsid w:val="72036CE8"/>
    <w:rsid w:val="72111FA0"/>
    <w:rsid w:val="72121874"/>
    <w:rsid w:val="721A7121"/>
    <w:rsid w:val="721E46BD"/>
    <w:rsid w:val="721F290F"/>
    <w:rsid w:val="72264D1E"/>
    <w:rsid w:val="72273572"/>
    <w:rsid w:val="72275320"/>
    <w:rsid w:val="72330169"/>
    <w:rsid w:val="72445094"/>
    <w:rsid w:val="724827D1"/>
    <w:rsid w:val="724A7260"/>
    <w:rsid w:val="726C5429"/>
    <w:rsid w:val="7280332A"/>
    <w:rsid w:val="72815151"/>
    <w:rsid w:val="728409C4"/>
    <w:rsid w:val="72916C3D"/>
    <w:rsid w:val="7295497F"/>
    <w:rsid w:val="72966949"/>
    <w:rsid w:val="72AE1995"/>
    <w:rsid w:val="72D37256"/>
    <w:rsid w:val="72D8486C"/>
    <w:rsid w:val="72ED47BB"/>
    <w:rsid w:val="72EE24A7"/>
    <w:rsid w:val="732E26DE"/>
    <w:rsid w:val="73341D48"/>
    <w:rsid w:val="734463A5"/>
    <w:rsid w:val="73692554"/>
    <w:rsid w:val="73754CED"/>
    <w:rsid w:val="737F73DD"/>
    <w:rsid w:val="73814700"/>
    <w:rsid w:val="73830C7C"/>
    <w:rsid w:val="739E7864"/>
    <w:rsid w:val="73A56E44"/>
    <w:rsid w:val="73B07597"/>
    <w:rsid w:val="73BE3A62"/>
    <w:rsid w:val="73D70FC8"/>
    <w:rsid w:val="73EA766C"/>
    <w:rsid w:val="73EB05CF"/>
    <w:rsid w:val="73FC458A"/>
    <w:rsid w:val="74023416"/>
    <w:rsid w:val="741C6C52"/>
    <w:rsid w:val="74273CFD"/>
    <w:rsid w:val="742A10F7"/>
    <w:rsid w:val="743326A2"/>
    <w:rsid w:val="743E609F"/>
    <w:rsid w:val="744C48FE"/>
    <w:rsid w:val="745A5E80"/>
    <w:rsid w:val="74732A9E"/>
    <w:rsid w:val="748527D2"/>
    <w:rsid w:val="74A23383"/>
    <w:rsid w:val="74AB66DC"/>
    <w:rsid w:val="74B11819"/>
    <w:rsid w:val="74B310ED"/>
    <w:rsid w:val="74BB60F3"/>
    <w:rsid w:val="74C257D4"/>
    <w:rsid w:val="74CA4688"/>
    <w:rsid w:val="74E76FE8"/>
    <w:rsid w:val="74EC2851"/>
    <w:rsid w:val="74EE0377"/>
    <w:rsid w:val="75061B64"/>
    <w:rsid w:val="75145607"/>
    <w:rsid w:val="751F49D4"/>
    <w:rsid w:val="752073C6"/>
    <w:rsid w:val="752B78C2"/>
    <w:rsid w:val="755D14D4"/>
    <w:rsid w:val="755F1275"/>
    <w:rsid w:val="756643B1"/>
    <w:rsid w:val="75734D8E"/>
    <w:rsid w:val="757E5B9F"/>
    <w:rsid w:val="75915922"/>
    <w:rsid w:val="7592164A"/>
    <w:rsid w:val="75932CCC"/>
    <w:rsid w:val="759E7FEF"/>
    <w:rsid w:val="75A90742"/>
    <w:rsid w:val="75A924F0"/>
    <w:rsid w:val="75B24044"/>
    <w:rsid w:val="75C20D31"/>
    <w:rsid w:val="75F03891"/>
    <w:rsid w:val="75F06371"/>
    <w:rsid w:val="75F45E61"/>
    <w:rsid w:val="760A11E0"/>
    <w:rsid w:val="76106627"/>
    <w:rsid w:val="761E4C8C"/>
    <w:rsid w:val="762A5E0D"/>
    <w:rsid w:val="762D3121"/>
    <w:rsid w:val="76334D2E"/>
    <w:rsid w:val="763E70DC"/>
    <w:rsid w:val="765608C9"/>
    <w:rsid w:val="7662101C"/>
    <w:rsid w:val="766308F1"/>
    <w:rsid w:val="766A7ED1"/>
    <w:rsid w:val="7677439C"/>
    <w:rsid w:val="767B0330"/>
    <w:rsid w:val="768A6FF9"/>
    <w:rsid w:val="76A73FAA"/>
    <w:rsid w:val="76B11157"/>
    <w:rsid w:val="76CA0970"/>
    <w:rsid w:val="76D23BCB"/>
    <w:rsid w:val="76D31F1A"/>
    <w:rsid w:val="76E24688"/>
    <w:rsid w:val="77071BC4"/>
    <w:rsid w:val="772618AB"/>
    <w:rsid w:val="773A0A2A"/>
    <w:rsid w:val="77416E84"/>
    <w:rsid w:val="775275D7"/>
    <w:rsid w:val="77586705"/>
    <w:rsid w:val="7771226C"/>
    <w:rsid w:val="77813724"/>
    <w:rsid w:val="779416A9"/>
    <w:rsid w:val="7798398C"/>
    <w:rsid w:val="779F3BAA"/>
    <w:rsid w:val="77A1215B"/>
    <w:rsid w:val="77A6318B"/>
    <w:rsid w:val="77B04009"/>
    <w:rsid w:val="77B91110"/>
    <w:rsid w:val="77CE11DC"/>
    <w:rsid w:val="780F194C"/>
    <w:rsid w:val="78250553"/>
    <w:rsid w:val="782642CC"/>
    <w:rsid w:val="782B3690"/>
    <w:rsid w:val="783B5DE1"/>
    <w:rsid w:val="78435EDE"/>
    <w:rsid w:val="78471FE7"/>
    <w:rsid w:val="785B20F2"/>
    <w:rsid w:val="78771BF8"/>
    <w:rsid w:val="7886244A"/>
    <w:rsid w:val="788B1D5B"/>
    <w:rsid w:val="78902FEC"/>
    <w:rsid w:val="78A91184"/>
    <w:rsid w:val="78B638A1"/>
    <w:rsid w:val="78B93173"/>
    <w:rsid w:val="78E80479"/>
    <w:rsid w:val="78E8332F"/>
    <w:rsid w:val="78EC72C3"/>
    <w:rsid w:val="78F341AE"/>
    <w:rsid w:val="78F50D6D"/>
    <w:rsid w:val="791505C8"/>
    <w:rsid w:val="791511DA"/>
    <w:rsid w:val="791F52E2"/>
    <w:rsid w:val="794013BD"/>
    <w:rsid w:val="79415DFA"/>
    <w:rsid w:val="79507595"/>
    <w:rsid w:val="79576530"/>
    <w:rsid w:val="795A5FDB"/>
    <w:rsid w:val="79607369"/>
    <w:rsid w:val="796926C2"/>
    <w:rsid w:val="798B6ADC"/>
    <w:rsid w:val="798D4602"/>
    <w:rsid w:val="799C2A97"/>
    <w:rsid w:val="799E45C2"/>
    <w:rsid w:val="79A67472"/>
    <w:rsid w:val="79A84FEB"/>
    <w:rsid w:val="79C1605A"/>
    <w:rsid w:val="79C30024"/>
    <w:rsid w:val="79CD4E76"/>
    <w:rsid w:val="79E17BAC"/>
    <w:rsid w:val="79E81839"/>
    <w:rsid w:val="79ED32F3"/>
    <w:rsid w:val="7A1A1C0E"/>
    <w:rsid w:val="7A1A4B4D"/>
    <w:rsid w:val="7A1E3DBE"/>
    <w:rsid w:val="7A3A5CE2"/>
    <w:rsid w:val="7A3C3932"/>
    <w:rsid w:val="7A462A03"/>
    <w:rsid w:val="7A477F1E"/>
    <w:rsid w:val="7A495B10"/>
    <w:rsid w:val="7A540C7C"/>
    <w:rsid w:val="7A63567B"/>
    <w:rsid w:val="7A715CD2"/>
    <w:rsid w:val="7A82285A"/>
    <w:rsid w:val="7A834D88"/>
    <w:rsid w:val="7A8C48BA"/>
    <w:rsid w:val="7AB01514"/>
    <w:rsid w:val="7AC5146A"/>
    <w:rsid w:val="7ADB75EF"/>
    <w:rsid w:val="7ADE5213"/>
    <w:rsid w:val="7AF406B1"/>
    <w:rsid w:val="7B1533F8"/>
    <w:rsid w:val="7B163E4F"/>
    <w:rsid w:val="7B1E128A"/>
    <w:rsid w:val="7B220D7A"/>
    <w:rsid w:val="7B256ABC"/>
    <w:rsid w:val="7B2D174A"/>
    <w:rsid w:val="7B2F3497"/>
    <w:rsid w:val="7B340AAD"/>
    <w:rsid w:val="7B38059E"/>
    <w:rsid w:val="7B523A2D"/>
    <w:rsid w:val="7B5358E0"/>
    <w:rsid w:val="7B5659AB"/>
    <w:rsid w:val="7B711D02"/>
    <w:rsid w:val="7B946E58"/>
    <w:rsid w:val="7B95154C"/>
    <w:rsid w:val="7B9A4DB4"/>
    <w:rsid w:val="7B9B0B2D"/>
    <w:rsid w:val="7BA07EF1"/>
    <w:rsid w:val="7BA23E2C"/>
    <w:rsid w:val="7BA7127F"/>
    <w:rsid w:val="7BB40C99"/>
    <w:rsid w:val="7BBA7205"/>
    <w:rsid w:val="7BCB76C6"/>
    <w:rsid w:val="7BD83B2F"/>
    <w:rsid w:val="7BEF62B7"/>
    <w:rsid w:val="7BF24BF0"/>
    <w:rsid w:val="7BF96EEA"/>
    <w:rsid w:val="7BFC5A6F"/>
    <w:rsid w:val="7C0641F8"/>
    <w:rsid w:val="7C1745DC"/>
    <w:rsid w:val="7C4C370C"/>
    <w:rsid w:val="7C4E4D2C"/>
    <w:rsid w:val="7C5335DF"/>
    <w:rsid w:val="7C745605"/>
    <w:rsid w:val="7C833A9B"/>
    <w:rsid w:val="7C887303"/>
    <w:rsid w:val="7C8A4E29"/>
    <w:rsid w:val="7C8F243F"/>
    <w:rsid w:val="7CA81753"/>
    <w:rsid w:val="7CC24E7B"/>
    <w:rsid w:val="7CDB4696"/>
    <w:rsid w:val="7CE649CF"/>
    <w:rsid w:val="7CEC5AE4"/>
    <w:rsid w:val="7CED7166"/>
    <w:rsid w:val="7CFE5817"/>
    <w:rsid w:val="7D1110A6"/>
    <w:rsid w:val="7D1F7C67"/>
    <w:rsid w:val="7D4A280A"/>
    <w:rsid w:val="7D782728"/>
    <w:rsid w:val="7D796C4C"/>
    <w:rsid w:val="7D7C2F85"/>
    <w:rsid w:val="7D9049DE"/>
    <w:rsid w:val="7D9B66D7"/>
    <w:rsid w:val="7DB60E64"/>
    <w:rsid w:val="7DB61C4E"/>
    <w:rsid w:val="7DCF07A2"/>
    <w:rsid w:val="7DD65E4C"/>
    <w:rsid w:val="7DE44E0E"/>
    <w:rsid w:val="7DEB7E36"/>
    <w:rsid w:val="7E046E5D"/>
    <w:rsid w:val="7E061359"/>
    <w:rsid w:val="7E260B81"/>
    <w:rsid w:val="7E3F780C"/>
    <w:rsid w:val="7E450E1A"/>
    <w:rsid w:val="7E461224"/>
    <w:rsid w:val="7E5C45A3"/>
    <w:rsid w:val="7E632646"/>
    <w:rsid w:val="7E6717D0"/>
    <w:rsid w:val="7E7062A0"/>
    <w:rsid w:val="7E725B75"/>
    <w:rsid w:val="7E7E09BD"/>
    <w:rsid w:val="7E8351A6"/>
    <w:rsid w:val="7EAA1358"/>
    <w:rsid w:val="7EAE29BA"/>
    <w:rsid w:val="7EC64112"/>
    <w:rsid w:val="7EF14CDF"/>
    <w:rsid w:val="7F0C421B"/>
    <w:rsid w:val="7F25708B"/>
    <w:rsid w:val="7F2D5F40"/>
    <w:rsid w:val="7F4339B5"/>
    <w:rsid w:val="7F466324"/>
    <w:rsid w:val="7F4B5249"/>
    <w:rsid w:val="7F513EF9"/>
    <w:rsid w:val="7F5C2A91"/>
    <w:rsid w:val="7F78540D"/>
    <w:rsid w:val="7F7E49ED"/>
    <w:rsid w:val="7F8F035F"/>
    <w:rsid w:val="7F9D7654"/>
    <w:rsid w:val="7FA06711"/>
    <w:rsid w:val="7FAE329F"/>
    <w:rsid w:val="7FB85809"/>
    <w:rsid w:val="7FBB179D"/>
    <w:rsid w:val="7FBC304D"/>
    <w:rsid w:val="7FBF6EAE"/>
    <w:rsid w:val="7FD2355F"/>
    <w:rsid w:val="7FD91C23"/>
    <w:rsid w:val="7FDA7E75"/>
    <w:rsid w:val="7FEB2083"/>
    <w:rsid w:val="7FEC7BA9"/>
    <w:rsid w:val="7FFC4290"/>
    <w:rsid w:val="86B9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7"/>
    <w:autoRedefine/>
    <w:qFormat/>
    <w:uiPriority w:val="0"/>
    <w:pPr>
      <w:pageBreakBefore/>
      <w:widowControl/>
      <w:tabs>
        <w:tab w:val="left" w:pos="478"/>
      </w:tabs>
      <w:autoSpaceDE w:val="0"/>
      <w:autoSpaceDN w:val="0"/>
      <w:spacing w:before="240" w:after="120" w:line="240" w:lineRule="auto"/>
      <w:ind w:left="478" w:hanging="960" w:firstLineChars="0"/>
      <w:jc w:val="center"/>
      <w:outlineLvl w:val="0"/>
    </w:pPr>
    <w:rPr>
      <w:rFonts w:ascii="宋体"/>
      <w:color w:val="000000"/>
      <w:kern w:val="0"/>
      <w:sz w:val="36"/>
      <w:szCs w:val="20"/>
    </w:rPr>
  </w:style>
  <w:style w:type="paragraph" w:styleId="3">
    <w:name w:val="heading 2"/>
    <w:basedOn w:val="1"/>
    <w:next w:val="1"/>
    <w:autoRedefine/>
    <w:qFormat/>
    <w:uiPriority w:val="0"/>
    <w:pPr>
      <w:keepNext/>
      <w:keepLines/>
      <w:tabs>
        <w:tab w:val="left" w:pos="358"/>
      </w:tabs>
      <w:spacing w:before="400"/>
      <w:ind w:left="358" w:hanging="420" w:firstLineChars="0"/>
      <w:outlineLvl w:val="1"/>
    </w:pPr>
    <w:rPr>
      <w:b/>
      <w:kern w:val="0"/>
      <w:sz w:val="32"/>
      <w:szCs w:val="20"/>
    </w:rPr>
  </w:style>
  <w:style w:type="paragraph" w:styleId="4">
    <w:name w:val="heading 3"/>
    <w:basedOn w:val="1"/>
    <w:next w:val="1"/>
    <w:autoRedefine/>
    <w:qFormat/>
    <w:uiPriority w:val="0"/>
    <w:pPr>
      <w:keepNext/>
      <w:keepLines/>
      <w:spacing w:before="260" w:after="260" w:line="415" w:lineRule="auto"/>
      <w:outlineLvl w:val="2"/>
    </w:pPr>
    <w:rPr>
      <w:b/>
      <w:sz w:val="32"/>
      <w:szCs w:val="32"/>
    </w:rPr>
  </w:style>
  <w:style w:type="paragraph" w:styleId="5">
    <w:name w:val="heading 4"/>
    <w:basedOn w:val="4"/>
    <w:next w:val="1"/>
    <w:autoRedefine/>
    <w:qFormat/>
    <w:uiPriority w:val="0"/>
    <w:pPr>
      <w:spacing w:before="280" w:after="290" w:line="374" w:lineRule="auto"/>
      <w:outlineLvl w:val="3"/>
    </w:pPr>
    <w:rPr>
      <w:rFonts w:ascii="Arial" w:hAnsi="Arial" w:eastAsia="黑体" w:cs="Arial"/>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List Number"/>
    <w:basedOn w:val="1"/>
    <w:autoRedefine/>
    <w:qFormat/>
    <w:uiPriority w:val="0"/>
    <w:pPr>
      <w:numPr>
        <w:ilvl w:val="0"/>
        <w:numId w:val="2"/>
      </w:numPr>
    </w:pPr>
  </w:style>
  <w:style w:type="paragraph" w:styleId="8">
    <w:name w:val="Normal Indent"/>
    <w:basedOn w:val="1"/>
    <w:next w:val="1"/>
    <w:autoRedefine/>
    <w:unhideWhenUsed/>
    <w:qFormat/>
    <w:uiPriority w:val="0"/>
    <w:pPr>
      <w:spacing w:line="240" w:lineRule="auto"/>
      <w:ind w:firstLine="420"/>
    </w:pPr>
    <w:rPr>
      <w:kern w:val="0"/>
      <w:sz w:val="20"/>
      <w:szCs w:val="20"/>
    </w:rPr>
  </w:style>
  <w:style w:type="paragraph" w:styleId="9">
    <w:name w:val="caption"/>
    <w:basedOn w:val="1"/>
    <w:next w:val="1"/>
    <w:autoRedefine/>
    <w:qFormat/>
    <w:uiPriority w:val="0"/>
    <w:pPr>
      <w:spacing w:before="152" w:after="160" w:line="240" w:lineRule="auto"/>
      <w:ind w:firstLine="0" w:firstLineChars="0"/>
    </w:pPr>
    <w:rPr>
      <w:rFonts w:ascii="Arial" w:hAnsi="Arial" w:eastAsia="黑体" w:cs="Arial"/>
      <w:sz w:val="20"/>
      <w:szCs w:val="20"/>
    </w:rPr>
  </w:style>
  <w:style w:type="paragraph" w:styleId="10">
    <w:name w:val="toa heading"/>
    <w:basedOn w:val="1"/>
    <w:next w:val="1"/>
    <w:autoRedefine/>
    <w:qFormat/>
    <w:uiPriority w:val="0"/>
    <w:pPr>
      <w:spacing w:before="120"/>
    </w:pPr>
    <w:rPr>
      <w:rFonts w:ascii="Arial" w:hAnsi="Arial"/>
      <w:sz w:val="24"/>
    </w:rPr>
  </w:style>
  <w:style w:type="paragraph" w:styleId="11">
    <w:name w:val="annotation text"/>
    <w:basedOn w:val="1"/>
    <w:autoRedefine/>
    <w:qFormat/>
    <w:uiPriority w:val="0"/>
    <w:pPr>
      <w:jc w:val="left"/>
    </w:pPr>
  </w:style>
  <w:style w:type="paragraph" w:styleId="12">
    <w:name w:val="Body Text"/>
    <w:basedOn w:val="1"/>
    <w:next w:val="1"/>
    <w:autoRedefine/>
    <w:unhideWhenUsed/>
    <w:qFormat/>
    <w:uiPriority w:val="99"/>
    <w:pPr>
      <w:spacing w:after="120"/>
    </w:pPr>
    <w:rPr>
      <w:rFonts w:ascii="Calibri" w:hAnsi="Calibri"/>
      <w:kern w:val="0"/>
      <w:sz w:val="20"/>
      <w:szCs w:val="20"/>
    </w:rPr>
  </w:style>
  <w:style w:type="paragraph" w:styleId="13">
    <w:name w:val="Body Text Indent"/>
    <w:basedOn w:val="1"/>
    <w:autoRedefine/>
    <w:qFormat/>
    <w:uiPriority w:val="99"/>
    <w:pPr>
      <w:spacing w:before="120" w:after="120"/>
      <w:ind w:firstLine="525" w:firstLineChars="0"/>
    </w:pPr>
    <w:rPr>
      <w:rFonts w:ascii="宋体"/>
      <w:kern w:val="0"/>
      <w:sz w:val="24"/>
      <w:szCs w:val="20"/>
    </w:rPr>
  </w:style>
  <w:style w:type="paragraph" w:styleId="14">
    <w:name w:val="Plain Text"/>
    <w:basedOn w:val="1"/>
    <w:next w:val="1"/>
    <w:autoRedefine/>
    <w:qFormat/>
    <w:uiPriority w:val="0"/>
    <w:pPr>
      <w:spacing w:line="240" w:lineRule="auto"/>
      <w:ind w:firstLine="0" w:firstLineChars="0"/>
    </w:pPr>
    <w:rPr>
      <w:rFonts w:ascii="宋体" w:hAnsi="Courier New"/>
      <w:kern w:val="0"/>
      <w:sz w:val="20"/>
      <w:szCs w:val="20"/>
    </w:rPr>
  </w:style>
  <w:style w:type="paragraph" w:styleId="15">
    <w:name w:val="Date"/>
    <w:basedOn w:val="1"/>
    <w:next w:val="1"/>
    <w:qFormat/>
    <w:uiPriority w:val="99"/>
    <w:pPr>
      <w:widowControl/>
    </w:pPr>
    <w:rPr>
      <w:rFonts w:ascii="楷体_GB2312" w:eastAsia="楷体_GB2312"/>
      <w:kern w:val="0"/>
      <w:sz w:val="32"/>
    </w:r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39"/>
    <w:pPr>
      <w:spacing w:before="120" w:after="120" w:line="240" w:lineRule="auto"/>
      <w:ind w:firstLine="0" w:firstLineChars="0"/>
      <w:jc w:val="left"/>
    </w:pPr>
    <w:rPr>
      <w:b/>
      <w:caps/>
      <w:sz w:val="20"/>
      <w:szCs w:val="20"/>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qFormat/>
    <w:uiPriority w:val="0"/>
    <w:pPr>
      <w:ind w:left="1400"/>
    </w:pPr>
    <w:rPr>
      <w:rFonts w:ascii="Calibri"/>
      <w:sz w:val="18"/>
      <w:szCs w:val="18"/>
    </w:rPr>
  </w:style>
  <w:style w:type="paragraph" w:styleId="21">
    <w:name w:val="Body Text Indent 3"/>
    <w:basedOn w:val="1"/>
    <w:autoRedefine/>
    <w:unhideWhenUsed/>
    <w:qFormat/>
    <w:uiPriority w:val="99"/>
    <w:pPr>
      <w:spacing w:after="120"/>
      <w:ind w:left="420" w:leftChars="200"/>
    </w:pPr>
    <w:rPr>
      <w:rFonts w:ascii="Calibri" w:hAnsi="Calibri"/>
      <w:kern w:val="0"/>
      <w:sz w:val="16"/>
      <w:szCs w:val="16"/>
    </w:rPr>
  </w:style>
  <w:style w:type="paragraph" w:styleId="22">
    <w:name w:val="toc 2"/>
    <w:basedOn w:val="1"/>
    <w:next w:val="1"/>
    <w:autoRedefine/>
    <w:qFormat/>
    <w:uiPriority w:val="39"/>
    <w:pPr>
      <w:tabs>
        <w:tab w:val="left" w:pos="600"/>
        <w:tab w:val="right" w:leader="dot" w:pos="9019"/>
      </w:tabs>
      <w:spacing w:line="240" w:lineRule="auto"/>
      <w:ind w:left="210" w:firstLine="0" w:firstLineChars="0"/>
      <w:jc w:val="left"/>
    </w:pPr>
    <w:rPr>
      <w:smallCaps/>
      <w:sz w:val="20"/>
      <w:szCs w:val="20"/>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4">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5">
    <w:name w:val="Body Text First Indent"/>
    <w:basedOn w:val="12"/>
    <w:next w:val="1"/>
    <w:autoRedefine/>
    <w:unhideWhenUsed/>
    <w:qFormat/>
    <w:uiPriority w:val="99"/>
    <w:pPr>
      <w:ind w:firstLine="420" w:firstLineChars="100"/>
    </w:pPr>
  </w:style>
  <w:style w:type="paragraph" w:styleId="26">
    <w:name w:val="Body Text First Indent 2"/>
    <w:basedOn w:val="13"/>
    <w:next w:val="1"/>
    <w:autoRedefine/>
    <w:qFormat/>
    <w:uiPriority w:val="0"/>
    <w:pPr>
      <w:tabs>
        <w:tab w:val="left" w:pos="8640"/>
      </w:tabs>
      <w:spacing w:line="240" w:lineRule="auto"/>
      <w:ind w:left="420" w:leftChars="200" w:firstLine="420" w:firstLineChars="200"/>
    </w:pPr>
    <w:rPr>
      <w:rFonts w:ascii="Times New Roman"/>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basedOn w:val="29"/>
    <w:autoRedefine/>
    <w:qFormat/>
    <w:uiPriority w:val="99"/>
    <w:rPr>
      <w:color w:val="0000FF"/>
      <w:u w:val="single"/>
    </w:rPr>
  </w:style>
  <w:style w:type="character" w:styleId="34">
    <w:name w:val="HTML Sample"/>
    <w:basedOn w:val="29"/>
    <w:autoRedefine/>
    <w:qFormat/>
    <w:uiPriority w:val="0"/>
    <w:rPr>
      <w:rFonts w:ascii="Courier New" w:hAnsi="Courier New"/>
    </w:rPr>
  </w:style>
  <w:style w:type="paragraph" w:customStyle="1" w:styleId="35">
    <w:name w:val="Heading1"/>
    <w:basedOn w:val="1"/>
    <w:next w:val="1"/>
    <w:autoRedefine/>
    <w:qFormat/>
    <w:uiPriority w:val="0"/>
    <w:pPr>
      <w:keepNext/>
      <w:widowControl/>
      <w:jc w:val="center"/>
      <w:textAlignment w:val="baseline"/>
    </w:pPr>
    <w:rPr>
      <w:rFonts w:ascii="??" w:hAnsi="??" w:eastAsia="??"/>
      <w:b/>
      <w:kern w:val="36"/>
      <w:sz w:val="32"/>
      <w:szCs w:val="28"/>
    </w:rPr>
  </w:style>
  <w:style w:type="paragraph" w:customStyle="1" w:styleId="36">
    <w:name w:val="正文文本首行缩进 21"/>
    <w:basedOn w:val="13"/>
    <w:qFormat/>
    <w:uiPriority w:val="99"/>
    <w:pPr>
      <w:spacing w:line="200" w:lineRule="atLeast"/>
      <w:ind w:firstLine="420"/>
    </w:pPr>
    <w:rPr>
      <w:rFonts w:hAnsi="Courier New"/>
      <w:spacing w:val="-4"/>
      <w:sz w:val="18"/>
    </w:rPr>
  </w:style>
  <w:style w:type="paragraph" w:customStyle="1" w:styleId="37">
    <w:name w:val="Default"/>
    <w:next w:val="38"/>
    <w:autoRedefine/>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38">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9">
    <w:name w:val="样式 表格正文 + 两端对齐"/>
    <w:basedOn w:val="1"/>
    <w:next w:val="40"/>
    <w:autoRedefine/>
    <w:qFormat/>
    <w:uiPriority w:val="0"/>
    <w:pPr>
      <w:spacing w:line="300" w:lineRule="auto"/>
    </w:pPr>
    <w:rPr>
      <w:sz w:val="24"/>
    </w:rPr>
  </w:style>
  <w:style w:type="paragraph" w:customStyle="1" w:styleId="40">
    <w:name w:val="正文1"/>
    <w:next w:val="41"/>
    <w:autoRedefine/>
    <w:qFormat/>
    <w:uiPriority w:val="0"/>
    <w:rPr>
      <w:rFonts w:ascii="Times New Roman" w:hAnsi="Times New Roman" w:eastAsia="Times New Roman" w:cs="Times New Roman"/>
      <w:sz w:val="24"/>
      <w:szCs w:val="24"/>
      <w:lang w:val="en-US" w:eastAsia="zh-CN" w:bidi="ar-SA"/>
    </w:rPr>
  </w:style>
  <w:style w:type="paragraph" w:customStyle="1" w:styleId="41">
    <w:name w:val="自动更正"/>
    <w:next w:val="42"/>
    <w:autoRedefine/>
    <w:qFormat/>
    <w:uiPriority w:val="0"/>
    <w:pPr>
      <w:widowControl w:val="0"/>
      <w:jc w:val="both"/>
    </w:pPr>
    <w:rPr>
      <w:rFonts w:ascii="黑体" w:hAnsi="黑体" w:eastAsia="微软雅黑" w:cs="黑体"/>
      <w:kern w:val="2"/>
      <w:sz w:val="21"/>
      <w:szCs w:val="24"/>
      <w:lang w:val="en-US" w:eastAsia="zh-CN" w:bidi="ar-SA"/>
    </w:rPr>
  </w:style>
  <w:style w:type="paragraph" w:customStyle="1" w:styleId="42">
    <w:name w:val="xl39"/>
    <w:basedOn w:val="1"/>
    <w:next w:val="43"/>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4">
    <w:name w:val="TOC 71"/>
    <w:basedOn w:val="1"/>
    <w:next w:val="1"/>
    <w:autoRedefine/>
    <w:qFormat/>
    <w:uiPriority w:val="0"/>
    <w:pPr>
      <w:widowControl/>
      <w:wordWrap w:val="0"/>
      <w:ind w:left="2550"/>
    </w:pPr>
    <w:rPr>
      <w:rFonts w:ascii="Calibri" w:hAnsi="Calibri"/>
      <w:kern w:val="0"/>
      <w:szCs w:val="21"/>
    </w:rPr>
  </w:style>
  <w:style w:type="paragraph" w:customStyle="1" w:styleId="45">
    <w:name w:val="[Normal]"/>
    <w:autoRedefine/>
    <w:qFormat/>
    <w:uiPriority w:val="0"/>
    <w:rPr>
      <w:rFonts w:ascii="宋体" w:hAnsi="宋体" w:eastAsia="宋体" w:cs="Times New Roman"/>
      <w:sz w:val="24"/>
      <w:szCs w:val="22"/>
      <w:lang w:val="zh-CN" w:eastAsia="zh-CN" w:bidi="ar-SA"/>
    </w:rPr>
  </w:style>
  <w:style w:type="paragraph" w:customStyle="1" w:styleId="46">
    <w:name w:val="Heading2"/>
    <w:basedOn w:val="35"/>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47">
    <w:name w:val="样式 宋体"/>
    <w:basedOn w:val="1"/>
    <w:next w:val="1"/>
    <w:autoRedefine/>
    <w:qFormat/>
    <w:uiPriority w:val="0"/>
    <w:pPr>
      <w:widowControl/>
      <w:spacing w:line="240" w:lineRule="auto"/>
      <w:ind w:firstLine="0" w:firstLineChars="0"/>
    </w:pPr>
    <w:rPr>
      <w:rFonts w:ascii="宋体"/>
      <w:color w:val="000000"/>
      <w:sz w:val="24"/>
      <w:szCs w:val="20"/>
    </w:rPr>
  </w:style>
  <w:style w:type="character" w:customStyle="1" w:styleId="48">
    <w:name w:val="font31"/>
    <w:autoRedefine/>
    <w:qFormat/>
    <w:uiPriority w:val="0"/>
    <w:rPr>
      <w:rFonts w:hint="eastAsia" w:ascii="宋体" w:hAnsi="宋体" w:eastAsia="宋体" w:cs="宋体"/>
      <w:color w:val="000000"/>
      <w:sz w:val="20"/>
      <w:szCs w:val="20"/>
      <w:u w:val="none"/>
    </w:rPr>
  </w:style>
  <w:style w:type="character" w:customStyle="1" w:styleId="49">
    <w:name w:val="NormalCharacter"/>
    <w:link w:val="50"/>
    <w:autoRedefine/>
    <w:semiHidden/>
    <w:qFormat/>
    <w:uiPriority w:val="0"/>
    <w:rPr>
      <w:rFonts w:ascii="Times New Roman" w:hAnsi="Times New Roman" w:eastAsia="宋体"/>
      <w:szCs w:val="24"/>
    </w:rPr>
  </w:style>
  <w:style w:type="paragraph" w:customStyle="1" w:styleId="50">
    <w:name w:val="UserStyle_21"/>
    <w:basedOn w:val="1"/>
    <w:link w:val="49"/>
    <w:qFormat/>
    <w:uiPriority w:val="0"/>
    <w:pPr>
      <w:widowControl/>
      <w:spacing w:after="160" w:line="240" w:lineRule="exact"/>
      <w:textAlignment w:val="baseline"/>
    </w:pPr>
    <w:rPr>
      <w:rFonts w:ascii="Times New Roman" w:hAnsi="Times New Roman" w:eastAsia="宋体"/>
      <w:szCs w:val="24"/>
    </w:rPr>
  </w:style>
  <w:style w:type="paragraph" w:customStyle="1" w:styleId="51">
    <w:name w:val="正文 + 宋体"/>
    <w:basedOn w:val="1"/>
    <w:autoRedefine/>
    <w:qFormat/>
    <w:uiPriority w:val="0"/>
    <w:pPr>
      <w:spacing w:beforeLines="10" w:line="400" w:lineRule="atLeast"/>
      <w:ind w:firstLine="420" w:firstLineChars="0"/>
    </w:pPr>
    <w:rPr>
      <w:rFonts w:ascii="宋体" w:hAnsi="宋体"/>
      <w:szCs w:val="20"/>
    </w:rPr>
  </w:style>
  <w:style w:type="paragraph" w:customStyle="1" w:styleId="52">
    <w:name w:val="列出段落1"/>
    <w:basedOn w:val="1"/>
    <w:autoRedefine/>
    <w:qFormat/>
    <w:uiPriority w:val="0"/>
    <w:pPr>
      <w:ind w:firstLine="420"/>
    </w:pPr>
  </w:style>
  <w:style w:type="paragraph" w:customStyle="1" w:styleId="53">
    <w:name w:val="样式 列表编号 + 段后: 0.5 行"/>
    <w:basedOn w:val="7"/>
    <w:autoRedefine/>
    <w:qFormat/>
    <w:uiPriority w:val="0"/>
    <w:pPr>
      <w:widowControl/>
      <w:numPr>
        <w:ilvl w:val="0"/>
        <w:numId w:val="0"/>
      </w:numPr>
      <w:spacing w:after="120" w:line="240" w:lineRule="auto"/>
      <w:ind w:left="840" w:hanging="420"/>
      <w:jc w:val="left"/>
    </w:pPr>
    <w:rPr>
      <w:rFonts w:cs="宋体"/>
      <w:kern w:val="0"/>
      <w:sz w:val="24"/>
      <w:szCs w:val="20"/>
    </w:rPr>
  </w:style>
  <w:style w:type="paragraph" w:customStyle="1" w:styleId="54">
    <w:name w:val="默认段落字体 Para Char Char Char Char Char Char Char Char Char1 Char Char Char Char"/>
    <w:basedOn w:val="1"/>
    <w:autoRedefine/>
    <w:qFormat/>
    <w:uiPriority w:val="0"/>
    <w:pPr>
      <w:spacing w:line="240" w:lineRule="auto"/>
      <w:ind w:firstLine="0" w:firstLineChars="0"/>
    </w:pPr>
    <w:rPr>
      <w:rFonts w:ascii="Tahoma" w:hAnsi="Tahoma"/>
      <w:sz w:val="24"/>
      <w:szCs w:val="20"/>
    </w:rPr>
  </w:style>
  <w:style w:type="character" w:customStyle="1" w:styleId="55">
    <w:name w:val="font01"/>
    <w:basedOn w:val="29"/>
    <w:autoRedefine/>
    <w:qFormat/>
    <w:uiPriority w:val="0"/>
    <w:rPr>
      <w:rFonts w:hint="eastAsia" w:ascii="宋体" w:hAnsi="宋体" w:eastAsia="宋体" w:cs="宋体"/>
      <w:color w:val="000000"/>
      <w:sz w:val="20"/>
      <w:szCs w:val="20"/>
      <w:u w:val="none"/>
    </w:rPr>
  </w:style>
  <w:style w:type="paragraph" w:customStyle="1" w:styleId="56">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57">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2"/>
    <w:basedOn w:val="1"/>
    <w:autoRedefine/>
    <w:qFormat/>
    <w:uiPriority w:val="0"/>
    <w:pPr>
      <w:spacing w:before="156"/>
      <w:ind w:firstLine="510"/>
    </w:pPr>
    <w:rPr>
      <w:kern w:val="1"/>
      <w:sz w:val="24"/>
      <w:szCs w:val="20"/>
    </w:rPr>
  </w:style>
  <w:style w:type="paragraph" w:customStyle="1" w:styleId="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
    <w:name w:val="正文缩进1"/>
    <w:basedOn w:val="1"/>
    <w:next w:val="13"/>
    <w:autoRedefine/>
    <w:qFormat/>
    <w:uiPriority w:val="0"/>
    <w:pPr>
      <w:autoSpaceDE w:val="0"/>
      <w:autoSpaceDN w:val="0"/>
      <w:snapToGrid w:val="0"/>
      <w:spacing w:after="120"/>
      <w:ind w:left="420" w:leftChars="200" w:firstLine="480"/>
    </w:pPr>
    <w:rPr>
      <w:sz w:val="24"/>
      <w:szCs w:val="21"/>
    </w:rPr>
  </w:style>
  <w:style w:type="paragraph" w:customStyle="1" w:styleId="61">
    <w:name w:val="索引 11"/>
    <w:basedOn w:val="1"/>
    <w:next w:val="1"/>
    <w:autoRedefine/>
    <w:qFormat/>
    <w:uiPriority w:val="99"/>
    <w:rPr>
      <w:rFonts w:ascii="仿宋_GB2312" w:eastAsia="仿宋_GB2312"/>
      <w:sz w:val="24"/>
      <w:szCs w:val="20"/>
    </w:rPr>
  </w:style>
  <w:style w:type="paragraph" w:customStyle="1" w:styleId="62">
    <w:name w:val="纯文本_0_0"/>
    <w:basedOn w:val="63"/>
    <w:autoRedefine/>
    <w:unhideWhenUsed/>
    <w:qFormat/>
    <w:uiPriority w:val="0"/>
    <w:rPr>
      <w:rFonts w:hint="eastAsia" w:ascii="宋体" w:hAnsi="Courier New"/>
      <w:szCs w:val="21"/>
    </w:rPr>
  </w:style>
  <w:style w:type="paragraph" w:customStyle="1" w:styleId="63">
    <w:name w:val="正文_1_0"/>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部分1"/>
    <w:basedOn w:val="1"/>
    <w:autoRedefine/>
    <w:unhideWhenUsed/>
    <w:qFormat/>
    <w:uiPriority w:val="0"/>
    <w:pPr>
      <w:keepNext/>
      <w:pageBreakBefore/>
      <w:tabs>
        <w:tab w:val="left" w:pos="720"/>
      </w:tabs>
      <w:jc w:val="center"/>
      <w:outlineLvl w:val="0"/>
    </w:pPr>
    <w:rPr>
      <w:rFonts w:eastAsia="黑体"/>
      <w:b/>
      <w:kern w:val="44"/>
      <w:sz w:val="36"/>
      <w:szCs w:val="24"/>
    </w:rPr>
  </w:style>
  <w:style w:type="paragraph" w:customStyle="1" w:styleId="65">
    <w:name w:val="纯文本1"/>
    <w:basedOn w:val="66"/>
    <w:next w:val="1"/>
    <w:autoRedefine/>
    <w:qFormat/>
    <w:uiPriority w:val="0"/>
    <w:pPr>
      <w:widowControl/>
      <w:jc w:val="left"/>
    </w:pPr>
    <w:rPr>
      <w:rFonts w:ascii="宋体" w:hAnsi="Courier New"/>
    </w:rPr>
  </w:style>
  <w:style w:type="paragraph" w:customStyle="1" w:styleId="66">
    <w:name w:val="正文3"/>
    <w:basedOn w:val="1"/>
    <w:autoRedefine/>
    <w:qFormat/>
    <w:uiPriority w:val="0"/>
    <w:rPr>
      <w:color w:val="000000"/>
      <w:kern w:val="1"/>
    </w:rPr>
  </w:style>
  <w:style w:type="paragraph" w:customStyle="1" w:styleId="67">
    <w:name w:val="样式1"/>
    <w:basedOn w:val="1"/>
    <w:autoRedefine/>
    <w:qFormat/>
    <w:uiPriority w:val="0"/>
    <w:pPr>
      <w:spacing w:line="360" w:lineRule="exact"/>
    </w:pPr>
    <w:rPr>
      <w:rFonts w:ascii="Arial" w:hAnsi="Arial"/>
    </w:rPr>
  </w:style>
  <w:style w:type="paragraph" w:customStyle="1" w:styleId="68">
    <w:name w:val="DG正文"/>
    <w:basedOn w:val="1"/>
    <w:autoRedefine/>
    <w:qFormat/>
    <w:uiPriority w:val="99"/>
    <w:pPr>
      <w:widowControl/>
      <w:ind w:right="142" w:firstLine="640"/>
      <w:jc w:val="left"/>
    </w:pPr>
    <w:rPr>
      <w:rFonts w:ascii="Calibri" w:hAnsi="Calibri" w:cs="Calibri"/>
      <w:sz w:val="24"/>
      <w:szCs w:val="24"/>
    </w:rPr>
  </w:style>
  <w:style w:type="character" w:customStyle="1" w:styleId="69">
    <w:name w:val="font11"/>
    <w:basedOn w:val="29"/>
    <w:autoRedefine/>
    <w:qFormat/>
    <w:uiPriority w:val="0"/>
    <w:rPr>
      <w:rFonts w:hint="eastAsia" w:ascii="宋体" w:hAnsi="宋体" w:eastAsia="宋体" w:cs="宋体"/>
      <w:color w:val="000000"/>
      <w:sz w:val="32"/>
      <w:szCs w:val="32"/>
      <w:u w:val="none"/>
    </w:rPr>
  </w:style>
  <w:style w:type="paragraph" w:customStyle="1" w:styleId="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Plain Text2"/>
    <w:basedOn w:val="72"/>
    <w:autoRedefine/>
    <w:qFormat/>
    <w:uiPriority w:val="99"/>
    <w:pPr>
      <w:widowControl/>
      <w:jc w:val="left"/>
    </w:pPr>
    <w:rPr>
      <w:rFonts w:ascii="Times New Roman" w:hAnsi="Courier New" w:cs="Times New Roman"/>
    </w:rPr>
  </w:style>
  <w:style w:type="paragraph" w:customStyle="1" w:styleId="72">
    <w:name w:val="Normal1"/>
    <w:basedOn w:val="1"/>
    <w:autoRedefine/>
    <w:qFormat/>
    <w:uiPriority w:val="99"/>
    <w:rPr>
      <w:rFonts w:ascii="宋体" w:hAnsi="宋体" w:cs="宋体"/>
      <w:szCs w:val="21"/>
    </w:rPr>
  </w:style>
  <w:style w:type="paragraph" w:customStyle="1" w:styleId="73">
    <w:name w:val="表格文字"/>
    <w:basedOn w:val="74"/>
    <w:next w:val="12"/>
    <w:autoRedefine/>
    <w:qFormat/>
    <w:uiPriority w:val="99"/>
    <w:rPr>
      <w:rFonts w:ascii="Arial" w:hAnsi="Arial"/>
      <w:spacing w:val="-5"/>
      <w:kern w:val="0"/>
      <w:sz w:val="24"/>
      <w:szCs w:val="20"/>
    </w:rPr>
  </w:style>
  <w:style w:type="paragraph" w:customStyle="1" w:styleId="74">
    <w:name w:val="表格文字（两侧对齐）"/>
    <w:basedOn w:val="1"/>
    <w:autoRedefine/>
    <w:qFormat/>
    <w:uiPriority w:val="99"/>
    <w:pPr>
      <w:snapToGrid w:val="0"/>
    </w:pPr>
    <w:rPr>
      <w:sz w:val="20"/>
      <w:szCs w:val="24"/>
    </w:rPr>
  </w:style>
  <w:style w:type="paragraph" w:customStyle="1" w:styleId="75">
    <w:name w:val="正文31"/>
    <w:basedOn w:val="1"/>
    <w:autoRedefine/>
    <w:qFormat/>
    <w:uiPriority w:val="0"/>
    <w:pPr>
      <w:spacing w:before="60" w:after="60"/>
      <w:outlineLvl w:val="8"/>
    </w:pPr>
  </w:style>
  <w:style w:type="paragraph" w:styleId="76">
    <w:name w:val="List Paragraph"/>
    <w:basedOn w:val="1"/>
    <w:autoRedefine/>
    <w:qFormat/>
    <w:uiPriority w:val="34"/>
    <w:pPr>
      <w:ind w:firstLine="420"/>
    </w:pPr>
    <w:rPr>
      <w:rFonts w:ascii="Verdana" w:hAnsi="Verdana" w:eastAsia="微软雅黑"/>
    </w:rPr>
  </w:style>
  <w:style w:type="character" w:customStyle="1" w:styleId="77">
    <w:name w:val="标题 1 字符"/>
    <w:link w:val="2"/>
    <w:autoRedefine/>
    <w:qFormat/>
    <w:uiPriority w:val="0"/>
    <w:rPr>
      <w:rFonts w:ascii="宋体"/>
      <w:color w:val="000000"/>
      <w:kern w:val="0"/>
      <w:sz w:val="36"/>
      <w:szCs w:val="20"/>
    </w:rPr>
  </w:style>
  <w:style w:type="paragraph" w:customStyle="1" w:styleId="78">
    <w:name w:val="p0"/>
    <w:basedOn w:val="1"/>
    <w:autoRedefine/>
    <w:qFormat/>
    <w:uiPriority w:val="99"/>
    <w:pPr>
      <w:widowControl/>
      <w:spacing w:before="100" w:beforeAutospacing="1" w:after="100" w:afterAutospacing="1"/>
      <w:jc w:val="left"/>
    </w:pPr>
    <w:rPr>
      <w:rFonts w:ascii="宋体" w:hAnsi="宋体"/>
      <w:kern w:val="0"/>
    </w:rPr>
  </w:style>
  <w:style w:type="character" w:customStyle="1" w:styleId="79">
    <w:name w:val="Unresolved Mention"/>
    <w:basedOn w:val="29"/>
    <w:semiHidden/>
    <w:unhideWhenUsed/>
    <w:qFormat/>
    <w:uiPriority w:val="99"/>
    <w:rPr>
      <w:color w:val="605E5C"/>
      <w:shd w:val="clear" w:color="auto" w:fill="E1DFDD"/>
    </w:rPr>
  </w:style>
  <w:style w:type="paragraph" w:customStyle="1" w:styleId="8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1">
    <w:name w:val="正文段"/>
    <w:basedOn w:val="1"/>
    <w:qFormat/>
    <w:uiPriority w:val="0"/>
    <w:pPr>
      <w:widowControl/>
      <w:snapToGrid w:val="0"/>
      <w:spacing w:afterLines="50"/>
      <w:ind w:firstLine="200" w:firstLineChars="200"/>
    </w:pPr>
    <w:rPr>
      <w:kern w:val="0"/>
      <w:sz w:val="24"/>
      <w:szCs w:val="20"/>
    </w:rPr>
  </w:style>
  <w:style w:type="paragraph" w:customStyle="1" w:styleId="82">
    <w:name w:val="首行缩进"/>
    <w:basedOn w:val="1"/>
    <w:qFormat/>
    <w:uiPriority w:val="0"/>
    <w:pPr>
      <w:spacing w:line="360" w:lineRule="auto"/>
      <w:ind w:firstLine="72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23435</Words>
  <Characters>25768</Characters>
  <Lines>309</Lines>
  <Paragraphs>87</Paragraphs>
  <TotalTime>66</TotalTime>
  <ScaleCrop>false</ScaleCrop>
  <LinksUpToDate>false</LinksUpToDate>
  <CharactersWithSpaces>26172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2022-05-04T16:29:00Z</dcterms:created>
  <dc:creator>12</dc:creator>
  <cp:lastModifiedBy>【小囡 】 锦致木作</cp:lastModifiedBy>
  <cp:lastPrinted>2025-01-27T06:02:00Z</cp:lastPrinted>
  <dcterms:modified xsi:type="dcterms:W3CDTF">2025-03-11T01:59:02Z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0B58E90B69F54B3786EB6140C9AB7FE6_13</vt:lpwstr>
  </property>
  <property fmtid="{D5CDD505-2E9C-101B-9397-08002B2CF9AE}" pid="4" name="KSOTemplateDocerSaveRecord">
    <vt:lpwstr>eyJoZGlkIjoiMjIyMmFhMmEyM2IxMDFmMzg5NmVmZjU1MTA3NDc1OTIiLCJ1c2VySWQiOiI2NjM4MTgwNjUifQ==</vt:lpwstr>
  </property>
</Properties>
</file>