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80F85">
      <w:pPr>
        <w:pStyle w:val="86"/>
        <w:rPr>
          <w:rFonts w:hint="eastAsia" w:ascii="仿宋" w:hAnsi="仿宋" w:eastAsia="仿宋" w:cs="仿宋"/>
          <w:color w:val="auto"/>
          <w:highlight w:val="none"/>
        </w:rPr>
      </w:pPr>
    </w:p>
    <w:p w14:paraId="055A5BD5">
      <w:pPr>
        <w:pStyle w:val="800"/>
        <w:spacing w:line="360" w:lineRule="auto"/>
        <w:jc w:val="center"/>
        <w:rPr>
          <w:rFonts w:hint="eastAsia" w:ascii="仿宋" w:hAnsi="仿宋" w:eastAsia="仿宋" w:cs="仿宋"/>
          <w:bCs w:val="0"/>
          <w:color w:val="auto"/>
          <w:w w:val="90"/>
          <w:sz w:val="48"/>
          <w:szCs w:val="48"/>
          <w:highlight w:val="none"/>
          <w:lang w:eastAsia="zh-CN"/>
        </w:rPr>
      </w:pPr>
    </w:p>
    <w:p w14:paraId="4D9BA1A2">
      <w:pPr>
        <w:pStyle w:val="800"/>
        <w:spacing w:line="360" w:lineRule="auto"/>
        <w:ind w:left="0" w:leftChars="0" w:firstLine="0" w:firstLineChars="0"/>
        <w:jc w:val="center"/>
        <w:rPr>
          <w:rFonts w:hint="eastAsia" w:ascii="仿宋" w:hAnsi="仿宋" w:eastAsia="仿宋" w:cs="仿宋"/>
          <w:bCs w:val="0"/>
          <w:color w:val="auto"/>
          <w:w w:val="90"/>
          <w:sz w:val="48"/>
          <w:szCs w:val="48"/>
          <w:highlight w:val="none"/>
          <w:lang w:eastAsia="zh-CN"/>
        </w:rPr>
      </w:pPr>
      <w:r>
        <w:rPr>
          <w:rFonts w:hint="eastAsia" w:ascii="仿宋" w:hAnsi="仿宋" w:eastAsia="仿宋" w:cs="仿宋"/>
          <w:bCs w:val="0"/>
          <w:color w:val="auto"/>
          <w:w w:val="90"/>
          <w:sz w:val="48"/>
          <w:szCs w:val="48"/>
          <w:highlight w:val="none"/>
          <w:lang w:eastAsia="zh-CN"/>
        </w:rPr>
        <w:t>杭州萧山污水处理有限公司</w:t>
      </w:r>
    </w:p>
    <w:p w14:paraId="63C8C6B6">
      <w:pPr>
        <w:pStyle w:val="800"/>
        <w:spacing w:line="360" w:lineRule="auto"/>
        <w:ind w:left="0" w:leftChars="0" w:firstLine="0" w:firstLineChars="0"/>
        <w:jc w:val="center"/>
        <w:rPr>
          <w:rFonts w:hint="eastAsia"/>
          <w:color w:val="auto"/>
          <w:highlight w:val="none"/>
        </w:rPr>
      </w:pPr>
      <w:r>
        <w:rPr>
          <w:rFonts w:hint="eastAsia" w:ascii="仿宋" w:hAnsi="仿宋" w:eastAsia="仿宋" w:cs="仿宋"/>
          <w:bCs w:val="0"/>
          <w:color w:val="auto"/>
          <w:w w:val="90"/>
          <w:sz w:val="48"/>
          <w:szCs w:val="48"/>
          <w:highlight w:val="none"/>
          <w:lang w:eastAsia="zh-CN"/>
        </w:rPr>
        <w:t>2025-2026年度润滑油采购项目</w:t>
      </w:r>
    </w:p>
    <w:p w14:paraId="4F70B952">
      <w:pPr>
        <w:adjustRightInd/>
        <w:spacing w:line="360" w:lineRule="auto"/>
        <w:jc w:val="center"/>
        <w:rPr>
          <w:rFonts w:hint="eastAsia" w:ascii="仿宋" w:hAnsi="仿宋" w:eastAsia="仿宋" w:cs="仿宋"/>
          <w:b/>
          <w:bCs/>
          <w:color w:val="auto"/>
          <w:sz w:val="72"/>
          <w:szCs w:val="72"/>
          <w:highlight w:val="none"/>
        </w:rPr>
      </w:pPr>
    </w:p>
    <w:p w14:paraId="0A63C2BE">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交易</w:t>
      </w:r>
      <w:r>
        <w:rPr>
          <w:rFonts w:hint="eastAsia" w:ascii="仿宋" w:hAnsi="仿宋" w:eastAsia="仿宋" w:cs="仿宋"/>
          <w:b/>
          <w:bCs/>
          <w:color w:val="auto"/>
          <w:sz w:val="72"/>
          <w:szCs w:val="72"/>
          <w:highlight w:val="none"/>
        </w:rPr>
        <w:t>文件</w:t>
      </w:r>
    </w:p>
    <w:p w14:paraId="58416F77">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bCs w:val="0"/>
          <w:color w:val="auto"/>
          <w:sz w:val="44"/>
          <w:szCs w:val="44"/>
          <w:highlight w:val="none"/>
        </w:rPr>
        <w:t>（电子招投标）</w:t>
      </w:r>
    </w:p>
    <w:p w14:paraId="7382AC61">
      <w:pPr>
        <w:spacing w:line="360" w:lineRule="auto"/>
        <w:jc w:val="center"/>
        <w:rPr>
          <w:rFonts w:hint="default" w:ascii="仿宋" w:hAnsi="仿宋" w:eastAsia="仿宋" w:cs="仿宋"/>
          <w:color w:val="auto"/>
          <w:sz w:val="32"/>
          <w:szCs w:val="32"/>
          <w:highlight w:val="none"/>
          <w:lang w:val="en-US"/>
        </w:rPr>
      </w:pPr>
      <w:r>
        <w:rPr>
          <w:rFonts w:hint="eastAsia" w:ascii="仿宋" w:hAnsi="仿宋" w:eastAsia="仿宋" w:cs="仿宋"/>
          <w:b/>
          <w:color w:val="auto"/>
          <w:sz w:val="32"/>
          <w:szCs w:val="16"/>
          <w:highlight w:val="none"/>
          <w:lang w:val="en-US" w:eastAsia="zh-CN"/>
        </w:rPr>
        <w:t>编号：LCY2024-025</w:t>
      </w:r>
    </w:p>
    <w:p w14:paraId="77DA45D1">
      <w:pPr>
        <w:pStyle w:val="4"/>
        <w:rPr>
          <w:rFonts w:hint="eastAsia" w:ascii="仿宋" w:hAnsi="仿宋" w:eastAsia="仿宋" w:cs="仿宋"/>
          <w:color w:val="auto"/>
          <w:sz w:val="32"/>
          <w:szCs w:val="32"/>
          <w:highlight w:val="none"/>
        </w:rPr>
      </w:pPr>
    </w:p>
    <w:p w14:paraId="7D1982F3">
      <w:pPr>
        <w:pStyle w:val="4"/>
        <w:rPr>
          <w:rFonts w:hint="eastAsia" w:ascii="仿宋" w:hAnsi="仿宋" w:eastAsia="仿宋" w:cs="仿宋"/>
          <w:color w:val="auto"/>
          <w:highlight w:val="none"/>
        </w:rPr>
      </w:pPr>
    </w:p>
    <w:p w14:paraId="20E142A5">
      <w:pPr>
        <w:rPr>
          <w:rFonts w:hint="eastAsia" w:ascii="仿宋" w:hAnsi="仿宋" w:eastAsia="仿宋" w:cs="仿宋"/>
          <w:color w:val="auto"/>
          <w:highlight w:val="none"/>
        </w:rPr>
      </w:pPr>
    </w:p>
    <w:p w14:paraId="12F75607">
      <w:pPr>
        <w:rPr>
          <w:rFonts w:hint="eastAsia"/>
          <w:color w:val="auto"/>
          <w:highlight w:val="none"/>
        </w:rPr>
      </w:pPr>
    </w:p>
    <w:p w14:paraId="67EDAFAB">
      <w:pPr>
        <w:pStyle w:val="16"/>
        <w:rPr>
          <w:rFonts w:hint="eastAsia" w:ascii="仿宋" w:hAnsi="仿宋" w:eastAsia="仿宋" w:cs="仿宋"/>
          <w:color w:val="auto"/>
          <w:highlight w:val="none"/>
        </w:rPr>
      </w:pPr>
    </w:p>
    <w:p w14:paraId="53456749">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杭州萧山污水处理有限公司</w:t>
      </w:r>
    </w:p>
    <w:p w14:paraId="4F49DCD5">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浙江华夏工程管理有限公司</w:t>
      </w:r>
    </w:p>
    <w:p w14:paraId="49D3019E">
      <w:pP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十三</w:t>
      </w:r>
      <w:r>
        <w:rPr>
          <w:rFonts w:hint="eastAsia" w:ascii="仿宋" w:hAnsi="仿宋" w:eastAsia="仿宋" w:cs="仿宋"/>
          <w:bCs/>
          <w:color w:val="auto"/>
          <w:sz w:val="32"/>
          <w:szCs w:val="32"/>
          <w:highlight w:val="none"/>
        </w:rPr>
        <w:t>日</w:t>
      </w:r>
    </w:p>
    <w:p w14:paraId="4F5B9FF5">
      <w:pPr>
        <w:pStyle w:val="84"/>
        <w:rPr>
          <w:rFonts w:hint="eastAsia"/>
          <w:color w:val="auto"/>
          <w:highlight w:val="none"/>
        </w:rPr>
      </w:pPr>
    </w:p>
    <w:p w14:paraId="04FB5D7C">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75D747C">
      <w:pPr>
        <w:spacing w:line="360" w:lineRule="auto"/>
        <w:rPr>
          <w:rFonts w:hint="eastAsia" w:ascii="仿宋" w:hAnsi="仿宋" w:eastAsia="仿宋" w:cs="仿宋"/>
          <w:color w:val="auto"/>
          <w:sz w:val="32"/>
          <w:szCs w:val="32"/>
          <w:highlight w:val="none"/>
        </w:rPr>
      </w:pPr>
    </w:p>
    <w:p w14:paraId="04D9506E">
      <w:pPr>
        <w:spacing w:line="360" w:lineRule="auto"/>
        <w:rPr>
          <w:rFonts w:hint="eastAsia" w:ascii="仿宋" w:hAnsi="仿宋" w:eastAsia="仿宋" w:cs="仿宋"/>
          <w:color w:val="auto"/>
          <w:sz w:val="32"/>
          <w:szCs w:val="32"/>
          <w:highlight w:val="none"/>
        </w:rPr>
      </w:pPr>
    </w:p>
    <w:p w14:paraId="2052E3AB">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1B1041B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4D1BBE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B48F047">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评审办法</w:t>
      </w:r>
    </w:p>
    <w:p w14:paraId="48A9FA6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FD2E73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0722A0D">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6A1C27CB">
      <w:pPr>
        <w:spacing w:line="360" w:lineRule="auto"/>
        <w:ind w:firstLine="549" w:firstLineChars="229"/>
        <w:rPr>
          <w:rFonts w:hint="eastAsia" w:ascii="仿宋" w:hAnsi="仿宋" w:eastAsia="仿宋" w:cs="仿宋"/>
          <w:color w:val="auto"/>
          <w:sz w:val="24"/>
          <w:highlight w:val="none"/>
        </w:rPr>
      </w:pPr>
    </w:p>
    <w:p w14:paraId="35F5BD34">
      <w:pPr>
        <w:spacing w:line="360" w:lineRule="auto"/>
        <w:ind w:firstLine="549" w:firstLineChars="229"/>
        <w:rPr>
          <w:rFonts w:hint="eastAsia" w:ascii="仿宋" w:hAnsi="仿宋" w:eastAsia="仿宋" w:cs="仿宋"/>
          <w:color w:val="auto"/>
          <w:sz w:val="24"/>
          <w:highlight w:val="none"/>
        </w:rPr>
      </w:pPr>
    </w:p>
    <w:p w14:paraId="5D9FA900">
      <w:pPr>
        <w:spacing w:line="360" w:lineRule="auto"/>
        <w:ind w:firstLine="549" w:firstLineChars="229"/>
        <w:rPr>
          <w:rFonts w:hint="eastAsia" w:ascii="仿宋" w:hAnsi="仿宋" w:eastAsia="仿宋" w:cs="仿宋"/>
          <w:color w:val="auto"/>
          <w:sz w:val="24"/>
          <w:highlight w:val="none"/>
        </w:rPr>
      </w:pPr>
    </w:p>
    <w:p w14:paraId="656551A1">
      <w:pPr>
        <w:spacing w:line="360" w:lineRule="auto"/>
        <w:ind w:firstLine="549" w:firstLineChars="229"/>
        <w:rPr>
          <w:rFonts w:hint="eastAsia" w:ascii="仿宋" w:hAnsi="仿宋" w:eastAsia="仿宋" w:cs="仿宋"/>
          <w:color w:val="auto"/>
          <w:sz w:val="24"/>
          <w:highlight w:val="none"/>
        </w:rPr>
      </w:pPr>
    </w:p>
    <w:p w14:paraId="19808DD5">
      <w:pPr>
        <w:spacing w:line="360" w:lineRule="auto"/>
        <w:ind w:firstLine="549" w:firstLineChars="229"/>
        <w:rPr>
          <w:rFonts w:hint="eastAsia" w:ascii="仿宋" w:hAnsi="仿宋" w:eastAsia="仿宋" w:cs="仿宋"/>
          <w:color w:val="auto"/>
          <w:sz w:val="24"/>
          <w:highlight w:val="none"/>
        </w:rPr>
      </w:pPr>
    </w:p>
    <w:p w14:paraId="3FA08E24">
      <w:pPr>
        <w:spacing w:line="360" w:lineRule="auto"/>
        <w:ind w:firstLine="549" w:firstLineChars="229"/>
        <w:rPr>
          <w:rFonts w:hint="eastAsia" w:ascii="仿宋" w:hAnsi="仿宋" w:eastAsia="仿宋" w:cs="仿宋"/>
          <w:color w:val="auto"/>
          <w:sz w:val="24"/>
          <w:highlight w:val="none"/>
        </w:rPr>
      </w:pPr>
    </w:p>
    <w:p w14:paraId="154A25D0">
      <w:pPr>
        <w:spacing w:line="360" w:lineRule="auto"/>
        <w:ind w:firstLine="549" w:firstLineChars="229"/>
        <w:rPr>
          <w:rFonts w:hint="eastAsia" w:ascii="仿宋" w:hAnsi="仿宋" w:eastAsia="仿宋" w:cs="仿宋"/>
          <w:color w:val="auto"/>
          <w:sz w:val="24"/>
          <w:highlight w:val="none"/>
        </w:rPr>
      </w:pPr>
    </w:p>
    <w:p w14:paraId="6291454D">
      <w:pPr>
        <w:spacing w:line="360" w:lineRule="auto"/>
        <w:ind w:firstLine="549" w:firstLineChars="229"/>
        <w:rPr>
          <w:rFonts w:hint="eastAsia" w:ascii="仿宋" w:hAnsi="仿宋" w:eastAsia="仿宋" w:cs="仿宋"/>
          <w:color w:val="auto"/>
          <w:sz w:val="24"/>
          <w:highlight w:val="none"/>
        </w:rPr>
      </w:pPr>
    </w:p>
    <w:p w14:paraId="31954E21">
      <w:pPr>
        <w:spacing w:line="360" w:lineRule="auto"/>
        <w:ind w:firstLine="549" w:firstLineChars="229"/>
        <w:rPr>
          <w:rFonts w:hint="eastAsia" w:ascii="仿宋" w:hAnsi="仿宋" w:eastAsia="仿宋" w:cs="仿宋"/>
          <w:color w:val="auto"/>
          <w:sz w:val="24"/>
          <w:highlight w:val="none"/>
        </w:rPr>
      </w:pPr>
    </w:p>
    <w:p w14:paraId="0B9798A8">
      <w:pPr>
        <w:spacing w:line="360" w:lineRule="auto"/>
        <w:ind w:firstLine="549" w:firstLineChars="229"/>
        <w:rPr>
          <w:rFonts w:hint="eastAsia" w:ascii="仿宋" w:hAnsi="仿宋" w:eastAsia="仿宋" w:cs="仿宋"/>
          <w:color w:val="auto"/>
          <w:sz w:val="24"/>
          <w:highlight w:val="none"/>
        </w:rPr>
      </w:pPr>
    </w:p>
    <w:p w14:paraId="47699AB1">
      <w:pPr>
        <w:spacing w:line="360" w:lineRule="auto"/>
        <w:ind w:firstLine="549" w:firstLineChars="229"/>
        <w:rPr>
          <w:rFonts w:hint="eastAsia" w:ascii="仿宋" w:hAnsi="仿宋" w:eastAsia="仿宋" w:cs="仿宋"/>
          <w:color w:val="auto"/>
          <w:sz w:val="24"/>
          <w:highlight w:val="none"/>
        </w:rPr>
      </w:pPr>
    </w:p>
    <w:p w14:paraId="4946CAD4">
      <w:pPr>
        <w:spacing w:line="360" w:lineRule="auto"/>
        <w:ind w:firstLine="549" w:firstLineChars="229"/>
        <w:rPr>
          <w:rFonts w:hint="eastAsia" w:ascii="仿宋" w:hAnsi="仿宋" w:eastAsia="仿宋" w:cs="仿宋"/>
          <w:color w:val="auto"/>
          <w:sz w:val="24"/>
          <w:highlight w:val="none"/>
        </w:rPr>
      </w:pPr>
    </w:p>
    <w:p w14:paraId="24C1032E">
      <w:pPr>
        <w:spacing w:line="360" w:lineRule="auto"/>
        <w:rPr>
          <w:rFonts w:hint="eastAsia" w:ascii="仿宋" w:hAnsi="仿宋" w:eastAsia="仿宋" w:cs="仿宋"/>
          <w:color w:val="auto"/>
          <w:sz w:val="24"/>
          <w:highlight w:val="none"/>
        </w:rPr>
      </w:pPr>
    </w:p>
    <w:p w14:paraId="2A3C2744">
      <w:pPr>
        <w:adjustRightInd/>
        <w:spacing w:line="360" w:lineRule="auto"/>
        <w:jc w:val="center"/>
        <w:outlineLvl w:val="0"/>
        <w:rPr>
          <w:rFonts w:hint="eastAsia" w:ascii="仿宋" w:hAnsi="仿宋" w:eastAsia="仿宋" w:cs="仿宋"/>
          <w:b/>
          <w:color w:val="auto"/>
          <w:sz w:val="36"/>
          <w:szCs w:val="20"/>
          <w:highlight w:val="none"/>
          <w:lang w:eastAsia="zh-CN"/>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53A65277">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3EF0B0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2025-2026年度润滑油采购项目</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乐采云平台（https://middle.lecaiyun.com/）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获取（下载）</w:t>
      </w:r>
      <w:r>
        <w:rPr>
          <w:rStyle w:val="78"/>
          <w:rFonts w:hint="eastAsia" w:ascii="仿宋" w:hAnsi="仿宋" w:eastAsia="仿宋" w:cs="仿宋"/>
          <w:snapToGrid/>
          <w:color w:val="auto"/>
          <w:kern w:val="2"/>
          <w:sz w:val="24"/>
          <w:szCs w:val="24"/>
          <w:highlight w:val="none"/>
          <w:lang w:eastAsia="zh-CN"/>
        </w:rPr>
        <w:t>交易文件</w:t>
      </w:r>
      <w:r>
        <w:rPr>
          <w:rStyle w:val="78"/>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47C12956">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一、项目基本情况</w:t>
      </w:r>
    </w:p>
    <w:p w14:paraId="35271BB0">
      <w:pPr>
        <w:spacing w:line="360" w:lineRule="auto"/>
        <w:ind w:firstLine="482"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b/>
          <w:color w:val="auto"/>
          <w:sz w:val="24"/>
          <w:szCs w:val="24"/>
          <w:highlight w:val="none"/>
          <w:u w:val="none"/>
        </w:rPr>
        <w:t>项目编号</w:t>
      </w:r>
      <w:r>
        <w:rPr>
          <w:rFonts w:hint="eastAsia" w:ascii="仿宋" w:hAnsi="仿宋" w:eastAsia="仿宋" w:cs="仿宋"/>
          <w:b/>
          <w:color w:val="auto"/>
          <w:sz w:val="24"/>
          <w:szCs w:val="24"/>
          <w:highlight w:val="none"/>
          <w:u w:val="none"/>
          <w:lang w:eastAsia="zh-CN"/>
        </w:rPr>
        <w:t>：LCY2024-025</w:t>
      </w:r>
    </w:p>
    <w:p w14:paraId="0F88B4A1">
      <w:pPr>
        <w:spacing w:line="360" w:lineRule="auto"/>
        <w:ind w:firstLine="482" w:firstLineChars="200"/>
        <w:rPr>
          <w:rFonts w:hint="eastAsia" w:ascii="仿宋" w:hAnsi="仿宋" w:eastAsia="仿宋" w:cs="仿宋"/>
          <w:b w:val="0"/>
          <w:bCs/>
          <w:color w:val="auto"/>
          <w:sz w:val="24"/>
          <w:szCs w:val="24"/>
          <w:highlight w:val="none"/>
          <w:u w:val="none"/>
        </w:rPr>
      </w:pPr>
      <w:r>
        <w:rPr>
          <w:rFonts w:hint="eastAsia" w:ascii="仿宋" w:hAnsi="仿宋" w:eastAsia="仿宋" w:cs="仿宋"/>
          <w:b/>
          <w:color w:val="auto"/>
          <w:sz w:val="24"/>
          <w:szCs w:val="24"/>
          <w:highlight w:val="none"/>
          <w:u w:val="none"/>
        </w:rPr>
        <w:t>项目名称：</w:t>
      </w:r>
      <w:r>
        <w:rPr>
          <w:rFonts w:hint="eastAsia" w:ascii="仿宋" w:hAnsi="仿宋" w:eastAsia="仿宋" w:cs="仿宋"/>
          <w:color w:val="auto"/>
          <w:sz w:val="24"/>
          <w:highlight w:val="none"/>
          <w:u w:val="none"/>
          <w:lang w:eastAsia="zh-CN"/>
        </w:rPr>
        <w:t>2025-2026年度润滑油采购项目</w:t>
      </w:r>
    </w:p>
    <w:p w14:paraId="139D7F17">
      <w:pPr>
        <w:spacing w:line="360" w:lineRule="auto"/>
        <w:ind w:firstLine="480"/>
        <w:rPr>
          <w:rFonts w:hint="default"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val="0"/>
          <w:bCs/>
          <w:color w:val="auto"/>
          <w:sz w:val="24"/>
          <w:szCs w:val="24"/>
          <w:highlight w:val="none"/>
          <w:lang w:val="en-US" w:eastAsia="zh-CN"/>
        </w:rPr>
        <w:t>906725.00</w:t>
      </w:r>
    </w:p>
    <w:p w14:paraId="635C5802">
      <w:pPr>
        <w:spacing w:line="360" w:lineRule="auto"/>
        <w:ind w:firstLine="480"/>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rPr>
        <w:t>最高限价（元）：</w:t>
      </w:r>
      <w:r>
        <w:rPr>
          <w:rFonts w:hint="eastAsia" w:ascii="仿宋" w:hAnsi="仿宋" w:eastAsia="仿宋" w:cs="仿宋"/>
          <w:b w:val="0"/>
          <w:bCs/>
          <w:color w:val="auto"/>
          <w:sz w:val="24"/>
          <w:szCs w:val="24"/>
          <w:highlight w:val="none"/>
          <w:lang w:val="en-US" w:eastAsia="zh-CN"/>
        </w:rPr>
        <w:t>906725.00</w:t>
      </w:r>
    </w:p>
    <w:p w14:paraId="133CAD5B">
      <w:pPr>
        <w:spacing w:line="360" w:lineRule="auto"/>
        <w:ind w:firstLine="480"/>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eastAsia="zh-CN"/>
        </w:rPr>
        <w:t>2025-2026年度润滑油采购项目</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详见第三部分采购需求。</w:t>
      </w:r>
    </w:p>
    <w:p w14:paraId="3D4CD2B3">
      <w:pPr>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bCs w:val="0"/>
          <w:snapToGrid/>
          <w:color w:val="auto"/>
          <w:kern w:val="2"/>
          <w:sz w:val="24"/>
          <w:szCs w:val="24"/>
          <w:highlight w:val="none"/>
        </w:rPr>
        <w:t>主要内容：</w:t>
      </w:r>
      <w:r>
        <w:rPr>
          <w:rFonts w:hint="eastAsia" w:ascii="仿宋" w:hAnsi="仿宋" w:eastAsia="仿宋" w:cs="仿宋"/>
          <w:b w:val="0"/>
          <w:bCs/>
          <w:color w:val="auto"/>
          <w:sz w:val="24"/>
          <w:szCs w:val="24"/>
          <w:highlight w:val="none"/>
          <w:lang w:eastAsia="zh-CN"/>
        </w:rPr>
        <w:t>2025-2026年度润滑油采购</w:t>
      </w:r>
      <w:r>
        <w:rPr>
          <w:rFonts w:hint="eastAsia" w:ascii="仿宋" w:hAnsi="仿宋" w:eastAsia="仿宋" w:cs="仿宋"/>
          <w:color w:val="auto"/>
          <w:sz w:val="24"/>
          <w:highlight w:val="none"/>
          <w:u w:val="none"/>
          <w:lang w:eastAsia="zh-CN"/>
        </w:rPr>
        <w:t>，</w:t>
      </w:r>
      <w:r>
        <w:rPr>
          <w:rFonts w:hint="eastAsia" w:ascii="仿宋" w:hAnsi="仿宋" w:eastAsia="仿宋" w:cs="仿宋"/>
          <w:bCs/>
          <w:snapToGrid/>
          <w:color w:val="auto"/>
          <w:kern w:val="2"/>
          <w:sz w:val="24"/>
          <w:szCs w:val="24"/>
          <w:highlight w:val="none"/>
        </w:rPr>
        <w:t>详见第三部分采购需求。</w:t>
      </w:r>
    </w:p>
    <w:p w14:paraId="5EA96AFD">
      <w:pPr>
        <w:spacing w:line="360" w:lineRule="auto"/>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highlight w:val="none"/>
          <w:u w:val="none"/>
          <w:lang w:val="en-US" w:eastAsia="zh-CN"/>
        </w:rPr>
        <w:t>详见第三部分采购需求</w:t>
      </w:r>
    </w:p>
    <w:p w14:paraId="1A6AA05C">
      <w:pPr>
        <w:spacing w:line="360" w:lineRule="auto"/>
        <w:ind w:firstLine="48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本项目接受联合体：（√）否</w:t>
      </w:r>
      <w:r>
        <w:rPr>
          <w:rFonts w:hint="eastAsia" w:ascii="仿宋" w:hAnsi="仿宋" w:eastAsia="仿宋" w:cs="仿宋"/>
          <w:b/>
          <w:bCs w:val="0"/>
          <w:color w:val="auto"/>
          <w:sz w:val="24"/>
          <w:szCs w:val="24"/>
          <w:highlight w:val="none"/>
          <w:lang w:eastAsia="zh-CN"/>
        </w:rPr>
        <w:t>。</w:t>
      </w:r>
    </w:p>
    <w:p w14:paraId="1E0015A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CF08458">
      <w:pPr>
        <w:spacing w:line="360" w:lineRule="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val="0"/>
          <w:bCs/>
          <w:color w:val="auto"/>
          <w:sz w:val="24"/>
          <w:highlight w:val="none"/>
          <w:lang w:val="en-US" w:eastAsia="zh-CN"/>
        </w:rPr>
        <w:t xml:space="preserve"> 1.</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lang w:val="en-US" w:eastAsia="zh-CN"/>
        </w:rPr>
        <w:t>须</w:t>
      </w:r>
      <w:r>
        <w:rPr>
          <w:rFonts w:hint="eastAsia" w:ascii="仿宋" w:hAnsi="仿宋" w:eastAsia="仿宋" w:cs="仿宋"/>
          <w:b w:val="0"/>
          <w:bCs/>
          <w:color w:val="auto"/>
          <w:sz w:val="24"/>
          <w:highlight w:val="none"/>
        </w:rPr>
        <w:t>具有独立法人营业执照、经营许可证；</w:t>
      </w:r>
    </w:p>
    <w:p w14:paraId="4F5992F2">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2.</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rPr>
        <w:t>须具备润滑油经销资格；</w:t>
      </w:r>
    </w:p>
    <w:p w14:paraId="550EEF7C">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3.</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rPr>
        <w:t>自201</w:t>
      </w:r>
      <w:r>
        <w:rPr>
          <w:rFonts w:hint="eastAsia" w:ascii="仿宋" w:hAnsi="仿宋" w:eastAsia="仿宋" w:cs="仿宋"/>
          <w:b w:val="0"/>
          <w:bCs/>
          <w:color w:val="auto"/>
          <w:sz w:val="24"/>
          <w:highlight w:val="none"/>
          <w:lang w:val="en-US" w:eastAsia="zh-CN"/>
        </w:rPr>
        <w:t>9</w:t>
      </w:r>
      <w:r>
        <w:rPr>
          <w:rFonts w:hint="eastAsia" w:ascii="仿宋" w:hAnsi="仿宋" w:eastAsia="仿宋" w:cs="仿宋"/>
          <w:b w:val="0"/>
          <w:bCs/>
          <w:color w:val="auto"/>
          <w:sz w:val="24"/>
          <w:highlight w:val="none"/>
        </w:rPr>
        <w:t>年1月1日以来（以合同签订之日为准）以来在中国大陆润滑油销售单个合同金额≥30万元人民币成功业绩至少1个（业绩须提供合同复印件（原件备查），未提供证明材料的业绩不予认可）；</w:t>
      </w:r>
    </w:p>
    <w:p w14:paraId="72F9D4EA">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4.</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rPr>
        <w:t>须满足此油品采购规格及具有足够的供应、储存、运输及技术条件的能力；</w:t>
      </w:r>
    </w:p>
    <w:p w14:paraId="44641FD6">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 xml:space="preserve">    5.</w:t>
      </w:r>
      <w:r>
        <w:rPr>
          <w:rFonts w:hint="eastAsia" w:ascii="仿宋" w:hAnsi="仿宋" w:eastAsia="仿宋" w:cs="仿宋"/>
          <w:b w:val="0"/>
          <w:bCs/>
          <w:color w:val="auto"/>
          <w:sz w:val="24"/>
          <w:highlight w:val="none"/>
          <w:lang w:eastAsia="zh-CN"/>
        </w:rPr>
        <w:t>响应人</w:t>
      </w:r>
      <w:r>
        <w:rPr>
          <w:rFonts w:hint="eastAsia" w:ascii="仿宋" w:hAnsi="仿宋" w:eastAsia="仿宋" w:cs="仿宋"/>
          <w:b w:val="0"/>
          <w:bCs/>
          <w:color w:val="auto"/>
          <w:sz w:val="24"/>
          <w:highlight w:val="none"/>
        </w:rPr>
        <w:t>未被“信用中国”（www.creditchina.gov.cn）列入失信被执行人。</w:t>
      </w:r>
    </w:p>
    <w:p w14:paraId="09E4C995">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6.响应人需提供项目对接负责人的身份证复印件及在本投标单位公司的社保缴纳证明。</w:t>
      </w:r>
    </w:p>
    <w:p w14:paraId="5C5DD08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64C8731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5ACC9E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07BBB23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乐采云平台（https://middle.lecaiyun.com/）</w:t>
      </w:r>
      <w:r>
        <w:rPr>
          <w:rFonts w:hint="eastAsia" w:ascii="仿宋" w:hAnsi="仿宋" w:eastAsia="仿宋" w:cs="仿宋"/>
          <w:color w:val="auto"/>
          <w:sz w:val="24"/>
          <w:highlight w:val="none"/>
        </w:rPr>
        <w:t>在线申请获取交易文件（进入“项目采购”应用，在获取交易文件菜单中选择项目，申请获取交易文件）。</w:t>
      </w:r>
    </w:p>
    <w:p w14:paraId="76F64CE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C98709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14:paraId="4DB4D71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00FED44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27C8B99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bookmarkStart w:id="384" w:name="_GoBack"/>
      <w:bookmarkEnd w:id="384"/>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02A02A9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p>
    <w:p w14:paraId="7BEA1059">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E2491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32369AFE">
      <w:pPr>
        <w:numPr>
          <w:ilvl w:val="0"/>
          <w:numId w:val="1"/>
        </w:num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响应保证金</w:t>
      </w:r>
    </w:p>
    <w:p w14:paraId="0F78B076">
      <w:pPr>
        <w:numPr>
          <w:ilvl w:val="-1"/>
          <w:numId w:val="0"/>
        </w:num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bCs w:val="0"/>
          <w:color w:val="auto"/>
          <w:sz w:val="24"/>
          <w:highlight w:val="none"/>
          <w:lang w:val="en-US" w:eastAsia="zh-CN"/>
        </w:rPr>
        <w:t>本项目响应保证金1万元（壹万元整）（若响应人恶意投标或放弃中标资格，则投标保证金不予退还）</w:t>
      </w:r>
    </w:p>
    <w:p w14:paraId="5E326382">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保证金转账时需备注：临江厂2025-2026年度润滑油采购响应保证金</w:t>
      </w:r>
    </w:p>
    <w:p w14:paraId="7F71F1FA">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保证金应在开标前汇入以下帐户：</w:t>
      </w:r>
    </w:p>
    <w:p w14:paraId="1418BC5A">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户  名：浙江华夏工程管理有限公司萧山分公司</w:t>
      </w:r>
    </w:p>
    <w:p w14:paraId="26FBBA70">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开  户：萧山农商银行商业城支行</w:t>
      </w:r>
    </w:p>
    <w:p w14:paraId="4FED55F7">
      <w:pPr>
        <w:numPr>
          <w:ilvl w:val="-1"/>
          <w:numId w:val="0"/>
        </w:numPr>
        <w:spacing w:line="360" w:lineRule="auto"/>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账  号：201000135447002</w:t>
      </w:r>
    </w:p>
    <w:p w14:paraId="4C12E3B9">
      <w:pPr>
        <w:numPr>
          <w:ilvl w:val="-1"/>
          <w:numId w:val="0"/>
        </w:numPr>
        <w:spacing w:line="360"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u w:val="none"/>
          <w:lang w:val="en-US" w:eastAsia="zh-CN"/>
        </w:rPr>
        <w:t>响应保证金的退还：未中标单位保证金在开标结束后7个工作日内退还，中标单位在提交履约保证金后7个工作日内退还。</w:t>
      </w:r>
    </w:p>
    <w:p w14:paraId="753ED25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69E0E372">
      <w:pPr>
        <w:spacing w:line="360" w:lineRule="auto"/>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highlight w:val="none"/>
          <w:shd w:val="clear" w:color="auto" w:fill="auto"/>
          <w:lang w:val="en-US" w:eastAsia="zh-CN"/>
        </w:rPr>
        <w:t>响应人认为交易活动不符合交易文件规定的可以向交易发起人提出异议。 对交易文件有异议的应当在交易文件规定的截止时间前提出，对交易会有异议的应当在交易会现场提出，对评审结果有异议的应当在成交候选人公示期间提出。</w:t>
      </w:r>
    </w:p>
    <w:p w14:paraId="495C8C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2.其他事项：（1）电子招投标的说明：①电子招投标：本项目以数据电文形式，依托“</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的获取：使用账号登录或者使用CA登录政采云平台；进入“项目采购”应用，在获取采购文件菜单中选择项目，获取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的制作：在“政采云电子交易客户端”中完成“填写基本信息”、“导入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将依托政采云平台完成本项目的电子交易活动，平台不接受未按上述方式获取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的供应商进行投标活动；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在投标截止时间前将加密的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上传至政府采购云平台，还可以在投标截止时间前直接提交或者以邮政快递方式递交备份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无法按时解密，投标供应商递交了备份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撤回。通过“政府采购云平台”上传递交的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p>
    <w:p w14:paraId="3BA421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、对本次</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提出询问、质疑、投诉，请按以下方式联系</w:t>
      </w:r>
    </w:p>
    <w:p w14:paraId="35EA85F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交易发起人</w:t>
      </w:r>
      <w:r>
        <w:rPr>
          <w:rFonts w:hint="eastAsia" w:ascii="仿宋" w:hAnsi="仿宋" w:eastAsia="仿宋" w:cs="仿宋"/>
          <w:color w:val="auto"/>
          <w:sz w:val="24"/>
          <w:szCs w:val="28"/>
          <w:highlight w:val="none"/>
        </w:rPr>
        <w:t>信息</w:t>
      </w:r>
    </w:p>
    <w:p w14:paraId="4643C92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highlight w:val="none"/>
          <w:lang w:eastAsia="zh-CN"/>
        </w:rPr>
        <w:t>杭州萧山污水处理有限公司</w:t>
      </w:r>
    </w:p>
    <w:p w14:paraId="0378E48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地址：杭州市萧山区通惠中路99号</w:t>
      </w:r>
    </w:p>
    <w:p w14:paraId="6F5153B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项目联系人（询问）：</w:t>
      </w:r>
      <w:r>
        <w:rPr>
          <w:rFonts w:hint="eastAsia" w:ascii="仿宋" w:hAnsi="仿宋" w:eastAsia="仿宋" w:cs="仿宋"/>
          <w:b w:val="0"/>
          <w:bCs w:val="0"/>
          <w:color w:val="auto"/>
          <w:sz w:val="24"/>
          <w:szCs w:val="28"/>
          <w:highlight w:val="none"/>
          <w:lang w:val="en-US" w:eastAsia="zh-CN"/>
        </w:rPr>
        <w:t xml:space="preserve">李工 杨工 </w:t>
      </w:r>
    </w:p>
    <w:p w14:paraId="0FE001C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bookmarkStart w:id="10" w:name="_Toc28359009"/>
      <w:bookmarkStart w:id="11" w:name="_Toc28359086"/>
      <w:r>
        <w:rPr>
          <w:rFonts w:hint="eastAsia" w:ascii="仿宋" w:hAnsi="仿宋" w:eastAsia="仿宋" w:cs="仿宋"/>
          <w:color w:val="auto"/>
          <w:sz w:val="24"/>
          <w:szCs w:val="28"/>
          <w:highlight w:val="none"/>
          <w:lang w:val="en-US" w:eastAsia="zh-CN"/>
        </w:rPr>
        <w:t>18268011091</w:t>
      </w: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val="en-US" w:eastAsia="zh-CN"/>
        </w:rPr>
        <w:t xml:space="preserve"> 18158697533 </w:t>
      </w:r>
    </w:p>
    <w:p w14:paraId="3828BDC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2.代理机构信息</w:t>
      </w:r>
      <w:bookmarkEnd w:id="10"/>
      <w:bookmarkEnd w:id="11"/>
    </w:p>
    <w:p w14:paraId="3828BE7B">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浙江华夏工程管理有限公司</w:t>
      </w:r>
    </w:p>
    <w:p w14:paraId="11B8959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地址：杭州市萧山区北干街道金城路540号心意广场</w:t>
      </w:r>
      <w:r>
        <w:rPr>
          <w:rFonts w:hint="eastAsia" w:ascii="仿宋" w:hAnsi="仿宋" w:eastAsia="仿宋" w:cs="仿宋"/>
          <w:color w:val="auto"/>
          <w:sz w:val="24"/>
          <w:szCs w:val="28"/>
          <w:highlight w:val="none"/>
          <w:lang w:val="en-US" w:eastAsia="zh-CN"/>
        </w:rPr>
        <w:t>3</w:t>
      </w:r>
      <w:r>
        <w:rPr>
          <w:rFonts w:hint="eastAsia" w:ascii="仿宋" w:hAnsi="仿宋" w:eastAsia="仿宋" w:cs="仿宋"/>
          <w:color w:val="auto"/>
          <w:sz w:val="24"/>
          <w:szCs w:val="28"/>
          <w:highlight w:val="none"/>
        </w:rPr>
        <w:t>幢</w:t>
      </w:r>
      <w:r>
        <w:rPr>
          <w:rFonts w:hint="eastAsia" w:ascii="仿宋" w:hAnsi="仿宋" w:eastAsia="仿宋" w:cs="仿宋"/>
          <w:color w:val="auto"/>
          <w:sz w:val="24"/>
          <w:szCs w:val="28"/>
          <w:highlight w:val="none"/>
          <w:lang w:val="en-US" w:eastAsia="zh-CN"/>
        </w:rPr>
        <w:t>1802</w:t>
      </w:r>
      <w:r>
        <w:rPr>
          <w:rFonts w:hint="eastAsia" w:ascii="仿宋" w:hAnsi="仿宋" w:eastAsia="仿宋" w:cs="仿宋"/>
          <w:color w:val="auto"/>
          <w:sz w:val="24"/>
          <w:szCs w:val="28"/>
          <w:highlight w:val="none"/>
        </w:rPr>
        <w:t>室</w:t>
      </w:r>
    </w:p>
    <w:p w14:paraId="07B8B34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徐工</w:t>
      </w:r>
    </w:p>
    <w:p w14:paraId="5386565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snapToGrid w:val="0"/>
          <w:color w:val="auto"/>
          <w:kern w:val="28"/>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eastAsia="zh-CN"/>
        </w:rPr>
        <w:t>：</w:t>
      </w:r>
      <w:r>
        <w:rPr>
          <w:rFonts w:hint="eastAsia" w:ascii="仿宋" w:hAnsi="仿宋" w:eastAsia="仿宋" w:cs="仿宋"/>
          <w:bCs/>
          <w:snapToGrid w:val="0"/>
          <w:color w:val="auto"/>
          <w:kern w:val="28"/>
          <w:sz w:val="24"/>
          <w:highlight w:val="none"/>
          <w:lang w:val="en-US" w:eastAsia="zh-CN"/>
        </w:rPr>
        <w:t>17348879275  1065599210@qq.com</w:t>
      </w:r>
    </w:p>
    <w:p w14:paraId="5FE1785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尚赛</w:t>
      </w:r>
    </w:p>
    <w:p w14:paraId="1FD8F53D">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bCs/>
          <w:snapToGrid w:val="0"/>
          <w:color w:val="auto"/>
          <w:kern w:val="28"/>
          <w:sz w:val="24"/>
          <w:highlight w:val="none"/>
          <w:lang w:val="en-US" w:eastAsia="zh-CN"/>
        </w:rPr>
        <w:t>0571-57572683</w:t>
      </w:r>
    </w:p>
    <w:p w14:paraId="208D50B8">
      <w:pPr>
        <w:spacing w:line="360" w:lineRule="auto"/>
        <w:ind w:firstLine="480" w:firstLineChars="200"/>
        <w:rPr>
          <w:rFonts w:hint="eastAsia" w:ascii="仿宋" w:hAnsi="仿宋" w:eastAsia="仿宋" w:cs="仿宋"/>
          <w:color w:val="auto"/>
          <w:sz w:val="24"/>
          <w:highlight w:val="none"/>
        </w:rPr>
      </w:pPr>
    </w:p>
    <w:p w14:paraId="7977BD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乐采云(萧采云)平台（https://www.zcygov.cn/）</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采云服务热线95763获取热线服务帮助。</w:t>
      </w:r>
    </w:p>
    <w:p w14:paraId="6EAC0D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09D144A">
      <w:pPr>
        <w:pStyle w:val="33"/>
        <w:spacing w:line="360" w:lineRule="auto"/>
        <w:jc w:val="center"/>
        <w:rPr>
          <w:rFonts w:hint="eastAsia" w:ascii="仿宋" w:hAnsi="仿宋" w:eastAsia="仿宋" w:cs="仿宋"/>
          <w:b/>
          <w:color w:val="auto"/>
          <w:sz w:val="36"/>
          <w:szCs w:val="20"/>
          <w:highlight w:val="none"/>
        </w:rPr>
      </w:pPr>
    </w:p>
    <w:p w14:paraId="58B67E6C">
      <w:pPr>
        <w:pStyle w:val="33"/>
        <w:spacing w:line="360" w:lineRule="auto"/>
        <w:jc w:val="center"/>
        <w:rPr>
          <w:rFonts w:hint="eastAsia" w:ascii="仿宋" w:hAnsi="仿宋" w:eastAsia="仿宋" w:cs="仿宋"/>
          <w:b/>
          <w:color w:val="auto"/>
          <w:sz w:val="36"/>
          <w:szCs w:val="20"/>
          <w:highlight w:val="none"/>
        </w:rPr>
      </w:pPr>
    </w:p>
    <w:p w14:paraId="621B7279">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407EB1E">
      <w:pPr>
        <w:pStyle w:val="33"/>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响应人</w:t>
      </w:r>
      <w:r>
        <w:rPr>
          <w:rFonts w:hint="eastAsia" w:ascii="仿宋" w:hAnsi="仿宋" w:eastAsia="仿宋" w:cs="仿宋"/>
          <w:b/>
          <w:color w:val="auto"/>
          <w:sz w:val="36"/>
          <w:szCs w:val="20"/>
          <w:highlight w:val="none"/>
        </w:rPr>
        <w:t>须知</w:t>
      </w:r>
      <w:bookmarkEnd w:id="8"/>
    </w:p>
    <w:p w14:paraId="6D49EFF6">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5"/>
        <w:gridCol w:w="1558"/>
        <w:gridCol w:w="6997"/>
      </w:tblGrid>
      <w:tr w14:paraId="7FB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tcPr>
          <w:p w14:paraId="54D584F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8" w:type="dxa"/>
            <w:vAlign w:val="center"/>
          </w:tcPr>
          <w:p w14:paraId="09809EF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97" w:type="dxa"/>
            <w:vAlign w:val="center"/>
          </w:tcPr>
          <w:p w14:paraId="1FA7358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809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14:paraId="5FB3C28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58" w:type="dxa"/>
            <w:vAlign w:val="center"/>
          </w:tcPr>
          <w:p w14:paraId="575B268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997" w:type="dxa"/>
            <w:vAlign w:val="center"/>
          </w:tcPr>
          <w:p w14:paraId="43233163">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pacing w:val="0"/>
                <w:w w:val="100"/>
                <w:sz w:val="24"/>
                <w:highlight w:val="none"/>
              </w:rPr>
              <w:t>（√）</w:t>
            </w:r>
            <w:r>
              <w:rPr>
                <w:rFonts w:hint="eastAsia" w:ascii="仿宋" w:hAnsi="仿宋" w:eastAsia="仿宋" w:cs="仿宋"/>
                <w:b w:val="0"/>
                <w:bCs/>
                <w:color w:val="auto"/>
                <w:spacing w:val="0"/>
                <w:w w:val="100"/>
                <w:kern w:val="0"/>
                <w:sz w:val="24"/>
                <w:highlight w:val="none"/>
              </w:rPr>
              <w:t>A</w:t>
            </w:r>
            <w:r>
              <w:rPr>
                <w:rFonts w:hint="eastAsia" w:ascii="仿宋" w:hAnsi="仿宋" w:eastAsia="仿宋" w:cs="仿宋"/>
                <w:b w:val="0"/>
                <w:bCs/>
                <w:color w:val="auto"/>
                <w:spacing w:val="0"/>
                <w:w w:val="100"/>
                <w:sz w:val="24"/>
                <w:highlight w:val="none"/>
                <w:lang w:val="en-US" w:eastAsia="zh-CN"/>
              </w:rPr>
              <w:t>货物</w:t>
            </w:r>
            <w:r>
              <w:rPr>
                <w:rFonts w:hint="eastAsia" w:ascii="仿宋" w:hAnsi="仿宋" w:eastAsia="仿宋" w:cs="仿宋"/>
                <w:b w:val="0"/>
                <w:bCs/>
                <w:color w:val="auto"/>
                <w:spacing w:val="0"/>
                <w:w w:val="100"/>
                <w:sz w:val="24"/>
                <w:highlight w:val="none"/>
              </w:rPr>
              <w:t>类。</w:t>
            </w:r>
          </w:p>
        </w:tc>
      </w:tr>
      <w:tr w14:paraId="3B2D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545" w:type="dxa"/>
            <w:vAlign w:val="center"/>
          </w:tcPr>
          <w:p w14:paraId="60A44457">
            <w:pPr>
              <w:spacing w:after="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p>
        </w:tc>
        <w:tc>
          <w:tcPr>
            <w:tcW w:w="1558" w:type="dxa"/>
            <w:vAlign w:val="center"/>
          </w:tcPr>
          <w:p w14:paraId="1F09CBDF">
            <w:pPr>
              <w:spacing w:after="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997" w:type="dxa"/>
            <w:vAlign w:val="center"/>
          </w:tcPr>
          <w:p w14:paraId="19C63AFC">
            <w:pPr>
              <w:spacing w:after="0"/>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2025-2026年度润滑油采购项目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w:t>
            </w:r>
          </w:p>
          <w:p w14:paraId="2E390D90">
            <w:pPr>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行业划分标准：</w:t>
            </w:r>
          </w:p>
          <w:p w14:paraId="20BB069F">
            <w:pPr>
              <w:spacing w:after="0"/>
              <w:rPr>
                <w:rFonts w:hint="eastAsia" w:ascii="仿宋" w:hAnsi="仿宋" w:eastAsia="仿宋" w:cs="仿宋"/>
                <w:b w:val="0"/>
                <w:bCs/>
                <w:color w:val="auto"/>
                <w:kern w:val="0"/>
                <w:sz w:val="24"/>
                <w:highlight w:val="none"/>
                <w:lang w:val="en-US" w:eastAsia="zh-CN"/>
              </w:rPr>
            </w:pPr>
            <w:r>
              <w:rPr>
                <w:rFonts w:hint="eastAsia" w:ascii="仿宋" w:hAnsi="仿宋" w:eastAsia="仿宋" w:cs="仿宋"/>
                <w:color w:val="auto"/>
                <w:sz w:val="24"/>
                <w:highlight w:val="none"/>
              </w:rPr>
              <w:t>《关于印发中小企业划型标准规定的通知》工信部联企业〔2011〕300号</w:t>
            </w:r>
          </w:p>
        </w:tc>
      </w:tr>
      <w:tr w14:paraId="668D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14:paraId="6A9F697F">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558" w:type="dxa"/>
            <w:vAlign w:val="center"/>
          </w:tcPr>
          <w:p w14:paraId="121FC439">
            <w:pPr>
              <w:snapToGrid w:val="0"/>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997" w:type="dxa"/>
            <w:vAlign w:val="center"/>
          </w:tcPr>
          <w:p w14:paraId="72BFF229">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B</w:t>
            </w:r>
            <w:r>
              <w:rPr>
                <w:rFonts w:hint="eastAsia" w:ascii="仿宋" w:hAnsi="仿宋" w:eastAsia="仿宋" w:cs="仿宋"/>
                <w:b w:val="0"/>
                <w:bCs/>
                <w:color w:val="auto"/>
                <w:sz w:val="24"/>
                <w:highlight w:val="none"/>
              </w:rPr>
              <w:t>不同意分包。</w:t>
            </w:r>
          </w:p>
        </w:tc>
      </w:tr>
      <w:tr w14:paraId="62A3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jc w:val="center"/>
        </w:trPr>
        <w:tc>
          <w:tcPr>
            <w:tcW w:w="545" w:type="dxa"/>
            <w:vAlign w:val="center"/>
          </w:tcPr>
          <w:p w14:paraId="584D8D58">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558" w:type="dxa"/>
            <w:vAlign w:val="center"/>
          </w:tcPr>
          <w:p w14:paraId="202F9BC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前答疑会或现场考察</w:t>
            </w:r>
          </w:p>
        </w:tc>
        <w:tc>
          <w:tcPr>
            <w:tcW w:w="6997" w:type="dxa"/>
            <w:vAlign w:val="center"/>
          </w:tcPr>
          <w:p w14:paraId="7DE29E51">
            <w:pPr>
              <w:spacing w:line="360" w:lineRule="auto"/>
              <w:rPr>
                <w:rFonts w:hint="eastAsia" w:ascii="仿宋" w:hAnsi="仿宋" w:eastAsia="仿宋" w:cs="仿宋"/>
                <w:b w:val="0"/>
                <w:bCs/>
                <w:color w:val="auto"/>
                <w:kern w:val="2"/>
                <w:sz w:val="24"/>
                <w:szCs w:val="20"/>
                <w:highlight w:val="none"/>
                <w:lang w:val="en-US"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tc>
      </w:tr>
      <w:tr w14:paraId="2F42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545" w:type="dxa"/>
            <w:vAlign w:val="center"/>
          </w:tcPr>
          <w:p w14:paraId="2B036C9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558" w:type="dxa"/>
            <w:vAlign w:val="center"/>
          </w:tcPr>
          <w:p w14:paraId="0E81EA5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997" w:type="dxa"/>
            <w:vAlign w:val="center"/>
          </w:tcPr>
          <w:p w14:paraId="0A7DE0E6">
            <w:pPr>
              <w:spacing w:after="0"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color w:val="auto"/>
                <w:sz w:val="24"/>
                <w:highlight w:val="none"/>
              </w:rPr>
              <w:t>（√）A不要求提供。</w:t>
            </w:r>
          </w:p>
        </w:tc>
      </w:tr>
      <w:tr w14:paraId="2DE4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45" w:type="dxa"/>
            <w:vAlign w:val="center"/>
          </w:tcPr>
          <w:p w14:paraId="2B3B8DF1">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558" w:type="dxa"/>
            <w:vAlign w:val="center"/>
          </w:tcPr>
          <w:p w14:paraId="1FDC438A">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997" w:type="dxa"/>
            <w:vAlign w:val="center"/>
          </w:tcPr>
          <w:p w14:paraId="77122BD8">
            <w:pPr>
              <w:snapToGrid w:val="0"/>
              <w:spacing w:line="360" w:lineRule="auto"/>
              <w:rPr>
                <w:rFonts w:hint="eastAsia" w:ascii="仿宋" w:hAnsi="仿宋" w:eastAsia="仿宋" w:cs="仿宋"/>
                <w:b w:val="0"/>
                <w:bCs/>
                <w:color w:val="auto"/>
                <w:kern w:val="0"/>
                <w:sz w:val="24"/>
                <w:szCs w:val="24"/>
                <w:highlight w:val="none"/>
                <w:lang w:val="zh-CN" w:eastAsia="zh-CN" w:bidi="ar-SA"/>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不演示</w:t>
            </w:r>
          </w:p>
        </w:tc>
      </w:tr>
      <w:tr w14:paraId="53C2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restart"/>
            <w:vAlign w:val="center"/>
          </w:tcPr>
          <w:p w14:paraId="06655AA0">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558" w:type="dxa"/>
            <w:vMerge w:val="restart"/>
            <w:vAlign w:val="center"/>
          </w:tcPr>
          <w:p w14:paraId="6E8D9EA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应当提供的资格、资信证明文件</w:t>
            </w:r>
          </w:p>
        </w:tc>
        <w:tc>
          <w:tcPr>
            <w:tcW w:w="6997" w:type="dxa"/>
            <w:vAlign w:val="center"/>
          </w:tcPr>
          <w:p w14:paraId="1E39EAEB">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（1）资格证明文件：见</w:t>
            </w:r>
            <w:r>
              <w:rPr>
                <w:rFonts w:hint="eastAsia" w:ascii="仿宋" w:hAnsi="仿宋" w:eastAsia="仿宋" w:cs="仿宋"/>
                <w:b w:val="0"/>
                <w:bCs/>
                <w:color w:val="auto"/>
                <w:sz w:val="24"/>
                <w:highlight w:val="none"/>
                <w:lang w:eastAsia="zh-CN"/>
              </w:rPr>
              <w:t>交易文件</w:t>
            </w:r>
            <w:r>
              <w:rPr>
                <w:rFonts w:hint="eastAsia" w:ascii="仿宋" w:hAnsi="仿宋" w:eastAsia="仿宋" w:cs="仿宋"/>
                <w:b w:val="0"/>
                <w:bCs/>
                <w:color w:val="auto"/>
                <w:sz w:val="24"/>
                <w:highlight w:val="none"/>
              </w:rPr>
              <w:t>第二部分11.1。</w:t>
            </w:r>
          </w:p>
          <w:p w14:paraId="40EF16EA">
            <w:pPr>
              <w:spacing w:line="360" w:lineRule="auto"/>
              <w:rPr>
                <w:rFonts w:hint="eastAsia" w:ascii="仿宋" w:hAnsi="仿宋" w:eastAsia="仿宋" w:cs="仿宋"/>
                <w:b w:val="0"/>
                <w:bCs/>
                <w:snapToGrid w:val="0"/>
                <w:color w:val="auto"/>
                <w:kern w:val="0"/>
                <w:sz w:val="21"/>
                <w:szCs w:val="21"/>
                <w:highlight w:val="none"/>
                <w:lang w:val="zh-CN" w:eastAsia="zh-CN" w:bidi="ar-SA"/>
              </w:rPr>
            </w:pPr>
            <w:r>
              <w:rPr>
                <w:rFonts w:hint="eastAsia" w:ascii="仿宋" w:hAnsi="仿宋" w:eastAsia="仿宋" w:cs="仿宋"/>
                <w:b w:val="0"/>
                <w:bCs/>
                <w:color w:val="auto"/>
                <w:kern w:val="0"/>
                <w:sz w:val="24"/>
                <w:highlight w:val="none"/>
                <w:lang w:val="zh-CN"/>
              </w:rPr>
              <w:t>响应人未提供有效的资格证明文件的，视为响应人不具备交易文件中规定的资格要求，投标无效。</w:t>
            </w:r>
          </w:p>
        </w:tc>
      </w:tr>
      <w:tr w14:paraId="316F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continue"/>
            <w:vAlign w:val="center"/>
          </w:tcPr>
          <w:p w14:paraId="75143DC4">
            <w:pPr>
              <w:snapToGrid w:val="0"/>
              <w:spacing w:line="360" w:lineRule="auto"/>
              <w:jc w:val="center"/>
              <w:rPr>
                <w:rFonts w:hint="eastAsia" w:ascii="仿宋" w:hAnsi="仿宋" w:eastAsia="仿宋" w:cs="仿宋"/>
                <w:color w:val="auto"/>
                <w:sz w:val="24"/>
                <w:highlight w:val="none"/>
              </w:rPr>
            </w:pPr>
          </w:p>
        </w:tc>
        <w:tc>
          <w:tcPr>
            <w:tcW w:w="1558" w:type="dxa"/>
            <w:vMerge w:val="continue"/>
            <w:vAlign w:val="center"/>
          </w:tcPr>
          <w:p w14:paraId="37B2DD5F">
            <w:pPr>
              <w:snapToGrid w:val="0"/>
              <w:spacing w:line="360" w:lineRule="auto"/>
              <w:jc w:val="center"/>
              <w:rPr>
                <w:rFonts w:hint="eastAsia" w:ascii="仿宋" w:hAnsi="仿宋" w:eastAsia="仿宋" w:cs="仿宋"/>
                <w:bCs/>
                <w:color w:val="auto"/>
                <w:sz w:val="24"/>
                <w:highlight w:val="none"/>
              </w:rPr>
            </w:pPr>
          </w:p>
        </w:tc>
        <w:tc>
          <w:tcPr>
            <w:tcW w:w="6997" w:type="dxa"/>
            <w:vAlign w:val="center"/>
          </w:tcPr>
          <w:p w14:paraId="1AD5688B">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第四部分评标标准提供。</w:t>
            </w:r>
          </w:p>
        </w:tc>
      </w:tr>
      <w:tr w14:paraId="321A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Align w:val="center"/>
          </w:tcPr>
          <w:p w14:paraId="183E5B56">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558" w:type="dxa"/>
            <w:vAlign w:val="center"/>
          </w:tcPr>
          <w:p w14:paraId="01F89F29">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val="0"/>
                <w:color w:val="auto"/>
                <w:sz w:val="24"/>
                <w:highlight w:val="none"/>
              </w:rPr>
              <w:t>报价要求</w:t>
            </w:r>
          </w:p>
        </w:tc>
        <w:tc>
          <w:tcPr>
            <w:tcW w:w="6997" w:type="dxa"/>
            <w:vAlign w:val="center"/>
          </w:tcPr>
          <w:p w14:paraId="416CB622">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rPr>
              <w:t>开标一览表（报价表）是报价的唯一载体</w:t>
            </w:r>
            <w:r>
              <w:rPr>
                <w:rFonts w:hint="eastAsia" w:ascii="仿宋" w:hAnsi="仿宋" w:eastAsia="仿宋" w:cs="仿宋"/>
                <w:b w:val="0"/>
                <w:bCs/>
                <w:color w:val="auto"/>
                <w:kern w:val="0"/>
                <w:sz w:val="24"/>
                <w:highlight w:val="none"/>
                <w:lang w:val="zh-CN"/>
              </w:rPr>
              <w:t>。交易文件未列明，而响应人认为必需的费用也需列入报价。提醒：验收时检测费用由交易发起人承担，不包含在投标总价中。</w:t>
            </w:r>
          </w:p>
          <w:p w14:paraId="4FF22F41">
            <w:pPr>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投标报价出现下列情形的，投标无效：</w:t>
            </w:r>
          </w:p>
          <w:p w14:paraId="19172BA4">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响应文件出现不是唯一的、有选择性投标报价的；</w:t>
            </w:r>
          </w:p>
          <w:p w14:paraId="432E54A3">
            <w:pPr>
              <w:spacing w:line="360" w:lineRule="auto"/>
              <w:ind w:firstLine="480" w:firstLineChars="200"/>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zh-CN"/>
              </w:rPr>
              <w:t>投标报价超过交易文件中规定的预算金额或者最高限价的;</w:t>
            </w:r>
            <w:r>
              <w:rPr>
                <w:rFonts w:hint="eastAsia" w:ascii="仿宋" w:hAnsi="仿宋" w:eastAsia="仿宋" w:cs="仿宋"/>
                <w:b w:val="0"/>
                <w:bCs/>
                <w:color w:val="auto"/>
                <w:kern w:val="0"/>
                <w:sz w:val="24"/>
                <w:highlight w:val="none"/>
                <w:lang w:val="en-US" w:eastAsia="zh-CN"/>
              </w:rPr>
              <w:t xml:space="preserve"> </w:t>
            </w:r>
          </w:p>
          <w:p w14:paraId="6CDF5F17">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报价明显低于其他通过符合性审查</w:t>
            </w:r>
            <w:r>
              <w:rPr>
                <w:rFonts w:hint="eastAsia" w:ascii="仿宋" w:hAnsi="仿宋" w:eastAsia="仿宋" w:cs="仿宋"/>
                <w:b w:val="0"/>
                <w:bCs/>
                <w:color w:val="auto"/>
                <w:kern w:val="0"/>
                <w:sz w:val="24"/>
                <w:highlight w:val="none"/>
                <w:lang w:eastAsia="zh-CN"/>
              </w:rPr>
              <w:t>响应人</w:t>
            </w:r>
            <w:r>
              <w:rPr>
                <w:rFonts w:hint="eastAsia" w:ascii="仿宋" w:hAnsi="仿宋" w:eastAsia="仿宋" w:cs="仿宋"/>
                <w:b w:val="0"/>
                <w:bCs/>
                <w:color w:val="auto"/>
                <w:kern w:val="0"/>
                <w:sz w:val="24"/>
                <w:highlight w:val="none"/>
              </w:rPr>
              <w:t>的报价，有可能影响产品质量或者不能诚信履约的，未能按要求提供书面说明或者提交相关证明材料证明其报价合理性的;</w:t>
            </w:r>
          </w:p>
          <w:p w14:paraId="6661778E">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响应人</w:t>
            </w:r>
            <w:r>
              <w:rPr>
                <w:rFonts w:hint="eastAsia" w:ascii="仿宋" w:hAnsi="仿宋" w:eastAsia="仿宋" w:cs="仿宋"/>
                <w:b w:val="0"/>
                <w:bCs/>
                <w:color w:val="auto"/>
                <w:kern w:val="0"/>
                <w:sz w:val="24"/>
                <w:highlight w:val="none"/>
              </w:rPr>
              <w:t>对根据修正原则修正后的报价不确认的。</w:t>
            </w:r>
          </w:p>
          <w:p w14:paraId="4FEC4EA6">
            <w:pPr>
              <w:spacing w:line="360" w:lineRule="auto"/>
              <w:ind w:firstLine="480" w:firstLineChars="200"/>
              <w:rPr>
                <w:rFonts w:hint="eastAsia" w:ascii="仿宋" w:hAnsi="仿宋" w:eastAsia="仿宋" w:cs="仿宋"/>
                <w:b w:val="0"/>
                <w:bCs/>
                <w:color w:val="auto"/>
                <w:kern w:val="2"/>
                <w:sz w:val="21"/>
                <w:szCs w:val="24"/>
                <w:highlight w:val="none"/>
                <w:lang w:val="en-US" w:eastAsia="zh-CN" w:bidi="ar-SA"/>
              </w:rPr>
            </w:pPr>
            <w:r>
              <w:rPr>
                <w:rFonts w:hint="eastAsia" w:ascii="仿宋" w:hAnsi="仿宋" w:eastAsia="仿宋" w:cs="仿宋"/>
                <w:b w:val="0"/>
                <w:bCs/>
                <w:color w:val="auto"/>
                <w:kern w:val="0"/>
                <w:sz w:val="24"/>
                <w:highlight w:val="none"/>
              </w:rPr>
              <w:t>资格文件、商务技术文件与报价文件未分开制作</w:t>
            </w:r>
            <w:r>
              <w:rPr>
                <w:rFonts w:hint="eastAsia" w:ascii="仿宋" w:hAnsi="仿宋" w:eastAsia="仿宋" w:cs="仿宋"/>
                <w:b w:val="0"/>
                <w:bCs/>
                <w:color w:val="auto"/>
                <w:sz w:val="24"/>
                <w:highlight w:val="none"/>
              </w:rPr>
              <w:t>。</w:t>
            </w:r>
          </w:p>
        </w:tc>
      </w:tr>
      <w:tr w14:paraId="1EA2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4CE7775A">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558" w:type="dxa"/>
            <w:vAlign w:val="center"/>
          </w:tcPr>
          <w:p w14:paraId="38C10C68">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响应文件</w:t>
            </w:r>
          </w:p>
        </w:tc>
        <w:tc>
          <w:tcPr>
            <w:tcW w:w="6997" w:type="dxa"/>
            <w:vAlign w:val="center"/>
          </w:tcPr>
          <w:p w14:paraId="146298BD">
            <w:pPr>
              <w:pStyle w:val="33"/>
              <w:spacing w:line="360" w:lineRule="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color w:val="auto"/>
                <w:kern w:val="28"/>
                <w:sz w:val="24"/>
                <w:szCs w:val="24"/>
                <w:highlight w:val="none"/>
                <w:lang w:val="en-US" w:eastAsia="zh-CN"/>
              </w:rPr>
              <w:t>备份文件是否收取：不收取。</w:t>
            </w:r>
          </w:p>
        </w:tc>
      </w:tr>
      <w:tr w14:paraId="787D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545" w:type="dxa"/>
            <w:vAlign w:val="center"/>
          </w:tcPr>
          <w:p w14:paraId="12918E9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58" w:type="dxa"/>
            <w:vAlign w:val="center"/>
          </w:tcPr>
          <w:p w14:paraId="5DFDFA4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代理费用</w:t>
            </w:r>
          </w:p>
        </w:tc>
        <w:tc>
          <w:tcPr>
            <w:tcW w:w="6997" w:type="dxa"/>
            <w:vAlign w:val="center"/>
          </w:tcPr>
          <w:p w14:paraId="573DD83D">
            <w:pPr>
              <w:pStyle w:val="33"/>
              <w:spacing w:line="360" w:lineRule="auto"/>
              <w:ind w:left="0" w:leftChars="0" w:hanging="4" w:firstLineChars="0"/>
              <w:rPr>
                <w:rFonts w:hint="eastAsia" w:ascii="仿宋" w:hAnsi="仿宋" w:eastAsia="仿宋" w:cs="仿宋"/>
                <w:b/>
                <w:color w:val="auto"/>
                <w:sz w:val="24"/>
                <w:szCs w:val="24"/>
                <w:highlight w:val="none"/>
              </w:rPr>
            </w:pPr>
            <w:r>
              <w:rPr>
                <w:rFonts w:hint="eastAsia" w:ascii="仿宋" w:hAnsi="仿宋" w:eastAsia="仿宋" w:cs="仿宋"/>
                <w:color w:val="auto"/>
                <w:spacing w:val="0"/>
                <w:w w:val="100"/>
                <w:sz w:val="24"/>
                <w:highlight w:val="none"/>
                <w:lang w:val="en-US" w:eastAsia="zh-CN"/>
              </w:rPr>
              <w:t>由采购人支付</w:t>
            </w:r>
            <w:r>
              <w:rPr>
                <w:rFonts w:hint="eastAsia" w:ascii="仿宋" w:hAnsi="仿宋" w:eastAsia="仿宋" w:cs="仿宋"/>
                <w:color w:val="auto"/>
                <w:spacing w:val="0"/>
                <w:w w:val="100"/>
                <w:sz w:val="24"/>
                <w:highlight w:val="none"/>
                <w:lang w:eastAsia="zh-CN"/>
              </w:rPr>
              <w:t>。</w:t>
            </w:r>
          </w:p>
        </w:tc>
      </w:tr>
      <w:tr w14:paraId="4EB8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545" w:type="dxa"/>
            <w:vAlign w:val="center"/>
          </w:tcPr>
          <w:p w14:paraId="4BD51AC4">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11</w:t>
            </w:r>
          </w:p>
        </w:tc>
        <w:tc>
          <w:tcPr>
            <w:tcW w:w="1558" w:type="dxa"/>
            <w:vAlign w:val="center"/>
          </w:tcPr>
          <w:p w14:paraId="15EB03E0">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997" w:type="dxa"/>
            <w:vAlign w:val="center"/>
          </w:tcPr>
          <w:p w14:paraId="5A825BD3">
            <w:pPr>
              <w:pStyle w:val="15"/>
              <w:spacing w:line="360" w:lineRule="auto"/>
              <w:ind w:firstLine="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预算金额</w:t>
            </w:r>
            <w:r>
              <w:rPr>
                <w:rFonts w:hint="default" w:ascii="仿宋" w:hAnsi="仿宋" w:eastAsia="仿宋" w:cs="仿宋"/>
                <w:b/>
                <w:bCs/>
                <w:color w:val="auto"/>
                <w:sz w:val="24"/>
                <w:highlight w:val="none"/>
                <w:lang w:val="en-US" w:eastAsia="zh-CN"/>
              </w:rPr>
              <w:t>的5%，在中标通知书发出、签订合同之前，由卖方向买方支付，并在合同到期后一个月内无息退还。</w:t>
            </w:r>
          </w:p>
          <w:p w14:paraId="4EAC3F2E">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履约保证金的形式：电汇</w:t>
            </w:r>
          </w:p>
          <w:p w14:paraId="26CD32A4">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履约保证金应在合同签订前汇入以下帐户：</w:t>
            </w:r>
          </w:p>
          <w:p w14:paraId="08BDB2A7">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户  名：杭州萧山污水处理有限公司</w:t>
            </w:r>
          </w:p>
          <w:p w14:paraId="147FF545">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 xml:space="preserve">开  户：华夏银行杭州萧山金城支行 </w:t>
            </w:r>
          </w:p>
          <w:p w14:paraId="43DE2B50">
            <w:pPr>
              <w:pStyle w:val="15"/>
              <w:spacing w:line="360" w:lineRule="auto"/>
              <w:ind w:firstLine="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账  号：4248200001819100000335</w:t>
            </w:r>
          </w:p>
        </w:tc>
      </w:tr>
      <w:tr w14:paraId="329F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14:paraId="2EA8EF48">
            <w:pPr>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highlight w:val="none"/>
                <w:lang w:val="en-US" w:eastAsia="zh-CN"/>
              </w:rPr>
              <w:t>12</w:t>
            </w:r>
          </w:p>
        </w:tc>
        <w:tc>
          <w:tcPr>
            <w:tcW w:w="1558" w:type="dxa"/>
            <w:vAlign w:val="center"/>
          </w:tcPr>
          <w:p w14:paraId="4CF8B621">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资格审查和信用信息审查</w:t>
            </w:r>
          </w:p>
        </w:tc>
        <w:tc>
          <w:tcPr>
            <w:tcW w:w="6997" w:type="dxa"/>
            <w:vAlign w:val="center"/>
          </w:tcPr>
          <w:p w14:paraId="1E293C8C">
            <w:pPr>
              <w:pStyle w:val="33"/>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进行资格文件及信用信息查询。</w:t>
            </w:r>
          </w:p>
        </w:tc>
      </w:tr>
      <w:tr w14:paraId="425C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 w:hRule="atLeast"/>
          <w:jc w:val="center"/>
        </w:trPr>
        <w:tc>
          <w:tcPr>
            <w:tcW w:w="545" w:type="dxa"/>
            <w:vAlign w:val="center"/>
          </w:tcPr>
          <w:p w14:paraId="5A1E875D">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1558" w:type="dxa"/>
            <w:vAlign w:val="center"/>
          </w:tcPr>
          <w:p w14:paraId="158D12AD">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997" w:type="dxa"/>
            <w:vAlign w:val="center"/>
          </w:tcPr>
          <w:p w14:paraId="1BA1F119">
            <w:pPr>
              <w:snapToGrid w:val="0"/>
              <w:spacing w:line="360" w:lineRule="auto"/>
              <w:rPr>
                <w:rFonts w:hint="eastAsia" w:ascii="仿宋" w:hAnsi="仿宋" w:eastAsia="仿宋" w:cs="仿宋"/>
                <w:color w:val="auto"/>
                <w:spacing w:val="0"/>
                <w:w w:val="100"/>
                <w:sz w:val="24"/>
                <w:highlight w:val="none"/>
              </w:rPr>
            </w:pP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w:t>
            </w:r>
            <w:r>
              <w:rPr>
                <w:rFonts w:hint="eastAsia" w:ascii="仿宋" w:hAnsi="仿宋" w:eastAsia="仿宋" w:cs="仿宋"/>
                <w:color w:val="auto"/>
                <w:spacing w:val="0"/>
                <w:w w:val="100"/>
                <w:sz w:val="24"/>
                <w:highlight w:val="none"/>
                <w:lang w:eastAsia="zh-CN"/>
              </w:rPr>
              <w:t>代理机构</w:t>
            </w:r>
            <w:r>
              <w:rPr>
                <w:rFonts w:hint="eastAsia" w:ascii="仿宋" w:hAnsi="仿宋" w:eastAsia="仿宋" w:cs="仿宋"/>
                <w:color w:val="auto"/>
                <w:spacing w:val="0"/>
                <w:w w:val="100"/>
                <w:sz w:val="24"/>
                <w:highlight w:val="none"/>
              </w:rPr>
              <w:t>质疑接收人、联系方式：详见公告</w:t>
            </w:r>
          </w:p>
          <w:p w14:paraId="40CCE90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要求的质疑文件（参考附件2），盖章扫描后发送，质疑的受理按答复主体划分以</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或</w:t>
            </w:r>
            <w:r>
              <w:rPr>
                <w:rFonts w:hint="eastAsia" w:ascii="仿宋" w:hAnsi="仿宋" w:eastAsia="仿宋" w:cs="仿宋"/>
                <w:b/>
                <w:color w:val="auto"/>
                <w:sz w:val="24"/>
                <w:highlight w:val="none"/>
                <w:lang w:eastAsia="zh-CN"/>
              </w:rPr>
              <w:t>代理机构</w:t>
            </w:r>
            <w:r>
              <w:rPr>
                <w:rFonts w:hint="eastAsia" w:ascii="仿宋" w:hAnsi="仿宋" w:eastAsia="仿宋" w:cs="仿宋"/>
                <w:b/>
                <w:color w:val="auto"/>
                <w:sz w:val="24"/>
                <w:highlight w:val="none"/>
              </w:rPr>
              <w:t>邮箱回复确认受理为准。</w:t>
            </w:r>
          </w:p>
          <w:p w14:paraId="205EB3B9">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进行答复。</w:t>
            </w:r>
          </w:p>
          <w:p w14:paraId="7B17CEAE">
            <w:pPr>
              <w:pStyle w:val="33"/>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进行答复。</w:t>
            </w:r>
          </w:p>
        </w:tc>
      </w:tr>
      <w:tr w14:paraId="3EE9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4AAAEFF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558" w:type="dxa"/>
            <w:vAlign w:val="center"/>
          </w:tcPr>
          <w:p w14:paraId="17FCF24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997" w:type="dxa"/>
            <w:vAlign w:val="center"/>
          </w:tcPr>
          <w:p w14:paraId="6565F483">
            <w:pPr>
              <w:spacing w:line="360" w:lineRule="auto"/>
              <w:ind w:firstLine="482" w:firstLineChars="200"/>
              <w:rPr>
                <w:rFonts w:hint="eastAsia" w:ascii="仿宋" w:hAnsi="仿宋" w:eastAsia="仿宋" w:cs="仿宋"/>
                <w:snapToGrid w:val="0"/>
                <w:color w:val="auto"/>
                <w:kern w:val="28"/>
                <w:sz w:val="24"/>
                <w:highlight w:val="none"/>
                <w:lang w:eastAsia="zh-CN"/>
              </w:rPr>
            </w:pPr>
            <w:r>
              <w:rPr>
                <w:rFonts w:hint="eastAsia" w:ascii="仿宋" w:hAnsi="仿宋" w:eastAsia="仿宋" w:cs="仿宋"/>
                <w:b/>
                <w:color w:val="auto"/>
                <w:sz w:val="24"/>
                <w:highlight w:val="none"/>
              </w:rPr>
              <w:t>本项目通用总则条款与前附表等专用特别规定有冲突之处，以专用条款（特别规定）为准</w:t>
            </w:r>
            <w:r>
              <w:rPr>
                <w:rFonts w:hint="eastAsia" w:ascii="仿宋" w:hAnsi="仿宋" w:eastAsia="仿宋" w:cs="仿宋"/>
                <w:b/>
                <w:color w:val="auto"/>
                <w:sz w:val="24"/>
                <w:highlight w:val="none"/>
                <w:lang w:eastAsia="zh-CN"/>
              </w:rPr>
              <w:t>。</w:t>
            </w:r>
          </w:p>
        </w:tc>
      </w:tr>
      <w:bookmarkEnd w:id="9"/>
    </w:tbl>
    <w:p w14:paraId="4C356FA2">
      <w:pP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402E502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6054254">
      <w:pPr>
        <w:keepNext w:val="0"/>
        <w:keepLines w:val="0"/>
        <w:pageBreakBefore w:val="0"/>
        <w:kinsoku/>
        <w:wordWrap/>
        <w:overflowPunct/>
        <w:topLinePunct w:val="0"/>
        <w:bidi w:val="0"/>
        <w:snapToGrid w:val="0"/>
        <w:spacing w:line="360" w:lineRule="auto"/>
        <w:ind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0B0356C">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交易会</w:t>
      </w:r>
      <w:r>
        <w:rPr>
          <w:rFonts w:hint="eastAsia" w:ascii="仿宋" w:hAnsi="仿宋" w:eastAsia="仿宋" w:cs="仿宋"/>
          <w:color w:val="auto"/>
          <w:sz w:val="24"/>
          <w:highlight w:val="none"/>
        </w:rPr>
        <w:t>、资格审查及信用信息查询、</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、定标、合同、验收等行为（法律、法规另有规定的，从其规定）。</w:t>
      </w:r>
    </w:p>
    <w:p w14:paraId="0220C7D5">
      <w:pPr>
        <w:keepNext w:val="0"/>
        <w:keepLines w:val="0"/>
        <w:pageBreakBefore w:val="0"/>
        <w:kinsoku/>
        <w:wordWrap/>
        <w:overflowPunct/>
        <w:topLinePunct w:val="0"/>
        <w:bidi w:val="0"/>
        <w:adjustRightIn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204AA9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w:t>
      </w:r>
    </w:p>
    <w:p w14:paraId="548094B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w:t>
      </w:r>
    </w:p>
    <w:p w14:paraId="3ED6AFE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”系指是指响应招标、参加投标竞争的法人、其他组织或者自然人。</w:t>
      </w:r>
    </w:p>
    <w:p w14:paraId="73FDEE5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E6EA6E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响应人电子签名指响应人电子公章</w:t>
      </w:r>
      <w:r>
        <w:rPr>
          <w:rFonts w:hint="eastAsia" w:ascii="仿宋" w:hAnsi="仿宋" w:eastAsia="仿宋" w:cs="仿宋"/>
          <w:color w:val="auto"/>
          <w:sz w:val="24"/>
          <w:highlight w:val="none"/>
        </w:rPr>
        <w:t>；“公章”系指单位法定名称章。因特殊原因需要使用冠以法定名称的业务专用章的，投标时须提供《业务专用章使用说明函》。</w:t>
      </w:r>
    </w:p>
    <w:p w14:paraId="393B850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w:t>
      </w:r>
      <w:r>
        <w:rPr>
          <w:rFonts w:hint="eastAsia" w:ascii="仿宋" w:hAnsi="仿宋" w:eastAsia="仿宋" w:cs="仿宋"/>
          <w:color w:val="auto"/>
          <w:sz w:val="24"/>
          <w:highlight w:val="none"/>
          <w:shd w:val="clear" w:color="auto" w:fill="auto"/>
          <w:lang w:val="en-US" w:eastAsia="zh-CN"/>
        </w:rPr>
        <w:t>乐</w:t>
      </w:r>
      <w:r>
        <w:rPr>
          <w:rFonts w:hint="eastAsia" w:ascii="仿宋" w:hAnsi="仿宋" w:eastAsia="仿宋" w:cs="仿宋"/>
          <w:color w:val="auto"/>
          <w:sz w:val="24"/>
          <w:highlight w:val="none"/>
          <w:shd w:val="clear" w:color="auto" w:fill="auto"/>
        </w:rPr>
        <w:t>采云平台（https://middle.lecaiyun.com/）</w:t>
      </w:r>
      <w:r>
        <w:rPr>
          <w:rFonts w:hint="eastAsia" w:ascii="仿宋" w:hAnsi="仿宋" w:eastAsia="仿宋" w:cs="仿宋"/>
          <w:color w:val="auto"/>
          <w:sz w:val="24"/>
          <w:highlight w:val="none"/>
        </w:rPr>
        <w:t>。</w:t>
      </w:r>
    </w:p>
    <w:p w14:paraId="3A463A9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val="0"/>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0D4431CB">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无</w:t>
      </w:r>
      <w:r>
        <w:rPr>
          <w:rFonts w:hint="eastAsia" w:ascii="仿宋" w:hAnsi="仿宋" w:eastAsia="仿宋" w:cs="仿宋"/>
          <w:color w:val="auto"/>
          <w:sz w:val="24"/>
          <w:highlight w:val="none"/>
        </w:rPr>
        <w:cr/>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4.询问、质疑、投诉</w:t>
      </w:r>
    </w:p>
    <w:p w14:paraId="3E89DE4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03796D7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16AEACA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481ED676">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11F089B3">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响应人认为交易活动不符合交易文件规定的可以向交易发起人提出异议。 对交易文件有异议的应当在交易文件规定的截止时间前提出，对交易会有异议的应当在交易会现场提出，对评审结果有异议的应当在成交候选人公示期间提出。</w:t>
      </w:r>
      <w:r>
        <w:rPr>
          <w:rFonts w:hint="eastAsia" w:ascii="仿宋" w:hAnsi="仿宋" w:eastAsia="仿宋" w:cs="仿宋"/>
          <w:color w:val="auto"/>
          <w:sz w:val="24"/>
          <w:highlight w:val="none"/>
        </w:rPr>
        <w:t>以书面形式向</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提出质疑，否则，</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不予受理：</w:t>
      </w:r>
    </w:p>
    <w:p w14:paraId="49E2CBED">
      <w:pPr>
        <w:pStyle w:val="1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14:paraId="3493BAD9">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7A309172">
      <w:pPr>
        <w:pStyle w:val="33"/>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428FB9B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14:paraId="7F960B4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594FF40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0F8163C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772D64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55D0F26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057CA13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78C1D29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CB7F33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2B37554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4.2.4交易发起人或者代理机构应当在收到供应商的书面质疑后</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日内作出答复，并以书面形式通知质疑供应商和其他与质疑处理结果有利害关系的政府采购当事人，但答复的内容不得涉及商业秘密。</w:t>
      </w:r>
    </w:p>
    <w:p w14:paraId="031D6307">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4.2.5询问或者质疑事项可能影响采购结果的，交易发起人应当暂停签订合同，已经签订合同的，应当中止履行合同。</w:t>
      </w:r>
    </w:p>
    <w:p w14:paraId="54E779E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14:paraId="1BD2F97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4.3.1质疑供应商对交易发起人、代理机构的答复不满意或者交易发起人、代理机构未在规定的时间内作出答复的，可以在答复期满后</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lang w:val="zh-CN"/>
        </w:rPr>
        <w:t>日内向同级政府采购监督管理部门提出投诉。</w:t>
      </w:r>
    </w:p>
    <w:p w14:paraId="71281C5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14:paraId="3E090EC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14:paraId="2432CE4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4.3.5 以联合体形式参加政府采购活动的，其投诉应当由组成联合体的所有供应商共同提出。</w:t>
      </w:r>
    </w:p>
    <w:p w14:paraId="7959E4A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31D8ADBD">
      <w:pPr>
        <w:pStyle w:val="136"/>
        <w:snapToGrid w:val="0"/>
        <w:spacing w:before="0"/>
        <w:ind w:firstLine="360"/>
        <w:rPr>
          <w:rFonts w:hint="eastAsia" w:ascii="仿宋" w:hAnsi="仿宋" w:eastAsia="仿宋" w:cs="仿宋"/>
          <w:color w:val="auto"/>
          <w:sz w:val="18"/>
          <w:szCs w:val="18"/>
          <w:highlight w:val="none"/>
        </w:rPr>
      </w:pPr>
    </w:p>
    <w:p w14:paraId="1937BBB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4A9CFD8C">
      <w:pPr>
        <w:pStyle w:val="33"/>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6FEC3DF3">
      <w:pPr>
        <w:pStyle w:val="33"/>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53C4DA14">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14:paraId="7A1ECE4C">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w:t>
      </w:r>
    </w:p>
    <w:p w14:paraId="5CAE6386">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B8C9E50">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w:t>
      </w:r>
      <w:r>
        <w:rPr>
          <w:rFonts w:hint="eastAsia" w:ascii="仿宋" w:hAnsi="仿宋" w:eastAsia="仿宋" w:cs="仿宋"/>
          <w:color w:val="auto"/>
          <w:sz w:val="24"/>
          <w:szCs w:val="24"/>
          <w:highlight w:val="none"/>
          <w:lang w:eastAsia="zh-CN"/>
        </w:rPr>
        <w:t>评审办法</w:t>
      </w:r>
      <w:r>
        <w:rPr>
          <w:rFonts w:hint="eastAsia" w:ascii="仿宋" w:hAnsi="仿宋" w:eastAsia="仿宋" w:cs="仿宋"/>
          <w:color w:val="auto"/>
          <w:sz w:val="24"/>
          <w:szCs w:val="24"/>
          <w:highlight w:val="none"/>
        </w:rPr>
        <w:t>；</w:t>
      </w:r>
    </w:p>
    <w:p w14:paraId="6127BD48">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F46B240">
      <w:pPr>
        <w:pStyle w:val="33"/>
        <w:keepNext w:val="0"/>
        <w:keepLines w:val="0"/>
        <w:pageBreakBefore w:val="0"/>
        <w:widowControl w:val="0"/>
        <w:tabs>
          <w:tab w:val="left" w:pos="8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8DF9AB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489E74D5">
      <w:pPr>
        <w:pStyle w:val="33"/>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75004449">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，若有问题需要澄清，应于投标截止时间前，以书面形式向</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提出。</w:t>
      </w:r>
    </w:p>
    <w:p w14:paraId="59FB85BB">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。依法应当公告的，将按规定公告，同时视情况延长投标截止时间和开标时间。该澄清或者修改的内容为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78B83C3A">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FC8FD05">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B4571BC">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6D45D690">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5556F7CB">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619311E">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组织潜在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须知前附表的规定参加现场考察或者开标前答疑会。</w:t>
      </w:r>
    </w:p>
    <w:p w14:paraId="2BABB859">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w:t>
      </w:r>
      <w:r>
        <w:rPr>
          <w:rFonts w:hint="eastAsia" w:ascii="仿宋" w:hAnsi="仿宋" w:eastAsia="仿宋" w:cs="仿宋"/>
          <w:b/>
          <w:color w:val="auto"/>
          <w:kern w:val="28"/>
          <w:sz w:val="24"/>
          <w:szCs w:val="24"/>
          <w:highlight w:val="none"/>
          <w:lang w:val="en-US" w:eastAsia="zh-CN"/>
        </w:rPr>
        <w:t>响应</w:t>
      </w:r>
      <w:r>
        <w:rPr>
          <w:rFonts w:hint="eastAsia" w:ascii="仿宋" w:hAnsi="仿宋" w:eastAsia="仿宋" w:cs="仿宋"/>
          <w:b/>
          <w:color w:val="auto"/>
          <w:kern w:val="28"/>
          <w:sz w:val="24"/>
          <w:szCs w:val="24"/>
          <w:highlight w:val="none"/>
        </w:rPr>
        <w:t>保证金</w:t>
      </w:r>
    </w:p>
    <w:p w14:paraId="2AB12646">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按交易公告要求按时足额缴纳。</w:t>
      </w:r>
    </w:p>
    <w:p w14:paraId="7D5BAAC2">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16B62FF9">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与采购有关的来往通知、函件和文件均应使用中文。</w:t>
      </w:r>
    </w:p>
    <w:p w14:paraId="46CF48AE">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1CB73BF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038580C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11.1.1</w:t>
      </w:r>
      <w:r>
        <w:rPr>
          <w:rFonts w:hint="eastAsia" w:ascii="仿宋" w:hAnsi="仿宋" w:eastAsia="仿宋" w:cs="仿宋"/>
          <w:color w:val="auto"/>
          <w:kern w:val="0"/>
          <w:sz w:val="24"/>
          <w:highlight w:val="none"/>
          <w:lang w:val="zh-CN"/>
        </w:rPr>
        <w:t>有关响应人资质资格的证明证书：</w:t>
      </w:r>
    </w:p>
    <w:p w14:paraId="5433457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a、法人营业执照副本复印件、</w:t>
      </w:r>
      <w:r>
        <w:rPr>
          <w:rFonts w:hint="eastAsia" w:ascii="仿宋" w:hAnsi="仿宋" w:eastAsia="仿宋" w:cs="仿宋"/>
          <w:color w:val="auto"/>
          <w:kern w:val="0"/>
          <w:sz w:val="24"/>
          <w:highlight w:val="none"/>
          <w:lang w:val="en-US" w:eastAsia="zh-CN"/>
        </w:rPr>
        <w:t>经营许可证</w:t>
      </w:r>
      <w:r>
        <w:rPr>
          <w:rFonts w:hint="eastAsia" w:ascii="仿宋" w:hAnsi="仿宋" w:eastAsia="仿宋" w:cs="仿宋"/>
          <w:color w:val="auto"/>
          <w:kern w:val="0"/>
          <w:sz w:val="24"/>
          <w:highlight w:val="none"/>
          <w:lang w:val="zh-CN"/>
        </w:rPr>
        <w:t>（加盖公章）；</w:t>
      </w:r>
    </w:p>
    <w:p w14:paraId="4F11FB9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b、润滑油经销资格</w:t>
      </w:r>
      <w:r>
        <w:rPr>
          <w:rFonts w:hint="eastAsia" w:ascii="仿宋" w:hAnsi="仿宋" w:eastAsia="仿宋" w:cs="仿宋"/>
          <w:color w:val="auto"/>
          <w:kern w:val="0"/>
          <w:sz w:val="24"/>
          <w:highlight w:val="none"/>
          <w:lang w:val="en-US" w:eastAsia="zh-CN"/>
        </w:rPr>
        <w:t>证明；</w:t>
      </w:r>
    </w:p>
    <w:p w14:paraId="0DD40CB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kern w:val="0"/>
          <w:sz w:val="24"/>
          <w:highlight w:val="none"/>
          <w:lang w:val="zh-CN"/>
        </w:rPr>
        <w:t>、项目业绩证明合同复印件（加盖公章）；</w:t>
      </w:r>
    </w:p>
    <w:p w14:paraId="3C4FD48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kern w:val="0"/>
          <w:sz w:val="24"/>
          <w:highlight w:val="none"/>
          <w:lang w:val="zh-CN"/>
        </w:rPr>
        <w:t>、须满足此油品采购规格及具有足够的供应、储存、运输及技术条件的能力；</w:t>
      </w:r>
    </w:p>
    <w:p w14:paraId="06BD689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szCs w:val="28"/>
          <w:highlight w:val="none"/>
          <w:lang w:val="en-US" w:eastAsia="zh-CN" w:bidi="ar-SA"/>
        </w:rPr>
        <w:t>e</w:t>
      </w:r>
      <w:r>
        <w:rPr>
          <w:rFonts w:hint="eastAsia" w:ascii="仿宋" w:hAnsi="仿宋" w:eastAsia="仿宋" w:cs="仿宋"/>
          <w:color w:val="auto"/>
          <w:kern w:val="0"/>
          <w:sz w:val="24"/>
          <w:highlight w:val="none"/>
          <w:lang w:val="zh-CN"/>
        </w:rPr>
        <w:t>、</w:t>
      </w:r>
      <w:r>
        <w:rPr>
          <w:rFonts w:hint="eastAsia" w:ascii="仿宋" w:hAnsi="仿宋" w:eastAsia="仿宋" w:cs="仿宋"/>
          <w:snapToGrid w:val="0"/>
          <w:color w:val="auto"/>
          <w:kern w:val="28"/>
          <w:sz w:val="24"/>
          <w:szCs w:val="28"/>
          <w:highlight w:val="none"/>
          <w:lang w:val="en-US" w:eastAsia="zh-CN" w:bidi="ar-SA"/>
        </w:rPr>
        <w:t>增值税一般纳税人证明文件</w:t>
      </w:r>
      <w:r>
        <w:rPr>
          <w:rFonts w:hint="eastAsia" w:ascii="仿宋" w:hAnsi="仿宋" w:eastAsia="仿宋" w:cs="仿宋"/>
          <w:color w:val="auto"/>
          <w:sz w:val="24"/>
          <w:highlight w:val="none"/>
        </w:rPr>
        <w:t>；</w:t>
      </w:r>
    </w:p>
    <w:p w14:paraId="14ED48C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f</w:t>
      </w:r>
      <w:r>
        <w:rPr>
          <w:rFonts w:hint="eastAsia" w:ascii="仿宋" w:hAnsi="仿宋" w:eastAsia="仿宋" w:cs="仿宋"/>
          <w:color w:val="auto"/>
          <w:kern w:val="0"/>
          <w:sz w:val="24"/>
          <w:highlight w:val="none"/>
          <w:lang w:val="zh-CN"/>
        </w:rPr>
        <w:t>、</w:t>
      </w:r>
      <w:r>
        <w:rPr>
          <w:rFonts w:hint="eastAsia" w:ascii="仿宋" w:hAnsi="仿宋" w:eastAsia="仿宋" w:cs="仿宋"/>
          <w:b w:val="0"/>
          <w:bCs w:val="0"/>
          <w:color w:val="auto"/>
          <w:kern w:val="2"/>
          <w:sz w:val="24"/>
          <w:szCs w:val="24"/>
          <w:highlight w:val="none"/>
          <w:lang w:val="en-US" w:eastAsia="zh-CN" w:bidi="ar-SA"/>
        </w:rPr>
        <w:t>保证金凭证原件复印件;</w:t>
      </w:r>
    </w:p>
    <w:p w14:paraId="281555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g</w:t>
      </w:r>
      <w:r>
        <w:rPr>
          <w:rFonts w:hint="eastAsia" w:ascii="仿宋" w:hAnsi="仿宋" w:eastAsia="仿宋" w:cs="仿宋"/>
          <w:color w:val="auto"/>
          <w:kern w:val="0"/>
          <w:sz w:val="24"/>
          <w:highlight w:val="none"/>
          <w:lang w:val="zh-CN"/>
        </w:rPr>
        <w:t>、</w:t>
      </w:r>
      <w:r>
        <w:rPr>
          <w:rFonts w:hint="eastAsia" w:ascii="仿宋" w:hAnsi="仿宋" w:eastAsia="仿宋" w:cs="仿宋"/>
          <w:b w:val="0"/>
          <w:bCs w:val="0"/>
          <w:color w:val="auto"/>
          <w:kern w:val="2"/>
          <w:sz w:val="24"/>
          <w:szCs w:val="24"/>
          <w:highlight w:val="none"/>
          <w:lang w:val="en-US" w:eastAsia="zh-CN" w:bidi="ar-SA"/>
        </w:rPr>
        <w:t>未被“信用中国”（www.creditchina.gov.cn）列入失信被执行人。</w:t>
      </w:r>
    </w:p>
    <w:p w14:paraId="75F125B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h</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en-US" w:eastAsia="zh-CN"/>
        </w:rPr>
        <w:t>对接负责人的身份证复印件及在本投标单位公司的社保缴纳证明</w:t>
      </w:r>
      <w:r>
        <w:rPr>
          <w:rFonts w:hint="eastAsia" w:ascii="仿宋" w:hAnsi="仿宋" w:eastAsia="仿宋" w:cs="仿宋"/>
          <w:color w:val="auto"/>
          <w:sz w:val="24"/>
          <w:highlight w:val="none"/>
        </w:rPr>
        <w:t>。</w:t>
      </w:r>
    </w:p>
    <w:p w14:paraId="2DF54A9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r>
        <w:rPr>
          <w:rFonts w:hint="eastAsia" w:ascii="仿宋" w:hAnsi="仿宋" w:eastAsia="仿宋" w:cs="仿宋"/>
          <w:color w:val="auto"/>
          <w:sz w:val="24"/>
          <w:highlight w:val="none"/>
          <w:lang w:val="zh-CN"/>
        </w:rPr>
        <w:t>：</w:t>
      </w:r>
    </w:p>
    <w:p w14:paraId="40B08CC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11.2.1</w:t>
      </w:r>
      <w:r>
        <w:rPr>
          <w:rFonts w:hint="eastAsia" w:ascii="仿宋" w:hAnsi="仿宋" w:eastAsia="仿宋" w:cs="仿宋"/>
          <w:color w:val="auto"/>
          <w:kern w:val="0"/>
          <w:sz w:val="24"/>
          <w:highlight w:val="none"/>
          <w:lang w:val="zh-CN"/>
        </w:rPr>
        <w:t>响应人代表身份证明资料包括：响应人代表的有效身份证件复印件；如委托的，还需提供有效的法定代表人授权委托书（格式详见附件），需敲公章。</w:t>
      </w:r>
    </w:p>
    <w:p w14:paraId="6BBB22F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11.2.2</w:t>
      </w:r>
      <w:r>
        <w:rPr>
          <w:rFonts w:hint="eastAsia" w:ascii="仿宋" w:hAnsi="仿宋" w:eastAsia="仿宋" w:cs="仿宋"/>
          <w:color w:val="auto"/>
          <w:kern w:val="0"/>
          <w:sz w:val="24"/>
          <w:highlight w:val="none"/>
          <w:lang w:val="zh-CN"/>
        </w:rPr>
        <w:t>诚信承诺书；（格式详见附件）</w:t>
      </w:r>
    </w:p>
    <w:p w14:paraId="72A276A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11.2.3</w:t>
      </w:r>
      <w:r>
        <w:rPr>
          <w:rFonts w:hint="eastAsia" w:ascii="仿宋" w:hAnsi="仿宋" w:eastAsia="仿宋" w:cs="仿宋"/>
          <w:color w:val="auto"/>
          <w:kern w:val="0"/>
          <w:sz w:val="24"/>
          <w:highlight w:val="none"/>
          <w:lang w:val="zh-CN"/>
        </w:rPr>
        <w:t>廉政承诺书；（格式详见附件）</w:t>
      </w:r>
    </w:p>
    <w:p w14:paraId="51E6CD0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11.2.4</w:t>
      </w:r>
      <w:r>
        <w:rPr>
          <w:rFonts w:hint="eastAsia" w:ascii="仿宋" w:hAnsi="仿宋" w:eastAsia="仿宋" w:cs="仿宋"/>
          <w:color w:val="auto"/>
          <w:kern w:val="0"/>
          <w:sz w:val="24"/>
          <w:highlight w:val="none"/>
          <w:lang w:val="zh-CN"/>
        </w:rPr>
        <w:t>响应人基本情况；</w:t>
      </w:r>
      <w:r>
        <w:rPr>
          <w:rFonts w:hint="eastAsia" w:ascii="仿宋" w:hAnsi="仿宋" w:eastAsia="仿宋" w:cs="仿宋"/>
          <w:color w:val="auto"/>
          <w:kern w:val="0"/>
          <w:sz w:val="24"/>
          <w:highlight w:val="none"/>
          <w:lang w:val="zh-CN"/>
        </w:rPr>
        <w:tab/>
      </w:r>
    </w:p>
    <w:p w14:paraId="1EB946A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11.2.5</w:t>
      </w:r>
      <w:r>
        <w:rPr>
          <w:rFonts w:hint="eastAsia" w:ascii="仿宋" w:hAnsi="仿宋" w:eastAsia="仿宋" w:cs="仿宋"/>
          <w:color w:val="auto"/>
          <w:kern w:val="0"/>
          <w:sz w:val="24"/>
          <w:highlight w:val="none"/>
          <w:lang w:val="zh-CN"/>
        </w:rPr>
        <w:t>响应人须提供正品油品承诺函（要求每单批次油品供货时提供厂家的油品生产批号正品证明及合格证）（格式详见附件）</w:t>
      </w:r>
    </w:p>
    <w:p w14:paraId="2833B1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11.2.6</w:t>
      </w:r>
      <w:r>
        <w:rPr>
          <w:rFonts w:hint="eastAsia" w:ascii="仿宋" w:hAnsi="仿宋" w:eastAsia="仿宋" w:cs="仿宋"/>
          <w:color w:val="auto"/>
          <w:kern w:val="0"/>
          <w:sz w:val="24"/>
          <w:highlight w:val="none"/>
          <w:lang w:val="zh-CN"/>
        </w:rPr>
        <w:t>响应人需提供招标需求供货承诺函（格式详见附件）</w:t>
      </w:r>
    </w:p>
    <w:p w14:paraId="36D93A1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11.2.7</w:t>
      </w:r>
      <w:r>
        <w:rPr>
          <w:rFonts w:hint="eastAsia" w:ascii="仿宋" w:hAnsi="仿宋" w:eastAsia="仿宋" w:cs="仿宋"/>
          <w:color w:val="auto"/>
          <w:kern w:val="0"/>
          <w:sz w:val="24"/>
          <w:highlight w:val="none"/>
          <w:lang w:val="zh-CN"/>
        </w:rPr>
        <w:t>各种优惠承诺（优惠条件事项不能包括采购项目本身所包括涉及的采购事项。响应人不能以“赠送、赠予”等任何名义提供货物和服务以规避招标文件的约束）。</w:t>
      </w:r>
    </w:p>
    <w:p w14:paraId="3D3D0A4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11.2.8</w:t>
      </w:r>
      <w:r>
        <w:rPr>
          <w:rFonts w:hint="eastAsia" w:ascii="仿宋" w:hAnsi="仿宋" w:eastAsia="仿宋" w:cs="仿宋"/>
          <w:color w:val="auto"/>
          <w:kern w:val="0"/>
          <w:sz w:val="24"/>
          <w:highlight w:val="none"/>
          <w:lang w:val="zh-CN"/>
        </w:rPr>
        <w:t>响应人需要说明的其它文件和资料。</w:t>
      </w:r>
    </w:p>
    <w:p w14:paraId="5A0D731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09BF5984">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11.3.1</w:t>
      </w:r>
      <w:r>
        <w:rPr>
          <w:rFonts w:hint="eastAsia" w:ascii="仿宋" w:hAnsi="仿宋" w:eastAsia="仿宋" w:cs="仿宋"/>
          <w:b w:val="0"/>
          <w:bCs/>
          <w:color w:val="auto"/>
          <w:sz w:val="24"/>
          <w:highlight w:val="none"/>
          <w:lang w:eastAsia="zh-CN"/>
        </w:rPr>
        <w:t xml:space="preserve"> 投标函；（格式详见附件）</w:t>
      </w:r>
    </w:p>
    <w:p w14:paraId="56EA1AA8">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11.3.2</w:t>
      </w:r>
      <w:r>
        <w:rPr>
          <w:rFonts w:hint="eastAsia" w:ascii="仿宋" w:hAnsi="仿宋" w:eastAsia="仿宋" w:cs="仿宋"/>
          <w:b w:val="0"/>
          <w:bCs/>
          <w:color w:val="auto"/>
          <w:sz w:val="24"/>
          <w:highlight w:val="none"/>
          <w:lang w:eastAsia="zh-CN"/>
        </w:rPr>
        <w:t>报价明细单；（格式详见附件）</w:t>
      </w:r>
    </w:p>
    <w:p w14:paraId="06C60038">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11.3.3</w:t>
      </w:r>
      <w:r>
        <w:rPr>
          <w:rFonts w:hint="eastAsia" w:ascii="仿宋" w:hAnsi="仿宋" w:eastAsia="仿宋" w:cs="仿宋"/>
          <w:b w:val="0"/>
          <w:bCs/>
          <w:color w:val="auto"/>
          <w:sz w:val="24"/>
          <w:highlight w:val="none"/>
          <w:lang w:eastAsia="zh-CN"/>
        </w:rPr>
        <w:t>响应人需要说明的其它文件和资料。</w:t>
      </w:r>
    </w:p>
    <w:p w14:paraId="040D2BBF">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w:t>
      </w:r>
      <w:r>
        <w:rPr>
          <w:rFonts w:hint="eastAsia" w:ascii="仿宋" w:hAnsi="仿宋" w:eastAsia="仿宋" w:cs="仿宋"/>
          <w:b/>
          <w:color w:val="auto"/>
          <w:sz w:val="24"/>
          <w:highlight w:val="none"/>
          <w:lang w:eastAsia="zh-CN"/>
        </w:rPr>
        <w:t>交易发起人</w:t>
      </w:r>
      <w:r>
        <w:rPr>
          <w:rFonts w:hint="eastAsia" w:ascii="仿宋" w:hAnsi="仿宋" w:eastAsia="仿宋" w:cs="仿宋"/>
          <w:b/>
          <w:color w:val="auto"/>
          <w:sz w:val="24"/>
          <w:highlight w:val="none"/>
        </w:rPr>
        <w:t>不能接受的附加条件的，投标无效；</w:t>
      </w:r>
    </w:p>
    <w:p w14:paraId="43981838">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提供虚假材料投标的，投标无效。</w:t>
      </w:r>
    </w:p>
    <w:p w14:paraId="7F63E357">
      <w:pPr>
        <w:pStyle w:val="136"/>
        <w:keepNext w:val="0"/>
        <w:keepLines w:val="0"/>
        <w:pageBreakBefore w:val="0"/>
        <w:kinsoku/>
        <w:wordWrap/>
        <w:overflowPunct/>
        <w:topLinePunct w:val="0"/>
        <w:bidi w:val="0"/>
        <w:adjustRightInd w:val="0"/>
        <w:snapToGrid w:val="0"/>
        <w:spacing w:before="0"/>
        <w:ind w:firstLine="482" w:firstLineChars="20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26F31CDB">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64698F57">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12.2响应人进行电子投标应安装客户端软件—“政采云电子交易客户端”，并按照交易文件和电子交易平台的要求编制并加密响应文件。响应人未按规定加密的响应文件，电子交易平台将拒收并提示。</w:t>
      </w:r>
    </w:p>
    <w:p w14:paraId="41723055">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FC12B9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6A03699B">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响应人</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要求签署、盖章的，其投标无效</w:t>
      </w:r>
      <w:r>
        <w:rPr>
          <w:rFonts w:hint="eastAsia" w:ascii="仿宋" w:hAnsi="仿宋" w:eastAsia="仿宋" w:cs="仿宋"/>
          <w:color w:val="auto"/>
          <w:szCs w:val="24"/>
          <w:highlight w:val="none"/>
        </w:rPr>
        <w:t>。</w:t>
      </w:r>
    </w:p>
    <w:p w14:paraId="53F9E199">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14:paraId="11990F56">
      <w:pPr>
        <w:pStyle w:val="136"/>
        <w:keepNext w:val="0"/>
        <w:keepLines w:val="0"/>
        <w:pageBreakBefore w:val="0"/>
        <w:kinsoku/>
        <w:wordWrap/>
        <w:overflowPunct/>
        <w:topLinePunct w:val="0"/>
        <w:bidi w:val="0"/>
        <w:adjustRightInd w:val="0"/>
        <w:snapToGri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2C9C11C5">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5A6B1649">
      <w:pPr>
        <w:pStyle w:val="136"/>
        <w:keepNext w:val="0"/>
        <w:keepLines w:val="0"/>
        <w:pageBreakBefore w:val="0"/>
        <w:kinsoku/>
        <w:wordWrap/>
        <w:overflowPunct/>
        <w:topLinePunct w:val="0"/>
        <w:bidi w:val="0"/>
        <w:adjustRightInd w:val="0"/>
        <w:spacing w:before="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3846111A">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，将妥善保存并即时向供应商发出确认回执通知。在投标截止时间前，除供应商补充、修改或者撤回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0F5713EA">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w:t>
      </w:r>
      <w:r>
        <w:rPr>
          <w:rFonts w:hint="eastAsia" w:ascii="仿宋" w:hAnsi="仿宋" w:eastAsia="仿宋" w:cs="仿宋"/>
          <w:color w:val="auto"/>
          <w:szCs w:val="24"/>
          <w:highlight w:val="none"/>
          <w:lang w:eastAsia="zh-CN"/>
        </w:rPr>
        <w:t>交易发起人</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响应人</w:t>
      </w:r>
      <w:r>
        <w:rPr>
          <w:rFonts w:hint="eastAsia" w:ascii="仿宋" w:hAnsi="仿宋" w:eastAsia="仿宋" w:cs="仿宋"/>
          <w:color w:val="auto"/>
          <w:szCs w:val="24"/>
          <w:highlight w:val="none"/>
        </w:rPr>
        <w:t>以前在投标截止期方面的全部权利、责任和义务，将适用于延长至新的投标截止期。</w:t>
      </w:r>
    </w:p>
    <w:p w14:paraId="77BA102D">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15.备份</w:t>
      </w:r>
      <w:r>
        <w:rPr>
          <w:rFonts w:hint="eastAsia" w:ascii="仿宋" w:hAnsi="仿宋" w:eastAsia="仿宋" w:cs="仿宋"/>
          <w:b/>
          <w:color w:val="auto"/>
          <w:sz w:val="24"/>
          <w:szCs w:val="24"/>
          <w:highlight w:val="none"/>
          <w:lang w:eastAsia="zh-CN"/>
        </w:rPr>
        <w:t>响应文件</w:t>
      </w:r>
    </w:p>
    <w:p w14:paraId="3672E294">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后，还可以在投标截止时间前直接提交或者以邮政快递方式递交备份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1份，</w:t>
      </w:r>
      <w:r>
        <w:rPr>
          <w:rFonts w:hint="eastAsia" w:ascii="仿宋" w:hAnsi="仿宋" w:eastAsia="仿宋" w:cs="仿宋"/>
          <w:b/>
          <w:color w:val="auto"/>
          <w:sz w:val="24"/>
          <w:szCs w:val="24"/>
          <w:highlight w:val="none"/>
        </w:rPr>
        <w:t>但</w:t>
      </w:r>
      <w:r>
        <w:rPr>
          <w:rFonts w:hint="eastAsia" w:ascii="仿宋" w:hAnsi="仿宋" w:eastAsia="仿宋" w:cs="仿宋"/>
          <w:b/>
          <w:color w:val="auto"/>
          <w:sz w:val="24"/>
          <w:szCs w:val="24"/>
          <w:highlight w:val="none"/>
          <w:lang w:eastAsia="zh-CN"/>
        </w:rPr>
        <w:t>交易发起人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响应人</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p>
    <w:p w14:paraId="3A696028">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应当密封包装并在包装上加盖公章并注明投标项目名称，</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将被视为无效或者被拒绝接收。</w:t>
      </w:r>
    </w:p>
    <w:p w14:paraId="45AF7F8D">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应于投标截止时间前在</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中载明的开标地点将备份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提交给</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3B698757">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按要求密封和标记，再进行邮政快递包装后邮寄。备份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须在投标截止时间之前送达</w:t>
      </w:r>
      <w:r>
        <w:rPr>
          <w:rFonts w:hint="eastAsia" w:ascii="仿宋" w:hAnsi="仿宋" w:eastAsia="仿宋" w:cs="仿宋"/>
          <w:snapToGrid/>
          <w:color w:val="auto"/>
          <w:sz w:val="24"/>
          <w:szCs w:val="24"/>
          <w:highlight w:val="none"/>
          <w:lang w:eastAsia="zh-CN"/>
        </w:rPr>
        <w:t>交易文件</w:t>
      </w:r>
      <w:r>
        <w:rPr>
          <w:rFonts w:hint="eastAsia" w:ascii="仿宋" w:hAnsi="仿宋" w:eastAsia="仿宋" w:cs="仿宋"/>
          <w:snapToGrid/>
          <w:color w:val="auto"/>
          <w:sz w:val="24"/>
          <w:szCs w:val="24"/>
          <w:highlight w:val="none"/>
        </w:rPr>
        <w:t>第二部分</w:t>
      </w:r>
      <w:r>
        <w:rPr>
          <w:rFonts w:hint="eastAsia" w:ascii="仿宋" w:hAnsi="仿宋" w:eastAsia="仿宋" w:cs="仿宋"/>
          <w:snapToGrid/>
          <w:color w:val="auto"/>
          <w:sz w:val="24"/>
          <w:szCs w:val="24"/>
          <w:highlight w:val="none"/>
          <w:lang w:eastAsia="zh-CN"/>
        </w:rPr>
        <w:t>响应人</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eastAsia="zh-CN"/>
        </w:rPr>
        <w:t>响应文件</w:t>
      </w:r>
      <w:r>
        <w:rPr>
          <w:rFonts w:hint="eastAsia" w:ascii="仿宋" w:hAnsi="仿宋" w:eastAsia="仿宋" w:cs="仿宋"/>
          <w:snapToGrid/>
          <w:color w:val="auto"/>
          <w:sz w:val="24"/>
          <w:szCs w:val="24"/>
          <w:highlight w:val="none"/>
        </w:rPr>
        <w:t>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。邮寄过程中，电子备份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发生泄露、遗失、损坏或延期送达等情况的，由</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自行负责。</w:t>
      </w:r>
    </w:p>
    <w:p w14:paraId="151E225E">
      <w:pPr>
        <w:pStyle w:val="33"/>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响应人</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，未在电子交易平台传输递交</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的，投标无效。</w:t>
      </w:r>
    </w:p>
    <w:p w14:paraId="646278B4">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574910C4">
      <w:pPr>
        <w:pStyle w:val="16"/>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0D412F1A">
      <w:pPr>
        <w:pStyle w:val="136"/>
        <w:keepNext w:val="0"/>
        <w:keepLines w:val="0"/>
        <w:pageBreakBefore w:val="0"/>
        <w:kinsoku/>
        <w:wordWrap/>
        <w:overflowPunct/>
        <w:topLinePunct w:val="0"/>
        <w:bidi w:val="0"/>
        <w:adjustRightInd w:val="0"/>
        <w:spacing w:before="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14225B9">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响应人</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诺的投标有效期少于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中载明的投标有效期的，投标无效。</w:t>
      </w:r>
    </w:p>
    <w:p w14:paraId="52D050B2">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合格投递后，自投标截止日期起，在投标有效期内有效。</w:t>
      </w:r>
    </w:p>
    <w:p w14:paraId="3440D568">
      <w:pPr>
        <w:pStyle w:val="136"/>
        <w:keepNext w:val="0"/>
        <w:keepLines w:val="0"/>
        <w:pageBreakBefore w:val="0"/>
        <w:kinsoku/>
        <w:wordWrap/>
        <w:overflowPunct/>
        <w:topLinePunct w:val="0"/>
        <w:bidi w:val="0"/>
        <w:adjustRightIn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拒绝延长的，其投标无效。</w:t>
      </w:r>
    </w:p>
    <w:p w14:paraId="2BEC12C5">
      <w:pPr>
        <w:pStyle w:val="136"/>
        <w:spacing w:before="0"/>
        <w:ind w:firstLine="643"/>
        <w:rPr>
          <w:rFonts w:hint="eastAsia" w:ascii="仿宋" w:hAnsi="仿宋" w:eastAsia="仿宋" w:cs="仿宋"/>
          <w:b/>
          <w:color w:val="auto"/>
          <w:sz w:val="32"/>
          <w:highlight w:val="none"/>
        </w:rPr>
      </w:pPr>
    </w:p>
    <w:p w14:paraId="581D3789">
      <w:pPr>
        <w:pStyle w:val="136"/>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66EDFBC">
      <w:pPr>
        <w:pStyle w:val="558"/>
        <w:keepNext w:val="0"/>
        <w:keepLines w:val="0"/>
        <w:pageBreakBefore w:val="0"/>
        <w:kinsoku/>
        <w:wordWrap/>
        <w:overflowPunct/>
        <w:topLinePunct w:val="0"/>
        <w:bidi w:val="0"/>
        <w:adjustRightInd w:val="0"/>
        <w:spacing w:before="0" w:beforeAutospacing="0" w:line="360" w:lineRule="auto"/>
        <w:ind w:left="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11E65A9">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不足3家的，不得开标。</w:t>
      </w:r>
    </w:p>
    <w:p w14:paraId="0C445055">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8.2开标时，电子交易平台按开标时间自动提取所有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4CFE5C6F">
      <w:pPr>
        <w:pStyle w:val="558"/>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响应人</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2698976F">
      <w:pPr>
        <w:keepNext w:val="0"/>
        <w:keepLines w:val="0"/>
        <w:pageBreakBefore w:val="0"/>
        <w:widowControl/>
        <w:kinsoku/>
        <w:wordWrap/>
        <w:overflowPunct/>
        <w:topLinePunct w:val="0"/>
        <w:bidi w:val="0"/>
        <w:adjustRightInd w:val="0"/>
        <w:spacing w:beforeAutospacing="0" w:line="360" w:lineRule="auto"/>
        <w:ind w:firstLine="482" w:firstLineChars="200"/>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5D1B1822">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w:t>
      </w:r>
      <w:r>
        <w:rPr>
          <w:rFonts w:hint="eastAsia" w:ascii="仿宋" w:hAnsi="仿宋" w:eastAsia="仿宋" w:cs="仿宋"/>
          <w:color w:val="auto"/>
          <w:kern w:val="0"/>
          <w:szCs w:val="24"/>
          <w:highlight w:val="none"/>
          <w:lang w:eastAsia="zh-CN"/>
        </w:rPr>
        <w:t>交易发起人</w:t>
      </w:r>
      <w:r>
        <w:rPr>
          <w:rFonts w:hint="eastAsia" w:ascii="仿宋" w:hAnsi="仿宋" w:eastAsia="仿宋" w:cs="仿宋"/>
          <w:color w:val="auto"/>
          <w:kern w:val="0"/>
          <w:szCs w:val="24"/>
          <w:highlight w:val="none"/>
        </w:rPr>
        <w:t>或</w:t>
      </w:r>
      <w:r>
        <w:rPr>
          <w:rFonts w:hint="eastAsia" w:ascii="仿宋" w:hAnsi="仿宋" w:eastAsia="仿宋" w:cs="仿宋"/>
          <w:color w:val="auto"/>
          <w:kern w:val="0"/>
          <w:szCs w:val="24"/>
          <w:highlight w:val="none"/>
          <w:lang w:eastAsia="zh-CN"/>
        </w:rPr>
        <w:t>代理机构</w:t>
      </w:r>
      <w:r>
        <w:rPr>
          <w:rFonts w:hint="eastAsia" w:ascii="仿宋" w:hAnsi="仿宋" w:eastAsia="仿宋" w:cs="仿宋"/>
          <w:color w:val="auto"/>
          <w:kern w:val="0"/>
          <w:szCs w:val="24"/>
          <w:highlight w:val="none"/>
        </w:rPr>
        <w:t>将依法对</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的资格进行审查。</w:t>
      </w:r>
    </w:p>
    <w:p w14:paraId="18F0B3E9">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依据法律法规和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的规定，对</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的基本资格条件、特定资格条件进行审查。</w:t>
      </w:r>
    </w:p>
    <w:p w14:paraId="678E396D">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19.3</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中规定的资格要求，其投标无效。</w:t>
      </w:r>
    </w:p>
    <w:p w14:paraId="7961DD9D">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或</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告知其未通过的原因。</w:t>
      </w:r>
    </w:p>
    <w:p w14:paraId="24590BFC">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w:t>
      </w:r>
      <w:r>
        <w:rPr>
          <w:rFonts w:hint="eastAsia" w:ascii="仿宋" w:hAnsi="仿宋" w:eastAsia="仿宋" w:cs="仿宋"/>
          <w:color w:val="auto"/>
          <w:highlight w:val="none"/>
          <w:lang w:eastAsia="zh-CN"/>
        </w:rPr>
        <w:t>响应人</w:t>
      </w:r>
      <w:r>
        <w:rPr>
          <w:rFonts w:hint="eastAsia" w:ascii="仿宋" w:hAnsi="仿宋" w:eastAsia="仿宋" w:cs="仿宋"/>
          <w:color w:val="auto"/>
          <w:highlight w:val="none"/>
        </w:rPr>
        <w:t>不足3家的，不再评标。</w:t>
      </w:r>
    </w:p>
    <w:p w14:paraId="6CE4E734">
      <w:pPr>
        <w:pStyle w:val="136"/>
        <w:keepNext w:val="0"/>
        <w:keepLines w:val="0"/>
        <w:pageBreakBefore w:val="0"/>
        <w:kinsoku/>
        <w:wordWrap/>
        <w:overflowPunct/>
        <w:topLinePunct w:val="0"/>
        <w:bidi w:val="0"/>
        <w:adjustRightInd w:val="0"/>
        <w:spacing w:before="0" w:beforeAutospacing="0"/>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5D533A9F">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代理机构</w:t>
      </w:r>
      <w:r>
        <w:rPr>
          <w:rFonts w:hint="eastAsia" w:ascii="仿宋" w:hAnsi="仿宋" w:eastAsia="仿宋" w:cs="仿宋"/>
          <w:color w:val="auto"/>
          <w:kern w:val="0"/>
          <w:szCs w:val="24"/>
          <w:highlight w:val="none"/>
        </w:rPr>
        <w:t>将通过“信用中国”网站(www.creditchina.gov.cn)、中国政府采购网(www.ccgp.gov.cn)渠道查询</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投标截止时间当天的信用记录。</w:t>
      </w:r>
    </w:p>
    <w:p w14:paraId="023F61F3">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的信用记录、查询结果经确认后将与采购文件一起存档。</w:t>
      </w:r>
    </w:p>
    <w:p w14:paraId="1F5198EA">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响应人</w:t>
      </w:r>
      <w:r>
        <w:rPr>
          <w:rFonts w:hint="eastAsia" w:ascii="仿宋" w:hAnsi="仿宋" w:eastAsia="仿宋" w:cs="仿宋"/>
          <w:color w:val="auto"/>
          <w:kern w:val="0"/>
          <w:szCs w:val="24"/>
          <w:highlight w:val="none"/>
        </w:rPr>
        <w:t>将被拒绝参与政府采购活动。</w:t>
      </w:r>
    </w:p>
    <w:p w14:paraId="060C81AD">
      <w:pPr>
        <w:pStyle w:val="136"/>
        <w:keepNext w:val="0"/>
        <w:keepLines w:val="0"/>
        <w:pageBreakBefore w:val="0"/>
        <w:kinsoku/>
        <w:wordWrap/>
        <w:overflowPunct/>
        <w:topLinePunct w:val="0"/>
        <w:bidi w:val="0"/>
        <w:adjustRightInd w:val="0"/>
        <w:spacing w:before="0" w:beforeAutospacing="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43096B4">
      <w:pPr>
        <w:pStyle w:val="136"/>
        <w:spacing w:before="0"/>
        <w:ind w:firstLine="0" w:firstLineChars="0"/>
        <w:rPr>
          <w:rFonts w:hint="eastAsia" w:ascii="仿宋" w:hAnsi="仿宋" w:eastAsia="仿宋" w:cs="仿宋"/>
          <w:color w:val="auto"/>
          <w:kern w:val="0"/>
          <w:szCs w:val="24"/>
          <w:highlight w:val="none"/>
        </w:rPr>
      </w:pPr>
    </w:p>
    <w:p w14:paraId="3A0477B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39FB17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，按照评审因素的量化指标排出推荐中标的</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w:t>
      </w:r>
      <w:r>
        <w:rPr>
          <w:rFonts w:hint="eastAsia" w:ascii="仿宋" w:hAnsi="仿宋" w:eastAsia="仿宋" w:cs="仿宋"/>
          <w:b/>
          <w:color w:val="auto"/>
          <w:sz w:val="24"/>
          <w:highlight w:val="none"/>
          <w:lang w:eastAsia="zh-CN"/>
        </w:rPr>
        <w:t>评审办法</w:t>
      </w:r>
      <w:r>
        <w:rPr>
          <w:rFonts w:hint="eastAsia" w:ascii="仿宋" w:hAnsi="仿宋" w:eastAsia="仿宋" w:cs="仿宋"/>
          <w:b/>
          <w:color w:val="auto"/>
          <w:sz w:val="24"/>
          <w:highlight w:val="none"/>
        </w:rPr>
        <w:t>。</w:t>
      </w:r>
    </w:p>
    <w:p w14:paraId="4B30E90C">
      <w:pPr>
        <w:spacing w:line="360" w:lineRule="auto"/>
        <w:rPr>
          <w:rFonts w:hint="eastAsia" w:ascii="仿宋" w:hAnsi="仿宋" w:eastAsia="仿宋" w:cs="仿宋"/>
          <w:b/>
          <w:color w:val="auto"/>
          <w:sz w:val="24"/>
          <w:highlight w:val="none"/>
        </w:rPr>
      </w:pPr>
    </w:p>
    <w:p w14:paraId="71601F8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E510480">
      <w:pPr>
        <w:pStyle w:val="16"/>
        <w:keepNext w:val="0"/>
        <w:keepLines w:val="0"/>
        <w:pageBreakBefore w:val="0"/>
        <w:kinsoku/>
        <w:wordWrap/>
        <w:overflowPunct/>
        <w:topLinePunct w:val="0"/>
        <w:autoSpaceDE/>
        <w:autoSpaceDN/>
        <w:bidi w:val="0"/>
        <w:adjustRightInd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5451E64A">
      <w:pPr>
        <w:pStyle w:val="136"/>
        <w:keepNext w:val="0"/>
        <w:keepLines w:val="0"/>
        <w:pageBreakBefore w:val="0"/>
        <w:kinsoku/>
        <w:wordWrap/>
        <w:overflowPunct/>
        <w:topLinePunct w:val="0"/>
        <w:autoSpaceDE/>
        <w:autoSpaceDN/>
        <w:bidi w:val="0"/>
        <w:adjustRightInd w:val="0"/>
        <w:snapToGrid w:val="0"/>
        <w:spacing w:before="0"/>
        <w:ind w:left="0"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lang w:eastAsia="zh-CN"/>
        </w:rPr>
        <w:t>交易发起人</w:t>
      </w:r>
      <w:r>
        <w:rPr>
          <w:rFonts w:hint="eastAsia" w:ascii="仿宋" w:hAnsi="仿宋" w:eastAsia="仿宋" w:cs="仿宋"/>
          <w:color w:val="auto"/>
          <w:szCs w:val="24"/>
          <w:highlight w:val="none"/>
        </w:rPr>
        <w:t>将自收到评审报告之日起5个工作日内通过电子交易平台在评审报告推荐的中标候选人中按顺序确定中标供应商。</w:t>
      </w:r>
    </w:p>
    <w:p w14:paraId="7FE9443F">
      <w:pPr>
        <w:pStyle w:val="136"/>
        <w:keepNext w:val="0"/>
        <w:keepLines w:val="0"/>
        <w:pageBreakBefore w:val="0"/>
        <w:kinsoku/>
        <w:wordWrap/>
        <w:overflowPunct/>
        <w:topLinePunct w:val="0"/>
        <w:autoSpaceDE/>
        <w:autoSpaceDN/>
        <w:bidi w:val="0"/>
        <w:adjustRightInd w:val="0"/>
        <w:snapToGrid w:val="0"/>
        <w:spacing w:before="0"/>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0ED2B5C5">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确定之日起2个工作日内，</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，同时编制发布采购结果公告。</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也可以以纸质形式进行中标通知。</w:t>
      </w:r>
    </w:p>
    <w:p w14:paraId="39861A1A">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及其委托的</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名称、地址和中标金额，主要中标标的的名称、规格型号、数量、单价、服务要求，开标记录、未中标情况说明、中标公告期限以及评审专家名单、评分汇总及明细。</w:t>
      </w:r>
    </w:p>
    <w:p w14:paraId="56DACE7F">
      <w:pPr>
        <w:keepNext w:val="0"/>
        <w:keepLines w:val="0"/>
        <w:pageBreakBefore w:val="0"/>
        <w:widowControl/>
        <w:shd w:val="clear" w:color="auto" w:fill="FFFFFF"/>
        <w:kinsoku/>
        <w:wordWrap/>
        <w:overflowPunct/>
        <w:topLinePunct w:val="0"/>
        <w:autoSpaceDE/>
        <w:autoSpaceDN/>
        <w:bidi w:val="0"/>
        <w:adjustRightInd w:val="0"/>
        <w:spacing w:line="360" w:lineRule="auto"/>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A260E75">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B50C1DC">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B104E01">
      <w:pPr>
        <w:pStyle w:val="16"/>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736DC590">
      <w:pPr>
        <w:pStyle w:val="16"/>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D780EBF">
      <w:pPr>
        <w:pageBreakBefore w:val="0"/>
        <w:widowControl/>
        <w:shd w:val="clear" w:color="auto" w:fill="FFFFFF"/>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应当通过电子交易平台在</w:t>
      </w:r>
      <w:r>
        <w:rPr>
          <w:rFonts w:hint="eastAsia" w:ascii="仿宋" w:hAnsi="仿宋" w:eastAsia="仿宋" w:cs="仿宋"/>
          <w:color w:val="auto"/>
          <w:kern w:val="0"/>
          <w:sz w:val="24"/>
          <w:highlight w:val="none"/>
          <w:lang w:eastAsia="zh-CN"/>
        </w:rPr>
        <w:t>成交通知书</w:t>
      </w:r>
      <w:r>
        <w:rPr>
          <w:rFonts w:hint="eastAsia" w:ascii="仿宋" w:hAnsi="仿宋" w:eastAsia="仿宋" w:cs="仿宋"/>
          <w:color w:val="auto"/>
          <w:kern w:val="0"/>
          <w:sz w:val="24"/>
          <w:highlight w:val="none"/>
        </w:rPr>
        <w:t>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确定的事项签订政府采购合同，并在合同签订之日起2个工作日内依法发布合同公告。</w:t>
      </w:r>
    </w:p>
    <w:p w14:paraId="6AD7C30D">
      <w:pPr>
        <w:pStyle w:val="136"/>
        <w:pageBreakBefore w:val="0"/>
        <w:kinsoku/>
        <w:wordWrap/>
        <w:overflowPunct/>
        <w:topLinePunct w:val="0"/>
        <w:autoSpaceDE/>
        <w:autoSpaceDN/>
        <w:bidi w:val="0"/>
        <w:snapToGrid w:val="0"/>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25.2成交人按规定的日期、时间、地点，由法定代表人或其授权代表与交易发起人代表签订合同。如成交人为联合体的，由联合体成员各方法定代表人或其授权代表与交易发起人代表签订合同。</w:t>
      </w:r>
    </w:p>
    <w:p w14:paraId="3BFEB743">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1E2083F">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签订合同的，</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可以按照评审报告推荐的中标或者成交候选人名单排序，确定下一候选人为中标供应商，也可以重新开展政府采购活动。</w:t>
      </w:r>
    </w:p>
    <w:p w14:paraId="31879204">
      <w:pPr>
        <w:pStyle w:val="136"/>
        <w:pageBreakBefore w:val="0"/>
        <w:kinsoku/>
        <w:wordWrap/>
        <w:overflowPunct/>
        <w:topLinePunct w:val="0"/>
        <w:autoSpaceDE/>
        <w:autoSpaceDN/>
        <w:bidi w:val="0"/>
        <w:snapToGrid w:val="0"/>
        <w:spacing w:before="0"/>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w:t>
      </w:r>
      <w:r>
        <w:rPr>
          <w:rFonts w:hint="eastAsia" w:ascii="仿宋" w:hAnsi="仿宋" w:eastAsia="仿宋" w:cs="仿宋"/>
          <w:color w:val="auto"/>
          <w:highlight w:val="none"/>
          <w:lang w:eastAsia="zh-CN"/>
        </w:rPr>
        <w:t>交易发起人</w:t>
      </w:r>
      <w:r>
        <w:rPr>
          <w:rFonts w:hint="eastAsia" w:ascii="仿宋" w:hAnsi="仿宋" w:eastAsia="仿宋" w:cs="仿宋"/>
          <w:color w:val="auto"/>
          <w:highlight w:val="none"/>
        </w:rPr>
        <w:t>与中标供应商根据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等内容通过政府采购电子交易平台在线签订，自动备案。</w:t>
      </w:r>
    </w:p>
    <w:p w14:paraId="0ABB97ED">
      <w:pPr>
        <w:pStyle w:val="16"/>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2A4631A6">
      <w:pPr>
        <w:snapToGrid w:val="0"/>
        <w:spacing w:line="360" w:lineRule="auto"/>
        <w:ind w:firstLine="480" w:firstLineChars="200"/>
        <w:rPr>
          <w:rFonts w:hint="eastAsia" w:ascii="仿宋" w:hAnsi="仿宋" w:eastAsia="仿宋" w:cs="仿宋"/>
          <w:b w:val="0"/>
          <w:color w:val="auto"/>
          <w:sz w:val="24"/>
          <w:szCs w:val="20"/>
          <w:highlight w:val="none"/>
          <w:lang w:val="en-US" w:eastAsia="zh-CN"/>
        </w:rPr>
      </w:pPr>
      <w:r>
        <w:rPr>
          <w:rFonts w:hint="eastAsia" w:ascii="仿宋" w:hAnsi="仿宋" w:eastAsia="仿宋" w:cs="仿宋"/>
          <w:b w:val="0"/>
          <w:color w:val="auto"/>
          <w:sz w:val="24"/>
          <w:szCs w:val="20"/>
          <w:highlight w:val="none"/>
          <w:lang w:val="en-US" w:eastAsia="zh-CN"/>
        </w:rPr>
        <w:t>详见响应人须知前附表</w:t>
      </w:r>
    </w:p>
    <w:p w14:paraId="206CF4BD">
      <w:pPr>
        <w:snapToGrid w:val="0"/>
        <w:spacing w:line="360" w:lineRule="auto"/>
        <w:jc w:val="center"/>
        <w:rPr>
          <w:rFonts w:hint="eastAsia" w:ascii="仿宋" w:hAnsi="仿宋" w:eastAsia="仿宋" w:cs="仿宋"/>
          <w:b/>
          <w:color w:val="auto"/>
          <w:sz w:val="32"/>
          <w:highlight w:val="none"/>
        </w:rPr>
      </w:pPr>
    </w:p>
    <w:p w14:paraId="19B1CCF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86E89BA">
      <w:pPr>
        <w:pStyle w:val="136"/>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代理机构</w:t>
      </w:r>
      <w:r>
        <w:rPr>
          <w:rFonts w:hint="eastAsia" w:ascii="仿宋" w:hAnsi="仿宋" w:eastAsia="仿宋" w:cs="仿宋"/>
          <w:color w:val="auto"/>
          <w:highlight w:val="none"/>
        </w:rPr>
        <w:t>可中止电子交易活动：</w:t>
      </w:r>
    </w:p>
    <w:p w14:paraId="6A99C84E">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507826AB">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3A94222F">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05E3F741">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3C971476">
      <w:pPr>
        <w:pStyle w:val="136"/>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7429F88C">
      <w:pPr>
        <w:pStyle w:val="136"/>
        <w:keepNext w:val="0"/>
        <w:keepLines w:val="0"/>
        <w:pageBreakBefore w:val="0"/>
        <w:widowControl w:val="0"/>
        <w:kinsoku/>
        <w:wordWrap/>
        <w:overflowPunct/>
        <w:topLinePunct w:val="0"/>
        <w:autoSpaceDE/>
        <w:autoSpaceDN/>
        <w:bidi w:val="0"/>
        <w:adjustRightInd w:val="0"/>
        <w:snapToGrid w:val="0"/>
        <w:spacing w:before="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7137B662">
      <w:pPr>
        <w:snapToGrid w:val="0"/>
        <w:spacing w:line="360" w:lineRule="auto"/>
        <w:jc w:val="center"/>
        <w:rPr>
          <w:rFonts w:hint="eastAsia" w:ascii="仿宋" w:hAnsi="仿宋" w:eastAsia="仿宋" w:cs="仿宋"/>
          <w:b/>
          <w:color w:val="auto"/>
          <w:sz w:val="32"/>
          <w:highlight w:val="none"/>
        </w:rPr>
      </w:pPr>
    </w:p>
    <w:p w14:paraId="3E10751E">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484A45C">
      <w:pPr>
        <w:pStyle w:val="16"/>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7C237AA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w:t>
      </w:r>
      <w:r>
        <w:rPr>
          <w:rFonts w:hint="eastAsia" w:ascii="仿宋" w:hAnsi="仿宋" w:eastAsia="仿宋" w:cs="仿宋"/>
          <w:color w:val="auto"/>
          <w:kern w:val="0"/>
          <w:sz w:val="24"/>
          <w:highlight w:val="none"/>
          <w:lang w:eastAsia="zh-CN"/>
        </w:rPr>
        <w:t>交易发起人</w:t>
      </w:r>
      <w:r>
        <w:rPr>
          <w:rFonts w:hint="eastAsia" w:ascii="仿宋" w:hAnsi="仿宋" w:eastAsia="仿宋" w:cs="仿宋"/>
          <w:color w:val="auto"/>
          <w:kern w:val="0"/>
          <w:sz w:val="24"/>
          <w:highlight w:val="none"/>
        </w:rPr>
        <w:t>应当组织对供应商履约的验收。</w:t>
      </w:r>
    </w:p>
    <w:bookmarkEnd w:id="12"/>
    <w:bookmarkEnd w:id="13"/>
    <w:bookmarkEnd w:id="14"/>
    <w:p w14:paraId="17C3481D">
      <w:pPr>
        <w:spacing w:line="360" w:lineRule="auto"/>
        <w:jc w:val="center"/>
        <w:outlineLvl w:val="0"/>
        <w:rPr>
          <w:rFonts w:hint="eastAsia" w:ascii="仿宋" w:hAnsi="仿宋" w:eastAsia="仿宋" w:cs="仿宋"/>
          <w:b/>
          <w:color w:val="auto"/>
          <w:sz w:val="36"/>
          <w:szCs w:val="36"/>
          <w:highlight w:val="none"/>
        </w:rPr>
      </w:pPr>
      <w:bookmarkStart w:id="15" w:name="第四部分"/>
    </w:p>
    <w:p w14:paraId="359DA8AA">
      <w:pPr>
        <w:spacing w:line="360" w:lineRule="auto"/>
        <w:jc w:val="center"/>
        <w:outlineLvl w:val="0"/>
        <w:rPr>
          <w:rFonts w:hint="eastAsia" w:ascii="仿宋" w:hAnsi="仿宋" w:eastAsia="仿宋" w:cs="仿宋"/>
          <w:b/>
          <w:color w:val="auto"/>
          <w:sz w:val="36"/>
          <w:szCs w:val="36"/>
          <w:highlight w:val="none"/>
        </w:rPr>
      </w:pPr>
    </w:p>
    <w:p w14:paraId="6634AC86">
      <w:pPr>
        <w:spacing w:line="240" w:lineRule="auto"/>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2838963">
      <w:pPr>
        <w:spacing w:line="240" w:lineRule="auto"/>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5D287D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0C7BEE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1431D314">
      <w:pPr>
        <w:adjustRightInd w:val="0"/>
        <w:snapToGrid w:val="0"/>
        <w:spacing w:line="360" w:lineRule="auto"/>
        <w:ind w:firstLine="241" w:firstLineChars="1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交易</w:t>
      </w:r>
      <w:r>
        <w:rPr>
          <w:rFonts w:hint="eastAsia" w:ascii="仿宋" w:hAnsi="仿宋" w:eastAsia="仿宋" w:cs="仿宋"/>
          <w:b/>
          <w:bCs/>
          <w:color w:val="auto"/>
          <w:sz w:val="24"/>
          <w:szCs w:val="24"/>
          <w:highlight w:val="none"/>
        </w:rPr>
        <w:t>一览表</w:t>
      </w:r>
    </w:p>
    <w:p w14:paraId="370C04DA">
      <w:pPr>
        <w:spacing w:after="12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标项：1</w:t>
      </w:r>
    </w:p>
    <w:tbl>
      <w:tblPr>
        <w:tblStyle w:val="64"/>
        <w:tblpPr w:leftFromText="180" w:rightFromText="180" w:vertAnchor="text" w:tblpXSpec="center" w:tblpY="121"/>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828"/>
        <w:gridCol w:w="2325"/>
        <w:gridCol w:w="743"/>
        <w:gridCol w:w="683"/>
        <w:gridCol w:w="2083"/>
      </w:tblGrid>
      <w:tr w14:paraId="6C29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7" w:type="dxa"/>
            <w:vAlign w:val="center"/>
          </w:tcPr>
          <w:p w14:paraId="6B1687AB">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序号</w:t>
            </w:r>
          </w:p>
        </w:tc>
        <w:tc>
          <w:tcPr>
            <w:tcW w:w="2828" w:type="dxa"/>
            <w:vAlign w:val="center"/>
          </w:tcPr>
          <w:p w14:paraId="10F5D854">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名称</w:t>
            </w:r>
          </w:p>
        </w:tc>
        <w:tc>
          <w:tcPr>
            <w:tcW w:w="2325" w:type="dxa"/>
            <w:vAlign w:val="center"/>
          </w:tcPr>
          <w:p w14:paraId="4C378201">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具体服务及技术要求</w:t>
            </w:r>
          </w:p>
        </w:tc>
        <w:tc>
          <w:tcPr>
            <w:tcW w:w="743" w:type="dxa"/>
            <w:vAlign w:val="center"/>
          </w:tcPr>
          <w:p w14:paraId="4CF52C7C">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数量</w:t>
            </w:r>
          </w:p>
        </w:tc>
        <w:tc>
          <w:tcPr>
            <w:tcW w:w="683" w:type="dxa"/>
            <w:vAlign w:val="center"/>
          </w:tcPr>
          <w:p w14:paraId="19575B2E">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w:t>
            </w:r>
          </w:p>
        </w:tc>
        <w:tc>
          <w:tcPr>
            <w:tcW w:w="2083" w:type="dxa"/>
            <w:vAlign w:val="center"/>
          </w:tcPr>
          <w:p w14:paraId="76DFEC05">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最高限价</w:t>
            </w:r>
          </w:p>
        </w:tc>
      </w:tr>
      <w:tr w14:paraId="3DFA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7" w:type="dxa"/>
            <w:vAlign w:val="center"/>
          </w:tcPr>
          <w:p w14:paraId="0C433F8D">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828" w:type="dxa"/>
            <w:vAlign w:val="center"/>
          </w:tcPr>
          <w:p w14:paraId="4CD19B8A">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2025-2026年度润滑油采购项目</w:t>
            </w:r>
          </w:p>
        </w:tc>
        <w:tc>
          <w:tcPr>
            <w:tcW w:w="2325" w:type="dxa"/>
            <w:vAlign w:val="center"/>
          </w:tcPr>
          <w:p w14:paraId="20F5975E">
            <w:pPr>
              <w:pageBreakBefore w:val="0"/>
              <w:widowControl/>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详见招标</w:t>
            </w:r>
            <w:r>
              <w:rPr>
                <w:rFonts w:hint="eastAsia" w:ascii="仿宋" w:hAnsi="仿宋" w:eastAsia="仿宋" w:cs="仿宋"/>
                <w:color w:val="auto"/>
                <w:kern w:val="0"/>
                <w:sz w:val="24"/>
                <w:szCs w:val="24"/>
                <w:highlight w:val="none"/>
                <w:lang w:val="en-US" w:eastAsia="zh-CN"/>
              </w:rPr>
              <w:t>需求</w:t>
            </w:r>
          </w:p>
        </w:tc>
        <w:tc>
          <w:tcPr>
            <w:tcW w:w="743" w:type="dxa"/>
            <w:vAlign w:val="center"/>
          </w:tcPr>
          <w:p w14:paraId="12A30D68">
            <w:pPr>
              <w:pageBreakBefore w:val="0"/>
              <w:widowControl/>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683" w:type="dxa"/>
            <w:vAlign w:val="center"/>
          </w:tcPr>
          <w:p w14:paraId="1AA22409">
            <w:pPr>
              <w:pageBreakBefore w:val="0"/>
              <w:widowControl/>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批</w:t>
            </w:r>
          </w:p>
        </w:tc>
        <w:tc>
          <w:tcPr>
            <w:tcW w:w="2083" w:type="dxa"/>
            <w:vAlign w:val="center"/>
          </w:tcPr>
          <w:p w14:paraId="5A977CFF">
            <w:pPr>
              <w:pageBreakBefore w:val="0"/>
              <w:widowControl/>
              <w:kinsoku/>
              <w:wordWrap/>
              <w:overflowPunct/>
              <w:topLinePunct w:val="0"/>
              <w:autoSpaceDE/>
              <w:autoSpaceDN/>
              <w:bidi w:val="0"/>
              <w:adjustRightInd w:val="0"/>
              <w:snapToGrid/>
              <w:spacing w:line="240"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906725.00元</w:t>
            </w:r>
          </w:p>
        </w:tc>
      </w:tr>
    </w:tbl>
    <w:p w14:paraId="7CC4152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b/>
          <w:color w:val="auto"/>
          <w:sz w:val="24"/>
          <w:szCs w:val="24"/>
          <w:highlight w:val="none"/>
        </w:rPr>
      </w:pPr>
    </w:p>
    <w:p w14:paraId="03899D7B">
      <w:pPr>
        <w:spacing w:line="360" w:lineRule="auto"/>
        <w:ind w:firstLine="241" w:firstLineChars="10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交易</w:t>
      </w:r>
      <w:r>
        <w:rPr>
          <w:rFonts w:hint="eastAsia" w:ascii="仿宋" w:hAnsi="仿宋" w:eastAsia="仿宋" w:cs="仿宋"/>
          <w:b/>
          <w:color w:val="auto"/>
          <w:sz w:val="24"/>
          <w:szCs w:val="24"/>
          <w:highlight w:val="none"/>
        </w:rPr>
        <w:t>需求</w:t>
      </w:r>
    </w:p>
    <w:p w14:paraId="64AA0842">
      <w:pPr>
        <w:adjustRightIn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技术要求</w:t>
      </w:r>
    </w:p>
    <w:p w14:paraId="141E0E7F">
      <w:pPr>
        <w:adjustRightInd w:val="0"/>
        <w:spacing w:line="360" w:lineRule="auto"/>
        <w:ind w:firstLine="240" w:firstLineChars="1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1.1采购清单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1080"/>
        <w:gridCol w:w="1249"/>
        <w:gridCol w:w="1249"/>
        <w:gridCol w:w="621"/>
        <w:gridCol w:w="1213"/>
        <w:gridCol w:w="1268"/>
      </w:tblGrid>
      <w:tr w14:paraId="28C3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679ADE2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品名</w:t>
            </w:r>
          </w:p>
        </w:tc>
        <w:tc>
          <w:tcPr>
            <w:tcW w:w="0" w:type="auto"/>
          </w:tcPr>
          <w:p w14:paraId="6A33B8B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规格</w:t>
            </w:r>
          </w:p>
        </w:tc>
        <w:tc>
          <w:tcPr>
            <w:tcW w:w="0" w:type="auto"/>
          </w:tcPr>
          <w:p w14:paraId="1C29B347">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临江厂</w:t>
            </w:r>
            <w:r>
              <w:rPr>
                <w:rFonts w:hint="eastAsia" w:ascii="仿宋" w:hAnsi="仿宋" w:eastAsia="仿宋" w:cs="仿宋"/>
                <w:sz w:val="24"/>
                <w:szCs w:val="24"/>
              </w:rPr>
              <w:t>暂定数量</w:t>
            </w:r>
          </w:p>
        </w:tc>
        <w:tc>
          <w:tcPr>
            <w:tcW w:w="0" w:type="auto"/>
          </w:tcPr>
          <w:p w14:paraId="69DA21BB">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钱江厂暂定用量</w:t>
            </w:r>
          </w:p>
        </w:tc>
        <w:tc>
          <w:tcPr>
            <w:tcW w:w="0" w:type="auto"/>
          </w:tcPr>
          <w:p w14:paraId="170DF40A">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0" w:type="auto"/>
            <w:vAlign w:val="top"/>
          </w:tcPr>
          <w:p w14:paraId="20484E05">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单价限价/元</w:t>
            </w:r>
          </w:p>
        </w:tc>
        <w:tc>
          <w:tcPr>
            <w:tcW w:w="0" w:type="auto"/>
            <w:vAlign w:val="top"/>
          </w:tcPr>
          <w:p w14:paraId="23D7820E">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总价限价/元</w:t>
            </w:r>
          </w:p>
        </w:tc>
      </w:tr>
      <w:tr w14:paraId="4483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71CED2B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美孚齿轮油600XP 150</w:t>
            </w:r>
          </w:p>
        </w:tc>
        <w:tc>
          <w:tcPr>
            <w:tcW w:w="0" w:type="auto"/>
          </w:tcPr>
          <w:p w14:paraId="2778C897">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tcPr>
          <w:p w14:paraId="2FFBB405">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20桶</w:t>
            </w:r>
          </w:p>
        </w:tc>
        <w:tc>
          <w:tcPr>
            <w:tcW w:w="0" w:type="auto"/>
          </w:tcPr>
          <w:p w14:paraId="6856B851">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4桶</w:t>
            </w:r>
          </w:p>
        </w:tc>
        <w:tc>
          <w:tcPr>
            <w:tcW w:w="0" w:type="auto"/>
          </w:tcPr>
          <w:p w14:paraId="4DF005AD">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24桶</w:t>
            </w:r>
          </w:p>
        </w:tc>
        <w:tc>
          <w:tcPr>
            <w:tcW w:w="0" w:type="auto"/>
            <w:vAlign w:val="center"/>
          </w:tcPr>
          <w:p w14:paraId="69B804E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4400 </w:t>
            </w:r>
          </w:p>
        </w:tc>
        <w:tc>
          <w:tcPr>
            <w:tcW w:w="0" w:type="auto"/>
            <w:vAlign w:val="center"/>
          </w:tcPr>
          <w:p w14:paraId="026EF0D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105600 </w:t>
            </w:r>
          </w:p>
        </w:tc>
      </w:tr>
      <w:tr w14:paraId="6A05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0" w:type="auto"/>
          </w:tcPr>
          <w:p w14:paraId="7910C096">
            <w:pPr>
              <w:spacing w:line="400" w:lineRule="exact"/>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美孚合成齿轮油SHC 629</w:t>
            </w:r>
          </w:p>
        </w:tc>
        <w:tc>
          <w:tcPr>
            <w:tcW w:w="0" w:type="auto"/>
          </w:tcPr>
          <w:p w14:paraId="085A0BB9">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tcPr>
          <w:p w14:paraId="40C7791E">
            <w:pPr>
              <w:spacing w:line="400" w:lineRule="exact"/>
              <w:jc w:val="center"/>
              <w:rPr>
                <w:rFonts w:hint="eastAsia" w:ascii="仿宋" w:hAnsi="仿宋" w:eastAsia="仿宋" w:cs="仿宋"/>
                <w:sz w:val="24"/>
                <w:szCs w:val="24"/>
              </w:rPr>
            </w:pPr>
          </w:p>
        </w:tc>
        <w:tc>
          <w:tcPr>
            <w:tcW w:w="0" w:type="auto"/>
          </w:tcPr>
          <w:p w14:paraId="00EFD7CC">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8桶</w:t>
            </w:r>
          </w:p>
        </w:tc>
        <w:tc>
          <w:tcPr>
            <w:tcW w:w="0" w:type="auto"/>
          </w:tcPr>
          <w:p w14:paraId="2C9DA1D9">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8桶</w:t>
            </w:r>
          </w:p>
        </w:tc>
        <w:tc>
          <w:tcPr>
            <w:tcW w:w="0" w:type="auto"/>
            <w:vAlign w:val="center"/>
          </w:tcPr>
          <w:p w14:paraId="43E102A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20000 </w:t>
            </w:r>
          </w:p>
        </w:tc>
        <w:tc>
          <w:tcPr>
            <w:tcW w:w="0" w:type="auto"/>
            <w:vAlign w:val="center"/>
          </w:tcPr>
          <w:p w14:paraId="04F5E98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160000 </w:t>
            </w:r>
          </w:p>
        </w:tc>
      </w:tr>
      <w:tr w14:paraId="0BB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060DB0E3">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美孚齿轮油600XP 220</w:t>
            </w:r>
          </w:p>
        </w:tc>
        <w:tc>
          <w:tcPr>
            <w:tcW w:w="0" w:type="auto"/>
          </w:tcPr>
          <w:p w14:paraId="23A9F58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tcPr>
          <w:p w14:paraId="06F80AD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36桶</w:t>
            </w:r>
          </w:p>
        </w:tc>
        <w:tc>
          <w:tcPr>
            <w:tcW w:w="0" w:type="auto"/>
          </w:tcPr>
          <w:p w14:paraId="7CE3795B">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40</w:t>
            </w:r>
            <w:r>
              <w:rPr>
                <w:rFonts w:hint="eastAsia" w:ascii="仿宋" w:hAnsi="仿宋" w:eastAsia="仿宋" w:cs="仿宋"/>
                <w:sz w:val="24"/>
                <w:szCs w:val="24"/>
              </w:rPr>
              <w:t>桶</w:t>
            </w:r>
          </w:p>
        </w:tc>
        <w:tc>
          <w:tcPr>
            <w:tcW w:w="0" w:type="auto"/>
          </w:tcPr>
          <w:p w14:paraId="0D60FB40">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76桶</w:t>
            </w:r>
          </w:p>
        </w:tc>
        <w:tc>
          <w:tcPr>
            <w:tcW w:w="0" w:type="auto"/>
            <w:vAlign w:val="center"/>
          </w:tcPr>
          <w:p w14:paraId="39A75D4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4400 </w:t>
            </w:r>
          </w:p>
        </w:tc>
        <w:tc>
          <w:tcPr>
            <w:tcW w:w="0" w:type="auto"/>
            <w:vAlign w:val="center"/>
          </w:tcPr>
          <w:p w14:paraId="0510FFA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334400 </w:t>
            </w:r>
          </w:p>
        </w:tc>
      </w:tr>
      <w:tr w14:paraId="025A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FDBBFCB">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美孚齿轮油600XP 680</w:t>
            </w:r>
          </w:p>
        </w:tc>
        <w:tc>
          <w:tcPr>
            <w:tcW w:w="0" w:type="auto"/>
          </w:tcPr>
          <w:p w14:paraId="5C33A491">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tcPr>
          <w:p w14:paraId="4BB14EE1">
            <w:pPr>
              <w:spacing w:line="400" w:lineRule="exact"/>
              <w:jc w:val="center"/>
              <w:rPr>
                <w:rFonts w:hint="eastAsia" w:ascii="仿宋" w:hAnsi="仿宋" w:eastAsia="仿宋" w:cs="仿宋"/>
                <w:sz w:val="24"/>
                <w:szCs w:val="24"/>
              </w:rPr>
            </w:pPr>
          </w:p>
        </w:tc>
        <w:tc>
          <w:tcPr>
            <w:tcW w:w="0" w:type="auto"/>
          </w:tcPr>
          <w:p w14:paraId="430FB8D4">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1桶</w:t>
            </w:r>
          </w:p>
        </w:tc>
        <w:tc>
          <w:tcPr>
            <w:tcW w:w="0" w:type="auto"/>
          </w:tcPr>
          <w:p w14:paraId="173524D3">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1桶</w:t>
            </w:r>
          </w:p>
        </w:tc>
        <w:tc>
          <w:tcPr>
            <w:tcW w:w="0" w:type="auto"/>
            <w:vAlign w:val="center"/>
          </w:tcPr>
          <w:p w14:paraId="293736D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5780 </w:t>
            </w:r>
          </w:p>
        </w:tc>
        <w:tc>
          <w:tcPr>
            <w:tcW w:w="0" w:type="auto"/>
            <w:vAlign w:val="center"/>
          </w:tcPr>
          <w:p w14:paraId="6C50575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5780 </w:t>
            </w:r>
          </w:p>
        </w:tc>
      </w:tr>
      <w:tr w14:paraId="2C9A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631E82B">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美孚路宝1号合成齿轮</w:t>
            </w:r>
          </w:p>
          <w:p w14:paraId="2AD80E08">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GL-5 75W-90</w:t>
            </w:r>
          </w:p>
        </w:tc>
        <w:tc>
          <w:tcPr>
            <w:tcW w:w="0" w:type="auto"/>
            <w:vAlign w:val="center"/>
          </w:tcPr>
          <w:p w14:paraId="319D8CE0">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20L/桶</w:t>
            </w:r>
          </w:p>
        </w:tc>
        <w:tc>
          <w:tcPr>
            <w:tcW w:w="0" w:type="auto"/>
            <w:vAlign w:val="center"/>
          </w:tcPr>
          <w:p w14:paraId="3F9B07E0">
            <w:pPr>
              <w:spacing w:line="400" w:lineRule="exact"/>
              <w:jc w:val="center"/>
              <w:rPr>
                <w:rFonts w:hint="eastAsia" w:ascii="仿宋" w:hAnsi="仿宋" w:eastAsia="仿宋" w:cs="仿宋"/>
                <w:sz w:val="24"/>
                <w:szCs w:val="24"/>
              </w:rPr>
            </w:pPr>
          </w:p>
        </w:tc>
        <w:tc>
          <w:tcPr>
            <w:tcW w:w="0" w:type="auto"/>
            <w:vAlign w:val="center"/>
          </w:tcPr>
          <w:p w14:paraId="760AEBEE">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桶</w:t>
            </w:r>
          </w:p>
        </w:tc>
        <w:tc>
          <w:tcPr>
            <w:tcW w:w="0" w:type="auto"/>
            <w:vAlign w:val="center"/>
          </w:tcPr>
          <w:p w14:paraId="0F0C426A">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3桶</w:t>
            </w:r>
          </w:p>
        </w:tc>
        <w:tc>
          <w:tcPr>
            <w:tcW w:w="0" w:type="auto"/>
            <w:vAlign w:val="center"/>
          </w:tcPr>
          <w:p w14:paraId="13930A8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2933 </w:t>
            </w:r>
          </w:p>
        </w:tc>
        <w:tc>
          <w:tcPr>
            <w:tcW w:w="0" w:type="auto"/>
            <w:vAlign w:val="center"/>
          </w:tcPr>
          <w:p w14:paraId="71E6CC6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8799 </w:t>
            </w:r>
          </w:p>
        </w:tc>
      </w:tr>
      <w:tr w14:paraId="1DFF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4449CB7B">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美孚长效液压油DTE24UT</w:t>
            </w:r>
          </w:p>
        </w:tc>
        <w:tc>
          <w:tcPr>
            <w:tcW w:w="0" w:type="auto"/>
          </w:tcPr>
          <w:p w14:paraId="68C554B0">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tcPr>
          <w:p w14:paraId="47E70BF3">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桶</w:t>
            </w:r>
          </w:p>
        </w:tc>
        <w:tc>
          <w:tcPr>
            <w:tcW w:w="0" w:type="auto"/>
          </w:tcPr>
          <w:p w14:paraId="7D1ADFF8">
            <w:pPr>
              <w:spacing w:line="400" w:lineRule="exact"/>
              <w:jc w:val="center"/>
              <w:rPr>
                <w:rFonts w:hint="eastAsia" w:ascii="仿宋" w:hAnsi="仿宋" w:eastAsia="仿宋" w:cs="仿宋"/>
                <w:sz w:val="24"/>
                <w:szCs w:val="24"/>
                <w:lang w:val="en-US" w:eastAsia="zh-CN"/>
              </w:rPr>
            </w:pPr>
          </w:p>
        </w:tc>
        <w:tc>
          <w:tcPr>
            <w:tcW w:w="0" w:type="auto"/>
          </w:tcPr>
          <w:p w14:paraId="6C62C147">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4桶</w:t>
            </w:r>
          </w:p>
        </w:tc>
        <w:tc>
          <w:tcPr>
            <w:tcW w:w="0" w:type="auto"/>
            <w:vAlign w:val="center"/>
          </w:tcPr>
          <w:p w14:paraId="771C4EB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3800 </w:t>
            </w:r>
          </w:p>
        </w:tc>
        <w:tc>
          <w:tcPr>
            <w:tcW w:w="0" w:type="auto"/>
            <w:vAlign w:val="center"/>
          </w:tcPr>
          <w:p w14:paraId="3AF54673">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15200 </w:t>
            </w:r>
          </w:p>
        </w:tc>
      </w:tr>
      <w:tr w14:paraId="2DB9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44D946BC">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美孚长效液压油DTE25UT</w:t>
            </w:r>
          </w:p>
        </w:tc>
        <w:tc>
          <w:tcPr>
            <w:tcW w:w="0" w:type="auto"/>
          </w:tcPr>
          <w:p w14:paraId="32C3E12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tcPr>
          <w:p w14:paraId="050818CB">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19桶</w:t>
            </w:r>
          </w:p>
        </w:tc>
        <w:tc>
          <w:tcPr>
            <w:tcW w:w="0" w:type="auto"/>
          </w:tcPr>
          <w:p w14:paraId="740DC57C">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20桶</w:t>
            </w:r>
          </w:p>
        </w:tc>
        <w:tc>
          <w:tcPr>
            <w:tcW w:w="0" w:type="auto"/>
          </w:tcPr>
          <w:p w14:paraId="798D3AE3">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39桶</w:t>
            </w:r>
          </w:p>
        </w:tc>
        <w:tc>
          <w:tcPr>
            <w:tcW w:w="0" w:type="auto"/>
            <w:vAlign w:val="center"/>
          </w:tcPr>
          <w:p w14:paraId="739E1F2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3800 </w:t>
            </w:r>
          </w:p>
        </w:tc>
        <w:tc>
          <w:tcPr>
            <w:tcW w:w="0" w:type="auto"/>
            <w:vAlign w:val="center"/>
          </w:tcPr>
          <w:p w14:paraId="00946B6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148200 </w:t>
            </w:r>
          </w:p>
        </w:tc>
      </w:tr>
      <w:tr w14:paraId="0095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0EC51EE6">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壳牌得力士 S2VX 46</w:t>
            </w:r>
          </w:p>
        </w:tc>
        <w:tc>
          <w:tcPr>
            <w:tcW w:w="0" w:type="auto"/>
          </w:tcPr>
          <w:p w14:paraId="172D0DAA">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209 L/桶</w:t>
            </w:r>
          </w:p>
        </w:tc>
        <w:tc>
          <w:tcPr>
            <w:tcW w:w="0" w:type="auto"/>
          </w:tcPr>
          <w:p w14:paraId="72CA976F">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r>
              <w:rPr>
                <w:rFonts w:hint="eastAsia" w:ascii="仿宋" w:hAnsi="仿宋" w:eastAsia="仿宋" w:cs="仿宋"/>
                <w:color w:val="000000" w:themeColor="text1"/>
                <w:sz w:val="24"/>
                <w:szCs w:val="24"/>
                <w14:textFill>
                  <w14:solidFill>
                    <w14:schemeClr w14:val="tx1"/>
                  </w14:solidFill>
                </w14:textFill>
              </w:rPr>
              <w:t>桶</w:t>
            </w:r>
          </w:p>
        </w:tc>
        <w:tc>
          <w:tcPr>
            <w:tcW w:w="0" w:type="auto"/>
          </w:tcPr>
          <w:p w14:paraId="1F48D896">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tcPr>
          <w:p w14:paraId="62A7733A">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14桶</w:t>
            </w:r>
          </w:p>
        </w:tc>
        <w:tc>
          <w:tcPr>
            <w:tcW w:w="0" w:type="auto"/>
            <w:vAlign w:val="center"/>
          </w:tcPr>
          <w:p w14:paraId="014A36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4400 </w:t>
            </w:r>
          </w:p>
        </w:tc>
        <w:tc>
          <w:tcPr>
            <w:tcW w:w="0" w:type="auto"/>
            <w:vAlign w:val="center"/>
          </w:tcPr>
          <w:p w14:paraId="5BB7AA2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61600 </w:t>
            </w:r>
          </w:p>
        </w:tc>
      </w:tr>
      <w:tr w14:paraId="0777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671FFB3">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美孚滑脂力士 EP2</w:t>
            </w:r>
          </w:p>
        </w:tc>
        <w:tc>
          <w:tcPr>
            <w:tcW w:w="0" w:type="auto"/>
          </w:tcPr>
          <w:p w14:paraId="30D9B98C">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 KG/桶</w:t>
            </w:r>
          </w:p>
        </w:tc>
        <w:tc>
          <w:tcPr>
            <w:tcW w:w="0" w:type="auto"/>
          </w:tcPr>
          <w:p w14:paraId="397B563E">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shd w:val="clear" w:color="auto" w:fill="auto"/>
            <w:vAlign w:val="top"/>
          </w:tcPr>
          <w:p w14:paraId="05B320A8">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tcPr>
          <w:p w14:paraId="0ADC8F07">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4桶</w:t>
            </w:r>
          </w:p>
        </w:tc>
        <w:tc>
          <w:tcPr>
            <w:tcW w:w="0" w:type="auto"/>
            <w:vAlign w:val="center"/>
          </w:tcPr>
          <w:p w14:paraId="2D61E95D">
            <w:pPr>
              <w:keepNext w:val="0"/>
              <w:keepLines w:val="0"/>
              <w:widowControl/>
              <w:suppressLineNumbers w:val="0"/>
              <w:jc w:val="center"/>
              <w:textAlignment w:val="center"/>
              <w:rPr>
                <w:rFonts w:hint="eastAsia" w:ascii="仿宋" w:hAnsi="仿宋" w:eastAsia="仿宋" w:cs="仿宋"/>
                <w:sz w:val="24"/>
                <w:szCs w:val="24"/>
                <w:highlight w:val="yellow"/>
              </w:rPr>
            </w:pPr>
            <w:r>
              <w:rPr>
                <w:rFonts w:hint="eastAsia" w:ascii="仿宋" w:hAnsi="仿宋" w:eastAsia="仿宋" w:cs="仿宋"/>
                <w:i w:val="0"/>
                <w:iCs w:val="0"/>
                <w:color w:val="000000"/>
                <w:kern w:val="0"/>
                <w:sz w:val="24"/>
                <w:szCs w:val="24"/>
                <w:u w:val="none"/>
                <w:lang w:val="en-US" w:eastAsia="zh-CN" w:bidi="ar"/>
              </w:rPr>
              <w:t xml:space="preserve">581 </w:t>
            </w:r>
          </w:p>
        </w:tc>
        <w:tc>
          <w:tcPr>
            <w:tcW w:w="0" w:type="auto"/>
            <w:vAlign w:val="center"/>
          </w:tcPr>
          <w:p w14:paraId="684D7583">
            <w:pPr>
              <w:keepNext w:val="0"/>
              <w:keepLines w:val="0"/>
              <w:widowControl/>
              <w:suppressLineNumbers w:val="0"/>
              <w:jc w:val="center"/>
              <w:textAlignment w:val="center"/>
              <w:rPr>
                <w:rFonts w:hint="eastAsia" w:ascii="仿宋" w:hAnsi="仿宋" w:eastAsia="仿宋" w:cs="仿宋"/>
                <w:sz w:val="24"/>
                <w:szCs w:val="24"/>
                <w:highlight w:val="yellow"/>
              </w:rPr>
            </w:pPr>
            <w:r>
              <w:rPr>
                <w:rFonts w:hint="eastAsia" w:ascii="仿宋" w:hAnsi="仿宋" w:eastAsia="仿宋" w:cs="仿宋"/>
                <w:i w:val="0"/>
                <w:iCs w:val="0"/>
                <w:color w:val="000000"/>
                <w:kern w:val="0"/>
                <w:sz w:val="24"/>
                <w:szCs w:val="24"/>
                <w:u w:val="none"/>
                <w:lang w:val="en-US" w:eastAsia="zh-CN" w:bidi="ar"/>
              </w:rPr>
              <w:t xml:space="preserve">2324 </w:t>
            </w:r>
          </w:p>
        </w:tc>
      </w:tr>
      <w:tr w14:paraId="44D6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1DF245D1">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美孚滑脂力士 EP3</w:t>
            </w:r>
          </w:p>
        </w:tc>
        <w:tc>
          <w:tcPr>
            <w:tcW w:w="0" w:type="auto"/>
            <w:vAlign w:val="center"/>
          </w:tcPr>
          <w:p w14:paraId="2E368DDE">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 KG /桶</w:t>
            </w:r>
          </w:p>
        </w:tc>
        <w:tc>
          <w:tcPr>
            <w:tcW w:w="0" w:type="auto"/>
          </w:tcPr>
          <w:p w14:paraId="4B7824CE">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shd w:val="clear" w:color="auto" w:fill="auto"/>
            <w:vAlign w:val="top"/>
          </w:tcPr>
          <w:p w14:paraId="6C7B4B04">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tcPr>
          <w:p w14:paraId="4679EAFF">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4桶</w:t>
            </w:r>
          </w:p>
        </w:tc>
        <w:tc>
          <w:tcPr>
            <w:tcW w:w="0" w:type="auto"/>
            <w:vAlign w:val="center"/>
          </w:tcPr>
          <w:p w14:paraId="70BC6A5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586 </w:t>
            </w:r>
          </w:p>
        </w:tc>
        <w:tc>
          <w:tcPr>
            <w:tcW w:w="0" w:type="auto"/>
            <w:vAlign w:val="center"/>
          </w:tcPr>
          <w:p w14:paraId="442EC25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2344 </w:t>
            </w:r>
          </w:p>
        </w:tc>
      </w:tr>
      <w:tr w14:paraId="5EE4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7E76D8A">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美孚优力达 N2</w:t>
            </w:r>
          </w:p>
        </w:tc>
        <w:tc>
          <w:tcPr>
            <w:tcW w:w="0" w:type="auto"/>
            <w:vAlign w:val="center"/>
          </w:tcPr>
          <w:p w14:paraId="6FA21A0A">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xml:space="preserve"> KG /桶</w:t>
            </w:r>
          </w:p>
        </w:tc>
        <w:tc>
          <w:tcPr>
            <w:tcW w:w="0" w:type="auto"/>
          </w:tcPr>
          <w:p w14:paraId="1A201BE1">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桶</w:t>
            </w:r>
          </w:p>
        </w:tc>
        <w:tc>
          <w:tcPr>
            <w:tcW w:w="0" w:type="auto"/>
          </w:tcPr>
          <w:p w14:paraId="477C5A16">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765D175D">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桶</w:t>
            </w:r>
          </w:p>
        </w:tc>
        <w:tc>
          <w:tcPr>
            <w:tcW w:w="0" w:type="auto"/>
            <w:vAlign w:val="center"/>
          </w:tcPr>
          <w:p w14:paraId="6615374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1571 </w:t>
            </w:r>
          </w:p>
        </w:tc>
        <w:tc>
          <w:tcPr>
            <w:tcW w:w="0" w:type="auto"/>
            <w:vAlign w:val="center"/>
          </w:tcPr>
          <w:p w14:paraId="18320CB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3142 </w:t>
            </w:r>
          </w:p>
        </w:tc>
      </w:tr>
      <w:tr w14:paraId="3530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02E1BCE2">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美孚优力达 N3</w:t>
            </w:r>
          </w:p>
        </w:tc>
        <w:tc>
          <w:tcPr>
            <w:tcW w:w="0" w:type="auto"/>
            <w:vAlign w:val="center"/>
          </w:tcPr>
          <w:p w14:paraId="34CE27FA">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xml:space="preserve"> KG /桶</w:t>
            </w:r>
          </w:p>
        </w:tc>
        <w:tc>
          <w:tcPr>
            <w:tcW w:w="0" w:type="auto"/>
          </w:tcPr>
          <w:p w14:paraId="34AD32B5">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桶</w:t>
            </w:r>
          </w:p>
        </w:tc>
        <w:tc>
          <w:tcPr>
            <w:tcW w:w="0" w:type="auto"/>
          </w:tcPr>
          <w:p w14:paraId="694C6001">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58EF3532">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桶</w:t>
            </w:r>
          </w:p>
        </w:tc>
        <w:tc>
          <w:tcPr>
            <w:tcW w:w="0" w:type="auto"/>
            <w:vAlign w:val="center"/>
          </w:tcPr>
          <w:p w14:paraId="4EE15B6E">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1571 </w:t>
            </w:r>
          </w:p>
        </w:tc>
        <w:tc>
          <w:tcPr>
            <w:tcW w:w="0" w:type="auto"/>
            <w:vAlign w:val="center"/>
          </w:tcPr>
          <w:p w14:paraId="5D1206A4">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3142 </w:t>
            </w:r>
          </w:p>
        </w:tc>
      </w:tr>
      <w:tr w14:paraId="3E35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169AE6D0">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美孚润滑脂XHP222</w:t>
            </w:r>
          </w:p>
        </w:tc>
        <w:tc>
          <w:tcPr>
            <w:tcW w:w="0" w:type="auto"/>
            <w:vAlign w:val="center"/>
          </w:tcPr>
          <w:p w14:paraId="5F5220D9">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 KG /桶</w:t>
            </w:r>
          </w:p>
        </w:tc>
        <w:tc>
          <w:tcPr>
            <w:tcW w:w="0" w:type="auto"/>
          </w:tcPr>
          <w:p w14:paraId="7D1923B8">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tcPr>
          <w:p w14:paraId="1D0317A0">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3E7DB6F9">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vAlign w:val="center"/>
          </w:tcPr>
          <w:p w14:paraId="6DEE93B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1000 </w:t>
            </w:r>
          </w:p>
        </w:tc>
        <w:tc>
          <w:tcPr>
            <w:tcW w:w="0" w:type="auto"/>
            <w:vAlign w:val="center"/>
          </w:tcPr>
          <w:p w14:paraId="686D32C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2000 </w:t>
            </w:r>
          </w:p>
        </w:tc>
      </w:tr>
      <w:tr w14:paraId="58EC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1F93D9C3">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美孚宝力达 EM</w:t>
            </w:r>
          </w:p>
        </w:tc>
        <w:tc>
          <w:tcPr>
            <w:tcW w:w="0" w:type="auto"/>
            <w:vAlign w:val="center"/>
          </w:tcPr>
          <w:p w14:paraId="39B1F586">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 KG /桶</w:t>
            </w:r>
          </w:p>
        </w:tc>
        <w:tc>
          <w:tcPr>
            <w:tcW w:w="0" w:type="auto"/>
          </w:tcPr>
          <w:p w14:paraId="514EA739">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tcPr>
          <w:p w14:paraId="797B469E">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436975F7">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vAlign w:val="center"/>
          </w:tcPr>
          <w:p w14:paraId="6D0EA33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1580 </w:t>
            </w:r>
          </w:p>
        </w:tc>
        <w:tc>
          <w:tcPr>
            <w:tcW w:w="0" w:type="auto"/>
            <w:vAlign w:val="center"/>
          </w:tcPr>
          <w:p w14:paraId="015B6BC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3160 </w:t>
            </w:r>
          </w:p>
        </w:tc>
      </w:tr>
      <w:tr w14:paraId="64B7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31C1B6FC">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克鲁勃 BEM41-132</w:t>
            </w:r>
          </w:p>
        </w:tc>
        <w:tc>
          <w:tcPr>
            <w:tcW w:w="0" w:type="auto"/>
            <w:vAlign w:val="center"/>
          </w:tcPr>
          <w:p w14:paraId="3D82018E">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 KG /桶</w:t>
            </w:r>
          </w:p>
        </w:tc>
        <w:tc>
          <w:tcPr>
            <w:tcW w:w="0" w:type="auto"/>
          </w:tcPr>
          <w:p w14:paraId="0ED0B540">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4桶</w:t>
            </w:r>
          </w:p>
        </w:tc>
        <w:tc>
          <w:tcPr>
            <w:tcW w:w="0" w:type="auto"/>
          </w:tcPr>
          <w:p w14:paraId="4E75B6B8">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4E6A5B85">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4桶</w:t>
            </w:r>
          </w:p>
        </w:tc>
        <w:tc>
          <w:tcPr>
            <w:tcW w:w="0" w:type="auto"/>
            <w:vAlign w:val="center"/>
          </w:tcPr>
          <w:p w14:paraId="70D0449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1683 </w:t>
            </w:r>
          </w:p>
        </w:tc>
        <w:tc>
          <w:tcPr>
            <w:tcW w:w="0" w:type="auto"/>
            <w:vAlign w:val="center"/>
          </w:tcPr>
          <w:p w14:paraId="673E9E0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6732 </w:t>
            </w:r>
          </w:p>
        </w:tc>
      </w:tr>
      <w:tr w14:paraId="4302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597C7E2">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美孚DTE 732超级涡轮机润滑油</w:t>
            </w:r>
          </w:p>
        </w:tc>
        <w:tc>
          <w:tcPr>
            <w:tcW w:w="0" w:type="auto"/>
          </w:tcPr>
          <w:p w14:paraId="658277F8">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208L/桶</w:t>
            </w:r>
          </w:p>
        </w:tc>
        <w:tc>
          <w:tcPr>
            <w:tcW w:w="0" w:type="auto"/>
          </w:tcPr>
          <w:p w14:paraId="5BC6AE3F">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8桶</w:t>
            </w:r>
          </w:p>
        </w:tc>
        <w:tc>
          <w:tcPr>
            <w:tcW w:w="0" w:type="auto"/>
          </w:tcPr>
          <w:p w14:paraId="76797BA0">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4B7065F0">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8桶</w:t>
            </w:r>
          </w:p>
        </w:tc>
        <w:tc>
          <w:tcPr>
            <w:tcW w:w="0" w:type="auto"/>
            <w:vAlign w:val="center"/>
          </w:tcPr>
          <w:p w14:paraId="02300704">
            <w:pPr>
              <w:keepNext w:val="0"/>
              <w:keepLines w:val="0"/>
              <w:widowControl/>
              <w:suppressLineNumbers w:val="0"/>
              <w:jc w:val="center"/>
              <w:textAlignment w:val="center"/>
              <w:rPr>
                <w:rFonts w:hint="eastAsia" w:ascii="仿宋" w:hAnsi="仿宋" w:eastAsia="仿宋" w:cs="仿宋"/>
                <w:color w:val="C0504D" w:themeColor="accent2"/>
                <w:sz w:val="24"/>
                <w:szCs w:val="24"/>
                <w:lang w:val="en-US" w:eastAsia="zh-CN"/>
                <w14:textFill>
                  <w14:solidFill>
                    <w14:schemeClr w14:val="accent2"/>
                  </w14:solidFill>
                </w14:textFill>
              </w:rPr>
            </w:pPr>
            <w:r>
              <w:rPr>
                <w:rFonts w:hint="eastAsia" w:ascii="仿宋" w:hAnsi="仿宋" w:eastAsia="仿宋" w:cs="仿宋"/>
                <w:i w:val="0"/>
                <w:iCs w:val="0"/>
                <w:color w:val="000000"/>
                <w:kern w:val="0"/>
                <w:sz w:val="24"/>
                <w:szCs w:val="24"/>
                <w:u w:val="none"/>
                <w:lang w:val="en-US" w:eastAsia="zh-CN" w:bidi="ar"/>
              </w:rPr>
              <w:t xml:space="preserve">3900 </w:t>
            </w:r>
          </w:p>
        </w:tc>
        <w:tc>
          <w:tcPr>
            <w:tcW w:w="0" w:type="auto"/>
            <w:vAlign w:val="center"/>
          </w:tcPr>
          <w:p w14:paraId="60754B5B">
            <w:pPr>
              <w:keepNext w:val="0"/>
              <w:keepLines w:val="0"/>
              <w:widowControl/>
              <w:suppressLineNumbers w:val="0"/>
              <w:jc w:val="center"/>
              <w:textAlignment w:val="center"/>
              <w:rPr>
                <w:rFonts w:hint="eastAsia" w:ascii="仿宋" w:hAnsi="仿宋" w:eastAsia="仿宋" w:cs="仿宋"/>
                <w:color w:val="C0504D" w:themeColor="accent2"/>
                <w:sz w:val="24"/>
                <w:szCs w:val="24"/>
                <w:lang w:val="en-US" w:eastAsia="zh-CN"/>
                <w14:textFill>
                  <w14:solidFill>
                    <w14:schemeClr w14:val="accent2"/>
                  </w14:solidFill>
                </w14:textFill>
              </w:rPr>
            </w:pPr>
            <w:r>
              <w:rPr>
                <w:rFonts w:hint="eastAsia" w:ascii="仿宋" w:hAnsi="仿宋" w:eastAsia="仿宋" w:cs="仿宋"/>
                <w:i w:val="0"/>
                <w:iCs w:val="0"/>
                <w:color w:val="000000"/>
                <w:kern w:val="0"/>
                <w:sz w:val="24"/>
                <w:szCs w:val="24"/>
                <w:u w:val="none"/>
                <w:lang w:val="en-US" w:eastAsia="zh-CN" w:bidi="ar"/>
              </w:rPr>
              <w:t xml:space="preserve">31200 </w:t>
            </w:r>
          </w:p>
        </w:tc>
      </w:tr>
      <w:tr w14:paraId="45FB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38275351">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美孚特力索 T46</w:t>
            </w:r>
          </w:p>
        </w:tc>
        <w:tc>
          <w:tcPr>
            <w:tcW w:w="0" w:type="auto"/>
          </w:tcPr>
          <w:p w14:paraId="5E8B94E2">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208L/桶</w:t>
            </w:r>
          </w:p>
        </w:tc>
        <w:tc>
          <w:tcPr>
            <w:tcW w:w="0" w:type="auto"/>
          </w:tcPr>
          <w:p w14:paraId="5CA534C0">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tcPr>
          <w:p w14:paraId="230E5535">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2桶</w:t>
            </w:r>
          </w:p>
        </w:tc>
        <w:tc>
          <w:tcPr>
            <w:tcW w:w="0" w:type="auto"/>
            <w:shd w:val="clear" w:color="auto" w:fill="auto"/>
            <w:vAlign w:val="top"/>
          </w:tcPr>
          <w:p w14:paraId="46D6FDAC">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2桶</w:t>
            </w:r>
          </w:p>
        </w:tc>
        <w:tc>
          <w:tcPr>
            <w:tcW w:w="0" w:type="auto"/>
            <w:vAlign w:val="center"/>
          </w:tcPr>
          <w:p w14:paraId="2B2838E8">
            <w:pPr>
              <w:keepNext w:val="0"/>
              <w:keepLines w:val="0"/>
              <w:widowControl/>
              <w:suppressLineNumbers w:val="0"/>
              <w:jc w:val="center"/>
              <w:textAlignment w:val="center"/>
              <w:rPr>
                <w:rFonts w:hint="eastAsia" w:ascii="仿宋" w:hAnsi="仿宋" w:eastAsia="仿宋" w:cs="仿宋"/>
                <w:sz w:val="24"/>
                <w:szCs w:val="24"/>
                <w:highlight w:val="yellow"/>
              </w:rPr>
            </w:pPr>
            <w:r>
              <w:rPr>
                <w:rFonts w:hint="eastAsia" w:ascii="仿宋" w:hAnsi="仿宋" w:eastAsia="仿宋" w:cs="仿宋"/>
                <w:i w:val="0"/>
                <w:iCs w:val="0"/>
                <w:color w:val="000000"/>
                <w:kern w:val="0"/>
                <w:sz w:val="24"/>
                <w:szCs w:val="24"/>
                <w:u w:val="none"/>
                <w:lang w:val="en-US" w:eastAsia="zh-CN" w:bidi="ar"/>
              </w:rPr>
              <w:t xml:space="preserve">4751 </w:t>
            </w:r>
          </w:p>
        </w:tc>
        <w:tc>
          <w:tcPr>
            <w:tcW w:w="0" w:type="auto"/>
            <w:vAlign w:val="center"/>
          </w:tcPr>
          <w:p w14:paraId="69EA91A8">
            <w:pPr>
              <w:keepNext w:val="0"/>
              <w:keepLines w:val="0"/>
              <w:widowControl/>
              <w:suppressLineNumbers w:val="0"/>
              <w:jc w:val="center"/>
              <w:textAlignment w:val="center"/>
              <w:rPr>
                <w:rFonts w:hint="eastAsia" w:ascii="仿宋" w:hAnsi="仿宋" w:eastAsia="仿宋" w:cs="仿宋"/>
                <w:sz w:val="24"/>
                <w:szCs w:val="24"/>
                <w:highlight w:val="yellow"/>
              </w:rPr>
            </w:pPr>
            <w:r>
              <w:rPr>
                <w:rFonts w:hint="eastAsia" w:ascii="仿宋" w:hAnsi="仿宋" w:eastAsia="仿宋" w:cs="仿宋"/>
                <w:i w:val="0"/>
                <w:iCs w:val="0"/>
                <w:color w:val="000000"/>
                <w:kern w:val="0"/>
                <w:sz w:val="24"/>
                <w:szCs w:val="24"/>
                <w:u w:val="none"/>
                <w:lang w:val="en-US" w:eastAsia="zh-CN" w:bidi="ar"/>
              </w:rPr>
              <w:t xml:space="preserve">9502 </w:t>
            </w:r>
          </w:p>
        </w:tc>
      </w:tr>
      <w:tr w14:paraId="244D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681CC078">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美孚黑霸王 CH-415W-40</w:t>
            </w:r>
          </w:p>
        </w:tc>
        <w:tc>
          <w:tcPr>
            <w:tcW w:w="0" w:type="auto"/>
          </w:tcPr>
          <w:p w14:paraId="39A4E7D4">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 L/桶</w:t>
            </w:r>
          </w:p>
        </w:tc>
        <w:tc>
          <w:tcPr>
            <w:tcW w:w="0" w:type="auto"/>
          </w:tcPr>
          <w:p w14:paraId="3DB1C1A0">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tcPr>
          <w:p w14:paraId="56F0BDCC">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7桶</w:t>
            </w:r>
          </w:p>
        </w:tc>
        <w:tc>
          <w:tcPr>
            <w:tcW w:w="0" w:type="auto"/>
            <w:shd w:val="clear" w:color="auto" w:fill="auto"/>
            <w:vAlign w:val="top"/>
          </w:tcPr>
          <w:p w14:paraId="058E6C70">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桶</w:t>
            </w:r>
          </w:p>
        </w:tc>
        <w:tc>
          <w:tcPr>
            <w:tcW w:w="0" w:type="auto"/>
            <w:vAlign w:val="center"/>
          </w:tcPr>
          <w:p w14:paraId="49B16D4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400 </w:t>
            </w:r>
          </w:p>
        </w:tc>
        <w:tc>
          <w:tcPr>
            <w:tcW w:w="0" w:type="auto"/>
            <w:vAlign w:val="center"/>
          </w:tcPr>
          <w:p w14:paraId="1C01F133">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 xml:space="preserve">3600 </w:t>
            </w:r>
          </w:p>
        </w:tc>
      </w:tr>
      <w:tr w14:paraId="230F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7"/>
          </w:tcPr>
          <w:p w14:paraId="6C1C8BA0">
            <w:pPr>
              <w:tabs>
                <w:tab w:val="left" w:pos="2142"/>
              </w:tabs>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此数量为预估数量，最终金额</w:t>
            </w:r>
            <w:r>
              <w:rPr>
                <w:rFonts w:hint="eastAsia" w:ascii="仿宋" w:hAnsi="仿宋" w:eastAsia="仿宋" w:cs="仿宋"/>
                <w:sz w:val="24"/>
                <w:szCs w:val="24"/>
              </w:rPr>
              <w:t>费用按实际供货结算</w:t>
            </w:r>
          </w:p>
        </w:tc>
      </w:tr>
    </w:tbl>
    <w:p w14:paraId="6F0FC97E">
      <w:pPr>
        <w:adjustRightInd w:val="0"/>
        <w:spacing w:line="360" w:lineRule="auto"/>
        <w:rPr>
          <w:rFonts w:hint="eastAsia" w:ascii="仿宋" w:hAnsi="仿宋" w:eastAsia="仿宋" w:cs="仿宋"/>
          <w:color w:val="auto"/>
          <w:sz w:val="24"/>
          <w:highlight w:val="none"/>
          <w:lang w:val="en-US" w:eastAsia="zh-CN"/>
        </w:rPr>
      </w:pPr>
    </w:p>
    <w:p w14:paraId="091EAAD1">
      <w:pPr>
        <w:adjustRightInd w:val="0"/>
        <w:spacing w:line="360" w:lineRule="auto"/>
        <w:rPr>
          <w:rFonts w:hint="eastAsia" w:ascii="仿宋" w:hAnsi="仿宋" w:eastAsia="仿宋" w:cs="仿宋"/>
          <w:color w:val="auto"/>
          <w:sz w:val="24"/>
          <w:highlight w:val="none"/>
        </w:rPr>
      </w:pPr>
    </w:p>
    <w:p w14:paraId="502F8A41">
      <w:pPr>
        <w:adjustRightInd w:val="0"/>
        <w:spacing w:line="360" w:lineRule="auto"/>
        <w:rPr>
          <w:rFonts w:hint="eastAsia" w:ascii="仿宋" w:hAnsi="仿宋" w:eastAsia="仿宋" w:cs="仿宋"/>
          <w:color w:val="auto"/>
          <w:sz w:val="24"/>
          <w:highlight w:val="none"/>
        </w:rPr>
      </w:pPr>
    </w:p>
    <w:p w14:paraId="1CA3A3CD">
      <w:pPr>
        <w:adjustRightIn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、商务需求</w:t>
      </w:r>
    </w:p>
    <w:p w14:paraId="5DD57FDB">
      <w:pPr>
        <w:adjustRightInd w:val="0"/>
        <w:spacing w:line="360" w:lineRule="auto"/>
        <w:ind w:firstLine="482"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服务期限</w:t>
      </w:r>
      <w:r>
        <w:rPr>
          <w:rFonts w:hint="eastAsia" w:ascii="仿宋" w:hAnsi="仿宋" w:eastAsia="仿宋" w:cs="仿宋"/>
          <w:b/>
          <w:bCs/>
          <w:color w:val="auto"/>
          <w:sz w:val="24"/>
          <w:highlight w:val="none"/>
        </w:rPr>
        <w:t>及</w:t>
      </w:r>
      <w:r>
        <w:rPr>
          <w:rFonts w:hint="eastAsia" w:ascii="仿宋" w:hAnsi="仿宋" w:eastAsia="仿宋" w:cs="仿宋"/>
          <w:b/>
          <w:bCs/>
          <w:color w:val="auto"/>
          <w:sz w:val="24"/>
          <w:highlight w:val="none"/>
          <w:lang w:val="en-US" w:eastAsia="zh-CN"/>
        </w:rPr>
        <w:t>供货时间</w:t>
      </w:r>
      <w:r>
        <w:rPr>
          <w:rFonts w:hint="eastAsia" w:ascii="仿宋" w:hAnsi="仿宋" w:eastAsia="仿宋" w:cs="仿宋"/>
          <w:b/>
          <w:bCs/>
          <w:color w:val="auto"/>
          <w:sz w:val="24"/>
          <w:highlight w:val="none"/>
        </w:rPr>
        <w:t>地点</w:t>
      </w:r>
    </w:p>
    <w:p w14:paraId="3EB1E527">
      <w:pPr>
        <w:adjustRightInd w:val="0"/>
        <w:spacing w:line="360" w:lineRule="auto"/>
        <w:ind w:firstLine="480" w:firstLineChars="200"/>
        <w:rPr>
          <w:rFonts w:hint="eastAsia" w:ascii="宋体" w:hAnsi="宋体" w:eastAsia="宋体" w:cs="宋体"/>
          <w:b/>
          <w:bCs/>
          <w:sz w:val="24"/>
          <w:highlight w:val="yellow"/>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.1.1招标服务期两年</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合同签订之日</w:t>
      </w:r>
      <w:r>
        <w:rPr>
          <w:rFonts w:hint="eastAsia" w:ascii="仿宋" w:hAnsi="仿宋" w:eastAsia="仿宋" w:cs="仿宋"/>
          <w:b w:val="0"/>
          <w:bCs w:val="0"/>
          <w:color w:val="auto"/>
          <w:sz w:val="24"/>
          <w:highlight w:val="none"/>
        </w:rPr>
        <w:t>起至202</w:t>
      </w: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rPr>
        <w:t>年12月31日止，合同一年一签。</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第一年：合同签订之日起至2025年12月31日;第二年：2026年1月1日-2026年2月31日）</w:t>
      </w:r>
      <w:r>
        <w:rPr>
          <w:rFonts w:hint="eastAsia" w:ascii="仿宋" w:hAnsi="仿宋" w:eastAsia="仿宋" w:cs="仿宋"/>
          <w:b w:val="0"/>
          <w:bCs w:val="0"/>
          <w:color w:val="auto"/>
          <w:sz w:val="24"/>
          <w:highlight w:val="none"/>
        </w:rPr>
        <w:t>招标人有权根据第一年度中标人履约情况确定是否续签下一年度合同。</w:t>
      </w:r>
    </w:p>
    <w:p w14:paraId="064B99BE">
      <w:pPr>
        <w:adjustRightIn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供货时间;单批次在接到交易发起人订单需求后5天内送到指定地点。</w:t>
      </w:r>
    </w:p>
    <w:p w14:paraId="77DA361A">
      <w:pPr>
        <w:adjustRightIn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2.1.3供货</w:t>
      </w:r>
      <w:r>
        <w:rPr>
          <w:rFonts w:hint="eastAsia" w:ascii="仿宋" w:hAnsi="仿宋" w:eastAsia="仿宋" w:cs="仿宋"/>
          <w:color w:val="auto"/>
          <w:sz w:val="24"/>
          <w:highlight w:val="none"/>
        </w:rPr>
        <w:t>地点：杭州萧山污水处理有限公司两厂四运管指定地点</w:t>
      </w:r>
      <w:r>
        <w:rPr>
          <w:rFonts w:hint="eastAsia" w:ascii="仿宋" w:hAnsi="仿宋" w:eastAsia="仿宋" w:cs="仿宋"/>
          <w:color w:val="auto"/>
          <w:sz w:val="24"/>
          <w:highlight w:val="none"/>
          <w:lang w:eastAsia="zh-CN"/>
        </w:rPr>
        <w:t>。</w:t>
      </w:r>
    </w:p>
    <w:p w14:paraId="5FF6839A">
      <w:pPr>
        <w:adjustRightIn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、付款方式</w:t>
      </w:r>
    </w:p>
    <w:p w14:paraId="09D4E5C2">
      <w:pPr>
        <w:adjustRightIn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按交易发起人指定地点送货，</w:t>
      </w:r>
      <w:r>
        <w:rPr>
          <w:rFonts w:hint="eastAsia" w:ascii="仿宋" w:hAnsi="仿宋" w:eastAsia="仿宋" w:cs="仿宋"/>
          <w:color w:val="auto"/>
          <w:sz w:val="24"/>
          <w:highlight w:val="none"/>
          <w:lang w:eastAsia="zh-CN"/>
        </w:rPr>
        <w:t>经</w:t>
      </w:r>
      <w:r>
        <w:rPr>
          <w:rFonts w:hint="eastAsia" w:ascii="仿宋" w:hAnsi="仿宋" w:eastAsia="仿宋" w:cs="仿宋"/>
          <w:color w:val="auto"/>
          <w:sz w:val="24"/>
          <w:highlight w:val="none"/>
          <w:lang w:val="en-US" w:eastAsia="zh-CN"/>
        </w:rPr>
        <w:t>交易发起人</w:t>
      </w:r>
      <w:r>
        <w:rPr>
          <w:rFonts w:hint="eastAsia" w:ascii="仿宋" w:hAnsi="仿宋" w:eastAsia="仿宋" w:cs="仿宋"/>
          <w:color w:val="auto"/>
          <w:sz w:val="24"/>
          <w:highlight w:val="none"/>
          <w:lang w:eastAsia="zh-CN"/>
        </w:rPr>
        <w:t>人员签字确认，并提供全额专业增值税发票后，一个月内结清到货款项。</w:t>
      </w:r>
    </w:p>
    <w:p w14:paraId="56D56181">
      <w:pPr>
        <w:adjustRightIn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2.3、履约保证金</w:t>
      </w:r>
    </w:p>
    <w:p w14:paraId="258CF6A6">
      <w:pPr>
        <w:pStyle w:val="25"/>
        <w:rPr>
          <w:rFonts w:hint="eastAsia" w:ascii="仿宋" w:hAnsi="仿宋" w:eastAsia="仿宋" w:cs="仿宋"/>
        </w:rPr>
      </w:pPr>
      <w:r>
        <w:rPr>
          <w:rFonts w:hint="eastAsia" w:ascii="仿宋" w:hAnsi="仿宋" w:eastAsia="仿宋" w:cs="仿宋"/>
          <w:lang w:val="en-US" w:eastAsia="zh-CN"/>
        </w:rPr>
        <w:t>预算金额</w:t>
      </w:r>
      <w:r>
        <w:rPr>
          <w:rFonts w:hint="eastAsia" w:ascii="仿宋" w:hAnsi="仿宋" w:eastAsia="仿宋" w:cs="仿宋"/>
        </w:rPr>
        <w:t>的5%，在</w:t>
      </w:r>
      <w:r>
        <w:rPr>
          <w:rFonts w:hint="eastAsia" w:ascii="仿宋" w:hAnsi="仿宋" w:eastAsia="仿宋" w:cs="仿宋"/>
          <w:lang w:val="en-US" w:eastAsia="zh-CN"/>
        </w:rPr>
        <w:t>成交</w:t>
      </w:r>
      <w:r>
        <w:rPr>
          <w:rFonts w:hint="eastAsia" w:ascii="仿宋" w:hAnsi="仿宋" w:eastAsia="仿宋" w:cs="仿宋"/>
        </w:rPr>
        <w:t>通知书发出、签订合同之前，由</w:t>
      </w:r>
      <w:r>
        <w:rPr>
          <w:rFonts w:hint="eastAsia" w:ascii="仿宋" w:hAnsi="仿宋" w:eastAsia="仿宋" w:cs="仿宋"/>
          <w:lang w:val="en-US" w:eastAsia="zh-CN"/>
        </w:rPr>
        <w:t>成交人</w:t>
      </w:r>
      <w:r>
        <w:rPr>
          <w:rFonts w:hint="eastAsia" w:ascii="仿宋" w:hAnsi="仿宋" w:eastAsia="仿宋" w:cs="仿宋"/>
        </w:rPr>
        <w:t>向</w:t>
      </w:r>
      <w:r>
        <w:rPr>
          <w:rFonts w:hint="eastAsia" w:ascii="仿宋" w:hAnsi="仿宋" w:eastAsia="仿宋" w:cs="仿宋"/>
          <w:lang w:val="en-US" w:eastAsia="zh-CN"/>
        </w:rPr>
        <w:t>交易发起人</w:t>
      </w:r>
      <w:r>
        <w:rPr>
          <w:rFonts w:hint="eastAsia" w:ascii="仿宋" w:hAnsi="仿宋" w:eastAsia="仿宋" w:cs="仿宋"/>
        </w:rPr>
        <w:t>支付，并在合同到期后一个月内无息退还。</w:t>
      </w:r>
    </w:p>
    <w:p w14:paraId="72C5F600">
      <w:pPr>
        <w:pStyle w:val="25"/>
        <w:rPr>
          <w:rFonts w:hint="eastAsia" w:ascii="仿宋" w:hAnsi="仿宋" w:eastAsia="仿宋" w:cs="仿宋"/>
        </w:rPr>
      </w:pPr>
      <w:r>
        <w:rPr>
          <w:rFonts w:hint="eastAsia" w:ascii="仿宋" w:hAnsi="仿宋" w:eastAsia="仿宋" w:cs="仿宋"/>
        </w:rPr>
        <w:t>履约保证金的形式：电汇</w:t>
      </w:r>
    </w:p>
    <w:p w14:paraId="1FD12F54">
      <w:pPr>
        <w:pStyle w:val="25"/>
        <w:rPr>
          <w:rFonts w:hint="eastAsia" w:ascii="仿宋" w:hAnsi="仿宋" w:eastAsia="仿宋" w:cs="仿宋"/>
        </w:rPr>
      </w:pPr>
      <w:r>
        <w:rPr>
          <w:rFonts w:hint="eastAsia" w:ascii="仿宋" w:hAnsi="仿宋" w:eastAsia="仿宋" w:cs="仿宋"/>
        </w:rPr>
        <w:t>履约保证金应在合同签订前汇入以下帐户：</w:t>
      </w:r>
    </w:p>
    <w:p w14:paraId="3DF7E40B">
      <w:pPr>
        <w:pStyle w:val="25"/>
        <w:rPr>
          <w:rFonts w:hint="eastAsia" w:ascii="仿宋" w:hAnsi="仿宋" w:eastAsia="仿宋" w:cs="仿宋"/>
        </w:rPr>
      </w:pPr>
      <w:r>
        <w:rPr>
          <w:rFonts w:hint="eastAsia" w:ascii="仿宋" w:hAnsi="仿宋" w:eastAsia="仿宋" w:cs="仿宋"/>
        </w:rPr>
        <w:t>户  名：杭州萧山污水处理有限公司</w:t>
      </w:r>
    </w:p>
    <w:p w14:paraId="6E9EB044">
      <w:pPr>
        <w:pStyle w:val="25"/>
        <w:rPr>
          <w:rFonts w:hint="eastAsia" w:ascii="仿宋" w:hAnsi="仿宋" w:eastAsia="仿宋" w:cs="仿宋"/>
        </w:rPr>
      </w:pPr>
      <w:r>
        <w:rPr>
          <w:rFonts w:hint="eastAsia" w:ascii="仿宋" w:hAnsi="仿宋" w:eastAsia="仿宋" w:cs="仿宋"/>
        </w:rPr>
        <w:t xml:space="preserve">开  户：华夏银行杭州萧山金城支行 </w:t>
      </w:r>
    </w:p>
    <w:p w14:paraId="467140FE">
      <w:pPr>
        <w:pStyle w:val="25"/>
        <w:rPr>
          <w:rFonts w:hint="eastAsia" w:ascii="仿宋" w:hAnsi="仿宋" w:eastAsia="仿宋" w:cs="仿宋"/>
        </w:rPr>
      </w:pPr>
      <w:r>
        <w:rPr>
          <w:rFonts w:hint="eastAsia" w:ascii="仿宋" w:hAnsi="仿宋" w:eastAsia="仿宋" w:cs="仿宋"/>
        </w:rPr>
        <w:t>账  号：4248200001819100000335</w:t>
      </w:r>
    </w:p>
    <w:p w14:paraId="1853279B">
      <w:pPr>
        <w:pStyle w:val="84"/>
        <w:spacing w:before="120" w:line="360" w:lineRule="auto"/>
        <w:rPr>
          <w:rFonts w:hint="eastAsia" w:ascii="仿宋" w:hAnsi="仿宋" w:eastAsia="仿宋" w:cs="仿宋"/>
          <w:b/>
          <w:bCs/>
        </w:rPr>
      </w:pPr>
      <w:r>
        <w:rPr>
          <w:rFonts w:hint="eastAsia" w:ascii="仿宋" w:hAnsi="仿宋" w:eastAsia="仿宋" w:cs="仿宋"/>
          <w:b/>
          <w:bCs/>
          <w:color w:val="auto"/>
          <w:sz w:val="24"/>
          <w:highlight w:val="none"/>
          <w:lang w:val="en-US" w:eastAsia="zh-CN"/>
        </w:rPr>
        <w:t>2.4</w:t>
      </w:r>
      <w:r>
        <w:rPr>
          <w:rFonts w:hint="eastAsia" w:ascii="仿宋" w:hAnsi="仿宋" w:eastAsia="仿宋" w:cs="仿宋"/>
          <w:b/>
          <w:bCs/>
        </w:rPr>
        <w:t>投标报价</w:t>
      </w:r>
    </w:p>
    <w:p w14:paraId="784AFB94">
      <w:pPr>
        <w:pStyle w:val="84"/>
        <w:spacing w:before="120" w:line="360" w:lineRule="auto"/>
        <w:rPr>
          <w:rFonts w:hint="eastAsia" w:ascii="仿宋" w:hAnsi="仿宋" w:eastAsia="仿宋" w:cs="仿宋"/>
          <w:lang w:val="zh-CN"/>
        </w:rPr>
      </w:pPr>
      <w:r>
        <w:rPr>
          <w:rFonts w:hint="eastAsia" w:ascii="仿宋" w:hAnsi="仿宋" w:eastAsia="仿宋" w:cs="仿宋"/>
          <w:lang w:val="en-US" w:eastAsia="zh-CN"/>
        </w:rPr>
        <w:t>2.4.1</w:t>
      </w:r>
      <w:r>
        <w:rPr>
          <w:rFonts w:hint="eastAsia" w:ascii="仿宋" w:hAnsi="仿宋" w:eastAsia="仿宋" w:cs="仿宋"/>
          <w:lang w:val="zh-CN"/>
        </w:rPr>
        <w:t>本项目为</w:t>
      </w:r>
      <w:r>
        <w:rPr>
          <w:rFonts w:hint="eastAsia" w:ascii="仿宋" w:hAnsi="仿宋" w:eastAsia="仿宋" w:cs="仿宋"/>
        </w:rPr>
        <w:t>报价费率</w:t>
      </w:r>
      <w:r>
        <w:rPr>
          <w:rFonts w:hint="eastAsia" w:ascii="仿宋" w:hAnsi="仿宋" w:eastAsia="仿宋" w:cs="仿宋"/>
          <w:lang w:eastAsia="zh-CN"/>
        </w:rPr>
        <w:t>（</w:t>
      </w:r>
      <w:r>
        <w:rPr>
          <w:rFonts w:hint="eastAsia" w:ascii="仿宋" w:hAnsi="仿宋" w:eastAsia="仿宋" w:cs="仿宋"/>
          <w:lang w:val="en-US" w:eastAsia="zh-CN"/>
        </w:rPr>
        <w:t>折扣率</w:t>
      </w:r>
      <w:r>
        <w:rPr>
          <w:rFonts w:hint="eastAsia" w:ascii="仿宋" w:hAnsi="仿宋" w:eastAsia="仿宋" w:cs="仿宋"/>
          <w:lang w:eastAsia="zh-CN"/>
        </w:rPr>
        <w:t>）</w:t>
      </w:r>
      <w:r>
        <w:rPr>
          <w:rFonts w:hint="eastAsia" w:ascii="仿宋" w:hAnsi="仿宋" w:eastAsia="仿宋" w:cs="仿宋"/>
          <w:lang w:val="zh-CN"/>
        </w:rPr>
        <w:t>包干，具体如下：</w:t>
      </w:r>
    </w:p>
    <w:p w14:paraId="402F67B6">
      <w:pPr>
        <w:pStyle w:val="84"/>
        <w:spacing w:before="120" w:line="360" w:lineRule="auto"/>
        <w:rPr>
          <w:rFonts w:hint="eastAsia" w:ascii="仿宋" w:hAnsi="仿宋" w:eastAsia="仿宋" w:cs="仿宋"/>
        </w:rPr>
      </w:pPr>
      <w:r>
        <w:rPr>
          <w:rFonts w:hint="eastAsia" w:ascii="仿宋" w:hAnsi="仿宋" w:eastAsia="仿宋" w:cs="仿宋"/>
          <w:lang w:val="zh-CN"/>
        </w:rPr>
        <w:t>（1）</w:t>
      </w:r>
      <w:r>
        <w:rPr>
          <w:rFonts w:hint="eastAsia" w:ascii="仿宋" w:hAnsi="仿宋" w:eastAsia="仿宋" w:cs="仿宋"/>
        </w:rPr>
        <w:t>按</w:t>
      </w:r>
      <w:r>
        <w:rPr>
          <w:rFonts w:hint="eastAsia" w:ascii="仿宋" w:hAnsi="仿宋" w:eastAsia="仿宋" w:cs="仿宋"/>
          <w:lang w:val="en-US" w:eastAsia="zh-CN"/>
        </w:rPr>
        <w:t>1.1采购清单中</w:t>
      </w:r>
      <w:r>
        <w:rPr>
          <w:rFonts w:hint="eastAsia" w:ascii="仿宋" w:hAnsi="仿宋" w:eastAsia="仿宋" w:cs="仿宋"/>
        </w:rPr>
        <w:t>最高限价</w:t>
      </w:r>
      <w:r>
        <w:rPr>
          <w:rFonts w:hint="eastAsia" w:ascii="仿宋" w:hAnsi="仿宋" w:eastAsia="仿宋" w:cs="仿宋"/>
          <w:lang w:val="zh-CN"/>
        </w:rPr>
        <w:t>的</w:t>
      </w:r>
      <w:r>
        <w:rPr>
          <w:rFonts w:hint="eastAsia" w:ascii="仿宋" w:hAnsi="仿宋" w:eastAsia="仿宋" w:cs="仿宋"/>
        </w:rPr>
        <w:t xml:space="preserve"> </w:t>
      </w:r>
      <w:r>
        <w:rPr>
          <w:rFonts w:hint="eastAsia" w:ascii="仿宋" w:hAnsi="仿宋" w:eastAsia="仿宋" w:cs="仿宋"/>
          <w:lang w:val="zh-CN"/>
        </w:rPr>
        <w:t xml:space="preserve"> %</w:t>
      </w:r>
      <w:r>
        <w:rPr>
          <w:rFonts w:hint="eastAsia" w:ascii="仿宋" w:hAnsi="仿宋" w:eastAsia="仿宋" w:cs="仿宋"/>
        </w:rPr>
        <w:t>进行报价。</w:t>
      </w:r>
    </w:p>
    <w:p w14:paraId="02CE7630">
      <w:pPr>
        <w:pStyle w:val="84"/>
        <w:spacing w:before="120" w:line="360" w:lineRule="auto"/>
        <w:rPr>
          <w:rFonts w:hint="eastAsia" w:ascii="仿宋" w:hAnsi="仿宋" w:eastAsia="仿宋" w:cs="仿宋"/>
        </w:rPr>
      </w:pPr>
      <w:r>
        <w:rPr>
          <w:rFonts w:hint="eastAsia" w:ascii="仿宋" w:hAnsi="仿宋" w:eastAsia="仿宋" w:cs="仿宋"/>
          <w:lang w:val="zh-CN"/>
        </w:rPr>
        <w:t>（2）如报</w:t>
      </w:r>
      <w:r>
        <w:rPr>
          <w:rFonts w:hint="eastAsia" w:ascii="仿宋" w:hAnsi="仿宋" w:eastAsia="仿宋" w:cs="仿宋"/>
        </w:rPr>
        <w:t>价为90%</w:t>
      </w:r>
      <w:r>
        <w:rPr>
          <w:rFonts w:hint="eastAsia" w:ascii="仿宋" w:hAnsi="仿宋" w:eastAsia="仿宋" w:cs="仿宋"/>
          <w:lang w:val="zh-CN"/>
        </w:rPr>
        <w:t>，</w:t>
      </w:r>
      <w:r>
        <w:rPr>
          <w:rFonts w:hint="eastAsia" w:ascii="仿宋" w:hAnsi="仿宋" w:eastAsia="仿宋" w:cs="仿宋"/>
          <w:lang w:val="en-US" w:eastAsia="zh-CN"/>
        </w:rPr>
        <w:t>中标后结算</w:t>
      </w:r>
      <w:r>
        <w:rPr>
          <w:rFonts w:hint="eastAsia" w:ascii="仿宋" w:hAnsi="仿宋" w:eastAsia="仿宋" w:cs="仿宋"/>
        </w:rPr>
        <w:t>单价=90%</w:t>
      </w:r>
      <w:r>
        <w:rPr>
          <w:rFonts w:ascii="仿宋" w:hAnsi="仿宋" w:eastAsia="仿宋" w:cs="仿宋"/>
        </w:rPr>
        <w:t>×</w:t>
      </w:r>
      <w:r>
        <w:rPr>
          <w:rFonts w:hint="eastAsia" w:ascii="仿宋" w:hAnsi="仿宋" w:eastAsia="仿宋" w:cs="仿宋"/>
        </w:rPr>
        <w:t>最高限价。</w:t>
      </w:r>
    </w:p>
    <w:p w14:paraId="2E5746BA">
      <w:pPr>
        <w:pStyle w:val="84"/>
        <w:spacing w:before="120" w:line="360" w:lineRule="auto"/>
        <w:ind w:firstLine="482"/>
        <w:rPr>
          <w:rFonts w:hint="eastAsia" w:ascii="仿宋" w:hAnsi="仿宋" w:eastAsia="仿宋" w:cs="仿宋"/>
          <w:b/>
          <w:bCs/>
          <w:lang w:val="zh-CN"/>
        </w:rPr>
      </w:pPr>
      <w:r>
        <w:rPr>
          <w:rFonts w:hint="eastAsia" w:ascii="仿宋" w:hAnsi="仿宋" w:eastAsia="仿宋" w:cs="仿宋"/>
          <w:b/>
          <w:bCs/>
          <w:lang w:val="zh-CN"/>
        </w:rPr>
        <w:t>▲（</w:t>
      </w:r>
      <w:r>
        <w:rPr>
          <w:rFonts w:hint="eastAsia" w:ascii="仿宋" w:hAnsi="仿宋" w:eastAsia="仿宋" w:cs="仿宋"/>
          <w:b/>
          <w:bCs/>
        </w:rPr>
        <w:t>3</w:t>
      </w:r>
      <w:r>
        <w:rPr>
          <w:rFonts w:hint="eastAsia" w:ascii="仿宋" w:hAnsi="仿宋" w:eastAsia="仿宋" w:cs="仿宋"/>
          <w:b/>
          <w:bCs/>
          <w:lang w:val="zh-CN"/>
        </w:rPr>
        <w:t>）响应人填报的费率不得超过100%，否则作无效标处理。</w:t>
      </w:r>
    </w:p>
    <w:p w14:paraId="4004EC65">
      <w:pPr>
        <w:pStyle w:val="84"/>
        <w:spacing w:before="120" w:line="360" w:lineRule="auto"/>
        <w:rPr>
          <w:rFonts w:hint="eastAsia" w:ascii="仿宋" w:hAnsi="仿宋" w:eastAsia="仿宋" w:cs="仿宋"/>
          <w:lang w:val="zh-CN"/>
        </w:rPr>
      </w:pPr>
      <w:r>
        <w:rPr>
          <w:rFonts w:hint="eastAsia" w:ascii="仿宋" w:hAnsi="仿宋" w:eastAsia="仿宋" w:cs="仿宋"/>
          <w:lang w:val="en-US" w:eastAsia="zh-CN"/>
        </w:rPr>
        <w:t>2.4.2</w:t>
      </w:r>
      <w:r>
        <w:rPr>
          <w:rFonts w:hint="eastAsia" w:ascii="仿宋" w:hAnsi="仿宋" w:eastAsia="仿宋" w:cs="仿宋"/>
          <w:lang w:val="zh-CN"/>
        </w:rPr>
        <w:t>单价应包括完成全部内容所需的一切人工、工具、设备、保险、交通、利润、税金及潜在可能涉及的一切费用。</w:t>
      </w:r>
    </w:p>
    <w:p w14:paraId="26A0A4C2">
      <w:pPr>
        <w:pStyle w:val="84"/>
        <w:spacing w:before="120"/>
        <w:rPr>
          <w:rFonts w:hint="eastAsia" w:ascii="仿宋" w:hAnsi="仿宋" w:eastAsia="仿宋" w:cs="仿宋"/>
          <w:lang w:val="zh-CN"/>
        </w:rPr>
      </w:pPr>
      <w:r>
        <w:rPr>
          <w:rFonts w:hint="eastAsia" w:ascii="仿宋" w:hAnsi="仿宋" w:eastAsia="仿宋" w:cs="仿宋"/>
          <w:lang w:val="zh-CN"/>
        </w:rPr>
        <w:t>2.</w:t>
      </w:r>
      <w:r>
        <w:rPr>
          <w:rFonts w:hint="eastAsia" w:ascii="仿宋" w:hAnsi="仿宋" w:eastAsia="仿宋" w:cs="仿宋"/>
          <w:lang w:val="en-US" w:eastAsia="zh-CN"/>
        </w:rPr>
        <w:t>4.3</w:t>
      </w:r>
      <w:r>
        <w:rPr>
          <w:rFonts w:hint="eastAsia" w:ascii="仿宋" w:hAnsi="仿宋" w:eastAsia="仿宋" w:cs="仿宋"/>
          <w:lang w:val="zh-CN"/>
        </w:rPr>
        <w:t>如中标，投标时填报的费率在合同执行期内固定不变，因各种原因而导致费用的增减，采购人均不考虑补偿，结算总价根据完成的项目数量按实结算，</w:t>
      </w:r>
      <w:r>
        <w:rPr>
          <w:rFonts w:hint="eastAsia" w:ascii="仿宋" w:hAnsi="仿宋" w:eastAsia="仿宋" w:cs="仿宋"/>
          <w:lang w:val="en-US" w:eastAsia="zh-CN"/>
        </w:rPr>
        <w:t>不超过906725.00</w:t>
      </w:r>
      <w:r>
        <w:rPr>
          <w:rFonts w:hint="eastAsia" w:ascii="仿宋" w:hAnsi="仿宋" w:eastAsia="仿宋" w:cs="仿宋"/>
          <w:lang w:val="zh-CN"/>
        </w:rPr>
        <w:t>。</w:t>
      </w:r>
    </w:p>
    <w:p w14:paraId="3DDED689">
      <w:pPr>
        <w:pStyle w:val="24"/>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default" w:ascii="仿宋" w:hAnsi="仿宋" w:eastAsia="仿宋" w:cs="仿宋"/>
          <w:color w:val="auto"/>
          <w:sz w:val="24"/>
          <w:highlight w:val="none"/>
          <w:lang w:val="en-US" w:eastAsia="zh-CN"/>
        </w:rPr>
      </w:pPr>
    </w:p>
    <w:p w14:paraId="3D32032B">
      <w:pPr>
        <w:pStyle w:val="24"/>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仿宋" w:hAnsi="仿宋" w:eastAsia="仿宋" w:cs="仿宋"/>
          <w:color w:val="auto"/>
          <w:sz w:val="24"/>
          <w:highlight w:val="none"/>
        </w:rPr>
      </w:pPr>
    </w:p>
    <w:p w14:paraId="63319E43">
      <w:pPr>
        <w:pStyle w:val="24"/>
        <w:keepNext w:val="0"/>
        <w:keepLines w:val="0"/>
        <w:pageBreakBefore w:val="0"/>
        <w:widowControl w:val="0"/>
        <w:kinsoku/>
        <w:wordWrap/>
        <w:overflowPunct/>
        <w:topLinePunct w:val="0"/>
        <w:autoSpaceDE/>
        <w:autoSpaceDN/>
        <w:bidi w:val="0"/>
        <w:adjustRightInd/>
        <w:snapToGrid/>
        <w:spacing w:line="360" w:lineRule="auto"/>
        <w:ind w:left="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DEE3BFC">
      <w:pPr>
        <w:pStyle w:val="24"/>
        <w:adjustRightInd/>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、成交人所提供的货物、服务须与响应承诺一致，不得以次充好、偷工减料，若在项目验收中发现有上述情况，将向有关部门举报，根据相关规定进行处理。</w:t>
      </w:r>
    </w:p>
    <w:p w14:paraId="2E659A26">
      <w:pPr>
        <w:snapToGrid/>
        <w:spacing w:line="24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br w:type="page"/>
      </w:r>
    </w:p>
    <w:p w14:paraId="64C60F95">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第</w:t>
      </w:r>
      <w:r>
        <w:rPr>
          <w:rFonts w:hint="eastAsia" w:ascii="仿宋" w:hAnsi="仿宋" w:eastAsia="仿宋" w:cs="仿宋"/>
          <w:b/>
          <w:color w:val="auto"/>
          <w:sz w:val="36"/>
          <w:szCs w:val="36"/>
          <w:highlight w:val="none"/>
        </w:rPr>
        <w:t xml:space="preserve">四部分   </w:t>
      </w:r>
      <w:bookmarkStart w:id="16" w:name="_Toc184314422"/>
      <w:bookmarkEnd w:id="16"/>
      <w:bookmarkStart w:id="17" w:name="_Toc184313288"/>
      <w:bookmarkEnd w:id="17"/>
      <w:bookmarkStart w:id="18" w:name="_Toc184312117"/>
      <w:bookmarkEnd w:id="18"/>
      <w:bookmarkStart w:id="19" w:name="_Toc184310317"/>
      <w:bookmarkEnd w:id="19"/>
      <w:bookmarkStart w:id="20" w:name="_Toc184310289"/>
      <w:bookmarkEnd w:id="20"/>
      <w:bookmarkStart w:id="21" w:name="_Toc184308060"/>
      <w:bookmarkEnd w:id="21"/>
      <w:bookmarkStart w:id="22" w:name="_Toc184312110"/>
      <w:bookmarkEnd w:id="22"/>
      <w:bookmarkStart w:id="23" w:name="_Toc184314452"/>
      <w:bookmarkEnd w:id="23"/>
      <w:bookmarkStart w:id="24" w:name="_Toc184314427"/>
      <w:bookmarkEnd w:id="24"/>
      <w:bookmarkStart w:id="25" w:name="_Toc184314413"/>
      <w:bookmarkEnd w:id="25"/>
      <w:bookmarkStart w:id="26" w:name="_Toc184312100"/>
      <w:bookmarkEnd w:id="26"/>
      <w:bookmarkStart w:id="27" w:name="_Toc184308042"/>
      <w:bookmarkEnd w:id="27"/>
      <w:bookmarkStart w:id="28" w:name="_Toc184314436"/>
      <w:bookmarkEnd w:id="28"/>
      <w:bookmarkStart w:id="29" w:name="_Toc184310330"/>
      <w:bookmarkEnd w:id="29"/>
      <w:bookmarkStart w:id="30" w:name="_Toc184314449"/>
      <w:bookmarkEnd w:id="30"/>
      <w:bookmarkStart w:id="31" w:name="_Toc184312112"/>
      <w:bookmarkEnd w:id="31"/>
      <w:bookmarkStart w:id="32" w:name="_Toc184313304"/>
      <w:bookmarkEnd w:id="32"/>
      <w:bookmarkStart w:id="33" w:name="_Toc184312116"/>
      <w:bookmarkEnd w:id="33"/>
      <w:bookmarkStart w:id="34" w:name="_Toc184310279"/>
      <w:bookmarkEnd w:id="34"/>
      <w:bookmarkStart w:id="35" w:name="_Toc184312076"/>
      <w:bookmarkEnd w:id="35"/>
      <w:bookmarkStart w:id="36" w:name="_Toc184310315"/>
      <w:bookmarkEnd w:id="36"/>
      <w:bookmarkStart w:id="37" w:name="_Toc184314453"/>
      <w:bookmarkEnd w:id="37"/>
      <w:bookmarkStart w:id="38" w:name="_Toc184313289"/>
      <w:bookmarkEnd w:id="38"/>
      <w:bookmarkStart w:id="39" w:name="_Toc184314434"/>
      <w:bookmarkEnd w:id="39"/>
      <w:bookmarkStart w:id="40" w:name="_Toc184312115"/>
      <w:bookmarkEnd w:id="40"/>
      <w:bookmarkStart w:id="41" w:name="_Toc184312098"/>
      <w:bookmarkEnd w:id="41"/>
      <w:bookmarkStart w:id="42" w:name="_Toc184308046"/>
      <w:bookmarkEnd w:id="42"/>
      <w:bookmarkStart w:id="43" w:name="_Toc184314466"/>
      <w:bookmarkEnd w:id="43"/>
      <w:bookmarkStart w:id="44" w:name="_Toc184308057"/>
      <w:bookmarkEnd w:id="44"/>
      <w:bookmarkStart w:id="45" w:name="_Toc184313301"/>
      <w:bookmarkEnd w:id="45"/>
      <w:bookmarkStart w:id="46" w:name="_Toc184308059"/>
      <w:bookmarkEnd w:id="46"/>
      <w:bookmarkStart w:id="47" w:name="_Toc184310337"/>
      <w:bookmarkEnd w:id="47"/>
      <w:bookmarkStart w:id="48" w:name="_Toc184312118"/>
      <w:bookmarkEnd w:id="48"/>
      <w:bookmarkStart w:id="49" w:name="_Toc184308050"/>
      <w:bookmarkEnd w:id="49"/>
      <w:bookmarkStart w:id="50" w:name="_Toc184308101"/>
      <w:bookmarkEnd w:id="50"/>
      <w:bookmarkStart w:id="51" w:name="_Toc184312119"/>
      <w:bookmarkEnd w:id="51"/>
      <w:bookmarkStart w:id="52" w:name="_Toc184308090"/>
      <w:bookmarkEnd w:id="52"/>
      <w:bookmarkStart w:id="53" w:name="_Toc184313290"/>
      <w:bookmarkEnd w:id="53"/>
      <w:bookmarkStart w:id="54" w:name="_Toc184313255"/>
      <w:bookmarkEnd w:id="54"/>
      <w:bookmarkStart w:id="55" w:name="_Toc184313291"/>
      <w:bookmarkEnd w:id="55"/>
      <w:bookmarkStart w:id="56" w:name="_Toc184313242"/>
      <w:bookmarkEnd w:id="56"/>
      <w:bookmarkStart w:id="57" w:name="_Toc184314457"/>
      <w:bookmarkEnd w:id="57"/>
      <w:bookmarkStart w:id="58" w:name="_Toc184308037"/>
      <w:bookmarkEnd w:id="58"/>
      <w:bookmarkStart w:id="59" w:name="_Toc184312126"/>
      <w:bookmarkEnd w:id="59"/>
      <w:bookmarkStart w:id="60" w:name="_Toc184314419"/>
      <w:bookmarkEnd w:id="60"/>
      <w:bookmarkStart w:id="61" w:name="_Toc184308083"/>
      <w:bookmarkEnd w:id="61"/>
      <w:bookmarkStart w:id="62" w:name="_Toc184310325"/>
      <w:bookmarkEnd w:id="62"/>
      <w:bookmarkStart w:id="63" w:name="_Toc184313258"/>
      <w:bookmarkEnd w:id="63"/>
      <w:bookmarkStart w:id="64" w:name="_Toc184308076"/>
      <w:bookmarkEnd w:id="64"/>
      <w:bookmarkStart w:id="65" w:name="_Toc184308048"/>
      <w:bookmarkEnd w:id="65"/>
      <w:bookmarkStart w:id="66" w:name="_Toc184314437"/>
      <w:bookmarkEnd w:id="66"/>
      <w:bookmarkStart w:id="67" w:name="_Toc184313309"/>
      <w:bookmarkEnd w:id="67"/>
      <w:bookmarkStart w:id="68" w:name="_Toc184308088"/>
      <w:bookmarkEnd w:id="68"/>
      <w:bookmarkStart w:id="69" w:name="_Toc184308081"/>
      <w:bookmarkEnd w:id="69"/>
      <w:bookmarkStart w:id="70" w:name="_Toc184310344"/>
      <w:bookmarkEnd w:id="70"/>
      <w:bookmarkStart w:id="71" w:name="_Toc184308055"/>
      <w:bookmarkEnd w:id="71"/>
      <w:bookmarkStart w:id="72" w:name="_Toc184313238"/>
      <w:bookmarkEnd w:id="72"/>
      <w:bookmarkStart w:id="73" w:name="_Toc184310343"/>
      <w:bookmarkEnd w:id="73"/>
      <w:bookmarkStart w:id="74" w:name="_Toc184310288"/>
      <w:bookmarkEnd w:id="74"/>
      <w:bookmarkStart w:id="75" w:name="_Toc184314446"/>
      <w:bookmarkEnd w:id="75"/>
      <w:bookmarkStart w:id="76" w:name="_Toc184314474"/>
      <w:bookmarkEnd w:id="76"/>
      <w:bookmarkStart w:id="77" w:name="_Toc184312135"/>
      <w:bookmarkEnd w:id="77"/>
      <w:bookmarkStart w:id="78" w:name="_Toc184312103"/>
      <w:bookmarkEnd w:id="78"/>
      <w:bookmarkStart w:id="79" w:name="_Toc184312071"/>
      <w:bookmarkEnd w:id="79"/>
      <w:bookmarkStart w:id="80" w:name="_Toc184314439"/>
      <w:bookmarkEnd w:id="80"/>
      <w:bookmarkStart w:id="81" w:name="_Toc184312073"/>
      <w:bookmarkEnd w:id="81"/>
      <w:bookmarkStart w:id="82" w:name="_Toc184312089"/>
      <w:bookmarkEnd w:id="82"/>
      <w:bookmarkStart w:id="83" w:name="_Toc184313262"/>
      <w:bookmarkEnd w:id="83"/>
      <w:bookmarkStart w:id="84" w:name="_Toc184308105"/>
      <w:bookmarkEnd w:id="84"/>
      <w:bookmarkStart w:id="85" w:name="_Toc184313251"/>
      <w:bookmarkEnd w:id="85"/>
      <w:bookmarkStart w:id="86" w:name="_Toc184312131"/>
      <w:bookmarkEnd w:id="86"/>
      <w:bookmarkStart w:id="87" w:name="_Toc184310309"/>
      <w:bookmarkEnd w:id="87"/>
      <w:bookmarkStart w:id="88" w:name="_Toc184310336"/>
      <w:bookmarkEnd w:id="88"/>
      <w:bookmarkStart w:id="89" w:name="_Toc184310276"/>
      <w:bookmarkEnd w:id="89"/>
      <w:bookmarkStart w:id="90" w:name="_Toc184308092"/>
      <w:bookmarkEnd w:id="90"/>
      <w:bookmarkStart w:id="91" w:name="_Toc184313254"/>
      <w:bookmarkEnd w:id="91"/>
      <w:bookmarkStart w:id="92" w:name="_Toc184312090"/>
      <w:bookmarkEnd w:id="92"/>
      <w:bookmarkStart w:id="93" w:name="_Toc184312109"/>
      <w:bookmarkEnd w:id="93"/>
      <w:bookmarkStart w:id="94" w:name="_Toc184312130"/>
      <w:bookmarkEnd w:id="94"/>
      <w:bookmarkStart w:id="95" w:name="_Toc184314464"/>
      <w:bookmarkEnd w:id="95"/>
      <w:bookmarkStart w:id="96" w:name="_Toc184314476"/>
      <w:bookmarkEnd w:id="96"/>
      <w:bookmarkStart w:id="97" w:name="_Toc184308089"/>
      <w:bookmarkEnd w:id="97"/>
      <w:bookmarkStart w:id="98" w:name="_Toc184313273"/>
      <w:bookmarkEnd w:id="98"/>
      <w:bookmarkStart w:id="99" w:name="_Toc184310297"/>
      <w:bookmarkEnd w:id="99"/>
      <w:bookmarkStart w:id="100" w:name="_Toc184312077"/>
      <w:bookmarkEnd w:id="100"/>
      <w:bookmarkStart w:id="101" w:name="_Toc184313264"/>
      <w:bookmarkEnd w:id="101"/>
      <w:bookmarkStart w:id="102" w:name="_Toc184314465"/>
      <w:bookmarkEnd w:id="102"/>
      <w:bookmarkStart w:id="103" w:name="_Toc184308108"/>
      <w:bookmarkEnd w:id="103"/>
      <w:bookmarkStart w:id="104" w:name="_Toc184312096"/>
      <w:bookmarkEnd w:id="104"/>
      <w:bookmarkStart w:id="105" w:name="_Toc184313275"/>
      <w:bookmarkEnd w:id="105"/>
      <w:bookmarkStart w:id="106" w:name="_Toc184308075"/>
      <w:bookmarkEnd w:id="106"/>
      <w:bookmarkStart w:id="107" w:name="_Toc184313269"/>
      <w:bookmarkEnd w:id="107"/>
      <w:bookmarkStart w:id="108" w:name="_Toc184312092"/>
      <w:bookmarkEnd w:id="108"/>
      <w:bookmarkStart w:id="109" w:name="_Toc184308086"/>
      <w:bookmarkEnd w:id="109"/>
      <w:bookmarkStart w:id="110" w:name="_Toc184314433"/>
      <w:bookmarkEnd w:id="110"/>
      <w:bookmarkStart w:id="111" w:name="_Toc184310306"/>
      <w:bookmarkEnd w:id="111"/>
      <w:bookmarkStart w:id="112" w:name="_Toc184308036"/>
      <w:bookmarkEnd w:id="112"/>
      <w:bookmarkStart w:id="113" w:name="_Toc184308067"/>
      <w:bookmarkEnd w:id="113"/>
      <w:bookmarkStart w:id="114" w:name="_Toc184308077"/>
      <w:bookmarkEnd w:id="114"/>
      <w:bookmarkStart w:id="115" w:name="_Toc184314410"/>
      <w:bookmarkEnd w:id="115"/>
      <w:bookmarkStart w:id="116" w:name="_Toc184314482"/>
      <w:bookmarkEnd w:id="116"/>
      <w:bookmarkStart w:id="117" w:name="_Toc184314415"/>
      <w:bookmarkEnd w:id="117"/>
      <w:bookmarkStart w:id="118" w:name="_Toc184310303"/>
      <w:bookmarkEnd w:id="118"/>
      <w:bookmarkStart w:id="119" w:name="_Toc184310327"/>
      <w:bookmarkEnd w:id="119"/>
      <w:bookmarkStart w:id="120" w:name="_Toc184308094"/>
      <w:bookmarkEnd w:id="120"/>
      <w:bookmarkStart w:id="121" w:name="_Toc184312122"/>
      <w:bookmarkEnd w:id="121"/>
      <w:bookmarkStart w:id="122" w:name="_Toc184314451"/>
      <w:bookmarkEnd w:id="122"/>
      <w:bookmarkStart w:id="123" w:name="_Toc184310334"/>
      <w:bookmarkEnd w:id="123"/>
      <w:bookmarkStart w:id="124" w:name="_Toc184314417"/>
      <w:bookmarkEnd w:id="124"/>
      <w:bookmarkStart w:id="125" w:name="_Toc184310294"/>
      <w:bookmarkEnd w:id="125"/>
      <w:bookmarkStart w:id="126" w:name="_Toc184313310"/>
      <w:bookmarkEnd w:id="126"/>
      <w:bookmarkStart w:id="127" w:name="_Toc184312121"/>
      <w:bookmarkEnd w:id="127"/>
      <w:bookmarkStart w:id="128" w:name="_Toc184308044"/>
      <w:bookmarkEnd w:id="128"/>
      <w:bookmarkStart w:id="129" w:name="_Toc184308064"/>
      <w:bookmarkEnd w:id="129"/>
      <w:bookmarkStart w:id="130" w:name="_Toc184314430"/>
      <w:bookmarkEnd w:id="130"/>
      <w:bookmarkStart w:id="131" w:name="_Toc184314477"/>
      <w:bookmarkEnd w:id="131"/>
      <w:bookmarkStart w:id="132" w:name="_Toc184313274"/>
      <w:bookmarkEnd w:id="132"/>
      <w:bookmarkStart w:id="133" w:name="_Toc184310282"/>
      <w:bookmarkEnd w:id="133"/>
      <w:bookmarkStart w:id="134" w:name="_Toc184313265"/>
      <w:bookmarkEnd w:id="134"/>
      <w:bookmarkStart w:id="135" w:name="_Toc184312134"/>
      <w:bookmarkEnd w:id="135"/>
      <w:bookmarkStart w:id="136" w:name="_Toc184313281"/>
      <w:bookmarkEnd w:id="136"/>
      <w:bookmarkStart w:id="137" w:name="_Toc184312069"/>
      <w:bookmarkEnd w:id="137"/>
      <w:bookmarkStart w:id="138" w:name="_Toc184310335"/>
      <w:bookmarkEnd w:id="138"/>
      <w:bookmarkStart w:id="139" w:name="_Toc184314450"/>
      <w:bookmarkEnd w:id="139"/>
      <w:bookmarkStart w:id="140" w:name="_Toc184310304"/>
      <w:bookmarkEnd w:id="140"/>
      <w:bookmarkStart w:id="141" w:name="_Toc184308070"/>
      <w:bookmarkEnd w:id="141"/>
      <w:bookmarkStart w:id="142" w:name="_Toc184314454"/>
      <w:bookmarkEnd w:id="142"/>
      <w:bookmarkStart w:id="143" w:name="_Toc184314480"/>
      <w:bookmarkEnd w:id="143"/>
      <w:bookmarkStart w:id="144" w:name="_Toc184308100"/>
      <w:bookmarkEnd w:id="144"/>
      <w:bookmarkStart w:id="145" w:name="_Toc184313279"/>
      <w:bookmarkEnd w:id="145"/>
      <w:bookmarkStart w:id="146" w:name="_Toc184310320"/>
      <w:bookmarkEnd w:id="146"/>
      <w:bookmarkStart w:id="147" w:name="_Toc184314459"/>
      <w:bookmarkEnd w:id="147"/>
      <w:bookmarkStart w:id="148" w:name="_Toc184308093"/>
      <w:bookmarkEnd w:id="148"/>
      <w:bookmarkStart w:id="149" w:name="_Toc184313249"/>
      <w:bookmarkEnd w:id="149"/>
      <w:bookmarkStart w:id="150" w:name="_Toc184312120"/>
      <w:bookmarkEnd w:id="150"/>
      <w:bookmarkStart w:id="151" w:name="_Toc184310284"/>
      <w:bookmarkEnd w:id="151"/>
      <w:bookmarkStart w:id="152" w:name="_Toc184313247"/>
      <w:bookmarkEnd w:id="152"/>
      <w:bookmarkStart w:id="153" w:name="_Toc184314478"/>
      <w:bookmarkEnd w:id="153"/>
      <w:bookmarkStart w:id="154" w:name="_Toc184312081"/>
      <w:bookmarkEnd w:id="154"/>
      <w:bookmarkStart w:id="155" w:name="_Toc184312138"/>
      <w:bookmarkEnd w:id="155"/>
      <w:bookmarkStart w:id="156" w:name="_Toc184308079"/>
      <w:bookmarkEnd w:id="156"/>
      <w:bookmarkStart w:id="157" w:name="_Toc184312088"/>
      <w:bookmarkEnd w:id="157"/>
      <w:bookmarkStart w:id="158" w:name="_Toc184313297"/>
      <w:bookmarkEnd w:id="158"/>
      <w:bookmarkStart w:id="159" w:name="_Toc184313276"/>
      <w:bookmarkEnd w:id="159"/>
      <w:bookmarkStart w:id="160" w:name="_Toc184312108"/>
      <w:bookmarkEnd w:id="160"/>
      <w:bookmarkStart w:id="161" w:name="_Toc184310281"/>
      <w:bookmarkEnd w:id="161"/>
      <w:bookmarkStart w:id="162" w:name="_Toc184312085"/>
      <w:bookmarkEnd w:id="162"/>
      <w:bookmarkStart w:id="163" w:name="_Toc184310286"/>
      <w:bookmarkEnd w:id="163"/>
      <w:bookmarkStart w:id="164" w:name="_Toc184310308"/>
      <w:bookmarkEnd w:id="164"/>
      <w:bookmarkStart w:id="165" w:name="_Toc184312080"/>
      <w:bookmarkEnd w:id="165"/>
      <w:bookmarkStart w:id="166" w:name="_Toc184313299"/>
      <w:bookmarkEnd w:id="166"/>
      <w:bookmarkStart w:id="167" w:name="_Toc184314472"/>
      <w:bookmarkEnd w:id="167"/>
      <w:bookmarkStart w:id="168" w:name="_Toc184312075"/>
      <w:bookmarkEnd w:id="168"/>
      <w:bookmarkStart w:id="169" w:name="_Toc184312087"/>
      <w:bookmarkEnd w:id="169"/>
      <w:bookmarkStart w:id="170" w:name="_Toc184308043"/>
      <w:bookmarkEnd w:id="170"/>
      <w:bookmarkStart w:id="171" w:name="_Toc184310292"/>
      <w:bookmarkEnd w:id="171"/>
      <w:bookmarkStart w:id="172" w:name="_Toc184310298"/>
      <w:bookmarkEnd w:id="172"/>
      <w:bookmarkStart w:id="173" w:name="_Toc184310280"/>
      <w:bookmarkEnd w:id="173"/>
      <w:bookmarkStart w:id="174" w:name="_Toc184313268"/>
      <w:bookmarkEnd w:id="174"/>
      <w:bookmarkStart w:id="175" w:name="_Toc184314473"/>
      <w:bookmarkEnd w:id="175"/>
      <w:bookmarkStart w:id="176" w:name="_Toc184310277"/>
      <w:bookmarkEnd w:id="176"/>
      <w:bookmarkStart w:id="177" w:name="_Toc184314456"/>
      <w:bookmarkEnd w:id="177"/>
      <w:bookmarkStart w:id="178" w:name="_Toc184312106"/>
      <w:bookmarkEnd w:id="178"/>
      <w:bookmarkStart w:id="179" w:name="_Toc184308063"/>
      <w:bookmarkEnd w:id="179"/>
      <w:bookmarkStart w:id="180" w:name="_Toc184310333"/>
      <w:bookmarkEnd w:id="180"/>
      <w:bookmarkStart w:id="181" w:name="_Toc184310326"/>
      <w:bookmarkEnd w:id="181"/>
      <w:bookmarkStart w:id="182" w:name="_Toc184313302"/>
      <w:bookmarkEnd w:id="182"/>
      <w:bookmarkStart w:id="183" w:name="_Toc184313259"/>
      <w:bookmarkEnd w:id="183"/>
      <w:bookmarkStart w:id="184" w:name="_Toc184310331"/>
      <w:bookmarkEnd w:id="184"/>
      <w:bookmarkStart w:id="185" w:name="_Toc184313266"/>
      <w:bookmarkEnd w:id="185"/>
      <w:bookmarkStart w:id="186" w:name="_Toc184310322"/>
      <w:bookmarkEnd w:id="186"/>
      <w:bookmarkStart w:id="187" w:name="_Toc184313243"/>
      <w:bookmarkEnd w:id="187"/>
      <w:bookmarkStart w:id="188" w:name="_Toc184313295"/>
      <w:bookmarkEnd w:id="188"/>
      <w:bookmarkStart w:id="189" w:name="_Toc184310307"/>
      <w:bookmarkEnd w:id="189"/>
      <w:bookmarkStart w:id="190" w:name="_Toc184310287"/>
      <w:bookmarkEnd w:id="190"/>
      <w:bookmarkStart w:id="191" w:name="_Toc184310299"/>
      <w:bookmarkEnd w:id="191"/>
      <w:bookmarkStart w:id="192" w:name="_Toc184312111"/>
      <w:bookmarkEnd w:id="192"/>
      <w:bookmarkStart w:id="193" w:name="_Toc184314435"/>
      <w:bookmarkEnd w:id="193"/>
      <w:bookmarkStart w:id="194" w:name="_Toc184312091"/>
      <w:bookmarkEnd w:id="194"/>
      <w:bookmarkStart w:id="195" w:name="_Toc184312099"/>
      <w:bookmarkEnd w:id="195"/>
      <w:bookmarkStart w:id="196" w:name="_Toc184310310"/>
      <w:bookmarkEnd w:id="196"/>
      <w:bookmarkStart w:id="197" w:name="_Toc184313303"/>
      <w:bookmarkEnd w:id="197"/>
      <w:bookmarkStart w:id="198" w:name="_Toc184313270"/>
      <w:bookmarkEnd w:id="198"/>
      <w:bookmarkStart w:id="199" w:name="_Toc184312086"/>
      <w:bookmarkEnd w:id="199"/>
      <w:bookmarkStart w:id="200" w:name="_Toc184314462"/>
      <w:bookmarkEnd w:id="200"/>
      <w:bookmarkStart w:id="201" w:name="_Toc184314467"/>
      <w:bookmarkEnd w:id="201"/>
      <w:bookmarkStart w:id="202" w:name="_Toc184308052"/>
      <w:bookmarkEnd w:id="202"/>
      <w:bookmarkStart w:id="203" w:name="_Toc184308072"/>
      <w:bookmarkEnd w:id="203"/>
      <w:bookmarkStart w:id="204" w:name="_Toc184314479"/>
      <w:bookmarkEnd w:id="204"/>
      <w:bookmarkStart w:id="205" w:name="_Toc184308071"/>
      <w:bookmarkEnd w:id="205"/>
      <w:bookmarkStart w:id="206" w:name="_Toc184313293"/>
      <w:bookmarkEnd w:id="206"/>
      <w:bookmarkStart w:id="207" w:name="_Toc184310300"/>
      <w:bookmarkEnd w:id="207"/>
      <w:bookmarkStart w:id="208" w:name="_Toc184310305"/>
      <w:bookmarkEnd w:id="208"/>
      <w:bookmarkStart w:id="209" w:name="_Toc184312078"/>
      <w:bookmarkEnd w:id="209"/>
      <w:bookmarkStart w:id="210" w:name="_Toc184314425"/>
      <w:bookmarkEnd w:id="210"/>
      <w:bookmarkStart w:id="211" w:name="_Toc184308049"/>
      <w:bookmarkEnd w:id="211"/>
      <w:bookmarkStart w:id="212" w:name="_Toc184313261"/>
      <w:bookmarkEnd w:id="212"/>
      <w:bookmarkStart w:id="213" w:name="_Toc184310314"/>
      <w:bookmarkEnd w:id="213"/>
      <w:bookmarkStart w:id="214" w:name="_Toc184310312"/>
      <w:bookmarkEnd w:id="214"/>
      <w:bookmarkStart w:id="215" w:name="_Toc184310295"/>
      <w:bookmarkEnd w:id="215"/>
      <w:bookmarkStart w:id="216" w:name="_Toc184308054"/>
      <w:bookmarkEnd w:id="216"/>
      <w:bookmarkStart w:id="217" w:name="_Toc184313282"/>
      <w:bookmarkEnd w:id="217"/>
      <w:bookmarkStart w:id="218" w:name="_Toc184314470"/>
      <w:bookmarkEnd w:id="218"/>
      <w:bookmarkStart w:id="219" w:name="_Toc184310275"/>
      <w:bookmarkEnd w:id="219"/>
      <w:bookmarkStart w:id="220" w:name="_Toc184313244"/>
      <w:bookmarkEnd w:id="220"/>
      <w:bookmarkStart w:id="221" w:name="_Toc184313267"/>
      <w:bookmarkEnd w:id="221"/>
      <w:bookmarkStart w:id="222" w:name="_Toc184308058"/>
      <w:bookmarkEnd w:id="222"/>
      <w:bookmarkStart w:id="223" w:name="_Toc184313292"/>
      <w:bookmarkEnd w:id="223"/>
      <w:bookmarkStart w:id="224" w:name="_Toc184312104"/>
      <w:bookmarkEnd w:id="224"/>
      <w:bookmarkStart w:id="225" w:name="_Toc184308073"/>
      <w:bookmarkEnd w:id="225"/>
      <w:bookmarkStart w:id="226" w:name="_Toc184310278"/>
      <w:bookmarkEnd w:id="226"/>
      <w:bookmarkStart w:id="227" w:name="_Toc184308085"/>
      <w:bookmarkEnd w:id="227"/>
      <w:bookmarkStart w:id="228" w:name="_Toc184313308"/>
      <w:bookmarkEnd w:id="228"/>
      <w:bookmarkStart w:id="229" w:name="_Toc184310341"/>
      <w:bookmarkEnd w:id="229"/>
      <w:bookmarkStart w:id="230" w:name="_Toc184313307"/>
      <w:bookmarkEnd w:id="230"/>
      <w:bookmarkStart w:id="231" w:name="_Toc184314463"/>
      <w:bookmarkEnd w:id="231"/>
      <w:bookmarkStart w:id="232" w:name="_Toc184310285"/>
      <w:bookmarkEnd w:id="232"/>
      <w:bookmarkStart w:id="233" w:name="_Toc184313296"/>
      <w:bookmarkEnd w:id="233"/>
      <w:bookmarkStart w:id="234" w:name="_Toc184308056"/>
      <w:bookmarkEnd w:id="234"/>
      <w:bookmarkStart w:id="235" w:name="_Toc184314414"/>
      <w:bookmarkEnd w:id="235"/>
      <w:bookmarkStart w:id="236" w:name="_Toc184310290"/>
      <w:bookmarkEnd w:id="236"/>
      <w:bookmarkStart w:id="237" w:name="_Toc184313298"/>
      <w:bookmarkEnd w:id="237"/>
      <w:bookmarkStart w:id="238" w:name="_Toc184314416"/>
      <w:bookmarkEnd w:id="238"/>
      <w:bookmarkStart w:id="239" w:name="_Toc184308106"/>
      <w:bookmarkEnd w:id="239"/>
      <w:bookmarkStart w:id="240" w:name="_Toc184310313"/>
      <w:bookmarkEnd w:id="240"/>
      <w:bookmarkStart w:id="241" w:name="_Toc184314447"/>
      <w:bookmarkEnd w:id="241"/>
      <w:bookmarkStart w:id="242" w:name="_Toc184308066"/>
      <w:bookmarkEnd w:id="242"/>
      <w:bookmarkStart w:id="243" w:name="_Toc184310274"/>
      <w:bookmarkEnd w:id="243"/>
      <w:bookmarkStart w:id="244" w:name="_Toc184314445"/>
      <w:bookmarkEnd w:id="244"/>
      <w:bookmarkStart w:id="245" w:name="_Toc184308078"/>
      <w:bookmarkEnd w:id="245"/>
      <w:bookmarkStart w:id="246" w:name="_Toc184314481"/>
      <w:bookmarkEnd w:id="246"/>
      <w:bookmarkStart w:id="247" w:name="_Toc184314428"/>
      <w:bookmarkEnd w:id="247"/>
      <w:bookmarkStart w:id="248" w:name="_Toc184310318"/>
      <w:bookmarkEnd w:id="248"/>
      <w:bookmarkStart w:id="249" w:name="_Toc184308061"/>
      <w:bookmarkEnd w:id="249"/>
      <w:bookmarkStart w:id="250" w:name="_Toc184314475"/>
      <w:bookmarkEnd w:id="250"/>
      <w:bookmarkStart w:id="251" w:name="_Toc184308038"/>
      <w:bookmarkEnd w:id="251"/>
      <w:bookmarkStart w:id="252" w:name="_Toc184312083"/>
      <w:bookmarkEnd w:id="252"/>
      <w:bookmarkStart w:id="253" w:name="_Toc184313245"/>
      <w:bookmarkEnd w:id="253"/>
      <w:bookmarkStart w:id="254" w:name="_Toc184313277"/>
      <w:bookmarkEnd w:id="254"/>
      <w:bookmarkStart w:id="255" w:name="_Toc184312133"/>
      <w:bookmarkEnd w:id="255"/>
      <w:bookmarkStart w:id="256" w:name="_Toc184312068"/>
      <w:bookmarkEnd w:id="256"/>
      <w:bookmarkStart w:id="257" w:name="_Toc184314440"/>
      <w:bookmarkEnd w:id="257"/>
      <w:bookmarkStart w:id="258" w:name="_Toc184308047"/>
      <w:bookmarkEnd w:id="258"/>
      <w:bookmarkStart w:id="259" w:name="_Toc184310293"/>
      <w:bookmarkEnd w:id="259"/>
      <w:bookmarkStart w:id="260" w:name="_Toc184310342"/>
      <w:bookmarkEnd w:id="260"/>
      <w:bookmarkStart w:id="261" w:name="_Toc184310272"/>
      <w:bookmarkEnd w:id="261"/>
      <w:bookmarkStart w:id="262" w:name="_Toc184312095"/>
      <w:bookmarkEnd w:id="262"/>
      <w:bookmarkStart w:id="263" w:name="_Toc184313240"/>
      <w:bookmarkEnd w:id="263"/>
      <w:bookmarkStart w:id="264" w:name="_Toc184308096"/>
      <w:bookmarkEnd w:id="264"/>
      <w:bookmarkStart w:id="265" w:name="_Toc184314458"/>
      <w:bookmarkEnd w:id="265"/>
      <w:bookmarkStart w:id="266" w:name="_Toc184314423"/>
      <w:bookmarkEnd w:id="266"/>
      <w:bookmarkStart w:id="267" w:name="_Toc184313248"/>
      <w:bookmarkEnd w:id="267"/>
      <w:bookmarkStart w:id="268" w:name="_Toc184308082"/>
      <w:bookmarkEnd w:id="268"/>
      <w:bookmarkStart w:id="269" w:name="_Toc184312101"/>
      <w:bookmarkEnd w:id="269"/>
      <w:bookmarkStart w:id="270" w:name="_Toc184312124"/>
      <w:bookmarkEnd w:id="270"/>
      <w:bookmarkStart w:id="271" w:name="_Toc184310323"/>
      <w:bookmarkEnd w:id="271"/>
      <w:bookmarkStart w:id="272" w:name="_Toc184313286"/>
      <w:bookmarkEnd w:id="272"/>
      <w:bookmarkStart w:id="273" w:name="_Toc184310332"/>
      <w:bookmarkEnd w:id="273"/>
      <w:bookmarkStart w:id="274" w:name="_Toc184314418"/>
      <w:bookmarkEnd w:id="274"/>
      <w:bookmarkStart w:id="275" w:name="_Toc184314448"/>
      <w:bookmarkEnd w:id="275"/>
      <w:bookmarkStart w:id="276" w:name="_Toc184308045"/>
      <w:bookmarkEnd w:id="276"/>
      <w:bookmarkStart w:id="277" w:name="_Toc184308080"/>
      <w:bookmarkEnd w:id="277"/>
      <w:bookmarkStart w:id="278" w:name="_Toc184314431"/>
      <w:bookmarkEnd w:id="278"/>
      <w:bookmarkStart w:id="279" w:name="_Toc184312128"/>
      <w:bookmarkEnd w:id="279"/>
      <w:bookmarkStart w:id="280" w:name="_Toc184312094"/>
      <w:bookmarkEnd w:id="280"/>
      <w:bookmarkStart w:id="281" w:name="_Toc184313263"/>
      <w:bookmarkEnd w:id="281"/>
      <w:bookmarkStart w:id="282" w:name="_Toc184314438"/>
      <w:bookmarkEnd w:id="282"/>
      <w:bookmarkStart w:id="283" w:name="_Toc184313252"/>
      <w:bookmarkEnd w:id="283"/>
      <w:bookmarkStart w:id="284" w:name="_Toc184314460"/>
      <w:bookmarkEnd w:id="284"/>
      <w:bookmarkStart w:id="285" w:name="_Toc184313284"/>
      <w:bookmarkEnd w:id="285"/>
      <w:bookmarkStart w:id="286" w:name="_Toc184314469"/>
      <w:bookmarkEnd w:id="286"/>
      <w:bookmarkStart w:id="287" w:name="_Toc184310319"/>
      <w:bookmarkEnd w:id="287"/>
      <w:bookmarkStart w:id="288" w:name="_Toc184310291"/>
      <w:bookmarkEnd w:id="288"/>
      <w:bookmarkStart w:id="289" w:name="_Toc184313305"/>
      <w:bookmarkEnd w:id="289"/>
      <w:bookmarkStart w:id="290" w:name="_Toc184312082"/>
      <w:bookmarkEnd w:id="290"/>
      <w:bookmarkStart w:id="291" w:name="_Toc184312139"/>
      <w:bookmarkEnd w:id="291"/>
      <w:bookmarkStart w:id="292" w:name="_Toc184313239"/>
      <w:bookmarkEnd w:id="292"/>
      <w:bookmarkStart w:id="293" w:name="_Toc184314412"/>
      <w:bookmarkEnd w:id="293"/>
      <w:bookmarkStart w:id="294" w:name="_Toc184313246"/>
      <w:bookmarkEnd w:id="294"/>
      <w:bookmarkStart w:id="295" w:name="_Toc184314443"/>
      <w:bookmarkEnd w:id="295"/>
      <w:bookmarkStart w:id="296" w:name="_Toc184312123"/>
      <w:bookmarkEnd w:id="296"/>
      <w:bookmarkStart w:id="297" w:name="_Toc184313278"/>
      <w:bookmarkEnd w:id="297"/>
      <w:bookmarkStart w:id="298" w:name="_Toc184313241"/>
      <w:bookmarkEnd w:id="298"/>
      <w:bookmarkStart w:id="299" w:name="_Toc184313300"/>
      <w:bookmarkEnd w:id="299"/>
      <w:bookmarkStart w:id="300" w:name="_Toc184310340"/>
      <w:bookmarkEnd w:id="300"/>
      <w:bookmarkStart w:id="301" w:name="_Toc184314424"/>
      <w:bookmarkEnd w:id="301"/>
      <w:bookmarkStart w:id="302" w:name="_Toc184310339"/>
      <w:bookmarkEnd w:id="302"/>
      <w:bookmarkStart w:id="303" w:name="_Toc184308069"/>
      <w:bookmarkEnd w:id="303"/>
      <w:bookmarkStart w:id="304" w:name="_Toc184313272"/>
      <w:bookmarkEnd w:id="304"/>
      <w:bookmarkStart w:id="305" w:name="_Toc184312084"/>
      <w:bookmarkEnd w:id="305"/>
      <w:bookmarkStart w:id="306" w:name="_Toc184312067"/>
      <w:bookmarkEnd w:id="306"/>
      <w:bookmarkStart w:id="307" w:name="_Toc184312114"/>
      <w:bookmarkEnd w:id="307"/>
      <w:bookmarkStart w:id="308" w:name="_Toc184308091"/>
      <w:bookmarkEnd w:id="308"/>
      <w:bookmarkStart w:id="309" w:name="_Toc184310283"/>
      <w:bookmarkEnd w:id="309"/>
      <w:bookmarkStart w:id="310" w:name="_Toc184310302"/>
      <w:bookmarkEnd w:id="310"/>
      <w:bookmarkStart w:id="311" w:name="_Toc184314420"/>
      <w:bookmarkEnd w:id="311"/>
      <w:bookmarkStart w:id="312" w:name="_Toc184314411"/>
      <w:bookmarkEnd w:id="312"/>
      <w:bookmarkStart w:id="313" w:name="_Toc184314442"/>
      <w:bookmarkEnd w:id="313"/>
      <w:bookmarkStart w:id="314" w:name="_Toc184314461"/>
      <w:bookmarkEnd w:id="314"/>
      <w:bookmarkStart w:id="315" w:name="_Toc184314471"/>
      <w:bookmarkEnd w:id="315"/>
      <w:bookmarkStart w:id="316" w:name="_Toc184312074"/>
      <w:bookmarkEnd w:id="316"/>
      <w:bookmarkStart w:id="317" w:name="_Toc184308051"/>
      <w:bookmarkEnd w:id="317"/>
      <w:bookmarkStart w:id="318" w:name="_Toc184313253"/>
      <w:bookmarkEnd w:id="318"/>
      <w:bookmarkStart w:id="319" w:name="_Toc184308102"/>
      <w:bookmarkEnd w:id="319"/>
      <w:bookmarkStart w:id="320" w:name="_Toc184314444"/>
      <w:bookmarkEnd w:id="320"/>
      <w:bookmarkStart w:id="321" w:name="_Toc184312137"/>
      <w:bookmarkEnd w:id="321"/>
      <w:bookmarkStart w:id="322" w:name="_Toc184314429"/>
      <w:bookmarkEnd w:id="322"/>
      <w:bookmarkStart w:id="323" w:name="_Toc184313294"/>
      <w:bookmarkEnd w:id="323"/>
      <w:bookmarkStart w:id="324" w:name="_Toc184308053"/>
      <w:bookmarkEnd w:id="324"/>
      <w:bookmarkStart w:id="325" w:name="_Toc184310338"/>
      <w:bookmarkEnd w:id="325"/>
      <w:bookmarkStart w:id="326" w:name="_Toc184308098"/>
      <w:bookmarkEnd w:id="326"/>
      <w:bookmarkStart w:id="327" w:name="_Toc184312107"/>
      <w:bookmarkEnd w:id="327"/>
      <w:bookmarkStart w:id="328" w:name="_Toc184310324"/>
      <w:bookmarkEnd w:id="328"/>
      <w:bookmarkStart w:id="329" w:name="_Toc184308040"/>
      <w:bookmarkEnd w:id="329"/>
      <w:bookmarkStart w:id="330" w:name="_Toc184310329"/>
      <w:bookmarkEnd w:id="330"/>
      <w:bookmarkStart w:id="331" w:name="_Toc184312102"/>
      <w:bookmarkEnd w:id="331"/>
      <w:bookmarkStart w:id="332" w:name="_Toc184308097"/>
      <w:bookmarkEnd w:id="332"/>
      <w:bookmarkStart w:id="333" w:name="_Toc184314432"/>
      <w:bookmarkEnd w:id="333"/>
      <w:bookmarkStart w:id="334" w:name="_Toc184312113"/>
      <w:bookmarkEnd w:id="334"/>
      <w:bookmarkStart w:id="335" w:name="_Toc184308087"/>
      <w:bookmarkEnd w:id="335"/>
      <w:bookmarkStart w:id="336" w:name="_Toc184310273"/>
      <w:bookmarkEnd w:id="336"/>
      <w:bookmarkStart w:id="337" w:name="_Toc184312097"/>
      <w:bookmarkEnd w:id="337"/>
      <w:bookmarkStart w:id="338" w:name="_Toc184310296"/>
      <w:bookmarkEnd w:id="338"/>
      <w:bookmarkStart w:id="339" w:name="_Toc184314441"/>
      <w:bookmarkEnd w:id="339"/>
      <w:bookmarkStart w:id="340" w:name="_Toc184308104"/>
      <w:bookmarkEnd w:id="340"/>
      <w:bookmarkStart w:id="341" w:name="_Toc184308103"/>
      <w:bookmarkEnd w:id="341"/>
      <w:bookmarkStart w:id="342" w:name="_Toc184314455"/>
      <w:bookmarkEnd w:id="342"/>
      <w:bookmarkStart w:id="343" w:name="_Toc184310311"/>
      <w:bookmarkEnd w:id="343"/>
      <w:bookmarkStart w:id="344" w:name="_Toc184312136"/>
      <w:bookmarkEnd w:id="344"/>
      <w:bookmarkStart w:id="345" w:name="_Toc184308041"/>
      <w:bookmarkEnd w:id="345"/>
      <w:bookmarkStart w:id="346" w:name="_Toc184308062"/>
      <w:bookmarkEnd w:id="346"/>
      <w:bookmarkStart w:id="347" w:name="_Toc184314426"/>
      <w:bookmarkEnd w:id="347"/>
      <w:bookmarkStart w:id="348" w:name="_Toc184308099"/>
      <w:bookmarkEnd w:id="348"/>
      <w:bookmarkStart w:id="349" w:name="_Toc184308084"/>
      <w:bookmarkEnd w:id="349"/>
      <w:bookmarkStart w:id="350" w:name="_Toc184308074"/>
      <w:bookmarkEnd w:id="350"/>
      <w:bookmarkStart w:id="351" w:name="_Toc184313257"/>
      <w:bookmarkEnd w:id="351"/>
      <w:bookmarkStart w:id="352" w:name="_Toc184312129"/>
      <w:bookmarkEnd w:id="352"/>
      <w:bookmarkStart w:id="353" w:name="_Toc184308065"/>
      <w:bookmarkEnd w:id="353"/>
      <w:bookmarkStart w:id="354" w:name="_Toc184312125"/>
      <w:bookmarkEnd w:id="354"/>
      <w:bookmarkStart w:id="355" w:name="_Toc184312093"/>
      <w:bookmarkEnd w:id="355"/>
      <w:bookmarkStart w:id="356" w:name="_Toc184308039"/>
      <w:bookmarkEnd w:id="356"/>
      <w:bookmarkStart w:id="357" w:name="_Toc184314421"/>
      <w:bookmarkEnd w:id="357"/>
      <w:bookmarkStart w:id="358" w:name="_Toc184313283"/>
      <w:bookmarkEnd w:id="358"/>
      <w:bookmarkStart w:id="359" w:name="_Toc184312072"/>
      <w:bookmarkEnd w:id="359"/>
      <w:bookmarkStart w:id="360" w:name="_Toc184310328"/>
      <w:bookmarkEnd w:id="360"/>
      <w:bookmarkStart w:id="361" w:name="_Toc184312105"/>
      <w:bookmarkEnd w:id="361"/>
      <w:bookmarkStart w:id="362" w:name="_Toc184313256"/>
      <w:bookmarkEnd w:id="362"/>
      <w:bookmarkStart w:id="363" w:name="_Toc184313287"/>
      <w:bookmarkEnd w:id="363"/>
      <w:bookmarkStart w:id="364" w:name="_Toc184310321"/>
      <w:bookmarkEnd w:id="364"/>
      <w:bookmarkStart w:id="365" w:name="_Toc184313260"/>
      <w:bookmarkEnd w:id="365"/>
      <w:bookmarkStart w:id="366" w:name="_Toc184310316"/>
      <w:bookmarkEnd w:id="366"/>
      <w:bookmarkStart w:id="367" w:name="_Toc184313250"/>
      <w:bookmarkEnd w:id="367"/>
      <w:bookmarkStart w:id="368" w:name="_Toc184312132"/>
      <w:bookmarkEnd w:id="368"/>
      <w:bookmarkStart w:id="369" w:name="_Toc184308095"/>
      <w:bookmarkEnd w:id="369"/>
      <w:bookmarkStart w:id="370" w:name="_Toc184308068"/>
      <w:bookmarkEnd w:id="370"/>
      <w:bookmarkStart w:id="371" w:name="_Toc184313306"/>
      <w:bookmarkEnd w:id="371"/>
      <w:bookmarkStart w:id="372" w:name="_Toc184310301"/>
      <w:bookmarkEnd w:id="372"/>
      <w:bookmarkStart w:id="373" w:name="_Toc184314468"/>
      <w:bookmarkEnd w:id="373"/>
      <w:bookmarkStart w:id="374" w:name="_Toc184313280"/>
      <w:bookmarkEnd w:id="374"/>
      <w:bookmarkStart w:id="375" w:name="_Toc184313285"/>
      <w:bookmarkEnd w:id="375"/>
      <w:bookmarkStart w:id="376" w:name="_Toc184308107"/>
      <w:bookmarkEnd w:id="376"/>
      <w:bookmarkStart w:id="377" w:name="_Toc184312079"/>
      <w:bookmarkEnd w:id="377"/>
      <w:bookmarkStart w:id="378" w:name="_Toc184313271"/>
      <w:bookmarkEnd w:id="378"/>
      <w:bookmarkStart w:id="379" w:name="_Toc184312070"/>
      <w:bookmarkEnd w:id="379"/>
      <w:bookmarkStart w:id="380" w:name="_Toc184312127"/>
      <w:bookmarkEnd w:id="380"/>
      <w:r>
        <w:rPr>
          <w:rFonts w:hint="eastAsia" w:ascii="仿宋" w:hAnsi="仿宋" w:eastAsia="仿宋" w:cs="仿宋"/>
          <w:b/>
          <w:color w:val="auto"/>
          <w:sz w:val="36"/>
          <w:szCs w:val="36"/>
          <w:highlight w:val="none"/>
        </w:rPr>
        <w:t>评标办法</w:t>
      </w:r>
    </w:p>
    <w:p w14:paraId="11D87581">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5CF78D2D">
      <w:pPr>
        <w:adjustRightInd/>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w:t>
      </w:r>
      <w:r>
        <w:rPr>
          <w:rFonts w:hint="eastAsia" w:ascii="仿宋" w:hAnsi="仿宋" w:eastAsia="仿宋" w:cs="仿宋"/>
          <w:b/>
          <w:color w:val="auto"/>
          <w:kern w:val="0"/>
          <w:sz w:val="24"/>
          <w:szCs w:val="24"/>
          <w:highlight w:val="none"/>
          <w:lang w:eastAsia="zh-CN"/>
        </w:rPr>
        <w:t>最低价</w:t>
      </w:r>
      <w:r>
        <w:rPr>
          <w:rFonts w:hint="eastAsia" w:ascii="仿宋" w:hAnsi="仿宋" w:eastAsia="仿宋" w:cs="仿宋"/>
          <w:b/>
          <w:color w:val="auto"/>
          <w:kern w:val="0"/>
          <w:sz w:val="24"/>
          <w:szCs w:val="24"/>
          <w:highlight w:val="none"/>
        </w:rPr>
        <w:t>法。</w:t>
      </w:r>
      <w:r>
        <w:rPr>
          <w:rFonts w:hint="eastAsia" w:ascii="仿宋" w:hAnsi="仿宋" w:eastAsia="仿宋" w:cs="仿宋"/>
          <w:color w:val="auto"/>
          <w:kern w:val="0"/>
          <w:sz w:val="24"/>
          <w:szCs w:val="24"/>
          <w:highlight w:val="none"/>
        </w:rPr>
        <w:t>最低价法，是指投标文件满足招标文件全部实质性要求，依据统一的价格要素评定价格，以提出最低报价的</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作为中标候选人的评标方法。</w:t>
      </w:r>
    </w:p>
    <w:p w14:paraId="0DF331A7">
      <w:pPr>
        <w:adjustRightInd/>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608C2502">
      <w:pPr>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lang w:eastAsia="zh-CN"/>
        </w:rPr>
        <w:t>采用最低</w:t>
      </w:r>
      <w:r>
        <w:rPr>
          <w:rFonts w:hint="eastAsia" w:ascii="仿宋" w:hAnsi="仿宋" w:eastAsia="仿宋" w:cs="仿宋"/>
          <w:color w:val="auto"/>
          <w:kern w:val="0"/>
          <w:sz w:val="24"/>
          <w:szCs w:val="24"/>
          <w:highlight w:val="none"/>
        </w:rPr>
        <w:t>价法，按投标文件满足招标文件全部实质性要求且投标报价最低的</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为中标候选人。</w:t>
      </w:r>
    </w:p>
    <w:p w14:paraId="5C2DF387">
      <w:pPr>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57425F99">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的投标文件进行符合性审查，以确定其是否满足招标文件的实质性要求。不满足招标文件的实质性要求的，投标无效。</w:t>
      </w:r>
    </w:p>
    <w:p w14:paraId="39FD902D">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5FC75527">
      <w:pPr>
        <w:spacing w:line="360" w:lineRule="auto"/>
        <w:ind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3.3报价评审。</w:t>
      </w:r>
    </w:p>
    <w:p w14:paraId="4CCA95F7">
      <w:pPr>
        <w:pStyle w:val="136"/>
        <w:spacing w:before="0"/>
        <w:ind w:firstLine="508" w:firstLineChars="21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.1投标文件报价出现前后不一致的，按照下列规定修正：</w:t>
      </w:r>
    </w:p>
    <w:p w14:paraId="3CAFDF90">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.1.1投标文件中开标一览表(报价表)内容与投标文件中相应内容不一致的，以开标一览表(报价表)为准;</w:t>
      </w:r>
    </w:p>
    <w:p w14:paraId="38F53B70">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.1.2大写金额和小写金额不一致的，以大写金额为准;</w:t>
      </w:r>
    </w:p>
    <w:p w14:paraId="2A43453F">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.1.3单价金额小数点或者百分比有明显错位的，以开标一览表的总价为准，并修改单价;</w:t>
      </w:r>
    </w:p>
    <w:p w14:paraId="78F54AF0">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.1.4总价金额与按单价汇总金额不一致的，以单价金额计算结果为准。</w:t>
      </w:r>
    </w:p>
    <w:p w14:paraId="53319727">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确认后产生约束力。</w:t>
      </w:r>
    </w:p>
    <w:p w14:paraId="750B8AB2">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.2投标文件出现不是唯一的、有选择性投标报价的，投标无效。</w:t>
      </w:r>
    </w:p>
    <w:p w14:paraId="2B333202">
      <w:pPr>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.3投标报价超过招标文件中规定的预算金额或者最高限价的，投标无效。</w:t>
      </w:r>
    </w:p>
    <w:p w14:paraId="5773293C">
      <w:pPr>
        <w:pStyle w:val="136"/>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.4评标委员会认为</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的报价明显低于其他通过符合性审查</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不能证明其报价合理性的，评标委员会应当将其作为无效投标处理。</w:t>
      </w:r>
    </w:p>
    <w:p w14:paraId="42A3DB0F">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kern w:val="0"/>
          <w:sz w:val="24"/>
          <w:szCs w:val="24"/>
          <w:highlight w:val="none"/>
        </w:rPr>
        <w:t>3.</w:t>
      </w: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rPr>
        <w:t>排序与推荐。</w:t>
      </w:r>
      <w:r>
        <w:rPr>
          <w:rFonts w:hint="eastAsia" w:ascii="仿宋" w:hAnsi="仿宋" w:eastAsia="仿宋" w:cs="仿宋"/>
          <w:color w:val="auto"/>
          <w:kern w:val="0"/>
          <w:sz w:val="24"/>
          <w:szCs w:val="24"/>
          <w:highlight w:val="none"/>
          <w:lang w:eastAsia="zh-CN"/>
        </w:rPr>
        <w:t>采用最低</w:t>
      </w:r>
      <w:r>
        <w:rPr>
          <w:rFonts w:hint="eastAsia" w:ascii="仿宋" w:hAnsi="仿宋" w:eastAsia="仿宋" w:cs="仿宋"/>
          <w:color w:val="auto"/>
          <w:kern w:val="0"/>
          <w:sz w:val="24"/>
          <w:szCs w:val="24"/>
          <w:highlight w:val="none"/>
        </w:rPr>
        <w:t>价法</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，评标结果按</w:t>
      </w:r>
      <w:r>
        <w:rPr>
          <w:rFonts w:hint="eastAsia" w:ascii="仿宋" w:hAnsi="仿宋" w:eastAsia="仿宋" w:cs="仿宋"/>
          <w:color w:val="auto"/>
          <w:sz w:val="24"/>
          <w:szCs w:val="24"/>
          <w:highlight w:val="none"/>
        </w:rPr>
        <w:t>投标文件满足招标文件全部实质性要求且投标报价最低的</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为排名第一的中标候选人。投标报价相同的并列。当出现并列时采取随机抽取方式确定</w:t>
      </w:r>
      <w:r>
        <w:rPr>
          <w:rFonts w:hint="eastAsia" w:ascii="仿宋" w:hAnsi="仿宋" w:eastAsia="仿宋" w:cs="仿宋"/>
          <w:color w:val="auto"/>
          <w:sz w:val="24"/>
          <w:szCs w:val="24"/>
          <w:highlight w:val="none"/>
          <w:lang w:eastAsia="zh-CN"/>
        </w:rPr>
        <w:t>。</w:t>
      </w:r>
    </w:p>
    <w:p w14:paraId="30813741">
      <w:pPr>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w:t>
      </w:r>
      <w:r>
        <w:rPr>
          <w:rFonts w:hint="eastAsia" w:ascii="仿宋" w:hAnsi="仿宋" w:eastAsia="仿宋" w:cs="仿宋"/>
          <w:b/>
          <w:color w:val="auto"/>
          <w:kern w:val="0"/>
          <w:sz w:val="24"/>
          <w:szCs w:val="24"/>
          <w:highlight w:val="none"/>
          <w:lang w:val="en-US" w:eastAsia="zh-CN"/>
        </w:rPr>
        <w:t>5</w:t>
      </w:r>
      <w:r>
        <w:rPr>
          <w:rFonts w:hint="eastAsia" w:ascii="仿宋" w:hAnsi="仿宋" w:eastAsia="仿宋" w:cs="仿宋"/>
          <w:b/>
          <w:color w:val="auto"/>
          <w:kern w:val="0"/>
          <w:sz w:val="24"/>
          <w:szCs w:val="24"/>
          <w:highlight w:val="none"/>
        </w:rPr>
        <w:t>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818C22">
      <w:pPr>
        <w:widowControl/>
        <w:shd w:val="clear" w:color="auto" w:fill="FFFFFF"/>
        <w:adjustRightInd/>
        <w:spacing w:after="225" w:line="315" w:lineRule="atLeas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3B20BCD9">
      <w:pPr>
        <w:pStyle w:val="136"/>
        <w:spacing w:before="0"/>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w:t>
      </w:r>
      <w:r>
        <w:rPr>
          <w:rFonts w:hint="eastAsia" w:ascii="仿宋" w:hAnsi="仿宋" w:eastAsia="仿宋" w:cs="仿宋"/>
          <w:b/>
          <w:color w:val="auto"/>
          <w:kern w:val="0"/>
          <w:sz w:val="24"/>
          <w:szCs w:val="24"/>
          <w:highlight w:val="none"/>
          <w:lang w:eastAsia="zh-CN"/>
        </w:rPr>
        <w:t>响应人</w:t>
      </w:r>
      <w:r>
        <w:rPr>
          <w:rFonts w:hint="eastAsia" w:ascii="仿宋" w:hAnsi="仿宋" w:eastAsia="仿宋" w:cs="仿宋"/>
          <w:b/>
          <w:color w:val="auto"/>
          <w:kern w:val="0"/>
          <w:sz w:val="24"/>
          <w:szCs w:val="24"/>
          <w:highlight w:val="none"/>
        </w:rPr>
        <w:t>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作出必要的澄清、说明或者补正的，评标委员会和</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通过电子交易平台交换数据电文，</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提交使用电子签名的相关数据电文或通过平台上传加盖公章的扫描件。给予</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提交澄清、说明或补正的时间不得少于半小时，</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已经明确表示澄清说明或补正完毕的除外。</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的澄清、说明或者补正不得超出投标文件的范围或者改变投标文件的实质性内容。</w:t>
      </w:r>
    </w:p>
    <w:p w14:paraId="473FB374">
      <w:pPr>
        <w:pStyle w:val="16"/>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14:paraId="134DB3D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不具备招标文件中规定的资格要求的（</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未提供有效的资格文件的，视为</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不具备招标文件中规定的资格要求）；</w:t>
      </w:r>
    </w:p>
    <w:p w14:paraId="6C37503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3C425EB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4.2.3投标文件含有采购人不能接受的附加条件的；</w:t>
      </w:r>
    </w:p>
    <w:p w14:paraId="61E1060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4.2.4投标文件中承诺的投标有效期少于招标文件中载明的投标有效期的；</w:t>
      </w:r>
    </w:p>
    <w:p w14:paraId="79922A8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4.2.5投标文件出现不是唯一的、有选择性投标报价的;</w:t>
      </w:r>
    </w:p>
    <w:p w14:paraId="5E6E970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4.2.6投标报价超过招标文件中规定的预算金额或者最高限价的;</w:t>
      </w:r>
    </w:p>
    <w:p w14:paraId="238B055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4.2.7报价明显低于其他通过符合性审查</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的报价，有可能影响产品质量或者不能诚信履约的，未能按要求提供书面说明或者提交相关证明材料，不能证明其报价合理性的;</w:t>
      </w:r>
    </w:p>
    <w:p w14:paraId="0330480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对根据修正原则修正后的报价不确认的；</w:t>
      </w:r>
    </w:p>
    <w:p w14:paraId="4BE52F3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提供虚假材料投标的；</w:t>
      </w:r>
    </w:p>
    <w:p w14:paraId="1A0715C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有恶意串通、妨碍其他</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的竞争行为、损害采购人或者其他</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的合法权益情形的；</w:t>
      </w:r>
    </w:p>
    <w:p w14:paraId="6BAF0BF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w:t>
      </w: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仅提交备份投标文件，未在电子交易平台传输递交投标文件的，投标无效；</w:t>
      </w:r>
    </w:p>
    <w:p w14:paraId="56E9DD13">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4.2.12投标文件不满足招标文件的其它实质性要求的；</w:t>
      </w:r>
    </w:p>
    <w:p w14:paraId="5D9A735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val="en-US"/>
        </w:rPr>
        <w:t xml:space="preserve">4.2.13 </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14:paraId="69706C8C">
      <w:pPr>
        <w:pStyle w:val="16"/>
        <w:snapToGrid w:val="0"/>
        <w:spacing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在采购中，出现下列情形之一的，应予废标：</w:t>
      </w:r>
    </w:p>
    <w:p w14:paraId="73314A35">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6A9F0484">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1004A371">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的报价均超过了采购预算，采购人不能支付的；</w:t>
      </w:r>
    </w:p>
    <w:p w14:paraId="4EC18B8C">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38492BA7">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废标后，采购机构应当将废标理由通知所有</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w:t>
      </w:r>
    </w:p>
    <w:p w14:paraId="7579370E">
      <w:pPr>
        <w:pStyle w:val="16"/>
        <w:snapToGrid w:val="0"/>
        <w:spacing w:line="360" w:lineRule="auto"/>
        <w:ind w:firstLine="590" w:firstLineChars="245"/>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DD53236">
      <w:pPr>
        <w:pStyle w:val="16"/>
        <w:snapToGrid w:val="0"/>
        <w:spacing w:line="360" w:lineRule="auto"/>
        <w:ind w:firstLine="590" w:firstLineChars="245"/>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0135B1E4">
      <w:pPr>
        <w:pStyle w:val="16"/>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7.1未确定中标或者中标人的，终止本次采购活动，重新开展采购活动。</w:t>
      </w:r>
    </w:p>
    <w:p w14:paraId="6259B315">
      <w:pPr>
        <w:pStyle w:val="16"/>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2A10DF32">
      <w:pPr>
        <w:pStyle w:val="16"/>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7.3采购合同已签订但尚未履行的，撤销合同，从合格的中标或者成交候选人中另行确定中标或者中标人；没有合格的中标或者成交候选人的，重新开展采购活动。</w:t>
      </w:r>
    </w:p>
    <w:p w14:paraId="4C9A8702">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7.4采购合同已经履行，给采购人、供应商造成损失的，由责任人承担赔偿责任。</w:t>
      </w:r>
    </w:p>
    <w:p w14:paraId="2A954228">
      <w:pPr>
        <w:adjustRightInd/>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7.5采购当事人有其他违反法律法规规定的行为，经改正后仍然影响或者可能影响中标、成交结果或者依法被认定为中标、成交无效的，依照7.1-7.4规定处理。</w:t>
      </w:r>
    </w:p>
    <w:p w14:paraId="61C8E11A">
      <w:pPr>
        <w:pStyle w:val="16"/>
        <w:snapToGrid w:val="0"/>
        <w:spacing w:line="360" w:lineRule="auto"/>
        <w:ind w:firstLine="0" w:firstLineChars="0"/>
        <w:rPr>
          <w:rFonts w:hint="eastAsia" w:ascii="仿宋" w:hAnsi="仿宋" w:eastAsia="仿宋" w:cs="仿宋"/>
          <w:color w:val="auto"/>
          <w:highlight w:val="none"/>
        </w:rPr>
      </w:pPr>
    </w:p>
    <w:bookmarkEnd w:id="15"/>
    <w:p w14:paraId="0CC2BB86">
      <w:pPr>
        <w:rPr>
          <w:rFonts w:hint="eastAsia" w:ascii="仿宋" w:hAnsi="仿宋" w:eastAsia="仿宋" w:cs="仿宋"/>
          <w:b/>
          <w:color w:val="auto"/>
          <w:sz w:val="36"/>
          <w:szCs w:val="36"/>
          <w:highlight w:val="none"/>
        </w:rPr>
      </w:pPr>
      <w:bookmarkStart w:id="381" w:name="第五部分"/>
      <w:bookmarkStart w:id="382" w:name="_Toc86217003"/>
      <w:r>
        <w:rPr>
          <w:rFonts w:hint="eastAsia" w:ascii="仿宋" w:hAnsi="仿宋" w:eastAsia="仿宋" w:cs="仿宋"/>
          <w:b/>
          <w:color w:val="auto"/>
          <w:sz w:val="36"/>
          <w:szCs w:val="36"/>
          <w:highlight w:val="none"/>
        </w:rPr>
        <w:br w:type="page"/>
      </w:r>
    </w:p>
    <w:p w14:paraId="4A4D929D">
      <w:pPr>
        <w:pStyle w:val="2"/>
        <w:spacing w:line="240" w:lineRule="auto"/>
        <w:ind w:left="431" w:hanging="431"/>
        <w:jc w:val="center"/>
        <w:rPr>
          <w:rFonts w:hint="eastAsia" w:ascii="仿宋" w:hAnsi="仿宋" w:eastAsia="仿宋" w:cs="仿宋"/>
          <w:color w:val="auto"/>
          <w:highlight w:val="none"/>
        </w:rPr>
      </w:pPr>
      <w:r>
        <w:rPr>
          <w:rFonts w:hint="eastAsia" w:ascii="仿宋" w:hAnsi="仿宋" w:eastAsia="仿宋" w:cs="仿宋"/>
          <w:color w:val="auto"/>
          <w:highlight w:val="none"/>
        </w:rPr>
        <w:t>第五部分 拟签订的合同文本</w:t>
      </w:r>
    </w:p>
    <w:p w14:paraId="4251EF42">
      <w:pPr>
        <w:pStyle w:val="16"/>
        <w:snapToGrid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类参考样本）</w:t>
      </w:r>
    </w:p>
    <w:p w14:paraId="4DE681AE">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14:paraId="5E5BFF8A">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                                 签订时间：20* 年  月  日</w:t>
      </w:r>
    </w:p>
    <w:p w14:paraId="3A183B29">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014E1BCC">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甲方（需方）：                                     </w:t>
      </w:r>
    </w:p>
    <w:p w14:paraId="31C7E44B">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乙方（供方）：                                     </w:t>
      </w:r>
    </w:p>
    <w:p w14:paraId="3855146A">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供、需双方根据杭州市萧山区                       项目（招标编号  -   ）招标结果和招标文件的要求，并经双方协调一致，订立本采购合同。</w:t>
      </w:r>
    </w:p>
    <w:p w14:paraId="7B36BF7E">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14:paraId="4FDC7843">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1、合同条款。</w:t>
      </w:r>
    </w:p>
    <w:p w14:paraId="07C7B929">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w:t>
      </w:r>
    </w:p>
    <w:p w14:paraId="13C597E2">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3、招标文件。</w:t>
      </w:r>
    </w:p>
    <w:p w14:paraId="4E7451AC">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4、更正公告。</w:t>
      </w:r>
    </w:p>
    <w:p w14:paraId="0CFD8D8D">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投标文件。</w:t>
      </w:r>
    </w:p>
    <w:p w14:paraId="059C0095">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w:t>
      </w:r>
    </w:p>
    <w:p w14:paraId="4A23E0D7">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二、合同金额: 本合同金额为(大写)_________________元（￥　　　　元）人民币附：</w:t>
      </w:r>
    </w:p>
    <w:p w14:paraId="62C0F8D2">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《采购项目清单内容》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45"/>
        <w:gridCol w:w="1176"/>
        <w:gridCol w:w="1896"/>
        <w:gridCol w:w="696"/>
        <w:gridCol w:w="1896"/>
      </w:tblGrid>
      <w:tr w14:paraId="3BAA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5AF08272">
            <w:pPr>
              <w:pStyle w:val="16"/>
              <w:snapToGrid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28C4E69B">
            <w:pPr>
              <w:pStyle w:val="16"/>
              <w:snapToGrid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8EA72F5">
            <w:pPr>
              <w:pStyle w:val="16"/>
              <w:snapToGrid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中标内容</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E93D061">
            <w:pPr>
              <w:pStyle w:val="16"/>
              <w:snapToGrid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中标单价（元）</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E226E57">
            <w:pPr>
              <w:pStyle w:val="16"/>
              <w:snapToGrid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B9B663E">
            <w:pPr>
              <w:pStyle w:val="16"/>
              <w:snapToGrid w:val="0"/>
              <w:spacing w:line="4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中标总价（元）</w:t>
            </w:r>
          </w:p>
        </w:tc>
      </w:tr>
      <w:tr w14:paraId="52D1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3DE4253">
            <w:pPr>
              <w:pStyle w:val="16"/>
              <w:snapToGrid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166D7BD9">
            <w:pPr>
              <w:pStyle w:val="16"/>
              <w:snapToGrid w:val="0"/>
              <w:spacing w:line="400" w:lineRule="exact"/>
              <w:rPr>
                <w:rFonts w:hint="eastAsia" w:ascii="仿宋" w:hAnsi="仿宋" w:eastAsia="仿宋" w:cs="仿宋"/>
                <w:color w:val="auto"/>
                <w:sz w:val="24"/>
                <w:szCs w:val="24"/>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25DA430">
            <w:pPr>
              <w:pStyle w:val="16"/>
              <w:snapToGrid w:val="0"/>
              <w:spacing w:line="400" w:lineRule="exact"/>
              <w:rPr>
                <w:rFonts w:hint="eastAsia" w:ascii="仿宋" w:hAnsi="仿宋" w:eastAsia="仿宋" w:cs="仿宋"/>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A913AFA">
            <w:pPr>
              <w:pStyle w:val="16"/>
              <w:snapToGrid w:val="0"/>
              <w:spacing w:line="400" w:lineRule="exact"/>
              <w:rPr>
                <w:rFonts w:hint="eastAsia" w:ascii="仿宋" w:hAnsi="仿宋" w:eastAsia="仿宋" w:cs="仿宋"/>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B150AE8">
            <w:pPr>
              <w:pStyle w:val="16"/>
              <w:snapToGrid w:val="0"/>
              <w:spacing w:line="400" w:lineRule="exact"/>
              <w:rPr>
                <w:rFonts w:hint="eastAsia" w:ascii="仿宋" w:hAnsi="仿宋" w:eastAsia="仿宋" w:cs="仿宋"/>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74BEFE02">
            <w:pPr>
              <w:pStyle w:val="16"/>
              <w:snapToGrid w:val="0"/>
              <w:spacing w:line="400" w:lineRule="exact"/>
              <w:rPr>
                <w:rFonts w:hint="eastAsia" w:ascii="仿宋" w:hAnsi="仿宋" w:eastAsia="仿宋" w:cs="仿宋"/>
                <w:color w:val="auto"/>
                <w:sz w:val="24"/>
                <w:szCs w:val="24"/>
                <w:highlight w:val="none"/>
              </w:rPr>
            </w:pPr>
          </w:p>
        </w:tc>
      </w:tr>
      <w:tr w14:paraId="7A0D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0F03D9CA">
            <w:pPr>
              <w:pStyle w:val="16"/>
              <w:snapToGrid w:val="0"/>
              <w:spacing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764F731B">
            <w:pPr>
              <w:pStyle w:val="16"/>
              <w:snapToGrid w:val="0"/>
              <w:spacing w:line="400" w:lineRule="exact"/>
              <w:rPr>
                <w:rFonts w:hint="eastAsia" w:ascii="仿宋" w:hAnsi="仿宋" w:eastAsia="仿宋" w:cs="仿宋"/>
                <w:color w:val="auto"/>
                <w:sz w:val="24"/>
                <w:szCs w:val="24"/>
                <w:highlight w:val="none"/>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D0670CB">
            <w:pPr>
              <w:pStyle w:val="16"/>
              <w:snapToGrid w:val="0"/>
              <w:spacing w:line="400" w:lineRule="exact"/>
              <w:rPr>
                <w:rFonts w:hint="eastAsia" w:ascii="仿宋" w:hAnsi="仿宋" w:eastAsia="仿宋" w:cs="仿宋"/>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4ECAE18E">
            <w:pPr>
              <w:pStyle w:val="16"/>
              <w:snapToGrid w:val="0"/>
              <w:spacing w:line="400" w:lineRule="exact"/>
              <w:rPr>
                <w:rFonts w:hint="eastAsia" w:ascii="仿宋" w:hAnsi="仿宋" w:eastAsia="仿宋" w:cs="仿宋"/>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34EA1753">
            <w:pPr>
              <w:pStyle w:val="16"/>
              <w:snapToGrid w:val="0"/>
              <w:spacing w:line="400" w:lineRule="exact"/>
              <w:rPr>
                <w:rFonts w:hint="eastAsia" w:ascii="仿宋" w:hAnsi="仿宋" w:eastAsia="仿宋" w:cs="仿宋"/>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1B726113">
            <w:pPr>
              <w:pStyle w:val="16"/>
              <w:snapToGrid w:val="0"/>
              <w:spacing w:line="400" w:lineRule="exact"/>
              <w:rPr>
                <w:rFonts w:hint="eastAsia" w:ascii="仿宋" w:hAnsi="仿宋" w:eastAsia="仿宋" w:cs="仿宋"/>
                <w:color w:val="auto"/>
                <w:sz w:val="24"/>
                <w:szCs w:val="24"/>
                <w:highlight w:val="none"/>
              </w:rPr>
            </w:pPr>
          </w:p>
        </w:tc>
      </w:tr>
    </w:tbl>
    <w:p w14:paraId="4EA459F9">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三、技术资料</w:t>
      </w:r>
    </w:p>
    <w:p w14:paraId="40544434">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1.乙方应按招标文件规定的时间向甲方提供有关技术资料。</w:t>
      </w:r>
    </w:p>
    <w:p w14:paraId="1E00074D">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FEA9620">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四、知识产权</w:t>
      </w:r>
    </w:p>
    <w:p w14:paraId="6FA444C6">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47422EF9">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五、履约保证金</w:t>
      </w:r>
    </w:p>
    <w:p w14:paraId="6B9DDE61">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本合同履约保证金    元。（乙方应当以支票、汇票、本票或者金融机构、担保机构出具的保函等非现金形式提交。）</w:t>
      </w:r>
    </w:p>
    <w:p w14:paraId="3ABB4365">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六、转包或分包</w:t>
      </w:r>
    </w:p>
    <w:p w14:paraId="0ACC56F4">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，应由乙方直接供应，不得转让他人供应；</w:t>
      </w:r>
    </w:p>
    <w:p w14:paraId="4736354D">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全部或部分分包给他人供应；</w:t>
      </w:r>
    </w:p>
    <w:p w14:paraId="5D6BC2CF">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14:paraId="585D053F">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七、质量保证期</w:t>
      </w:r>
    </w:p>
    <w:p w14:paraId="2260591E">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质量保证期      年。（自验收合格之日起计）</w:t>
      </w:r>
    </w:p>
    <w:p w14:paraId="3E1BD94F">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八、合同履行时间、履行方式及履行地点</w:t>
      </w:r>
    </w:p>
    <w:p w14:paraId="478574CF">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履行时间：</w:t>
      </w:r>
    </w:p>
    <w:p w14:paraId="702DEBBC">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履行方式：</w:t>
      </w:r>
    </w:p>
    <w:p w14:paraId="7F479512">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履行地点：</w:t>
      </w:r>
    </w:p>
    <w:p w14:paraId="0EC54516">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九、款项支付</w:t>
      </w:r>
    </w:p>
    <w:p w14:paraId="6D05AE43">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1.付款方式：</w:t>
      </w:r>
    </w:p>
    <w:p w14:paraId="1546A3EB">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2.合同履行完毕，需方根据合同进行验收，验收合格后</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按财政结算要求办理货款结算手续。</w:t>
      </w:r>
    </w:p>
    <w:p w14:paraId="2C72C026">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十、税费</w:t>
      </w:r>
    </w:p>
    <w:p w14:paraId="6EA65C01">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136BDD11">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十一、质量保证及后续服务</w:t>
      </w:r>
    </w:p>
    <w:p w14:paraId="3BD08E76">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乙方应按招标文件规定向甲方提供服务。</w:t>
      </w:r>
    </w:p>
    <w:p w14:paraId="06FD12C9">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在质量保证期内发生故障，乙方应负责免费提供后续服务。对达不到要求者，根据实际情况，经双方协商，可按以下办法处理：</w:t>
      </w:r>
    </w:p>
    <w:p w14:paraId="368DB7CA">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lang w:val="en-US" w:eastAsia="zh-CN"/>
        </w:rPr>
        <w:t>退换</w:t>
      </w:r>
      <w:r>
        <w:rPr>
          <w:rFonts w:hint="eastAsia" w:ascii="仿宋" w:hAnsi="仿宋" w:eastAsia="仿宋" w:cs="仿宋"/>
          <w:color w:val="auto"/>
          <w:sz w:val="24"/>
          <w:szCs w:val="24"/>
          <w:highlight w:val="none"/>
        </w:rPr>
        <w:t>：由乙方承担所发生的全部费用。</w:t>
      </w:r>
    </w:p>
    <w:p w14:paraId="2806D0DD">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⑵贬值处理：由甲乙双方合议定价。</w:t>
      </w:r>
    </w:p>
    <w:p w14:paraId="68291E69">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⑶解除合同。</w:t>
      </w:r>
    </w:p>
    <w:p w14:paraId="66864A2D">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如在使用过程中发生问题，乙方在接到甲方通知后在   小时内到达甲方现场。</w:t>
      </w:r>
    </w:p>
    <w:p w14:paraId="0AF762D8">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4.在质量保证期内，乙方应对出现的质量及安全问题负责处理解决并承担一切费用。</w:t>
      </w:r>
    </w:p>
    <w:p w14:paraId="35A2938F">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十二、违约责任</w:t>
      </w:r>
    </w:p>
    <w:p w14:paraId="7ABCEF95">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1.甲方无正当理由拒绝接收</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的，甲方向乙方偿付合同款项百分之 五 作为违约金。</w:t>
      </w:r>
    </w:p>
    <w:p w14:paraId="0B60FE63">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 五向乙方支付违约金。</w:t>
      </w:r>
    </w:p>
    <w:p w14:paraId="05A8FB34">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3.乙方未能如期提供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的，每日向甲方支付合同款项的千分之 六 作为违约金。乙方超过约定日期10个工作日仍不能提供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的，甲方可解除本合同，不予退还履约保证金，如造成甲方损失超过履约保证金的，超出部分由乙方继续承担赔偿责任。</w:t>
      </w:r>
    </w:p>
    <w:p w14:paraId="0974C9FF">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4.供方在</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项目验收合格之日起保修期内违反本合同有关承诺保证的，损失由乙方承担赔偿。</w:t>
      </w:r>
    </w:p>
    <w:p w14:paraId="4ED9D7DB">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5.如发现乙方违反招投标文件和合同的有关规定，甲方有权根据约定和《杭州市政府采购</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合同履行和售后服务考核暂行办法》，对乙方进行处罚，并有权提前终止合同。</w:t>
      </w:r>
    </w:p>
    <w:p w14:paraId="2AB83B10">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十三、争议的解决</w:t>
      </w:r>
    </w:p>
    <w:p w14:paraId="7FE97AB7">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因本合同引起的或与本合同有关的任何争议，合同双方应首先通过协商解决，达成书面协议，如协商不成，可选择下列第      种方式解决。</w:t>
      </w:r>
    </w:p>
    <w:p w14:paraId="1F388E14">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（1）提请杭州仲裁委员会按照该会仲裁规则进行仲裁，仲裁裁决是终局的，对合同双方均有约束力。</w:t>
      </w:r>
    </w:p>
    <w:p w14:paraId="551D3F8F">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（2）向有管辖权的人民法院提起诉讼。</w:t>
      </w:r>
    </w:p>
    <w:p w14:paraId="0FC8EFF6">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十四、合同生效</w:t>
      </w:r>
    </w:p>
    <w:p w14:paraId="63BE6FE1">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1.中标方持中标通知书作为与需方签订合同的凭证。</w:t>
      </w:r>
    </w:p>
    <w:p w14:paraId="1630D841">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2.本合同经需、供双方法定代表人（符合浙财采监【2013】24号第六条规定的为负责人）或其授权委托人签字并加盖单位公章后生效。</w:t>
      </w:r>
    </w:p>
    <w:p w14:paraId="293585BD">
      <w:pPr>
        <w:pStyle w:val="16"/>
        <w:snapToGrid w:val="0"/>
        <w:spacing w:line="360" w:lineRule="auto"/>
        <w:rPr>
          <w:rFonts w:hint="eastAsia" w:ascii="仿宋" w:hAnsi="仿宋" w:eastAsia="仿宋" w:cs="仿宋"/>
          <w:color w:val="auto"/>
          <w:sz w:val="24"/>
          <w:szCs w:val="24"/>
          <w:highlight w:val="none"/>
        </w:rPr>
      </w:pPr>
    </w:p>
    <w:p w14:paraId="2F5E8AC0">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需方（盖章）：                     供方（盖章）：</w:t>
      </w:r>
    </w:p>
    <w:p w14:paraId="22669FE0">
      <w:pPr>
        <w:pStyle w:val="16"/>
        <w:snapToGrid w:val="0"/>
        <w:spacing w:line="360" w:lineRule="auto"/>
        <w:rPr>
          <w:rFonts w:hint="eastAsia" w:ascii="仿宋" w:hAnsi="仿宋" w:eastAsia="仿宋" w:cs="仿宋"/>
          <w:color w:val="auto"/>
          <w:sz w:val="24"/>
          <w:szCs w:val="24"/>
          <w:highlight w:val="none"/>
        </w:rPr>
      </w:pPr>
    </w:p>
    <w:p w14:paraId="5229EE03">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535B830F">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法定代表人（或委托代理人）签名：   法定代表人（或委托代理人）签名：</w:t>
      </w:r>
    </w:p>
    <w:p w14:paraId="699005B5">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A20E02E">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联系电话：</w:t>
      </w:r>
    </w:p>
    <w:p w14:paraId="10411C20">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6B680A25">
      <w:pPr>
        <w:pStyle w:val="1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2AE25B23">
      <w:pPr>
        <w:spacing w:line="240" w:lineRule="auto"/>
        <w:ind w:left="0" w:firstLine="480" w:firstLineChars="200"/>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帐号：                             帐号：</w:t>
      </w:r>
      <w:r>
        <w:rPr>
          <w:rFonts w:hint="eastAsia" w:ascii="仿宋" w:hAnsi="仿宋" w:eastAsia="仿宋" w:cs="仿宋"/>
          <w:color w:val="auto"/>
          <w:highlight w:val="none"/>
        </w:rPr>
        <w:br w:type="page"/>
      </w:r>
    </w:p>
    <w:p w14:paraId="6C4D4AF4">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14:paraId="0C9FD53A">
      <w:pPr>
        <w:spacing w:line="360" w:lineRule="auto"/>
        <w:jc w:val="center"/>
        <w:outlineLvl w:val="0"/>
        <w:rPr>
          <w:rFonts w:hint="eastAsia" w:ascii="仿宋" w:hAnsi="仿宋" w:eastAsia="仿宋" w:cs="仿宋"/>
          <w:b/>
          <w:color w:val="auto"/>
          <w:kern w:val="0"/>
          <w:sz w:val="36"/>
          <w:szCs w:val="36"/>
          <w:highlight w:val="none"/>
        </w:rPr>
      </w:pPr>
    </w:p>
    <w:p w14:paraId="55B97EC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42D541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BEB978D">
      <w:pPr>
        <w:spacing w:line="360" w:lineRule="auto"/>
        <w:jc w:val="center"/>
        <w:outlineLvl w:val="0"/>
        <w:rPr>
          <w:rFonts w:hint="eastAsia" w:ascii="仿宋" w:hAnsi="仿宋" w:eastAsia="仿宋" w:cs="仿宋"/>
          <w:b/>
          <w:color w:val="auto"/>
          <w:kern w:val="0"/>
          <w:sz w:val="36"/>
          <w:szCs w:val="36"/>
          <w:highlight w:val="none"/>
        </w:rPr>
      </w:pPr>
    </w:p>
    <w:p w14:paraId="12589756">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有关响应人资质资格的证明证书：</w:t>
      </w:r>
    </w:p>
    <w:p w14:paraId="06FE94E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a、法人营业执照副本复印件、</w:t>
      </w:r>
      <w:r>
        <w:rPr>
          <w:rFonts w:hint="eastAsia" w:ascii="仿宋" w:hAnsi="仿宋" w:eastAsia="仿宋" w:cs="仿宋"/>
          <w:color w:val="auto"/>
          <w:sz w:val="24"/>
          <w:highlight w:val="none"/>
          <w:lang w:val="en-US" w:eastAsia="zh-CN"/>
        </w:rPr>
        <w:t>经营许可证</w:t>
      </w:r>
      <w:r>
        <w:rPr>
          <w:rFonts w:hint="eastAsia" w:ascii="仿宋" w:hAnsi="仿宋" w:eastAsia="仿宋" w:cs="仿宋"/>
          <w:color w:val="auto"/>
          <w:sz w:val="24"/>
          <w:highlight w:val="none"/>
          <w:lang w:val="zh-CN"/>
        </w:rPr>
        <w:t>（加盖公章）；</w:t>
      </w:r>
    </w:p>
    <w:p w14:paraId="012FCFF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rPr>
        <w:t>b、润滑油经销资格</w:t>
      </w:r>
      <w:r>
        <w:rPr>
          <w:rFonts w:hint="eastAsia" w:ascii="仿宋" w:hAnsi="仿宋" w:eastAsia="仿宋" w:cs="仿宋"/>
          <w:color w:val="auto"/>
          <w:sz w:val="24"/>
          <w:highlight w:val="none"/>
          <w:lang w:val="en-US" w:eastAsia="zh-CN"/>
        </w:rPr>
        <w:t>证明；</w:t>
      </w:r>
    </w:p>
    <w:p w14:paraId="36325B7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lang w:val="zh-CN"/>
        </w:rPr>
        <w:t>、项目业绩证明合同复印件（加盖公章）；</w:t>
      </w:r>
    </w:p>
    <w:p w14:paraId="4E8FCB9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lang w:val="zh-CN"/>
        </w:rPr>
        <w:t>、须满足此油品采购规格及具有足够的供应、储存、运输及技术条件的能力；</w:t>
      </w:r>
    </w:p>
    <w:p w14:paraId="78594ED3">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e</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增值税一般纳税人证明文件</w:t>
      </w:r>
      <w:r>
        <w:rPr>
          <w:rFonts w:hint="eastAsia" w:ascii="仿宋" w:hAnsi="仿宋" w:eastAsia="仿宋" w:cs="仿宋"/>
          <w:color w:val="auto"/>
          <w:sz w:val="24"/>
          <w:highlight w:val="none"/>
        </w:rPr>
        <w:t>；</w:t>
      </w:r>
    </w:p>
    <w:p w14:paraId="77D82F3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f</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保证金凭证原件复印件;</w:t>
      </w:r>
    </w:p>
    <w:p w14:paraId="6C51FEA6">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未被“信用中国”（www.creditchina.gov.cn）列入失信被执行人。</w:t>
      </w:r>
    </w:p>
    <w:p w14:paraId="228657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h</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对接负责人的身份证复印件及在本投标单位公司的社保缴纳证明</w:t>
      </w:r>
      <w:r>
        <w:rPr>
          <w:rFonts w:hint="eastAsia" w:ascii="仿宋" w:hAnsi="仿宋" w:eastAsia="仿宋" w:cs="仿宋"/>
          <w:color w:val="auto"/>
          <w:sz w:val="24"/>
          <w:highlight w:val="none"/>
        </w:rPr>
        <w:t>。</w:t>
      </w:r>
    </w:p>
    <w:p w14:paraId="0DDC7517">
      <w:pPr>
        <w:spacing w:line="360" w:lineRule="auto"/>
        <w:ind w:firstLine="480" w:firstLineChars="200"/>
        <w:rPr>
          <w:rFonts w:hint="eastAsia" w:ascii="仿宋" w:hAnsi="仿宋" w:eastAsia="仿宋" w:cs="仿宋"/>
          <w:color w:val="auto"/>
          <w:sz w:val="24"/>
          <w:highlight w:val="none"/>
        </w:rPr>
      </w:pPr>
    </w:p>
    <w:p w14:paraId="3312669E">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val="zh-CN"/>
        </w:rPr>
        <w:t>有关响应人资质资格的证明证书</w:t>
      </w:r>
    </w:p>
    <w:p w14:paraId="5FBD61A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本项目的资格要求提供相应的材料）</w:t>
      </w:r>
    </w:p>
    <w:p w14:paraId="09E4B18C">
      <w:pPr>
        <w:rPr>
          <w:rFonts w:hint="eastAsia" w:ascii="仿宋" w:hAnsi="仿宋" w:eastAsia="仿宋" w:cs="仿宋"/>
          <w:color w:val="auto"/>
          <w:highlight w:val="none"/>
        </w:rPr>
      </w:pPr>
    </w:p>
    <w:p w14:paraId="24BF11D8">
      <w:pPr>
        <w:snapToGrid w:val="0"/>
        <w:spacing w:line="360" w:lineRule="auto"/>
        <w:ind w:right="480"/>
        <w:jc w:val="center"/>
        <w:rPr>
          <w:rFonts w:hint="eastAsia" w:ascii="仿宋" w:hAnsi="仿宋" w:eastAsia="仿宋" w:cs="仿宋"/>
          <w:b/>
          <w:color w:val="auto"/>
          <w:kern w:val="0"/>
          <w:sz w:val="32"/>
          <w:szCs w:val="32"/>
          <w:highlight w:val="none"/>
        </w:rPr>
      </w:pPr>
    </w:p>
    <w:p w14:paraId="3F2DDB77">
      <w:pPr>
        <w:snapToGrid w:val="0"/>
        <w:spacing w:line="360" w:lineRule="auto"/>
        <w:ind w:right="480"/>
        <w:jc w:val="center"/>
        <w:rPr>
          <w:rFonts w:hint="eastAsia" w:ascii="仿宋" w:hAnsi="仿宋" w:eastAsia="仿宋" w:cs="仿宋"/>
          <w:b/>
          <w:color w:val="auto"/>
          <w:kern w:val="0"/>
          <w:sz w:val="32"/>
          <w:szCs w:val="32"/>
          <w:highlight w:val="none"/>
        </w:rPr>
      </w:pPr>
    </w:p>
    <w:p w14:paraId="6F6EFB0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74C910D">
      <w:pPr>
        <w:pStyle w:val="63"/>
        <w:rPr>
          <w:rFonts w:hint="eastAsia" w:ascii="仿宋" w:hAnsi="仿宋" w:eastAsia="仿宋" w:cs="仿宋"/>
          <w:color w:val="auto"/>
          <w:highlight w:val="none"/>
        </w:rPr>
      </w:pPr>
    </w:p>
    <w:p w14:paraId="75E19BFA">
      <w:pPr>
        <w:spacing w:line="240" w:lineRule="auto"/>
        <w:ind w:right="0" w:firstLine="0" w:firstLineChars="0"/>
        <w:rPr>
          <w:rFonts w:hint="eastAsia" w:ascii="仿宋" w:hAnsi="仿宋" w:eastAsia="仿宋" w:cs="仿宋"/>
          <w:b/>
          <w:color w:val="auto"/>
          <w:kern w:val="0"/>
          <w:sz w:val="36"/>
          <w:szCs w:val="36"/>
          <w:highlight w:val="none"/>
        </w:rPr>
      </w:pPr>
    </w:p>
    <w:p w14:paraId="0964BBD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513ADCD">
      <w:pPr>
        <w:spacing w:line="360" w:lineRule="auto"/>
        <w:jc w:val="center"/>
        <w:outlineLvl w:val="0"/>
        <w:rPr>
          <w:rFonts w:hint="eastAsia" w:ascii="仿宋" w:hAnsi="仿宋" w:eastAsia="仿宋" w:cs="仿宋"/>
          <w:b/>
          <w:color w:val="auto"/>
          <w:kern w:val="0"/>
          <w:sz w:val="24"/>
          <w:highlight w:val="none"/>
        </w:rPr>
      </w:pPr>
    </w:p>
    <w:p w14:paraId="5B04933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6F86A05">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响应人代表身份证明资料包括：响应人代表的有效身份证件复印件；如委托的，还需提供有效的法定代表人授权委托书（格式详见附件），需敲公章。</w:t>
      </w:r>
    </w:p>
    <w:p w14:paraId="39C260CF">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诚信承诺书；（格式详见附件）</w:t>
      </w:r>
    </w:p>
    <w:p w14:paraId="24A55D4A">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廉政承诺书；（格式详见附件）</w:t>
      </w:r>
    </w:p>
    <w:p w14:paraId="7678A1C0">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响应人基本情况；</w:t>
      </w:r>
      <w:r>
        <w:rPr>
          <w:rFonts w:hint="eastAsia" w:ascii="仿宋" w:hAnsi="仿宋" w:eastAsia="仿宋" w:cs="仿宋"/>
          <w:color w:val="auto"/>
          <w:kern w:val="0"/>
          <w:sz w:val="24"/>
          <w:highlight w:val="none"/>
          <w:lang w:val="zh-CN"/>
        </w:rPr>
        <w:tab/>
      </w:r>
    </w:p>
    <w:p w14:paraId="014B5673">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响应人须提供正品油品承诺函（要求每单批次油品供货时提供厂家的油品生产批号正品证明及合格证）（格式详见附件）</w:t>
      </w:r>
    </w:p>
    <w:p w14:paraId="3B9D5EAC">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响应人需提供招标需求供货承诺函（格式详见附件）</w:t>
      </w:r>
    </w:p>
    <w:p w14:paraId="77E68A82">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各种优惠承诺（优惠条件事项不能包括采购项目本身所包括涉及的采购事项。响应人不能以“赠送、赠予”等任何名义提供货物和服务以规避招标文件的约束）。</w:t>
      </w:r>
    </w:p>
    <w:p w14:paraId="237C3410">
      <w:pPr>
        <w:keepNext w:val="0"/>
        <w:keepLines w:val="0"/>
        <w:pageBreakBefore w:val="0"/>
        <w:numPr>
          <w:ilvl w:val="0"/>
          <w:numId w:val="2"/>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响应人需要说明的其它文件和资料。</w:t>
      </w:r>
    </w:p>
    <w:p w14:paraId="732C19B2">
      <w:pPr>
        <w:snapToGrid w:val="0"/>
        <w:spacing w:line="360" w:lineRule="auto"/>
        <w:jc w:val="center"/>
        <w:rPr>
          <w:rFonts w:hint="eastAsia" w:ascii="仿宋" w:hAnsi="仿宋" w:eastAsia="仿宋" w:cs="仿宋"/>
          <w:b/>
          <w:color w:val="auto"/>
          <w:kern w:val="0"/>
          <w:sz w:val="32"/>
          <w:szCs w:val="32"/>
          <w:highlight w:val="none"/>
          <w:lang w:val="zh-CN"/>
        </w:rPr>
      </w:pPr>
    </w:p>
    <w:p w14:paraId="44ADB17B">
      <w:pPr>
        <w:snapToGrid w:val="0"/>
        <w:spacing w:line="360" w:lineRule="auto"/>
        <w:jc w:val="center"/>
        <w:outlineLvl w:val="0"/>
        <w:rPr>
          <w:rFonts w:hint="eastAsia" w:ascii="仿宋" w:hAnsi="仿宋" w:eastAsia="仿宋" w:cs="仿宋"/>
          <w:b/>
          <w:color w:val="auto"/>
          <w:kern w:val="0"/>
          <w:sz w:val="32"/>
          <w:szCs w:val="32"/>
          <w:highlight w:val="none"/>
        </w:rPr>
      </w:pPr>
    </w:p>
    <w:p w14:paraId="501B943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22648C">
      <w:pP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w w:val="80"/>
          <w:kern w:val="0"/>
          <w:sz w:val="32"/>
          <w:szCs w:val="32"/>
          <w:highlight w:val="none"/>
          <w:lang w:val="zh-CN"/>
        </w:rPr>
        <w:t>授权委托书或法定代表人（单位负责人、自然人本人）身份证明</w:t>
      </w:r>
    </w:p>
    <w:p w14:paraId="1C4EA63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20008E3">
      <w:pPr>
        <w:snapToGrid w:val="0"/>
        <w:spacing w:line="360" w:lineRule="auto"/>
        <w:ind w:firstLine="3833" w:firstLineChars="1193"/>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14:paraId="7BE4C1D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4F561E2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（项目名称）【交易编号：（采购编号）】</w:t>
      </w:r>
      <w:r>
        <w:rPr>
          <w:rFonts w:hint="eastAsia" w:ascii="仿宋" w:hAnsi="仿宋" w:eastAsia="仿宋" w:cs="仿宋"/>
          <w:color w:val="auto"/>
          <w:kern w:val="0"/>
          <w:sz w:val="24"/>
          <w:highlight w:val="none"/>
          <w:lang w:val="zh-CN"/>
        </w:rPr>
        <w:t>采购交易的一切事项，其法律后果由我方承担。</w:t>
      </w:r>
    </w:p>
    <w:p w14:paraId="64F38C7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E2B29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72472C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920963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3086307">
      <w:pPr>
        <w:snapToGrid w:val="0"/>
        <w:spacing w:line="360" w:lineRule="auto"/>
        <w:rPr>
          <w:rFonts w:hint="eastAsia" w:ascii="仿宋" w:hAnsi="仿宋" w:eastAsia="仿宋" w:cs="仿宋"/>
          <w:color w:val="auto"/>
          <w:sz w:val="24"/>
          <w:highlight w:val="none"/>
        </w:rPr>
      </w:pPr>
    </w:p>
    <w:p w14:paraId="438CFF9B">
      <w:pPr>
        <w:spacing w:line="360" w:lineRule="auto"/>
        <w:ind w:right="420"/>
        <w:rPr>
          <w:rFonts w:hint="eastAsia" w:ascii="仿宋" w:hAnsi="仿宋" w:eastAsia="仿宋" w:cs="仿宋"/>
          <w:b/>
          <w:color w:val="auto"/>
          <w:kern w:val="0"/>
          <w:sz w:val="32"/>
          <w:szCs w:val="32"/>
          <w:highlight w:val="none"/>
        </w:rPr>
      </w:pPr>
    </w:p>
    <w:p w14:paraId="1D5C798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、符合性审查资料</w:t>
      </w:r>
    </w:p>
    <w:p w14:paraId="56ACF688">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14:paraId="466F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3F9FD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065" w:type="dxa"/>
            <w:vAlign w:val="center"/>
          </w:tcPr>
          <w:p w14:paraId="7EA9FE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77" w:type="dxa"/>
            <w:vAlign w:val="center"/>
          </w:tcPr>
          <w:p w14:paraId="0641593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C599F8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48154EE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7BC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A4BAE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065" w:type="dxa"/>
            <w:vAlign w:val="center"/>
          </w:tcPr>
          <w:p w14:paraId="05D10F2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响应文件按照交易文件要求签署、盖章。</w:t>
            </w:r>
          </w:p>
        </w:tc>
        <w:tc>
          <w:tcPr>
            <w:tcW w:w="3477" w:type="dxa"/>
            <w:vAlign w:val="center"/>
          </w:tcPr>
          <w:p w14:paraId="73B23E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19A8F80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1FDD542F">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82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4CA5B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065" w:type="dxa"/>
            <w:vAlign w:val="center"/>
          </w:tcPr>
          <w:p w14:paraId="6A2EFFA9">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响应文件中承诺的交易有效期不少于交易文件中载明的交易有效期。</w:t>
            </w:r>
          </w:p>
        </w:tc>
        <w:tc>
          <w:tcPr>
            <w:tcW w:w="3477" w:type="dxa"/>
            <w:vAlign w:val="center"/>
          </w:tcPr>
          <w:p w14:paraId="6DD2E7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1A4FD0C4">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473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15BCF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065" w:type="dxa"/>
            <w:vAlign w:val="center"/>
          </w:tcPr>
          <w:p w14:paraId="2932FDA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响应文件满足交易文件的其它实质性要求。</w:t>
            </w:r>
          </w:p>
        </w:tc>
        <w:tc>
          <w:tcPr>
            <w:tcW w:w="3477" w:type="dxa"/>
            <w:vAlign w:val="center"/>
          </w:tcPr>
          <w:p w14:paraId="44FD4E86">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交易文件其它实质性要求相应的材料（“▲” 系指实质性要求条款，交易文件无其它实质性要求的，无需提供）</w:t>
            </w:r>
          </w:p>
        </w:tc>
        <w:tc>
          <w:tcPr>
            <w:tcW w:w="1418" w:type="dxa"/>
            <w:vAlign w:val="center"/>
          </w:tcPr>
          <w:p w14:paraId="2C56424C">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4A8BDB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EB6FDD0">
      <w:pPr>
        <w:jc w:val="center"/>
        <w:rPr>
          <w:rFonts w:hint="eastAsia" w:ascii="仿宋" w:hAnsi="仿宋" w:eastAsia="仿宋" w:cs="仿宋"/>
          <w:b/>
          <w:color w:val="auto"/>
          <w:kern w:val="0"/>
          <w:sz w:val="32"/>
          <w:szCs w:val="32"/>
          <w:highlight w:val="none"/>
        </w:rPr>
      </w:pPr>
    </w:p>
    <w:p w14:paraId="4B7ADB19">
      <w:pPr>
        <w:jc w:val="center"/>
        <w:rPr>
          <w:rFonts w:hint="eastAsia" w:ascii="仿宋" w:hAnsi="仿宋" w:eastAsia="仿宋" w:cs="仿宋"/>
          <w:b/>
          <w:color w:val="auto"/>
          <w:kern w:val="0"/>
          <w:sz w:val="32"/>
          <w:szCs w:val="32"/>
          <w:highlight w:val="none"/>
        </w:rPr>
      </w:pPr>
    </w:p>
    <w:p w14:paraId="36CE84D5">
      <w:pPr>
        <w:jc w:val="center"/>
        <w:rPr>
          <w:rFonts w:hint="eastAsia" w:ascii="仿宋" w:hAnsi="仿宋" w:eastAsia="仿宋" w:cs="仿宋"/>
          <w:b/>
          <w:color w:val="auto"/>
          <w:kern w:val="0"/>
          <w:sz w:val="32"/>
          <w:szCs w:val="32"/>
          <w:highlight w:val="none"/>
        </w:rPr>
      </w:pPr>
    </w:p>
    <w:p w14:paraId="33B73156">
      <w:pPr>
        <w:spacing w:line="240" w:lineRule="auto"/>
        <w:jc w:val="left"/>
        <w:rPr>
          <w:rFonts w:hint="eastAsia" w:ascii="仿宋" w:hAnsi="仿宋" w:eastAsia="仿宋" w:cs="仿宋"/>
          <w:b/>
          <w:sz w:val="24"/>
          <w:szCs w:val="24"/>
        </w:rPr>
      </w:pPr>
      <w:r>
        <w:rPr>
          <w:rFonts w:hint="eastAsia" w:ascii="仿宋" w:hAnsi="仿宋" w:eastAsia="仿宋" w:cs="仿宋"/>
          <w:b/>
          <w:sz w:val="24"/>
          <w:szCs w:val="24"/>
        </w:rPr>
        <w:br w:type="page"/>
      </w:r>
    </w:p>
    <w:p w14:paraId="2028270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润滑油正品油品承诺函</w:t>
      </w:r>
    </w:p>
    <w:p w14:paraId="7ED29547">
      <w:pPr>
        <w:pStyle w:val="969"/>
        <w:spacing w:line="480" w:lineRule="auto"/>
        <w:rPr>
          <w:rFonts w:hint="eastAsia" w:ascii="仿宋" w:hAnsi="仿宋" w:eastAsia="仿宋" w:cs="仿宋"/>
          <w:b/>
          <w:sz w:val="24"/>
          <w:szCs w:val="24"/>
        </w:rPr>
      </w:pPr>
    </w:p>
    <w:p w14:paraId="472D8A38">
      <w:pPr>
        <w:pStyle w:val="969"/>
        <w:spacing w:line="480" w:lineRule="auto"/>
        <w:rPr>
          <w:rFonts w:hint="eastAsia"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sz w:val="24"/>
          <w:szCs w:val="24"/>
          <w:u w:val="single"/>
        </w:rPr>
        <w:t>杭州萧山污水处理有限公司</w:t>
      </w:r>
    </w:p>
    <w:p w14:paraId="10659323">
      <w:pPr>
        <w:spacing w:line="48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根据已收到贵方招标编号为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杭州萧山污水处理有限公司</w:t>
      </w:r>
      <w:r>
        <w:rPr>
          <w:rFonts w:hint="eastAsia" w:ascii="仿宋" w:hAnsi="仿宋" w:eastAsia="仿宋" w:cs="仿宋"/>
          <w:sz w:val="24"/>
          <w:szCs w:val="24"/>
          <w:u w:val="single"/>
          <w:lang w:val="en-US" w:eastAsia="zh-CN"/>
        </w:rPr>
        <w:t>2025-2026</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度</w:t>
      </w:r>
      <w:r>
        <w:rPr>
          <w:rFonts w:hint="eastAsia" w:ascii="仿宋" w:hAnsi="仿宋" w:eastAsia="仿宋" w:cs="仿宋"/>
          <w:sz w:val="24"/>
          <w:szCs w:val="24"/>
          <w:u w:val="single"/>
        </w:rPr>
        <w:t>润滑油年度采购项目</w:t>
      </w:r>
      <w:r>
        <w:rPr>
          <w:rFonts w:hint="eastAsia" w:ascii="仿宋" w:hAnsi="仿宋" w:eastAsia="仿宋" w:cs="仿宋"/>
          <w:sz w:val="24"/>
          <w:szCs w:val="24"/>
        </w:rPr>
        <w:t>的招标文件，我方经认真研究上述文件的投标须知、油品规格和其他有关文件，我方郑重承诺本采购项目由我方供应的所有油品均为正品，在后续单批次油品供货时，</w:t>
      </w:r>
      <w:r>
        <w:rPr>
          <w:rFonts w:hint="eastAsia" w:ascii="仿宋" w:hAnsi="仿宋" w:eastAsia="仿宋" w:cs="仿宋"/>
          <w:b/>
          <w:sz w:val="24"/>
          <w:szCs w:val="24"/>
        </w:rPr>
        <w:t>按要求提供厂家的油品生产批号、正品证明及合格证。</w:t>
      </w:r>
    </w:p>
    <w:p w14:paraId="79E23BF7">
      <w:pPr>
        <w:pStyle w:val="969"/>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如出现提供劣质、假冒等不合格产品，我方愿意对产生一切不良后果负全部责任，对于贵方终止承包合同、将我方列入黑名单、取消我方参与贵公司采购项目投标资格等处罚措施我方均予以接受并认可。</w:t>
      </w:r>
    </w:p>
    <w:p w14:paraId="75262787">
      <w:pPr>
        <w:pStyle w:val="969"/>
        <w:spacing w:line="540" w:lineRule="exact"/>
        <w:rPr>
          <w:rFonts w:hint="eastAsia" w:ascii="仿宋" w:hAnsi="仿宋" w:eastAsia="仿宋" w:cs="仿宋"/>
          <w:sz w:val="24"/>
          <w:szCs w:val="24"/>
        </w:rPr>
      </w:pPr>
    </w:p>
    <w:p w14:paraId="4D8F6EE7">
      <w:pPr>
        <w:pStyle w:val="969"/>
        <w:spacing w:line="540" w:lineRule="exact"/>
        <w:ind w:firstLine="480" w:firstLineChars="200"/>
        <w:jc w:val="right"/>
        <w:rPr>
          <w:rFonts w:hint="eastAsia" w:ascii="仿宋" w:hAnsi="仿宋" w:eastAsia="仿宋" w:cs="仿宋"/>
          <w:sz w:val="24"/>
          <w:szCs w:val="24"/>
        </w:rPr>
      </w:pPr>
    </w:p>
    <w:p w14:paraId="79B2C727">
      <w:pPr>
        <w:pStyle w:val="969"/>
        <w:spacing w:line="540" w:lineRule="exact"/>
        <w:ind w:firstLine="480" w:firstLineChars="200"/>
        <w:jc w:val="right"/>
        <w:rPr>
          <w:rFonts w:hint="eastAsia" w:ascii="仿宋" w:hAnsi="仿宋" w:eastAsia="仿宋" w:cs="仿宋"/>
          <w:sz w:val="24"/>
          <w:szCs w:val="24"/>
        </w:rPr>
      </w:pPr>
    </w:p>
    <w:p w14:paraId="2111C035">
      <w:pPr>
        <w:pStyle w:val="969"/>
        <w:spacing w:line="540" w:lineRule="exact"/>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投标承诺人：</w:t>
      </w:r>
      <w:r>
        <w:rPr>
          <w:rFonts w:hint="eastAsia" w:ascii="仿宋" w:hAnsi="仿宋" w:eastAsia="仿宋" w:cs="仿宋"/>
          <w:sz w:val="24"/>
          <w:szCs w:val="24"/>
          <w:u w:val="single"/>
        </w:rPr>
        <w:t xml:space="preserve">                   </w:t>
      </w:r>
      <w:r>
        <w:rPr>
          <w:rFonts w:hint="eastAsia" w:ascii="仿宋" w:hAnsi="仿宋" w:eastAsia="仿宋" w:cs="仿宋"/>
          <w:sz w:val="24"/>
          <w:szCs w:val="24"/>
        </w:rPr>
        <w:t>（签字并盖章）</w:t>
      </w:r>
    </w:p>
    <w:p w14:paraId="5C0658E5">
      <w:pPr>
        <w:pStyle w:val="969"/>
        <w:spacing w:line="54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D6E65AD">
      <w:pPr>
        <w:spacing w:line="360" w:lineRule="auto"/>
        <w:rPr>
          <w:rFonts w:hint="eastAsia" w:ascii="仿宋" w:hAnsi="仿宋" w:eastAsia="仿宋" w:cs="仿宋"/>
          <w:b/>
          <w:sz w:val="24"/>
        </w:rPr>
      </w:pPr>
    </w:p>
    <w:p w14:paraId="0A553D52">
      <w:pPr>
        <w:widowControl/>
        <w:jc w:val="left"/>
        <w:rPr>
          <w:rFonts w:hint="eastAsia" w:ascii="仿宋" w:hAnsi="仿宋" w:eastAsia="仿宋" w:cs="仿宋"/>
          <w:b/>
          <w:sz w:val="24"/>
        </w:rPr>
      </w:pPr>
      <w:r>
        <w:rPr>
          <w:rFonts w:hint="eastAsia" w:ascii="仿宋" w:hAnsi="仿宋" w:eastAsia="仿宋" w:cs="仿宋"/>
          <w:b/>
          <w:sz w:val="24"/>
        </w:rPr>
        <w:br w:type="page"/>
      </w:r>
    </w:p>
    <w:p w14:paraId="17CC36F5">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招标需求供货承诺函</w:t>
      </w:r>
    </w:p>
    <w:p w14:paraId="66B09B7B">
      <w:pPr>
        <w:pStyle w:val="969"/>
        <w:spacing w:line="480" w:lineRule="auto"/>
        <w:rPr>
          <w:rFonts w:hint="eastAsia" w:ascii="仿宋" w:hAnsi="仿宋" w:eastAsia="仿宋" w:cs="仿宋"/>
          <w:b/>
          <w:sz w:val="24"/>
          <w:szCs w:val="24"/>
        </w:rPr>
      </w:pPr>
    </w:p>
    <w:p w14:paraId="0589092D">
      <w:pPr>
        <w:pStyle w:val="969"/>
        <w:spacing w:line="480" w:lineRule="auto"/>
        <w:rPr>
          <w:rFonts w:hint="eastAsia"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sz w:val="24"/>
          <w:szCs w:val="24"/>
          <w:u w:val="single"/>
        </w:rPr>
        <w:t>杭州萧山污水处理有限公司</w:t>
      </w:r>
    </w:p>
    <w:p w14:paraId="21DD6E49">
      <w:pPr>
        <w:spacing w:line="48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根据已收到贵方招标编号为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杭州萧山污水处理有限公司202</w:t>
      </w:r>
      <w:r>
        <w:rPr>
          <w:rFonts w:hint="eastAsia" w:ascii="仿宋" w:hAnsi="仿宋" w:eastAsia="仿宋" w:cs="仿宋"/>
          <w:sz w:val="24"/>
          <w:szCs w:val="24"/>
          <w:u w:val="single"/>
          <w:lang w:val="en-US" w:eastAsia="zh-CN"/>
        </w:rPr>
        <w:t>5-2026</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度</w:t>
      </w:r>
      <w:r>
        <w:rPr>
          <w:rFonts w:hint="eastAsia" w:ascii="仿宋" w:hAnsi="仿宋" w:eastAsia="仿宋" w:cs="仿宋"/>
          <w:sz w:val="24"/>
          <w:szCs w:val="24"/>
          <w:u w:val="single"/>
        </w:rPr>
        <w:t>润滑油年度采购项目</w:t>
      </w:r>
      <w:r>
        <w:rPr>
          <w:rFonts w:hint="eastAsia" w:ascii="仿宋" w:hAnsi="仿宋" w:eastAsia="仿宋" w:cs="仿宋"/>
          <w:sz w:val="24"/>
          <w:szCs w:val="24"/>
        </w:rPr>
        <w:t>的招标文件，我方经认真研究上述文件的投标须知、油品规格和其他有关文件，我方郑重承诺本采购项目清单内所有产品均能按照招标要求供应，不存在无法供应的情况</w:t>
      </w:r>
      <w:r>
        <w:rPr>
          <w:rFonts w:hint="eastAsia" w:ascii="仿宋" w:hAnsi="仿宋" w:eastAsia="仿宋" w:cs="仿宋"/>
          <w:b/>
          <w:sz w:val="24"/>
          <w:szCs w:val="24"/>
        </w:rPr>
        <w:t>。</w:t>
      </w:r>
    </w:p>
    <w:p w14:paraId="3F602AB7">
      <w:pPr>
        <w:pStyle w:val="969"/>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出现无法满足供应要求的情况，我方愿意对产生一切不良后果负全部责任（包括扣除所有投标保证金及无法供货对贵单位生产运行造成的损失），对于贵方终止承包合同、将我方列入黑名单、取消我方参与贵公司采购项目投标资格等处罚措施我方均予以接受并认可。</w:t>
      </w:r>
    </w:p>
    <w:p w14:paraId="37205CFF">
      <w:pPr>
        <w:pStyle w:val="969"/>
        <w:spacing w:line="540" w:lineRule="exact"/>
        <w:ind w:firstLine="480" w:firstLineChars="200"/>
        <w:jc w:val="right"/>
        <w:rPr>
          <w:rFonts w:hint="eastAsia" w:ascii="仿宋" w:hAnsi="仿宋" w:eastAsia="仿宋" w:cs="仿宋"/>
          <w:sz w:val="24"/>
          <w:szCs w:val="24"/>
        </w:rPr>
      </w:pPr>
    </w:p>
    <w:p w14:paraId="6A05B889">
      <w:pPr>
        <w:pStyle w:val="969"/>
        <w:spacing w:line="540" w:lineRule="exact"/>
        <w:ind w:firstLine="480" w:firstLineChars="200"/>
        <w:jc w:val="right"/>
        <w:rPr>
          <w:rFonts w:hint="eastAsia" w:ascii="仿宋" w:hAnsi="仿宋" w:eastAsia="仿宋" w:cs="仿宋"/>
          <w:sz w:val="24"/>
          <w:szCs w:val="24"/>
        </w:rPr>
      </w:pPr>
    </w:p>
    <w:p w14:paraId="1CDF24EA">
      <w:pPr>
        <w:pStyle w:val="969"/>
        <w:spacing w:line="540" w:lineRule="exact"/>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投标承诺人：</w:t>
      </w:r>
      <w:r>
        <w:rPr>
          <w:rFonts w:hint="eastAsia" w:ascii="仿宋" w:hAnsi="仿宋" w:eastAsia="仿宋" w:cs="仿宋"/>
          <w:sz w:val="24"/>
          <w:szCs w:val="24"/>
          <w:u w:val="single"/>
        </w:rPr>
        <w:t xml:space="preserve">                   </w:t>
      </w:r>
      <w:r>
        <w:rPr>
          <w:rFonts w:hint="eastAsia" w:ascii="仿宋" w:hAnsi="仿宋" w:eastAsia="仿宋" w:cs="仿宋"/>
          <w:sz w:val="24"/>
          <w:szCs w:val="24"/>
        </w:rPr>
        <w:t>（签字并盖章）</w:t>
      </w:r>
    </w:p>
    <w:p w14:paraId="38443A6E">
      <w:pPr>
        <w:pStyle w:val="969"/>
        <w:spacing w:line="54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8477F9B">
      <w:pPr>
        <w:widowControl/>
        <w:jc w:val="left"/>
        <w:rPr>
          <w:rFonts w:hint="eastAsia" w:ascii="仿宋" w:hAnsi="仿宋" w:eastAsia="仿宋" w:cs="仿宋"/>
          <w:b/>
          <w:sz w:val="24"/>
        </w:rPr>
      </w:pPr>
    </w:p>
    <w:p w14:paraId="514A9047">
      <w:pPr>
        <w:widowControl/>
        <w:jc w:val="left"/>
        <w:rPr>
          <w:rFonts w:hint="eastAsia" w:ascii="仿宋" w:hAnsi="仿宋" w:eastAsia="仿宋" w:cs="仿宋"/>
          <w:b/>
          <w:sz w:val="24"/>
        </w:rPr>
      </w:pPr>
    </w:p>
    <w:p w14:paraId="0F4D0A5F">
      <w:pPr>
        <w:widowControl/>
        <w:jc w:val="left"/>
        <w:rPr>
          <w:rFonts w:hint="eastAsia" w:ascii="仿宋" w:hAnsi="仿宋" w:eastAsia="仿宋" w:cs="仿宋"/>
          <w:b/>
          <w:sz w:val="24"/>
        </w:rPr>
      </w:pPr>
    </w:p>
    <w:p w14:paraId="445D50FE">
      <w:pPr>
        <w:widowControl/>
        <w:jc w:val="left"/>
        <w:rPr>
          <w:rFonts w:hint="eastAsia" w:ascii="仿宋" w:hAnsi="仿宋" w:eastAsia="仿宋" w:cs="仿宋"/>
          <w:b/>
          <w:sz w:val="24"/>
        </w:rPr>
      </w:pPr>
    </w:p>
    <w:p w14:paraId="46ADB88E">
      <w:pPr>
        <w:widowControl/>
        <w:jc w:val="left"/>
        <w:rPr>
          <w:rFonts w:hint="eastAsia" w:ascii="仿宋" w:hAnsi="仿宋" w:eastAsia="仿宋" w:cs="仿宋"/>
          <w:b/>
          <w:sz w:val="24"/>
        </w:rPr>
      </w:pPr>
    </w:p>
    <w:p w14:paraId="7763C064">
      <w:pPr>
        <w:widowControl/>
        <w:jc w:val="left"/>
        <w:rPr>
          <w:rFonts w:hint="eastAsia" w:ascii="仿宋" w:hAnsi="仿宋" w:eastAsia="仿宋" w:cs="仿宋"/>
          <w:b/>
          <w:sz w:val="24"/>
        </w:rPr>
      </w:pPr>
    </w:p>
    <w:p w14:paraId="625A5D35">
      <w:pPr>
        <w:widowControl/>
        <w:jc w:val="left"/>
        <w:rPr>
          <w:rFonts w:hint="eastAsia" w:ascii="仿宋" w:hAnsi="仿宋" w:eastAsia="仿宋" w:cs="仿宋"/>
          <w:b/>
          <w:sz w:val="24"/>
        </w:rPr>
      </w:pPr>
    </w:p>
    <w:p w14:paraId="1C6B6222">
      <w:pPr>
        <w:spacing w:line="360" w:lineRule="auto"/>
        <w:ind w:firstLine="480" w:firstLineChars="200"/>
        <w:rPr>
          <w:rFonts w:hint="eastAsia" w:ascii="仿宋" w:hAnsi="仿宋" w:eastAsia="仿宋" w:cs="仿宋"/>
          <w:color w:val="000000"/>
          <w:sz w:val="24"/>
        </w:rPr>
      </w:pPr>
    </w:p>
    <w:p w14:paraId="462E98C1">
      <w:pPr>
        <w:spacing w:line="360" w:lineRule="auto"/>
        <w:rPr>
          <w:rFonts w:hint="eastAsia" w:ascii="仿宋" w:hAnsi="仿宋" w:eastAsia="仿宋" w:cs="仿宋"/>
          <w:b/>
          <w:color w:val="000000"/>
          <w:sz w:val="24"/>
        </w:rPr>
      </w:pPr>
    </w:p>
    <w:p w14:paraId="649CFDC3">
      <w:pPr>
        <w:spacing w:line="360" w:lineRule="auto"/>
        <w:rPr>
          <w:rFonts w:hint="eastAsia" w:ascii="仿宋" w:hAnsi="仿宋" w:eastAsia="仿宋" w:cs="仿宋"/>
          <w:b/>
          <w:color w:val="000000"/>
          <w:sz w:val="24"/>
        </w:rPr>
      </w:pPr>
    </w:p>
    <w:p w14:paraId="0A7D6020">
      <w:pPr>
        <w:spacing w:line="24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br w:type="page"/>
      </w:r>
    </w:p>
    <w:p w14:paraId="3F0F4815">
      <w:pPr>
        <w:spacing w:line="360" w:lineRule="auto"/>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诚信承诺书</w:t>
      </w:r>
    </w:p>
    <w:p w14:paraId="7329F02D">
      <w:pPr>
        <w:spacing w:line="360" w:lineRule="auto"/>
        <w:rPr>
          <w:rFonts w:hint="eastAsia" w:ascii="仿宋" w:hAnsi="仿宋" w:eastAsia="仿宋" w:cs="仿宋"/>
          <w:color w:val="000000"/>
          <w:sz w:val="24"/>
        </w:rPr>
      </w:pPr>
      <w:r>
        <w:rPr>
          <w:rFonts w:hint="eastAsia" w:ascii="仿宋" w:hAnsi="仿宋" w:eastAsia="仿宋" w:cs="仿宋"/>
          <w:color w:val="000000"/>
          <w:sz w:val="24"/>
          <w:u w:val="single"/>
        </w:rPr>
        <w:t>（</w:t>
      </w:r>
      <w:r>
        <w:rPr>
          <w:rFonts w:hint="eastAsia" w:ascii="仿宋" w:hAnsi="仿宋" w:eastAsia="仿宋" w:cs="仿宋"/>
          <w:color w:val="000000"/>
          <w:sz w:val="24"/>
          <w:u w:val="single"/>
          <w:lang w:eastAsia="zh-CN"/>
        </w:rPr>
        <w:t>交易发起人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5378C68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我方在参加贵单位的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项目的招投标活动中，郑重承诺如下：</w:t>
      </w:r>
    </w:p>
    <w:p w14:paraId="628C1E1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1、我方申报的所有资料都是真实、准确、完整的；</w:t>
      </w:r>
    </w:p>
    <w:p w14:paraId="0CBC5F9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2、我方无资质挂靠情形，保证不参与串标、围标及抬标；</w:t>
      </w:r>
    </w:p>
    <w:p w14:paraId="5FACE08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3、我方没有被各级行政主管部门做出停止市场行为的处罚；</w:t>
      </w:r>
    </w:p>
    <w:p w14:paraId="0B2C0C7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4、若我方中标，将严格按照规定及时与招标方签订合同；</w:t>
      </w:r>
    </w:p>
    <w:p w14:paraId="2C79382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5、若我方中标，将严格按照招标文件及投标文件所承诺的报价、质量、工期、投标方案、项目负责人等内容组织实施；</w:t>
      </w:r>
    </w:p>
    <w:p w14:paraId="7B28BD3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14:paraId="31DADF7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特此承诺。</w:t>
      </w:r>
    </w:p>
    <w:p w14:paraId="167A193C">
      <w:pPr>
        <w:spacing w:line="360" w:lineRule="auto"/>
        <w:ind w:firstLine="480" w:firstLineChars="200"/>
        <w:rPr>
          <w:rFonts w:hint="eastAsia" w:ascii="仿宋" w:hAnsi="仿宋" w:eastAsia="仿宋" w:cs="仿宋"/>
          <w:color w:val="000000"/>
          <w:sz w:val="24"/>
        </w:rPr>
      </w:pPr>
    </w:p>
    <w:p w14:paraId="43F3C37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承诺单位：＿＿＿＿＿＿＿＿＿＿＿＿＿＿＿（加盖公章）</w:t>
      </w:r>
    </w:p>
    <w:p w14:paraId="434CBFC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法定代表人（授权委托人签名）：＿＿＿＿＿＿＿＿＿＿＿＿</w:t>
      </w:r>
    </w:p>
    <w:p w14:paraId="5E23F94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地    址：＿＿＿＿＿＿＿＿＿＿＿＿＿＿＿＿＿＿＿＿＿＿</w:t>
      </w:r>
    </w:p>
    <w:p w14:paraId="0A8858A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邮政编码：＿＿＿＿＿＿＿＿＿＿＿＿＿＿＿＿＿＿＿＿＿＿</w:t>
      </w:r>
    </w:p>
    <w:p w14:paraId="6601FDD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电    话：＿＿＿＿＿＿＿＿＿＿＿＿＿＿＿＿＿＿＿＿＿＿</w:t>
      </w:r>
    </w:p>
    <w:p w14:paraId="70B164B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年＿＿月＿＿日</w:t>
      </w:r>
    </w:p>
    <w:p w14:paraId="16F83FA6">
      <w:pPr>
        <w:spacing w:line="360" w:lineRule="auto"/>
        <w:jc w:val="center"/>
        <w:rPr>
          <w:rFonts w:hint="eastAsia" w:ascii="仿宋" w:hAnsi="仿宋" w:eastAsia="仿宋" w:cs="仿宋"/>
          <w:b/>
          <w:color w:val="000000"/>
          <w:sz w:val="24"/>
        </w:rPr>
      </w:pPr>
    </w:p>
    <w:p w14:paraId="3E31E4B9">
      <w:pPr>
        <w:spacing w:line="360" w:lineRule="auto"/>
        <w:jc w:val="center"/>
        <w:rPr>
          <w:rFonts w:hint="eastAsia" w:ascii="仿宋" w:hAnsi="仿宋" w:eastAsia="仿宋" w:cs="仿宋"/>
          <w:b/>
          <w:color w:val="000000"/>
          <w:sz w:val="24"/>
        </w:rPr>
      </w:pPr>
    </w:p>
    <w:p w14:paraId="58192C6E">
      <w:pPr>
        <w:spacing w:line="360" w:lineRule="auto"/>
        <w:jc w:val="center"/>
        <w:rPr>
          <w:rFonts w:hint="eastAsia" w:ascii="仿宋" w:hAnsi="仿宋" w:eastAsia="仿宋" w:cs="仿宋"/>
          <w:b/>
          <w:color w:val="000000"/>
          <w:sz w:val="24"/>
        </w:rPr>
      </w:pPr>
    </w:p>
    <w:p w14:paraId="09344B74">
      <w:pPr>
        <w:spacing w:line="360" w:lineRule="auto"/>
        <w:jc w:val="center"/>
        <w:rPr>
          <w:rFonts w:hint="eastAsia" w:ascii="仿宋" w:hAnsi="仿宋" w:eastAsia="仿宋" w:cs="仿宋"/>
          <w:b/>
          <w:color w:val="000000"/>
          <w:sz w:val="24"/>
        </w:rPr>
      </w:pPr>
    </w:p>
    <w:p w14:paraId="5B1A393A">
      <w:pPr>
        <w:spacing w:line="360" w:lineRule="auto"/>
        <w:rPr>
          <w:rFonts w:hint="eastAsia" w:ascii="仿宋" w:hAnsi="仿宋" w:eastAsia="仿宋" w:cs="仿宋"/>
          <w:b/>
          <w:color w:val="000000"/>
          <w:sz w:val="24"/>
        </w:rPr>
      </w:pPr>
    </w:p>
    <w:p w14:paraId="1857FB47">
      <w:pPr>
        <w:spacing w:line="240" w:lineRule="auto"/>
        <w:rPr>
          <w:rFonts w:hint="eastAsia" w:ascii="仿宋" w:hAnsi="仿宋" w:eastAsia="仿宋" w:cs="仿宋"/>
          <w:b/>
          <w:color w:val="000000"/>
          <w:sz w:val="24"/>
        </w:rPr>
      </w:pPr>
      <w:r>
        <w:rPr>
          <w:rFonts w:hint="eastAsia" w:ascii="仿宋" w:hAnsi="仿宋" w:eastAsia="仿宋" w:cs="仿宋"/>
          <w:b/>
          <w:color w:val="000000"/>
          <w:sz w:val="24"/>
        </w:rPr>
        <w:br w:type="page"/>
      </w:r>
    </w:p>
    <w:p w14:paraId="20ECAF07">
      <w:pPr>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32"/>
          <w:szCs w:val="32"/>
          <w:lang w:val="en-US" w:eastAsia="zh-CN"/>
        </w:rPr>
        <w:t>六、</w:t>
      </w:r>
      <w:r>
        <w:rPr>
          <w:rFonts w:hint="eastAsia" w:ascii="仿宋" w:hAnsi="仿宋" w:eastAsia="仿宋" w:cs="仿宋"/>
          <w:b/>
          <w:color w:val="000000"/>
          <w:sz w:val="32"/>
          <w:szCs w:val="32"/>
          <w:lang w:eastAsia="zh-CN"/>
        </w:rPr>
        <w:t>响应人</w:t>
      </w:r>
      <w:r>
        <w:rPr>
          <w:rFonts w:hint="eastAsia" w:ascii="仿宋" w:hAnsi="仿宋" w:eastAsia="仿宋" w:cs="仿宋"/>
          <w:b/>
          <w:color w:val="000000"/>
          <w:sz w:val="32"/>
          <w:szCs w:val="32"/>
        </w:rPr>
        <w:t xml:space="preserve">廉政承诺书 </w:t>
      </w:r>
      <w:r>
        <w:rPr>
          <w:rFonts w:hint="eastAsia" w:ascii="仿宋" w:hAnsi="仿宋" w:eastAsia="仿宋" w:cs="仿宋"/>
          <w:b/>
          <w:color w:val="000000"/>
          <w:sz w:val="24"/>
        </w:rPr>
        <w:t xml:space="preserve">     </w:t>
      </w:r>
    </w:p>
    <w:p w14:paraId="4E6024C8">
      <w:pPr>
        <w:spacing w:line="360" w:lineRule="auto"/>
        <w:ind w:firstLine="480" w:firstLineChars="200"/>
        <w:rPr>
          <w:rFonts w:hint="eastAsia" w:ascii="仿宋" w:hAnsi="仿宋" w:eastAsia="仿宋" w:cs="仿宋"/>
          <w:color w:val="000000"/>
          <w:sz w:val="24"/>
        </w:rPr>
      </w:pPr>
    </w:p>
    <w:p w14:paraId="78F6979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为加强招标投标活动中的廉政建设，进一步规范招标投标市场，防止发生违法违纪行为，体现公开、公平、公正的原则，根据国家有关法律、法规和廉政建设责任制的规</w:t>
      </w:r>
    </w:p>
    <w:p w14:paraId="46D110A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定，本</w:t>
      </w:r>
      <w:r>
        <w:rPr>
          <w:rFonts w:hint="eastAsia" w:ascii="仿宋" w:hAnsi="仿宋" w:eastAsia="仿宋" w:cs="仿宋"/>
          <w:color w:val="000000"/>
          <w:sz w:val="24"/>
          <w:lang w:eastAsia="zh-CN"/>
        </w:rPr>
        <w:t>响应人</w:t>
      </w:r>
      <w:r>
        <w:rPr>
          <w:rFonts w:hint="eastAsia" w:ascii="仿宋" w:hAnsi="仿宋" w:eastAsia="仿宋" w:cs="仿宋"/>
          <w:color w:val="000000"/>
          <w:sz w:val="24"/>
        </w:rPr>
        <w:t xml:space="preserve">特作出如下承诺：  </w:t>
      </w:r>
    </w:p>
    <w:p w14:paraId="7CBAE31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1、不与</w:t>
      </w:r>
      <w:r>
        <w:rPr>
          <w:rFonts w:hint="eastAsia" w:ascii="仿宋" w:hAnsi="仿宋" w:eastAsia="仿宋" w:cs="仿宋"/>
          <w:color w:val="000000"/>
          <w:sz w:val="24"/>
          <w:lang w:eastAsia="zh-CN"/>
        </w:rPr>
        <w:t>交易发起人</w:t>
      </w:r>
      <w:r>
        <w:rPr>
          <w:rFonts w:hint="eastAsia" w:ascii="仿宋" w:hAnsi="仿宋" w:eastAsia="仿宋" w:cs="仿宋"/>
          <w:color w:val="000000"/>
          <w:sz w:val="24"/>
        </w:rPr>
        <w:t>、</w:t>
      </w:r>
      <w:r>
        <w:rPr>
          <w:rFonts w:hint="eastAsia" w:ascii="仿宋" w:hAnsi="仿宋" w:eastAsia="仿宋" w:cs="仿宋"/>
          <w:color w:val="000000"/>
          <w:sz w:val="24"/>
          <w:lang w:eastAsia="zh-CN"/>
        </w:rPr>
        <w:t>采购代理机构</w:t>
      </w:r>
      <w:r>
        <w:rPr>
          <w:rFonts w:hint="eastAsia" w:ascii="仿宋" w:hAnsi="仿宋" w:eastAsia="仿宋" w:cs="仿宋"/>
          <w:color w:val="000000"/>
          <w:sz w:val="24"/>
        </w:rPr>
        <w:t>及其他</w:t>
      </w:r>
      <w:r>
        <w:rPr>
          <w:rFonts w:hint="eastAsia" w:ascii="仿宋" w:hAnsi="仿宋" w:eastAsia="仿宋" w:cs="仿宋"/>
          <w:color w:val="000000"/>
          <w:sz w:val="24"/>
          <w:lang w:eastAsia="zh-CN"/>
        </w:rPr>
        <w:t>响应人</w:t>
      </w:r>
      <w:r>
        <w:rPr>
          <w:rFonts w:hint="eastAsia" w:ascii="仿宋" w:hAnsi="仿宋" w:eastAsia="仿宋" w:cs="仿宋"/>
          <w:color w:val="000000"/>
          <w:sz w:val="24"/>
        </w:rPr>
        <w:t xml:space="preserve">私下串通协商，进行围标、串标、抬标，控制投标价格。 </w:t>
      </w:r>
    </w:p>
    <w:p w14:paraId="0EC7A01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2、不向</w:t>
      </w:r>
      <w:r>
        <w:rPr>
          <w:rFonts w:hint="eastAsia" w:ascii="仿宋" w:hAnsi="仿宋" w:eastAsia="仿宋" w:cs="仿宋"/>
          <w:color w:val="000000"/>
          <w:sz w:val="24"/>
          <w:lang w:eastAsia="zh-CN"/>
        </w:rPr>
        <w:t>交易发起人</w:t>
      </w:r>
      <w:r>
        <w:rPr>
          <w:rFonts w:hint="eastAsia" w:ascii="仿宋" w:hAnsi="仿宋" w:eastAsia="仿宋" w:cs="仿宋"/>
          <w:color w:val="000000"/>
          <w:sz w:val="24"/>
        </w:rPr>
        <w:t>、</w:t>
      </w:r>
      <w:r>
        <w:rPr>
          <w:rFonts w:hint="eastAsia" w:ascii="仿宋" w:hAnsi="仿宋" w:eastAsia="仿宋" w:cs="仿宋"/>
          <w:color w:val="000000"/>
          <w:sz w:val="24"/>
          <w:lang w:eastAsia="zh-CN"/>
        </w:rPr>
        <w:t>采购代理机构</w:t>
      </w:r>
      <w:r>
        <w:rPr>
          <w:rFonts w:hint="eastAsia" w:ascii="仿宋" w:hAnsi="仿宋" w:eastAsia="仿宋" w:cs="仿宋"/>
          <w:color w:val="000000"/>
          <w:sz w:val="24"/>
        </w:rPr>
        <w:t>、评标专家行贿，以不正当手段谋取中标。</w:t>
      </w:r>
    </w:p>
    <w:p w14:paraId="5DB1BE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3、不向招标投标监管人员请客、送礼及组织其它有可能影响客观公正监管的活动。 </w:t>
      </w:r>
    </w:p>
    <w:p w14:paraId="205ADB1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4、自觉遵守开标、评标现场工作纪律，不私下接触评标专家，不干扰正常的开标评标秩序。  </w:t>
      </w:r>
    </w:p>
    <w:p w14:paraId="73262F7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5、不给责任人的违法违规行为说情。     </w:t>
      </w:r>
    </w:p>
    <w:p w14:paraId="61AB44B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如出现上述行为，本</w:t>
      </w:r>
      <w:r>
        <w:rPr>
          <w:rFonts w:hint="eastAsia" w:ascii="仿宋" w:hAnsi="仿宋" w:eastAsia="仿宋" w:cs="仿宋"/>
          <w:color w:val="000000"/>
          <w:sz w:val="24"/>
          <w:lang w:eastAsia="zh-CN"/>
        </w:rPr>
        <w:t>响应人</w:t>
      </w:r>
      <w:r>
        <w:rPr>
          <w:rFonts w:hint="eastAsia" w:ascii="仿宋" w:hAnsi="仿宋" w:eastAsia="仿宋" w:cs="仿宋"/>
          <w:color w:val="000000"/>
          <w:sz w:val="24"/>
        </w:rPr>
        <w:t xml:space="preserve">自愿承担相关责任，接受招投标监督管理部门、纪检监察部门或司法机关调查处理。     </w:t>
      </w:r>
    </w:p>
    <w:p w14:paraId="2D85154B">
      <w:pPr>
        <w:spacing w:line="360" w:lineRule="auto"/>
        <w:ind w:firstLine="480" w:firstLineChars="200"/>
        <w:rPr>
          <w:rFonts w:hint="eastAsia" w:ascii="仿宋" w:hAnsi="仿宋" w:eastAsia="仿宋" w:cs="仿宋"/>
          <w:color w:val="000000"/>
          <w:sz w:val="24"/>
        </w:rPr>
      </w:pPr>
    </w:p>
    <w:p w14:paraId="0DAE25D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 </w:t>
      </w:r>
    </w:p>
    <w:p w14:paraId="7A47D49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eastAsia="zh-CN"/>
        </w:rPr>
        <w:t>响应人</w:t>
      </w:r>
      <w:r>
        <w:rPr>
          <w:rFonts w:hint="eastAsia" w:ascii="仿宋" w:hAnsi="仿宋" w:eastAsia="仿宋" w:cs="仿宋"/>
          <w:color w:val="000000"/>
          <w:sz w:val="24"/>
        </w:rPr>
        <w:t xml:space="preserve">： </w:t>
      </w:r>
    </w:p>
    <w:p w14:paraId="2F6146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   （签字或盖章）                </w:t>
      </w:r>
    </w:p>
    <w:p w14:paraId="7C25CB60">
      <w:pPr>
        <w:spacing w:line="360" w:lineRule="auto"/>
        <w:ind w:firstLine="480" w:firstLineChars="200"/>
        <w:rPr>
          <w:rFonts w:hint="eastAsia" w:ascii="仿宋" w:hAnsi="仿宋" w:eastAsia="仿宋" w:cs="仿宋"/>
          <w:color w:val="000000"/>
          <w:sz w:val="24"/>
        </w:rPr>
      </w:pPr>
    </w:p>
    <w:p w14:paraId="651E27EB">
      <w:pPr>
        <w:spacing w:line="360" w:lineRule="auto"/>
        <w:jc w:val="right"/>
        <w:rPr>
          <w:rFonts w:hint="eastAsia" w:ascii="仿宋" w:hAnsi="仿宋" w:eastAsia="仿宋" w:cs="仿宋"/>
          <w:color w:val="000000"/>
          <w:sz w:val="24"/>
        </w:rPr>
      </w:pPr>
      <w:r>
        <w:rPr>
          <w:rFonts w:hint="eastAsia" w:ascii="仿宋" w:hAnsi="仿宋" w:eastAsia="仿宋" w:cs="仿宋"/>
          <w:color w:val="000000"/>
          <w:sz w:val="24"/>
        </w:rPr>
        <w:t>年   月   日</w:t>
      </w:r>
    </w:p>
    <w:p w14:paraId="21292D99">
      <w:pPr>
        <w:widowControl/>
        <w:jc w:val="left"/>
        <w:rPr>
          <w:rFonts w:hint="eastAsia" w:ascii="仿宋" w:hAnsi="仿宋" w:eastAsia="仿宋" w:cs="仿宋"/>
          <w:b/>
          <w:sz w:val="24"/>
        </w:rPr>
      </w:pPr>
    </w:p>
    <w:p w14:paraId="57BAE459">
      <w:pPr>
        <w:jc w:val="center"/>
        <w:rPr>
          <w:rFonts w:hint="eastAsia" w:ascii="仿宋" w:hAnsi="仿宋" w:eastAsia="仿宋" w:cs="仿宋"/>
          <w:b/>
          <w:color w:val="auto"/>
          <w:kern w:val="0"/>
          <w:sz w:val="32"/>
          <w:szCs w:val="32"/>
          <w:highlight w:val="none"/>
        </w:rPr>
      </w:pPr>
    </w:p>
    <w:p w14:paraId="7D9BE852">
      <w:pPr>
        <w:ind w:left="0" w:leftChars="0" w:firstLine="0" w:firstLineChars="0"/>
        <w:jc w:val="center"/>
        <w:rPr>
          <w:rFonts w:hint="eastAsia" w:ascii="仿宋" w:hAnsi="仿宋" w:eastAsia="仿宋" w:cs="仿宋"/>
          <w:b/>
          <w:color w:val="auto"/>
          <w:kern w:val="0"/>
          <w:sz w:val="32"/>
          <w:szCs w:val="32"/>
          <w:highlight w:val="none"/>
          <w:lang w:val="en-US" w:eastAsia="zh-CN"/>
        </w:rPr>
      </w:pPr>
    </w:p>
    <w:p w14:paraId="205CECF7">
      <w:pPr>
        <w:pStyle w:val="964"/>
        <w:ind w:left="0" w:leftChars="0" w:firstLine="0" w:firstLineChars="0"/>
        <w:jc w:val="center"/>
        <w:rPr>
          <w:rFonts w:hint="eastAsia" w:ascii="仿宋" w:hAnsi="仿宋" w:eastAsia="仿宋" w:cs="仿宋"/>
          <w:b/>
          <w:bCs/>
          <w:color w:val="auto"/>
          <w:sz w:val="30"/>
          <w:szCs w:val="30"/>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start="1"/>
          <w:cols w:space="720" w:num="1"/>
          <w:titlePg/>
          <w:docGrid w:linePitch="312" w:charSpace="0"/>
        </w:sectPr>
      </w:pPr>
    </w:p>
    <w:p w14:paraId="0F99EE9D">
      <w:pPr>
        <w:jc w:val="center"/>
        <w:rPr>
          <w:rFonts w:hint="eastAsia" w:ascii="仿宋" w:hAnsi="仿宋" w:eastAsia="仿宋" w:cs="仿宋"/>
          <w:b/>
          <w:color w:val="auto"/>
          <w:kern w:val="0"/>
          <w:sz w:val="32"/>
          <w:szCs w:val="32"/>
          <w:highlight w:val="none"/>
        </w:rPr>
      </w:pPr>
    </w:p>
    <w:p w14:paraId="601E3125">
      <w:pPr>
        <w:rPr>
          <w:rFonts w:hint="eastAsia" w:ascii="仿宋" w:hAnsi="仿宋" w:eastAsia="仿宋" w:cs="仿宋"/>
          <w:b/>
          <w:bCs/>
          <w:color w:val="auto"/>
          <w:sz w:val="32"/>
          <w:szCs w:val="32"/>
          <w:highlight w:val="none"/>
        </w:rPr>
      </w:pPr>
    </w:p>
    <w:p w14:paraId="78B3EF4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61F077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B22A4FF">
      <w:pPr>
        <w:spacing w:line="360" w:lineRule="auto"/>
        <w:jc w:val="center"/>
        <w:outlineLvl w:val="0"/>
        <w:rPr>
          <w:rFonts w:hint="eastAsia" w:ascii="仿宋" w:hAnsi="仿宋" w:eastAsia="仿宋" w:cs="仿宋"/>
          <w:b/>
          <w:color w:val="auto"/>
          <w:kern w:val="0"/>
          <w:sz w:val="36"/>
          <w:szCs w:val="36"/>
          <w:highlight w:val="none"/>
        </w:rPr>
      </w:pPr>
    </w:p>
    <w:p w14:paraId="6BCC98B9">
      <w:pPr>
        <w:keepNext w:val="0"/>
        <w:keepLines w:val="0"/>
        <w:pageBreakBefore w:val="0"/>
        <w:numPr>
          <w:ilvl w:val="0"/>
          <w:numId w:val="3"/>
        </w:numPr>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投标函；（格式详见附件）</w:t>
      </w:r>
    </w:p>
    <w:p w14:paraId="5E8B5131">
      <w:pPr>
        <w:keepNext w:val="0"/>
        <w:keepLines w:val="0"/>
        <w:pageBreakBefore w:val="0"/>
        <w:numPr>
          <w:ilvl w:val="0"/>
          <w:numId w:val="3"/>
        </w:numPr>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报价明细单；（格式详见附件）</w:t>
      </w:r>
    </w:p>
    <w:p w14:paraId="4480FF7A">
      <w:pPr>
        <w:keepNext w:val="0"/>
        <w:keepLines w:val="0"/>
        <w:pageBreakBefore w:val="0"/>
        <w:numPr>
          <w:ilvl w:val="0"/>
          <w:numId w:val="3"/>
        </w:numPr>
        <w:kinsoku/>
        <w:wordWrap/>
        <w:overflowPunct/>
        <w:topLinePunct w:val="0"/>
        <w:bidi w:val="0"/>
        <w:adjustRightInd w:val="0"/>
        <w:spacing w:line="360" w:lineRule="auto"/>
        <w:ind w:firstLine="480"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响应人需要说明的其它文件和资料。</w:t>
      </w:r>
    </w:p>
    <w:p w14:paraId="29EE9DEF">
      <w:pPr>
        <w:snapToGrid w:val="0"/>
        <w:spacing w:line="360" w:lineRule="auto"/>
        <w:ind w:right="480"/>
        <w:jc w:val="center"/>
        <w:rPr>
          <w:rFonts w:hint="eastAsia" w:ascii="仿宋" w:hAnsi="仿宋" w:eastAsia="仿宋" w:cs="仿宋"/>
          <w:b/>
          <w:color w:val="auto"/>
          <w:kern w:val="0"/>
          <w:sz w:val="32"/>
          <w:szCs w:val="32"/>
          <w:highlight w:val="none"/>
        </w:rPr>
      </w:pPr>
    </w:p>
    <w:p w14:paraId="01C27F72">
      <w:pPr>
        <w:snapToGrid w:val="0"/>
        <w:spacing w:line="360" w:lineRule="auto"/>
        <w:ind w:right="480"/>
        <w:jc w:val="center"/>
        <w:rPr>
          <w:rFonts w:hint="eastAsia" w:ascii="仿宋" w:hAnsi="仿宋" w:eastAsia="仿宋" w:cs="仿宋"/>
          <w:b/>
          <w:color w:val="auto"/>
          <w:kern w:val="0"/>
          <w:sz w:val="32"/>
          <w:szCs w:val="32"/>
          <w:highlight w:val="none"/>
        </w:rPr>
      </w:pPr>
    </w:p>
    <w:p w14:paraId="4E546B9A">
      <w:pPr>
        <w:snapToGrid w:val="0"/>
        <w:spacing w:line="360" w:lineRule="auto"/>
        <w:ind w:right="480"/>
        <w:jc w:val="center"/>
        <w:rPr>
          <w:rFonts w:hint="eastAsia" w:ascii="仿宋" w:hAnsi="仿宋" w:eastAsia="仿宋" w:cs="仿宋"/>
          <w:b/>
          <w:color w:val="auto"/>
          <w:kern w:val="0"/>
          <w:sz w:val="32"/>
          <w:szCs w:val="32"/>
          <w:highlight w:val="none"/>
        </w:rPr>
      </w:pPr>
    </w:p>
    <w:p w14:paraId="06B63AA0">
      <w:pPr>
        <w:snapToGrid w:val="0"/>
        <w:spacing w:line="360" w:lineRule="auto"/>
        <w:ind w:right="480"/>
        <w:jc w:val="center"/>
        <w:rPr>
          <w:rFonts w:hint="eastAsia" w:ascii="仿宋" w:hAnsi="仿宋" w:eastAsia="仿宋" w:cs="仿宋"/>
          <w:b/>
          <w:color w:val="auto"/>
          <w:kern w:val="0"/>
          <w:sz w:val="32"/>
          <w:szCs w:val="32"/>
          <w:highlight w:val="none"/>
        </w:rPr>
      </w:pPr>
    </w:p>
    <w:p w14:paraId="50C29214">
      <w:pPr>
        <w:snapToGrid w:val="0"/>
        <w:spacing w:line="360" w:lineRule="auto"/>
        <w:ind w:right="480"/>
        <w:jc w:val="center"/>
        <w:rPr>
          <w:rFonts w:hint="eastAsia" w:ascii="仿宋" w:hAnsi="仿宋" w:eastAsia="仿宋" w:cs="仿宋"/>
          <w:b/>
          <w:color w:val="auto"/>
          <w:kern w:val="0"/>
          <w:sz w:val="32"/>
          <w:szCs w:val="32"/>
          <w:highlight w:val="none"/>
        </w:rPr>
      </w:pPr>
    </w:p>
    <w:p w14:paraId="60E600F4">
      <w:pPr>
        <w:snapToGrid w:val="0"/>
        <w:spacing w:line="360" w:lineRule="auto"/>
        <w:ind w:right="480"/>
        <w:jc w:val="center"/>
        <w:rPr>
          <w:rFonts w:hint="eastAsia" w:ascii="仿宋" w:hAnsi="仿宋" w:eastAsia="仿宋" w:cs="仿宋"/>
          <w:b/>
          <w:color w:val="auto"/>
          <w:kern w:val="0"/>
          <w:sz w:val="32"/>
          <w:szCs w:val="32"/>
          <w:highlight w:val="none"/>
        </w:rPr>
      </w:pPr>
    </w:p>
    <w:p w14:paraId="11AF642B">
      <w:pPr>
        <w:snapToGrid w:val="0"/>
        <w:spacing w:line="360" w:lineRule="auto"/>
        <w:ind w:right="480"/>
        <w:jc w:val="center"/>
        <w:rPr>
          <w:rFonts w:hint="eastAsia" w:ascii="仿宋" w:hAnsi="仿宋" w:eastAsia="仿宋" w:cs="仿宋"/>
          <w:b/>
          <w:color w:val="auto"/>
          <w:kern w:val="0"/>
          <w:sz w:val="32"/>
          <w:szCs w:val="32"/>
          <w:highlight w:val="none"/>
        </w:rPr>
      </w:pPr>
    </w:p>
    <w:p w14:paraId="670CBEB2">
      <w:pPr>
        <w:snapToGrid w:val="0"/>
        <w:spacing w:line="360" w:lineRule="auto"/>
        <w:ind w:right="480"/>
        <w:jc w:val="center"/>
        <w:rPr>
          <w:rFonts w:hint="eastAsia" w:ascii="仿宋" w:hAnsi="仿宋" w:eastAsia="仿宋" w:cs="仿宋"/>
          <w:b/>
          <w:color w:val="auto"/>
          <w:kern w:val="0"/>
          <w:sz w:val="32"/>
          <w:szCs w:val="32"/>
          <w:highlight w:val="none"/>
        </w:rPr>
      </w:pPr>
    </w:p>
    <w:p w14:paraId="0D488C16">
      <w:pPr>
        <w:snapToGrid w:val="0"/>
        <w:spacing w:line="360" w:lineRule="auto"/>
        <w:ind w:right="480"/>
        <w:jc w:val="center"/>
        <w:rPr>
          <w:rFonts w:hint="eastAsia" w:ascii="仿宋" w:hAnsi="仿宋" w:eastAsia="仿宋" w:cs="仿宋"/>
          <w:b/>
          <w:color w:val="auto"/>
          <w:kern w:val="0"/>
          <w:sz w:val="32"/>
          <w:szCs w:val="32"/>
          <w:highlight w:val="none"/>
        </w:rPr>
      </w:pPr>
    </w:p>
    <w:p w14:paraId="5CEBFACB">
      <w:pPr>
        <w:snapToGrid w:val="0"/>
        <w:spacing w:line="360" w:lineRule="auto"/>
        <w:ind w:right="480"/>
        <w:jc w:val="center"/>
        <w:rPr>
          <w:rFonts w:hint="eastAsia" w:ascii="仿宋" w:hAnsi="仿宋" w:eastAsia="仿宋" w:cs="仿宋"/>
          <w:b/>
          <w:color w:val="auto"/>
          <w:kern w:val="0"/>
          <w:sz w:val="32"/>
          <w:szCs w:val="32"/>
          <w:highlight w:val="none"/>
        </w:rPr>
      </w:pPr>
    </w:p>
    <w:p w14:paraId="35448DEB">
      <w:pPr>
        <w:snapToGrid w:val="0"/>
        <w:spacing w:line="360" w:lineRule="auto"/>
        <w:ind w:right="480"/>
        <w:jc w:val="center"/>
        <w:rPr>
          <w:rFonts w:hint="eastAsia" w:ascii="仿宋" w:hAnsi="仿宋" w:eastAsia="仿宋" w:cs="仿宋"/>
          <w:b/>
          <w:color w:val="auto"/>
          <w:kern w:val="0"/>
          <w:sz w:val="32"/>
          <w:szCs w:val="32"/>
          <w:highlight w:val="none"/>
        </w:rPr>
      </w:pPr>
    </w:p>
    <w:p w14:paraId="63AE3DC3">
      <w:pPr>
        <w:snapToGrid w:val="0"/>
        <w:spacing w:line="360" w:lineRule="auto"/>
        <w:ind w:right="480"/>
        <w:jc w:val="center"/>
        <w:rPr>
          <w:rFonts w:hint="eastAsia" w:ascii="仿宋" w:hAnsi="仿宋" w:eastAsia="仿宋" w:cs="仿宋"/>
          <w:b/>
          <w:color w:val="auto"/>
          <w:kern w:val="0"/>
          <w:sz w:val="32"/>
          <w:szCs w:val="32"/>
          <w:highlight w:val="none"/>
        </w:rPr>
      </w:pPr>
    </w:p>
    <w:p w14:paraId="304BCDCD">
      <w:pPr>
        <w:snapToGrid w:val="0"/>
        <w:spacing w:line="360" w:lineRule="auto"/>
        <w:ind w:right="480"/>
        <w:jc w:val="center"/>
        <w:rPr>
          <w:rFonts w:hint="eastAsia" w:ascii="仿宋" w:hAnsi="仿宋" w:eastAsia="仿宋" w:cs="仿宋"/>
          <w:b/>
          <w:color w:val="auto"/>
          <w:kern w:val="0"/>
          <w:sz w:val="32"/>
          <w:szCs w:val="32"/>
          <w:highlight w:val="none"/>
        </w:rPr>
      </w:pPr>
    </w:p>
    <w:p w14:paraId="70F5FA5B">
      <w:pPr>
        <w:snapToGrid w:val="0"/>
        <w:spacing w:line="360" w:lineRule="auto"/>
        <w:ind w:right="480"/>
        <w:jc w:val="center"/>
        <w:rPr>
          <w:rFonts w:hint="eastAsia" w:ascii="仿宋" w:hAnsi="仿宋" w:eastAsia="仿宋" w:cs="仿宋"/>
          <w:b/>
          <w:color w:val="auto"/>
          <w:kern w:val="0"/>
          <w:sz w:val="32"/>
          <w:szCs w:val="32"/>
          <w:highlight w:val="none"/>
        </w:rPr>
      </w:pPr>
    </w:p>
    <w:p w14:paraId="7B35A1D3">
      <w:pPr>
        <w:snapToGrid w:val="0"/>
        <w:spacing w:line="360" w:lineRule="auto"/>
        <w:ind w:right="480"/>
        <w:jc w:val="center"/>
        <w:rPr>
          <w:rFonts w:hint="eastAsia" w:ascii="仿宋" w:hAnsi="仿宋" w:eastAsia="仿宋" w:cs="仿宋"/>
          <w:b/>
          <w:color w:val="auto"/>
          <w:kern w:val="0"/>
          <w:sz w:val="32"/>
          <w:szCs w:val="32"/>
          <w:highlight w:val="none"/>
        </w:rPr>
      </w:pPr>
    </w:p>
    <w:p w14:paraId="18D4B994">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2" w:type="first"/>
          <w:footerReference r:id="rId14" w:type="first"/>
          <w:headerReference r:id="rId11" w:type="default"/>
          <w:footerReference r:id="rId13" w:type="default"/>
          <w:pgSz w:w="11906" w:h="16838"/>
          <w:pgMar w:top="1440" w:right="1803" w:bottom="1440" w:left="1803"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D4DD17C">
      <w:pPr>
        <w:pStyle w:val="969"/>
        <w:spacing w:line="360" w:lineRule="auto"/>
        <w:jc w:val="center"/>
        <w:rPr>
          <w:rFonts w:hint="eastAsia" w:ascii="仿宋" w:hAnsi="仿宋" w:eastAsia="仿宋" w:cs="仿宋"/>
          <w:b/>
          <w:bCs/>
          <w:sz w:val="32"/>
          <w:szCs w:val="32"/>
        </w:rPr>
      </w:pPr>
      <w:r>
        <w:rPr>
          <w:rFonts w:hint="eastAsia" w:ascii="仿宋" w:hAnsi="仿宋" w:eastAsia="仿宋" w:cs="仿宋"/>
          <w:color w:val="auto"/>
          <w:kern w:val="2"/>
          <w:sz w:val="32"/>
          <w:szCs w:val="32"/>
          <w:highlight w:val="none"/>
        </w:rPr>
        <w:t>一、</w:t>
      </w:r>
      <w:r>
        <w:rPr>
          <w:rFonts w:hint="eastAsia" w:ascii="仿宋" w:hAnsi="仿宋" w:eastAsia="仿宋" w:cs="仿宋"/>
          <w:b/>
          <w:bCs/>
          <w:sz w:val="32"/>
          <w:szCs w:val="32"/>
        </w:rPr>
        <w:t>投 标 函</w:t>
      </w:r>
    </w:p>
    <w:p w14:paraId="34361B86">
      <w:pPr>
        <w:pStyle w:val="969"/>
        <w:spacing w:line="540" w:lineRule="exact"/>
        <w:rPr>
          <w:rFonts w:hint="eastAsia" w:ascii="仿宋" w:hAnsi="仿宋" w:eastAsia="仿宋" w:cs="仿宋"/>
          <w:sz w:val="24"/>
          <w:szCs w:val="24"/>
        </w:rPr>
      </w:pPr>
    </w:p>
    <w:p w14:paraId="5E7D4A4A">
      <w:pPr>
        <w:pStyle w:val="969"/>
        <w:spacing w:line="54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杭州萧山污水处理有限公司</w:t>
      </w:r>
    </w:p>
    <w:p w14:paraId="42C2B574">
      <w:pPr>
        <w:pStyle w:val="969"/>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1、根据已收到贵方招标编号为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u w:val="single"/>
        </w:rPr>
        <w:t xml:space="preserve"> 杭州萧山污水处理有限公司202</w:t>
      </w:r>
      <w:r>
        <w:rPr>
          <w:rFonts w:hint="eastAsia" w:ascii="仿宋" w:hAnsi="仿宋" w:eastAsia="仿宋" w:cs="仿宋"/>
          <w:sz w:val="24"/>
          <w:szCs w:val="24"/>
          <w:u w:val="single"/>
          <w:lang w:val="en-US" w:eastAsia="zh-CN"/>
        </w:rPr>
        <w:t>5-2026年度</w:t>
      </w:r>
      <w:r>
        <w:rPr>
          <w:rFonts w:hint="eastAsia" w:ascii="仿宋" w:hAnsi="仿宋" w:eastAsia="仿宋" w:cs="仿宋"/>
          <w:sz w:val="24"/>
          <w:szCs w:val="24"/>
          <w:u w:val="single"/>
        </w:rPr>
        <w:t>润滑油年度采购项目</w:t>
      </w:r>
      <w:r>
        <w:rPr>
          <w:rFonts w:hint="eastAsia" w:ascii="仿宋" w:hAnsi="仿宋" w:eastAsia="仿宋" w:cs="仿宋"/>
          <w:sz w:val="24"/>
          <w:szCs w:val="24"/>
        </w:rPr>
        <w:t>的招标文件，我方经认真研究上述文件的投标须知、油品规格和其他有关文件，并经风险测算后，我方愿以</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折扣率</w:t>
      </w:r>
      <w:r>
        <w:rPr>
          <w:rFonts w:hint="eastAsia" w:ascii="仿宋" w:hAnsi="仿宋" w:eastAsia="仿宋" w:cs="仿宋"/>
          <w:sz w:val="24"/>
          <w:szCs w:val="24"/>
        </w:rPr>
        <w:t>，  优惠后总价为</w:t>
      </w:r>
      <w:r>
        <w:rPr>
          <w:rFonts w:hint="eastAsia" w:ascii="仿宋" w:hAnsi="仿宋" w:eastAsia="仿宋" w:cs="仿宋"/>
          <w:sz w:val="24"/>
          <w:szCs w:val="24"/>
          <w:u w:val="single"/>
        </w:rPr>
        <w:t>（大写金额：），（小写金额：）</w:t>
      </w:r>
      <w:r>
        <w:rPr>
          <w:rFonts w:hint="eastAsia" w:ascii="仿宋" w:hAnsi="仿宋" w:eastAsia="仿宋" w:cs="仿宋"/>
          <w:sz w:val="24"/>
          <w:szCs w:val="24"/>
        </w:rPr>
        <w:t xml:space="preserve"> 做为本采购项目的报价与投标，</w:t>
      </w:r>
      <w:r>
        <w:rPr>
          <w:rFonts w:hint="eastAsia" w:ascii="仿宋" w:hAnsi="仿宋" w:eastAsia="仿宋" w:cs="仿宋"/>
          <w:sz w:val="24"/>
          <w:szCs w:val="24"/>
          <w:lang w:val="en-US" w:eastAsia="zh-CN"/>
        </w:rPr>
        <w:t xml:space="preserve">  税率为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我方保证在收到</w:t>
      </w:r>
      <w:r>
        <w:rPr>
          <w:rFonts w:hint="eastAsia" w:ascii="仿宋" w:hAnsi="仿宋" w:eastAsia="仿宋" w:cs="仿宋"/>
          <w:sz w:val="24"/>
          <w:szCs w:val="24"/>
          <w:lang w:eastAsia="zh-CN"/>
        </w:rPr>
        <w:t>交易发起人</w:t>
      </w:r>
      <w:r>
        <w:rPr>
          <w:rFonts w:hint="eastAsia" w:ascii="仿宋" w:hAnsi="仿宋" w:eastAsia="仿宋" w:cs="仿宋"/>
          <w:sz w:val="24"/>
          <w:szCs w:val="24"/>
        </w:rPr>
        <w:t>订单需求后的约定供货期内交货到指定地点，质量达到</w:t>
      </w:r>
      <w:r>
        <w:rPr>
          <w:rFonts w:hint="eastAsia" w:ascii="仿宋" w:hAnsi="仿宋" w:eastAsia="仿宋" w:cs="仿宋"/>
          <w:sz w:val="24"/>
          <w:szCs w:val="24"/>
          <w:u w:val="single"/>
        </w:rPr>
        <w:t>合格</w:t>
      </w:r>
      <w:r>
        <w:rPr>
          <w:rFonts w:hint="eastAsia" w:ascii="仿宋" w:hAnsi="仿宋" w:eastAsia="仿宋" w:cs="仿宋"/>
          <w:sz w:val="24"/>
          <w:szCs w:val="24"/>
        </w:rPr>
        <w:t>标准。</w:t>
      </w:r>
    </w:p>
    <w:p w14:paraId="0573AE7A">
      <w:pPr>
        <w:pStyle w:val="969"/>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2、我方已详细审查全部招标文件，包括修改文件（如有）及有关附件，我方完全知道必须放弃提出含糊不清或误解的权力。</w:t>
      </w:r>
    </w:p>
    <w:p w14:paraId="568B26F2">
      <w:pPr>
        <w:pStyle w:val="969"/>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3、我方郑重承诺本采购项目由我方自行供货，若出现转包情况，对于贵方终止承包合同、将我方列入黑名单、取消我方参与贵公司采购项目投标资格等处罚措施我方均予以接受并认可。</w:t>
      </w:r>
    </w:p>
    <w:p w14:paraId="76917276">
      <w:pPr>
        <w:pStyle w:val="969"/>
        <w:spacing w:line="540" w:lineRule="exact"/>
        <w:rPr>
          <w:rFonts w:hint="eastAsia" w:ascii="仿宋" w:hAnsi="仿宋" w:eastAsia="仿宋" w:cs="仿宋"/>
          <w:sz w:val="24"/>
          <w:szCs w:val="24"/>
        </w:rPr>
      </w:pPr>
    </w:p>
    <w:p w14:paraId="2324E0CA">
      <w:pPr>
        <w:pStyle w:val="969"/>
        <w:spacing w:line="540" w:lineRule="exact"/>
        <w:rPr>
          <w:rFonts w:hint="eastAsia" w:ascii="仿宋" w:hAnsi="仿宋" w:eastAsia="仿宋" w:cs="仿宋"/>
          <w:sz w:val="24"/>
          <w:szCs w:val="24"/>
        </w:rPr>
      </w:pPr>
    </w:p>
    <w:p w14:paraId="77C46B1C">
      <w:pPr>
        <w:pStyle w:val="969"/>
        <w:spacing w:line="540" w:lineRule="exact"/>
        <w:ind w:firstLine="480" w:firstLineChars="200"/>
        <w:jc w:val="right"/>
        <w:rPr>
          <w:rFonts w:hint="eastAsia" w:ascii="仿宋" w:hAnsi="仿宋" w:eastAsia="仿宋" w:cs="仿宋"/>
          <w:sz w:val="24"/>
          <w:szCs w:val="24"/>
        </w:rPr>
      </w:pPr>
    </w:p>
    <w:p w14:paraId="5A805215">
      <w:pPr>
        <w:pStyle w:val="969"/>
        <w:spacing w:line="540" w:lineRule="exact"/>
        <w:ind w:firstLine="480" w:firstLineChars="200"/>
        <w:jc w:val="right"/>
        <w:rPr>
          <w:rFonts w:hint="eastAsia" w:ascii="仿宋" w:hAnsi="仿宋" w:eastAsia="仿宋" w:cs="仿宋"/>
          <w:b w:val="0"/>
          <w:bCs w:val="0"/>
          <w:sz w:val="24"/>
          <w:szCs w:val="24"/>
          <w:u w:val="single"/>
        </w:rPr>
      </w:pPr>
      <w:r>
        <w:rPr>
          <w:rFonts w:hint="eastAsia" w:ascii="仿宋" w:hAnsi="仿宋" w:eastAsia="仿宋" w:cs="仿宋"/>
          <w:b w:val="0"/>
          <w:bCs w:val="0"/>
          <w:sz w:val="24"/>
          <w:szCs w:val="24"/>
          <w:lang w:eastAsia="zh-CN"/>
        </w:rPr>
        <w:t>响应人</w:t>
      </w:r>
      <w:r>
        <w:rPr>
          <w:rFonts w:hint="eastAsia" w:ascii="仿宋" w:hAnsi="仿宋" w:eastAsia="仿宋" w:cs="仿宋"/>
          <w:b w:val="0"/>
          <w:bCs w:val="0"/>
          <w:sz w:val="24"/>
          <w:szCs w:val="24"/>
        </w:rPr>
        <w:t>：</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（签字并盖章）</w:t>
      </w:r>
    </w:p>
    <w:p w14:paraId="0814FD7D">
      <w:pPr>
        <w:pStyle w:val="693"/>
        <w:keepNext w:val="0"/>
        <w:pageBreakBefore w:val="0"/>
        <w:tabs>
          <w:tab w:val="clear" w:pos="720"/>
        </w:tabs>
        <w:snapToGrid w:val="0"/>
        <w:spacing w:before="120" w:after="120"/>
        <w:ind w:firstLine="643"/>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日期：</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w:t>
      </w:r>
    </w:p>
    <w:p w14:paraId="62748719">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64781C3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二、报价明细表</w:t>
      </w:r>
      <w:r>
        <w:rPr>
          <w:rFonts w:hint="eastAsia" w:ascii="仿宋" w:hAnsi="仿宋" w:eastAsia="仿宋" w:cs="仿宋"/>
          <w:color w:val="auto"/>
          <w:kern w:val="2"/>
          <w:sz w:val="32"/>
          <w:szCs w:val="32"/>
          <w:highlight w:val="none"/>
        </w:rPr>
        <w:t>（报价表）</w:t>
      </w:r>
    </w:p>
    <w:p w14:paraId="42D70A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）、（采购代理机构）</w:t>
      </w:r>
      <w:r>
        <w:rPr>
          <w:rFonts w:hint="eastAsia" w:ascii="仿宋" w:hAnsi="仿宋" w:eastAsia="仿宋" w:cs="仿宋"/>
          <w:color w:val="auto"/>
          <w:kern w:val="0"/>
          <w:sz w:val="24"/>
          <w:highlight w:val="none"/>
          <w:lang w:val="zh-CN"/>
        </w:rPr>
        <w:t>：</w:t>
      </w:r>
    </w:p>
    <w:p w14:paraId="64006BB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w:t>
      </w:r>
      <w:r>
        <w:rPr>
          <w:rFonts w:hint="eastAsia" w:ascii="仿宋" w:hAnsi="仿宋" w:eastAsia="仿宋" w:cs="仿宋"/>
          <w:color w:val="auto"/>
          <w:kern w:val="0"/>
          <w:sz w:val="24"/>
          <w:highlight w:val="none"/>
          <w:lang w:val="en-US" w:eastAsia="zh-CN"/>
        </w:rPr>
        <w:t>明细表</w:t>
      </w:r>
      <w:r>
        <w:rPr>
          <w:rFonts w:hint="eastAsia" w:ascii="仿宋" w:hAnsi="仿宋" w:eastAsia="仿宋" w:cs="仿宋"/>
          <w:color w:val="auto"/>
          <w:kern w:val="0"/>
          <w:sz w:val="24"/>
          <w:highlight w:val="none"/>
          <w:lang w:val="zh-CN"/>
        </w:rPr>
        <w:t>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2"/>
        <w:gridCol w:w="1119"/>
        <w:gridCol w:w="968"/>
        <w:gridCol w:w="1063"/>
        <w:gridCol w:w="836"/>
        <w:gridCol w:w="912"/>
        <w:gridCol w:w="836"/>
      </w:tblGrid>
      <w:tr w14:paraId="7572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713546C6">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品名</w:t>
            </w:r>
          </w:p>
        </w:tc>
        <w:tc>
          <w:tcPr>
            <w:tcW w:w="0" w:type="auto"/>
          </w:tcPr>
          <w:p w14:paraId="50770B6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规格</w:t>
            </w:r>
          </w:p>
        </w:tc>
        <w:tc>
          <w:tcPr>
            <w:tcW w:w="0" w:type="auto"/>
          </w:tcPr>
          <w:p w14:paraId="0BD044D0">
            <w:pPr>
              <w:spacing w:line="400" w:lineRule="exact"/>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限价/元</w:t>
            </w:r>
          </w:p>
        </w:tc>
        <w:tc>
          <w:tcPr>
            <w:tcW w:w="0" w:type="auto"/>
          </w:tcPr>
          <w:p w14:paraId="7947E4B1">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统一优惠率</w:t>
            </w:r>
          </w:p>
        </w:tc>
        <w:tc>
          <w:tcPr>
            <w:tcW w:w="0" w:type="auto"/>
          </w:tcPr>
          <w:p w14:paraId="53821CDB">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0" w:type="auto"/>
          </w:tcPr>
          <w:p w14:paraId="1ABE85B6">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暂定数量</w:t>
            </w:r>
          </w:p>
        </w:tc>
        <w:tc>
          <w:tcPr>
            <w:tcW w:w="0" w:type="auto"/>
          </w:tcPr>
          <w:p w14:paraId="2DA02517">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合计/元</w:t>
            </w:r>
          </w:p>
        </w:tc>
      </w:tr>
      <w:tr w14:paraId="79D6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409B5BC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美孚齿轮油600XP 150</w:t>
            </w:r>
          </w:p>
        </w:tc>
        <w:tc>
          <w:tcPr>
            <w:tcW w:w="0" w:type="auto"/>
          </w:tcPr>
          <w:p w14:paraId="00E9180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shd w:val="clear" w:color="auto" w:fill="auto"/>
            <w:vAlign w:val="center"/>
          </w:tcPr>
          <w:p w14:paraId="28D3E8D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4400 </w:t>
            </w:r>
          </w:p>
        </w:tc>
        <w:tc>
          <w:tcPr>
            <w:tcW w:w="0" w:type="auto"/>
            <w:vMerge w:val="restart"/>
          </w:tcPr>
          <w:p w14:paraId="617BC583">
            <w:pPr>
              <w:spacing w:line="400" w:lineRule="exact"/>
              <w:jc w:val="center"/>
              <w:rPr>
                <w:rFonts w:hint="eastAsia" w:ascii="仿宋" w:hAnsi="仿宋" w:eastAsia="仿宋" w:cs="仿宋"/>
                <w:sz w:val="24"/>
                <w:szCs w:val="24"/>
                <w:lang w:val="en-US" w:eastAsia="zh-CN"/>
              </w:rPr>
            </w:pPr>
          </w:p>
        </w:tc>
        <w:tc>
          <w:tcPr>
            <w:tcW w:w="0" w:type="auto"/>
          </w:tcPr>
          <w:p w14:paraId="67289423">
            <w:pPr>
              <w:spacing w:line="400" w:lineRule="exact"/>
              <w:jc w:val="center"/>
              <w:rPr>
                <w:rFonts w:hint="eastAsia" w:ascii="仿宋" w:hAnsi="仿宋" w:eastAsia="仿宋" w:cs="仿宋"/>
                <w:sz w:val="24"/>
                <w:szCs w:val="24"/>
                <w:lang w:val="en-US" w:eastAsia="zh-CN"/>
              </w:rPr>
            </w:pPr>
          </w:p>
        </w:tc>
        <w:tc>
          <w:tcPr>
            <w:tcW w:w="0" w:type="auto"/>
          </w:tcPr>
          <w:p w14:paraId="547F2BED">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24桶</w:t>
            </w:r>
          </w:p>
        </w:tc>
        <w:tc>
          <w:tcPr>
            <w:tcW w:w="0" w:type="auto"/>
          </w:tcPr>
          <w:p w14:paraId="7FDF1A03">
            <w:pPr>
              <w:spacing w:line="400" w:lineRule="exact"/>
              <w:jc w:val="center"/>
              <w:rPr>
                <w:rFonts w:hint="eastAsia" w:ascii="仿宋" w:hAnsi="仿宋" w:eastAsia="仿宋" w:cs="仿宋"/>
                <w:sz w:val="24"/>
                <w:szCs w:val="24"/>
                <w:lang w:val="en-US" w:eastAsia="zh-CN"/>
              </w:rPr>
            </w:pPr>
          </w:p>
        </w:tc>
      </w:tr>
      <w:tr w14:paraId="7854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0" w:type="auto"/>
          </w:tcPr>
          <w:p w14:paraId="4D437824">
            <w:pPr>
              <w:spacing w:line="400" w:lineRule="exact"/>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美孚合成齿轮油SHC 629</w:t>
            </w:r>
          </w:p>
        </w:tc>
        <w:tc>
          <w:tcPr>
            <w:tcW w:w="0" w:type="auto"/>
          </w:tcPr>
          <w:p w14:paraId="2C72EB40">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shd w:val="clear" w:color="auto" w:fill="auto"/>
            <w:vAlign w:val="center"/>
          </w:tcPr>
          <w:p w14:paraId="3970B0F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20000 </w:t>
            </w:r>
          </w:p>
        </w:tc>
        <w:tc>
          <w:tcPr>
            <w:tcW w:w="0" w:type="auto"/>
            <w:vMerge w:val="continue"/>
          </w:tcPr>
          <w:p w14:paraId="7F10B906">
            <w:pPr>
              <w:spacing w:line="400" w:lineRule="exact"/>
              <w:jc w:val="center"/>
              <w:rPr>
                <w:rFonts w:hint="eastAsia" w:ascii="仿宋" w:hAnsi="仿宋" w:eastAsia="仿宋" w:cs="仿宋"/>
                <w:sz w:val="24"/>
                <w:szCs w:val="24"/>
                <w:lang w:val="en-US" w:eastAsia="zh-CN"/>
              </w:rPr>
            </w:pPr>
          </w:p>
        </w:tc>
        <w:tc>
          <w:tcPr>
            <w:tcW w:w="0" w:type="auto"/>
          </w:tcPr>
          <w:p w14:paraId="4F1F8DCF">
            <w:pPr>
              <w:spacing w:line="400" w:lineRule="exact"/>
              <w:jc w:val="center"/>
              <w:rPr>
                <w:rFonts w:hint="eastAsia" w:ascii="仿宋" w:hAnsi="仿宋" w:eastAsia="仿宋" w:cs="仿宋"/>
                <w:sz w:val="24"/>
                <w:szCs w:val="24"/>
                <w:lang w:val="en-US" w:eastAsia="zh-CN"/>
              </w:rPr>
            </w:pPr>
          </w:p>
        </w:tc>
        <w:tc>
          <w:tcPr>
            <w:tcW w:w="0" w:type="auto"/>
          </w:tcPr>
          <w:p w14:paraId="7F629C1F">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8桶</w:t>
            </w:r>
          </w:p>
        </w:tc>
        <w:tc>
          <w:tcPr>
            <w:tcW w:w="0" w:type="auto"/>
          </w:tcPr>
          <w:p w14:paraId="6FE5F91D">
            <w:pPr>
              <w:spacing w:line="400" w:lineRule="exact"/>
              <w:jc w:val="center"/>
              <w:rPr>
                <w:rFonts w:hint="eastAsia" w:ascii="仿宋" w:hAnsi="仿宋" w:eastAsia="仿宋" w:cs="仿宋"/>
                <w:sz w:val="24"/>
                <w:szCs w:val="24"/>
                <w:lang w:val="en-US" w:eastAsia="zh-CN"/>
              </w:rPr>
            </w:pPr>
          </w:p>
        </w:tc>
      </w:tr>
      <w:tr w14:paraId="6D4C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286D51C1">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美孚齿轮油600XP 220</w:t>
            </w:r>
          </w:p>
        </w:tc>
        <w:tc>
          <w:tcPr>
            <w:tcW w:w="0" w:type="auto"/>
          </w:tcPr>
          <w:p w14:paraId="7DC6D75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shd w:val="clear" w:color="auto" w:fill="auto"/>
            <w:vAlign w:val="center"/>
          </w:tcPr>
          <w:p w14:paraId="3ADCA1A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4400 </w:t>
            </w:r>
          </w:p>
        </w:tc>
        <w:tc>
          <w:tcPr>
            <w:tcW w:w="0" w:type="auto"/>
            <w:vMerge w:val="continue"/>
          </w:tcPr>
          <w:p w14:paraId="15388DE9">
            <w:pPr>
              <w:spacing w:line="400" w:lineRule="exact"/>
              <w:jc w:val="center"/>
              <w:rPr>
                <w:rFonts w:hint="eastAsia" w:ascii="仿宋" w:hAnsi="仿宋" w:eastAsia="仿宋" w:cs="仿宋"/>
                <w:sz w:val="24"/>
                <w:szCs w:val="24"/>
              </w:rPr>
            </w:pPr>
          </w:p>
        </w:tc>
        <w:tc>
          <w:tcPr>
            <w:tcW w:w="0" w:type="auto"/>
          </w:tcPr>
          <w:p w14:paraId="620C4938">
            <w:pPr>
              <w:spacing w:line="400" w:lineRule="exact"/>
              <w:jc w:val="center"/>
              <w:rPr>
                <w:rFonts w:hint="eastAsia" w:ascii="仿宋" w:hAnsi="仿宋" w:eastAsia="仿宋" w:cs="仿宋"/>
                <w:sz w:val="24"/>
                <w:szCs w:val="24"/>
                <w:lang w:val="en-US" w:eastAsia="zh-CN"/>
              </w:rPr>
            </w:pPr>
          </w:p>
        </w:tc>
        <w:tc>
          <w:tcPr>
            <w:tcW w:w="0" w:type="auto"/>
          </w:tcPr>
          <w:p w14:paraId="27E3CD9A">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76桶</w:t>
            </w:r>
          </w:p>
        </w:tc>
        <w:tc>
          <w:tcPr>
            <w:tcW w:w="0" w:type="auto"/>
          </w:tcPr>
          <w:p w14:paraId="3FC4C6A7">
            <w:pPr>
              <w:spacing w:line="400" w:lineRule="exact"/>
              <w:jc w:val="center"/>
              <w:rPr>
                <w:rFonts w:hint="eastAsia" w:ascii="仿宋" w:hAnsi="仿宋" w:eastAsia="仿宋" w:cs="仿宋"/>
                <w:sz w:val="24"/>
                <w:szCs w:val="24"/>
                <w:lang w:val="en-US" w:eastAsia="zh-CN"/>
              </w:rPr>
            </w:pPr>
          </w:p>
        </w:tc>
      </w:tr>
      <w:tr w14:paraId="4E44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5132F8D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美孚齿轮油600XP 680</w:t>
            </w:r>
          </w:p>
        </w:tc>
        <w:tc>
          <w:tcPr>
            <w:tcW w:w="0" w:type="auto"/>
          </w:tcPr>
          <w:p w14:paraId="185C80BB">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shd w:val="clear" w:color="auto" w:fill="auto"/>
            <w:vAlign w:val="center"/>
          </w:tcPr>
          <w:p w14:paraId="79E6D3A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5780 </w:t>
            </w:r>
          </w:p>
        </w:tc>
        <w:tc>
          <w:tcPr>
            <w:tcW w:w="0" w:type="auto"/>
            <w:vMerge w:val="continue"/>
          </w:tcPr>
          <w:p w14:paraId="22670628">
            <w:pPr>
              <w:spacing w:line="400" w:lineRule="exact"/>
              <w:jc w:val="center"/>
              <w:rPr>
                <w:rFonts w:hint="eastAsia" w:ascii="仿宋" w:hAnsi="仿宋" w:eastAsia="仿宋" w:cs="仿宋"/>
                <w:sz w:val="24"/>
                <w:szCs w:val="24"/>
                <w:lang w:val="en-US" w:eastAsia="zh-CN"/>
              </w:rPr>
            </w:pPr>
          </w:p>
        </w:tc>
        <w:tc>
          <w:tcPr>
            <w:tcW w:w="0" w:type="auto"/>
          </w:tcPr>
          <w:p w14:paraId="34EFE8E3">
            <w:pPr>
              <w:spacing w:line="400" w:lineRule="exact"/>
              <w:jc w:val="center"/>
              <w:rPr>
                <w:rFonts w:hint="eastAsia" w:ascii="仿宋" w:hAnsi="仿宋" w:eastAsia="仿宋" w:cs="仿宋"/>
                <w:sz w:val="24"/>
                <w:szCs w:val="24"/>
                <w:lang w:val="en-US" w:eastAsia="zh-CN"/>
              </w:rPr>
            </w:pPr>
          </w:p>
        </w:tc>
        <w:tc>
          <w:tcPr>
            <w:tcW w:w="0" w:type="auto"/>
          </w:tcPr>
          <w:p w14:paraId="301DAA8A">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1桶</w:t>
            </w:r>
          </w:p>
        </w:tc>
        <w:tc>
          <w:tcPr>
            <w:tcW w:w="0" w:type="auto"/>
          </w:tcPr>
          <w:p w14:paraId="13283072">
            <w:pPr>
              <w:spacing w:line="400" w:lineRule="exact"/>
              <w:jc w:val="center"/>
              <w:rPr>
                <w:rFonts w:hint="eastAsia" w:ascii="仿宋" w:hAnsi="仿宋" w:eastAsia="仿宋" w:cs="仿宋"/>
                <w:sz w:val="24"/>
                <w:szCs w:val="24"/>
                <w:lang w:val="en-US" w:eastAsia="zh-CN"/>
              </w:rPr>
            </w:pPr>
          </w:p>
        </w:tc>
      </w:tr>
      <w:tr w14:paraId="7754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64638FF4">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美孚路宝1号合成齿轮</w:t>
            </w:r>
          </w:p>
          <w:p w14:paraId="73F263F7">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GL-5 75W-90</w:t>
            </w:r>
          </w:p>
        </w:tc>
        <w:tc>
          <w:tcPr>
            <w:tcW w:w="0" w:type="auto"/>
            <w:vAlign w:val="center"/>
          </w:tcPr>
          <w:p w14:paraId="7A2CF54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20L/桶</w:t>
            </w:r>
          </w:p>
        </w:tc>
        <w:tc>
          <w:tcPr>
            <w:tcW w:w="0" w:type="auto"/>
            <w:shd w:val="clear" w:color="auto" w:fill="auto"/>
            <w:vAlign w:val="center"/>
          </w:tcPr>
          <w:p w14:paraId="7CC0626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2933 </w:t>
            </w:r>
          </w:p>
        </w:tc>
        <w:tc>
          <w:tcPr>
            <w:tcW w:w="0" w:type="auto"/>
            <w:vMerge w:val="continue"/>
            <w:vAlign w:val="center"/>
          </w:tcPr>
          <w:p w14:paraId="6C9DF3F4">
            <w:pPr>
              <w:spacing w:line="400" w:lineRule="exact"/>
              <w:jc w:val="center"/>
              <w:rPr>
                <w:rFonts w:hint="eastAsia" w:ascii="仿宋" w:hAnsi="仿宋" w:eastAsia="仿宋" w:cs="仿宋"/>
                <w:sz w:val="24"/>
                <w:szCs w:val="24"/>
              </w:rPr>
            </w:pPr>
          </w:p>
        </w:tc>
        <w:tc>
          <w:tcPr>
            <w:tcW w:w="0" w:type="auto"/>
            <w:vAlign w:val="center"/>
          </w:tcPr>
          <w:p w14:paraId="6750C578">
            <w:pPr>
              <w:spacing w:line="400" w:lineRule="exact"/>
              <w:jc w:val="center"/>
              <w:rPr>
                <w:rFonts w:hint="eastAsia" w:ascii="仿宋" w:hAnsi="仿宋" w:eastAsia="仿宋" w:cs="仿宋"/>
                <w:sz w:val="24"/>
                <w:szCs w:val="24"/>
                <w:lang w:val="en-US" w:eastAsia="zh-CN"/>
              </w:rPr>
            </w:pPr>
          </w:p>
        </w:tc>
        <w:tc>
          <w:tcPr>
            <w:tcW w:w="0" w:type="auto"/>
            <w:vAlign w:val="center"/>
          </w:tcPr>
          <w:p w14:paraId="2BF6C822">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3桶</w:t>
            </w:r>
          </w:p>
        </w:tc>
        <w:tc>
          <w:tcPr>
            <w:tcW w:w="0" w:type="auto"/>
            <w:vAlign w:val="center"/>
          </w:tcPr>
          <w:p w14:paraId="6CBCA6F5">
            <w:pPr>
              <w:spacing w:line="400" w:lineRule="exact"/>
              <w:jc w:val="center"/>
              <w:rPr>
                <w:rFonts w:hint="eastAsia" w:ascii="仿宋" w:hAnsi="仿宋" w:eastAsia="仿宋" w:cs="仿宋"/>
                <w:sz w:val="24"/>
                <w:szCs w:val="24"/>
                <w:lang w:val="en-US" w:eastAsia="zh-CN"/>
              </w:rPr>
            </w:pPr>
          </w:p>
        </w:tc>
      </w:tr>
      <w:tr w14:paraId="5A66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7B4197F8">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美孚长效液压油DTE24UT</w:t>
            </w:r>
          </w:p>
        </w:tc>
        <w:tc>
          <w:tcPr>
            <w:tcW w:w="0" w:type="auto"/>
          </w:tcPr>
          <w:p w14:paraId="2713AFE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shd w:val="clear" w:color="auto" w:fill="auto"/>
            <w:vAlign w:val="center"/>
          </w:tcPr>
          <w:p w14:paraId="03B734D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3800 </w:t>
            </w:r>
          </w:p>
        </w:tc>
        <w:tc>
          <w:tcPr>
            <w:tcW w:w="0" w:type="auto"/>
            <w:vMerge w:val="continue"/>
          </w:tcPr>
          <w:p w14:paraId="63B7C32D">
            <w:pPr>
              <w:spacing w:line="400" w:lineRule="exact"/>
              <w:jc w:val="center"/>
              <w:rPr>
                <w:rFonts w:hint="eastAsia" w:ascii="仿宋" w:hAnsi="仿宋" w:eastAsia="仿宋" w:cs="仿宋"/>
                <w:sz w:val="24"/>
                <w:szCs w:val="24"/>
                <w:lang w:val="en-US" w:eastAsia="zh-CN"/>
              </w:rPr>
            </w:pPr>
          </w:p>
        </w:tc>
        <w:tc>
          <w:tcPr>
            <w:tcW w:w="0" w:type="auto"/>
          </w:tcPr>
          <w:p w14:paraId="636C66DE">
            <w:pPr>
              <w:spacing w:line="400" w:lineRule="exact"/>
              <w:jc w:val="center"/>
              <w:rPr>
                <w:rFonts w:hint="eastAsia" w:ascii="仿宋" w:hAnsi="仿宋" w:eastAsia="仿宋" w:cs="仿宋"/>
                <w:sz w:val="24"/>
                <w:szCs w:val="24"/>
                <w:lang w:val="en-US" w:eastAsia="zh-CN"/>
              </w:rPr>
            </w:pPr>
          </w:p>
        </w:tc>
        <w:tc>
          <w:tcPr>
            <w:tcW w:w="0" w:type="auto"/>
          </w:tcPr>
          <w:p w14:paraId="6D491FE5">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4桶</w:t>
            </w:r>
          </w:p>
        </w:tc>
        <w:tc>
          <w:tcPr>
            <w:tcW w:w="0" w:type="auto"/>
          </w:tcPr>
          <w:p w14:paraId="0300BAD7">
            <w:pPr>
              <w:spacing w:line="400" w:lineRule="exact"/>
              <w:jc w:val="center"/>
              <w:rPr>
                <w:rFonts w:hint="eastAsia" w:ascii="仿宋" w:hAnsi="仿宋" w:eastAsia="仿宋" w:cs="仿宋"/>
                <w:sz w:val="24"/>
                <w:szCs w:val="24"/>
                <w:lang w:val="en-US" w:eastAsia="zh-CN"/>
              </w:rPr>
            </w:pPr>
          </w:p>
        </w:tc>
      </w:tr>
      <w:tr w14:paraId="4DB2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069F89B1">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美孚长效液压油DTE25UT</w:t>
            </w:r>
          </w:p>
        </w:tc>
        <w:tc>
          <w:tcPr>
            <w:tcW w:w="0" w:type="auto"/>
          </w:tcPr>
          <w:p w14:paraId="378C6CD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208L/桶</w:t>
            </w:r>
          </w:p>
        </w:tc>
        <w:tc>
          <w:tcPr>
            <w:tcW w:w="0" w:type="auto"/>
            <w:shd w:val="clear" w:color="auto" w:fill="auto"/>
            <w:vAlign w:val="center"/>
          </w:tcPr>
          <w:p w14:paraId="774A7DD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3800 </w:t>
            </w:r>
          </w:p>
        </w:tc>
        <w:tc>
          <w:tcPr>
            <w:tcW w:w="0" w:type="auto"/>
            <w:vMerge w:val="continue"/>
          </w:tcPr>
          <w:p w14:paraId="0854FE53">
            <w:pPr>
              <w:spacing w:line="400" w:lineRule="exact"/>
              <w:jc w:val="center"/>
              <w:rPr>
                <w:rFonts w:hint="eastAsia" w:ascii="仿宋" w:hAnsi="仿宋" w:eastAsia="仿宋" w:cs="仿宋"/>
                <w:sz w:val="24"/>
                <w:szCs w:val="24"/>
                <w:lang w:val="en-US" w:eastAsia="zh-CN"/>
              </w:rPr>
            </w:pPr>
          </w:p>
        </w:tc>
        <w:tc>
          <w:tcPr>
            <w:tcW w:w="0" w:type="auto"/>
          </w:tcPr>
          <w:p w14:paraId="3DC63E97">
            <w:pPr>
              <w:spacing w:line="400" w:lineRule="exact"/>
              <w:jc w:val="center"/>
              <w:rPr>
                <w:rFonts w:hint="eastAsia" w:ascii="仿宋" w:hAnsi="仿宋" w:eastAsia="仿宋" w:cs="仿宋"/>
                <w:sz w:val="24"/>
                <w:szCs w:val="24"/>
                <w:lang w:val="en-US" w:eastAsia="zh-CN"/>
              </w:rPr>
            </w:pPr>
          </w:p>
        </w:tc>
        <w:tc>
          <w:tcPr>
            <w:tcW w:w="0" w:type="auto"/>
          </w:tcPr>
          <w:p w14:paraId="001EBD95">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39桶</w:t>
            </w:r>
          </w:p>
        </w:tc>
        <w:tc>
          <w:tcPr>
            <w:tcW w:w="0" w:type="auto"/>
          </w:tcPr>
          <w:p w14:paraId="561999BC">
            <w:pPr>
              <w:spacing w:line="400" w:lineRule="exact"/>
              <w:jc w:val="center"/>
              <w:rPr>
                <w:rFonts w:hint="eastAsia" w:ascii="仿宋" w:hAnsi="仿宋" w:eastAsia="仿宋" w:cs="仿宋"/>
                <w:sz w:val="24"/>
                <w:szCs w:val="24"/>
                <w:lang w:val="en-US" w:eastAsia="zh-CN"/>
              </w:rPr>
            </w:pPr>
          </w:p>
        </w:tc>
      </w:tr>
      <w:tr w14:paraId="23E1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56DD1771">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壳牌得力士 S2VX 46</w:t>
            </w:r>
          </w:p>
        </w:tc>
        <w:tc>
          <w:tcPr>
            <w:tcW w:w="0" w:type="auto"/>
          </w:tcPr>
          <w:p w14:paraId="11F0136D">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209 L/桶</w:t>
            </w:r>
          </w:p>
        </w:tc>
        <w:tc>
          <w:tcPr>
            <w:tcW w:w="0" w:type="auto"/>
            <w:shd w:val="clear" w:color="auto" w:fill="auto"/>
            <w:vAlign w:val="center"/>
          </w:tcPr>
          <w:p w14:paraId="1D0C1CE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4400 </w:t>
            </w:r>
          </w:p>
        </w:tc>
        <w:tc>
          <w:tcPr>
            <w:tcW w:w="0" w:type="auto"/>
            <w:vMerge w:val="continue"/>
          </w:tcPr>
          <w:p w14:paraId="1F1D0059">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tcPr>
          <w:p w14:paraId="3502B255">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tcPr>
          <w:p w14:paraId="14A50F4F">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14桶</w:t>
            </w:r>
          </w:p>
        </w:tc>
        <w:tc>
          <w:tcPr>
            <w:tcW w:w="0" w:type="auto"/>
          </w:tcPr>
          <w:p w14:paraId="0D30EB92">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14:paraId="54C2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59791DE6">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美孚滑脂力士 EP2</w:t>
            </w:r>
          </w:p>
        </w:tc>
        <w:tc>
          <w:tcPr>
            <w:tcW w:w="0" w:type="auto"/>
          </w:tcPr>
          <w:p w14:paraId="420FAC6E">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 KG/桶</w:t>
            </w:r>
          </w:p>
        </w:tc>
        <w:tc>
          <w:tcPr>
            <w:tcW w:w="0" w:type="auto"/>
            <w:shd w:val="clear" w:color="auto" w:fill="auto"/>
            <w:vAlign w:val="center"/>
          </w:tcPr>
          <w:p w14:paraId="3A30A74D">
            <w:pPr>
              <w:keepNext w:val="0"/>
              <w:keepLines w:val="0"/>
              <w:widowControl/>
              <w:suppressLineNumbers w:val="0"/>
              <w:jc w:val="center"/>
              <w:textAlignment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i w:val="0"/>
                <w:iCs w:val="0"/>
                <w:color w:val="000000"/>
                <w:kern w:val="0"/>
                <w:sz w:val="24"/>
                <w:szCs w:val="24"/>
                <w:u w:val="none"/>
                <w:lang w:val="en-US" w:eastAsia="zh-CN" w:bidi="ar"/>
              </w:rPr>
              <w:t xml:space="preserve">581 </w:t>
            </w:r>
          </w:p>
        </w:tc>
        <w:tc>
          <w:tcPr>
            <w:tcW w:w="0" w:type="auto"/>
            <w:vMerge w:val="continue"/>
            <w:shd w:val="clear" w:color="auto" w:fill="auto"/>
            <w:vAlign w:val="top"/>
          </w:tcPr>
          <w:p w14:paraId="73E4E98C">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tcPr>
          <w:p w14:paraId="21B8AC84">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tcPr>
          <w:p w14:paraId="3D1BB920">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4桶</w:t>
            </w:r>
          </w:p>
        </w:tc>
        <w:tc>
          <w:tcPr>
            <w:tcW w:w="0" w:type="auto"/>
          </w:tcPr>
          <w:p w14:paraId="6F143C73">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14:paraId="4BA2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340CD526">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美孚滑脂力士 EP3</w:t>
            </w:r>
          </w:p>
        </w:tc>
        <w:tc>
          <w:tcPr>
            <w:tcW w:w="0" w:type="auto"/>
            <w:vAlign w:val="center"/>
          </w:tcPr>
          <w:p w14:paraId="16D52F06">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 KG /桶</w:t>
            </w:r>
          </w:p>
        </w:tc>
        <w:tc>
          <w:tcPr>
            <w:tcW w:w="0" w:type="auto"/>
            <w:shd w:val="clear" w:color="auto" w:fill="auto"/>
            <w:vAlign w:val="center"/>
          </w:tcPr>
          <w:p w14:paraId="63A35B0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586 </w:t>
            </w:r>
          </w:p>
        </w:tc>
        <w:tc>
          <w:tcPr>
            <w:tcW w:w="0" w:type="auto"/>
            <w:vMerge w:val="continue"/>
            <w:shd w:val="clear" w:color="auto" w:fill="auto"/>
            <w:vAlign w:val="top"/>
          </w:tcPr>
          <w:p w14:paraId="5948524E">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tcPr>
          <w:p w14:paraId="1329FE22">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tcPr>
          <w:p w14:paraId="09E0947A">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4桶</w:t>
            </w:r>
          </w:p>
        </w:tc>
        <w:tc>
          <w:tcPr>
            <w:tcW w:w="0" w:type="auto"/>
          </w:tcPr>
          <w:p w14:paraId="75C43168">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14:paraId="1C1F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0206B4C5">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美孚优力达 N2</w:t>
            </w:r>
          </w:p>
        </w:tc>
        <w:tc>
          <w:tcPr>
            <w:tcW w:w="0" w:type="auto"/>
            <w:vAlign w:val="center"/>
          </w:tcPr>
          <w:p w14:paraId="49D01DBD">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xml:space="preserve"> KG /桶</w:t>
            </w:r>
          </w:p>
        </w:tc>
        <w:tc>
          <w:tcPr>
            <w:tcW w:w="0" w:type="auto"/>
            <w:shd w:val="clear" w:color="auto" w:fill="auto"/>
            <w:vAlign w:val="center"/>
          </w:tcPr>
          <w:p w14:paraId="7F59AE5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1571 </w:t>
            </w:r>
          </w:p>
        </w:tc>
        <w:tc>
          <w:tcPr>
            <w:tcW w:w="0" w:type="auto"/>
            <w:vMerge w:val="continue"/>
          </w:tcPr>
          <w:p w14:paraId="0EC47C41">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32E24FE5">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4C432B81">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桶</w:t>
            </w:r>
          </w:p>
        </w:tc>
        <w:tc>
          <w:tcPr>
            <w:tcW w:w="0" w:type="auto"/>
            <w:shd w:val="clear" w:color="auto" w:fill="auto"/>
            <w:vAlign w:val="top"/>
          </w:tcPr>
          <w:p w14:paraId="6A9EFA56">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14:paraId="267C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47B9A8CC">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美孚优力达 N3</w:t>
            </w:r>
          </w:p>
        </w:tc>
        <w:tc>
          <w:tcPr>
            <w:tcW w:w="0" w:type="auto"/>
            <w:vAlign w:val="center"/>
          </w:tcPr>
          <w:p w14:paraId="2F5DD87C">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 xml:space="preserve"> KG /桶</w:t>
            </w:r>
          </w:p>
        </w:tc>
        <w:tc>
          <w:tcPr>
            <w:tcW w:w="0" w:type="auto"/>
            <w:shd w:val="clear" w:color="auto" w:fill="auto"/>
            <w:vAlign w:val="center"/>
          </w:tcPr>
          <w:p w14:paraId="09883C1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1571 </w:t>
            </w:r>
          </w:p>
        </w:tc>
        <w:tc>
          <w:tcPr>
            <w:tcW w:w="0" w:type="auto"/>
            <w:vMerge w:val="continue"/>
          </w:tcPr>
          <w:p w14:paraId="3041CE13">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760F250D">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28C16667">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桶</w:t>
            </w:r>
          </w:p>
        </w:tc>
        <w:tc>
          <w:tcPr>
            <w:tcW w:w="0" w:type="auto"/>
            <w:shd w:val="clear" w:color="auto" w:fill="auto"/>
            <w:vAlign w:val="top"/>
          </w:tcPr>
          <w:p w14:paraId="4183FB0F">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14:paraId="74A3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6CAD0C63">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美孚润滑脂XHP222</w:t>
            </w:r>
          </w:p>
        </w:tc>
        <w:tc>
          <w:tcPr>
            <w:tcW w:w="0" w:type="auto"/>
            <w:vAlign w:val="center"/>
          </w:tcPr>
          <w:p w14:paraId="03B61F96">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 KG /桶</w:t>
            </w:r>
          </w:p>
        </w:tc>
        <w:tc>
          <w:tcPr>
            <w:tcW w:w="0" w:type="auto"/>
            <w:shd w:val="clear" w:color="auto" w:fill="auto"/>
            <w:vAlign w:val="center"/>
          </w:tcPr>
          <w:p w14:paraId="7297CA5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1000 </w:t>
            </w:r>
          </w:p>
        </w:tc>
        <w:tc>
          <w:tcPr>
            <w:tcW w:w="0" w:type="auto"/>
            <w:vMerge w:val="continue"/>
          </w:tcPr>
          <w:p w14:paraId="51B5134A">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5F114B04">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28B3F545">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shd w:val="clear" w:color="auto" w:fill="auto"/>
            <w:vAlign w:val="top"/>
          </w:tcPr>
          <w:p w14:paraId="6E5D11CE">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r>
      <w:tr w14:paraId="408D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5C82657D">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美孚宝力达 EM</w:t>
            </w:r>
          </w:p>
        </w:tc>
        <w:tc>
          <w:tcPr>
            <w:tcW w:w="0" w:type="auto"/>
            <w:vAlign w:val="center"/>
          </w:tcPr>
          <w:p w14:paraId="60962FFD">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 KG /桶</w:t>
            </w:r>
          </w:p>
        </w:tc>
        <w:tc>
          <w:tcPr>
            <w:tcW w:w="0" w:type="auto"/>
            <w:shd w:val="clear" w:color="auto" w:fill="auto"/>
            <w:vAlign w:val="center"/>
          </w:tcPr>
          <w:p w14:paraId="596D076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1580 </w:t>
            </w:r>
          </w:p>
        </w:tc>
        <w:tc>
          <w:tcPr>
            <w:tcW w:w="0" w:type="auto"/>
            <w:vMerge w:val="continue"/>
          </w:tcPr>
          <w:p w14:paraId="6FB79FBA">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53D2B3CB">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69DBA764">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2桶</w:t>
            </w:r>
          </w:p>
        </w:tc>
        <w:tc>
          <w:tcPr>
            <w:tcW w:w="0" w:type="auto"/>
            <w:shd w:val="clear" w:color="auto" w:fill="auto"/>
            <w:vAlign w:val="top"/>
          </w:tcPr>
          <w:p w14:paraId="22E9BC60">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r>
      <w:tr w14:paraId="1ADF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2AC1BA41">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克鲁勃 BEM41-132</w:t>
            </w:r>
          </w:p>
        </w:tc>
        <w:tc>
          <w:tcPr>
            <w:tcW w:w="0" w:type="auto"/>
            <w:vAlign w:val="center"/>
          </w:tcPr>
          <w:p w14:paraId="0CC5D847">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 KG /桶</w:t>
            </w:r>
          </w:p>
        </w:tc>
        <w:tc>
          <w:tcPr>
            <w:tcW w:w="0" w:type="auto"/>
            <w:shd w:val="clear" w:color="auto" w:fill="auto"/>
            <w:vAlign w:val="center"/>
          </w:tcPr>
          <w:p w14:paraId="76853D4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1683 </w:t>
            </w:r>
          </w:p>
        </w:tc>
        <w:tc>
          <w:tcPr>
            <w:tcW w:w="0" w:type="auto"/>
            <w:vMerge w:val="continue"/>
          </w:tcPr>
          <w:p w14:paraId="5E1F1752">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4F544128">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c>
          <w:tcPr>
            <w:tcW w:w="0" w:type="auto"/>
            <w:shd w:val="clear" w:color="auto" w:fill="auto"/>
            <w:vAlign w:val="top"/>
          </w:tcPr>
          <w:p w14:paraId="0D89D8C5">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4桶</w:t>
            </w:r>
          </w:p>
        </w:tc>
        <w:tc>
          <w:tcPr>
            <w:tcW w:w="0" w:type="auto"/>
            <w:shd w:val="clear" w:color="auto" w:fill="auto"/>
            <w:vAlign w:val="top"/>
          </w:tcPr>
          <w:p w14:paraId="2D32E2BD">
            <w:pPr>
              <w:spacing w:line="400" w:lineRule="exact"/>
              <w:jc w:val="center"/>
              <w:rPr>
                <w:rFonts w:hint="eastAsia" w:ascii="仿宋" w:hAnsi="仿宋" w:eastAsia="仿宋" w:cs="仿宋"/>
                <w:color w:val="000000" w:themeColor="text1"/>
                <w:sz w:val="24"/>
                <w:szCs w:val="24"/>
                <w14:textFill>
                  <w14:solidFill>
                    <w14:schemeClr w14:val="tx1"/>
                  </w14:solidFill>
                </w14:textFill>
              </w:rPr>
            </w:pPr>
          </w:p>
        </w:tc>
      </w:tr>
      <w:tr w14:paraId="4E0D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642B3BE2">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美孚DTE 732超级涡轮机润滑油</w:t>
            </w:r>
          </w:p>
        </w:tc>
        <w:tc>
          <w:tcPr>
            <w:tcW w:w="0" w:type="auto"/>
          </w:tcPr>
          <w:p w14:paraId="4C646E9A">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208L/桶</w:t>
            </w:r>
          </w:p>
        </w:tc>
        <w:tc>
          <w:tcPr>
            <w:tcW w:w="0" w:type="auto"/>
            <w:shd w:val="clear" w:color="auto" w:fill="auto"/>
            <w:vAlign w:val="center"/>
          </w:tcPr>
          <w:p w14:paraId="1D489C89">
            <w:pPr>
              <w:keepNext w:val="0"/>
              <w:keepLines w:val="0"/>
              <w:widowControl/>
              <w:suppressLineNumbers w:val="0"/>
              <w:jc w:val="center"/>
              <w:textAlignment w:val="center"/>
              <w:rPr>
                <w:rFonts w:hint="eastAsia" w:ascii="仿宋" w:hAnsi="仿宋" w:eastAsia="仿宋" w:cs="仿宋"/>
                <w:color w:val="C0504D" w:themeColor="accent2"/>
                <w:kern w:val="2"/>
                <w:sz w:val="24"/>
                <w:szCs w:val="24"/>
                <w:lang w:val="en-US" w:eastAsia="zh-CN" w:bidi="ar-SA"/>
                <w14:textFill>
                  <w14:solidFill>
                    <w14:schemeClr w14:val="accent2"/>
                  </w14:solidFill>
                </w14:textFill>
              </w:rPr>
            </w:pPr>
            <w:r>
              <w:rPr>
                <w:rFonts w:hint="eastAsia" w:ascii="仿宋" w:hAnsi="仿宋" w:eastAsia="仿宋" w:cs="仿宋"/>
                <w:i w:val="0"/>
                <w:iCs w:val="0"/>
                <w:color w:val="000000"/>
                <w:kern w:val="0"/>
                <w:sz w:val="24"/>
                <w:szCs w:val="24"/>
                <w:u w:val="none"/>
                <w:lang w:val="en-US" w:eastAsia="zh-CN" w:bidi="ar"/>
              </w:rPr>
              <w:t xml:space="preserve">3900 </w:t>
            </w:r>
          </w:p>
        </w:tc>
        <w:tc>
          <w:tcPr>
            <w:tcW w:w="0" w:type="auto"/>
            <w:vMerge w:val="continue"/>
          </w:tcPr>
          <w:p w14:paraId="3118E9E3">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68979E9B">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321B2952">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8桶</w:t>
            </w:r>
          </w:p>
        </w:tc>
        <w:tc>
          <w:tcPr>
            <w:tcW w:w="0" w:type="auto"/>
            <w:shd w:val="clear" w:color="auto" w:fill="auto"/>
            <w:vAlign w:val="top"/>
          </w:tcPr>
          <w:p w14:paraId="2D5F9E87">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14:paraId="2D4E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5E68101D">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美孚特力索 T46</w:t>
            </w:r>
          </w:p>
        </w:tc>
        <w:tc>
          <w:tcPr>
            <w:tcW w:w="0" w:type="auto"/>
          </w:tcPr>
          <w:p w14:paraId="7AC68C9A">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208L/桶</w:t>
            </w:r>
          </w:p>
        </w:tc>
        <w:tc>
          <w:tcPr>
            <w:tcW w:w="0" w:type="auto"/>
            <w:shd w:val="clear" w:color="auto" w:fill="auto"/>
            <w:vAlign w:val="center"/>
          </w:tcPr>
          <w:p w14:paraId="29C5F19D">
            <w:pPr>
              <w:keepNext w:val="0"/>
              <w:keepLines w:val="0"/>
              <w:widowControl/>
              <w:suppressLineNumbers w:val="0"/>
              <w:jc w:val="center"/>
              <w:textAlignment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i w:val="0"/>
                <w:iCs w:val="0"/>
                <w:color w:val="000000"/>
                <w:kern w:val="0"/>
                <w:sz w:val="24"/>
                <w:szCs w:val="24"/>
                <w:u w:val="none"/>
                <w:lang w:val="en-US" w:eastAsia="zh-CN" w:bidi="ar"/>
              </w:rPr>
              <w:t xml:space="preserve">4751 </w:t>
            </w:r>
          </w:p>
        </w:tc>
        <w:tc>
          <w:tcPr>
            <w:tcW w:w="0" w:type="auto"/>
            <w:vMerge w:val="continue"/>
          </w:tcPr>
          <w:p w14:paraId="73AEED99">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5BB738E2">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513C5760">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2桶</w:t>
            </w:r>
          </w:p>
        </w:tc>
        <w:tc>
          <w:tcPr>
            <w:tcW w:w="0" w:type="auto"/>
            <w:shd w:val="clear" w:color="auto" w:fill="auto"/>
            <w:vAlign w:val="top"/>
          </w:tcPr>
          <w:p w14:paraId="7B46AD7C">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14:paraId="44D0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Pr>
          <w:p w14:paraId="3B9B4090">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美孚黑霸王 CH-415W-40</w:t>
            </w:r>
          </w:p>
        </w:tc>
        <w:tc>
          <w:tcPr>
            <w:tcW w:w="0" w:type="auto"/>
          </w:tcPr>
          <w:p w14:paraId="596F789D">
            <w:pPr>
              <w:spacing w:line="4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 L/桶</w:t>
            </w:r>
          </w:p>
        </w:tc>
        <w:tc>
          <w:tcPr>
            <w:tcW w:w="0" w:type="auto"/>
            <w:shd w:val="clear" w:color="auto" w:fill="auto"/>
            <w:vAlign w:val="center"/>
          </w:tcPr>
          <w:p w14:paraId="18C0BD5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400 </w:t>
            </w:r>
          </w:p>
        </w:tc>
        <w:tc>
          <w:tcPr>
            <w:tcW w:w="0" w:type="auto"/>
            <w:vMerge w:val="continue"/>
          </w:tcPr>
          <w:p w14:paraId="4C412796">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0B886432">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0" w:type="auto"/>
            <w:shd w:val="clear" w:color="auto" w:fill="auto"/>
            <w:vAlign w:val="top"/>
          </w:tcPr>
          <w:p w14:paraId="327492D9">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桶</w:t>
            </w:r>
          </w:p>
        </w:tc>
        <w:tc>
          <w:tcPr>
            <w:tcW w:w="0" w:type="auto"/>
            <w:shd w:val="clear" w:color="auto" w:fill="auto"/>
            <w:vAlign w:val="top"/>
          </w:tcPr>
          <w:p w14:paraId="08906508">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r>
      <w:tr w14:paraId="7D69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7"/>
          </w:tcPr>
          <w:p w14:paraId="2223F686">
            <w:pPr>
              <w:spacing w:line="4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总价：大写     元，小写     元</w:t>
            </w:r>
          </w:p>
        </w:tc>
      </w:tr>
    </w:tbl>
    <w:p w14:paraId="625276E9">
      <w:pPr>
        <w:pStyle w:val="969"/>
        <w:spacing w:line="360" w:lineRule="auto"/>
        <w:rPr>
          <w:rFonts w:hint="eastAsia" w:ascii="仿宋" w:hAnsi="仿宋" w:eastAsia="仿宋" w:cs="仿宋"/>
          <w:b/>
          <w:bCs/>
          <w:sz w:val="24"/>
          <w:szCs w:val="24"/>
        </w:rPr>
      </w:pPr>
    </w:p>
    <w:p w14:paraId="760D9EAE">
      <w:pPr>
        <w:pStyle w:val="969"/>
        <w:spacing w:line="360" w:lineRule="auto"/>
        <w:rPr>
          <w:rFonts w:hint="eastAsia" w:ascii="仿宋" w:hAnsi="仿宋" w:eastAsia="仿宋" w:cs="仿宋"/>
          <w:b/>
          <w:bCs/>
          <w:sz w:val="24"/>
          <w:szCs w:val="24"/>
        </w:rPr>
      </w:pPr>
    </w:p>
    <w:p w14:paraId="35CD501B">
      <w:pPr>
        <w:pStyle w:val="969"/>
        <w:spacing w:line="360" w:lineRule="auto"/>
        <w:rPr>
          <w:rFonts w:hint="eastAsia" w:ascii="仿宋" w:hAnsi="仿宋" w:eastAsia="仿宋" w:cs="仿宋"/>
          <w:b/>
          <w:bCs/>
          <w:sz w:val="24"/>
          <w:szCs w:val="24"/>
        </w:rPr>
      </w:pPr>
      <w:r>
        <w:rPr>
          <w:rFonts w:hint="eastAsia" w:ascii="仿宋" w:hAnsi="仿宋" w:eastAsia="仿宋" w:cs="仿宋"/>
          <w:b/>
          <w:bCs/>
          <w:sz w:val="24"/>
          <w:szCs w:val="24"/>
        </w:rPr>
        <w:t>投标单位(盖章)：                         （报价最多保留两位小数）</w:t>
      </w:r>
    </w:p>
    <w:p w14:paraId="6AF72422">
      <w:pPr>
        <w:pStyle w:val="969"/>
        <w:spacing w:line="360" w:lineRule="auto"/>
        <w:rPr>
          <w:rFonts w:hint="eastAsia" w:asciiTheme="minorEastAsia" w:hAnsiTheme="minorEastAsia" w:eastAsiaTheme="minorEastAsia"/>
          <w:b/>
          <w:bCs/>
        </w:rPr>
      </w:pPr>
    </w:p>
    <w:p w14:paraId="0E5713DB">
      <w:pPr>
        <w:spacing w:line="360" w:lineRule="auto"/>
        <w:ind w:left="-2" w:leftChars="-1" w:firstLine="723" w:firstLineChars="200"/>
        <w:rPr>
          <w:rFonts w:hint="eastAsia" w:ascii="仿宋" w:hAnsi="仿宋" w:eastAsia="仿宋" w:cs="仿宋"/>
          <w:b/>
          <w:color w:val="auto"/>
          <w:kern w:val="0"/>
          <w:sz w:val="36"/>
          <w:szCs w:val="36"/>
          <w:highlight w:val="none"/>
        </w:rPr>
      </w:pPr>
    </w:p>
    <w:p w14:paraId="5BC355C6">
      <w:pPr>
        <w:spacing w:line="360" w:lineRule="auto"/>
        <w:ind w:right="420" w:firstLine="3614" w:firstLineChars="1000"/>
        <w:rPr>
          <w:rFonts w:hint="eastAsia" w:ascii="仿宋" w:hAnsi="仿宋" w:eastAsia="仿宋" w:cs="仿宋"/>
          <w:b/>
          <w:color w:val="auto"/>
          <w:kern w:val="0"/>
          <w:sz w:val="36"/>
          <w:szCs w:val="36"/>
          <w:highlight w:val="none"/>
        </w:rPr>
      </w:pPr>
    </w:p>
    <w:p w14:paraId="037ADEEF">
      <w:pPr>
        <w:pStyle w:val="2"/>
        <w:keepNext w:val="0"/>
        <w:keepLines w:val="0"/>
        <w:pageBreakBefore/>
        <w:widowControl/>
        <w:spacing w:before="100" w:beforeAutospacing="1" w:after="100" w:afterAutospacing="1" w:line="360" w:lineRule="auto"/>
        <w:rPr>
          <w:rFonts w:hint="eastAsia" w:ascii="仿宋" w:hAnsi="仿宋" w:eastAsia="仿宋" w:cs="仿宋"/>
          <w:color w:val="auto"/>
          <w:highlight w:val="none"/>
        </w:rPr>
        <w:sectPr>
          <w:headerReference r:id="rId16" w:type="first"/>
          <w:footerReference r:id="rId19" w:type="first"/>
          <w:headerReference r:id="rId15" w:type="default"/>
          <w:footerReference r:id="rId17" w:type="default"/>
          <w:footerReference r:id="rId18" w:type="even"/>
          <w:pgSz w:w="11906" w:h="16838"/>
          <w:pgMar w:top="1440" w:right="1803" w:bottom="1440" w:left="1803"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383" w:name="_Toc465665161"/>
    </w:p>
    <w:p w14:paraId="61167BCC">
      <w:pPr>
        <w:pStyle w:val="2"/>
        <w:keepNext w:val="0"/>
        <w:keepLines w:val="0"/>
        <w:pageBreakBefore/>
        <w:widowControl/>
        <w:spacing w:before="100" w:beforeAutospacing="1" w:after="100" w:afterAutospacing="1" w:line="360" w:lineRule="auto"/>
        <w:rPr>
          <w:rFonts w:hint="eastAsia" w:ascii="仿宋" w:hAnsi="仿宋" w:eastAsia="仿宋" w:cs="仿宋"/>
          <w:b/>
          <w:color w:val="auto"/>
          <w:sz w:val="24"/>
          <w:highlight w:val="none"/>
        </w:rPr>
      </w:pPr>
      <w:r>
        <w:rPr>
          <w:rFonts w:hint="eastAsia" w:ascii="仿宋" w:hAnsi="仿宋" w:eastAsia="仿宋" w:cs="仿宋"/>
          <w:color w:val="auto"/>
          <w:highlight w:val="none"/>
        </w:rPr>
        <w:t>附件</w:t>
      </w:r>
      <w:bookmarkEnd w:id="383"/>
    </w:p>
    <w:p w14:paraId="4DA534E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4988407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7A8DAFD">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C3AC1C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9FF41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11946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75CE7F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89251A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8270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89DCAD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4E721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733B23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E0DAC6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p>
    <w:p w14:paraId="4DBA70F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0C3F11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9A1FA7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FFC1E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B904C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51BB20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D511C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D75C14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F12F9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D79ED8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B3F0DC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94B51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DB090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08A9C2">
      <w:pPr>
        <w:spacing w:line="360" w:lineRule="auto"/>
        <w:rPr>
          <w:rFonts w:hint="eastAsia" w:ascii="仿宋" w:hAnsi="仿宋" w:eastAsia="仿宋" w:cs="仿宋"/>
          <w:b/>
          <w:color w:val="auto"/>
          <w:sz w:val="24"/>
          <w:highlight w:val="none"/>
        </w:rPr>
      </w:pPr>
    </w:p>
    <w:p w14:paraId="2D6242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6AA10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73857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DFF56F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74DAF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DFF81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F35516A">
      <w:pPr>
        <w:widowControl/>
        <w:spacing w:line="360" w:lineRule="auto"/>
        <w:ind w:firstLine="480" w:firstLineChars="200"/>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DEA878">
      <w:pPr>
        <w:spacing w:line="360" w:lineRule="auto"/>
        <w:jc w:val="center"/>
        <w:rPr>
          <w:rFonts w:hint="eastAsia" w:ascii="仿宋" w:hAnsi="仿宋" w:eastAsia="仿宋" w:cs="仿宋"/>
          <w:b/>
          <w:color w:val="auto"/>
          <w:spacing w:val="6"/>
          <w:sz w:val="32"/>
          <w:szCs w:val="32"/>
          <w:highlight w:val="none"/>
        </w:rPr>
      </w:pPr>
    </w:p>
    <w:p w14:paraId="545584A2">
      <w:pPr>
        <w:spacing w:line="360" w:lineRule="auto"/>
        <w:jc w:val="center"/>
        <w:rPr>
          <w:rFonts w:hint="eastAsia" w:ascii="仿宋" w:hAnsi="仿宋" w:eastAsia="仿宋" w:cs="仿宋"/>
          <w:b/>
          <w:color w:val="auto"/>
          <w:spacing w:val="6"/>
          <w:sz w:val="32"/>
          <w:szCs w:val="32"/>
          <w:highlight w:val="none"/>
        </w:rPr>
      </w:pPr>
    </w:p>
    <w:p w14:paraId="380EA83B">
      <w:pPr>
        <w:spacing w:line="360" w:lineRule="auto"/>
        <w:jc w:val="center"/>
        <w:rPr>
          <w:rFonts w:hint="eastAsia" w:ascii="仿宋" w:hAnsi="仿宋" w:eastAsia="仿宋" w:cs="仿宋"/>
          <w:b/>
          <w:color w:val="auto"/>
          <w:spacing w:val="6"/>
          <w:sz w:val="32"/>
          <w:szCs w:val="32"/>
          <w:highlight w:val="none"/>
        </w:rPr>
      </w:pPr>
    </w:p>
    <w:p w14:paraId="48E95B82">
      <w:pPr>
        <w:spacing w:line="360" w:lineRule="auto"/>
        <w:jc w:val="center"/>
        <w:rPr>
          <w:rFonts w:hint="eastAsia" w:ascii="仿宋" w:hAnsi="仿宋" w:eastAsia="仿宋" w:cs="仿宋"/>
          <w:b/>
          <w:color w:val="auto"/>
          <w:spacing w:val="6"/>
          <w:sz w:val="32"/>
          <w:szCs w:val="32"/>
          <w:highlight w:val="none"/>
        </w:rPr>
      </w:pPr>
    </w:p>
    <w:p w14:paraId="78E6BFB1">
      <w:pPr>
        <w:spacing w:line="360" w:lineRule="auto"/>
        <w:jc w:val="center"/>
        <w:rPr>
          <w:rFonts w:hint="eastAsia" w:ascii="仿宋" w:hAnsi="仿宋" w:eastAsia="仿宋" w:cs="仿宋"/>
          <w:b/>
          <w:color w:val="auto"/>
          <w:spacing w:val="6"/>
          <w:sz w:val="32"/>
          <w:szCs w:val="32"/>
          <w:highlight w:val="none"/>
        </w:rPr>
      </w:pPr>
    </w:p>
    <w:p w14:paraId="7A3544B7">
      <w:pPr>
        <w:spacing w:line="360" w:lineRule="auto"/>
        <w:jc w:val="center"/>
        <w:rPr>
          <w:rFonts w:hint="eastAsia" w:ascii="仿宋" w:hAnsi="仿宋" w:eastAsia="仿宋" w:cs="仿宋"/>
          <w:b/>
          <w:color w:val="auto"/>
          <w:spacing w:val="6"/>
          <w:sz w:val="32"/>
          <w:szCs w:val="32"/>
          <w:highlight w:val="none"/>
        </w:rPr>
      </w:pPr>
    </w:p>
    <w:p w14:paraId="43C1BCD1">
      <w:pPr>
        <w:spacing w:line="360" w:lineRule="auto"/>
        <w:jc w:val="center"/>
        <w:rPr>
          <w:rFonts w:hint="eastAsia" w:ascii="仿宋" w:hAnsi="仿宋" w:eastAsia="仿宋" w:cs="仿宋"/>
          <w:b/>
          <w:color w:val="auto"/>
          <w:spacing w:val="6"/>
          <w:sz w:val="32"/>
          <w:szCs w:val="32"/>
          <w:highlight w:val="none"/>
        </w:rPr>
      </w:pPr>
    </w:p>
    <w:p w14:paraId="4983D01D">
      <w:pPr>
        <w:spacing w:line="360" w:lineRule="auto"/>
        <w:jc w:val="center"/>
        <w:rPr>
          <w:rFonts w:hint="eastAsia" w:ascii="仿宋" w:hAnsi="仿宋" w:eastAsia="仿宋" w:cs="仿宋"/>
          <w:b/>
          <w:color w:val="auto"/>
          <w:spacing w:val="6"/>
          <w:sz w:val="32"/>
          <w:szCs w:val="32"/>
          <w:highlight w:val="none"/>
        </w:rPr>
      </w:pPr>
    </w:p>
    <w:p w14:paraId="6267935C">
      <w:pPr>
        <w:spacing w:line="360" w:lineRule="auto"/>
        <w:jc w:val="center"/>
        <w:rPr>
          <w:rFonts w:hint="eastAsia" w:ascii="仿宋" w:hAnsi="仿宋" w:eastAsia="仿宋" w:cs="仿宋"/>
          <w:b/>
          <w:color w:val="auto"/>
          <w:spacing w:val="6"/>
          <w:sz w:val="32"/>
          <w:szCs w:val="32"/>
          <w:highlight w:val="none"/>
        </w:rPr>
      </w:pPr>
    </w:p>
    <w:p w14:paraId="3EF88475">
      <w:pPr>
        <w:spacing w:line="360" w:lineRule="auto"/>
        <w:jc w:val="center"/>
        <w:rPr>
          <w:rFonts w:hint="eastAsia" w:ascii="仿宋" w:hAnsi="仿宋" w:eastAsia="仿宋" w:cs="仿宋"/>
          <w:b/>
          <w:color w:val="auto"/>
          <w:spacing w:val="6"/>
          <w:sz w:val="32"/>
          <w:szCs w:val="32"/>
          <w:highlight w:val="none"/>
        </w:rPr>
      </w:pPr>
    </w:p>
    <w:p w14:paraId="783B36B3">
      <w:pPr>
        <w:spacing w:line="360" w:lineRule="auto"/>
        <w:jc w:val="center"/>
        <w:rPr>
          <w:rFonts w:hint="eastAsia" w:ascii="仿宋" w:hAnsi="仿宋" w:eastAsia="仿宋" w:cs="仿宋"/>
          <w:b/>
          <w:color w:val="auto"/>
          <w:spacing w:val="6"/>
          <w:sz w:val="32"/>
          <w:szCs w:val="32"/>
          <w:highlight w:val="none"/>
        </w:rPr>
      </w:pPr>
    </w:p>
    <w:p w14:paraId="5E22D233">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61333A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277C26DC">
      <w:pPr>
        <w:spacing w:line="360" w:lineRule="auto"/>
        <w:jc w:val="center"/>
        <w:rPr>
          <w:rFonts w:hint="eastAsia" w:ascii="仿宋" w:hAnsi="仿宋" w:eastAsia="仿宋" w:cs="仿宋"/>
          <w:b/>
          <w:color w:val="auto"/>
          <w:sz w:val="24"/>
          <w:highlight w:val="none"/>
        </w:rPr>
      </w:pPr>
    </w:p>
    <w:p w14:paraId="12A3FA6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EFAB8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19848D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9FDFE7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4DAA0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6FF808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BBAB32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11F4C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3B887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FE34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8837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B899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235E5F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37A49F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3DAF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7C84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0EE5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274E0D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60640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09404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960E0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52173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758CD7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E58D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BC5F9D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8B239D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6F7C93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lang w:eastAsia="zh-CN"/>
        </w:rPr>
        <w:t>交易发起人</w:t>
      </w:r>
      <w:r>
        <w:rPr>
          <w:rFonts w:hint="eastAsia" w:ascii="仿宋" w:hAnsi="仿宋" w:eastAsia="仿宋" w:cs="仿宋"/>
          <w:color w:val="auto"/>
          <w:sz w:val="24"/>
          <w:highlight w:val="none"/>
          <w:u w:val="dotted"/>
        </w:rPr>
        <w:t>/代理机构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406B7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B9A64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24DEF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29027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78A94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0A05F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B9F50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9DEEF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CDDE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BA75C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58ECD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58F6C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BDAC8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1C73CE1">
      <w:pPr>
        <w:spacing w:line="360" w:lineRule="auto"/>
        <w:rPr>
          <w:rFonts w:hint="eastAsia" w:ascii="仿宋" w:hAnsi="仿宋" w:eastAsia="仿宋" w:cs="仿宋"/>
          <w:b/>
          <w:color w:val="auto"/>
          <w:sz w:val="24"/>
          <w:highlight w:val="none"/>
        </w:rPr>
      </w:pPr>
    </w:p>
    <w:p w14:paraId="42A992E8">
      <w:pPr>
        <w:spacing w:line="360" w:lineRule="auto"/>
        <w:rPr>
          <w:rFonts w:hint="eastAsia" w:ascii="仿宋" w:hAnsi="仿宋" w:eastAsia="仿宋" w:cs="仿宋"/>
          <w:b/>
          <w:color w:val="auto"/>
          <w:sz w:val="24"/>
          <w:highlight w:val="none"/>
        </w:rPr>
      </w:pPr>
    </w:p>
    <w:p w14:paraId="63A7D63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424D85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5DE147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CBD55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8DB90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89939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527284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E94861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8074983">
      <w:pPr>
        <w:spacing w:line="360" w:lineRule="auto"/>
        <w:rPr>
          <w:rFonts w:hint="eastAsia" w:ascii="仿宋" w:hAnsi="仿宋" w:eastAsia="仿宋" w:cs="仿宋"/>
          <w:b/>
          <w:color w:val="auto"/>
          <w:sz w:val="24"/>
          <w:highlight w:val="none"/>
        </w:rPr>
      </w:pPr>
    </w:p>
    <w:p w14:paraId="182F10C9">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20F25E77">
      <w:pPr>
        <w:spacing w:line="360" w:lineRule="auto"/>
        <w:rPr>
          <w:rFonts w:hint="eastAsia" w:ascii="仿宋" w:hAnsi="仿宋" w:eastAsia="仿宋" w:cs="仿宋"/>
          <w:color w:val="auto"/>
          <w:sz w:val="24"/>
          <w:highlight w:val="none"/>
          <w:u w:val="single"/>
        </w:rPr>
      </w:pPr>
    </w:p>
    <w:p w14:paraId="33046A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交易发起人</w:t>
      </w:r>
      <w:r>
        <w:rPr>
          <w:rFonts w:hint="eastAsia" w:ascii="仿宋" w:hAnsi="仿宋" w:eastAsia="仿宋" w:cs="仿宋"/>
          <w:color w:val="auto"/>
          <w:sz w:val="24"/>
          <w:highlight w:val="none"/>
          <w:u w:val="single"/>
        </w:rPr>
        <w:t>）、（采购代理机构）</w:t>
      </w:r>
    </w:p>
    <w:p w14:paraId="6DE24E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5CF75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78986A6">
      <w:pPr>
        <w:spacing w:line="360" w:lineRule="auto"/>
        <w:ind w:firstLine="494"/>
        <w:rPr>
          <w:rFonts w:hint="eastAsia" w:ascii="仿宋" w:hAnsi="仿宋" w:eastAsia="仿宋" w:cs="仿宋"/>
          <w:color w:val="auto"/>
          <w:sz w:val="24"/>
          <w:highlight w:val="none"/>
        </w:rPr>
      </w:pPr>
    </w:p>
    <w:p w14:paraId="451698E2">
      <w:pPr>
        <w:spacing w:line="360" w:lineRule="auto"/>
        <w:ind w:firstLine="494"/>
        <w:rPr>
          <w:rFonts w:hint="eastAsia" w:ascii="仿宋" w:hAnsi="仿宋" w:eastAsia="仿宋" w:cs="仿宋"/>
          <w:color w:val="auto"/>
          <w:sz w:val="24"/>
          <w:highlight w:val="none"/>
        </w:rPr>
      </w:pPr>
    </w:p>
    <w:p w14:paraId="60A5BA20">
      <w:pPr>
        <w:spacing w:line="360" w:lineRule="auto"/>
        <w:ind w:firstLine="494"/>
        <w:rPr>
          <w:rFonts w:hint="eastAsia" w:ascii="仿宋" w:hAnsi="仿宋" w:eastAsia="仿宋" w:cs="仿宋"/>
          <w:color w:val="auto"/>
          <w:sz w:val="24"/>
          <w:highlight w:val="none"/>
        </w:rPr>
      </w:pPr>
    </w:p>
    <w:p w14:paraId="2DC33E5A">
      <w:pPr>
        <w:spacing w:line="360" w:lineRule="auto"/>
        <w:ind w:firstLine="494"/>
        <w:rPr>
          <w:rFonts w:hint="eastAsia" w:ascii="仿宋" w:hAnsi="仿宋" w:eastAsia="仿宋" w:cs="仿宋"/>
          <w:color w:val="auto"/>
          <w:sz w:val="24"/>
          <w:highlight w:val="none"/>
        </w:rPr>
      </w:pPr>
    </w:p>
    <w:p w14:paraId="4CD1A09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CAF81F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B544AA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43C19CD">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E69508C">
      <w:pPr>
        <w:autoSpaceDE w:val="0"/>
        <w:autoSpaceDN w:val="0"/>
        <w:jc w:val="center"/>
        <w:rPr>
          <w:rFonts w:hint="eastAsia" w:ascii="仿宋" w:hAnsi="仿宋" w:eastAsia="仿宋" w:cs="仿宋"/>
          <w:b/>
          <w:color w:val="auto"/>
          <w:spacing w:val="6"/>
          <w:sz w:val="32"/>
          <w:szCs w:val="32"/>
          <w:highlight w:val="none"/>
        </w:rPr>
      </w:pPr>
    </w:p>
    <w:p w14:paraId="3CB6B123">
      <w:pPr>
        <w:autoSpaceDE w:val="0"/>
        <w:autoSpaceDN w:val="0"/>
        <w:jc w:val="center"/>
        <w:rPr>
          <w:rFonts w:hint="eastAsia" w:ascii="仿宋" w:hAnsi="仿宋" w:eastAsia="仿宋" w:cs="仿宋"/>
          <w:b/>
          <w:color w:val="auto"/>
          <w:spacing w:val="6"/>
          <w:sz w:val="32"/>
          <w:szCs w:val="32"/>
          <w:highlight w:val="none"/>
        </w:rPr>
      </w:pPr>
    </w:p>
    <w:p w14:paraId="5CD8DC11">
      <w:pPr>
        <w:autoSpaceDE w:val="0"/>
        <w:autoSpaceDN w:val="0"/>
        <w:jc w:val="center"/>
        <w:rPr>
          <w:rFonts w:hint="eastAsia" w:ascii="仿宋" w:hAnsi="仿宋" w:eastAsia="仿宋" w:cs="仿宋"/>
          <w:b/>
          <w:color w:val="auto"/>
          <w:spacing w:val="6"/>
          <w:sz w:val="32"/>
          <w:szCs w:val="32"/>
          <w:highlight w:val="none"/>
        </w:rPr>
      </w:pPr>
    </w:p>
    <w:p w14:paraId="31CE5D04">
      <w:pPr>
        <w:autoSpaceDE w:val="0"/>
        <w:autoSpaceDN w:val="0"/>
        <w:jc w:val="center"/>
        <w:rPr>
          <w:rFonts w:hint="eastAsia" w:ascii="仿宋" w:hAnsi="仿宋" w:eastAsia="仿宋" w:cs="仿宋"/>
          <w:b/>
          <w:color w:val="auto"/>
          <w:spacing w:val="6"/>
          <w:sz w:val="32"/>
          <w:szCs w:val="32"/>
          <w:highlight w:val="none"/>
        </w:rPr>
      </w:pPr>
    </w:p>
    <w:p w14:paraId="3488D6CB">
      <w:pPr>
        <w:autoSpaceDE w:val="0"/>
        <w:autoSpaceDN w:val="0"/>
        <w:jc w:val="center"/>
        <w:rPr>
          <w:rFonts w:hint="eastAsia" w:ascii="仿宋" w:hAnsi="仿宋" w:eastAsia="仿宋" w:cs="仿宋"/>
          <w:b/>
          <w:color w:val="auto"/>
          <w:spacing w:val="6"/>
          <w:sz w:val="32"/>
          <w:szCs w:val="32"/>
          <w:highlight w:val="none"/>
        </w:rPr>
      </w:pPr>
    </w:p>
    <w:p w14:paraId="3392FFA8">
      <w:pPr>
        <w:autoSpaceDE w:val="0"/>
        <w:autoSpaceDN w:val="0"/>
        <w:jc w:val="center"/>
        <w:rPr>
          <w:rFonts w:hint="eastAsia" w:ascii="仿宋" w:hAnsi="仿宋" w:eastAsia="仿宋" w:cs="仿宋"/>
          <w:b/>
          <w:color w:val="auto"/>
          <w:spacing w:val="6"/>
          <w:sz w:val="32"/>
          <w:szCs w:val="32"/>
          <w:highlight w:val="none"/>
        </w:rPr>
      </w:pPr>
    </w:p>
    <w:p w14:paraId="11371544">
      <w:pPr>
        <w:autoSpaceDE w:val="0"/>
        <w:autoSpaceDN w:val="0"/>
        <w:jc w:val="center"/>
        <w:rPr>
          <w:rFonts w:hint="eastAsia" w:ascii="仿宋" w:hAnsi="仿宋" w:eastAsia="仿宋" w:cs="仿宋"/>
          <w:b/>
          <w:color w:val="auto"/>
          <w:spacing w:val="6"/>
          <w:sz w:val="32"/>
          <w:szCs w:val="32"/>
          <w:highlight w:val="none"/>
        </w:rPr>
      </w:pPr>
    </w:p>
    <w:p w14:paraId="67663867">
      <w:pPr>
        <w:autoSpaceDE w:val="0"/>
        <w:autoSpaceDN w:val="0"/>
        <w:jc w:val="center"/>
        <w:rPr>
          <w:rFonts w:hint="eastAsia" w:ascii="仿宋" w:hAnsi="仿宋" w:eastAsia="仿宋" w:cs="仿宋"/>
          <w:b/>
          <w:color w:val="auto"/>
          <w:spacing w:val="6"/>
          <w:sz w:val="32"/>
          <w:szCs w:val="32"/>
          <w:highlight w:val="none"/>
        </w:rPr>
      </w:pPr>
    </w:p>
    <w:p w14:paraId="2F41DCAB">
      <w:pPr>
        <w:autoSpaceDE w:val="0"/>
        <w:autoSpaceDN w:val="0"/>
        <w:jc w:val="center"/>
        <w:rPr>
          <w:rFonts w:hint="eastAsia" w:ascii="仿宋" w:hAnsi="仿宋" w:eastAsia="仿宋" w:cs="仿宋"/>
          <w:b/>
          <w:color w:val="auto"/>
          <w:spacing w:val="6"/>
          <w:sz w:val="32"/>
          <w:szCs w:val="32"/>
          <w:highlight w:val="none"/>
        </w:rPr>
      </w:pPr>
    </w:p>
    <w:p w14:paraId="310E7C45">
      <w:pPr>
        <w:autoSpaceDE w:val="0"/>
        <w:autoSpaceDN w:val="0"/>
        <w:jc w:val="center"/>
        <w:rPr>
          <w:rFonts w:hint="eastAsia" w:ascii="仿宋" w:hAnsi="仿宋" w:eastAsia="仿宋" w:cs="仿宋"/>
          <w:b/>
          <w:color w:val="auto"/>
          <w:spacing w:val="6"/>
          <w:sz w:val="32"/>
          <w:szCs w:val="32"/>
          <w:highlight w:val="none"/>
        </w:rPr>
      </w:pPr>
    </w:p>
    <w:p w14:paraId="3B54EAC1">
      <w:pPr>
        <w:spacing w:line="360" w:lineRule="auto"/>
        <w:jc w:val="center"/>
        <w:rPr>
          <w:rFonts w:hint="eastAsia" w:ascii="仿宋" w:hAnsi="仿宋" w:eastAsia="仿宋" w:cs="仿宋"/>
          <w:b/>
          <w:color w:val="auto"/>
          <w:sz w:val="32"/>
          <w:szCs w:val="32"/>
          <w:highlight w:val="none"/>
        </w:rPr>
      </w:pPr>
    </w:p>
    <w:p w14:paraId="6107FA76">
      <w:pPr>
        <w:spacing w:line="360" w:lineRule="auto"/>
        <w:jc w:val="both"/>
        <w:rPr>
          <w:rFonts w:hint="eastAsia" w:ascii="仿宋" w:hAnsi="仿宋" w:eastAsia="仿宋" w:cs="仿宋"/>
          <w:b/>
          <w:color w:val="auto"/>
          <w:sz w:val="32"/>
          <w:szCs w:val="32"/>
          <w:highlight w:val="none"/>
        </w:rPr>
      </w:pPr>
    </w:p>
    <w:p w14:paraId="30AC1C47">
      <w:pPr>
        <w:spacing w:line="360" w:lineRule="auto"/>
        <w:jc w:val="center"/>
        <w:rPr>
          <w:rFonts w:hint="eastAsia" w:ascii="仿宋" w:hAnsi="仿宋" w:eastAsia="仿宋" w:cs="仿宋"/>
          <w:b/>
          <w:color w:val="auto"/>
          <w:sz w:val="32"/>
          <w:szCs w:val="32"/>
          <w:highlight w:val="none"/>
        </w:rPr>
      </w:pPr>
    </w:p>
    <w:p w14:paraId="650B3C97">
      <w:pPr>
        <w:spacing w:line="360" w:lineRule="auto"/>
        <w:rPr>
          <w:rFonts w:hint="eastAsia" w:ascii="仿宋" w:hAnsi="仿宋" w:eastAsia="仿宋" w:cs="仿宋"/>
          <w:color w:val="auto"/>
          <w:highlight w:val="none"/>
        </w:rPr>
      </w:pPr>
    </w:p>
    <w:sectPr>
      <w:pgSz w:w="11906" w:h="16838"/>
      <w:pgMar w:top="1440" w:right="1803" w:bottom="1440" w:left="1803" w:header="454"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995E5">
    <w:pPr>
      <w:pStyle w:val="41"/>
      <w:jc w:val="center"/>
      <w:rPr>
        <w:rFonts w:ascii="仿宋_GB2312" w:eastAsia="仿宋_GB2312"/>
      </w:rPr>
    </w:pPr>
  </w:p>
  <w:p w14:paraId="35303FB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2F9F">
    <w:pPr>
      <w:pStyle w:val="41"/>
      <w:jc w:val="center"/>
      <w:rPr>
        <w:rFonts w:ascii="仿宋_GB2312" w:eastAsia="仿宋_GB2312"/>
      </w:rPr>
    </w:pPr>
  </w:p>
  <w:p w14:paraId="362CE4B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FB70">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A1215">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C5A1215">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14:paraId="4E5AE85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1F03">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B0F77">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47B0F77">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14:paraId="6FB0413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AAD8">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2C1F9">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E2C1F9">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F0A2A">
                          <w:pPr>
                            <w:pStyle w:val="41"/>
                            <w:jc w:val="center"/>
                          </w:pPr>
                        </w:p>
                        <w:p w14:paraId="225B6F1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2F0A2A">
                    <w:pPr>
                      <w:pStyle w:val="41"/>
                      <w:jc w:val="center"/>
                    </w:pPr>
                  </w:p>
                  <w:p w14:paraId="225B6F17"/>
                </w:txbxContent>
              </v:textbox>
            </v:shape>
          </w:pict>
        </mc:Fallback>
      </mc:AlternateContent>
    </w:r>
  </w:p>
  <w:p w14:paraId="6CBDB4C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F2BE">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C449E">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BC449E">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A2AD0">
                          <w:pPr>
                            <w:pStyle w:val="41"/>
                            <w:jc w:val="center"/>
                          </w:pPr>
                        </w:p>
                        <w:p w14:paraId="5800E06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4A2AD0">
                    <w:pPr>
                      <w:pStyle w:val="41"/>
                      <w:jc w:val="center"/>
                    </w:pPr>
                  </w:p>
                  <w:p w14:paraId="5800E069"/>
                </w:txbxContent>
              </v:textbox>
            </v:shape>
          </w:pict>
        </mc:Fallback>
      </mc:AlternateContent>
    </w:r>
  </w:p>
  <w:p w14:paraId="012A85E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BB7E">
    <w:pPr>
      <w:pStyle w:val="41"/>
      <w:jc w:val="left"/>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45292">
                          <w:pPr>
                            <w:pStyle w:val="41"/>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C945292">
                    <w:pPr>
                      <w:pStyle w:val="41"/>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FA32A">
                          <w:pPr>
                            <w:pStyle w:val="41"/>
                            <w:jc w:val="left"/>
                          </w:pPr>
                        </w:p>
                        <w:p w14:paraId="7411639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5FA32A">
                    <w:pPr>
                      <w:pStyle w:val="41"/>
                      <w:jc w:val="left"/>
                    </w:pPr>
                  </w:p>
                  <w:p w14:paraId="74116390"/>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88D7">
    <w:pPr>
      <w:pStyle w:val="41"/>
      <w:framePr w:wrap="around" w:vAnchor="text" w:hAnchor="margin" w:xAlign="right" w:y="1"/>
      <w:rPr>
        <w:rStyle w:val="74"/>
      </w:rPr>
    </w:pPr>
    <w:r>
      <w:fldChar w:fldCharType="begin"/>
    </w:r>
    <w:r>
      <w:rPr>
        <w:rStyle w:val="74"/>
      </w:rPr>
      <w:instrText xml:space="preserve">PAGE  </w:instrText>
    </w:r>
    <w:r>
      <w:fldChar w:fldCharType="end"/>
    </w:r>
  </w:p>
  <w:p w14:paraId="20AD88B8">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B671">
    <w:pPr>
      <w:pStyle w:val="41"/>
      <w:jc w:val="left"/>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4E494">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DA4E494">
                    <w:pPr>
                      <w:pStyle w:val="4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29C27">
                          <w:pPr>
                            <w:pStyle w:val="41"/>
                            <w:jc w:val="left"/>
                          </w:pPr>
                        </w:p>
                        <w:p w14:paraId="062C26A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429C27">
                    <w:pPr>
                      <w:pStyle w:val="41"/>
                      <w:jc w:val="left"/>
                    </w:pPr>
                  </w:p>
                  <w:p w14:paraId="062C26A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4D84">
    <w:pPr>
      <w:pStyle w:val="43"/>
      <w:jc w:val="right"/>
      <w:rPr>
        <w:rFonts w:ascii="仿宋_GB2312" w:eastAsia="仿宋_GB2312"/>
        <w:b/>
        <w:i/>
        <w:u w:val="single"/>
      </w:rPr>
    </w:pPr>
    <w:r>
      <w:t></w:t>
    </w:r>
    <w:r>
      <w:rPr>
        <w:rFonts w:hint="eastAsia"/>
      </w:rPr>
      <w:t xml:space="preserve">                                                 </w:t>
    </w:r>
    <w:r>
      <w:rPr>
        <w:rFonts w:hint="eastAsia" w:ascii="仿宋" w:hAnsi="仿宋" w:eastAsia="仿宋" w:cs="仿宋"/>
      </w:rPr>
      <w:t>交易文件</w:t>
    </w:r>
  </w:p>
  <w:p w14:paraId="3CC8F94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CEF4">
    <w:pPr>
      <w:pStyle w:val="43"/>
      <w:pBdr>
        <w:bottom w:val="none" w:color="auto" w:sz="0" w:space="1"/>
      </w:pBdr>
    </w:pPr>
    <w:r>
      <w:t></w:t>
    </w:r>
    <w:r>
      <w:rPr>
        <w:rFonts w:hint="eastAsia"/>
      </w:rPr>
      <w:t xml:space="preserve">         </w:t>
    </w:r>
  </w:p>
  <w:p w14:paraId="2E7D5907">
    <w:pPr>
      <w:pStyle w:val="43"/>
      <w:pBdr>
        <w:bottom w:val="none" w:color="auto" w:sz="0" w:space="1"/>
      </w:pBdr>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A2A5">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60E24">
    <w:pPr>
      <w:pStyle w:val="4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BEEA">
    <w:pPr>
      <w:pStyle w:val="43"/>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4CC49E0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EEFBB">
    <w:pPr>
      <w:pStyle w:val="43"/>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068C">
    <w:pPr>
      <w:pStyle w:val="43"/>
      <w:pBdr>
        <w:bottom w:val="none" w:color="auto" w:sz="0" w:space="1"/>
      </w:pBdr>
      <w:jc w:val="right"/>
      <w:rPr>
        <w:rFonts w:hint="eastAsia" w:ascii="仿宋_GB2312" w:eastAsia="宋体"/>
        <w:b/>
        <w:i/>
        <w:iCs/>
        <w:u w:val="single"/>
        <w:lang w:eastAsia="zh-CN"/>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F6CFC">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3CA3C"/>
    <w:multiLevelType w:val="singleLevel"/>
    <w:tmpl w:val="1293CA3C"/>
    <w:lvl w:ilvl="0" w:tentative="0">
      <w:start w:val="1"/>
      <w:numFmt w:val="decimal"/>
      <w:suff w:val="space"/>
      <w:lvlText w:val="（%1）"/>
      <w:lvlJc w:val="left"/>
    </w:lvl>
  </w:abstractNum>
  <w:abstractNum w:abstractNumId="1">
    <w:nsid w:val="443BF498"/>
    <w:multiLevelType w:val="singleLevel"/>
    <w:tmpl w:val="443BF498"/>
    <w:lvl w:ilvl="0" w:tentative="0">
      <w:start w:val="1"/>
      <w:numFmt w:val="decimal"/>
      <w:suff w:val="nothing"/>
      <w:lvlText w:val="（%1）"/>
      <w:lvlJc w:val="left"/>
    </w:lvl>
  </w:abstractNum>
  <w:abstractNum w:abstractNumId="2">
    <w:nsid w:val="62A5C123"/>
    <w:multiLevelType w:val="singleLevel"/>
    <w:tmpl w:val="62A5C123"/>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671"/>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63E6"/>
    <w:rsid w:val="0117101D"/>
    <w:rsid w:val="011F6449"/>
    <w:rsid w:val="01236AFB"/>
    <w:rsid w:val="01664124"/>
    <w:rsid w:val="019F7441"/>
    <w:rsid w:val="01B37585"/>
    <w:rsid w:val="01D42C61"/>
    <w:rsid w:val="01D55165"/>
    <w:rsid w:val="01DF6BF8"/>
    <w:rsid w:val="01EC2C57"/>
    <w:rsid w:val="01F27D15"/>
    <w:rsid w:val="02385F86"/>
    <w:rsid w:val="025D4496"/>
    <w:rsid w:val="025F0711"/>
    <w:rsid w:val="026B2E25"/>
    <w:rsid w:val="02824D4D"/>
    <w:rsid w:val="02DC4B10"/>
    <w:rsid w:val="02DD76CE"/>
    <w:rsid w:val="02F36323"/>
    <w:rsid w:val="02F5619C"/>
    <w:rsid w:val="0326446A"/>
    <w:rsid w:val="032D5555"/>
    <w:rsid w:val="036634D2"/>
    <w:rsid w:val="036F5AEF"/>
    <w:rsid w:val="03DD35E4"/>
    <w:rsid w:val="04076900"/>
    <w:rsid w:val="041A5A3B"/>
    <w:rsid w:val="042311BA"/>
    <w:rsid w:val="042B157A"/>
    <w:rsid w:val="042C3555"/>
    <w:rsid w:val="048F763B"/>
    <w:rsid w:val="049F330E"/>
    <w:rsid w:val="04AA775C"/>
    <w:rsid w:val="04AF1889"/>
    <w:rsid w:val="04F66F48"/>
    <w:rsid w:val="05007AC5"/>
    <w:rsid w:val="051E28A6"/>
    <w:rsid w:val="05251E14"/>
    <w:rsid w:val="05502552"/>
    <w:rsid w:val="05507636"/>
    <w:rsid w:val="05726DA2"/>
    <w:rsid w:val="05770BD6"/>
    <w:rsid w:val="057F5253"/>
    <w:rsid w:val="0591221D"/>
    <w:rsid w:val="05A16594"/>
    <w:rsid w:val="05A7762D"/>
    <w:rsid w:val="05C04DC2"/>
    <w:rsid w:val="060E5941"/>
    <w:rsid w:val="06110FAF"/>
    <w:rsid w:val="06493CA7"/>
    <w:rsid w:val="065A6178"/>
    <w:rsid w:val="066F1CF3"/>
    <w:rsid w:val="066F4BB3"/>
    <w:rsid w:val="06930BB8"/>
    <w:rsid w:val="07245D42"/>
    <w:rsid w:val="07264C62"/>
    <w:rsid w:val="07574B8E"/>
    <w:rsid w:val="0779354C"/>
    <w:rsid w:val="07BB67DE"/>
    <w:rsid w:val="08061376"/>
    <w:rsid w:val="0822080A"/>
    <w:rsid w:val="08337AC1"/>
    <w:rsid w:val="083C26D1"/>
    <w:rsid w:val="08452D77"/>
    <w:rsid w:val="086401F8"/>
    <w:rsid w:val="08751CAA"/>
    <w:rsid w:val="087E4C40"/>
    <w:rsid w:val="08A871D0"/>
    <w:rsid w:val="08BD20E2"/>
    <w:rsid w:val="08D66AD6"/>
    <w:rsid w:val="08DA33A3"/>
    <w:rsid w:val="08E80F13"/>
    <w:rsid w:val="09335624"/>
    <w:rsid w:val="093D3658"/>
    <w:rsid w:val="0944690F"/>
    <w:rsid w:val="09535675"/>
    <w:rsid w:val="095F057D"/>
    <w:rsid w:val="09642282"/>
    <w:rsid w:val="09733572"/>
    <w:rsid w:val="09772C16"/>
    <w:rsid w:val="097E61BA"/>
    <w:rsid w:val="098353B5"/>
    <w:rsid w:val="09A92330"/>
    <w:rsid w:val="09B06B87"/>
    <w:rsid w:val="09C13146"/>
    <w:rsid w:val="09C258C4"/>
    <w:rsid w:val="09E04166"/>
    <w:rsid w:val="0A1C0718"/>
    <w:rsid w:val="0A36668E"/>
    <w:rsid w:val="0A3E7710"/>
    <w:rsid w:val="0A5B7E63"/>
    <w:rsid w:val="0AA374A5"/>
    <w:rsid w:val="0AA82882"/>
    <w:rsid w:val="0AAB7649"/>
    <w:rsid w:val="0AAC7C88"/>
    <w:rsid w:val="0ABC5606"/>
    <w:rsid w:val="0ADA0C28"/>
    <w:rsid w:val="0B30404E"/>
    <w:rsid w:val="0B4C6C14"/>
    <w:rsid w:val="0B4F0F96"/>
    <w:rsid w:val="0B631A88"/>
    <w:rsid w:val="0B683D45"/>
    <w:rsid w:val="0B7F3F11"/>
    <w:rsid w:val="0B884417"/>
    <w:rsid w:val="0B8D51C0"/>
    <w:rsid w:val="0BAE72FB"/>
    <w:rsid w:val="0BF6188C"/>
    <w:rsid w:val="0BF73C91"/>
    <w:rsid w:val="0C0038BD"/>
    <w:rsid w:val="0C170175"/>
    <w:rsid w:val="0C2A6143"/>
    <w:rsid w:val="0C571A41"/>
    <w:rsid w:val="0C5C1171"/>
    <w:rsid w:val="0C5E1CBC"/>
    <w:rsid w:val="0C615B50"/>
    <w:rsid w:val="0C8445DA"/>
    <w:rsid w:val="0C87121B"/>
    <w:rsid w:val="0CA75D9E"/>
    <w:rsid w:val="0CC007F7"/>
    <w:rsid w:val="0CC617AC"/>
    <w:rsid w:val="0CD10466"/>
    <w:rsid w:val="0CFE707A"/>
    <w:rsid w:val="0D063BDA"/>
    <w:rsid w:val="0D08375F"/>
    <w:rsid w:val="0D184CFB"/>
    <w:rsid w:val="0D4A7419"/>
    <w:rsid w:val="0D827401"/>
    <w:rsid w:val="0D84094E"/>
    <w:rsid w:val="0D8A00E9"/>
    <w:rsid w:val="0D8D589E"/>
    <w:rsid w:val="0DA01C73"/>
    <w:rsid w:val="0DD467D3"/>
    <w:rsid w:val="0DD63300"/>
    <w:rsid w:val="0DF50604"/>
    <w:rsid w:val="0DF702FE"/>
    <w:rsid w:val="0E060E51"/>
    <w:rsid w:val="0E2E4156"/>
    <w:rsid w:val="0E5604B2"/>
    <w:rsid w:val="0E6D5D79"/>
    <w:rsid w:val="0E9D0089"/>
    <w:rsid w:val="0EB803EE"/>
    <w:rsid w:val="0EEE7441"/>
    <w:rsid w:val="0EF94D4B"/>
    <w:rsid w:val="0F18017D"/>
    <w:rsid w:val="0F4958DC"/>
    <w:rsid w:val="0F515DF7"/>
    <w:rsid w:val="0F596BA8"/>
    <w:rsid w:val="0F6248D2"/>
    <w:rsid w:val="0F693536"/>
    <w:rsid w:val="0F7B0511"/>
    <w:rsid w:val="0F7B76D9"/>
    <w:rsid w:val="0F805218"/>
    <w:rsid w:val="0F816ACD"/>
    <w:rsid w:val="0F8430DC"/>
    <w:rsid w:val="0F9832DB"/>
    <w:rsid w:val="0FBF3FD2"/>
    <w:rsid w:val="0FBF7FF3"/>
    <w:rsid w:val="0FD2330F"/>
    <w:rsid w:val="105B0B5E"/>
    <w:rsid w:val="10646583"/>
    <w:rsid w:val="107D4B15"/>
    <w:rsid w:val="108A3C80"/>
    <w:rsid w:val="109C066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38272D"/>
    <w:rsid w:val="135F4BE2"/>
    <w:rsid w:val="139B1A0A"/>
    <w:rsid w:val="139D25C7"/>
    <w:rsid w:val="13BF3CE4"/>
    <w:rsid w:val="13FA6DC8"/>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251A52"/>
    <w:rsid w:val="1830729E"/>
    <w:rsid w:val="18343635"/>
    <w:rsid w:val="1870062C"/>
    <w:rsid w:val="18817102"/>
    <w:rsid w:val="18830A15"/>
    <w:rsid w:val="18852B28"/>
    <w:rsid w:val="188B5321"/>
    <w:rsid w:val="18CB1415"/>
    <w:rsid w:val="191E1162"/>
    <w:rsid w:val="19442580"/>
    <w:rsid w:val="19662BA6"/>
    <w:rsid w:val="198C4BEE"/>
    <w:rsid w:val="19932372"/>
    <w:rsid w:val="19A20DD5"/>
    <w:rsid w:val="19AE03F1"/>
    <w:rsid w:val="19E55E1D"/>
    <w:rsid w:val="1A071A03"/>
    <w:rsid w:val="1A1F16AE"/>
    <w:rsid w:val="1A3B5C77"/>
    <w:rsid w:val="1A984BAD"/>
    <w:rsid w:val="1AB8220E"/>
    <w:rsid w:val="1ABD1C31"/>
    <w:rsid w:val="1AE4166C"/>
    <w:rsid w:val="1AF06CFB"/>
    <w:rsid w:val="1AF11B8D"/>
    <w:rsid w:val="1B11359C"/>
    <w:rsid w:val="1B236B66"/>
    <w:rsid w:val="1B2A271F"/>
    <w:rsid w:val="1B371E28"/>
    <w:rsid w:val="1B530544"/>
    <w:rsid w:val="1B713184"/>
    <w:rsid w:val="1B7D5B5D"/>
    <w:rsid w:val="1BA209CF"/>
    <w:rsid w:val="1BB4777D"/>
    <w:rsid w:val="1BD75AB8"/>
    <w:rsid w:val="1BE22A26"/>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793B1A"/>
    <w:rsid w:val="1E802593"/>
    <w:rsid w:val="1E8B6156"/>
    <w:rsid w:val="1EA703CC"/>
    <w:rsid w:val="1EB7330C"/>
    <w:rsid w:val="1F0A0FF3"/>
    <w:rsid w:val="1F402CC0"/>
    <w:rsid w:val="1F5771FF"/>
    <w:rsid w:val="1F8359DC"/>
    <w:rsid w:val="1FE868A9"/>
    <w:rsid w:val="20034907"/>
    <w:rsid w:val="20173E4B"/>
    <w:rsid w:val="204E48BC"/>
    <w:rsid w:val="207A5B57"/>
    <w:rsid w:val="208921B3"/>
    <w:rsid w:val="20973DEB"/>
    <w:rsid w:val="209E403D"/>
    <w:rsid w:val="20B26522"/>
    <w:rsid w:val="20B44310"/>
    <w:rsid w:val="20C965B8"/>
    <w:rsid w:val="211116EB"/>
    <w:rsid w:val="211971BF"/>
    <w:rsid w:val="216133FC"/>
    <w:rsid w:val="21D56769"/>
    <w:rsid w:val="21E52EF3"/>
    <w:rsid w:val="21FB5D7B"/>
    <w:rsid w:val="220B1C3D"/>
    <w:rsid w:val="221D1D20"/>
    <w:rsid w:val="2224392B"/>
    <w:rsid w:val="22334A87"/>
    <w:rsid w:val="22491E62"/>
    <w:rsid w:val="227D6E81"/>
    <w:rsid w:val="22BE6801"/>
    <w:rsid w:val="233500BF"/>
    <w:rsid w:val="23377FF7"/>
    <w:rsid w:val="236B425F"/>
    <w:rsid w:val="23836192"/>
    <w:rsid w:val="23901F29"/>
    <w:rsid w:val="239C0061"/>
    <w:rsid w:val="23B908A4"/>
    <w:rsid w:val="23E95BEF"/>
    <w:rsid w:val="23FD0064"/>
    <w:rsid w:val="241440B3"/>
    <w:rsid w:val="245375B0"/>
    <w:rsid w:val="24642C0A"/>
    <w:rsid w:val="246A69BA"/>
    <w:rsid w:val="249307DC"/>
    <w:rsid w:val="24B22173"/>
    <w:rsid w:val="24B95AD9"/>
    <w:rsid w:val="24BE24DA"/>
    <w:rsid w:val="24CF5825"/>
    <w:rsid w:val="24D663E6"/>
    <w:rsid w:val="24D77F2B"/>
    <w:rsid w:val="2513430F"/>
    <w:rsid w:val="252B3039"/>
    <w:rsid w:val="256E449D"/>
    <w:rsid w:val="258B00E2"/>
    <w:rsid w:val="259871D7"/>
    <w:rsid w:val="25A917A6"/>
    <w:rsid w:val="25B11AAD"/>
    <w:rsid w:val="25BC4FFB"/>
    <w:rsid w:val="25BE27CC"/>
    <w:rsid w:val="25F74A5C"/>
    <w:rsid w:val="2628662C"/>
    <w:rsid w:val="262D45DE"/>
    <w:rsid w:val="26871DC8"/>
    <w:rsid w:val="26A53EF9"/>
    <w:rsid w:val="26A94201"/>
    <w:rsid w:val="26AC274F"/>
    <w:rsid w:val="26DC5FB6"/>
    <w:rsid w:val="27044A29"/>
    <w:rsid w:val="271D34C8"/>
    <w:rsid w:val="2731247A"/>
    <w:rsid w:val="27486F08"/>
    <w:rsid w:val="276142BF"/>
    <w:rsid w:val="27783712"/>
    <w:rsid w:val="27907362"/>
    <w:rsid w:val="27ED566D"/>
    <w:rsid w:val="28333E1D"/>
    <w:rsid w:val="28454BD6"/>
    <w:rsid w:val="28455253"/>
    <w:rsid w:val="28551971"/>
    <w:rsid w:val="285B1C53"/>
    <w:rsid w:val="289F5BB8"/>
    <w:rsid w:val="289F7086"/>
    <w:rsid w:val="28C32028"/>
    <w:rsid w:val="28CC490F"/>
    <w:rsid w:val="28DE40AA"/>
    <w:rsid w:val="2907783F"/>
    <w:rsid w:val="29345E77"/>
    <w:rsid w:val="294C65AD"/>
    <w:rsid w:val="29806583"/>
    <w:rsid w:val="298B3C4C"/>
    <w:rsid w:val="29C8213C"/>
    <w:rsid w:val="29D846A7"/>
    <w:rsid w:val="29F26D24"/>
    <w:rsid w:val="2A15033F"/>
    <w:rsid w:val="2A1662C1"/>
    <w:rsid w:val="2A1C7367"/>
    <w:rsid w:val="2A2815FA"/>
    <w:rsid w:val="2A482678"/>
    <w:rsid w:val="2A6D6092"/>
    <w:rsid w:val="2A700215"/>
    <w:rsid w:val="2A7D76B4"/>
    <w:rsid w:val="2A9903AD"/>
    <w:rsid w:val="2AA87407"/>
    <w:rsid w:val="2B437463"/>
    <w:rsid w:val="2B7807EE"/>
    <w:rsid w:val="2BA50BF7"/>
    <w:rsid w:val="2BBF00EC"/>
    <w:rsid w:val="2BC37CFD"/>
    <w:rsid w:val="2BD5237F"/>
    <w:rsid w:val="2BE536CE"/>
    <w:rsid w:val="2BE758D9"/>
    <w:rsid w:val="2C09049E"/>
    <w:rsid w:val="2C0A653C"/>
    <w:rsid w:val="2C191F85"/>
    <w:rsid w:val="2CC87E1E"/>
    <w:rsid w:val="2CDC0BF4"/>
    <w:rsid w:val="2CE82D6F"/>
    <w:rsid w:val="2D343236"/>
    <w:rsid w:val="2DB43204"/>
    <w:rsid w:val="2DD15014"/>
    <w:rsid w:val="2DF72DE4"/>
    <w:rsid w:val="2E0220AF"/>
    <w:rsid w:val="2E1432A5"/>
    <w:rsid w:val="2E4B082A"/>
    <w:rsid w:val="2E5D4E86"/>
    <w:rsid w:val="2E5D790B"/>
    <w:rsid w:val="2E9A3C18"/>
    <w:rsid w:val="2EBB0FEE"/>
    <w:rsid w:val="2EC63002"/>
    <w:rsid w:val="2ED70254"/>
    <w:rsid w:val="2F0A6B38"/>
    <w:rsid w:val="2F2760CA"/>
    <w:rsid w:val="2F946CCB"/>
    <w:rsid w:val="2FD25781"/>
    <w:rsid w:val="2FE34275"/>
    <w:rsid w:val="2FFD7934"/>
    <w:rsid w:val="30070078"/>
    <w:rsid w:val="30733ACD"/>
    <w:rsid w:val="308C3862"/>
    <w:rsid w:val="309379D8"/>
    <w:rsid w:val="30A270F7"/>
    <w:rsid w:val="30C45E24"/>
    <w:rsid w:val="30DF1478"/>
    <w:rsid w:val="30EC586F"/>
    <w:rsid w:val="30F47343"/>
    <w:rsid w:val="317875A6"/>
    <w:rsid w:val="319C6071"/>
    <w:rsid w:val="31AC537E"/>
    <w:rsid w:val="31DE7F64"/>
    <w:rsid w:val="31E3679B"/>
    <w:rsid w:val="31E732FD"/>
    <w:rsid w:val="3240643F"/>
    <w:rsid w:val="32517576"/>
    <w:rsid w:val="32A64673"/>
    <w:rsid w:val="32BE5C2C"/>
    <w:rsid w:val="32CC2966"/>
    <w:rsid w:val="32FB6478"/>
    <w:rsid w:val="33071C81"/>
    <w:rsid w:val="33263B3F"/>
    <w:rsid w:val="336963EB"/>
    <w:rsid w:val="33816EEB"/>
    <w:rsid w:val="33EB55CD"/>
    <w:rsid w:val="33EC4C02"/>
    <w:rsid w:val="340D2360"/>
    <w:rsid w:val="341037F9"/>
    <w:rsid w:val="3410665D"/>
    <w:rsid w:val="34211214"/>
    <w:rsid w:val="342E63AB"/>
    <w:rsid w:val="347EFC58"/>
    <w:rsid w:val="34950E68"/>
    <w:rsid w:val="34986E94"/>
    <w:rsid w:val="34AF62C9"/>
    <w:rsid w:val="34CB4388"/>
    <w:rsid w:val="34D13F10"/>
    <w:rsid w:val="34FA6E12"/>
    <w:rsid w:val="35162676"/>
    <w:rsid w:val="354D7158"/>
    <w:rsid w:val="358D5588"/>
    <w:rsid w:val="35B232BD"/>
    <w:rsid w:val="36320DCE"/>
    <w:rsid w:val="363A3B40"/>
    <w:rsid w:val="365302AE"/>
    <w:rsid w:val="36607A0A"/>
    <w:rsid w:val="3662481E"/>
    <w:rsid w:val="366E227C"/>
    <w:rsid w:val="366F2E0D"/>
    <w:rsid w:val="367B6A5C"/>
    <w:rsid w:val="36A74ADA"/>
    <w:rsid w:val="36AD60D5"/>
    <w:rsid w:val="36B224F9"/>
    <w:rsid w:val="36EC0CC9"/>
    <w:rsid w:val="36F4212A"/>
    <w:rsid w:val="36FD2E8A"/>
    <w:rsid w:val="37043C7C"/>
    <w:rsid w:val="37133692"/>
    <w:rsid w:val="372757B8"/>
    <w:rsid w:val="373F410B"/>
    <w:rsid w:val="376314EA"/>
    <w:rsid w:val="37EE7094"/>
    <w:rsid w:val="380F3D50"/>
    <w:rsid w:val="38296C89"/>
    <w:rsid w:val="383002EB"/>
    <w:rsid w:val="38586797"/>
    <w:rsid w:val="38B36D36"/>
    <w:rsid w:val="38BC0149"/>
    <w:rsid w:val="38D87D1C"/>
    <w:rsid w:val="38DB117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CE2DD3"/>
    <w:rsid w:val="3BD31E2F"/>
    <w:rsid w:val="3BF15831"/>
    <w:rsid w:val="3BF82E56"/>
    <w:rsid w:val="3C105946"/>
    <w:rsid w:val="3C4467E8"/>
    <w:rsid w:val="3C471448"/>
    <w:rsid w:val="3C5F759A"/>
    <w:rsid w:val="3C6145B7"/>
    <w:rsid w:val="3C6C525A"/>
    <w:rsid w:val="3C982A55"/>
    <w:rsid w:val="3CBD779F"/>
    <w:rsid w:val="3CCE23CB"/>
    <w:rsid w:val="3CD17D17"/>
    <w:rsid w:val="3CFA6E3D"/>
    <w:rsid w:val="3D09356D"/>
    <w:rsid w:val="3D3C7F39"/>
    <w:rsid w:val="3D440F09"/>
    <w:rsid w:val="3D4504A0"/>
    <w:rsid w:val="3D8734BB"/>
    <w:rsid w:val="3D9A11D4"/>
    <w:rsid w:val="3DA16D89"/>
    <w:rsid w:val="3DA364BE"/>
    <w:rsid w:val="3DC04F41"/>
    <w:rsid w:val="3DE041CB"/>
    <w:rsid w:val="3E0D48F6"/>
    <w:rsid w:val="3E1868B4"/>
    <w:rsid w:val="3E377251"/>
    <w:rsid w:val="3E42664B"/>
    <w:rsid w:val="3E470969"/>
    <w:rsid w:val="3E5A7334"/>
    <w:rsid w:val="3E7B5D6B"/>
    <w:rsid w:val="3E843E66"/>
    <w:rsid w:val="3E8F51FE"/>
    <w:rsid w:val="3E926F87"/>
    <w:rsid w:val="3E9A59DE"/>
    <w:rsid w:val="3EAF4836"/>
    <w:rsid w:val="3EC33DFA"/>
    <w:rsid w:val="3EDC277D"/>
    <w:rsid w:val="3F0423A1"/>
    <w:rsid w:val="3F060E16"/>
    <w:rsid w:val="3F1D1096"/>
    <w:rsid w:val="3F2F0234"/>
    <w:rsid w:val="3F400D61"/>
    <w:rsid w:val="3F6363FE"/>
    <w:rsid w:val="3F756B8F"/>
    <w:rsid w:val="3F95482B"/>
    <w:rsid w:val="3FDB0EAB"/>
    <w:rsid w:val="4019356B"/>
    <w:rsid w:val="40592157"/>
    <w:rsid w:val="406E1CAE"/>
    <w:rsid w:val="408A1F32"/>
    <w:rsid w:val="409146B6"/>
    <w:rsid w:val="40A0133A"/>
    <w:rsid w:val="40C31A53"/>
    <w:rsid w:val="40DB1441"/>
    <w:rsid w:val="40FF545D"/>
    <w:rsid w:val="410067C8"/>
    <w:rsid w:val="418F0D2A"/>
    <w:rsid w:val="41D01505"/>
    <w:rsid w:val="41D04E9E"/>
    <w:rsid w:val="422A46BF"/>
    <w:rsid w:val="42474939"/>
    <w:rsid w:val="42497F67"/>
    <w:rsid w:val="424C3C57"/>
    <w:rsid w:val="42613FF3"/>
    <w:rsid w:val="42660D96"/>
    <w:rsid w:val="428667D2"/>
    <w:rsid w:val="42CD1CE0"/>
    <w:rsid w:val="42E1381E"/>
    <w:rsid w:val="42EB3628"/>
    <w:rsid w:val="42ED6459"/>
    <w:rsid w:val="42FB06F2"/>
    <w:rsid w:val="42FE58DD"/>
    <w:rsid w:val="43174B3D"/>
    <w:rsid w:val="433562C0"/>
    <w:rsid w:val="434B790E"/>
    <w:rsid w:val="4360274F"/>
    <w:rsid w:val="43977AB6"/>
    <w:rsid w:val="43A3342B"/>
    <w:rsid w:val="43A94B74"/>
    <w:rsid w:val="43C77C27"/>
    <w:rsid w:val="43CA31EC"/>
    <w:rsid w:val="43DB17C5"/>
    <w:rsid w:val="43DE09EE"/>
    <w:rsid w:val="43F32678"/>
    <w:rsid w:val="44002FAD"/>
    <w:rsid w:val="440E37AB"/>
    <w:rsid w:val="4430589B"/>
    <w:rsid w:val="449101DD"/>
    <w:rsid w:val="449D00C3"/>
    <w:rsid w:val="44BF5A4C"/>
    <w:rsid w:val="44DE1391"/>
    <w:rsid w:val="451B225C"/>
    <w:rsid w:val="452410C9"/>
    <w:rsid w:val="45242627"/>
    <w:rsid w:val="45317DFB"/>
    <w:rsid w:val="456D3CE4"/>
    <w:rsid w:val="4579042C"/>
    <w:rsid w:val="457F0571"/>
    <w:rsid w:val="45851176"/>
    <w:rsid w:val="45C63B94"/>
    <w:rsid w:val="460E7DA5"/>
    <w:rsid w:val="46422483"/>
    <w:rsid w:val="4659254A"/>
    <w:rsid w:val="465B0637"/>
    <w:rsid w:val="465E3F0D"/>
    <w:rsid w:val="466A16E6"/>
    <w:rsid w:val="46893F2B"/>
    <w:rsid w:val="469B143E"/>
    <w:rsid w:val="46C4686E"/>
    <w:rsid w:val="473E335C"/>
    <w:rsid w:val="477B2EC4"/>
    <w:rsid w:val="477B778F"/>
    <w:rsid w:val="478203EC"/>
    <w:rsid w:val="479B5EA6"/>
    <w:rsid w:val="479C27B8"/>
    <w:rsid w:val="47B025FA"/>
    <w:rsid w:val="47EA49E2"/>
    <w:rsid w:val="47ED662D"/>
    <w:rsid w:val="47FF4632"/>
    <w:rsid w:val="4809698F"/>
    <w:rsid w:val="480F17B8"/>
    <w:rsid w:val="4811697D"/>
    <w:rsid w:val="487A3E25"/>
    <w:rsid w:val="488B5503"/>
    <w:rsid w:val="48937E21"/>
    <w:rsid w:val="489A0361"/>
    <w:rsid w:val="48B94FF3"/>
    <w:rsid w:val="48E37AAB"/>
    <w:rsid w:val="48FD4B4C"/>
    <w:rsid w:val="490A68E0"/>
    <w:rsid w:val="491055FE"/>
    <w:rsid w:val="491C7B76"/>
    <w:rsid w:val="494A5FB4"/>
    <w:rsid w:val="495F2F05"/>
    <w:rsid w:val="495F5B3E"/>
    <w:rsid w:val="496F77D7"/>
    <w:rsid w:val="497654FD"/>
    <w:rsid w:val="49B64211"/>
    <w:rsid w:val="49F6167F"/>
    <w:rsid w:val="4A064FA0"/>
    <w:rsid w:val="4A16615C"/>
    <w:rsid w:val="4A2A29AC"/>
    <w:rsid w:val="4A4424D7"/>
    <w:rsid w:val="4A5F7802"/>
    <w:rsid w:val="4A630BA2"/>
    <w:rsid w:val="4A9D4BD0"/>
    <w:rsid w:val="4AB82D0F"/>
    <w:rsid w:val="4AEB7664"/>
    <w:rsid w:val="4AFD7C19"/>
    <w:rsid w:val="4B0567D1"/>
    <w:rsid w:val="4B236AAE"/>
    <w:rsid w:val="4B707271"/>
    <w:rsid w:val="4B7A0DF8"/>
    <w:rsid w:val="4B931B5E"/>
    <w:rsid w:val="4B9739F7"/>
    <w:rsid w:val="4BBF49F8"/>
    <w:rsid w:val="4BEE2503"/>
    <w:rsid w:val="4C245A30"/>
    <w:rsid w:val="4C676029"/>
    <w:rsid w:val="4CB6685F"/>
    <w:rsid w:val="4CC367FE"/>
    <w:rsid w:val="4D077F3C"/>
    <w:rsid w:val="4D123355"/>
    <w:rsid w:val="4D227280"/>
    <w:rsid w:val="4D2A3B31"/>
    <w:rsid w:val="4D312C52"/>
    <w:rsid w:val="4D691D5B"/>
    <w:rsid w:val="4D905305"/>
    <w:rsid w:val="4D964A72"/>
    <w:rsid w:val="4D9C1254"/>
    <w:rsid w:val="4DD37775"/>
    <w:rsid w:val="4E793892"/>
    <w:rsid w:val="4E800872"/>
    <w:rsid w:val="4EC569ED"/>
    <w:rsid w:val="4ED50EA1"/>
    <w:rsid w:val="4EEC050C"/>
    <w:rsid w:val="4EFD5EBB"/>
    <w:rsid w:val="4F104EC3"/>
    <w:rsid w:val="4F47354A"/>
    <w:rsid w:val="4F911C54"/>
    <w:rsid w:val="4FE625E0"/>
    <w:rsid w:val="5021480F"/>
    <w:rsid w:val="50962ECB"/>
    <w:rsid w:val="509F4E0D"/>
    <w:rsid w:val="50A42E38"/>
    <w:rsid w:val="50A4577F"/>
    <w:rsid w:val="50B73D1F"/>
    <w:rsid w:val="50BD5BC9"/>
    <w:rsid w:val="50C11EEE"/>
    <w:rsid w:val="50E97CFC"/>
    <w:rsid w:val="50FA4028"/>
    <w:rsid w:val="510A1B6B"/>
    <w:rsid w:val="510D65B7"/>
    <w:rsid w:val="511157AB"/>
    <w:rsid w:val="51294DFA"/>
    <w:rsid w:val="513568F3"/>
    <w:rsid w:val="5142540C"/>
    <w:rsid w:val="516B56B8"/>
    <w:rsid w:val="518832C8"/>
    <w:rsid w:val="51A0432A"/>
    <w:rsid w:val="51A43330"/>
    <w:rsid w:val="51A86090"/>
    <w:rsid w:val="51B7396D"/>
    <w:rsid w:val="522E4CC3"/>
    <w:rsid w:val="5244713B"/>
    <w:rsid w:val="524942CF"/>
    <w:rsid w:val="525E6849"/>
    <w:rsid w:val="52615633"/>
    <w:rsid w:val="52636E23"/>
    <w:rsid w:val="52977FD4"/>
    <w:rsid w:val="52A25790"/>
    <w:rsid w:val="52A96B6F"/>
    <w:rsid w:val="52B45975"/>
    <w:rsid w:val="52D94AA4"/>
    <w:rsid w:val="52EA3A62"/>
    <w:rsid w:val="52F50BB8"/>
    <w:rsid w:val="53097272"/>
    <w:rsid w:val="531456AC"/>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5E54F81"/>
    <w:rsid w:val="566B6D1E"/>
    <w:rsid w:val="569E129D"/>
    <w:rsid w:val="56D04B57"/>
    <w:rsid w:val="56D0725B"/>
    <w:rsid w:val="57032A2C"/>
    <w:rsid w:val="57092BA5"/>
    <w:rsid w:val="570F5219"/>
    <w:rsid w:val="57547F16"/>
    <w:rsid w:val="575D12B5"/>
    <w:rsid w:val="57610A87"/>
    <w:rsid w:val="577B1140"/>
    <w:rsid w:val="577B7F21"/>
    <w:rsid w:val="577F181B"/>
    <w:rsid w:val="57921984"/>
    <w:rsid w:val="579737F0"/>
    <w:rsid w:val="57AB7B30"/>
    <w:rsid w:val="57AF5251"/>
    <w:rsid w:val="57B26373"/>
    <w:rsid w:val="57B63F04"/>
    <w:rsid w:val="57CD20C2"/>
    <w:rsid w:val="57D17D4A"/>
    <w:rsid w:val="57D675AB"/>
    <w:rsid w:val="57D95FDD"/>
    <w:rsid w:val="57E87CD3"/>
    <w:rsid w:val="57EF7F5F"/>
    <w:rsid w:val="585D4315"/>
    <w:rsid w:val="58854C10"/>
    <w:rsid w:val="58917D2F"/>
    <w:rsid w:val="5894085C"/>
    <w:rsid w:val="58AE4F0C"/>
    <w:rsid w:val="58B85899"/>
    <w:rsid w:val="58E363A9"/>
    <w:rsid w:val="593B637B"/>
    <w:rsid w:val="595E1678"/>
    <w:rsid w:val="596D5BD4"/>
    <w:rsid w:val="597E3DD8"/>
    <w:rsid w:val="59803537"/>
    <w:rsid w:val="59AB4EC3"/>
    <w:rsid w:val="59F80043"/>
    <w:rsid w:val="5A09252F"/>
    <w:rsid w:val="5A0B2778"/>
    <w:rsid w:val="5A2A7C7B"/>
    <w:rsid w:val="5A3E2560"/>
    <w:rsid w:val="5A5D3B6E"/>
    <w:rsid w:val="5A637A76"/>
    <w:rsid w:val="5A6D33BA"/>
    <w:rsid w:val="5A792B1F"/>
    <w:rsid w:val="5A8665A0"/>
    <w:rsid w:val="5A874767"/>
    <w:rsid w:val="5AA85BE2"/>
    <w:rsid w:val="5AAD6F28"/>
    <w:rsid w:val="5AD63A24"/>
    <w:rsid w:val="5B2E1A1D"/>
    <w:rsid w:val="5B5A4B3C"/>
    <w:rsid w:val="5B843A1C"/>
    <w:rsid w:val="5B873E3F"/>
    <w:rsid w:val="5BAE6C48"/>
    <w:rsid w:val="5C02690E"/>
    <w:rsid w:val="5C196DA7"/>
    <w:rsid w:val="5C2A048C"/>
    <w:rsid w:val="5C5B3BAF"/>
    <w:rsid w:val="5C6C6A0C"/>
    <w:rsid w:val="5C80234E"/>
    <w:rsid w:val="5C8A680C"/>
    <w:rsid w:val="5D0C4701"/>
    <w:rsid w:val="5D0F0395"/>
    <w:rsid w:val="5D221076"/>
    <w:rsid w:val="5D397964"/>
    <w:rsid w:val="5D472AE9"/>
    <w:rsid w:val="5D4C593F"/>
    <w:rsid w:val="5D5A391C"/>
    <w:rsid w:val="5D5F10C0"/>
    <w:rsid w:val="5D83700A"/>
    <w:rsid w:val="5D891B7B"/>
    <w:rsid w:val="5DAD38EE"/>
    <w:rsid w:val="5E006862"/>
    <w:rsid w:val="5E0207B9"/>
    <w:rsid w:val="5E1834A1"/>
    <w:rsid w:val="5E197CFB"/>
    <w:rsid w:val="5E1D27A4"/>
    <w:rsid w:val="5E261785"/>
    <w:rsid w:val="5E34357A"/>
    <w:rsid w:val="5E4A7017"/>
    <w:rsid w:val="5E552BBA"/>
    <w:rsid w:val="5E611C10"/>
    <w:rsid w:val="5E7A0F3F"/>
    <w:rsid w:val="5EFC7377"/>
    <w:rsid w:val="5F0116AB"/>
    <w:rsid w:val="5F012A1A"/>
    <w:rsid w:val="5F06174D"/>
    <w:rsid w:val="5F3A3602"/>
    <w:rsid w:val="5F45733B"/>
    <w:rsid w:val="5F6277C6"/>
    <w:rsid w:val="5F6D0B1D"/>
    <w:rsid w:val="5F8D0B82"/>
    <w:rsid w:val="5FA228C7"/>
    <w:rsid w:val="5FCC5339"/>
    <w:rsid w:val="5FE34A5B"/>
    <w:rsid w:val="5FFE1E36"/>
    <w:rsid w:val="60232584"/>
    <w:rsid w:val="604779FB"/>
    <w:rsid w:val="6051174F"/>
    <w:rsid w:val="605864BB"/>
    <w:rsid w:val="607330CE"/>
    <w:rsid w:val="60825176"/>
    <w:rsid w:val="609F2AC4"/>
    <w:rsid w:val="60E209E2"/>
    <w:rsid w:val="60FA2EE8"/>
    <w:rsid w:val="61054A27"/>
    <w:rsid w:val="610A52BC"/>
    <w:rsid w:val="611D2366"/>
    <w:rsid w:val="61421856"/>
    <w:rsid w:val="61505981"/>
    <w:rsid w:val="615227C4"/>
    <w:rsid w:val="61654E3F"/>
    <w:rsid w:val="6182292A"/>
    <w:rsid w:val="619F7F92"/>
    <w:rsid w:val="61F94C26"/>
    <w:rsid w:val="62000E56"/>
    <w:rsid w:val="62244584"/>
    <w:rsid w:val="622C6935"/>
    <w:rsid w:val="624F3E49"/>
    <w:rsid w:val="62630468"/>
    <w:rsid w:val="62632286"/>
    <w:rsid w:val="62772DD2"/>
    <w:rsid w:val="62885958"/>
    <w:rsid w:val="62F40B65"/>
    <w:rsid w:val="62FC2CFE"/>
    <w:rsid w:val="63024505"/>
    <w:rsid w:val="635B1DB5"/>
    <w:rsid w:val="63711FED"/>
    <w:rsid w:val="63880DDC"/>
    <w:rsid w:val="638D750D"/>
    <w:rsid w:val="63AC6CC0"/>
    <w:rsid w:val="63C54BFE"/>
    <w:rsid w:val="63E34801"/>
    <w:rsid w:val="64055776"/>
    <w:rsid w:val="64240056"/>
    <w:rsid w:val="643E143A"/>
    <w:rsid w:val="648B6EEF"/>
    <w:rsid w:val="64C158BF"/>
    <w:rsid w:val="64CE2EAA"/>
    <w:rsid w:val="653C3090"/>
    <w:rsid w:val="65673EBC"/>
    <w:rsid w:val="65854376"/>
    <w:rsid w:val="658767BE"/>
    <w:rsid w:val="65892531"/>
    <w:rsid w:val="66195831"/>
    <w:rsid w:val="662E75B1"/>
    <w:rsid w:val="66342C2E"/>
    <w:rsid w:val="663E784C"/>
    <w:rsid w:val="66551A38"/>
    <w:rsid w:val="668B6A45"/>
    <w:rsid w:val="66EC7EA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308CB"/>
    <w:rsid w:val="68B96DBB"/>
    <w:rsid w:val="68CA2805"/>
    <w:rsid w:val="68E937A3"/>
    <w:rsid w:val="68FC7232"/>
    <w:rsid w:val="693E15D3"/>
    <w:rsid w:val="69475D21"/>
    <w:rsid w:val="69627681"/>
    <w:rsid w:val="6977531D"/>
    <w:rsid w:val="69CC2BFF"/>
    <w:rsid w:val="69E674DF"/>
    <w:rsid w:val="69FD55B8"/>
    <w:rsid w:val="6A0B1C62"/>
    <w:rsid w:val="6A2406C8"/>
    <w:rsid w:val="6A836436"/>
    <w:rsid w:val="6A8413AD"/>
    <w:rsid w:val="6A8F2B46"/>
    <w:rsid w:val="6AB20BBB"/>
    <w:rsid w:val="6ADE0BD1"/>
    <w:rsid w:val="6AE96859"/>
    <w:rsid w:val="6AFA38B3"/>
    <w:rsid w:val="6B147746"/>
    <w:rsid w:val="6B24787C"/>
    <w:rsid w:val="6B573233"/>
    <w:rsid w:val="6B5B6274"/>
    <w:rsid w:val="6B935D53"/>
    <w:rsid w:val="6C196F71"/>
    <w:rsid w:val="6C226FCB"/>
    <w:rsid w:val="6C277949"/>
    <w:rsid w:val="6C31226F"/>
    <w:rsid w:val="6C552F0B"/>
    <w:rsid w:val="6C8C67B7"/>
    <w:rsid w:val="6C9D744C"/>
    <w:rsid w:val="6CFE67A8"/>
    <w:rsid w:val="6D167928"/>
    <w:rsid w:val="6D26299B"/>
    <w:rsid w:val="6D4772EC"/>
    <w:rsid w:val="6D9078AF"/>
    <w:rsid w:val="6DAA3FEF"/>
    <w:rsid w:val="6DC0172B"/>
    <w:rsid w:val="6DCB690C"/>
    <w:rsid w:val="6DD41A5B"/>
    <w:rsid w:val="6DEF3D2D"/>
    <w:rsid w:val="6DF43C2E"/>
    <w:rsid w:val="6DF51CA3"/>
    <w:rsid w:val="6E8335BD"/>
    <w:rsid w:val="6E8E12EF"/>
    <w:rsid w:val="6E972936"/>
    <w:rsid w:val="6E974DA9"/>
    <w:rsid w:val="6ED446C5"/>
    <w:rsid w:val="6F2A7D94"/>
    <w:rsid w:val="6F8331F1"/>
    <w:rsid w:val="6FAE1A09"/>
    <w:rsid w:val="6FD75BF8"/>
    <w:rsid w:val="7014458C"/>
    <w:rsid w:val="701A785F"/>
    <w:rsid w:val="70327F92"/>
    <w:rsid w:val="707723D0"/>
    <w:rsid w:val="70D93C87"/>
    <w:rsid w:val="70ED7614"/>
    <w:rsid w:val="70F5661B"/>
    <w:rsid w:val="70FF1FF8"/>
    <w:rsid w:val="71140A09"/>
    <w:rsid w:val="71360107"/>
    <w:rsid w:val="713B688E"/>
    <w:rsid w:val="71D43752"/>
    <w:rsid w:val="71F1796A"/>
    <w:rsid w:val="72154626"/>
    <w:rsid w:val="72262B5D"/>
    <w:rsid w:val="72283FF7"/>
    <w:rsid w:val="722E7212"/>
    <w:rsid w:val="723A0474"/>
    <w:rsid w:val="725923E4"/>
    <w:rsid w:val="72864BF7"/>
    <w:rsid w:val="729023FC"/>
    <w:rsid w:val="729545DB"/>
    <w:rsid w:val="73C0646E"/>
    <w:rsid w:val="742222F5"/>
    <w:rsid w:val="74476126"/>
    <w:rsid w:val="74582108"/>
    <w:rsid w:val="74706664"/>
    <w:rsid w:val="747F3682"/>
    <w:rsid w:val="749C4185"/>
    <w:rsid w:val="74A8288F"/>
    <w:rsid w:val="750302B2"/>
    <w:rsid w:val="75067759"/>
    <w:rsid w:val="752E6DCD"/>
    <w:rsid w:val="7551380D"/>
    <w:rsid w:val="755D20FC"/>
    <w:rsid w:val="75600BE5"/>
    <w:rsid w:val="7564475C"/>
    <w:rsid w:val="7583797F"/>
    <w:rsid w:val="75D20F1D"/>
    <w:rsid w:val="75DA2C18"/>
    <w:rsid w:val="75E97204"/>
    <w:rsid w:val="75F54412"/>
    <w:rsid w:val="76106CF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1348"/>
    <w:rsid w:val="78775729"/>
    <w:rsid w:val="78A42DB0"/>
    <w:rsid w:val="78A656AB"/>
    <w:rsid w:val="78B2245C"/>
    <w:rsid w:val="78E172CC"/>
    <w:rsid w:val="78EA1D1F"/>
    <w:rsid w:val="7904172F"/>
    <w:rsid w:val="790F7E27"/>
    <w:rsid w:val="792A231A"/>
    <w:rsid w:val="79316829"/>
    <w:rsid w:val="794D2FAD"/>
    <w:rsid w:val="797E66A9"/>
    <w:rsid w:val="79A97383"/>
    <w:rsid w:val="79E27E8B"/>
    <w:rsid w:val="79F850CE"/>
    <w:rsid w:val="79FD443C"/>
    <w:rsid w:val="7A1D1975"/>
    <w:rsid w:val="7A3E5150"/>
    <w:rsid w:val="7A4670D6"/>
    <w:rsid w:val="7A534B63"/>
    <w:rsid w:val="7A615382"/>
    <w:rsid w:val="7A67303B"/>
    <w:rsid w:val="7AAB1D04"/>
    <w:rsid w:val="7AAF60AF"/>
    <w:rsid w:val="7ABA4368"/>
    <w:rsid w:val="7AD05746"/>
    <w:rsid w:val="7B0F10EF"/>
    <w:rsid w:val="7B237C3C"/>
    <w:rsid w:val="7B257FFD"/>
    <w:rsid w:val="7B2F3497"/>
    <w:rsid w:val="7B343476"/>
    <w:rsid w:val="7B5A2978"/>
    <w:rsid w:val="7B5A7E4C"/>
    <w:rsid w:val="7B667AF9"/>
    <w:rsid w:val="7B7468F8"/>
    <w:rsid w:val="7BEE0103"/>
    <w:rsid w:val="7C0A0FE4"/>
    <w:rsid w:val="7C177E74"/>
    <w:rsid w:val="7C2428D0"/>
    <w:rsid w:val="7C254906"/>
    <w:rsid w:val="7C324652"/>
    <w:rsid w:val="7C5240F6"/>
    <w:rsid w:val="7C590818"/>
    <w:rsid w:val="7C7C10F6"/>
    <w:rsid w:val="7C806050"/>
    <w:rsid w:val="7C827114"/>
    <w:rsid w:val="7C853BEA"/>
    <w:rsid w:val="7C881368"/>
    <w:rsid w:val="7CE27788"/>
    <w:rsid w:val="7CE456E0"/>
    <w:rsid w:val="7D0357E5"/>
    <w:rsid w:val="7D0C32F1"/>
    <w:rsid w:val="7D0F408D"/>
    <w:rsid w:val="7D1E1A23"/>
    <w:rsid w:val="7D26772E"/>
    <w:rsid w:val="7D491C6C"/>
    <w:rsid w:val="7D5429C0"/>
    <w:rsid w:val="7D6E6D43"/>
    <w:rsid w:val="7D7069D2"/>
    <w:rsid w:val="7D901775"/>
    <w:rsid w:val="7DB57A34"/>
    <w:rsid w:val="7DE60973"/>
    <w:rsid w:val="7DEF0916"/>
    <w:rsid w:val="7DFB0F0F"/>
    <w:rsid w:val="7E1E5218"/>
    <w:rsid w:val="7E9A4E1F"/>
    <w:rsid w:val="7EA7723A"/>
    <w:rsid w:val="7EE97F06"/>
    <w:rsid w:val="7EF56FBB"/>
    <w:rsid w:val="7F0768EB"/>
    <w:rsid w:val="7F143BEC"/>
    <w:rsid w:val="7F2B2E62"/>
    <w:rsid w:val="7F611005"/>
    <w:rsid w:val="7F715AF2"/>
    <w:rsid w:val="7F886E69"/>
    <w:rsid w:val="7FF24A7E"/>
    <w:rsid w:val="7FFE18E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8"/>
    <w:qFormat/>
    <w:uiPriority w:val="0"/>
    <w:pPr>
      <w:spacing w:line="480" w:lineRule="exact"/>
      <w:ind w:firstLine="480" w:firstLineChars="200"/>
    </w:pPr>
    <w:rPr>
      <w:rFonts w:ascii="宋体" w:hAnsi="宋体"/>
      <w:sz w:val="24"/>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30"/>
    <w:qFormat/>
    <w:uiPriority w:val="0"/>
    <w:rPr>
      <w:rFonts w:ascii="宋体" w:hAnsi="Courier New" w:cs="Arial"/>
      <w:snapToGrid w:val="0"/>
      <w:szCs w:val="21"/>
    </w:rPr>
  </w:style>
  <w:style w:type="paragraph" w:styleId="34">
    <w:name w:val="Date"/>
    <w:basedOn w:val="1"/>
    <w:next w:val="1"/>
    <w:link w:val="186"/>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next w:val="38"/>
    <w:link w:val="311"/>
    <w:qFormat/>
    <w:uiPriority w:val="0"/>
    <w:pPr>
      <w:spacing w:line="360" w:lineRule="auto"/>
      <w:ind w:firstLine="601"/>
      <w:textAlignment w:val="baseline"/>
    </w:pPr>
    <w:rPr>
      <w:rFonts w:ascii="宋体"/>
      <w:kern w:val="0"/>
      <w:sz w:val="28"/>
      <w:szCs w:val="20"/>
    </w:rPr>
  </w:style>
  <w:style w:type="paragraph" w:customStyle="1" w:styleId="38">
    <w:name w:val="z正文"/>
    <w:basedOn w:val="33"/>
    <w:qFormat/>
    <w:uiPriority w:val="99"/>
    <w:pPr>
      <w:tabs>
        <w:tab w:val="left" w:pos="525"/>
      </w:tabs>
      <w:snapToGrid w:val="0"/>
      <w:spacing w:line="360" w:lineRule="auto"/>
    </w:pPr>
    <w:rPr>
      <w:rFonts w:hAnsi="宋体" w:eastAsia="宋体"/>
      <w:kern w:val="2"/>
      <w:sz w:val="24"/>
      <w:szCs w:val="20"/>
    </w:rPr>
  </w:style>
  <w:style w:type="paragraph" w:styleId="39">
    <w:name w:val="endnote text"/>
    <w:basedOn w:val="1"/>
    <w:link w:val="932"/>
    <w:qFormat/>
    <w:uiPriority w:val="0"/>
    <w:rPr>
      <w:lang w:val="zh-CN"/>
    </w:rPr>
  </w:style>
  <w:style w:type="paragraph" w:styleId="40">
    <w:name w:val="Balloon Text"/>
    <w:basedOn w:val="1"/>
    <w:link w:val="193"/>
    <w:qFormat/>
    <w:uiPriority w:val="0"/>
    <w:rPr>
      <w:sz w:val="18"/>
      <w:szCs w:val="18"/>
    </w:rPr>
  </w:style>
  <w:style w:type="paragraph" w:styleId="41">
    <w:name w:val="footer"/>
    <w:basedOn w:val="1"/>
    <w:next w:val="24"/>
    <w:link w:val="386"/>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1"/>
    <w:qFormat/>
    <w:uiPriority w:val="0"/>
    <w:rPr>
      <w:b/>
      <w:bCs/>
    </w:rPr>
  </w:style>
  <w:style w:type="paragraph" w:styleId="63">
    <w:name w:val="Body Text First Indent 2"/>
    <w:basedOn w:val="16"/>
    <w:next w:val="37"/>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样式3"/>
    <w:basedOn w:val="83"/>
    <w:qFormat/>
    <w:uiPriority w:val="0"/>
    <w:pPr>
      <w:tabs>
        <w:tab w:val="left" w:pos="2790"/>
        <w:tab w:val="left" w:pos="4230"/>
      </w:tabs>
      <w:spacing w:before="312" w:beforeLines="100"/>
      <w:jc w:val="left"/>
    </w:pPr>
  </w:style>
  <w:style w:type="paragraph" w:customStyle="1" w:styleId="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5">
    <w:name w:val="PlainText"/>
    <w:basedOn w:val="1"/>
    <w:qFormat/>
    <w:uiPriority w:val="0"/>
    <w:pPr>
      <w:jc w:val="both"/>
      <w:textAlignment w:val="baseline"/>
    </w:pPr>
    <w:rPr>
      <w:rFonts w:ascii="宋体" w:hAnsi="Courier New"/>
      <w:kern w:val="2"/>
      <w:sz w:val="21"/>
      <w:szCs w:val="20"/>
      <w:lang w:val="en-US" w:eastAsia="zh-CN" w:bidi="ar-SA"/>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4"/>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1"/>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6"/>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1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6"/>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w:qFormat/>
    <w:uiPriority w:val="0"/>
    <w:rPr>
      <w:rFonts w:ascii="宋体" w:hAnsi="宋体" w:eastAsia="宋体" w:cs="Times New Roman"/>
      <w:sz w:val="24"/>
      <w:szCs w:val="22"/>
      <w:lang w:val="zh-CN" w:eastAsia="zh-CN" w:bidi="ar-SA"/>
    </w:rPr>
  </w:style>
  <w:style w:type="paragraph" w:customStyle="1" w:styleId="965">
    <w:name w:val="样式 标题 31.1.1标题 333rd levelBOD 0Bold HeadCTH3H31Heading ...1"/>
    <w:basedOn w:val="4"/>
    <w:qFormat/>
    <w:uiPriority w:val="0"/>
    <w:pPr>
      <w:spacing w:before="0" w:after="0"/>
      <w:ind w:firstLine="0" w:firstLineChars="0"/>
    </w:pPr>
    <w:rPr>
      <w:rFonts w:hAnsi="宋体" w:cs="宋体"/>
      <w:sz w:val="24"/>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Plain Text"/>
    <w:basedOn w:val="968"/>
    <w:qFormat/>
    <w:uiPriority w:val="0"/>
    <w:pPr>
      <w:widowControl/>
      <w:jc w:val="left"/>
    </w:pPr>
    <w:rPr>
      <w:rFonts w:ascii="宋体" w:hAnsi="Courier New"/>
    </w:rPr>
  </w:style>
  <w:style w:type="paragraph" w:customStyle="1" w:styleId="96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9">
    <w:name w:val="p19"/>
    <w:basedOn w:val="1"/>
    <w:qFormat/>
    <w:uiPriority w:val="0"/>
    <w:pPr>
      <w:widowControl/>
    </w:pPr>
    <w:rPr>
      <w:rFonts w:ascii="宋体" w:hAnsi="Times New Roman"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2269</Words>
  <Characters>2732</Characters>
  <Lines>293</Lines>
  <Paragraphs>82</Paragraphs>
  <TotalTime>34</TotalTime>
  <ScaleCrop>false</ScaleCrop>
  <LinksUpToDate>false</LinksUpToDate>
  <CharactersWithSpaces>2821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莫小饼。</cp:lastModifiedBy>
  <cp:lastPrinted>2023-04-17T17:16:00Z</cp:lastPrinted>
  <dcterms:modified xsi:type="dcterms:W3CDTF">2025-01-14T06:20:37Z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906F4595E51B96E8DC7580676205BE13_43</vt:lpwstr>
  </property>
  <property fmtid="{D5CDD505-2E9C-101B-9397-08002B2CF9AE}" pid="5" name="commondata">
    <vt:lpwstr>eyJoZGlkIjoiNDk0OGU2YzAzOGE5M2FiNmVhNTU3OTE5ODEzNzM3ZDIifQ==</vt:lpwstr>
  </property>
  <property fmtid="{D5CDD505-2E9C-101B-9397-08002B2CF9AE}" pid="6" name="KSOTemplateDocerSaveRecord">
    <vt:lpwstr>eyJoZGlkIjoiNDk0OGU2YzAzOGE5M2FiNmVhNTU3OTE5ODEzNzM3ZDIiLCJ1c2VySWQiOiI0MDEyMDA1ODUifQ==</vt:lpwstr>
  </property>
</Properties>
</file>