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249BD">
      <w:pPr>
        <w:adjustRightInd/>
        <w:spacing w:line="360" w:lineRule="auto"/>
        <w:jc w:val="center"/>
        <w:rPr>
          <w:rFonts w:hint="eastAsia" w:ascii="仿宋" w:hAnsi="仿宋" w:eastAsia="仿宋" w:cs="仿宋"/>
          <w:b/>
          <w:color w:val="auto"/>
          <w:sz w:val="44"/>
          <w:szCs w:val="44"/>
          <w:highlight w:val="none"/>
        </w:rPr>
      </w:pPr>
    </w:p>
    <w:p w14:paraId="17ABBB9A">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萧山区中医院中心机房设备维保项目</w:t>
      </w:r>
    </w:p>
    <w:p w14:paraId="18D57711">
      <w:pPr>
        <w:pStyle w:val="6"/>
        <w:tabs>
          <w:tab w:val="left" w:pos="8223"/>
          <w:tab w:val="clear" w:pos="432"/>
        </w:tabs>
        <w:rPr>
          <w:rFonts w:hint="eastAsia" w:ascii="仿宋" w:hAnsi="仿宋" w:eastAsia="仿宋" w:cs="仿宋"/>
          <w:color w:val="auto"/>
          <w:highlight w:val="none"/>
        </w:rPr>
      </w:pPr>
      <w:r>
        <w:rPr>
          <w:rFonts w:hint="eastAsia" w:ascii="仿宋" w:hAnsi="仿宋" w:eastAsia="仿宋" w:cs="仿宋"/>
          <w:color w:val="auto"/>
          <w:highlight w:val="none"/>
        </w:rPr>
        <w:tab/>
      </w:r>
    </w:p>
    <w:p w14:paraId="41C197ED">
      <w:pPr>
        <w:rPr>
          <w:rFonts w:hint="eastAsia" w:ascii="仿宋" w:hAnsi="仿宋" w:eastAsia="仿宋" w:cs="仿宋"/>
          <w:color w:val="auto"/>
          <w:highlight w:val="none"/>
        </w:rPr>
      </w:pPr>
    </w:p>
    <w:p w14:paraId="38E9E51D">
      <w:pPr>
        <w:pStyle w:val="2"/>
        <w:rPr>
          <w:rFonts w:hint="eastAsia" w:ascii="仿宋" w:hAnsi="仿宋" w:eastAsia="仿宋" w:cs="仿宋"/>
          <w:color w:val="auto"/>
          <w:highlight w:val="none"/>
        </w:rPr>
      </w:pPr>
    </w:p>
    <w:p w14:paraId="65CA088C">
      <w:pPr>
        <w:rPr>
          <w:rFonts w:hint="eastAsia"/>
        </w:rPr>
      </w:pPr>
    </w:p>
    <w:p w14:paraId="34BCF39C">
      <w:pPr>
        <w:rPr>
          <w:rFonts w:hint="eastAsia"/>
        </w:rPr>
      </w:pPr>
    </w:p>
    <w:p w14:paraId="2760F73B">
      <w:pPr>
        <w:adjustRightInd/>
        <w:spacing w:line="360"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交易文件</w:t>
      </w:r>
    </w:p>
    <w:p w14:paraId="28AED42F">
      <w:pPr>
        <w:pStyle w:val="6"/>
        <w:jc w:val="center"/>
        <w:rPr>
          <w:rFonts w:hint="eastAsia" w:ascii="仿宋" w:hAnsi="仿宋" w:eastAsia="仿宋" w:cs="仿宋"/>
          <w:color w:val="auto"/>
          <w:highlight w:val="none"/>
        </w:rPr>
      </w:pPr>
      <w:bookmarkStart w:id="0" w:name="_Toc22903"/>
      <w:bookmarkStart w:id="1" w:name="_Toc6702"/>
      <w:r>
        <w:rPr>
          <w:rFonts w:hint="eastAsia" w:ascii="仿宋" w:hAnsi="仿宋" w:eastAsia="仿宋" w:cs="仿宋"/>
          <w:color w:val="auto"/>
          <w:sz w:val="44"/>
          <w:szCs w:val="44"/>
          <w:highlight w:val="none"/>
        </w:rPr>
        <w:t>（电子交易标）</w:t>
      </w:r>
      <w:bookmarkEnd w:id="0"/>
      <w:bookmarkEnd w:id="1"/>
    </w:p>
    <w:p w14:paraId="1A79F122">
      <w:pPr>
        <w:snapToGrid w:val="0"/>
        <w:spacing w:line="360" w:lineRule="auto"/>
        <w:jc w:val="center"/>
        <w:rPr>
          <w:rFonts w:hint="eastAsia" w:ascii="仿宋" w:hAnsi="仿宋" w:eastAsia="仿宋" w:cs="仿宋"/>
          <w:b/>
          <w:bCs/>
          <w:color w:val="auto"/>
          <w:sz w:val="30"/>
          <w:szCs w:val="30"/>
          <w:highlight w:val="none"/>
        </w:rPr>
      </w:pPr>
    </w:p>
    <w:p w14:paraId="33F712A5">
      <w:pPr>
        <w:snapToGrid w:val="0"/>
        <w:spacing w:line="360" w:lineRule="auto"/>
        <w:ind w:firstLine="0" w:firstLineChars="0"/>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项目编号:</w:t>
      </w:r>
      <w:r>
        <w:rPr>
          <w:rFonts w:hint="eastAsia" w:ascii="仿宋" w:hAnsi="仿宋" w:eastAsia="仿宋" w:cs="仿宋"/>
          <w:b/>
          <w:bCs/>
          <w:color w:val="auto"/>
          <w:sz w:val="30"/>
          <w:szCs w:val="30"/>
          <w:highlight w:val="none"/>
          <w:lang w:eastAsia="zh-CN"/>
        </w:rPr>
        <w:t>HXXS2024-GK-XCY139</w:t>
      </w:r>
    </w:p>
    <w:p w14:paraId="58A491EE">
      <w:pPr>
        <w:snapToGrid w:val="0"/>
        <w:spacing w:line="360" w:lineRule="auto"/>
        <w:jc w:val="center"/>
        <w:rPr>
          <w:rFonts w:hint="eastAsia" w:ascii="仿宋" w:hAnsi="仿宋" w:eastAsia="仿宋" w:cs="仿宋"/>
          <w:b/>
          <w:bCs/>
          <w:color w:val="auto"/>
          <w:sz w:val="30"/>
          <w:szCs w:val="30"/>
          <w:highlight w:val="none"/>
        </w:rPr>
      </w:pPr>
    </w:p>
    <w:p w14:paraId="7C55DB22">
      <w:pPr>
        <w:pStyle w:val="81"/>
        <w:rPr>
          <w:rFonts w:hint="eastAsia"/>
        </w:rPr>
      </w:pPr>
    </w:p>
    <w:p w14:paraId="14E5F98C">
      <w:pPr>
        <w:snapToGrid w:val="0"/>
        <w:spacing w:line="360" w:lineRule="auto"/>
        <w:jc w:val="center"/>
        <w:rPr>
          <w:rFonts w:hint="eastAsia" w:ascii="仿宋" w:hAnsi="仿宋" w:eastAsia="仿宋" w:cs="仿宋"/>
          <w:b/>
          <w:bCs/>
          <w:color w:val="auto"/>
          <w:sz w:val="32"/>
          <w:szCs w:val="32"/>
          <w:highlight w:val="none"/>
        </w:rPr>
      </w:pPr>
    </w:p>
    <w:p w14:paraId="565E8007">
      <w:pPr>
        <w:pStyle w:val="3"/>
        <w:rPr>
          <w:rFonts w:hint="eastAsia"/>
        </w:rPr>
      </w:pPr>
    </w:p>
    <w:p w14:paraId="57CC012F">
      <w:pPr>
        <w:rPr>
          <w:rFonts w:hint="eastAsia"/>
        </w:rPr>
      </w:pPr>
    </w:p>
    <w:p w14:paraId="6F21B13D">
      <w:pPr>
        <w:rPr>
          <w:rFonts w:hint="eastAsia"/>
        </w:rPr>
      </w:pPr>
    </w:p>
    <w:p w14:paraId="13E74E31">
      <w:pPr>
        <w:snapToGrid w:val="0"/>
        <w:spacing w:line="360" w:lineRule="auto"/>
        <w:jc w:val="center"/>
        <w:rPr>
          <w:rFonts w:hint="eastAsia" w:ascii="仿宋" w:hAnsi="仿宋" w:eastAsia="仿宋" w:cs="仿宋"/>
          <w:b/>
          <w:bCs/>
          <w:color w:val="auto"/>
          <w:sz w:val="32"/>
          <w:szCs w:val="32"/>
          <w:highlight w:val="none"/>
        </w:rPr>
      </w:pPr>
    </w:p>
    <w:p w14:paraId="7067A4E4">
      <w:pPr>
        <w:spacing w:line="360" w:lineRule="auto"/>
        <w:jc w:val="center"/>
        <w:rPr>
          <w:rFonts w:hint="eastAsia" w:ascii="仿宋" w:hAnsi="仿宋" w:eastAsia="仿宋" w:cs="仿宋"/>
          <w:b/>
          <w:bCs/>
          <w:color w:val="auto"/>
          <w:sz w:val="32"/>
          <w:szCs w:val="32"/>
          <w:highlight w:val="none"/>
          <w:u w:val="none"/>
          <w:lang w:val="en-US" w:eastAsia="zh-CN"/>
        </w:rPr>
      </w:pPr>
      <w:r>
        <w:rPr>
          <w:rFonts w:hint="eastAsia" w:ascii="仿宋" w:hAnsi="仿宋" w:eastAsia="仿宋" w:cs="仿宋"/>
          <w:b/>
          <w:bCs/>
          <w:color w:val="auto"/>
          <w:sz w:val="32"/>
          <w:szCs w:val="32"/>
          <w:highlight w:val="none"/>
          <w:u w:val="none"/>
          <w:lang w:eastAsia="zh-CN"/>
        </w:rPr>
        <w:t>杭州市萧山区中医院医共体总院</w:t>
      </w:r>
    </w:p>
    <w:p w14:paraId="52037F7D">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浙江华夏工程管理有限公司</w:t>
      </w:r>
    </w:p>
    <w:p w14:paraId="10BB76EC">
      <w:pP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二〇二</w:t>
      </w: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十二</w:t>
      </w:r>
      <w:r>
        <w:rPr>
          <w:rFonts w:hint="eastAsia" w:ascii="仿宋" w:hAnsi="仿宋" w:eastAsia="仿宋" w:cs="仿宋"/>
          <w:b/>
          <w:bCs/>
          <w:color w:val="auto"/>
          <w:sz w:val="32"/>
          <w:szCs w:val="32"/>
          <w:highlight w:val="none"/>
        </w:rPr>
        <w:t>月</w:t>
      </w:r>
    </w:p>
    <w:p w14:paraId="4094ECAC">
      <w:pPr>
        <w:spacing w:line="360" w:lineRule="auto"/>
        <w:jc w:val="center"/>
        <w:rPr>
          <w:rFonts w:hint="eastAsia" w:ascii="仿宋" w:hAnsi="仿宋" w:eastAsia="仿宋" w:cs="仿宋"/>
          <w:color w:val="auto"/>
          <w:sz w:val="24"/>
          <w:highlight w:val="none"/>
        </w:rPr>
      </w:pPr>
    </w:p>
    <w:p w14:paraId="0B2D0331">
      <w:pPr>
        <w:spacing w:line="360" w:lineRule="auto"/>
        <w:jc w:val="center"/>
        <w:rPr>
          <w:rFonts w:hint="eastAsia" w:ascii="仿宋" w:hAnsi="仿宋" w:eastAsia="仿宋" w:cs="仿宋"/>
          <w:b/>
          <w:color w:val="auto"/>
          <w:sz w:val="48"/>
          <w:szCs w:val="48"/>
          <w:highlight w:val="none"/>
        </w:rPr>
        <w:sectPr>
          <w:headerReference r:id="rId4" w:type="first"/>
          <w:footerReference r:id="rId7" w:type="first"/>
          <w:headerReference r:id="rId3" w:type="default"/>
          <w:footerReference r:id="rId5" w:type="default"/>
          <w:footerReference r:id="rId6" w:type="even"/>
          <w:pgSz w:w="11905" w:h="16838"/>
          <w:pgMar w:top="1417" w:right="1417" w:bottom="1417" w:left="1417" w:header="851" w:footer="850" w:gutter="0"/>
          <w:pgBorders>
            <w:top w:val="none" w:sz="0" w:space="0"/>
            <w:left w:val="none" w:sz="0" w:space="0"/>
            <w:bottom w:val="none" w:sz="0" w:space="0"/>
            <w:right w:val="none" w:sz="0" w:space="0"/>
          </w:pgBorders>
          <w:cols w:space="0" w:num="1"/>
          <w:docGrid w:linePitch="312" w:charSpace="0"/>
        </w:sectPr>
      </w:pPr>
    </w:p>
    <w:p w14:paraId="64F70F6B">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sdt>
      <w:sdtPr>
        <w:rPr>
          <w:rFonts w:hint="eastAsia" w:ascii="仿宋" w:hAnsi="仿宋" w:eastAsia="仿宋" w:cs="仿宋"/>
          <w:color w:val="auto"/>
          <w:sz w:val="24"/>
          <w:highlight w:val="none"/>
        </w:rPr>
        <w:id w:val="147472837"/>
        <w15:color w:val="DBDBDB"/>
        <w:docPartObj>
          <w:docPartGallery w:val="Table of Contents"/>
          <w:docPartUnique/>
        </w:docPartObj>
      </w:sdtPr>
      <w:sdtEndPr>
        <w:rPr>
          <w:rFonts w:hint="eastAsia" w:ascii="仿宋" w:hAnsi="仿宋" w:eastAsia="仿宋" w:cs="仿宋"/>
          <w:color w:val="auto"/>
          <w:sz w:val="21"/>
          <w:szCs w:val="32"/>
          <w:highlight w:val="none"/>
        </w:rPr>
      </w:sdtEndPr>
      <w:sdtContent>
        <w:p w14:paraId="3DD81C74">
          <w:pPr>
            <w:pStyle w:val="45"/>
            <w:tabs>
              <w:tab w:val="right" w:leader="dot" w:pos="9071"/>
            </w:tabs>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TOC \o "1-3" \h \u </w:instrText>
          </w:r>
          <w:r>
            <w:rPr>
              <w:rFonts w:hint="eastAsia" w:ascii="仿宋" w:hAnsi="仿宋" w:eastAsia="仿宋" w:cs="仿宋"/>
              <w:color w:val="auto"/>
              <w:sz w:val="24"/>
              <w:highlight w:val="none"/>
            </w:rPr>
            <w:fldChar w:fldCharType="separate"/>
          </w:r>
        </w:p>
        <w:p w14:paraId="43BDF885">
          <w:pPr>
            <w:pStyle w:val="56"/>
            <w:tabs>
              <w:tab w:val="right" w:leader="dot" w:pos="9071"/>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"_Toc22903"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szCs w:val="24"/>
              <w:highlight w:val="none"/>
            </w:rPr>
            <w:t>（电子交易标）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_Toc22903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D7FC7CB">
          <w:pPr>
            <w:pStyle w:val="45"/>
            <w:tabs>
              <w:tab w:val="right" w:leader="dot" w:pos="9071"/>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"_Toc20619"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szCs w:val="24"/>
              <w:highlight w:val="none"/>
            </w:rPr>
            <w:t>第一部分 交易公告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_Toc20619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7FFBF4A">
          <w:pPr>
            <w:pStyle w:val="45"/>
            <w:tabs>
              <w:tab w:val="right" w:leader="dot" w:pos="9071"/>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"_Toc6666"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szCs w:val="24"/>
              <w:highlight w:val="none"/>
            </w:rPr>
            <w:t>第二部分 供应商须知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_Toc6666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1ADDAD4">
          <w:pPr>
            <w:pStyle w:val="45"/>
            <w:tabs>
              <w:tab w:val="right" w:leader="dot" w:pos="9071"/>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"_Toc12399"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szCs w:val="24"/>
              <w:highlight w:val="none"/>
            </w:rPr>
            <w:t>第三部分 采购需求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_Toc12399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CFFB374">
          <w:pPr>
            <w:pStyle w:val="45"/>
            <w:tabs>
              <w:tab w:val="right" w:leader="dot" w:pos="9071"/>
            </w:tabs>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"_Toc7735"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szCs w:val="24"/>
              <w:highlight w:val="none"/>
            </w:rPr>
            <w:t>第四部分 评审办法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9</w:t>
          </w:r>
        </w:p>
        <w:p w14:paraId="4D4E3E74">
          <w:pPr>
            <w:pStyle w:val="45"/>
            <w:tabs>
              <w:tab w:val="right" w:leader="dot" w:pos="9071"/>
            </w:tabs>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"_Toc22379"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szCs w:val="24"/>
              <w:highlight w:val="none"/>
            </w:rPr>
            <w:t>第五部分 拟签订的合同文本（以最终合同为准）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6</w:t>
          </w:r>
        </w:p>
        <w:p w14:paraId="005C4803">
          <w:pPr>
            <w:pStyle w:val="45"/>
            <w:tabs>
              <w:tab w:val="right" w:leader="dot" w:pos="9071"/>
            </w:tabs>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"_Toc23083"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szCs w:val="24"/>
              <w:highlight w:val="none"/>
            </w:rPr>
            <w:t>第六部分 应提交的有关格式范例</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40</w:t>
          </w:r>
        </w:p>
        <w:p w14:paraId="7F727CBE">
          <w:pPr>
            <w:pStyle w:val="45"/>
            <w:tabs>
              <w:tab w:val="right" w:leader="dot" w:pos="9071"/>
            </w:tabs>
            <w:spacing w:line="360" w:lineRule="auto"/>
            <w:rPr>
              <w:rFonts w:hint="eastAsia" w:ascii="仿宋" w:hAnsi="仿宋" w:eastAsia="仿宋" w:cs="仿宋"/>
              <w:color w:val="auto"/>
              <w:highlight w:val="none"/>
            </w:rPr>
          </w:pPr>
        </w:p>
        <w:p w14:paraId="2634011E">
          <w:pPr>
            <w:pStyle w:val="45"/>
            <w:tabs>
              <w:tab w:val="right" w:leader="dot" w:pos="9071"/>
            </w:tabs>
            <w:spacing w:line="480" w:lineRule="auto"/>
            <w:rPr>
              <w:rFonts w:hint="eastAsia" w:ascii="仿宋" w:hAnsi="仿宋" w:eastAsia="仿宋" w:cs="仿宋"/>
              <w:color w:val="auto"/>
              <w:sz w:val="32"/>
              <w:szCs w:val="32"/>
              <w:highlight w:val="none"/>
            </w:rPr>
          </w:pPr>
          <w:r>
            <w:rPr>
              <w:rFonts w:hint="eastAsia" w:ascii="仿宋" w:hAnsi="仿宋" w:eastAsia="仿宋" w:cs="仿宋"/>
              <w:color w:val="auto"/>
              <w:sz w:val="24"/>
              <w:highlight w:val="none"/>
            </w:rPr>
            <w:fldChar w:fldCharType="end"/>
          </w:r>
        </w:p>
      </w:sdtContent>
    </w:sdt>
    <w:p w14:paraId="3A785A4B">
      <w:pPr>
        <w:spacing w:line="360" w:lineRule="auto"/>
        <w:ind w:firstLine="549" w:firstLineChars="229"/>
        <w:rPr>
          <w:rFonts w:hint="eastAsia" w:ascii="仿宋" w:hAnsi="仿宋" w:eastAsia="仿宋" w:cs="仿宋"/>
          <w:color w:val="auto"/>
          <w:sz w:val="24"/>
          <w:highlight w:val="none"/>
        </w:rPr>
      </w:pPr>
      <w:bookmarkStart w:id="2" w:name="_Hlt91233176"/>
      <w:bookmarkEnd w:id="2"/>
      <w:bookmarkStart w:id="3" w:name="_Toc91899869"/>
    </w:p>
    <w:p w14:paraId="6D8F6377">
      <w:pPr>
        <w:spacing w:line="360" w:lineRule="auto"/>
        <w:ind w:firstLine="549" w:firstLineChars="229"/>
        <w:rPr>
          <w:rFonts w:hint="eastAsia" w:ascii="仿宋" w:hAnsi="仿宋" w:eastAsia="仿宋" w:cs="仿宋"/>
          <w:color w:val="auto"/>
          <w:sz w:val="24"/>
          <w:highlight w:val="none"/>
        </w:rPr>
      </w:pPr>
    </w:p>
    <w:p w14:paraId="4FF4914C">
      <w:pPr>
        <w:spacing w:line="360" w:lineRule="auto"/>
        <w:ind w:firstLine="549" w:firstLineChars="229"/>
        <w:rPr>
          <w:rFonts w:hint="eastAsia" w:ascii="仿宋" w:hAnsi="仿宋" w:eastAsia="仿宋" w:cs="仿宋"/>
          <w:color w:val="auto"/>
          <w:sz w:val="24"/>
          <w:highlight w:val="none"/>
        </w:rPr>
      </w:pPr>
    </w:p>
    <w:p w14:paraId="1FB7EAD6">
      <w:pPr>
        <w:spacing w:line="360" w:lineRule="auto"/>
        <w:ind w:firstLine="549" w:firstLineChars="229"/>
        <w:rPr>
          <w:rFonts w:hint="eastAsia" w:ascii="仿宋" w:hAnsi="仿宋" w:eastAsia="仿宋" w:cs="仿宋"/>
          <w:color w:val="auto"/>
          <w:sz w:val="24"/>
          <w:highlight w:val="none"/>
        </w:rPr>
      </w:pPr>
    </w:p>
    <w:p w14:paraId="77C2595B">
      <w:pPr>
        <w:spacing w:line="360" w:lineRule="auto"/>
        <w:ind w:firstLine="549" w:firstLineChars="229"/>
        <w:rPr>
          <w:rFonts w:hint="eastAsia" w:ascii="仿宋" w:hAnsi="仿宋" w:eastAsia="仿宋" w:cs="仿宋"/>
          <w:color w:val="auto"/>
          <w:sz w:val="24"/>
          <w:highlight w:val="none"/>
        </w:rPr>
      </w:pPr>
    </w:p>
    <w:p w14:paraId="7E4F55A0">
      <w:pPr>
        <w:spacing w:line="360" w:lineRule="auto"/>
        <w:rPr>
          <w:rFonts w:hint="eastAsia" w:ascii="仿宋" w:hAnsi="仿宋" w:eastAsia="仿宋" w:cs="仿宋"/>
          <w:color w:val="auto"/>
          <w:sz w:val="24"/>
          <w:highlight w:val="none"/>
        </w:rPr>
      </w:pPr>
    </w:p>
    <w:bookmarkEnd w:id="3"/>
    <w:p w14:paraId="3812CB07">
      <w:pPr>
        <w:adjustRightInd/>
        <w:jc w:val="left"/>
        <w:rPr>
          <w:rFonts w:hint="eastAsia" w:ascii="仿宋" w:hAnsi="仿宋" w:eastAsia="仿宋" w:cs="仿宋"/>
          <w:b/>
          <w:color w:val="auto"/>
          <w:sz w:val="36"/>
          <w:szCs w:val="20"/>
          <w:highlight w:val="none"/>
        </w:rPr>
      </w:pPr>
      <w:bookmarkStart w:id="4" w:name="_Toc32566"/>
      <w:bookmarkStart w:id="5" w:name="_Toc22549"/>
      <w:bookmarkStart w:id="6" w:name="_Toc20619"/>
      <w:bookmarkStart w:id="7" w:name="_Toc27403"/>
      <w:bookmarkStart w:id="8" w:name="第二部分"/>
      <w:bookmarkStart w:id="9" w:name="_Toc91899870"/>
      <w:bookmarkStart w:id="10" w:name="_Toc91899871"/>
      <w:r>
        <w:rPr>
          <w:rFonts w:hint="eastAsia" w:ascii="仿宋" w:hAnsi="仿宋" w:eastAsia="仿宋" w:cs="仿宋"/>
          <w:b/>
          <w:color w:val="auto"/>
          <w:sz w:val="36"/>
          <w:szCs w:val="20"/>
          <w:highlight w:val="none"/>
        </w:rPr>
        <w:br w:type="page"/>
      </w:r>
    </w:p>
    <w:p w14:paraId="552BA9B6">
      <w:pPr>
        <w:adjustRightInd/>
        <w:spacing w:line="360" w:lineRule="auto"/>
        <w:jc w:val="center"/>
        <w:outlineLvl w:val="0"/>
        <w:rPr>
          <w:rFonts w:hint="eastAsia" w:ascii="仿宋" w:hAnsi="仿宋" w:eastAsia="仿宋" w:cs="仿宋"/>
          <w:b/>
          <w:color w:val="auto"/>
          <w:sz w:val="36"/>
          <w:szCs w:val="20"/>
          <w:highlight w:val="none"/>
          <w:lang w:eastAsia="zh-CN"/>
        </w:rPr>
      </w:pPr>
      <w:r>
        <w:rPr>
          <w:rFonts w:hint="eastAsia" w:ascii="仿宋" w:hAnsi="仿宋" w:eastAsia="仿宋" w:cs="仿宋"/>
          <w:b/>
          <w:color w:val="auto"/>
          <w:sz w:val="36"/>
          <w:szCs w:val="20"/>
          <w:highlight w:val="none"/>
        </w:rPr>
        <w:t xml:space="preserve">第一部分 </w:t>
      </w:r>
      <w:bookmarkEnd w:id="4"/>
      <w:bookmarkEnd w:id="5"/>
      <w:r>
        <w:rPr>
          <w:rFonts w:hint="eastAsia" w:ascii="仿宋" w:hAnsi="仿宋" w:eastAsia="仿宋" w:cs="仿宋"/>
          <w:b/>
          <w:color w:val="auto"/>
          <w:sz w:val="36"/>
          <w:szCs w:val="20"/>
          <w:highlight w:val="none"/>
        </w:rPr>
        <w:t>交易公告</w:t>
      </w:r>
      <w:bookmarkEnd w:id="6"/>
      <w:bookmarkEnd w:id="7"/>
    </w:p>
    <w:p w14:paraId="57FD29BF">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9D8B48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t>萧山区中医院中心机房设备维保项目</w:t>
      </w:r>
      <w:r>
        <w:rPr>
          <w:rFonts w:hint="eastAsia" w:ascii="仿宋" w:hAnsi="仿宋" w:eastAsia="仿宋" w:cs="仿宋"/>
          <w:color w:val="auto"/>
          <w:sz w:val="24"/>
          <w:highlight w:val="none"/>
        </w:rPr>
        <w:t>的潜在</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应在</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获取（下载）</w:t>
      </w:r>
      <w:r>
        <w:rPr>
          <w:rStyle w:val="77"/>
          <w:rFonts w:hint="eastAsia" w:ascii="仿宋" w:hAnsi="仿宋" w:eastAsia="仿宋" w:cs="仿宋"/>
          <w:snapToGrid/>
          <w:color w:val="auto"/>
          <w:kern w:val="2"/>
          <w:sz w:val="24"/>
          <w:szCs w:val="24"/>
          <w:highlight w:val="none"/>
          <w:lang w:eastAsia="zh-CN"/>
        </w:rPr>
        <w:t>交易文件</w:t>
      </w:r>
      <w:r>
        <w:rPr>
          <w:rStyle w:val="77"/>
          <w:rFonts w:hint="eastAsia" w:ascii="仿宋" w:hAnsi="仿宋" w:eastAsia="仿宋" w:cs="仿宋"/>
          <w:snapToGrid/>
          <w:color w:val="auto"/>
          <w:kern w:val="2"/>
          <w:sz w:val="24"/>
          <w:szCs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p>
    <w:p w14:paraId="6D6C006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A6B76C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HXXS2024-GK-XCY139</w:t>
      </w:r>
      <w:r>
        <w:rPr>
          <w:rFonts w:hint="eastAsia" w:ascii="仿宋" w:hAnsi="仿宋" w:eastAsia="仿宋" w:cs="仿宋"/>
          <w:color w:val="auto"/>
          <w:sz w:val="24"/>
          <w:highlight w:val="none"/>
        </w:rPr>
        <w:tab/>
      </w:r>
    </w:p>
    <w:p w14:paraId="1A9C63C8">
      <w:pP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萧山区中医院中心机房设备维保项目</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w:t>
      </w:r>
    </w:p>
    <w:p w14:paraId="45A7CDC4">
      <w:pPr>
        <w:spacing w:line="360" w:lineRule="auto"/>
        <w:ind w:firstLine="480"/>
        <w:rPr>
          <w:rFonts w:hint="default" w:ascii="仿宋" w:hAnsi="仿宋" w:eastAsia="仿宋" w:cs="仿宋"/>
          <w:bCs/>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160000.00</w:t>
      </w:r>
    </w:p>
    <w:p w14:paraId="11AA1881">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160000.00</w:t>
      </w:r>
    </w:p>
    <w:p w14:paraId="0DDB663C">
      <w:pPr>
        <w:pStyle w:val="18"/>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eastAsia="zh-CN"/>
        </w:rPr>
        <w:t>萧山区中医院中心机房设备维保项目，</w:t>
      </w:r>
      <w:r>
        <w:rPr>
          <w:rFonts w:hint="eastAsia" w:ascii="仿宋" w:hAnsi="仿宋" w:eastAsia="仿宋" w:cs="仿宋"/>
          <w:bCs/>
          <w:color w:val="auto"/>
          <w:sz w:val="24"/>
          <w:highlight w:val="none"/>
        </w:rPr>
        <w:t>详见第三部分采购需求。</w:t>
      </w:r>
    </w:p>
    <w:p w14:paraId="328E18E0">
      <w:pPr>
        <w:pStyle w:val="18"/>
        <w:spacing w:line="360" w:lineRule="auto"/>
        <w:ind w:firstLine="480"/>
        <w:rPr>
          <w:rFonts w:hint="eastAsia" w:ascii="仿宋" w:hAnsi="仿宋" w:eastAsia="仿宋" w:cs="仿宋"/>
          <w:bCs/>
          <w:color w:val="auto"/>
          <w:sz w:val="24"/>
          <w:highlight w:val="none"/>
        </w:rPr>
      </w:pPr>
      <w:bookmarkStart w:id="11" w:name="_Toc32443"/>
      <w:r>
        <w:rPr>
          <w:rFonts w:hint="eastAsia" w:ascii="仿宋" w:hAnsi="仿宋" w:eastAsia="仿宋" w:cs="仿宋"/>
          <w:b/>
          <w:color w:val="auto"/>
          <w:sz w:val="24"/>
          <w:highlight w:val="none"/>
        </w:rPr>
        <w:t>合同履约期限：</w:t>
      </w:r>
      <w:bookmarkEnd w:id="11"/>
      <w:r>
        <w:rPr>
          <w:rFonts w:hint="eastAsia" w:ascii="仿宋" w:hAnsi="仿宋" w:eastAsia="仿宋" w:cs="仿宋"/>
          <w:bCs/>
          <w:color w:val="auto"/>
          <w:sz w:val="24"/>
          <w:highlight w:val="none"/>
        </w:rPr>
        <w:t>详见第三部分采购需求。</w:t>
      </w:r>
    </w:p>
    <w:p w14:paraId="09B7B610">
      <w:pPr>
        <w:pStyle w:val="18"/>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本项目接受联合体交易：</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是</w:t>
      </w:r>
      <w:r>
        <w:rPr>
          <w:rFonts w:hint="eastAsia" w:ascii="仿宋" w:hAnsi="仿宋" w:eastAsia="仿宋" w:cs="仿宋"/>
          <w:b w:val="0"/>
          <w:bCs/>
          <w:snapToGrid/>
          <w:color w:val="auto"/>
          <w:kern w:val="2"/>
          <w:sz w:val="24"/>
          <w:highlight w:val="none"/>
        </w:rPr>
        <w:t>；</w:t>
      </w:r>
      <w:r>
        <w:rPr>
          <w:rFonts w:hint="eastAsia" w:ascii="仿宋" w:hAnsi="仿宋" w:eastAsia="仿宋" w:cs="仿宋"/>
          <w:b w:val="0"/>
          <w:bCs/>
          <w:snapToGrid/>
          <w:color w:val="auto"/>
          <w:kern w:val="2"/>
          <w:sz w:val="24"/>
          <w:highlight w:val="none"/>
          <w:lang w:eastAsia="zh-CN"/>
        </w:rPr>
        <w:t>（</w:t>
      </w:r>
      <w:r>
        <w:rPr>
          <w:bCs/>
        </w:rPr>
        <w:t>√</w:t>
      </w:r>
      <w:r>
        <w:rPr>
          <w:rFonts w:hint="eastAsia" w:ascii="仿宋" w:hAnsi="仿宋" w:eastAsia="仿宋" w:cs="仿宋"/>
          <w:b w:val="0"/>
          <w:bCs/>
          <w:snapToGrid/>
          <w:color w:val="auto"/>
          <w:kern w:val="2"/>
          <w:sz w:val="24"/>
          <w:highlight w:val="none"/>
          <w:lang w:eastAsia="zh-CN"/>
        </w:rPr>
        <w:t>）</w:t>
      </w:r>
      <w:r>
        <w:rPr>
          <w:rFonts w:hint="eastAsia" w:ascii="仿宋" w:hAnsi="仿宋" w:eastAsia="仿宋" w:cs="仿宋"/>
          <w:b w:val="0"/>
          <w:bCs/>
          <w:color w:val="auto"/>
          <w:sz w:val="24"/>
          <w:highlight w:val="none"/>
        </w:rPr>
        <w:t>否</w:t>
      </w:r>
      <w:r>
        <w:rPr>
          <w:rFonts w:hint="eastAsia" w:ascii="仿宋" w:hAnsi="仿宋" w:eastAsia="仿宋" w:cs="仿宋"/>
          <w:bCs/>
          <w:color w:val="auto"/>
          <w:kern w:val="0"/>
          <w:sz w:val="24"/>
          <w:highlight w:val="none"/>
        </w:rPr>
        <w:t>。</w:t>
      </w:r>
    </w:p>
    <w:p w14:paraId="44DC370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2" w:name="_Hlk101132948"/>
      <w:r>
        <w:rPr>
          <w:rFonts w:hint="eastAsia" w:ascii="仿宋" w:hAnsi="仿宋" w:eastAsia="仿宋" w:cs="仿宋"/>
          <w:b/>
          <w:color w:val="auto"/>
          <w:sz w:val="24"/>
          <w:highlight w:val="none"/>
        </w:rPr>
        <w:t>申请人的资格要求</w:t>
      </w:r>
      <w:bookmarkEnd w:id="12"/>
      <w:r>
        <w:rPr>
          <w:rFonts w:hint="eastAsia" w:ascii="仿宋" w:hAnsi="仿宋" w:eastAsia="仿宋" w:cs="仿宋"/>
          <w:b/>
          <w:color w:val="auto"/>
          <w:sz w:val="24"/>
          <w:highlight w:val="none"/>
        </w:rPr>
        <w:t>：</w:t>
      </w:r>
    </w:p>
    <w:p w14:paraId="44AFEAC3">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6B00185">
      <w:pPr>
        <w:spacing w:line="360" w:lineRule="auto"/>
        <w:rPr>
          <w:rFonts w:hint="eastAsia" w:ascii="仿宋" w:hAnsi="仿宋" w:eastAsia="仿宋" w:cs="仿宋"/>
          <w:color w:val="auto"/>
          <w:sz w:val="24"/>
          <w:highlight w:val="none"/>
          <w:lang w:eastAsia="zh-CN"/>
        </w:rPr>
      </w:pPr>
      <w:r>
        <w:rPr>
          <w:rFonts w:hint="eastAsia" w:ascii="仿宋" w:hAnsi="仿宋" w:eastAsia="仿宋" w:cs="仿宋"/>
          <w:snapToGrid w:val="0"/>
          <w:color w:val="auto"/>
          <w:kern w:val="28"/>
          <w:sz w:val="24"/>
          <w:szCs w:val="20"/>
          <w:highlight w:val="none"/>
        </w:rPr>
        <w:t xml:space="preserve">    2.落实政府采购政策需满足的资格要求：</w:t>
      </w:r>
      <w:r>
        <w:rPr>
          <w:rFonts w:hint="eastAsia" w:ascii="仿宋" w:hAnsi="仿宋" w:eastAsia="仿宋" w:cs="仿宋"/>
          <w:color w:val="000000" w:themeColor="text1"/>
          <w:sz w:val="24"/>
          <w:highlight w:val="none"/>
          <w:lang w:val="en-US" w:eastAsia="zh-CN"/>
          <w14:textFill>
            <w14:solidFill>
              <w14:schemeClr w14:val="tx1"/>
            </w14:solidFill>
          </w14:textFill>
        </w:rPr>
        <w:t>无；</w:t>
      </w:r>
    </w:p>
    <w:p w14:paraId="7946278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w:t>
      </w:r>
      <w:r>
        <w:rPr>
          <w:rFonts w:hint="eastAsia" w:ascii="仿宋" w:hAnsi="仿宋" w:eastAsia="仿宋" w:cs="仿宋"/>
          <w:color w:val="000000" w:themeColor="text1"/>
          <w:sz w:val="24"/>
          <w:highlight w:val="none"/>
          <w:lang w:val="en-US" w:eastAsia="zh-CN"/>
          <w14:textFill>
            <w14:solidFill>
              <w14:schemeClr w14:val="tx1"/>
            </w14:solidFill>
          </w14:textFill>
        </w:rPr>
        <w:t>无；</w:t>
      </w:r>
    </w:p>
    <w:p w14:paraId="40936CA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0388A25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三、获取交易文件 </w:t>
      </w:r>
    </w:p>
    <w:p w14:paraId="608796E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bCs/>
          <w:color w:val="auto"/>
          <w:sz w:val="24"/>
          <w:highlight w:val="none"/>
        </w:rPr>
        <w:t>/至</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日，每天上午09:00至12:00 ，下午13:00至17:30。</w:t>
      </w:r>
    </w:p>
    <w:p w14:paraId="0E2FA89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sz w:val="24"/>
          <w:highlight w:val="none"/>
        </w:rPr>
        <w:t>。</w:t>
      </w:r>
    </w:p>
    <w:p w14:paraId="3D95C9A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color w:val="auto"/>
          <w:sz w:val="24"/>
          <w:highlight w:val="none"/>
          <w:lang w:eastAsia="zh-CN"/>
        </w:rPr>
        <w:t>乐采云平台（https://middle.lecaiyun.com/）</w:t>
      </w:r>
      <w:r>
        <w:rPr>
          <w:rFonts w:hint="eastAsia" w:ascii="仿宋" w:hAnsi="仿宋" w:eastAsia="仿宋" w:cs="仿宋"/>
          <w:color w:val="auto"/>
          <w:sz w:val="24"/>
          <w:highlight w:val="none"/>
        </w:rPr>
        <w:t>在线申请获取交易文件（进入“项目采购”应用，在获取交易文件菜单中选择项目，申请获取交易文件）。</w:t>
      </w:r>
    </w:p>
    <w:p w14:paraId="55F49FE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bCs/>
          <w:color w:val="auto"/>
          <w:sz w:val="24"/>
          <w:highlight w:val="none"/>
        </w:rPr>
        <w:t>0</w:t>
      </w:r>
      <w:r>
        <w:rPr>
          <w:rFonts w:hint="eastAsia" w:ascii="仿宋" w:hAnsi="仿宋" w:eastAsia="仿宋" w:cs="仿宋"/>
          <w:color w:val="auto"/>
          <w:sz w:val="24"/>
          <w:highlight w:val="none"/>
        </w:rPr>
        <w:t xml:space="preserve">元 </w:t>
      </w:r>
      <w:r>
        <w:rPr>
          <w:rFonts w:hint="eastAsia" w:ascii="仿宋" w:hAnsi="仿宋" w:eastAsia="仿宋" w:cs="仿宋"/>
          <w:color w:val="auto"/>
          <w:sz w:val="24"/>
          <w:highlight w:val="none"/>
        </w:rPr>
        <w:tab/>
      </w:r>
    </w:p>
    <w:p w14:paraId="75864D3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四、提交响应文件截止时间、</w:t>
      </w:r>
      <w:r>
        <w:rPr>
          <w:rFonts w:hint="eastAsia" w:ascii="仿宋" w:hAnsi="仿宋" w:eastAsia="仿宋" w:cs="仿宋"/>
          <w:b/>
          <w:color w:val="auto"/>
          <w:sz w:val="24"/>
          <w:highlight w:val="none"/>
          <w:lang w:eastAsia="zh-CN"/>
        </w:rPr>
        <w:t>开标</w:t>
      </w:r>
      <w:r>
        <w:rPr>
          <w:rFonts w:hint="eastAsia" w:ascii="仿宋" w:hAnsi="仿宋" w:eastAsia="仿宋" w:cs="仿宋"/>
          <w:b/>
          <w:color w:val="auto"/>
          <w:sz w:val="24"/>
          <w:highlight w:val="none"/>
        </w:rPr>
        <w:t>地点和地点</w:t>
      </w:r>
    </w:p>
    <w:p w14:paraId="2761FAF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提交响应文件截止时间：</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点</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0分00秒（北京时间）</w:t>
      </w:r>
    </w:p>
    <w:p w14:paraId="6553D096">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交易地点（网址）：</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sz w:val="24"/>
          <w:highlight w:val="none"/>
        </w:rPr>
        <w:t xml:space="preserve"> </w:t>
      </w:r>
    </w:p>
    <w:p w14:paraId="12CF7F2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eastAsia="zh-CN"/>
        </w:rPr>
        <w:t>开标</w:t>
      </w: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点</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0分00秒</w:t>
      </w:r>
    </w:p>
    <w:p w14:paraId="5C370252">
      <w:pPr>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lang w:eastAsia="zh-CN"/>
        </w:rPr>
        <w:t>开标</w:t>
      </w: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p>
    <w:p w14:paraId="6E5D44BB">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FC753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自本公告发布之日起5日。</w:t>
      </w:r>
    </w:p>
    <w:p w14:paraId="495B798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391A34F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1.供应商认为</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使自己的权益受到损害的，可以自获取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之日或者</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公告期限届满之日（公告期限届满后获取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的，以公告期限届满之日为准）起7个工作日内，以书面形式向</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和采购代理机构提出质疑。质疑供应商对</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、采购代理机构的答复不满意或者</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、采购代理机构未在规定的时间内作出答复的，可以在答复期满后十五个工作日内向同级政府采购监督管理部门投诉。质疑函范本、投诉书范本请到浙江政府采购网下载专区下载。</w:t>
      </w:r>
    </w:p>
    <w:p w14:paraId="4EC20A2B">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2.其他事项：（1）电子招投标的说明：①电子招投标：本项目以数据电文形式，依托“</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sz w:val="24"/>
          <w:highlight w:val="none"/>
        </w:rPr>
        <w:t>”进行</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活动，不接受纸质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；②</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的获取：使用账号登录或者使用CA登录政采云平台；进入“项目采购”应用，在获取采购文件菜单中选择项目，获取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；④</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的制作：在“政采云电子交易客户端”中完成“填写基本信息”、“导入</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”、“标书关联”、“标书检查”、“电子签名”、“生成电子标书”等操作；⑤</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将依托政采云平台完成本项目的电子交易活动，平台不接受未按上述方式获取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的供应商进行投标活动； ⑥对未按上述方式获取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的供应商对该文件提出的质疑，</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或采购代理机构将不予处理；⑦不提供</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纸质版；⑧</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的传输递交：</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在投标截止时间前将加密的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上传至政府采购云平台，还可以在投标截止时间前直接提交或者以邮政快递方式递交备份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1份。备份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的制作、存储、密封详见</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第二部分第15点—“备份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的解密：</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的规定在半小时内完成在线解密。通过“政府采购云平台”上传递交的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无法按时解密，投标供应商递交了备份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的，以备份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为依据，否则视为</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撤回。通过“政府采购云平台”上传递交的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已按时解密的，备份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自动失效。</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仅提交备份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，未在电子交易平台传输递交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的，投标无效；⑩具体操作指南：详见政采云平台“服务中心-帮助文档-项目采购-操作流程-电子招投标-政府采购项目电子交易管理操作指南-供应商”</w:t>
      </w:r>
      <w:r>
        <w:rPr>
          <w:rFonts w:hint="eastAsia" w:ascii="仿宋" w:hAnsi="仿宋" w:eastAsia="仿宋" w:cs="仿宋"/>
          <w:color w:val="auto"/>
          <w:sz w:val="24"/>
          <w:highlight w:val="none"/>
          <w:lang w:eastAsia="zh-CN"/>
        </w:rPr>
        <w:t>。</w:t>
      </w:r>
    </w:p>
    <w:p w14:paraId="325F3B2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407F73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1.交易人信息</w:t>
      </w:r>
    </w:p>
    <w:p w14:paraId="14E038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名称：</w:t>
      </w:r>
      <w:r>
        <w:rPr>
          <w:rFonts w:hint="eastAsia" w:ascii="仿宋" w:hAnsi="仿宋" w:eastAsia="仿宋" w:cs="仿宋"/>
          <w:color w:val="auto"/>
          <w:sz w:val="24"/>
          <w:highlight w:val="none"/>
          <w:lang w:eastAsia="zh-CN"/>
        </w:rPr>
        <w:t>杭州市萧山区中医院医共体总院</w:t>
      </w:r>
      <w:r>
        <w:rPr>
          <w:rFonts w:hint="eastAsia" w:ascii="仿宋" w:hAnsi="仿宋" w:eastAsia="仿宋" w:cs="仿宋"/>
          <w:color w:val="auto"/>
          <w:sz w:val="24"/>
          <w:highlight w:val="none"/>
        </w:rPr>
        <w:t xml:space="preserve"> </w:t>
      </w:r>
    </w:p>
    <w:p w14:paraId="29E0BD2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地址：浙江省杭州市萧山区育才路156号       </w:t>
      </w:r>
    </w:p>
    <w:p w14:paraId="16EE240F">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项目联系人（询问）：徐亦生</w:t>
      </w:r>
    </w:p>
    <w:p w14:paraId="1840BE82">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项目联系方式（询问）：0571-83812050</w:t>
      </w:r>
    </w:p>
    <w:p w14:paraId="6BA39F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74334CB5">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名称：浙江华夏工程管理有限公司</w:t>
      </w:r>
    </w:p>
    <w:p w14:paraId="755FD3AB">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地址：杭州市萧山区北干街道金城路540号心意广场3幢1802室</w:t>
      </w:r>
    </w:p>
    <w:p w14:paraId="6C080939">
      <w:pPr>
        <w:spacing w:line="360" w:lineRule="auto"/>
        <w:ind w:firstLine="480" w:firstLineChars="200"/>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eastAsia" w:ascii="仿宋" w:hAnsi="仿宋" w:eastAsia="仿宋" w:cs="仿宋"/>
          <w:color w:val="000000" w:themeColor="text1"/>
          <w:sz w:val="24"/>
          <w:highlight w:val="none"/>
          <w:lang w:val="en-US" w:eastAsia="zh-CN"/>
          <w14:textFill>
            <w14:solidFill>
              <w14:schemeClr w14:val="tx1"/>
            </w14:solidFill>
          </w14:textFill>
        </w:rPr>
        <w:t>徐海炳</w:t>
      </w:r>
    </w:p>
    <w:p w14:paraId="3ADA0E4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项目联系方式（询问）：</w:t>
      </w:r>
      <w:r>
        <w:rPr>
          <w:rFonts w:hint="eastAsia" w:ascii="仿宋" w:hAnsi="仿宋" w:eastAsia="仿宋" w:cs="仿宋"/>
          <w:color w:val="000000" w:themeColor="text1"/>
          <w:sz w:val="24"/>
          <w:highlight w:val="none"/>
          <w:lang w:val="en-US" w:eastAsia="zh-CN"/>
          <w14:textFill>
            <w14:solidFill>
              <w14:schemeClr w14:val="tx1"/>
            </w14:solidFill>
          </w14:textFill>
        </w:rPr>
        <w:t>17348879275</w:t>
      </w:r>
      <w:r>
        <w:rPr>
          <w:rFonts w:hint="eastAsia" w:ascii="仿宋" w:hAnsi="仿宋" w:eastAsia="仿宋" w:cs="仿宋"/>
          <w:color w:val="000000" w:themeColor="text1"/>
          <w:sz w:val="24"/>
          <w:highlight w:val="none"/>
          <w14:textFill>
            <w14:solidFill>
              <w14:schemeClr w14:val="tx1"/>
            </w14:solidFill>
          </w14:textFill>
        </w:rPr>
        <w:t xml:space="preserve">    </w:t>
      </w:r>
    </w:p>
    <w:p w14:paraId="302E62EA">
      <w:pPr>
        <w:spacing w:line="360" w:lineRule="auto"/>
        <w:ind w:firstLine="480" w:firstLineChars="200"/>
        <w:rPr>
          <w:rFonts w:hint="default" w:ascii="仿宋" w:hAnsi="仿宋" w:eastAsia="仿宋" w:cs="仿宋"/>
          <w:color w:val="000000" w:themeColor="text1"/>
          <w:sz w:val="24"/>
          <w:highlight w:val="none"/>
          <w:lang w:val="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w:t>
      </w:r>
      <w:r>
        <w:rPr>
          <w:rFonts w:hint="eastAsia" w:ascii="仿宋" w:hAnsi="仿宋" w:eastAsia="仿宋" w:cs="仿宋"/>
          <w:color w:val="000000" w:themeColor="text1"/>
          <w:sz w:val="24"/>
          <w:szCs w:val="28"/>
          <w:highlight w:val="none"/>
          <w:lang w:val="en-US" w:eastAsia="zh-CN"/>
          <w14:textFill>
            <w14:solidFill>
              <w14:schemeClr w14:val="tx1"/>
            </w14:solidFill>
          </w14:textFill>
        </w:rPr>
        <w:t>李桂飞</w:t>
      </w:r>
    </w:p>
    <w:p w14:paraId="7318BB2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w:t>
      </w:r>
      <w:r>
        <w:rPr>
          <w:rFonts w:hint="eastAsia" w:ascii="仿宋" w:hAnsi="仿宋" w:eastAsia="仿宋" w:cs="仿宋"/>
          <w:bCs/>
          <w:snapToGrid w:val="0"/>
          <w:color w:val="000000" w:themeColor="text1"/>
          <w:kern w:val="28"/>
          <w:sz w:val="24"/>
          <w:highlight w:val="none"/>
          <w:lang w:val="en-US" w:eastAsia="zh-CN"/>
          <w14:textFill>
            <w14:solidFill>
              <w14:schemeClr w14:val="tx1"/>
            </w14:solidFill>
          </w14:textFill>
        </w:rPr>
        <w:t>15067184344</w:t>
      </w:r>
    </w:p>
    <w:p w14:paraId="12B24291">
      <w:pPr>
        <w:spacing w:line="360" w:lineRule="auto"/>
        <w:ind w:firstLine="0"/>
        <w:rPr>
          <w:rFonts w:hint="eastAsia" w:ascii="仿宋" w:hAnsi="仿宋" w:eastAsia="仿宋" w:cs="仿宋"/>
          <w:color w:val="auto"/>
          <w:sz w:val="24"/>
          <w:highlight w:val="none"/>
          <w:lang w:eastAsia="zh-CN"/>
        </w:rPr>
      </w:pPr>
    </w:p>
    <w:p w14:paraId="48658A07">
      <w:pPr>
        <w:spacing w:line="360" w:lineRule="auto"/>
        <w:ind w:firstLine="480" w:firstLineChars="200"/>
        <w:rPr>
          <w:rFonts w:hint="eastAsia" w:ascii="仿宋" w:hAnsi="仿宋" w:eastAsia="仿宋" w:cs="仿宋"/>
          <w:color w:val="auto"/>
          <w:sz w:val="24"/>
          <w:highlight w:val="none"/>
        </w:rPr>
      </w:pPr>
    </w:p>
    <w:p w14:paraId="2479E4D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w:t>
      </w:r>
      <w:r>
        <w:rPr>
          <w:rFonts w:hint="eastAsia" w:ascii="仿宋" w:hAnsi="仿宋" w:eastAsia="仿宋" w:cs="仿宋"/>
          <w:color w:val="auto"/>
          <w:sz w:val="24"/>
          <w:highlight w:val="none"/>
          <w:lang w:eastAsia="zh-CN"/>
        </w:rPr>
        <w:t>乐采云(萧采云)平台（https://www.zcygov.cn/）</w:t>
      </w:r>
      <w:r>
        <w:rPr>
          <w:rFonts w:hint="eastAsia" w:ascii="仿宋" w:hAnsi="仿宋" w:eastAsia="仿宋" w:cs="仿宋"/>
          <w:color w:val="auto"/>
          <w:sz w:val="24"/>
          <w:highlight w:val="none"/>
        </w:rPr>
        <w:t>，点击右侧咨询小采，获取采小蜜智能服务管家帮助，或拨打</w:t>
      </w:r>
      <w:r>
        <w:rPr>
          <w:rFonts w:hint="eastAsia" w:ascii="仿宋" w:hAnsi="仿宋" w:eastAsia="仿宋" w:cs="仿宋"/>
          <w:color w:val="auto"/>
          <w:sz w:val="24"/>
          <w:highlight w:val="none"/>
          <w:lang w:eastAsia="zh-CN"/>
        </w:rPr>
        <w:t>乐</w:t>
      </w:r>
      <w:r>
        <w:rPr>
          <w:rFonts w:hint="eastAsia" w:ascii="仿宋" w:hAnsi="仿宋" w:eastAsia="仿宋" w:cs="仿宋"/>
          <w:color w:val="auto"/>
          <w:sz w:val="24"/>
          <w:highlight w:val="none"/>
        </w:rPr>
        <w:t>采云服务热线95763获取热线服务帮助。</w:t>
      </w:r>
    </w:p>
    <w:p w14:paraId="6B64393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0495AE4D">
      <w:pPr>
        <w:pStyle w:val="35"/>
        <w:spacing w:line="360" w:lineRule="auto"/>
        <w:rPr>
          <w:rFonts w:hint="eastAsia" w:ascii="仿宋" w:hAnsi="仿宋" w:eastAsia="仿宋" w:cs="仿宋"/>
          <w:b/>
          <w:color w:val="auto"/>
          <w:sz w:val="36"/>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36"/>
          <w:szCs w:val="20"/>
          <w:highlight w:val="none"/>
        </w:rPr>
        <w:t xml:space="preserve"> </w:t>
      </w:r>
    </w:p>
    <w:p w14:paraId="0DC1EB4A">
      <w:pPr>
        <w:jc w:val="left"/>
        <w:outlineLvl w:val="0"/>
        <w:rPr>
          <w:rFonts w:hint="eastAsia" w:ascii="仿宋" w:hAnsi="仿宋" w:eastAsia="仿宋" w:cs="仿宋"/>
          <w:color w:val="auto"/>
          <w:sz w:val="36"/>
          <w:szCs w:val="20"/>
          <w:highlight w:val="none"/>
        </w:rPr>
      </w:pPr>
      <w:r>
        <w:rPr>
          <w:rFonts w:hint="eastAsia" w:ascii="仿宋" w:hAnsi="仿宋" w:eastAsia="仿宋" w:cs="仿宋"/>
          <w:color w:val="auto"/>
          <w:highlight w:val="none"/>
        </w:rPr>
        <w:br w:type="page"/>
      </w:r>
      <w:bookmarkStart w:id="13" w:name="_Toc19372"/>
      <w:bookmarkStart w:id="14" w:name="_Toc30990"/>
      <w:bookmarkStart w:id="15" w:name="_Toc4218"/>
      <w:r>
        <w:rPr>
          <w:rFonts w:hint="eastAsia" w:ascii="仿宋" w:hAnsi="仿宋" w:eastAsia="仿宋" w:cs="仿宋"/>
          <w:color w:val="auto"/>
          <w:highlight w:val="none"/>
        </w:rPr>
        <w:t xml:space="preserve">                        </w:t>
      </w:r>
      <w:bookmarkStart w:id="16" w:name="_Toc6666"/>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供应商须知</w:t>
      </w:r>
      <w:bookmarkEnd w:id="9"/>
      <w:bookmarkEnd w:id="13"/>
      <w:bookmarkEnd w:id="14"/>
      <w:bookmarkEnd w:id="15"/>
      <w:bookmarkEnd w:id="16"/>
    </w:p>
    <w:p w14:paraId="2FC0466C">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7" w:name="_Toc5471"/>
      <w:bookmarkStart w:id="18" w:name="_Toc19912"/>
      <w:bookmarkStart w:id="19" w:name="_Toc10610"/>
      <w:bookmarkStart w:id="20" w:name="_Toc1288"/>
      <w:r>
        <w:rPr>
          <w:rFonts w:hint="eastAsia" w:ascii="仿宋" w:hAnsi="仿宋" w:eastAsia="仿宋" w:cs="仿宋"/>
          <w:b/>
          <w:color w:val="auto"/>
          <w:sz w:val="32"/>
          <w:szCs w:val="20"/>
          <w:highlight w:val="none"/>
        </w:rPr>
        <w:t>前附表</w:t>
      </w:r>
      <w:bookmarkEnd w:id="17"/>
      <w:bookmarkEnd w:id="18"/>
      <w:bookmarkEnd w:id="19"/>
      <w:bookmarkEnd w:id="20"/>
    </w:p>
    <w:tbl>
      <w:tblPr>
        <w:tblStyle w:val="63"/>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9"/>
        <w:gridCol w:w="1521"/>
        <w:gridCol w:w="6837"/>
      </w:tblGrid>
      <w:tr w14:paraId="3E50A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629" w:type="dxa"/>
            <w:tcBorders>
              <w:tl2br w:val="nil"/>
              <w:tr2bl w:val="nil"/>
            </w:tcBorders>
            <w:vAlign w:val="center"/>
          </w:tcPr>
          <w:p w14:paraId="203671DA">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21" w:type="dxa"/>
            <w:tcBorders>
              <w:tl2br w:val="nil"/>
              <w:tr2bl w:val="nil"/>
            </w:tcBorders>
            <w:vAlign w:val="center"/>
          </w:tcPr>
          <w:p w14:paraId="43B73994">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837" w:type="dxa"/>
            <w:tcBorders>
              <w:tl2br w:val="nil"/>
              <w:tr2bl w:val="nil"/>
            </w:tcBorders>
            <w:vAlign w:val="center"/>
          </w:tcPr>
          <w:p w14:paraId="604152AF">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85DA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3" w:hRule="atLeast"/>
        </w:trPr>
        <w:tc>
          <w:tcPr>
            <w:tcW w:w="629" w:type="dxa"/>
            <w:tcBorders>
              <w:tl2br w:val="nil"/>
              <w:tr2bl w:val="nil"/>
            </w:tcBorders>
            <w:vAlign w:val="center"/>
          </w:tcPr>
          <w:p w14:paraId="655B6381">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p>
        </w:tc>
        <w:tc>
          <w:tcPr>
            <w:tcW w:w="1521" w:type="dxa"/>
            <w:tcBorders>
              <w:tl2br w:val="nil"/>
              <w:tr2bl w:val="nil"/>
            </w:tcBorders>
            <w:vAlign w:val="center"/>
          </w:tcPr>
          <w:p w14:paraId="175DD6EF">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837" w:type="dxa"/>
            <w:tcBorders>
              <w:tl2br w:val="nil"/>
              <w:tr2bl w:val="nil"/>
            </w:tcBorders>
            <w:vAlign w:val="center"/>
          </w:tcPr>
          <w:p w14:paraId="5B120DEC">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货物类</w:t>
            </w:r>
          </w:p>
          <w:p w14:paraId="0751CA80">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t>√</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服务类</w:t>
            </w:r>
          </w:p>
        </w:tc>
      </w:tr>
      <w:tr w14:paraId="2909B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35" w:hRule="atLeast"/>
        </w:trPr>
        <w:tc>
          <w:tcPr>
            <w:tcW w:w="629" w:type="dxa"/>
            <w:tcBorders>
              <w:tl2br w:val="nil"/>
              <w:tr2bl w:val="nil"/>
            </w:tcBorders>
            <w:vAlign w:val="center"/>
          </w:tcPr>
          <w:p w14:paraId="54426280">
            <w:pPr>
              <w:snapToGrid w:val="0"/>
              <w:spacing w:line="400" w:lineRule="exact"/>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w:t>
            </w:r>
          </w:p>
        </w:tc>
        <w:tc>
          <w:tcPr>
            <w:tcW w:w="1521" w:type="dxa"/>
            <w:tcBorders>
              <w:tl2br w:val="nil"/>
              <w:tr2bl w:val="nil"/>
            </w:tcBorders>
            <w:vAlign w:val="center"/>
          </w:tcPr>
          <w:p w14:paraId="4E66043A">
            <w:pPr>
              <w:snapToGrid w:val="0"/>
              <w:spacing w:line="400" w:lineRule="exact"/>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交易方式</w:t>
            </w:r>
          </w:p>
        </w:tc>
        <w:tc>
          <w:tcPr>
            <w:tcW w:w="6837" w:type="dxa"/>
            <w:tcBorders>
              <w:tl2br w:val="nil"/>
              <w:tr2bl w:val="nil"/>
            </w:tcBorders>
            <w:vAlign w:val="center"/>
          </w:tcPr>
          <w:p w14:paraId="4DC7CBE1">
            <w:pPr>
              <w:spacing w:line="400" w:lineRule="exact"/>
              <w:rPr>
                <w:rFonts w:hint="default"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lang w:eastAsia="zh-CN"/>
              </w:rPr>
              <w:t>（</w:t>
            </w:r>
            <w:r>
              <w:t>√</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lang w:val="en-US" w:eastAsia="zh-CN"/>
              </w:rPr>
              <w:t>公开竞争</w:t>
            </w:r>
          </w:p>
        </w:tc>
      </w:tr>
      <w:tr w14:paraId="742F5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1" w:hRule="atLeast"/>
        </w:trPr>
        <w:tc>
          <w:tcPr>
            <w:tcW w:w="629" w:type="dxa"/>
            <w:tcBorders>
              <w:tl2br w:val="nil"/>
              <w:tr2bl w:val="nil"/>
            </w:tcBorders>
            <w:vAlign w:val="center"/>
          </w:tcPr>
          <w:p w14:paraId="6C7AE75E">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3</w:t>
            </w:r>
          </w:p>
        </w:tc>
        <w:tc>
          <w:tcPr>
            <w:tcW w:w="1521" w:type="dxa"/>
            <w:tcBorders>
              <w:tl2br w:val="nil"/>
              <w:tr2bl w:val="nil"/>
            </w:tcBorders>
            <w:vAlign w:val="center"/>
          </w:tcPr>
          <w:p w14:paraId="3BFAE436">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837" w:type="dxa"/>
            <w:tcBorders>
              <w:tl2br w:val="nil"/>
              <w:tr2bl w:val="nil"/>
            </w:tcBorders>
            <w:vAlign w:val="center"/>
          </w:tcPr>
          <w:p w14:paraId="0FB5AA6A">
            <w:pPr>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t>√</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本项目不允许采购进口产品。</w:t>
            </w:r>
          </w:p>
          <w:p w14:paraId="35E182F4">
            <w:pPr>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采购进口产品。</w:t>
            </w:r>
          </w:p>
        </w:tc>
      </w:tr>
      <w:tr w14:paraId="55B09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2" w:hRule="atLeast"/>
        </w:trPr>
        <w:tc>
          <w:tcPr>
            <w:tcW w:w="629" w:type="dxa"/>
            <w:tcBorders>
              <w:tl2br w:val="nil"/>
              <w:tr2bl w:val="nil"/>
            </w:tcBorders>
            <w:vAlign w:val="center"/>
          </w:tcPr>
          <w:p w14:paraId="5B1D7CF9">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4</w:t>
            </w:r>
          </w:p>
        </w:tc>
        <w:tc>
          <w:tcPr>
            <w:tcW w:w="1521" w:type="dxa"/>
            <w:tcBorders>
              <w:tl2br w:val="nil"/>
              <w:tr2bl w:val="nil"/>
            </w:tcBorders>
            <w:vAlign w:val="center"/>
          </w:tcPr>
          <w:p w14:paraId="1FCFEBFE">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837" w:type="dxa"/>
            <w:tcBorders>
              <w:tl2br w:val="nil"/>
              <w:tr2bl w:val="nil"/>
            </w:tcBorders>
            <w:vAlign w:val="center"/>
          </w:tcPr>
          <w:p w14:paraId="1755EEDC">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工作分包。</w:t>
            </w:r>
          </w:p>
          <w:p w14:paraId="4BB75901">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t>√</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3F067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30" w:hRule="atLeast"/>
        </w:trPr>
        <w:tc>
          <w:tcPr>
            <w:tcW w:w="629" w:type="dxa"/>
            <w:tcBorders>
              <w:tl2br w:val="nil"/>
              <w:tr2bl w:val="nil"/>
            </w:tcBorders>
            <w:vAlign w:val="center"/>
          </w:tcPr>
          <w:p w14:paraId="200116EA">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5</w:t>
            </w:r>
          </w:p>
        </w:tc>
        <w:tc>
          <w:tcPr>
            <w:tcW w:w="1521" w:type="dxa"/>
            <w:tcBorders>
              <w:tl2br w:val="nil"/>
              <w:tr2bl w:val="nil"/>
            </w:tcBorders>
            <w:vAlign w:val="center"/>
          </w:tcPr>
          <w:p w14:paraId="26914751">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开标</w:t>
            </w:r>
            <w:r>
              <w:rPr>
                <w:rFonts w:hint="eastAsia" w:ascii="仿宋" w:hAnsi="仿宋" w:eastAsia="仿宋" w:cs="仿宋"/>
                <w:b/>
                <w:color w:val="auto"/>
                <w:sz w:val="24"/>
                <w:highlight w:val="none"/>
              </w:rPr>
              <w:t>前答疑会或现场考察</w:t>
            </w:r>
          </w:p>
        </w:tc>
        <w:tc>
          <w:tcPr>
            <w:tcW w:w="6837" w:type="dxa"/>
            <w:tcBorders>
              <w:tl2br w:val="nil"/>
              <w:tr2bl w:val="nil"/>
            </w:tcBorders>
            <w:vAlign w:val="center"/>
          </w:tcPr>
          <w:p w14:paraId="614D90DD">
            <w:pPr>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t>√</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4583CEC">
            <w:pPr>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,地</w:t>
            </w:r>
            <w:bookmarkStart w:id="495" w:name="_GoBack"/>
            <w:bookmarkEnd w:id="495"/>
            <w:r>
              <w:rPr>
                <w:rFonts w:hint="eastAsia" w:ascii="仿宋" w:hAnsi="仿宋" w:eastAsia="仿宋" w:cs="仿宋"/>
                <w:color w:val="auto"/>
                <w:sz w:val="24"/>
                <w:highlight w:val="none"/>
              </w:rPr>
              <w:t>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tc>
      </w:tr>
      <w:tr w14:paraId="72930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629" w:type="dxa"/>
            <w:tcBorders>
              <w:tl2br w:val="nil"/>
              <w:tr2bl w:val="nil"/>
            </w:tcBorders>
            <w:vAlign w:val="center"/>
          </w:tcPr>
          <w:p w14:paraId="52409505">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6</w:t>
            </w:r>
          </w:p>
        </w:tc>
        <w:tc>
          <w:tcPr>
            <w:tcW w:w="1521" w:type="dxa"/>
            <w:tcBorders>
              <w:tl2br w:val="nil"/>
              <w:tr2bl w:val="nil"/>
            </w:tcBorders>
            <w:vAlign w:val="center"/>
          </w:tcPr>
          <w:p w14:paraId="149D8087">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837" w:type="dxa"/>
            <w:tcBorders>
              <w:tl2br w:val="nil"/>
              <w:tr2bl w:val="nil"/>
            </w:tcBorders>
            <w:vAlign w:val="center"/>
          </w:tcPr>
          <w:p w14:paraId="3468BBB7">
            <w:pPr>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t>√</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73562BEB">
            <w:pPr>
              <w:spacing w:line="400" w:lineRule="exact"/>
              <w:rPr>
                <w:rFonts w:hint="eastAsia" w:ascii="仿宋" w:hAnsi="仿宋" w:eastAsia="仿宋" w:cs="仿宋"/>
                <w:b/>
                <w:color w:val="auto"/>
                <w:sz w:val="24"/>
                <w:highlight w:val="none"/>
                <w:lang w:eastAsia="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B要求提供</w:t>
            </w:r>
            <w:r>
              <w:rPr>
                <w:rFonts w:hint="eastAsia" w:ascii="仿宋" w:hAnsi="仿宋" w:eastAsia="仿宋" w:cs="仿宋"/>
                <w:color w:val="auto"/>
                <w:kern w:val="0"/>
                <w:sz w:val="24"/>
                <w:highlight w:val="none"/>
                <w:lang w:eastAsia="zh-CN"/>
              </w:rPr>
              <w:t>。</w:t>
            </w:r>
          </w:p>
        </w:tc>
      </w:tr>
      <w:tr w14:paraId="0976C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3" w:hRule="atLeast"/>
        </w:trPr>
        <w:tc>
          <w:tcPr>
            <w:tcW w:w="629" w:type="dxa"/>
            <w:tcBorders>
              <w:tl2br w:val="nil"/>
              <w:tr2bl w:val="nil"/>
            </w:tcBorders>
            <w:vAlign w:val="center"/>
          </w:tcPr>
          <w:p w14:paraId="2B09376E">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7</w:t>
            </w:r>
          </w:p>
        </w:tc>
        <w:tc>
          <w:tcPr>
            <w:tcW w:w="1521" w:type="dxa"/>
            <w:tcBorders>
              <w:tl2br w:val="nil"/>
              <w:tr2bl w:val="nil"/>
            </w:tcBorders>
            <w:vAlign w:val="center"/>
          </w:tcPr>
          <w:p w14:paraId="62E866B6">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tc>
        <w:tc>
          <w:tcPr>
            <w:tcW w:w="6837" w:type="dxa"/>
            <w:tcBorders>
              <w:tl2br w:val="nil"/>
              <w:tr2bl w:val="nil"/>
            </w:tcBorders>
            <w:vAlign w:val="center"/>
          </w:tcPr>
          <w:p w14:paraId="7894F98C">
            <w:pPr>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5A35C69">
            <w:pPr>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t>√</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B组织。</w:t>
            </w:r>
          </w:p>
          <w:p w14:paraId="1A393553">
            <w:pPr>
              <w:snapToGrid/>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（1）在评标时安排每个</w:t>
            </w:r>
            <w:r>
              <w:rPr>
                <w:rFonts w:hint="eastAsia" w:ascii="仿宋" w:hAnsi="仿宋" w:eastAsia="仿宋" w:cs="仿宋"/>
                <w:color w:val="auto"/>
                <w:kern w:val="0"/>
                <w:sz w:val="24"/>
                <w:lang w:eastAsia="zh-CN"/>
              </w:rPr>
              <w:t>响应人</w:t>
            </w:r>
            <w:r>
              <w:rPr>
                <w:rFonts w:hint="eastAsia" w:ascii="仿宋" w:hAnsi="仿宋" w:eastAsia="仿宋" w:cs="仿宋"/>
                <w:color w:val="auto"/>
                <w:kern w:val="0"/>
                <w:sz w:val="24"/>
              </w:rPr>
              <w:t>进行方案讲解演示。每个</w:t>
            </w:r>
            <w:r>
              <w:rPr>
                <w:rFonts w:hint="eastAsia" w:ascii="仿宋" w:hAnsi="仿宋" w:eastAsia="仿宋" w:cs="仿宋"/>
                <w:color w:val="auto"/>
                <w:kern w:val="0"/>
                <w:sz w:val="24"/>
                <w:lang w:eastAsia="zh-CN"/>
              </w:rPr>
              <w:t>响应人</w:t>
            </w:r>
            <w:r>
              <w:rPr>
                <w:rFonts w:hint="eastAsia" w:ascii="仿宋" w:hAnsi="仿宋" w:eastAsia="仿宋" w:cs="仿宋"/>
                <w:color w:val="auto"/>
                <w:kern w:val="0"/>
                <w:sz w:val="24"/>
              </w:rPr>
              <w:t>时间不超过</w:t>
            </w:r>
            <w:r>
              <w:rPr>
                <w:rFonts w:hint="eastAsia" w:ascii="仿宋" w:hAnsi="仿宋" w:eastAsia="仿宋" w:cs="仿宋"/>
                <w:color w:val="auto"/>
                <w:kern w:val="0"/>
                <w:sz w:val="24"/>
                <w:lang w:eastAsia="zh-CN"/>
              </w:rPr>
              <w:t>1</w:t>
            </w:r>
            <w:r>
              <w:rPr>
                <w:rFonts w:hint="eastAsia" w:ascii="仿宋" w:hAnsi="仿宋" w:eastAsia="仿宋" w:cs="仿宋"/>
                <w:color w:val="auto"/>
                <w:kern w:val="0"/>
                <w:sz w:val="24"/>
                <w:lang w:val="en-US" w:eastAsia="zh-CN"/>
              </w:rPr>
              <w:t>0</w:t>
            </w:r>
            <w:r>
              <w:rPr>
                <w:rFonts w:hint="eastAsia" w:ascii="仿宋" w:hAnsi="仿宋" w:eastAsia="仿宋" w:cs="仿宋"/>
                <w:color w:val="auto"/>
                <w:kern w:val="0"/>
                <w:sz w:val="24"/>
              </w:rPr>
              <w:t>分钟，讲解次序以投标文件解密时间先后次序为准，讲解演示人员不超过</w:t>
            </w:r>
            <w:r>
              <w:rPr>
                <w:rFonts w:hint="eastAsia" w:ascii="仿宋" w:hAnsi="仿宋" w:eastAsia="仿宋" w:cs="仿宋"/>
                <w:color w:val="auto"/>
                <w:kern w:val="0"/>
                <w:sz w:val="24"/>
                <w:lang w:eastAsia="zh-CN"/>
              </w:rPr>
              <w:t>2</w:t>
            </w:r>
            <w:r>
              <w:rPr>
                <w:rFonts w:hint="eastAsia" w:ascii="仿宋" w:hAnsi="仿宋" w:eastAsia="仿宋" w:cs="仿宋"/>
                <w:color w:val="auto"/>
                <w:kern w:val="0"/>
                <w:sz w:val="24"/>
              </w:rPr>
              <w:t>人。讲解演示结束后按要求解答评标委员会提问。</w:t>
            </w:r>
          </w:p>
          <w:p w14:paraId="4CFE4E8A">
            <w:pPr>
              <w:snapToGrid/>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（2）方案讲解演示方式：现场讲解演示。</w:t>
            </w:r>
          </w:p>
          <w:p w14:paraId="779D5EAF">
            <w:pPr>
              <w:snapToGrid/>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现场讲解地点为</w:t>
            </w:r>
            <w:r>
              <w:rPr>
                <w:rFonts w:hint="eastAsia" w:ascii="仿宋" w:hAnsi="仿宋" w:eastAsia="仿宋" w:cs="仿宋"/>
                <w:color w:val="auto"/>
                <w:sz w:val="24"/>
                <w:szCs w:val="28"/>
                <w:highlight w:val="none"/>
              </w:rPr>
              <w:t>杭州市萧山区北干街道金城路540号心意广场3幢1802室</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演示人员须于投标截止前到达指定地点，</w:t>
            </w:r>
            <w:r>
              <w:rPr>
                <w:rFonts w:hint="eastAsia" w:ascii="仿宋" w:hAnsi="仿宋" w:eastAsia="仿宋" w:cs="仿宋"/>
                <w:color w:val="auto"/>
                <w:kern w:val="0"/>
                <w:sz w:val="24"/>
              </w:rPr>
              <w:t>讲解演示所用电脑等设备由</w:t>
            </w:r>
            <w:r>
              <w:rPr>
                <w:rFonts w:hint="eastAsia" w:ascii="仿宋" w:hAnsi="仿宋" w:eastAsia="仿宋" w:cs="仿宋"/>
                <w:color w:val="auto"/>
                <w:kern w:val="0"/>
                <w:sz w:val="24"/>
                <w:lang w:eastAsia="zh-CN"/>
              </w:rPr>
              <w:t>响应人</w:t>
            </w:r>
            <w:r>
              <w:rPr>
                <w:rFonts w:hint="eastAsia" w:ascii="仿宋" w:hAnsi="仿宋" w:eastAsia="仿宋" w:cs="仿宋"/>
                <w:color w:val="auto"/>
                <w:kern w:val="0"/>
                <w:sz w:val="24"/>
              </w:rPr>
              <w:t>自备。现场讲解演示人员须提供</w:t>
            </w:r>
            <w:r>
              <w:rPr>
                <w:rFonts w:hint="eastAsia" w:ascii="仿宋" w:hAnsi="仿宋" w:eastAsia="仿宋" w:cs="仿宋"/>
                <w:color w:val="auto"/>
                <w:kern w:val="0"/>
                <w:sz w:val="24"/>
                <w:u w:val="single"/>
                <w:lang w:eastAsia="zh-CN"/>
              </w:rPr>
              <w:t>响应人</w:t>
            </w:r>
            <w:r>
              <w:rPr>
                <w:rFonts w:hint="eastAsia" w:ascii="仿宋" w:hAnsi="仿宋" w:eastAsia="仿宋" w:cs="仿宋"/>
                <w:color w:val="auto"/>
                <w:kern w:val="0"/>
                <w:sz w:val="24"/>
                <w:u w:val="single"/>
              </w:rPr>
              <w:t>的授权书（见附件格式，法人代表请携带身份证复件及营业执照复印件）、身份证</w:t>
            </w:r>
            <w:r>
              <w:rPr>
                <w:rFonts w:hint="eastAsia" w:ascii="仿宋" w:hAnsi="仿宋" w:eastAsia="仿宋" w:cs="仿宋"/>
                <w:color w:val="auto"/>
                <w:kern w:val="0"/>
                <w:sz w:val="24"/>
              </w:rPr>
              <w:t>，否则不得讲解演示。</w:t>
            </w:r>
          </w:p>
          <w:p w14:paraId="55394E80">
            <w:pPr>
              <w:spacing w:line="400" w:lineRule="exac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rPr>
              <w:t>注：因</w:t>
            </w:r>
            <w:r>
              <w:rPr>
                <w:rFonts w:hint="eastAsia" w:ascii="仿宋" w:hAnsi="仿宋" w:eastAsia="仿宋" w:cs="仿宋"/>
                <w:color w:val="auto"/>
                <w:kern w:val="0"/>
                <w:sz w:val="24"/>
                <w:lang w:eastAsia="zh-CN"/>
              </w:rPr>
              <w:t>响应人</w:t>
            </w:r>
            <w:r>
              <w:rPr>
                <w:rFonts w:hint="eastAsia" w:ascii="仿宋" w:hAnsi="仿宋" w:eastAsia="仿宋" w:cs="仿宋"/>
                <w:color w:val="auto"/>
                <w:kern w:val="0"/>
                <w:sz w:val="24"/>
              </w:rPr>
              <w:t>自身原因导致无法演示或者演示效果不理想的，责任自负。</w:t>
            </w:r>
          </w:p>
        </w:tc>
      </w:tr>
      <w:tr w14:paraId="6ACDB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1" w:hRule="atLeast"/>
        </w:trPr>
        <w:tc>
          <w:tcPr>
            <w:tcW w:w="629" w:type="dxa"/>
            <w:vMerge w:val="restart"/>
            <w:tcBorders>
              <w:tl2br w:val="nil"/>
              <w:tr2bl w:val="nil"/>
            </w:tcBorders>
            <w:vAlign w:val="center"/>
          </w:tcPr>
          <w:p w14:paraId="76C7E606">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8</w:t>
            </w:r>
          </w:p>
        </w:tc>
        <w:tc>
          <w:tcPr>
            <w:tcW w:w="1521" w:type="dxa"/>
            <w:vMerge w:val="restart"/>
            <w:tcBorders>
              <w:tl2br w:val="nil"/>
              <w:tr2bl w:val="nil"/>
            </w:tcBorders>
            <w:vAlign w:val="center"/>
          </w:tcPr>
          <w:p w14:paraId="57CD297E">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6837" w:type="dxa"/>
            <w:tcBorders>
              <w:tl2br w:val="nil"/>
              <w:tr2bl w:val="nil"/>
            </w:tcBorders>
            <w:vAlign w:val="center"/>
          </w:tcPr>
          <w:p w14:paraId="2EA6AE88">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（1）资格证明文件：见交易文件第二部分11.1。</w:t>
            </w:r>
          </w:p>
          <w:p w14:paraId="62A80B08">
            <w:pPr>
              <w:spacing w:line="400" w:lineRule="exact"/>
              <w:rPr>
                <w:rFonts w:hint="eastAsia"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供应商未提供有效的资格证明文件的，视为供应商不具备交易文件中规定的资格要求，响应无效。</w:t>
            </w:r>
          </w:p>
        </w:tc>
      </w:tr>
      <w:tr w14:paraId="201AD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99" w:hRule="atLeast"/>
        </w:trPr>
        <w:tc>
          <w:tcPr>
            <w:tcW w:w="629" w:type="dxa"/>
            <w:vMerge w:val="continue"/>
            <w:tcBorders>
              <w:tl2br w:val="nil"/>
              <w:tr2bl w:val="nil"/>
            </w:tcBorders>
            <w:vAlign w:val="center"/>
          </w:tcPr>
          <w:p w14:paraId="21F6A4A6">
            <w:pPr>
              <w:snapToGrid w:val="0"/>
              <w:spacing w:line="400" w:lineRule="exact"/>
              <w:jc w:val="center"/>
              <w:rPr>
                <w:rFonts w:hint="eastAsia" w:ascii="仿宋" w:hAnsi="仿宋" w:eastAsia="仿宋" w:cs="仿宋"/>
                <w:b/>
                <w:color w:val="auto"/>
                <w:sz w:val="24"/>
                <w:highlight w:val="none"/>
              </w:rPr>
            </w:pPr>
          </w:p>
        </w:tc>
        <w:tc>
          <w:tcPr>
            <w:tcW w:w="1521" w:type="dxa"/>
            <w:vMerge w:val="continue"/>
            <w:tcBorders>
              <w:tl2br w:val="nil"/>
              <w:tr2bl w:val="nil"/>
            </w:tcBorders>
            <w:vAlign w:val="center"/>
          </w:tcPr>
          <w:p w14:paraId="3E8F28FB">
            <w:pPr>
              <w:snapToGrid w:val="0"/>
              <w:spacing w:line="400" w:lineRule="exact"/>
              <w:jc w:val="center"/>
              <w:rPr>
                <w:rFonts w:hint="eastAsia" w:ascii="仿宋" w:hAnsi="仿宋" w:eastAsia="仿宋" w:cs="仿宋"/>
                <w:b/>
                <w:color w:val="auto"/>
                <w:sz w:val="24"/>
                <w:highlight w:val="none"/>
              </w:rPr>
            </w:pPr>
          </w:p>
        </w:tc>
        <w:tc>
          <w:tcPr>
            <w:tcW w:w="6837" w:type="dxa"/>
            <w:tcBorders>
              <w:tl2br w:val="nil"/>
              <w:tr2bl w:val="nil"/>
            </w:tcBorders>
            <w:vAlign w:val="center"/>
          </w:tcPr>
          <w:p w14:paraId="16A7BA86">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（2）资信证明文件：根据交易文件第四部分评审标准提供。</w:t>
            </w:r>
          </w:p>
        </w:tc>
      </w:tr>
      <w:tr w14:paraId="5801D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73" w:hRule="atLeast"/>
        </w:trPr>
        <w:tc>
          <w:tcPr>
            <w:tcW w:w="629" w:type="dxa"/>
            <w:tcBorders>
              <w:tl2br w:val="nil"/>
              <w:tr2bl w:val="nil"/>
            </w:tcBorders>
            <w:vAlign w:val="center"/>
          </w:tcPr>
          <w:p w14:paraId="1C3B3540">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9</w:t>
            </w:r>
          </w:p>
        </w:tc>
        <w:tc>
          <w:tcPr>
            <w:tcW w:w="1521" w:type="dxa"/>
            <w:tcBorders>
              <w:tl2br w:val="nil"/>
              <w:tr2bl w:val="nil"/>
            </w:tcBorders>
            <w:vAlign w:val="center"/>
          </w:tcPr>
          <w:p w14:paraId="4F2FA4D6">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837" w:type="dxa"/>
            <w:tcBorders>
              <w:tl2br w:val="nil"/>
              <w:tr2bl w:val="nil"/>
            </w:tcBorders>
            <w:vAlign w:val="center"/>
          </w:tcPr>
          <w:p w14:paraId="3EA84EA8">
            <w:pPr>
              <w:snapToGrid w:val="0"/>
              <w:spacing w:line="400" w:lineRule="exact"/>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响应文件</w:t>
            </w:r>
            <w:r>
              <w:rPr>
                <w:rFonts w:hint="eastAsia" w:ascii="仿宋" w:hAnsi="仿宋" w:eastAsia="仿宋" w:cs="仿宋"/>
                <w:b/>
                <w:bCs/>
                <w:color w:val="auto"/>
                <w:sz w:val="24"/>
                <w:highlight w:val="none"/>
                <w:lang w:eastAsia="zh-CN"/>
              </w:rPr>
              <w:t>开标</w:t>
            </w:r>
            <w:r>
              <w:rPr>
                <w:rFonts w:hint="eastAsia" w:ascii="仿宋" w:hAnsi="仿宋" w:eastAsia="仿宋" w:cs="仿宋"/>
                <w:b/>
                <w:bCs/>
                <w:color w:val="auto"/>
                <w:sz w:val="24"/>
                <w:highlight w:val="none"/>
              </w:rPr>
              <w:t>一览表（报价表）是报价的唯一载体，如供应商在政府采购云平台填写的响应总价与响应文件报价文件中</w:t>
            </w:r>
            <w:r>
              <w:rPr>
                <w:rFonts w:hint="eastAsia" w:ascii="仿宋" w:hAnsi="仿宋" w:eastAsia="仿宋" w:cs="仿宋"/>
                <w:b/>
                <w:bCs/>
                <w:color w:val="auto"/>
                <w:sz w:val="24"/>
                <w:highlight w:val="none"/>
                <w:lang w:eastAsia="zh-CN"/>
              </w:rPr>
              <w:t>开标</w:t>
            </w:r>
            <w:r>
              <w:rPr>
                <w:rFonts w:hint="eastAsia" w:ascii="仿宋" w:hAnsi="仿宋" w:eastAsia="仿宋" w:cs="仿宋"/>
                <w:b/>
                <w:bCs/>
                <w:color w:val="auto"/>
                <w:sz w:val="24"/>
                <w:highlight w:val="none"/>
              </w:rPr>
              <w:t>一览表（报价表）不一致的，以报价文件中</w:t>
            </w:r>
            <w:r>
              <w:rPr>
                <w:rFonts w:hint="eastAsia" w:ascii="仿宋" w:hAnsi="仿宋" w:eastAsia="仿宋" w:cs="仿宋"/>
                <w:b/>
                <w:bCs/>
                <w:color w:val="auto"/>
                <w:sz w:val="24"/>
                <w:highlight w:val="none"/>
                <w:lang w:eastAsia="zh-CN"/>
              </w:rPr>
              <w:t>开标</w:t>
            </w:r>
            <w:r>
              <w:rPr>
                <w:rFonts w:hint="eastAsia" w:ascii="仿宋" w:hAnsi="仿宋" w:eastAsia="仿宋" w:cs="仿宋"/>
                <w:b/>
                <w:bCs/>
                <w:color w:val="auto"/>
                <w:sz w:val="24"/>
                <w:highlight w:val="none"/>
              </w:rPr>
              <w:t>一览表（报价表）为准。</w:t>
            </w:r>
            <w:r>
              <w:rPr>
                <w:rFonts w:hint="eastAsia" w:ascii="仿宋" w:hAnsi="仿宋" w:eastAsia="仿宋" w:cs="仿宋"/>
                <w:color w:val="auto"/>
                <w:kern w:val="0"/>
                <w:sz w:val="24"/>
                <w:highlight w:val="none"/>
                <w:lang w:val="zh-CN"/>
              </w:rPr>
              <w:t>响应文件中价格全部采用人民币报价。交易文件未列明，而供应商认为必需的费用也需列入报价。</w:t>
            </w:r>
            <w:r>
              <w:rPr>
                <w:rFonts w:hint="eastAsia" w:ascii="仿宋" w:hAnsi="仿宋" w:eastAsia="仿宋" w:cs="仿宋"/>
                <w:b/>
                <w:color w:val="auto"/>
                <w:kern w:val="0"/>
                <w:sz w:val="24"/>
                <w:highlight w:val="none"/>
                <w:lang w:val="zh-CN"/>
              </w:rPr>
              <w:t>提醒：验收时检测费用由交易人承担，不包含在响应总价中。</w:t>
            </w:r>
          </w:p>
          <w:p w14:paraId="75EF480E">
            <w:pPr>
              <w:snapToGrid w:val="0"/>
              <w:spacing w:line="400" w:lineRule="exact"/>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响应总价出现下列情形的，响应无效：</w:t>
            </w:r>
          </w:p>
          <w:p w14:paraId="2FB7A8A5">
            <w:pPr>
              <w:snapToGrid w:val="0"/>
              <w:spacing w:line="400" w:lineRule="exact"/>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响应文件出现不是唯一的、有选择性响应总价的；</w:t>
            </w:r>
          </w:p>
          <w:p w14:paraId="2E09030E">
            <w:pPr>
              <w:snapToGrid w:val="0"/>
              <w:spacing w:line="400" w:lineRule="exact"/>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响应总价超过交易文件中规定的预算金额或者最高限价的;</w:t>
            </w:r>
          </w:p>
          <w:p w14:paraId="227FB879">
            <w:pPr>
              <w:spacing w:line="400" w:lineRule="exact"/>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65582D57">
            <w:pPr>
              <w:spacing w:line="400" w:lineRule="exact"/>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供应商对根据修正原则修正后的报价不确认的</w:t>
            </w:r>
            <w:r>
              <w:rPr>
                <w:rFonts w:hint="eastAsia" w:ascii="仿宋" w:hAnsi="仿宋" w:eastAsia="仿宋" w:cs="仿宋"/>
                <w:b/>
                <w:color w:val="auto"/>
                <w:sz w:val="24"/>
                <w:highlight w:val="none"/>
              </w:rPr>
              <w:t>。</w:t>
            </w:r>
          </w:p>
        </w:tc>
      </w:tr>
      <w:tr w14:paraId="1C304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93" w:hRule="atLeast"/>
        </w:trPr>
        <w:tc>
          <w:tcPr>
            <w:tcW w:w="629" w:type="dxa"/>
            <w:tcBorders>
              <w:tl2br w:val="nil"/>
              <w:tr2bl w:val="nil"/>
            </w:tcBorders>
            <w:vAlign w:val="center"/>
          </w:tcPr>
          <w:p w14:paraId="6CBA3602">
            <w:pPr>
              <w:snapToGrid w:val="0"/>
              <w:spacing w:line="400" w:lineRule="exact"/>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10</w:t>
            </w:r>
          </w:p>
        </w:tc>
        <w:tc>
          <w:tcPr>
            <w:tcW w:w="1521" w:type="dxa"/>
            <w:tcBorders>
              <w:tl2br w:val="nil"/>
              <w:tr2bl w:val="nil"/>
            </w:tcBorders>
            <w:vAlign w:val="center"/>
          </w:tcPr>
          <w:p w14:paraId="1AEF200A">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备份响应文件送达地点和签收人员</w:t>
            </w:r>
          </w:p>
        </w:tc>
        <w:tc>
          <w:tcPr>
            <w:tcW w:w="6837" w:type="dxa"/>
            <w:tcBorders>
              <w:tl2br w:val="nil"/>
              <w:tr2bl w:val="nil"/>
            </w:tcBorders>
            <w:vAlign w:val="center"/>
          </w:tcPr>
          <w:p w14:paraId="132B0666">
            <w:pPr>
              <w:pStyle w:val="35"/>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备份响应文件送达地点：</w:t>
            </w:r>
            <w:r>
              <w:rPr>
                <w:rFonts w:hint="eastAsia" w:ascii="仿宋" w:hAnsi="仿宋" w:eastAsia="仿宋" w:cs="仿宋"/>
                <w:color w:val="auto"/>
                <w:kern w:val="28"/>
                <w:sz w:val="24"/>
                <w:szCs w:val="24"/>
                <w:highlight w:val="none"/>
                <w:lang w:val="en-US" w:eastAsia="zh-CN"/>
              </w:rPr>
              <w:t>不收取</w:t>
            </w:r>
            <w:r>
              <w:rPr>
                <w:rFonts w:hint="eastAsia" w:ascii="仿宋" w:hAnsi="仿宋" w:eastAsia="仿宋" w:cs="仿宋"/>
                <w:color w:val="auto"/>
                <w:kern w:val="28"/>
                <w:sz w:val="24"/>
                <w:szCs w:val="24"/>
                <w:highlight w:val="none"/>
              </w:rPr>
              <w:t>；</w:t>
            </w:r>
          </w:p>
          <w:p w14:paraId="3FCF41B6">
            <w:pPr>
              <w:pStyle w:val="35"/>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备份响应文件签收人员联系电话：</w:t>
            </w:r>
            <w:r>
              <w:rPr>
                <w:rFonts w:hint="eastAsia" w:ascii="仿宋" w:hAnsi="仿宋" w:eastAsia="仿宋" w:cs="仿宋"/>
                <w:color w:val="auto"/>
                <w:kern w:val="28"/>
                <w:sz w:val="24"/>
                <w:szCs w:val="24"/>
                <w:highlight w:val="none"/>
                <w:lang w:val="en-US" w:eastAsia="zh-CN"/>
              </w:rPr>
              <w:t>/</w:t>
            </w:r>
            <w:r>
              <w:rPr>
                <w:rFonts w:hint="eastAsia" w:ascii="仿宋" w:hAnsi="仿宋" w:eastAsia="仿宋" w:cs="仿宋"/>
                <w:color w:val="auto"/>
                <w:kern w:val="28"/>
                <w:sz w:val="24"/>
                <w:szCs w:val="24"/>
                <w:highlight w:val="none"/>
              </w:rPr>
              <w:t>。交易人、采购代理机构不强制或变相强制供应商提交备份响应文件。</w:t>
            </w:r>
          </w:p>
        </w:tc>
      </w:tr>
      <w:tr w14:paraId="75355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93" w:hRule="atLeast"/>
        </w:trPr>
        <w:tc>
          <w:tcPr>
            <w:tcW w:w="629" w:type="dxa"/>
            <w:tcBorders>
              <w:tl2br w:val="nil"/>
              <w:tr2bl w:val="nil"/>
            </w:tcBorders>
            <w:vAlign w:val="center"/>
          </w:tcPr>
          <w:p w14:paraId="6CD008E4">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1</w:t>
            </w:r>
          </w:p>
        </w:tc>
        <w:tc>
          <w:tcPr>
            <w:tcW w:w="1521" w:type="dxa"/>
            <w:tcBorders>
              <w:tl2br w:val="nil"/>
              <w:tr2bl w:val="nil"/>
            </w:tcBorders>
            <w:vAlign w:val="center"/>
          </w:tcPr>
          <w:p w14:paraId="1A806AE2">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837" w:type="dxa"/>
            <w:tcBorders>
              <w:tl2br w:val="nil"/>
              <w:tr2bl w:val="nil"/>
            </w:tcBorders>
            <w:vAlign w:val="center"/>
          </w:tcPr>
          <w:p w14:paraId="38467107">
            <w:pPr>
              <w:pStyle w:val="35"/>
              <w:spacing w:line="400" w:lineRule="exact"/>
              <w:rPr>
                <w:rFonts w:hint="default" w:ascii="仿宋" w:hAnsi="仿宋" w:eastAsia="仿宋" w:cs="仿宋"/>
                <w:color w:val="auto"/>
                <w:kern w:val="28"/>
                <w:sz w:val="24"/>
                <w:szCs w:val="24"/>
                <w:highlight w:val="none"/>
                <w:lang w:val="en-US" w:eastAsia="zh-CN"/>
              </w:rPr>
            </w:pPr>
            <w:r>
              <w:rPr>
                <w:rFonts w:hint="eastAsia" w:ascii="仿宋" w:hAnsi="仿宋" w:eastAsia="仿宋" w:cs="仿宋"/>
                <w:color w:val="auto"/>
                <w:sz w:val="24"/>
                <w:szCs w:val="24"/>
                <w:highlight w:val="none"/>
              </w:rPr>
              <w:t>招标代理费参照国家计委计价格【2002】1980号、发改价格(2011)534号文件执行的收费标准同比例下浮30%结算，不足2000元的按2000元计取。</w:t>
            </w:r>
            <w:r>
              <w:rPr>
                <w:rFonts w:hint="eastAsia" w:ascii="仿宋" w:hAnsi="仿宋" w:eastAsia="仿宋" w:cs="仿宋"/>
                <w:color w:val="auto"/>
                <w:sz w:val="24"/>
                <w:szCs w:val="24"/>
                <w:highlight w:val="none"/>
                <w:lang w:val="en-US" w:eastAsia="zh-CN"/>
              </w:rPr>
              <w:t>由成交人支付。</w:t>
            </w:r>
          </w:p>
        </w:tc>
      </w:tr>
      <w:tr w14:paraId="65CA9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trPr>
        <w:tc>
          <w:tcPr>
            <w:tcW w:w="629" w:type="dxa"/>
            <w:tcBorders>
              <w:tl2br w:val="nil"/>
              <w:tr2bl w:val="nil"/>
            </w:tcBorders>
            <w:vAlign w:val="center"/>
          </w:tcPr>
          <w:p w14:paraId="23FE0CEE">
            <w:pPr>
              <w:snapToGrid w:val="0"/>
              <w:spacing w:line="400" w:lineRule="exact"/>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12</w:t>
            </w:r>
          </w:p>
        </w:tc>
        <w:tc>
          <w:tcPr>
            <w:tcW w:w="1521" w:type="dxa"/>
            <w:tcBorders>
              <w:tl2br w:val="nil"/>
              <w:tr2bl w:val="nil"/>
            </w:tcBorders>
            <w:vAlign w:val="center"/>
          </w:tcPr>
          <w:p w14:paraId="651FB8F5">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szCs w:val="24"/>
                <w:highlight w:val="none"/>
              </w:rPr>
              <w:t>履约保证金</w:t>
            </w:r>
          </w:p>
        </w:tc>
        <w:tc>
          <w:tcPr>
            <w:tcW w:w="6837" w:type="dxa"/>
            <w:tcBorders>
              <w:tl2br w:val="nil"/>
              <w:tr2bl w:val="nil"/>
            </w:tcBorders>
            <w:vAlign w:val="center"/>
          </w:tcPr>
          <w:p w14:paraId="637BB77A">
            <w:pPr>
              <w:pStyle w:val="35"/>
              <w:spacing w:line="400" w:lineRule="exact"/>
              <w:rPr>
                <w:rFonts w:hint="eastAsia" w:ascii="仿宋" w:hAnsi="仿宋" w:eastAsia="仿宋" w:cs="仿宋"/>
                <w:color w:val="auto"/>
                <w:kern w:val="28"/>
                <w:sz w:val="24"/>
                <w:szCs w:val="24"/>
                <w:highlight w:val="none"/>
                <w:lang w:eastAsia="zh-CN"/>
              </w:rPr>
            </w:pPr>
            <w:r>
              <w:rPr>
                <w:rFonts w:hint="eastAsia" w:ascii="仿宋" w:hAnsi="仿宋" w:eastAsia="仿宋" w:cs="仿宋"/>
                <w:color w:val="auto"/>
                <w:sz w:val="24"/>
                <w:szCs w:val="24"/>
                <w:highlight w:val="none"/>
                <w:lang w:val="en-US" w:eastAsia="zh-CN"/>
              </w:rPr>
              <w:t>无</w:t>
            </w:r>
          </w:p>
        </w:tc>
      </w:tr>
    </w:tbl>
    <w:p w14:paraId="69657CD8">
      <w:pPr>
        <w:snapToGrid w:val="0"/>
        <w:spacing w:line="360" w:lineRule="auto"/>
        <w:jc w:val="center"/>
        <w:rPr>
          <w:rFonts w:hint="eastAsia" w:ascii="仿宋" w:hAnsi="仿宋" w:eastAsia="仿宋" w:cs="仿宋"/>
          <w:b/>
          <w:color w:val="auto"/>
          <w:sz w:val="32"/>
          <w:szCs w:val="20"/>
          <w:highlight w:val="none"/>
        </w:rPr>
      </w:pPr>
    </w:p>
    <w:bookmarkEnd w:id="10"/>
    <w:p w14:paraId="463832D6">
      <w:pPr>
        <w:adjustRightInd/>
        <w:spacing w:line="360" w:lineRule="auto"/>
        <w:ind w:firstLine="3845" w:firstLineChars="1197"/>
        <w:outlineLvl w:val="0"/>
        <w:rPr>
          <w:rFonts w:hint="eastAsia" w:ascii="仿宋" w:hAnsi="仿宋" w:eastAsia="仿宋" w:cs="仿宋"/>
          <w:b/>
          <w:color w:val="auto"/>
          <w:sz w:val="32"/>
          <w:szCs w:val="20"/>
          <w:highlight w:val="none"/>
        </w:rPr>
        <w:sectPr>
          <w:footerReference r:id="rId8" w:type="default"/>
          <w:pgSz w:w="11905" w:h="16838"/>
          <w:pgMar w:top="1417" w:right="1417" w:bottom="1417" w:left="1417" w:header="851" w:footer="850" w:gutter="0"/>
          <w:pgBorders>
            <w:top w:val="none" w:sz="0" w:space="0"/>
            <w:left w:val="none" w:sz="0" w:space="0"/>
            <w:bottom w:val="none" w:sz="0" w:space="0"/>
            <w:right w:val="none" w:sz="0" w:space="0"/>
          </w:pgBorders>
          <w:cols w:space="0" w:num="1"/>
          <w:docGrid w:linePitch="312" w:charSpace="0"/>
        </w:sectPr>
      </w:pPr>
      <w:bookmarkStart w:id="21" w:name="_Toc13302"/>
      <w:bookmarkStart w:id="22" w:name="第三部分"/>
      <w:bookmarkStart w:id="23" w:name="_Toc164416483"/>
    </w:p>
    <w:p w14:paraId="6FD9F875">
      <w:pPr>
        <w:adjustRightInd/>
        <w:spacing w:line="360" w:lineRule="auto"/>
        <w:jc w:val="center"/>
        <w:outlineLvl w:val="0"/>
        <w:rPr>
          <w:rFonts w:hint="eastAsia" w:ascii="仿宋" w:hAnsi="仿宋" w:eastAsia="仿宋" w:cs="仿宋"/>
          <w:b/>
          <w:color w:val="auto"/>
          <w:sz w:val="32"/>
          <w:szCs w:val="20"/>
          <w:highlight w:val="none"/>
        </w:rPr>
      </w:pPr>
      <w:bookmarkStart w:id="24" w:name="_Toc12793"/>
      <w:bookmarkStart w:id="25" w:name="_Toc27790"/>
      <w:bookmarkStart w:id="26" w:name="_Toc16942"/>
      <w:r>
        <w:rPr>
          <w:rFonts w:hint="eastAsia" w:ascii="仿宋" w:hAnsi="仿宋" w:eastAsia="仿宋" w:cs="仿宋"/>
          <w:b/>
          <w:color w:val="auto"/>
          <w:sz w:val="32"/>
          <w:szCs w:val="20"/>
          <w:highlight w:val="none"/>
        </w:rPr>
        <w:t>一、总则</w:t>
      </w:r>
      <w:bookmarkEnd w:id="21"/>
      <w:bookmarkEnd w:id="24"/>
      <w:bookmarkEnd w:id="25"/>
      <w:bookmarkEnd w:id="26"/>
    </w:p>
    <w:p w14:paraId="705C1D8E">
      <w:pPr>
        <w:pStyle w:val="35"/>
        <w:spacing w:line="360" w:lineRule="auto"/>
        <w:ind w:firstLine="482" w:firstLineChars="200"/>
        <w:rPr>
          <w:rFonts w:hint="eastAsia" w:ascii="仿宋" w:hAnsi="仿宋" w:eastAsia="仿宋" w:cs="仿宋"/>
          <w:b/>
          <w:color w:val="auto"/>
          <w:sz w:val="24"/>
          <w:szCs w:val="24"/>
          <w:highlight w:val="none"/>
        </w:rPr>
      </w:pPr>
      <w:bookmarkStart w:id="27" w:name="_Toc12048"/>
      <w:r>
        <w:rPr>
          <w:rFonts w:hint="eastAsia" w:ascii="仿宋" w:hAnsi="仿宋" w:eastAsia="仿宋" w:cs="仿宋"/>
          <w:b/>
          <w:color w:val="auto"/>
          <w:sz w:val="24"/>
          <w:szCs w:val="24"/>
          <w:highlight w:val="none"/>
        </w:rPr>
        <w:t>1.适用范围</w:t>
      </w:r>
      <w:bookmarkEnd w:id="27"/>
    </w:p>
    <w:p w14:paraId="6048D0F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本交易文件适用于该项目的交易、响应、</w:t>
      </w:r>
      <w:r>
        <w:rPr>
          <w:rFonts w:hint="eastAsia" w:ascii="仿宋" w:hAnsi="仿宋" w:eastAsia="仿宋" w:cs="仿宋"/>
          <w:color w:val="auto"/>
          <w:sz w:val="24"/>
          <w:highlight w:val="none"/>
          <w:lang w:eastAsia="zh-CN"/>
        </w:rPr>
        <w:t>开标</w:t>
      </w:r>
      <w:r>
        <w:rPr>
          <w:rFonts w:hint="eastAsia" w:ascii="仿宋" w:hAnsi="仿宋" w:eastAsia="仿宋" w:cs="仿宋"/>
          <w:color w:val="auto"/>
          <w:sz w:val="24"/>
          <w:highlight w:val="none"/>
        </w:rPr>
        <w:t>、资格审查及信用信息查询、评审、定标、合同、验收等行为（法律、法规另有规定的，从其规定）。</w:t>
      </w:r>
    </w:p>
    <w:p w14:paraId="7417196C">
      <w:pPr>
        <w:pStyle w:val="35"/>
        <w:spacing w:line="360" w:lineRule="auto"/>
        <w:ind w:firstLine="482" w:firstLineChars="200"/>
        <w:rPr>
          <w:rFonts w:hint="eastAsia" w:ascii="仿宋" w:hAnsi="仿宋" w:eastAsia="仿宋" w:cs="仿宋"/>
          <w:b/>
          <w:color w:val="auto"/>
          <w:sz w:val="24"/>
          <w:szCs w:val="24"/>
          <w:highlight w:val="none"/>
        </w:rPr>
      </w:pPr>
      <w:bookmarkStart w:id="28" w:name="_Toc24879"/>
      <w:r>
        <w:rPr>
          <w:rFonts w:hint="eastAsia" w:ascii="仿宋" w:hAnsi="仿宋" w:eastAsia="仿宋" w:cs="仿宋"/>
          <w:b/>
          <w:color w:val="auto"/>
          <w:sz w:val="24"/>
          <w:szCs w:val="24"/>
          <w:highlight w:val="none"/>
        </w:rPr>
        <w:t>2.定义</w:t>
      </w:r>
      <w:bookmarkEnd w:id="28"/>
    </w:p>
    <w:p w14:paraId="7E6757B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2.1“交易人”系指交易公告中载明的本项目的交易人。</w:t>
      </w:r>
    </w:p>
    <w:p w14:paraId="44BB59C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2.2“采购代理机构”系指交易公告中载明的本项目的采购代理机构。</w:t>
      </w:r>
    </w:p>
    <w:p w14:paraId="526D400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2.3“供应商”系指是指响应采购、参加交易竞争的法人、其他组织或者自然人。</w:t>
      </w:r>
    </w:p>
    <w:p w14:paraId="646F138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2.4“负责人”系指法人企业的法定负责人，或其他组织为法律、行政法规规定代表单位行使职权的主要负责人，或自然人本人。</w:t>
      </w:r>
    </w:p>
    <w:p w14:paraId="1D9FE43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2BEEB0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2.6“电子交易平台”系指本项目采购活动所依托的</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sz w:val="24"/>
          <w:highlight w:val="none"/>
        </w:rPr>
        <w:t>。</w:t>
      </w:r>
    </w:p>
    <w:p w14:paraId="67F281D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2.7“▲”系指实质性要求条款，“</w:t>
      </w:r>
      <w:r>
        <w:rPr>
          <w:rFonts w:hint="eastAsia" w:ascii="仿宋" w:hAnsi="仿宋" w:eastAsia="仿宋" w:cs="仿宋"/>
          <w:color w:val="auto"/>
          <w:sz w:val="24"/>
          <w:highlight w:val="none"/>
          <w:lang w:eastAsia="zh-CN"/>
        </w:rPr>
        <w:t>（</w:t>
      </w:r>
      <w: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”系指适用本项目的要求，“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”系指不适用本项目的要求。</w:t>
      </w:r>
    </w:p>
    <w:p w14:paraId="3029B271">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3.采购项目需要落实的政府采购政策：无</w:t>
      </w:r>
    </w:p>
    <w:p w14:paraId="63B467B6">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4.询问、质疑、投诉</w:t>
      </w:r>
    </w:p>
    <w:p w14:paraId="724368B5">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供应商询问</w:t>
      </w:r>
    </w:p>
    <w:p w14:paraId="7CE3969D">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采购活动事项有疑问的，可以提出询问，交易人或者采购代理机构应当在3个工作日内对供应商依法提出的询问作出答复，但答复的内容不得涉及商业秘密。供应商提出的询问超出交易人对采购代理机构委托授权范围的，采购代理机构应当告知供应商向交易人提出。</w:t>
      </w:r>
    </w:p>
    <w:p w14:paraId="7F91F7F9">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供应商质疑</w:t>
      </w:r>
    </w:p>
    <w:p w14:paraId="128BCB17">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.1提出质疑的供应商应当是参与所质疑项目采购活动的供应商。潜在供应商已依法获取其可质疑的交易文件的，可以对该文件提出质疑。</w:t>
      </w:r>
    </w:p>
    <w:p w14:paraId="7707D45B">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2供应商认为交易文件、采购过程和成交结果使自己的权益受到损害的，可以在知道或者应知其权益受到损害之日起七个工作日内，以书面形式向交易人或者采购代理机构提出质疑，否则，交易人或者采购代理机构不予受理。</w:t>
      </w:r>
    </w:p>
    <w:p w14:paraId="2403812B">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.2.1对交易文件提出质疑的，质疑期限为供应商获得交易文件之日或者交易文件公告期限届满之日起计算。</w:t>
      </w:r>
    </w:p>
    <w:p w14:paraId="23C153EB">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.2.2对采购过程提出质疑的，质疑期限为各采购程序环节结束之日起计算。</w:t>
      </w:r>
    </w:p>
    <w:p w14:paraId="4D2F21FE">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.2.3对采购结果提出质疑的，质疑期限自采购结果公告期限届满之日起计算。</w:t>
      </w:r>
    </w:p>
    <w:p w14:paraId="019269FD">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.3供应商提出质疑应当提交质疑函和必要的证明材料。质疑函应当包括下列内容：</w:t>
      </w:r>
    </w:p>
    <w:p w14:paraId="35736B15">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.3.1供应商的姓名或者名称、地址、邮编、联系人及联系电话；</w:t>
      </w:r>
    </w:p>
    <w:p w14:paraId="7A041F2C">
      <w:pPr>
        <w:pStyle w:val="35"/>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2</w:t>
      </w:r>
      <w:r>
        <w:rPr>
          <w:rFonts w:hint="eastAsia" w:ascii="仿宋" w:hAnsi="仿宋" w:eastAsia="仿宋" w:cs="仿宋"/>
          <w:snapToGrid/>
          <w:color w:val="auto"/>
          <w:kern w:val="0"/>
          <w:sz w:val="24"/>
          <w:szCs w:val="24"/>
          <w:highlight w:val="none"/>
          <w:lang w:val="zh-CN"/>
        </w:rPr>
        <w:t>.3.2质疑项目的名称、编号；</w:t>
      </w:r>
    </w:p>
    <w:p w14:paraId="6A4D2E51">
      <w:pPr>
        <w:pStyle w:val="35"/>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2</w:t>
      </w:r>
      <w:r>
        <w:rPr>
          <w:rFonts w:hint="eastAsia" w:ascii="仿宋" w:hAnsi="仿宋" w:eastAsia="仿宋" w:cs="仿宋"/>
          <w:snapToGrid/>
          <w:color w:val="auto"/>
          <w:kern w:val="0"/>
          <w:sz w:val="24"/>
          <w:szCs w:val="24"/>
          <w:highlight w:val="none"/>
          <w:lang w:val="zh-CN"/>
        </w:rPr>
        <w:t>.3.3具体、明确的质疑事项和与质疑事项相关的请求；</w:t>
      </w:r>
    </w:p>
    <w:p w14:paraId="30FA8B81">
      <w:pPr>
        <w:pStyle w:val="35"/>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2</w:t>
      </w:r>
      <w:r>
        <w:rPr>
          <w:rFonts w:hint="eastAsia" w:ascii="仿宋" w:hAnsi="仿宋" w:eastAsia="仿宋" w:cs="仿宋"/>
          <w:snapToGrid/>
          <w:color w:val="auto"/>
          <w:kern w:val="0"/>
          <w:sz w:val="24"/>
          <w:szCs w:val="24"/>
          <w:highlight w:val="none"/>
          <w:lang w:val="zh-CN"/>
        </w:rPr>
        <w:t>.3.4事实依据；</w:t>
      </w:r>
    </w:p>
    <w:p w14:paraId="1CF8C4F4">
      <w:pPr>
        <w:pStyle w:val="35"/>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2</w:t>
      </w:r>
      <w:r>
        <w:rPr>
          <w:rFonts w:hint="eastAsia" w:ascii="仿宋" w:hAnsi="仿宋" w:eastAsia="仿宋" w:cs="仿宋"/>
          <w:snapToGrid/>
          <w:color w:val="auto"/>
          <w:kern w:val="0"/>
          <w:sz w:val="24"/>
          <w:szCs w:val="24"/>
          <w:highlight w:val="none"/>
          <w:lang w:val="zh-CN"/>
        </w:rPr>
        <w:t>.3.5必要的法律依据；</w:t>
      </w:r>
    </w:p>
    <w:p w14:paraId="47A9C3FF">
      <w:pPr>
        <w:pStyle w:val="35"/>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2</w:t>
      </w:r>
      <w:r>
        <w:rPr>
          <w:rFonts w:hint="eastAsia" w:ascii="仿宋" w:hAnsi="仿宋" w:eastAsia="仿宋" w:cs="仿宋"/>
          <w:snapToGrid/>
          <w:color w:val="auto"/>
          <w:kern w:val="0"/>
          <w:sz w:val="24"/>
          <w:szCs w:val="24"/>
          <w:highlight w:val="none"/>
          <w:lang w:val="zh-CN"/>
        </w:rPr>
        <w:t>.3.6提出质疑的日期。</w:t>
      </w:r>
    </w:p>
    <w:p w14:paraId="75DE6A35">
      <w:pPr>
        <w:pStyle w:val="35"/>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5C199029">
      <w:pPr>
        <w:pStyle w:val="889"/>
        <w:shd w:val="clear" w:color="auto" w:fill="FFFFFF"/>
        <w:snapToGrid w:val="0"/>
        <w:spacing w:before="0" w:beforeAutospacing="0" w:after="0" w:afterAutospacing="0" w:line="360" w:lineRule="auto"/>
        <w:ind w:firstLine="480" w:firstLineChars="200"/>
        <w:contextualSpacing/>
        <w:jc w:val="both"/>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质疑函范本及制作说明详见附件1。</w:t>
      </w:r>
    </w:p>
    <w:p w14:paraId="34CEE85B">
      <w:pPr>
        <w:pStyle w:val="35"/>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2</w:t>
      </w:r>
      <w:r>
        <w:rPr>
          <w:rFonts w:hint="eastAsia" w:ascii="仿宋" w:hAnsi="仿宋" w:eastAsia="仿宋" w:cs="仿宋"/>
          <w:snapToGrid/>
          <w:color w:val="auto"/>
          <w:kern w:val="0"/>
          <w:sz w:val="24"/>
          <w:szCs w:val="24"/>
          <w:highlight w:val="none"/>
          <w:lang w:val="zh-CN"/>
        </w:rPr>
        <w:t>.4对同一采购程序环节的质疑，供应商须在法定质疑期内一次性提出。</w:t>
      </w:r>
    </w:p>
    <w:p w14:paraId="38B7C575">
      <w:pPr>
        <w:pStyle w:val="35"/>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2</w:t>
      </w:r>
      <w:r>
        <w:rPr>
          <w:rFonts w:hint="eastAsia" w:ascii="仿宋" w:hAnsi="仿宋" w:eastAsia="仿宋" w:cs="仿宋"/>
          <w:snapToGrid/>
          <w:color w:val="auto"/>
          <w:kern w:val="0"/>
          <w:sz w:val="24"/>
          <w:szCs w:val="24"/>
          <w:highlight w:val="none"/>
          <w:lang w:val="zh-CN"/>
        </w:rPr>
        <w:t>.</w:t>
      </w:r>
      <w:r>
        <w:rPr>
          <w:rFonts w:hint="eastAsia" w:ascii="仿宋" w:hAnsi="仿宋" w:eastAsia="仿宋" w:cs="仿宋"/>
          <w:snapToGrid/>
          <w:color w:val="auto"/>
          <w:kern w:val="0"/>
          <w:sz w:val="24"/>
          <w:szCs w:val="24"/>
          <w:highlight w:val="none"/>
        </w:rPr>
        <w:t>5</w:t>
      </w:r>
      <w:r>
        <w:rPr>
          <w:rFonts w:hint="eastAsia" w:ascii="仿宋" w:hAnsi="仿宋" w:eastAsia="仿宋" w:cs="仿宋"/>
          <w:snapToGrid/>
          <w:color w:val="auto"/>
          <w:kern w:val="0"/>
          <w:sz w:val="24"/>
          <w:szCs w:val="24"/>
          <w:highlight w:val="none"/>
          <w:lang w:val="zh-CN"/>
        </w:rPr>
        <w:t>询问或者质疑事项可能影响采购结果的，交易人应当暂停签订合同，已经签订合同的，应当中止履行合同。</w:t>
      </w:r>
    </w:p>
    <w:p w14:paraId="1786668F">
      <w:pPr>
        <w:pStyle w:val="35"/>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3</w:t>
      </w:r>
      <w:r>
        <w:rPr>
          <w:rFonts w:hint="eastAsia" w:ascii="仿宋" w:hAnsi="仿宋" w:eastAsia="仿宋" w:cs="仿宋"/>
          <w:snapToGrid/>
          <w:color w:val="auto"/>
          <w:kern w:val="0"/>
          <w:sz w:val="24"/>
          <w:szCs w:val="24"/>
          <w:highlight w:val="none"/>
          <w:lang w:val="zh-CN"/>
        </w:rPr>
        <w:t>供应商投诉</w:t>
      </w:r>
    </w:p>
    <w:p w14:paraId="31DBAF00">
      <w:pPr>
        <w:pStyle w:val="889"/>
        <w:shd w:val="clear" w:color="auto" w:fill="FFFFFF"/>
        <w:snapToGrid w:val="0"/>
        <w:spacing w:before="0" w:beforeAutospacing="0" w:after="0" w:afterAutospacing="0" w:line="360" w:lineRule="auto"/>
        <w:ind w:firstLine="480" w:firstLineChars="200"/>
        <w:contextualSpacing/>
        <w:jc w:val="both"/>
        <w:rPr>
          <w:rFonts w:hint="eastAsia" w:ascii="仿宋" w:hAnsi="仿宋" w:eastAsia="仿宋" w:cs="仿宋"/>
          <w:color w:val="auto"/>
          <w:highlight w:val="none"/>
        </w:rPr>
      </w:pPr>
      <w:r>
        <w:rPr>
          <w:rFonts w:hint="eastAsia" w:ascii="仿宋" w:hAnsi="仿宋" w:eastAsia="仿宋" w:cs="仿宋"/>
          <w:color w:val="auto"/>
          <w:highlight w:val="none"/>
        </w:rPr>
        <w:t>4.3.1质疑供应商对交易人、采购代理机构的答复不满意或者交易人、采购代理机构未在规定的时间内作出答复的，可以在答复期满后十五个工作日内向采购监督管理部门提出投诉。</w:t>
      </w:r>
    </w:p>
    <w:p w14:paraId="026D10E6">
      <w:pPr>
        <w:pStyle w:val="35"/>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3</w:t>
      </w:r>
      <w:r>
        <w:rPr>
          <w:rFonts w:hint="eastAsia" w:ascii="仿宋" w:hAnsi="仿宋" w:eastAsia="仿宋" w:cs="仿宋"/>
          <w:snapToGrid/>
          <w:color w:val="auto"/>
          <w:kern w:val="0"/>
          <w:sz w:val="24"/>
          <w:szCs w:val="24"/>
          <w:highlight w:val="none"/>
          <w:lang w:val="zh-CN"/>
        </w:rPr>
        <w:t>.2供应商投诉的事项不得超出已质疑事项的范围，基于质疑答复内容提出的投诉事项除外。</w:t>
      </w:r>
    </w:p>
    <w:p w14:paraId="5322E29B">
      <w:pPr>
        <w:pStyle w:val="35"/>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3</w:t>
      </w:r>
      <w:r>
        <w:rPr>
          <w:rFonts w:hint="eastAsia" w:ascii="仿宋" w:hAnsi="仿宋" w:eastAsia="仿宋" w:cs="仿宋"/>
          <w:snapToGrid/>
          <w:color w:val="auto"/>
          <w:kern w:val="0"/>
          <w:sz w:val="24"/>
          <w:szCs w:val="24"/>
          <w:highlight w:val="none"/>
          <w:lang w:val="zh-CN"/>
        </w:rPr>
        <w:t>.3供应商投诉应当有明确的请求和必要的证明材料。</w:t>
      </w:r>
    </w:p>
    <w:p w14:paraId="7A16495C">
      <w:pPr>
        <w:pStyle w:val="35"/>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3</w:t>
      </w:r>
      <w:r>
        <w:rPr>
          <w:rFonts w:hint="eastAsia" w:ascii="仿宋" w:hAnsi="仿宋" w:eastAsia="仿宋" w:cs="仿宋"/>
          <w:snapToGrid/>
          <w:color w:val="auto"/>
          <w:kern w:val="0"/>
          <w:sz w:val="24"/>
          <w:szCs w:val="24"/>
          <w:highlight w:val="none"/>
          <w:lang w:val="zh-CN"/>
        </w:rPr>
        <w:t>.4以联合体形式参加采购活动的，其投诉应当由组成联合体的所有供应商共同提出。</w:t>
      </w:r>
    </w:p>
    <w:p w14:paraId="424E5054">
      <w:pPr>
        <w:pStyle w:val="889"/>
        <w:shd w:val="clear" w:color="auto" w:fill="FFFFFF"/>
        <w:snapToGrid w:val="0"/>
        <w:spacing w:before="0" w:beforeAutospacing="0" w:after="0" w:afterAutospacing="0" w:line="360" w:lineRule="auto"/>
        <w:ind w:firstLine="480" w:firstLineChars="200"/>
        <w:contextualSpacing/>
        <w:jc w:val="both"/>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投诉书范本及制作说明详见附件2。</w:t>
      </w:r>
    </w:p>
    <w:p w14:paraId="7D42DA2F">
      <w:pPr>
        <w:adjustRightInd/>
        <w:spacing w:line="360" w:lineRule="auto"/>
        <w:jc w:val="center"/>
        <w:outlineLvl w:val="0"/>
        <w:rPr>
          <w:rFonts w:hint="eastAsia" w:ascii="仿宋" w:hAnsi="仿宋" w:eastAsia="仿宋" w:cs="仿宋"/>
          <w:b/>
          <w:color w:val="auto"/>
          <w:sz w:val="32"/>
          <w:szCs w:val="20"/>
          <w:highlight w:val="none"/>
        </w:rPr>
      </w:pPr>
      <w:bookmarkStart w:id="29" w:name="_Toc8135"/>
      <w:bookmarkStart w:id="30" w:name="_Toc12080"/>
      <w:bookmarkStart w:id="31" w:name="_Toc18941"/>
      <w:bookmarkStart w:id="32" w:name="_Toc25133"/>
      <w:r>
        <w:rPr>
          <w:rFonts w:hint="eastAsia" w:ascii="仿宋" w:hAnsi="仿宋" w:eastAsia="仿宋" w:cs="仿宋"/>
          <w:b/>
          <w:color w:val="auto"/>
          <w:sz w:val="32"/>
          <w:szCs w:val="20"/>
          <w:highlight w:val="none"/>
        </w:rPr>
        <w:t>二、交易文件的构成、澄清、修改</w:t>
      </w:r>
      <w:bookmarkEnd w:id="29"/>
      <w:bookmarkEnd w:id="30"/>
      <w:bookmarkEnd w:id="31"/>
      <w:bookmarkEnd w:id="32"/>
    </w:p>
    <w:p w14:paraId="3044BEBD">
      <w:pPr>
        <w:pStyle w:val="35"/>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5.交易文件的构成</w:t>
      </w:r>
    </w:p>
    <w:p w14:paraId="54E8A5EF">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5.1交易文件包括下列文件及附件：</w:t>
      </w:r>
    </w:p>
    <w:p w14:paraId="4C66A2A1">
      <w:pPr>
        <w:pStyle w:val="35"/>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5.1.1交易公告；</w:t>
      </w:r>
    </w:p>
    <w:p w14:paraId="18A60207">
      <w:pPr>
        <w:pStyle w:val="35"/>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5.1.2供应商须知；</w:t>
      </w:r>
    </w:p>
    <w:p w14:paraId="18173A9C">
      <w:pPr>
        <w:pStyle w:val="35"/>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1BEABA6A">
      <w:pPr>
        <w:pStyle w:val="35"/>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5.1.4评审办法；</w:t>
      </w:r>
    </w:p>
    <w:p w14:paraId="0044A40B">
      <w:pPr>
        <w:pStyle w:val="35"/>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795B94E7">
      <w:pPr>
        <w:pStyle w:val="35"/>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6EBA849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澄清或者修改的内容为交易文件的组成部分</w:t>
      </w:r>
      <w:r>
        <w:rPr>
          <w:rFonts w:hint="eastAsia" w:ascii="仿宋" w:hAnsi="仿宋" w:eastAsia="仿宋" w:cs="仿宋"/>
          <w:color w:val="auto"/>
          <w:sz w:val="24"/>
          <w:highlight w:val="none"/>
        </w:rPr>
        <w:t>。</w:t>
      </w:r>
    </w:p>
    <w:p w14:paraId="5D41D9BF">
      <w:pPr>
        <w:pStyle w:val="35"/>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6.交易文件的澄清、修改</w:t>
      </w:r>
    </w:p>
    <w:p w14:paraId="7E7BC961">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6.1已获取交易文件的潜在供应商，若有问题需要澄清，应于响应截止时间前，以书面形式向采购代理机构提出。</w:t>
      </w:r>
    </w:p>
    <w:p w14:paraId="066563ED">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6.2采购代理机构对交易文件进行澄清或修改的，将同时通过电子交易平台通知已获取交易文件的潜在供应商。依法应当公告的，将按规定公告，同时视情况延长响应截止时间和</w:t>
      </w:r>
      <w:r>
        <w:rPr>
          <w:rFonts w:hint="eastAsia" w:ascii="仿宋" w:hAnsi="仿宋" w:eastAsia="仿宋" w:cs="仿宋"/>
          <w:color w:val="auto"/>
          <w:highlight w:val="none"/>
          <w:lang w:eastAsia="zh-CN"/>
        </w:rPr>
        <w:t>开标</w:t>
      </w:r>
      <w:r>
        <w:rPr>
          <w:rFonts w:hint="eastAsia" w:ascii="仿宋" w:hAnsi="仿宋" w:eastAsia="仿宋" w:cs="仿宋"/>
          <w:color w:val="auto"/>
          <w:highlight w:val="none"/>
        </w:rPr>
        <w:t>时间。该澄清或者修改的内容为交易文件的组成部分。</w:t>
      </w:r>
    </w:p>
    <w:p w14:paraId="067295F9">
      <w:pPr>
        <w:pStyle w:val="26"/>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1DBB9250">
      <w:pPr>
        <w:adjustRightInd/>
        <w:spacing w:line="360" w:lineRule="auto"/>
        <w:jc w:val="center"/>
        <w:outlineLvl w:val="0"/>
        <w:rPr>
          <w:rFonts w:hint="eastAsia" w:ascii="仿宋" w:hAnsi="仿宋" w:eastAsia="仿宋" w:cs="仿宋"/>
          <w:b/>
          <w:color w:val="auto"/>
          <w:sz w:val="32"/>
          <w:szCs w:val="21"/>
          <w:highlight w:val="none"/>
        </w:rPr>
      </w:pPr>
      <w:bookmarkStart w:id="33" w:name="_Toc5564"/>
      <w:bookmarkStart w:id="34" w:name="_Toc25528"/>
      <w:bookmarkStart w:id="35" w:name="_Toc31530"/>
      <w:bookmarkStart w:id="36" w:name="_Toc19369"/>
      <w:r>
        <w:rPr>
          <w:rFonts w:hint="eastAsia" w:ascii="仿宋" w:hAnsi="仿宋" w:eastAsia="仿宋" w:cs="仿宋"/>
          <w:b/>
          <w:color w:val="auto"/>
          <w:sz w:val="32"/>
          <w:szCs w:val="21"/>
          <w:highlight w:val="none"/>
        </w:rPr>
        <w:t>三、</w:t>
      </w:r>
      <w:bookmarkEnd w:id="33"/>
      <w:bookmarkEnd w:id="34"/>
      <w:r>
        <w:rPr>
          <w:rFonts w:hint="eastAsia" w:ascii="仿宋" w:hAnsi="仿宋" w:eastAsia="仿宋" w:cs="仿宋"/>
          <w:b/>
          <w:color w:val="auto"/>
          <w:sz w:val="32"/>
          <w:szCs w:val="21"/>
          <w:highlight w:val="none"/>
        </w:rPr>
        <w:t>响应</w:t>
      </w:r>
      <w:bookmarkEnd w:id="35"/>
      <w:bookmarkEnd w:id="36"/>
    </w:p>
    <w:p w14:paraId="30886573">
      <w:pPr>
        <w:pStyle w:val="35"/>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7.交易文件的获取</w:t>
      </w:r>
    </w:p>
    <w:p w14:paraId="12491E0B">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详见交易公告中获取交易文件的时间期限、地点、方式及交易文件售价。</w:t>
      </w:r>
    </w:p>
    <w:p w14:paraId="0727ED89">
      <w:pPr>
        <w:pStyle w:val="35"/>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w:t>
      </w:r>
      <w:r>
        <w:rPr>
          <w:rFonts w:hint="eastAsia" w:ascii="仿宋" w:hAnsi="仿宋" w:eastAsia="仿宋" w:cs="仿宋"/>
          <w:b/>
          <w:color w:val="auto"/>
          <w:sz w:val="24"/>
          <w:szCs w:val="24"/>
          <w:highlight w:val="none"/>
          <w:lang w:eastAsia="zh-CN"/>
        </w:rPr>
        <w:t>开标</w:t>
      </w:r>
      <w:r>
        <w:rPr>
          <w:rFonts w:hint="eastAsia" w:ascii="仿宋" w:hAnsi="仿宋" w:eastAsia="仿宋" w:cs="仿宋"/>
          <w:b/>
          <w:color w:val="auto"/>
          <w:sz w:val="24"/>
          <w:szCs w:val="24"/>
          <w:highlight w:val="none"/>
        </w:rPr>
        <w:t>前答疑会或现场考察</w:t>
      </w:r>
    </w:p>
    <w:p w14:paraId="72BECEA0">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交易人组织潜在供应商现场考察或者召开</w:t>
      </w:r>
      <w:r>
        <w:rPr>
          <w:rFonts w:hint="eastAsia" w:ascii="仿宋" w:hAnsi="仿宋" w:eastAsia="仿宋" w:cs="仿宋"/>
          <w:color w:val="auto"/>
          <w:sz w:val="24"/>
          <w:szCs w:val="24"/>
          <w:highlight w:val="none"/>
          <w:lang w:eastAsia="zh-CN"/>
        </w:rPr>
        <w:t>开标</w:t>
      </w:r>
      <w:r>
        <w:rPr>
          <w:rFonts w:hint="eastAsia" w:ascii="仿宋" w:hAnsi="仿宋" w:eastAsia="仿宋" w:cs="仿宋"/>
          <w:color w:val="auto"/>
          <w:sz w:val="24"/>
          <w:szCs w:val="24"/>
          <w:highlight w:val="none"/>
        </w:rPr>
        <w:t>前答疑会的，潜在供应商按第二部分供应商须知前附表的规定参加现场考察或者</w:t>
      </w:r>
      <w:r>
        <w:rPr>
          <w:rFonts w:hint="eastAsia" w:ascii="仿宋" w:hAnsi="仿宋" w:eastAsia="仿宋" w:cs="仿宋"/>
          <w:color w:val="auto"/>
          <w:sz w:val="24"/>
          <w:szCs w:val="24"/>
          <w:highlight w:val="none"/>
          <w:lang w:eastAsia="zh-CN"/>
        </w:rPr>
        <w:t>开标</w:t>
      </w:r>
      <w:r>
        <w:rPr>
          <w:rFonts w:hint="eastAsia" w:ascii="仿宋" w:hAnsi="仿宋" w:eastAsia="仿宋" w:cs="仿宋"/>
          <w:color w:val="auto"/>
          <w:sz w:val="24"/>
          <w:szCs w:val="24"/>
          <w:highlight w:val="none"/>
        </w:rPr>
        <w:t>前答疑会。</w:t>
      </w:r>
    </w:p>
    <w:p w14:paraId="7BAFC0E0">
      <w:pPr>
        <w:pStyle w:val="35"/>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9.响应保证金</w:t>
      </w:r>
    </w:p>
    <w:p w14:paraId="52A30331">
      <w:pPr>
        <w:pStyle w:val="1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本项目不需缴纳响应保证金。</w:t>
      </w:r>
    </w:p>
    <w:p w14:paraId="3B489142">
      <w:pPr>
        <w:pStyle w:val="35"/>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10.响应文件的语言</w:t>
      </w:r>
    </w:p>
    <w:p w14:paraId="6E4C78A3">
      <w:pPr>
        <w:pStyle w:val="18"/>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响应文件及供应商与采购有关的来往通知、函件和文件均应使用中文。</w:t>
      </w:r>
    </w:p>
    <w:p w14:paraId="527B243C">
      <w:pPr>
        <w:pStyle w:val="35"/>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11.响应文件的组成</w:t>
      </w:r>
    </w:p>
    <w:p w14:paraId="159C774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29B2C77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11.1.1符合参加采购活动应当具备的一般条件的承诺函；</w:t>
      </w:r>
    </w:p>
    <w:p w14:paraId="2B6BCD7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落实政府采购政策需满足的资格要求</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sz w:val="24"/>
          <w:highlight w:val="none"/>
        </w:rPr>
        <w:t>；</w:t>
      </w:r>
    </w:p>
    <w:p w14:paraId="1DFADC6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sz w:val="24"/>
          <w:highlight w:val="none"/>
        </w:rPr>
        <w:t>。</w:t>
      </w:r>
    </w:p>
    <w:p w14:paraId="2075BC4A">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047EED3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11.2.1响应函；</w:t>
      </w:r>
    </w:p>
    <w:p w14:paraId="605B6A7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162B8AE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sz w:val="24"/>
          <w:highlight w:val="none"/>
        </w:rPr>
        <w:t>；</w:t>
      </w:r>
    </w:p>
    <w:p w14:paraId="475881E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3EB8EFE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5F4D00E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11.2.6响应标的清单及说明；</w:t>
      </w:r>
    </w:p>
    <w:p w14:paraId="069AF22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1CEADA9F">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采购供应商廉洁自律承诺书；</w:t>
      </w:r>
    </w:p>
    <w:p w14:paraId="528301A3">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34BE9F7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11.3.1</w:t>
      </w:r>
      <w:r>
        <w:rPr>
          <w:rFonts w:hint="eastAsia" w:ascii="仿宋" w:hAnsi="仿宋" w:eastAsia="仿宋" w:cs="仿宋"/>
          <w:color w:val="auto"/>
          <w:sz w:val="24"/>
          <w:highlight w:val="none"/>
          <w:lang w:eastAsia="zh-CN"/>
        </w:rPr>
        <w:t>开标</w:t>
      </w:r>
      <w:r>
        <w:rPr>
          <w:rFonts w:hint="eastAsia" w:ascii="仿宋" w:hAnsi="仿宋" w:eastAsia="仿宋" w:cs="仿宋"/>
          <w:color w:val="auto"/>
          <w:sz w:val="24"/>
          <w:highlight w:val="none"/>
        </w:rPr>
        <w:t>一览表（报价表）；</w:t>
      </w:r>
    </w:p>
    <w:p w14:paraId="66A6C74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响应文件含有交易人不能接受的附加条件的，响应无效；</w:t>
      </w:r>
    </w:p>
    <w:p w14:paraId="78B2085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供应商提供虚假材料响应的，响应无效。</w:t>
      </w:r>
    </w:p>
    <w:p w14:paraId="7CDFEF6C">
      <w:pPr>
        <w:snapToGrid w:val="0"/>
        <w:spacing w:line="360" w:lineRule="auto"/>
        <w:ind w:firstLine="482" w:firstLineChars="200"/>
        <w:rPr>
          <w:rFonts w:hint="eastAsia" w:ascii="仿宋" w:hAnsi="仿宋" w:eastAsia="仿宋" w:cs="仿宋"/>
          <w:b/>
          <w:color w:val="auto"/>
          <w:sz w:val="24"/>
          <w:highlight w:val="none"/>
        </w:rPr>
      </w:pPr>
      <w:bookmarkStart w:id="37" w:name="_Toc21752"/>
      <w:r>
        <w:rPr>
          <w:rFonts w:hint="eastAsia" w:ascii="仿宋" w:hAnsi="仿宋" w:eastAsia="仿宋" w:cs="仿宋"/>
          <w:b/>
          <w:color w:val="auto"/>
          <w:sz w:val="24"/>
          <w:highlight w:val="none"/>
        </w:rPr>
        <w:t>12</w:t>
      </w:r>
      <w:r>
        <w:rPr>
          <w:rFonts w:hint="eastAsia" w:ascii="仿宋" w:hAnsi="仿宋" w:eastAsia="仿宋" w:cs="仿宋"/>
          <w:b/>
          <w:color w:val="auto"/>
          <w:sz w:val="24"/>
          <w:highlight w:val="none"/>
          <w:lang w:val="zh-CN"/>
        </w:rPr>
        <w:t>.</w:t>
      </w:r>
      <w:r>
        <w:rPr>
          <w:rFonts w:hint="eastAsia" w:ascii="仿宋" w:hAnsi="仿宋" w:eastAsia="仿宋" w:cs="仿宋"/>
          <w:b/>
          <w:color w:val="auto"/>
          <w:sz w:val="24"/>
          <w:highlight w:val="none"/>
        </w:rPr>
        <w:t>响应文件的编制</w:t>
      </w:r>
      <w:bookmarkEnd w:id="37"/>
    </w:p>
    <w:p w14:paraId="58F5D86D">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响应文件分为资格文件、商务技术文件、报价文件三部分。各供应商在编制响应文件时请按照交易文件第六部分规定的格式进行，混乱的编排导致响应文件被误读或评审委员会查找不到有效文件是供应商的风险。</w:t>
      </w:r>
    </w:p>
    <w:p w14:paraId="44BDDA83">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12.2供应商进行电子响应应安装客户端软件—“政采云电子交易客户端”，并按照交易文件和电子交易平台的要求编制并加密响应文件。供应商未按规定加密的响应文件，电子交易平台将拒收并提示。</w:t>
      </w:r>
    </w:p>
    <w:p w14:paraId="0D716E1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3160B04">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13.响应文件的签署、盖章</w:t>
      </w:r>
    </w:p>
    <w:p w14:paraId="6C0C5AA4">
      <w:pPr>
        <w:pStyle w:val="134"/>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13.1响应文件按照交易文件第六部分格式要求进行签署、盖章。</w:t>
      </w:r>
      <w:r>
        <w:rPr>
          <w:rFonts w:hint="eastAsia" w:ascii="仿宋" w:hAnsi="仿宋" w:eastAsia="仿宋" w:cs="仿宋"/>
          <w:b/>
          <w:color w:val="auto"/>
          <w:szCs w:val="24"/>
          <w:highlight w:val="none"/>
        </w:rPr>
        <w:t>▲供应商的响应文件未按照交易文件要求签署、盖章的，其响应无效</w:t>
      </w:r>
      <w:r>
        <w:rPr>
          <w:rFonts w:hint="eastAsia" w:ascii="仿宋" w:hAnsi="仿宋" w:eastAsia="仿宋" w:cs="仿宋"/>
          <w:color w:val="auto"/>
          <w:szCs w:val="24"/>
          <w:highlight w:val="none"/>
        </w:rPr>
        <w:t>。</w:t>
      </w:r>
    </w:p>
    <w:p w14:paraId="203F680B">
      <w:pPr>
        <w:pStyle w:val="13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13.2为确保网上操作合法、有效和安全，供应商应当在响应截止时间前完成在“政府采购云平台”的身份认证，确保在电子响应过程中能够对相关数据电文进行加密和使用电子签名。</w:t>
      </w:r>
    </w:p>
    <w:p w14:paraId="3B513F2C">
      <w:pPr>
        <w:pStyle w:val="13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13.3交易文件对响应文件签署、盖章的要求适用于电子签名。</w:t>
      </w:r>
    </w:p>
    <w:p w14:paraId="6CBFD570">
      <w:pPr>
        <w:pStyle w:val="35"/>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14.响应文件的提交、补充、修改、撤回</w:t>
      </w:r>
    </w:p>
    <w:p w14:paraId="7702FE59">
      <w:pPr>
        <w:pStyle w:val="13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1C008463">
      <w:pPr>
        <w:pStyle w:val="13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14.2电子交易平台收到响应文件，将妥善保存并即时向供应商发出确认回执通知。在响应截止时间前，除供应商补充、修改或者撤回响应文件外，任何单位和个人不得解密或提取响应文件。</w:t>
      </w:r>
    </w:p>
    <w:p w14:paraId="7CA587E6">
      <w:pPr>
        <w:pStyle w:val="13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14.3交易人、采购代理机构可以视情况延长响应文件提交的截止时间。在上述情况下，采购代理机构与供应商以前在响应截止期方面的全部权利、责任和义务，将适用于延长至新的响应截止期。</w:t>
      </w:r>
    </w:p>
    <w:p w14:paraId="1BF1A988">
      <w:pPr>
        <w:pStyle w:val="35"/>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15.备份响应文件</w:t>
      </w:r>
    </w:p>
    <w:p w14:paraId="0138ADCA">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15.1供应商在电子交易平台传输递交响应文件后，还可以在响应截止时间前直接提交或者以邮政快递方式递交备份响应文件1份，</w:t>
      </w:r>
      <w:r>
        <w:rPr>
          <w:rFonts w:hint="eastAsia" w:ascii="仿宋" w:hAnsi="仿宋" w:eastAsia="仿宋" w:cs="仿宋"/>
          <w:b/>
          <w:color w:val="auto"/>
          <w:sz w:val="24"/>
          <w:szCs w:val="24"/>
          <w:highlight w:val="none"/>
        </w:rPr>
        <w:t>但交易人、采购代理机构不强制或变相强制供应商提交备份响应文件。</w:t>
      </w:r>
    </w:p>
    <w:p w14:paraId="39ACA24B">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响应文件须在“政采云投标客户端”制作生成，并储存在DVD光盘等存储介质中。备份响应文件应当密封包装并在包装上加盖公章并注明响应项目名称，供应商名称(联合体交易的，包装物封面需注明联合体交易，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不符合上述制作、存储、密封规定的备份响应文件将被视为无效或者被拒绝接收。</w:t>
      </w:r>
    </w:p>
    <w:p w14:paraId="08807B46">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15.3直接提交备份响应文件的，供应商应于响应截止时间前将备份响应文件提交给采购代理机构，采购代理机构将拒绝接受逾期送达的备份响应文件。</w:t>
      </w:r>
    </w:p>
    <w:p w14:paraId="0294B301">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15.4以邮政快递方式递交备份响应文件的，供应商应先将备份响应文件按要求密封和标记，再进行邮政快递包装后邮寄。备份响应文件须在响应截止时间之前送达</w:t>
      </w:r>
      <w:r>
        <w:rPr>
          <w:rFonts w:hint="eastAsia" w:ascii="仿宋" w:hAnsi="仿宋" w:eastAsia="仿宋" w:cs="仿宋"/>
          <w:snapToGrid/>
          <w:color w:val="auto"/>
          <w:sz w:val="24"/>
          <w:szCs w:val="24"/>
          <w:highlight w:val="none"/>
        </w:rPr>
        <w:t>交易文件第二部分供应商须知前附表规定的备份响应文件送达地点；</w:t>
      </w:r>
      <w:r>
        <w:rPr>
          <w:rFonts w:hint="eastAsia" w:ascii="仿宋" w:hAnsi="仿宋" w:eastAsia="仿宋" w:cs="仿宋"/>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18CA0302">
      <w:pPr>
        <w:pStyle w:val="35"/>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15.5供应商仅提交备份响应文件，未在电子交易平台传输递交响应文件的，响应无效。</w:t>
      </w:r>
    </w:p>
    <w:p w14:paraId="21DCF029">
      <w:pPr>
        <w:pStyle w:val="134"/>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16.响应文件的无效处理</w:t>
      </w:r>
    </w:p>
    <w:p w14:paraId="1633FB90">
      <w:pPr>
        <w:pStyle w:val="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有交易文件第四部分4.2规定的情形之一的，响应无效：</w:t>
      </w:r>
    </w:p>
    <w:p w14:paraId="3AC97955">
      <w:pPr>
        <w:pStyle w:val="134"/>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17.响应有效期</w:t>
      </w:r>
    </w:p>
    <w:p w14:paraId="56DF4367">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17.1响应有效期为从提交响应文件的截止之日起90天。▲</w:t>
      </w:r>
      <w:r>
        <w:rPr>
          <w:rFonts w:hint="eastAsia" w:ascii="仿宋" w:hAnsi="仿宋" w:eastAsia="仿宋" w:cs="仿宋"/>
          <w:b/>
          <w:color w:val="auto"/>
          <w:sz w:val="24"/>
          <w:highlight w:val="none"/>
        </w:rPr>
        <w:t>供应商的响应文件中承诺的响应有效期少于交易文件中载明的响应有效期的，响应无效。</w:t>
      </w:r>
    </w:p>
    <w:p w14:paraId="7C7BCD36">
      <w:pPr>
        <w:pStyle w:val="13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17.2响应文件合格投递后，自响应截止日期起，在响应有效期内有效。</w:t>
      </w:r>
    </w:p>
    <w:p w14:paraId="6AEE8019">
      <w:pPr>
        <w:pStyle w:val="13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17.3在原定响应有效期满之前，如果出现特殊情况，采购代理机构可以以书面形式通知供应商延长响应有效期。供应商同意延长的，不得要求或被允许修改其响应文件，供应商拒绝延长的，其响应无效。</w:t>
      </w:r>
    </w:p>
    <w:p w14:paraId="3863B641">
      <w:pPr>
        <w:pStyle w:val="26"/>
        <w:rPr>
          <w:rFonts w:hint="eastAsia" w:ascii="仿宋" w:hAnsi="仿宋" w:eastAsia="仿宋" w:cs="仿宋"/>
          <w:color w:val="auto"/>
          <w:sz w:val="18"/>
          <w:szCs w:val="18"/>
          <w:highlight w:val="none"/>
          <w:lang w:val="en-US"/>
        </w:rPr>
      </w:pPr>
      <w:bookmarkStart w:id="38" w:name="_Toc12266"/>
    </w:p>
    <w:p w14:paraId="2C41B371">
      <w:pPr>
        <w:adjustRightInd/>
        <w:spacing w:line="360" w:lineRule="auto"/>
        <w:jc w:val="center"/>
        <w:outlineLvl w:val="0"/>
        <w:rPr>
          <w:rFonts w:hint="eastAsia" w:ascii="仿宋" w:hAnsi="仿宋" w:eastAsia="仿宋" w:cs="仿宋"/>
          <w:b/>
          <w:color w:val="auto"/>
          <w:sz w:val="32"/>
          <w:szCs w:val="21"/>
          <w:highlight w:val="none"/>
        </w:rPr>
      </w:pPr>
      <w:bookmarkStart w:id="39" w:name="_Toc12937"/>
      <w:bookmarkStart w:id="40" w:name="_Toc12187"/>
      <w:r>
        <w:rPr>
          <w:rFonts w:hint="eastAsia" w:ascii="仿宋" w:hAnsi="仿宋" w:eastAsia="仿宋" w:cs="仿宋"/>
          <w:b/>
          <w:color w:val="auto"/>
          <w:sz w:val="32"/>
          <w:szCs w:val="21"/>
          <w:highlight w:val="none"/>
        </w:rPr>
        <w:t>四、</w:t>
      </w:r>
      <w:r>
        <w:rPr>
          <w:rFonts w:hint="eastAsia" w:ascii="仿宋" w:hAnsi="仿宋" w:eastAsia="仿宋" w:cs="仿宋"/>
          <w:b/>
          <w:color w:val="auto"/>
          <w:sz w:val="32"/>
          <w:szCs w:val="21"/>
          <w:highlight w:val="none"/>
          <w:lang w:eastAsia="zh-CN"/>
        </w:rPr>
        <w:t>开标</w:t>
      </w:r>
      <w:r>
        <w:rPr>
          <w:rFonts w:hint="eastAsia" w:ascii="仿宋" w:hAnsi="仿宋" w:eastAsia="仿宋" w:cs="仿宋"/>
          <w:b/>
          <w:color w:val="auto"/>
          <w:sz w:val="32"/>
          <w:szCs w:val="21"/>
          <w:highlight w:val="none"/>
        </w:rPr>
        <w:t>、资格审查与信用信息查询</w:t>
      </w:r>
      <w:bookmarkEnd w:id="38"/>
      <w:bookmarkEnd w:id="39"/>
      <w:bookmarkEnd w:id="40"/>
    </w:p>
    <w:p w14:paraId="4C0FA330">
      <w:pPr>
        <w:pStyle w:val="557"/>
        <w:spacing w:before="0" w:line="360" w:lineRule="auto"/>
        <w:ind w:left="0" w:firstLine="482" w:firstLineChars="2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w:t>
      </w:r>
      <w:r>
        <w:rPr>
          <w:rFonts w:hint="eastAsia" w:ascii="仿宋" w:hAnsi="仿宋" w:eastAsia="仿宋" w:cs="仿宋"/>
          <w:b/>
          <w:color w:val="auto"/>
          <w:sz w:val="24"/>
          <w:szCs w:val="24"/>
          <w:highlight w:val="none"/>
          <w:lang w:eastAsia="zh-CN"/>
        </w:rPr>
        <w:t>开标</w:t>
      </w:r>
      <w:r>
        <w:rPr>
          <w:rFonts w:hint="eastAsia" w:ascii="仿宋" w:hAnsi="仿宋" w:eastAsia="仿宋" w:cs="仿宋"/>
          <w:color w:val="auto"/>
          <w:sz w:val="24"/>
          <w:highlight w:val="none"/>
        </w:rPr>
        <w:t xml:space="preserve"> </w:t>
      </w:r>
    </w:p>
    <w:p w14:paraId="1C7C6FE5">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18.1采购代理机构按照交易文件规定的时间通过电子交易平台组织</w:t>
      </w:r>
      <w:r>
        <w:rPr>
          <w:rFonts w:hint="eastAsia" w:ascii="仿宋" w:hAnsi="仿宋" w:eastAsia="仿宋" w:cs="仿宋"/>
          <w:color w:val="auto"/>
          <w:sz w:val="24"/>
          <w:highlight w:val="none"/>
          <w:lang w:eastAsia="zh-CN"/>
        </w:rPr>
        <w:t>开标</w:t>
      </w:r>
      <w:r>
        <w:rPr>
          <w:rFonts w:hint="eastAsia" w:ascii="仿宋" w:hAnsi="仿宋" w:eastAsia="仿宋" w:cs="仿宋"/>
          <w:color w:val="auto"/>
          <w:sz w:val="24"/>
          <w:highlight w:val="none"/>
        </w:rPr>
        <w:t>，所有供应商均应当准时在线参加。供应商不足3家的，不得</w:t>
      </w:r>
      <w:r>
        <w:rPr>
          <w:rFonts w:hint="eastAsia" w:ascii="仿宋" w:hAnsi="仿宋" w:eastAsia="仿宋" w:cs="仿宋"/>
          <w:color w:val="auto"/>
          <w:sz w:val="24"/>
          <w:highlight w:val="none"/>
          <w:lang w:eastAsia="zh-CN"/>
        </w:rPr>
        <w:t>开标</w:t>
      </w:r>
      <w:r>
        <w:rPr>
          <w:rFonts w:hint="eastAsia" w:ascii="仿宋" w:hAnsi="仿宋" w:eastAsia="仿宋" w:cs="仿宋"/>
          <w:color w:val="auto"/>
          <w:sz w:val="24"/>
          <w:highlight w:val="none"/>
        </w:rPr>
        <w:t>。</w:t>
      </w:r>
    </w:p>
    <w:p w14:paraId="7B493E4B">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w:t>
      </w:r>
      <w:r>
        <w:rPr>
          <w:rFonts w:hint="eastAsia" w:ascii="仿宋" w:hAnsi="仿宋" w:eastAsia="仿宋" w:cs="仿宋"/>
          <w:color w:val="auto"/>
          <w:sz w:val="24"/>
          <w:highlight w:val="none"/>
          <w:lang w:eastAsia="zh-CN"/>
        </w:rPr>
        <w:t>开标</w:t>
      </w:r>
      <w:r>
        <w:rPr>
          <w:rFonts w:hint="eastAsia" w:ascii="仿宋" w:hAnsi="仿宋" w:eastAsia="仿宋" w:cs="仿宋"/>
          <w:color w:val="auto"/>
          <w:sz w:val="24"/>
          <w:highlight w:val="none"/>
        </w:rPr>
        <w:t>时，电子交易平台按交易地点自动提取所有响应文件。采购代理机构依托电子交易平台发起开始解密指令，供应商按照平台提示和交易文件的规定在半小时内完成在线解密。</w:t>
      </w:r>
    </w:p>
    <w:p w14:paraId="7FC632CF">
      <w:pPr>
        <w:pStyle w:val="557"/>
        <w:spacing w:before="0" w:line="360" w:lineRule="auto"/>
        <w:ind w:left="0" w:firstLine="482" w:firstLineChars="200"/>
        <w:contextualSpacing/>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18.3</w:t>
      </w:r>
      <w:r>
        <w:rPr>
          <w:rFonts w:hint="eastAsia" w:ascii="仿宋" w:hAnsi="仿宋" w:eastAsia="仿宋" w:cs="仿宋"/>
          <w:b/>
          <w:color w:val="auto"/>
          <w:sz w:val="24"/>
          <w:highlight w:val="none"/>
        </w:rPr>
        <w:t>响应文件未按时解密，供应商提供了备份响应文件的，以备份响应文件作为依据，否则视为响应文件撤回。响应文件已按时解密的，备份响应文件自动失效。</w:t>
      </w:r>
    </w:p>
    <w:p w14:paraId="68769BFC">
      <w:pPr>
        <w:widowControl/>
        <w:spacing w:line="360" w:lineRule="auto"/>
        <w:ind w:firstLine="482" w:firstLineChars="200"/>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19.资格审查</w:t>
      </w:r>
    </w:p>
    <w:p w14:paraId="64D8C06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交易人或采购代理机构依据法律法规和交易文件的规定，对供应商的资格进行审查。</w:t>
      </w:r>
    </w:p>
    <w:p w14:paraId="59B988A3">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19.2供应商未按照交易文件要求提供与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供应商不具备交易文件中规定的资格要求，其响应无效。</w:t>
      </w:r>
    </w:p>
    <w:p w14:paraId="1302B58D">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3对未通过资格审查的供应商，交易人或采购代理机构告知其未通过的原因。</w:t>
      </w:r>
    </w:p>
    <w:p w14:paraId="7DF54404">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4合格供应商不足3家的，不再评审。</w:t>
      </w:r>
    </w:p>
    <w:p w14:paraId="1D95985E">
      <w:pPr>
        <w:pStyle w:val="134"/>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6415A55F">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667D5840">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20.2信用信息查询记录和证据留存的具体方式：现场查询的供应商的信用记录、查询结果经确认后将与交易文件一起存档。</w:t>
      </w:r>
    </w:p>
    <w:p w14:paraId="7E19A83D">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20.3信用信息的使用规则：经查询列入失信被执行人名单、重大税收违法案件当事人名单、政府采购严重违法失信行为记录名单的供应商将被拒绝参与采购活动。</w:t>
      </w:r>
    </w:p>
    <w:p w14:paraId="62A368EA">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0307E07F">
      <w:pPr>
        <w:pStyle w:val="134"/>
        <w:spacing w:before="0"/>
        <w:ind w:firstLine="0" w:firstLineChars="0"/>
        <w:rPr>
          <w:rFonts w:hint="eastAsia" w:ascii="仿宋" w:hAnsi="仿宋" w:eastAsia="仿宋" w:cs="仿宋"/>
          <w:color w:val="auto"/>
          <w:kern w:val="0"/>
          <w:szCs w:val="24"/>
          <w:highlight w:val="none"/>
        </w:rPr>
      </w:pPr>
    </w:p>
    <w:p w14:paraId="6CF3119B">
      <w:pPr>
        <w:snapToGrid w:val="0"/>
        <w:spacing w:line="360" w:lineRule="auto"/>
        <w:jc w:val="center"/>
        <w:outlineLvl w:val="0"/>
        <w:rPr>
          <w:rFonts w:hint="eastAsia" w:ascii="仿宋" w:hAnsi="仿宋" w:eastAsia="仿宋" w:cs="仿宋"/>
          <w:b/>
          <w:color w:val="auto"/>
          <w:sz w:val="32"/>
          <w:szCs w:val="32"/>
          <w:highlight w:val="none"/>
        </w:rPr>
      </w:pPr>
      <w:bookmarkStart w:id="41" w:name="_Toc20752"/>
      <w:bookmarkStart w:id="42" w:name="_Toc14499"/>
      <w:bookmarkStart w:id="43" w:name="_Toc25671"/>
      <w:bookmarkStart w:id="44" w:name="_Toc18437"/>
      <w:r>
        <w:rPr>
          <w:rFonts w:hint="eastAsia" w:ascii="仿宋" w:hAnsi="仿宋" w:eastAsia="仿宋" w:cs="仿宋"/>
          <w:b/>
          <w:color w:val="auto"/>
          <w:sz w:val="32"/>
          <w:szCs w:val="32"/>
          <w:highlight w:val="none"/>
        </w:rPr>
        <w:t>五、</w:t>
      </w:r>
      <w:bookmarkEnd w:id="41"/>
      <w:bookmarkEnd w:id="42"/>
      <w:r>
        <w:rPr>
          <w:rFonts w:hint="eastAsia" w:ascii="仿宋" w:hAnsi="仿宋" w:eastAsia="仿宋" w:cs="仿宋"/>
          <w:b/>
          <w:color w:val="auto"/>
          <w:sz w:val="32"/>
          <w:szCs w:val="32"/>
          <w:highlight w:val="none"/>
        </w:rPr>
        <w:t>评审</w:t>
      </w:r>
      <w:bookmarkEnd w:id="43"/>
      <w:bookmarkEnd w:id="44"/>
    </w:p>
    <w:p w14:paraId="0D549005">
      <w:pPr>
        <w:spacing w:line="360" w:lineRule="auto"/>
        <w:ind w:firstLine="480" w:firstLineChars="200"/>
        <w:rPr>
          <w:rFonts w:hint="eastAsia" w:ascii="仿宋" w:hAnsi="仿宋" w:eastAsia="仿宋" w:cs="仿宋"/>
          <w:b/>
          <w:color w:val="auto"/>
          <w:sz w:val="24"/>
          <w:highlight w:val="none"/>
        </w:rPr>
      </w:pPr>
      <w:bookmarkStart w:id="45" w:name="_Toc91899903"/>
      <w:r>
        <w:rPr>
          <w:rFonts w:hint="eastAsia" w:ascii="仿宋" w:hAnsi="仿宋" w:eastAsia="仿宋" w:cs="仿宋"/>
          <w:bCs/>
          <w:color w:val="auto"/>
          <w:sz w:val="24"/>
          <w:highlight w:val="none"/>
        </w:rPr>
        <w:t>21.</w:t>
      </w:r>
      <w:r>
        <w:rPr>
          <w:rFonts w:hint="eastAsia" w:ascii="仿宋" w:hAnsi="仿宋" w:eastAsia="仿宋" w:cs="仿宋"/>
          <w:color w:val="auto"/>
          <w:sz w:val="24"/>
          <w:highlight w:val="none"/>
        </w:rPr>
        <w:t>评审委员会将根据交易文件和有关规定，履行评审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仿宋" w:hAnsi="仿宋" w:eastAsia="仿宋" w:cs="仿宋"/>
          <w:b/>
          <w:color w:val="auto"/>
          <w:sz w:val="24"/>
          <w:highlight w:val="none"/>
        </w:rPr>
        <w:t>详见交易文件第四部分评审办法。</w:t>
      </w:r>
    </w:p>
    <w:p w14:paraId="74068216">
      <w:pPr>
        <w:pStyle w:val="134"/>
        <w:spacing w:before="0"/>
        <w:ind w:firstLine="0" w:firstLineChars="0"/>
        <w:rPr>
          <w:rFonts w:hint="eastAsia" w:ascii="仿宋" w:hAnsi="仿宋" w:eastAsia="仿宋" w:cs="仿宋"/>
          <w:color w:val="auto"/>
          <w:kern w:val="0"/>
          <w:szCs w:val="24"/>
          <w:highlight w:val="none"/>
        </w:rPr>
      </w:pPr>
      <w:bookmarkStart w:id="46" w:name="_Toc5755"/>
      <w:bookmarkStart w:id="47" w:name="_Toc3025"/>
    </w:p>
    <w:p w14:paraId="5383ECE9">
      <w:pPr>
        <w:snapToGrid w:val="0"/>
        <w:spacing w:line="360" w:lineRule="auto"/>
        <w:jc w:val="center"/>
        <w:outlineLvl w:val="0"/>
        <w:rPr>
          <w:rFonts w:hint="eastAsia" w:ascii="仿宋" w:hAnsi="仿宋" w:eastAsia="仿宋" w:cs="仿宋"/>
          <w:b/>
          <w:color w:val="auto"/>
          <w:sz w:val="32"/>
          <w:szCs w:val="32"/>
          <w:highlight w:val="none"/>
        </w:rPr>
      </w:pPr>
      <w:bookmarkStart w:id="48" w:name="_Toc8108"/>
      <w:bookmarkStart w:id="49" w:name="_Toc19516"/>
      <w:r>
        <w:rPr>
          <w:rFonts w:hint="eastAsia" w:ascii="仿宋" w:hAnsi="仿宋" w:eastAsia="仿宋" w:cs="仿宋"/>
          <w:b/>
          <w:color w:val="auto"/>
          <w:sz w:val="32"/>
          <w:szCs w:val="32"/>
          <w:highlight w:val="none"/>
        </w:rPr>
        <w:t>六、定标</w:t>
      </w:r>
      <w:bookmarkEnd w:id="46"/>
      <w:bookmarkEnd w:id="47"/>
      <w:bookmarkEnd w:id="48"/>
      <w:bookmarkEnd w:id="49"/>
    </w:p>
    <w:p w14:paraId="04FB4D4C">
      <w:pPr>
        <w:pStyle w:val="3"/>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22.确定成交供应商</w:t>
      </w:r>
    </w:p>
    <w:p w14:paraId="5E9F5391">
      <w:pPr>
        <w:pStyle w:val="134"/>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采购单位应当自收到评审报告之日起2个工作日内确定成交或者成交供应商。成交、成交通知书和成交、成交结果公告应当在规定时间内同时发出。</w:t>
      </w:r>
    </w:p>
    <w:p w14:paraId="764B4269">
      <w:pPr>
        <w:pStyle w:val="134"/>
        <w:snapToGrid w:val="0"/>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23.成交通知与成交结果公告</w:t>
      </w:r>
    </w:p>
    <w:p w14:paraId="202B114E">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23.1自成交人确定之日起2个工作日内，采购代理机构通过电子交易平台向成交人发出成交通知书，同时编制发布采购结果公告。采购代理机构也可以以纸质形式进行成交通知。</w:t>
      </w:r>
    </w:p>
    <w:p w14:paraId="40AB4757">
      <w:pPr>
        <w:widowControl/>
        <w:shd w:val="clear" w:color="auto" w:fill="FFFFFF"/>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23.2公告期限为1个工作日。</w:t>
      </w:r>
    </w:p>
    <w:p w14:paraId="30ED423D">
      <w:pPr>
        <w:pStyle w:val="134"/>
        <w:spacing w:before="0"/>
        <w:ind w:firstLine="0" w:firstLineChars="0"/>
        <w:rPr>
          <w:rFonts w:hint="eastAsia" w:ascii="仿宋" w:hAnsi="仿宋" w:eastAsia="仿宋" w:cs="仿宋"/>
          <w:color w:val="auto"/>
          <w:kern w:val="0"/>
          <w:szCs w:val="24"/>
          <w:highlight w:val="none"/>
        </w:rPr>
      </w:pPr>
    </w:p>
    <w:p w14:paraId="667358B4">
      <w:pPr>
        <w:snapToGrid w:val="0"/>
        <w:spacing w:line="360" w:lineRule="auto"/>
        <w:ind w:left="120" w:leftChars="57"/>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3A04529A">
      <w:pPr>
        <w:pStyle w:val="3"/>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1494BA7B">
      <w:pPr>
        <w:pStyle w:val="3"/>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14:paraId="34F0A655">
      <w:pPr>
        <w:widowControl/>
        <w:shd w:val="clear" w:color="auto" w:fill="FFFFFF"/>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交易人与成交人应当在成交通知书发出之日起三十日内，按照交易文件确定的事项签订采购合同。</w:t>
      </w:r>
    </w:p>
    <w:p w14:paraId="179FBE9D">
      <w:pPr>
        <w:pStyle w:val="134"/>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25.2成交人按规定的日期、时间、地点，由法定代表人或其授权代表与交易人代表签订合同。如成交人为联合体的，由联合体成员各方法定代表人或其授权代表与交易人代表签订合同。</w:t>
      </w:r>
    </w:p>
    <w:p w14:paraId="0A7383C4">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3B977E51">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25.4成交供应商拒绝与交易人签订合同的，交易人可以按照评审报告推荐的成交或者成交候选人名单排序，确定下一候选人为成交供应商，也可以重新开展采购活动。</w:t>
      </w:r>
    </w:p>
    <w:p w14:paraId="07B625B5">
      <w:pPr>
        <w:pStyle w:val="3"/>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26.履约保证金</w:t>
      </w:r>
    </w:p>
    <w:p w14:paraId="3D5EDA68">
      <w:pPr>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w:t>
      </w:r>
    </w:p>
    <w:p w14:paraId="2D96A09E">
      <w:pPr>
        <w:snapToGrid w:val="0"/>
        <w:spacing w:line="288" w:lineRule="auto"/>
        <w:ind w:firstLine="3357" w:firstLineChars="1045"/>
        <w:rPr>
          <w:rFonts w:hint="eastAsia" w:ascii="仿宋" w:hAnsi="仿宋" w:eastAsia="仿宋" w:cs="仿宋"/>
          <w:b/>
          <w:color w:val="auto"/>
          <w:sz w:val="32"/>
          <w:highlight w:val="none"/>
        </w:rPr>
      </w:pPr>
    </w:p>
    <w:p w14:paraId="2F26E00F">
      <w:pPr>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八、电子交易活动的中止</w:t>
      </w:r>
    </w:p>
    <w:p w14:paraId="5D2B45E9">
      <w:pPr>
        <w:pStyle w:val="134"/>
        <w:snapToGrid w:val="0"/>
        <w:spacing w:before="0"/>
        <w:ind w:firstLine="482"/>
        <w:rPr>
          <w:rFonts w:hint="eastAsia" w:ascii="仿宋" w:hAnsi="仿宋" w:eastAsia="仿宋" w:cs="仿宋"/>
          <w:b/>
          <w:color w:val="auto"/>
          <w:szCs w:val="24"/>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7</w:t>
      </w:r>
      <w:r>
        <w:rPr>
          <w:rFonts w:hint="eastAsia" w:ascii="仿宋" w:hAnsi="仿宋" w:eastAsia="仿宋" w:cs="仿宋"/>
          <w:b/>
          <w:color w:val="auto"/>
          <w:szCs w:val="24"/>
          <w:highlight w:val="none"/>
        </w:rPr>
        <w:t>.电子交易活动的中止</w:t>
      </w:r>
    </w:p>
    <w:p w14:paraId="2E3D2B49">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10CA116F">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4B1BDCA2">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15EB0867">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13E80A6E">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5E610870">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17374B49">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1AFF4AA">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DC81512">
      <w:pPr>
        <w:pStyle w:val="3"/>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28.验收</w:t>
      </w:r>
    </w:p>
    <w:p w14:paraId="1D49D240">
      <w:pPr>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28.1交易人组织对供应商履约的验收。</w:t>
      </w:r>
    </w:p>
    <w:bookmarkEnd w:id="45"/>
    <w:p w14:paraId="2F39ED1C">
      <w:pPr>
        <w:tabs>
          <w:tab w:val="left" w:pos="0"/>
        </w:tabs>
        <w:spacing w:line="360" w:lineRule="auto"/>
        <w:ind w:firstLine="480" w:firstLineChars="200"/>
        <w:rPr>
          <w:rFonts w:hint="eastAsia" w:ascii="仿宋" w:hAnsi="仿宋" w:eastAsia="仿宋" w:cs="仿宋"/>
          <w:color w:val="auto"/>
          <w:kern w:val="0"/>
          <w:sz w:val="24"/>
          <w:highlight w:val="none"/>
        </w:rPr>
        <w:sectPr>
          <w:pgSz w:w="11905" w:h="16838"/>
          <w:pgMar w:top="1417" w:right="1417" w:bottom="1417" w:left="1417" w:header="851" w:footer="850" w:gutter="0"/>
          <w:pgBorders>
            <w:top w:val="none" w:sz="0" w:space="0"/>
            <w:left w:val="none" w:sz="0" w:space="0"/>
            <w:bottom w:val="none" w:sz="0" w:space="0"/>
            <w:right w:val="none" w:sz="0" w:space="0"/>
          </w:pgBorders>
          <w:cols w:space="0" w:num="1"/>
          <w:docGrid w:linePitch="312" w:charSpace="0"/>
        </w:sectPr>
      </w:pPr>
      <w:bookmarkStart w:id="50" w:name="_Hlt75236011"/>
      <w:bookmarkEnd w:id="50"/>
      <w:bookmarkStart w:id="51" w:name="_Hlt74714665"/>
      <w:bookmarkEnd w:id="51"/>
      <w:bookmarkStart w:id="52" w:name="_Hlt74729768"/>
      <w:bookmarkEnd w:id="52"/>
      <w:bookmarkStart w:id="53" w:name="_Hlt74730295"/>
      <w:bookmarkEnd w:id="53"/>
      <w:bookmarkStart w:id="54" w:name="_Hlt68057669"/>
      <w:bookmarkEnd w:id="54"/>
      <w:bookmarkStart w:id="55" w:name="_Hlt74707468"/>
      <w:bookmarkEnd w:id="55"/>
      <w:bookmarkStart w:id="56" w:name="_Hlt75236290"/>
      <w:bookmarkEnd w:id="56"/>
      <w:bookmarkStart w:id="57" w:name="_Hlt68073093"/>
      <w:bookmarkEnd w:id="57"/>
      <w:bookmarkStart w:id="58" w:name="_Hlt75236101"/>
      <w:bookmarkEnd w:id="58"/>
      <w:bookmarkStart w:id="59" w:name="_Hlt68403820"/>
      <w:bookmarkEnd w:id="59"/>
      <w:bookmarkStart w:id="60" w:name="_Hlt68072990"/>
      <w:bookmarkEnd w:id="60"/>
      <w:bookmarkStart w:id="61" w:name="_Hlt68072998"/>
      <w:bookmarkEnd w:id="61"/>
    </w:p>
    <w:bookmarkEnd w:id="22"/>
    <w:bookmarkEnd w:id="23"/>
    <w:p w14:paraId="71517731">
      <w:pPr>
        <w:spacing w:line="360" w:lineRule="auto"/>
        <w:jc w:val="center"/>
        <w:outlineLvl w:val="0"/>
        <w:rPr>
          <w:rFonts w:hint="eastAsia" w:ascii="仿宋" w:hAnsi="仿宋" w:eastAsia="仿宋" w:cs="仿宋"/>
          <w:b/>
          <w:color w:val="auto"/>
          <w:sz w:val="36"/>
          <w:szCs w:val="36"/>
          <w:highlight w:val="none"/>
        </w:rPr>
      </w:pPr>
      <w:bookmarkStart w:id="62" w:name="_Toc5403"/>
      <w:bookmarkStart w:id="63" w:name="_Toc12399"/>
      <w:bookmarkStart w:id="64" w:name="_Toc1222"/>
      <w:bookmarkStart w:id="65" w:name="_Toc19271"/>
      <w:bookmarkStart w:id="66" w:name="第四部分"/>
      <w:r>
        <w:rPr>
          <w:rFonts w:hint="eastAsia" w:ascii="仿宋" w:hAnsi="仿宋" w:eastAsia="仿宋" w:cs="仿宋"/>
          <w:b/>
          <w:color w:val="auto"/>
          <w:sz w:val="36"/>
          <w:szCs w:val="36"/>
          <w:highlight w:val="none"/>
        </w:rPr>
        <w:t>第三部分 采购需求</w:t>
      </w:r>
      <w:bookmarkEnd w:id="62"/>
      <w:bookmarkEnd w:id="63"/>
      <w:bookmarkEnd w:id="64"/>
      <w:bookmarkEnd w:id="65"/>
    </w:p>
    <w:p w14:paraId="6CE07A3C">
      <w:pPr>
        <w:pStyle w:val="968"/>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p>
    <w:p w14:paraId="6877DFF2">
      <w:pPr>
        <w:adjustRightInd w:val="0"/>
        <w:snapToGrid w:val="0"/>
        <w:spacing w:line="360" w:lineRule="auto"/>
        <w:ind w:firstLine="241" w:firstLineChars="100"/>
        <w:jc w:val="center"/>
        <w:rPr>
          <w:rFonts w:hint="eastAsia" w:ascii="仿宋" w:hAnsi="仿宋" w:eastAsia="仿宋" w:cs="仿宋"/>
          <w:b/>
          <w:bCs/>
          <w:color w:val="auto"/>
          <w:sz w:val="24"/>
          <w:szCs w:val="24"/>
          <w:highlight w:val="none"/>
        </w:rPr>
      </w:pPr>
    </w:p>
    <w:p w14:paraId="649894DB">
      <w:pPr>
        <w:adjustRightInd w:val="0"/>
        <w:snapToGrid w:val="0"/>
        <w:spacing w:line="360" w:lineRule="auto"/>
        <w:ind w:firstLine="281" w:firstLineChars="1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w:t>
      </w:r>
      <w:r>
        <w:rPr>
          <w:rFonts w:hint="eastAsia" w:ascii="仿宋" w:hAnsi="仿宋" w:eastAsia="仿宋" w:cs="仿宋"/>
          <w:b/>
          <w:bCs/>
          <w:color w:val="auto"/>
          <w:sz w:val="28"/>
          <w:szCs w:val="28"/>
          <w:highlight w:val="none"/>
          <w:lang w:val="en-US" w:eastAsia="zh-CN"/>
        </w:rPr>
        <w:t>交易</w:t>
      </w:r>
      <w:r>
        <w:rPr>
          <w:rFonts w:hint="eastAsia" w:ascii="仿宋" w:hAnsi="仿宋" w:eastAsia="仿宋" w:cs="仿宋"/>
          <w:b/>
          <w:bCs/>
          <w:color w:val="auto"/>
          <w:sz w:val="28"/>
          <w:szCs w:val="28"/>
          <w:highlight w:val="none"/>
        </w:rPr>
        <w:t>一览表</w:t>
      </w:r>
    </w:p>
    <w:p w14:paraId="76532ED5">
      <w:pPr>
        <w:pStyle w:val="26"/>
        <w:rPr>
          <w:rFonts w:hint="eastAsia" w:ascii="仿宋" w:hAnsi="仿宋" w:eastAsia="仿宋" w:cs="仿宋"/>
          <w:color w:val="auto"/>
          <w:szCs w:val="24"/>
          <w:highlight w:val="none"/>
        </w:rPr>
      </w:pPr>
      <w:r>
        <w:rPr>
          <w:rFonts w:hint="eastAsia" w:ascii="仿宋" w:hAnsi="仿宋" w:eastAsia="仿宋" w:cs="仿宋"/>
          <w:color w:val="auto"/>
          <w:szCs w:val="24"/>
          <w:highlight w:val="none"/>
        </w:rPr>
        <w:t>标项：1</w:t>
      </w:r>
    </w:p>
    <w:tbl>
      <w:tblPr>
        <w:tblStyle w:val="63"/>
        <w:tblW w:w="988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69"/>
        <w:gridCol w:w="2848"/>
        <w:gridCol w:w="763"/>
        <w:gridCol w:w="764"/>
        <w:gridCol w:w="1350"/>
        <w:gridCol w:w="2299"/>
        <w:gridCol w:w="1088"/>
      </w:tblGrid>
      <w:tr w14:paraId="35F67B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08" w:hRule="atLeast"/>
          <w:jc w:val="center"/>
        </w:trPr>
        <w:tc>
          <w:tcPr>
            <w:tcW w:w="769" w:type="dxa"/>
            <w:noWrap w:val="0"/>
            <w:vAlign w:val="center"/>
          </w:tcPr>
          <w:p w14:paraId="438D143A">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标项</w:t>
            </w:r>
          </w:p>
        </w:tc>
        <w:tc>
          <w:tcPr>
            <w:tcW w:w="2848" w:type="dxa"/>
            <w:noWrap w:val="0"/>
            <w:vAlign w:val="center"/>
          </w:tcPr>
          <w:p w14:paraId="00D43467">
            <w:pPr>
              <w:spacing w:line="276"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763" w:type="dxa"/>
            <w:noWrap w:val="0"/>
            <w:vAlign w:val="center"/>
          </w:tcPr>
          <w:p w14:paraId="3C938BA2">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64" w:type="dxa"/>
            <w:noWrap w:val="0"/>
            <w:vAlign w:val="center"/>
          </w:tcPr>
          <w:p w14:paraId="51D18D69">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350" w:type="dxa"/>
            <w:noWrap w:val="0"/>
            <w:vAlign w:val="center"/>
          </w:tcPr>
          <w:p w14:paraId="6A2D646D">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预算金额（元）</w:t>
            </w:r>
          </w:p>
        </w:tc>
        <w:tc>
          <w:tcPr>
            <w:tcW w:w="2299" w:type="dxa"/>
            <w:noWrap w:val="0"/>
            <w:vAlign w:val="center"/>
          </w:tcPr>
          <w:p w14:paraId="0B59885B">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简要规格描述或标项基本概况介绍</w:t>
            </w:r>
          </w:p>
        </w:tc>
        <w:tc>
          <w:tcPr>
            <w:tcW w:w="1088" w:type="dxa"/>
            <w:noWrap w:val="0"/>
            <w:vAlign w:val="center"/>
          </w:tcPr>
          <w:p w14:paraId="0A2524CA">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6D4217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1" w:hRule="atLeast"/>
          <w:jc w:val="center"/>
        </w:trPr>
        <w:tc>
          <w:tcPr>
            <w:tcW w:w="769" w:type="dxa"/>
            <w:noWrap w:val="0"/>
            <w:vAlign w:val="center"/>
          </w:tcPr>
          <w:p w14:paraId="45A79810">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848" w:type="dxa"/>
            <w:noWrap w:val="0"/>
            <w:vAlign w:val="center"/>
          </w:tcPr>
          <w:p w14:paraId="6C3114C7">
            <w:pPr>
              <w:spacing w:line="27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none"/>
                <w:lang w:eastAsia="zh-CN"/>
              </w:rPr>
              <w:t>萧山区中医院中心机房设备维保项目</w:t>
            </w:r>
          </w:p>
        </w:tc>
        <w:tc>
          <w:tcPr>
            <w:tcW w:w="763" w:type="dxa"/>
            <w:noWrap w:val="0"/>
            <w:vAlign w:val="center"/>
          </w:tcPr>
          <w:p w14:paraId="4867FBE4">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64" w:type="dxa"/>
            <w:noWrap w:val="0"/>
            <w:vAlign w:val="center"/>
          </w:tcPr>
          <w:p w14:paraId="0D77DE04">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350" w:type="dxa"/>
            <w:noWrap w:val="0"/>
            <w:vAlign w:val="center"/>
          </w:tcPr>
          <w:p w14:paraId="6114543D">
            <w:pPr>
              <w:spacing w:line="276"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160000.00</w:t>
            </w:r>
          </w:p>
        </w:tc>
        <w:tc>
          <w:tcPr>
            <w:tcW w:w="2299" w:type="dxa"/>
            <w:noWrap w:val="0"/>
            <w:vAlign w:val="center"/>
          </w:tcPr>
          <w:p w14:paraId="026CE9F1">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详见交易需求</w:t>
            </w:r>
          </w:p>
        </w:tc>
        <w:tc>
          <w:tcPr>
            <w:tcW w:w="1088" w:type="dxa"/>
            <w:noWrap w:val="0"/>
            <w:vAlign w:val="center"/>
          </w:tcPr>
          <w:p w14:paraId="0F157571">
            <w:pPr>
              <w:spacing w:line="276" w:lineRule="auto"/>
              <w:ind w:firstLine="480" w:firstLineChars="200"/>
              <w:jc w:val="center"/>
              <w:rPr>
                <w:rFonts w:hint="eastAsia" w:ascii="仿宋" w:hAnsi="仿宋" w:eastAsia="仿宋" w:cs="仿宋"/>
                <w:color w:val="auto"/>
                <w:sz w:val="24"/>
                <w:highlight w:val="none"/>
              </w:rPr>
            </w:pPr>
          </w:p>
        </w:tc>
      </w:tr>
    </w:tbl>
    <w:p w14:paraId="0CED5273">
      <w:pPr>
        <w:spacing w:line="360" w:lineRule="auto"/>
        <w:ind w:firstLine="241" w:firstLineChars="100"/>
        <w:jc w:val="center"/>
        <w:rPr>
          <w:rFonts w:hint="eastAsia" w:ascii="仿宋" w:hAnsi="仿宋" w:eastAsia="仿宋" w:cs="仿宋"/>
          <w:b/>
          <w:color w:val="auto"/>
          <w:sz w:val="24"/>
          <w:szCs w:val="24"/>
          <w:highlight w:val="none"/>
        </w:rPr>
      </w:pPr>
    </w:p>
    <w:p w14:paraId="1BC4DCEE">
      <w:pPr>
        <w:spacing w:line="360" w:lineRule="auto"/>
        <w:ind w:firstLine="281" w:firstLineChars="100"/>
        <w:jc w:val="center"/>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二、</w:t>
      </w:r>
      <w:r>
        <w:rPr>
          <w:rFonts w:hint="eastAsia" w:ascii="仿宋" w:hAnsi="仿宋" w:eastAsia="仿宋" w:cs="仿宋"/>
          <w:b/>
          <w:color w:val="auto"/>
          <w:sz w:val="28"/>
          <w:szCs w:val="28"/>
          <w:highlight w:val="none"/>
          <w:lang w:val="en-US" w:eastAsia="zh-CN"/>
        </w:rPr>
        <w:t>交易</w:t>
      </w:r>
      <w:r>
        <w:rPr>
          <w:rFonts w:hint="eastAsia" w:ascii="仿宋" w:hAnsi="仿宋" w:eastAsia="仿宋" w:cs="仿宋"/>
          <w:b/>
          <w:color w:val="auto"/>
          <w:sz w:val="28"/>
          <w:szCs w:val="28"/>
          <w:highlight w:val="none"/>
        </w:rPr>
        <w:t>需求</w:t>
      </w:r>
    </w:p>
    <w:p w14:paraId="605D0FAB">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技术需求：</w:t>
      </w:r>
    </w:p>
    <w:p w14:paraId="7601B732">
      <w:pPr>
        <w:pStyle w:val="5"/>
        <w:spacing w:before="0" w:after="0" w:line="360" w:lineRule="auto"/>
        <w:ind w:left="431" w:hanging="431"/>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项目概况</w:t>
      </w:r>
    </w:p>
    <w:p w14:paraId="3ADDF146">
      <w:pPr>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随着医</w:t>
      </w:r>
      <w:r>
        <w:rPr>
          <w:rFonts w:hint="eastAsia" w:ascii="仿宋" w:hAnsi="仿宋" w:eastAsia="仿宋" w:cs="仿宋"/>
          <w:sz w:val="24"/>
        </w:rPr>
        <w:t>院信息化发展需要</w:t>
      </w:r>
      <w:r>
        <w:rPr>
          <w:rFonts w:hint="eastAsia" w:ascii="仿宋" w:hAnsi="仿宋" w:eastAsia="仿宋" w:cs="仿宋"/>
          <w:sz w:val="24"/>
          <w:lang w:val="zh-CN"/>
        </w:rPr>
        <w:t>，</w:t>
      </w:r>
      <w:r>
        <w:rPr>
          <w:rFonts w:hint="eastAsia" w:ascii="仿宋" w:hAnsi="仿宋" w:eastAsia="仿宋" w:cs="仿宋"/>
          <w:sz w:val="24"/>
        </w:rPr>
        <w:t>机房</w:t>
      </w:r>
      <w:r>
        <w:rPr>
          <w:rFonts w:hint="eastAsia" w:ascii="仿宋" w:hAnsi="仿宋" w:eastAsia="仿宋" w:cs="仿宋"/>
          <w:sz w:val="24"/>
          <w:lang w:val="zh-CN"/>
        </w:rPr>
        <w:t>服务器、网络</w:t>
      </w:r>
      <w:r>
        <w:rPr>
          <w:rFonts w:hint="eastAsia" w:ascii="仿宋" w:hAnsi="仿宋" w:eastAsia="仿宋" w:cs="仿宋"/>
          <w:sz w:val="24"/>
        </w:rPr>
        <w:t>设备、安全设备等逐渐硬件故障，设备过保的问题，</w:t>
      </w:r>
      <w:r>
        <w:rPr>
          <w:rFonts w:hint="eastAsia" w:ascii="仿宋" w:hAnsi="仿宋" w:eastAsia="仿宋" w:cs="仿宋"/>
          <w:sz w:val="24"/>
          <w:lang w:val="zh-CN"/>
        </w:rPr>
        <w:t>为保障</w:t>
      </w:r>
      <w:r>
        <w:rPr>
          <w:rFonts w:hint="eastAsia" w:ascii="仿宋" w:hAnsi="仿宋" w:eastAsia="仿宋" w:cs="仿宋"/>
          <w:sz w:val="24"/>
        </w:rPr>
        <w:t>医院</w:t>
      </w:r>
      <w:r>
        <w:rPr>
          <w:rFonts w:hint="eastAsia" w:ascii="仿宋" w:hAnsi="仿宋" w:eastAsia="仿宋" w:cs="仿宋"/>
          <w:sz w:val="24"/>
          <w:lang w:val="zh-CN"/>
        </w:rPr>
        <w:t>各项业务系统稳定运行，计划招标有资质公司落实专业技术人员进行专业维保，负责医院机房中心设备维保，</w:t>
      </w:r>
      <w:r>
        <w:rPr>
          <w:rFonts w:hint="eastAsia" w:ascii="仿宋" w:hAnsi="仿宋" w:eastAsia="仿宋" w:cs="仿宋"/>
          <w:sz w:val="24"/>
        </w:rPr>
        <w:t>主要涉及故障硬件替换、软件系统平台升级、设备日常巡检、故障应急响应、备品备件现场保障等服务</w:t>
      </w:r>
      <w:r>
        <w:rPr>
          <w:rFonts w:hint="eastAsia" w:ascii="仿宋" w:hAnsi="仿宋" w:eastAsia="仿宋" w:cs="仿宋"/>
          <w:sz w:val="24"/>
          <w:lang w:val="zh-CN"/>
        </w:rPr>
        <w:t>，</w:t>
      </w:r>
      <w:r>
        <w:rPr>
          <w:rFonts w:hint="eastAsia" w:ascii="仿宋" w:hAnsi="仿宋" w:eastAsia="仿宋" w:cs="仿宋"/>
          <w:sz w:val="24"/>
        </w:rPr>
        <w:t>保障医院</w:t>
      </w:r>
      <w:r>
        <w:rPr>
          <w:rFonts w:hint="eastAsia" w:ascii="仿宋" w:hAnsi="仿宋" w:eastAsia="仿宋" w:cs="仿宋"/>
          <w:sz w:val="24"/>
          <w:lang w:val="zh-CN"/>
        </w:rPr>
        <w:t>各项业务应用、网络、硬件稳定可靠。</w:t>
      </w:r>
    </w:p>
    <w:p w14:paraId="6F7DEADC">
      <w:pPr>
        <w:pStyle w:val="5"/>
        <w:spacing w:before="0" w:after="0" w:line="360" w:lineRule="auto"/>
        <w:ind w:left="431" w:hanging="431"/>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技术需求</w:t>
      </w:r>
    </w:p>
    <w:p w14:paraId="4CA7F15B">
      <w:pPr>
        <w:pStyle w:val="6"/>
        <w:tabs>
          <w:tab w:val="left" w:pos="420"/>
          <w:tab w:val="clear" w:pos="432"/>
        </w:tabs>
        <w:spacing w:line="360" w:lineRule="auto"/>
        <w:rPr>
          <w:rFonts w:hint="eastAsia" w:ascii="仿宋" w:eastAsia="仿宋" w:cs="仿宋"/>
          <w:sz w:val="24"/>
          <w:szCs w:val="24"/>
        </w:rPr>
      </w:pPr>
      <w:r>
        <w:rPr>
          <w:rFonts w:hint="eastAsia" w:ascii="仿宋" w:eastAsia="仿宋" w:cs="仿宋"/>
          <w:sz w:val="24"/>
          <w:szCs w:val="24"/>
          <w:lang w:val="en-US" w:eastAsia="zh-CN"/>
        </w:rPr>
        <w:t>2.1</w:t>
      </w:r>
      <w:r>
        <w:rPr>
          <w:rFonts w:hint="eastAsia" w:ascii="仿宋" w:eastAsia="仿宋" w:cs="仿宋"/>
          <w:sz w:val="24"/>
          <w:szCs w:val="24"/>
        </w:rPr>
        <w:t>服务内容及要求</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46"/>
        <w:gridCol w:w="7041"/>
      </w:tblGrid>
      <w:tr w14:paraId="13EA4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61E31E93">
            <w:pPr>
              <w:spacing w:line="360" w:lineRule="auto"/>
              <w:jc w:val="center"/>
              <w:rPr>
                <w:rFonts w:hint="eastAsia" w:ascii="仿宋" w:hAnsi="仿宋" w:eastAsia="仿宋" w:cs="仿宋"/>
                <w:b/>
                <w:bCs/>
                <w:sz w:val="24"/>
              </w:rPr>
            </w:pPr>
            <w:r>
              <w:rPr>
                <w:rFonts w:hint="eastAsia" w:ascii="仿宋" w:hAnsi="仿宋" w:eastAsia="仿宋" w:cs="仿宋"/>
                <w:b/>
                <w:bCs/>
                <w:sz w:val="24"/>
              </w:rPr>
              <w:t>服务内容</w:t>
            </w:r>
          </w:p>
        </w:tc>
        <w:tc>
          <w:tcPr>
            <w:tcW w:w="0" w:type="auto"/>
            <w:tcBorders>
              <w:top w:val="single" w:color="auto" w:sz="4" w:space="0"/>
              <w:left w:val="single" w:color="auto" w:sz="4" w:space="0"/>
              <w:bottom w:val="single" w:color="auto" w:sz="4" w:space="0"/>
              <w:right w:val="single" w:color="auto" w:sz="4" w:space="0"/>
            </w:tcBorders>
            <w:vAlign w:val="center"/>
          </w:tcPr>
          <w:p w14:paraId="6118EA88">
            <w:pPr>
              <w:spacing w:line="360" w:lineRule="auto"/>
              <w:jc w:val="center"/>
              <w:rPr>
                <w:rFonts w:hint="eastAsia" w:ascii="仿宋" w:hAnsi="仿宋" w:eastAsia="仿宋" w:cs="仿宋"/>
                <w:b/>
                <w:bCs/>
                <w:sz w:val="24"/>
              </w:rPr>
            </w:pPr>
            <w:r>
              <w:rPr>
                <w:rFonts w:hint="eastAsia" w:ascii="仿宋" w:hAnsi="仿宋" w:eastAsia="仿宋" w:cs="仿宋"/>
                <w:b/>
                <w:bCs/>
                <w:sz w:val="24"/>
              </w:rPr>
              <w:t>服务要求</w:t>
            </w:r>
          </w:p>
        </w:tc>
      </w:tr>
      <w:tr w14:paraId="1D4BC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2"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1E30950F">
            <w:pPr>
              <w:spacing w:line="360" w:lineRule="auto"/>
              <w:jc w:val="center"/>
              <w:rPr>
                <w:rFonts w:hint="eastAsia" w:ascii="仿宋" w:hAnsi="仿宋" w:eastAsia="仿宋" w:cs="仿宋"/>
                <w:sz w:val="24"/>
              </w:rPr>
            </w:pPr>
            <w:r>
              <w:rPr>
                <w:rFonts w:hint="eastAsia" w:ascii="仿宋" w:hAnsi="仿宋" w:eastAsia="仿宋" w:cs="仿宋"/>
                <w:sz w:val="24"/>
              </w:rPr>
              <w:t>交换机、网关、服务器、存储、安全设备</w:t>
            </w:r>
          </w:p>
        </w:tc>
        <w:tc>
          <w:tcPr>
            <w:tcW w:w="0" w:type="auto"/>
            <w:tcBorders>
              <w:top w:val="single" w:color="auto" w:sz="4" w:space="0"/>
              <w:left w:val="single" w:color="auto" w:sz="4" w:space="0"/>
              <w:bottom w:val="single" w:color="auto" w:sz="4" w:space="0"/>
              <w:right w:val="single" w:color="auto" w:sz="4" w:space="0"/>
            </w:tcBorders>
            <w:vAlign w:val="center"/>
          </w:tcPr>
          <w:p w14:paraId="48D31F50">
            <w:pPr>
              <w:spacing w:line="360" w:lineRule="auto"/>
              <w:rPr>
                <w:rFonts w:hint="eastAsia" w:ascii="仿宋" w:hAnsi="仿宋" w:eastAsia="仿宋" w:cs="仿宋"/>
                <w:sz w:val="24"/>
                <w:lang w:val="zh-CN"/>
              </w:rPr>
            </w:pPr>
            <w:r>
              <w:rPr>
                <w:rFonts w:hint="eastAsia" w:ascii="仿宋" w:hAnsi="仿宋" w:eastAsia="仿宋" w:cs="仿宋"/>
                <w:sz w:val="24"/>
                <w:lang w:val="zh-CN"/>
              </w:rPr>
              <w:t>1.每3个月一次巡检服务，检查系统的各项功能及参数、检查各电子部件的工作状态、设备的运行参数及报警记录，并分析报警原因等。</w:t>
            </w:r>
          </w:p>
          <w:p w14:paraId="6665291C">
            <w:pPr>
              <w:spacing w:line="360" w:lineRule="auto"/>
              <w:rPr>
                <w:rFonts w:hint="eastAsia" w:ascii="仿宋" w:hAnsi="仿宋" w:eastAsia="仿宋" w:cs="仿宋"/>
                <w:sz w:val="24"/>
                <w:lang w:val="zh-CN"/>
              </w:rPr>
            </w:pPr>
            <w:r>
              <w:rPr>
                <w:rFonts w:hint="eastAsia" w:ascii="仿宋" w:hAnsi="仿宋" w:eastAsia="仿宋" w:cs="仿宋"/>
                <w:sz w:val="24"/>
                <w:lang w:val="zh-CN"/>
              </w:rPr>
              <w:t>2.硬件维护：包括主机，硬盘，模块等故障硬件免费更换服务。</w:t>
            </w:r>
          </w:p>
          <w:p w14:paraId="51E70A56">
            <w:pPr>
              <w:spacing w:line="360" w:lineRule="auto"/>
              <w:rPr>
                <w:rFonts w:hint="eastAsia" w:ascii="仿宋" w:hAnsi="仿宋" w:eastAsia="仿宋" w:cs="仿宋"/>
                <w:sz w:val="24"/>
                <w:lang w:val="zh-CN"/>
              </w:rPr>
            </w:pPr>
            <w:r>
              <w:rPr>
                <w:rFonts w:hint="eastAsia" w:ascii="仿宋" w:hAnsi="仿宋" w:eastAsia="仿宋" w:cs="仿宋"/>
                <w:sz w:val="24"/>
                <w:lang w:val="zh-CN"/>
              </w:rPr>
              <w:t>3.软件维护：包括系统升级，配置变更，软件故障等服务。</w:t>
            </w:r>
          </w:p>
          <w:p w14:paraId="2784660D">
            <w:pPr>
              <w:spacing w:line="360" w:lineRule="auto"/>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zh-CN"/>
              </w:rPr>
              <w:t>7*24小时响应，发生故障后，必须在</w:t>
            </w:r>
            <w:r>
              <w:rPr>
                <w:rFonts w:hint="eastAsia" w:ascii="仿宋" w:hAnsi="仿宋" w:eastAsia="仿宋" w:cs="仿宋"/>
                <w:sz w:val="24"/>
              </w:rPr>
              <w:t>2</w:t>
            </w:r>
            <w:r>
              <w:rPr>
                <w:rFonts w:hint="eastAsia" w:ascii="仿宋" w:hAnsi="仿宋" w:eastAsia="仿宋" w:cs="仿宋"/>
                <w:sz w:val="24"/>
                <w:lang w:val="zh-CN"/>
              </w:rPr>
              <w:t>小时内到达现场，检查。故障原因，免</w:t>
            </w:r>
            <w:r>
              <w:rPr>
                <w:rFonts w:hint="eastAsia" w:ascii="仿宋" w:hAnsi="仿宋" w:eastAsia="仿宋" w:cs="仿宋"/>
                <w:sz w:val="24"/>
              </w:rPr>
              <w:t>费提供所需配件，并在24小时内给予更换。</w:t>
            </w:r>
          </w:p>
        </w:tc>
      </w:tr>
      <w:tr w14:paraId="73359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00352D33">
            <w:pPr>
              <w:spacing w:line="360" w:lineRule="auto"/>
              <w:jc w:val="center"/>
              <w:rPr>
                <w:rFonts w:hint="eastAsia" w:ascii="仿宋" w:hAnsi="仿宋" w:eastAsia="仿宋" w:cs="仿宋"/>
                <w:sz w:val="24"/>
              </w:rPr>
            </w:pPr>
            <w:r>
              <w:rPr>
                <w:rFonts w:hint="eastAsia" w:ascii="仿宋" w:hAnsi="仿宋" w:eastAsia="仿宋" w:cs="仿宋"/>
                <w:sz w:val="24"/>
              </w:rPr>
              <w:t>机房环境</w:t>
            </w:r>
          </w:p>
        </w:tc>
        <w:tc>
          <w:tcPr>
            <w:tcW w:w="0" w:type="auto"/>
            <w:tcBorders>
              <w:top w:val="single" w:color="auto" w:sz="4" w:space="0"/>
              <w:left w:val="single" w:color="auto" w:sz="4" w:space="0"/>
              <w:bottom w:val="single" w:color="auto" w:sz="4" w:space="0"/>
              <w:right w:val="single" w:color="auto" w:sz="4" w:space="0"/>
            </w:tcBorders>
            <w:vAlign w:val="center"/>
          </w:tcPr>
          <w:p w14:paraId="1313A1DF">
            <w:pPr>
              <w:spacing w:line="360" w:lineRule="auto"/>
              <w:rPr>
                <w:rFonts w:hint="eastAsia" w:ascii="仿宋" w:hAnsi="仿宋" w:eastAsia="仿宋" w:cs="仿宋"/>
                <w:sz w:val="24"/>
              </w:rPr>
            </w:pPr>
            <w:r>
              <w:rPr>
                <w:rFonts w:hint="eastAsia" w:ascii="仿宋" w:hAnsi="仿宋" w:eastAsia="仿宋" w:cs="仿宋"/>
                <w:sz w:val="24"/>
              </w:rPr>
              <w:t>机房线路整理及标签打印，提供机房扎带、标签纸等耗品。</w:t>
            </w:r>
          </w:p>
        </w:tc>
      </w:tr>
      <w:tr w14:paraId="3693C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2"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6B27C41C">
            <w:pPr>
              <w:spacing w:line="360" w:lineRule="auto"/>
              <w:jc w:val="center"/>
              <w:rPr>
                <w:rFonts w:hint="eastAsia" w:ascii="仿宋" w:hAnsi="仿宋" w:eastAsia="仿宋" w:cs="仿宋"/>
                <w:sz w:val="24"/>
              </w:rPr>
            </w:pPr>
            <w:r>
              <w:rPr>
                <w:rFonts w:hint="eastAsia" w:ascii="仿宋" w:hAnsi="仿宋" w:eastAsia="仿宋" w:cs="仿宋"/>
                <w:sz w:val="24"/>
              </w:rPr>
              <w:t>动态资产库维护服务</w:t>
            </w:r>
          </w:p>
        </w:tc>
        <w:tc>
          <w:tcPr>
            <w:tcW w:w="0" w:type="auto"/>
            <w:tcBorders>
              <w:top w:val="single" w:color="auto" w:sz="4" w:space="0"/>
              <w:left w:val="single" w:color="auto" w:sz="4" w:space="0"/>
              <w:bottom w:val="single" w:color="auto" w:sz="4" w:space="0"/>
              <w:right w:val="single" w:color="auto" w:sz="4" w:space="0"/>
            </w:tcBorders>
            <w:vAlign w:val="center"/>
          </w:tcPr>
          <w:p w14:paraId="6F9B5EE1">
            <w:pPr>
              <w:spacing w:line="360" w:lineRule="auto"/>
              <w:rPr>
                <w:rFonts w:hint="eastAsia" w:ascii="仿宋" w:hAnsi="仿宋" w:eastAsia="仿宋" w:cs="仿宋"/>
                <w:sz w:val="24"/>
              </w:rPr>
            </w:pPr>
            <w:r>
              <w:rPr>
                <w:rFonts w:hint="eastAsia" w:ascii="仿宋" w:hAnsi="仿宋" w:eastAsia="仿宋" w:cs="仿宋"/>
                <w:sz w:val="24"/>
              </w:rPr>
              <w:t>编制《数据中心机房设备清单》《机柜图》等机房资产信息清单。当数据中心机房架构调整或者设备及系统调整后，成交人应当及时更新资产库资料。</w:t>
            </w:r>
          </w:p>
        </w:tc>
      </w:tr>
    </w:tbl>
    <w:p w14:paraId="5F8E5120">
      <w:pPr>
        <w:spacing w:line="360" w:lineRule="auto"/>
        <w:ind w:firstLine="480" w:firstLineChars="200"/>
        <w:rPr>
          <w:rFonts w:hint="eastAsia" w:ascii="仿宋" w:hAnsi="仿宋" w:eastAsia="仿宋" w:cs="仿宋"/>
          <w:sz w:val="24"/>
        </w:rPr>
      </w:pPr>
      <w:r>
        <w:rPr>
          <w:rFonts w:hint="eastAsia" w:ascii="仿宋" w:hAnsi="仿宋" w:eastAsia="仿宋" w:cs="仿宋"/>
          <w:sz w:val="24"/>
        </w:rPr>
        <w:t>每次巡检完成后，成交人须在2个工作日内出具《巡检报告》，并针对巡检过程中发现的问题，及时反馈用户，并协助解决。</w:t>
      </w:r>
    </w:p>
    <w:p w14:paraId="71CB30F5">
      <w:pPr>
        <w:spacing w:line="360" w:lineRule="auto"/>
        <w:ind w:firstLine="480" w:firstLineChars="200"/>
        <w:rPr>
          <w:rFonts w:hint="eastAsia" w:ascii="仿宋" w:hAnsi="仿宋" w:eastAsia="仿宋" w:cs="仿宋"/>
          <w:sz w:val="24"/>
        </w:rPr>
      </w:pPr>
      <w:r>
        <w:rPr>
          <w:rFonts w:hint="eastAsia" w:ascii="仿宋" w:hAnsi="仿宋" w:eastAsia="仿宋" w:cs="仿宋"/>
          <w:sz w:val="24"/>
        </w:rPr>
        <w:t>维保期内服务包括，信息系统相关的网络设备、主机设备、操作系统、存储设备及其他信息系统的运行维护服务，保证采购人现有信息系统的正常运行，降低整体管理成本，提高网络信息系统的整体服务水平。同时根据日常维护的数据和记录，提供采购人信息系统的整体建设规划和建议，更好地为采购人的信息化发展提供有力的保障。巡检服务内容应包括但不仅限于以下内容：</w:t>
      </w:r>
    </w:p>
    <w:p w14:paraId="1B221C45">
      <w:pPr>
        <w:spacing w:line="360" w:lineRule="auto"/>
        <w:ind w:left="420" w:leftChars="200"/>
        <w:rPr>
          <w:rFonts w:hint="eastAsia" w:ascii="仿宋" w:hAnsi="仿宋" w:eastAsia="仿宋" w:cs="仿宋"/>
          <w:sz w:val="24"/>
        </w:rPr>
      </w:pPr>
      <w:r>
        <w:rPr>
          <w:rFonts w:hint="eastAsia" w:ascii="仿宋" w:hAnsi="仿宋" w:eastAsia="仿宋" w:cs="仿宋"/>
          <w:sz w:val="24"/>
        </w:rPr>
        <w:t>1、系统硬件配置检查</w:t>
      </w:r>
    </w:p>
    <w:p w14:paraId="06A340E3">
      <w:pPr>
        <w:spacing w:line="360" w:lineRule="auto"/>
        <w:ind w:firstLine="480" w:firstLineChars="200"/>
        <w:rPr>
          <w:rFonts w:hint="eastAsia" w:ascii="仿宋" w:hAnsi="仿宋" w:eastAsia="仿宋" w:cs="仿宋"/>
          <w:sz w:val="24"/>
        </w:rPr>
      </w:pPr>
      <w:r>
        <w:rPr>
          <w:rFonts w:hint="eastAsia" w:ascii="仿宋" w:hAnsi="仿宋" w:eastAsia="仿宋" w:cs="仿宋"/>
          <w:sz w:val="24"/>
        </w:rPr>
        <w:t>成交人应对系统的各项配置（硬件配置、软件配置、核心参数配置、相关的操作系统配置）进行检查，针对不合理配置项提出调整建议，尽可能避免因配置不当造成的系统宕机及数据丢失风险。</w:t>
      </w:r>
    </w:p>
    <w:p w14:paraId="3FFCF252">
      <w:pPr>
        <w:spacing w:line="360" w:lineRule="auto"/>
        <w:ind w:left="420" w:leftChars="200"/>
        <w:rPr>
          <w:rFonts w:hint="eastAsia" w:ascii="仿宋" w:hAnsi="仿宋" w:eastAsia="仿宋" w:cs="仿宋"/>
          <w:sz w:val="24"/>
        </w:rPr>
      </w:pPr>
      <w:r>
        <w:rPr>
          <w:rFonts w:hint="eastAsia" w:ascii="仿宋" w:hAnsi="仿宋" w:eastAsia="仿宋" w:cs="仿宋"/>
          <w:sz w:val="24"/>
        </w:rPr>
        <w:t>2、日志检查</w:t>
      </w:r>
    </w:p>
    <w:p w14:paraId="65E913EC">
      <w:pPr>
        <w:spacing w:line="360" w:lineRule="auto"/>
        <w:ind w:firstLine="480" w:firstLineChars="200"/>
        <w:rPr>
          <w:rFonts w:hint="eastAsia" w:ascii="仿宋" w:hAnsi="仿宋" w:eastAsia="仿宋" w:cs="仿宋"/>
          <w:sz w:val="24"/>
        </w:rPr>
      </w:pPr>
      <w:r>
        <w:rPr>
          <w:rFonts w:hint="eastAsia" w:ascii="仿宋" w:hAnsi="仿宋" w:eastAsia="仿宋" w:cs="仿宋"/>
          <w:sz w:val="24"/>
        </w:rPr>
        <w:t>成交人应对系统日常运行日志进行检查并分析错误信息。</w:t>
      </w:r>
    </w:p>
    <w:p w14:paraId="39AE204C">
      <w:pPr>
        <w:spacing w:line="360" w:lineRule="auto"/>
        <w:ind w:left="420" w:leftChars="200"/>
        <w:rPr>
          <w:rFonts w:hint="eastAsia" w:ascii="仿宋" w:hAnsi="仿宋" w:eastAsia="仿宋" w:cs="仿宋"/>
          <w:sz w:val="24"/>
        </w:rPr>
      </w:pPr>
      <w:r>
        <w:rPr>
          <w:rFonts w:hint="eastAsia" w:ascii="仿宋" w:hAnsi="仿宋" w:eastAsia="仿宋" w:cs="仿宋"/>
          <w:sz w:val="24"/>
        </w:rPr>
        <w:t>3、性能检查</w:t>
      </w:r>
    </w:p>
    <w:p w14:paraId="6819DC19">
      <w:pPr>
        <w:spacing w:line="360" w:lineRule="auto"/>
        <w:ind w:firstLine="480" w:firstLineChars="200"/>
        <w:rPr>
          <w:rFonts w:hint="eastAsia" w:ascii="仿宋" w:hAnsi="仿宋" w:eastAsia="仿宋" w:cs="仿宋"/>
          <w:sz w:val="24"/>
        </w:rPr>
      </w:pPr>
      <w:r>
        <w:rPr>
          <w:rFonts w:hint="eastAsia" w:ascii="仿宋" w:hAnsi="仿宋" w:eastAsia="仿宋" w:cs="仿宋"/>
          <w:sz w:val="24"/>
        </w:rPr>
        <w:t>成交人应对系统性能数据（包括系统参数、物理和逻辑分布、资源消耗和竞争等）进行检查，分析潜在的系统瓶颈和可能降低系统性能的因素，提供建议及优化方案，并协助采购方完成系统优化实施。</w:t>
      </w:r>
    </w:p>
    <w:p w14:paraId="431D98C7">
      <w:pPr>
        <w:spacing w:line="360" w:lineRule="auto"/>
        <w:ind w:left="420" w:leftChars="200"/>
        <w:rPr>
          <w:rFonts w:hint="eastAsia" w:ascii="仿宋" w:hAnsi="仿宋" w:eastAsia="仿宋" w:cs="仿宋"/>
          <w:sz w:val="24"/>
        </w:rPr>
      </w:pPr>
      <w:r>
        <w:rPr>
          <w:rFonts w:hint="eastAsia" w:ascii="仿宋" w:hAnsi="仿宋" w:eastAsia="仿宋" w:cs="仿宋"/>
          <w:sz w:val="24"/>
        </w:rPr>
        <w:t>4、维护作业计划</w:t>
      </w:r>
    </w:p>
    <w:p w14:paraId="617AE122">
      <w:pPr>
        <w:spacing w:line="360" w:lineRule="auto"/>
        <w:ind w:firstLine="480" w:firstLineChars="200"/>
        <w:rPr>
          <w:rFonts w:hint="eastAsia" w:ascii="仿宋" w:hAnsi="仿宋" w:eastAsia="仿宋" w:cs="仿宋"/>
          <w:sz w:val="24"/>
        </w:rPr>
      </w:pPr>
      <w:r>
        <w:rPr>
          <w:rFonts w:hint="eastAsia" w:ascii="仿宋" w:hAnsi="仿宋" w:eastAsia="仿宋" w:cs="仿宋"/>
          <w:sz w:val="24"/>
        </w:rPr>
        <w:t>为便于采购人在日常维护过程中进行系统运行状况检查，成交人应为采购人提供系统日常维护作业计划及维护操作手册，从而保证系统的安全稳定运行。</w:t>
      </w:r>
    </w:p>
    <w:p w14:paraId="421BC332">
      <w:pPr>
        <w:spacing w:line="360" w:lineRule="auto"/>
        <w:ind w:left="420" w:leftChars="200"/>
        <w:rPr>
          <w:rFonts w:hint="eastAsia" w:ascii="仿宋" w:hAnsi="仿宋" w:eastAsia="仿宋" w:cs="仿宋"/>
          <w:sz w:val="24"/>
        </w:rPr>
      </w:pPr>
      <w:r>
        <w:rPr>
          <w:rFonts w:hint="eastAsia" w:ascii="仿宋" w:hAnsi="仿宋" w:eastAsia="仿宋" w:cs="仿宋"/>
          <w:sz w:val="24"/>
        </w:rPr>
        <w:t>5、建立维护服务技术档案</w:t>
      </w:r>
    </w:p>
    <w:p w14:paraId="3E1C39F1">
      <w:pPr>
        <w:spacing w:line="360" w:lineRule="auto"/>
        <w:ind w:firstLine="480" w:firstLineChars="200"/>
        <w:rPr>
          <w:rFonts w:hint="eastAsia" w:ascii="仿宋" w:hAnsi="仿宋" w:eastAsia="仿宋" w:cs="仿宋"/>
          <w:sz w:val="24"/>
        </w:rPr>
      </w:pPr>
      <w:r>
        <w:rPr>
          <w:rFonts w:hint="eastAsia" w:ascii="仿宋" w:hAnsi="仿宋" w:eastAsia="仿宋" w:cs="仿宋"/>
          <w:sz w:val="24"/>
        </w:rPr>
        <w:t>对采购人运行环境，根据每次预防性维护和针对性检查报告、故障维修及重要技术报告建立技术档案，详细记录故障时间、故障类型、维护方法、维护质量、预防措施及维护时间和维护人员等信息。维护期结束时将项目的全部有关技术文件、资料及巡检、验收报告等文档汇集成册交付采购人。</w:t>
      </w:r>
    </w:p>
    <w:p w14:paraId="5BE7B827">
      <w:pPr>
        <w:spacing w:line="360" w:lineRule="auto"/>
        <w:ind w:firstLine="480" w:firstLineChars="200"/>
        <w:rPr>
          <w:rFonts w:hint="eastAsia" w:ascii="仿宋" w:hAnsi="仿宋" w:eastAsia="仿宋" w:cs="仿宋"/>
          <w:sz w:val="24"/>
        </w:rPr>
      </w:pPr>
      <w:r>
        <w:rPr>
          <w:rFonts w:hint="eastAsia" w:ascii="仿宋" w:hAnsi="仿宋" w:eastAsia="仿宋" w:cs="仿宋"/>
          <w:sz w:val="24"/>
        </w:rPr>
        <w:t>最终交付物应包括但不仅限于：</w:t>
      </w:r>
    </w:p>
    <w:p w14:paraId="639095B2">
      <w:pPr>
        <w:spacing w:line="360" w:lineRule="auto"/>
        <w:ind w:left="400"/>
        <w:rPr>
          <w:rFonts w:hint="eastAsia" w:ascii="仿宋" w:hAnsi="仿宋" w:eastAsia="仿宋" w:cs="仿宋"/>
          <w:sz w:val="24"/>
        </w:rPr>
      </w:pPr>
      <w:r>
        <w:rPr>
          <w:rFonts w:hint="eastAsia" w:ascii="仿宋" w:hAnsi="仿宋" w:eastAsia="仿宋" w:cs="仿宋"/>
          <w:sz w:val="24"/>
        </w:rPr>
        <w:t>1、基础设施巡检：《巡检记录》《巡检报告》《故障维修报告》《年度巡检总结》。</w:t>
      </w:r>
    </w:p>
    <w:p w14:paraId="3CCBAC39">
      <w:pPr>
        <w:spacing w:line="360" w:lineRule="auto"/>
        <w:ind w:left="400"/>
        <w:rPr>
          <w:rFonts w:hint="eastAsia" w:ascii="仿宋" w:hAnsi="仿宋" w:eastAsia="仿宋" w:cs="仿宋"/>
          <w:sz w:val="24"/>
        </w:rPr>
      </w:pPr>
      <w:r>
        <w:rPr>
          <w:rFonts w:hint="eastAsia" w:ascii="仿宋" w:hAnsi="仿宋" w:eastAsia="仿宋" w:cs="仿宋"/>
          <w:sz w:val="24"/>
        </w:rPr>
        <w:t>2、应急响应服务：《故障处理总结报告》。</w:t>
      </w:r>
    </w:p>
    <w:p w14:paraId="6C9AE963">
      <w:pPr>
        <w:spacing w:line="360" w:lineRule="auto"/>
        <w:ind w:left="400"/>
        <w:rPr>
          <w:rFonts w:hint="eastAsia" w:ascii="仿宋" w:hAnsi="仿宋" w:eastAsia="仿宋" w:cs="仿宋"/>
          <w:sz w:val="24"/>
        </w:rPr>
      </w:pPr>
      <w:r>
        <w:rPr>
          <w:rFonts w:hint="eastAsia" w:ascii="仿宋" w:hAnsi="仿宋" w:eastAsia="仿宋" w:cs="仿宋"/>
          <w:sz w:val="24"/>
        </w:rPr>
        <w:t>3、资产库维护服务：《数据中心机房设备清单》《机柜图》。</w:t>
      </w:r>
    </w:p>
    <w:p w14:paraId="0DF85D46">
      <w:pPr>
        <w:spacing w:line="360" w:lineRule="auto"/>
        <w:ind w:firstLine="480" w:firstLineChars="200"/>
        <w:rPr>
          <w:rFonts w:hint="eastAsia" w:ascii="仿宋" w:hAnsi="仿宋" w:eastAsia="仿宋" w:cs="仿宋"/>
          <w:sz w:val="24"/>
        </w:rPr>
      </w:pPr>
      <w:r>
        <w:rPr>
          <w:rFonts w:hint="eastAsia" w:ascii="仿宋" w:hAnsi="仿宋" w:eastAsia="仿宋" w:cs="仿宋"/>
          <w:sz w:val="24"/>
        </w:rPr>
        <w:t>巡检服务要求应包括但不仅限于以下内容：</w:t>
      </w:r>
    </w:p>
    <w:p w14:paraId="0C1F05E6">
      <w:pPr>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rPr>
        <w:t>安全设备、网络设备、存储设备和虚拟化平台的软件配置、运行维护、扩容操作和应急演练，包括采购人遇到应急事件时协助应用系统提供商排查原因，解除故障。</w:t>
      </w:r>
    </w:p>
    <w:p w14:paraId="1D31F643">
      <w:pPr>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rPr>
        <w:t>远程巡检：安全设备、网络设备、存储设备每月一次远程巡检，虚拟化平台每周一次远程巡检，发现问题及时上报相关负责人，并及时处置。</w:t>
      </w:r>
    </w:p>
    <w:p w14:paraId="20C13A8A">
      <w:pPr>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rPr>
        <w:t>现场巡检：安全设备、网络设备、存储设备和虚拟化平台，每三个月一次现场巡检，凡现场巡检均需要出具《巡检报告》。巡检设备包含机房内所有设备，不仅限于维保服务清单设备。</w:t>
      </w:r>
    </w:p>
    <w:p w14:paraId="2FEF7D93">
      <w:pPr>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rPr>
        <w:t>故障应急响应处理服务，成交人应建立专业团队进行运行维护，成交后不得随意变更团队人员；提供7*24小时响应，如不能远程解决，2小时内到达现场进行处理。重大节假日，须安排专人电话值班。</w:t>
      </w:r>
    </w:p>
    <w:p w14:paraId="11B14826">
      <w:pPr>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rPr>
        <w:t>设备运行分析与管理：设备运行状况、网络问题进行周期性检查、分析后，为采购人提出指导性建议服务。</w:t>
      </w:r>
    </w:p>
    <w:p w14:paraId="592981D1">
      <w:pPr>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机房网络拓扑规划、账号日常管理、机房档案建立，编制《网络拓扑图》《VLAN信息表》《IP地址表》《业务系统信息表》等IT资产信息清单，并配合做好机房、网络的等保测评、安全检查及制度上墙工作。</w:t>
      </w:r>
    </w:p>
    <w:p w14:paraId="2866089E">
      <w:pPr>
        <w:pStyle w:val="6"/>
        <w:tabs>
          <w:tab w:val="left" w:pos="420"/>
          <w:tab w:val="clear" w:pos="432"/>
        </w:tabs>
        <w:spacing w:line="360" w:lineRule="auto"/>
        <w:rPr>
          <w:rFonts w:hint="eastAsia" w:ascii="仿宋" w:eastAsia="仿宋" w:cs="仿宋"/>
          <w:sz w:val="24"/>
          <w:szCs w:val="24"/>
        </w:rPr>
      </w:pPr>
      <w:r>
        <w:rPr>
          <w:rFonts w:hint="eastAsia" w:ascii="仿宋" w:eastAsia="仿宋" w:cs="仿宋"/>
          <w:sz w:val="24"/>
          <w:szCs w:val="24"/>
          <w:lang w:val="en-US" w:eastAsia="zh-CN"/>
        </w:rPr>
        <w:t>2.2</w:t>
      </w:r>
      <w:r>
        <w:rPr>
          <w:rFonts w:hint="eastAsia" w:ascii="仿宋" w:eastAsia="仿宋" w:cs="仿宋"/>
          <w:sz w:val="24"/>
          <w:szCs w:val="24"/>
        </w:rPr>
        <w:t>运维平台</w:t>
      </w:r>
    </w:p>
    <w:p w14:paraId="6D655922">
      <w:pPr>
        <w:spacing w:line="360" w:lineRule="auto"/>
        <w:ind w:firstLine="480" w:firstLineChars="200"/>
        <w:rPr>
          <w:rFonts w:hint="eastAsia" w:ascii="仿宋" w:hAnsi="仿宋" w:eastAsia="仿宋" w:cs="仿宋"/>
          <w:sz w:val="24"/>
        </w:rPr>
      </w:pPr>
      <w:r>
        <w:rPr>
          <w:rFonts w:hint="eastAsia" w:ascii="仿宋" w:hAnsi="仿宋" w:eastAsia="仿宋" w:cs="仿宋"/>
          <w:sz w:val="24"/>
        </w:rPr>
        <w:t>为了保障整个项目运维服务质量，服务期间成交人需要提供一套运维管理平台帮助采购方实现运维流程的闭环管理，将运维过程和质量结果进行全面系统化和数字化管理，使得采购人对于运维服务质量做到“心中有数”，帮助萧山区中医院提高信息及后勤运维工作效率，提升服务满意度，最终达到服务质量持续性改进的管理要求。相关运维平台需求如下：</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764"/>
        <w:gridCol w:w="7989"/>
      </w:tblGrid>
      <w:tr w14:paraId="48F3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0" w:type="auto"/>
          </w:tcPr>
          <w:p w14:paraId="64194EFB">
            <w:pPr>
              <w:spacing w:line="360" w:lineRule="auto"/>
              <w:jc w:val="center"/>
              <w:rPr>
                <w:rFonts w:hint="eastAsia" w:ascii="仿宋" w:hAnsi="仿宋" w:eastAsia="仿宋" w:cs="仿宋"/>
                <w:b/>
                <w:bCs/>
                <w:sz w:val="24"/>
              </w:rPr>
            </w:pPr>
            <w:r>
              <w:rPr>
                <w:rFonts w:hint="eastAsia" w:ascii="仿宋" w:hAnsi="仿宋" w:eastAsia="仿宋" w:cs="仿宋"/>
                <w:b/>
                <w:bCs/>
                <w:sz w:val="24"/>
              </w:rPr>
              <w:t>序号</w:t>
            </w:r>
          </w:p>
        </w:tc>
        <w:tc>
          <w:tcPr>
            <w:tcW w:w="0" w:type="auto"/>
          </w:tcPr>
          <w:p w14:paraId="39F7E719">
            <w:pPr>
              <w:spacing w:line="360" w:lineRule="auto"/>
              <w:jc w:val="center"/>
              <w:rPr>
                <w:rFonts w:hint="eastAsia" w:ascii="仿宋" w:hAnsi="仿宋" w:eastAsia="仿宋" w:cs="仿宋"/>
                <w:b/>
                <w:bCs/>
                <w:sz w:val="24"/>
              </w:rPr>
            </w:pPr>
            <w:r>
              <w:rPr>
                <w:rFonts w:hint="eastAsia" w:ascii="仿宋" w:hAnsi="仿宋" w:eastAsia="仿宋" w:cs="仿宋"/>
                <w:b/>
                <w:bCs/>
                <w:sz w:val="24"/>
              </w:rPr>
              <w:t>模块</w:t>
            </w:r>
          </w:p>
        </w:tc>
        <w:tc>
          <w:tcPr>
            <w:tcW w:w="0" w:type="auto"/>
          </w:tcPr>
          <w:p w14:paraId="766983D8">
            <w:pPr>
              <w:spacing w:line="360" w:lineRule="auto"/>
              <w:jc w:val="center"/>
              <w:rPr>
                <w:rFonts w:hint="eastAsia" w:ascii="仿宋" w:hAnsi="仿宋" w:eastAsia="仿宋" w:cs="仿宋"/>
                <w:b/>
                <w:bCs/>
                <w:sz w:val="24"/>
              </w:rPr>
            </w:pPr>
            <w:r>
              <w:rPr>
                <w:rFonts w:hint="eastAsia" w:ascii="仿宋" w:hAnsi="仿宋" w:eastAsia="仿宋" w:cs="仿宋"/>
                <w:b/>
                <w:bCs/>
                <w:sz w:val="24"/>
              </w:rPr>
              <w:t>功能说明</w:t>
            </w:r>
          </w:p>
        </w:tc>
      </w:tr>
      <w:tr w14:paraId="4B3A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14:paraId="4FDFF35B">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0" w:type="auto"/>
            <w:vMerge w:val="restart"/>
            <w:vAlign w:val="center"/>
          </w:tcPr>
          <w:p w14:paraId="5D87BEE0">
            <w:pPr>
              <w:spacing w:line="360" w:lineRule="auto"/>
              <w:jc w:val="center"/>
              <w:rPr>
                <w:rFonts w:hint="eastAsia" w:ascii="仿宋" w:hAnsi="仿宋" w:eastAsia="仿宋" w:cs="仿宋"/>
                <w:sz w:val="24"/>
              </w:rPr>
            </w:pPr>
            <w:r>
              <w:rPr>
                <w:rFonts w:hint="eastAsia" w:ascii="仿宋" w:hAnsi="仿宋" w:eastAsia="仿宋" w:cs="仿宋"/>
                <w:sz w:val="24"/>
              </w:rPr>
              <w:t>工单管理</w:t>
            </w:r>
          </w:p>
        </w:tc>
        <w:tc>
          <w:tcPr>
            <w:tcW w:w="0" w:type="auto"/>
            <w:vAlign w:val="center"/>
          </w:tcPr>
          <w:p w14:paraId="3BB288E4">
            <w:pPr>
              <w:spacing w:line="360" w:lineRule="auto"/>
              <w:jc w:val="both"/>
              <w:rPr>
                <w:rFonts w:hint="eastAsia" w:ascii="仿宋" w:hAnsi="仿宋" w:eastAsia="仿宋" w:cs="仿宋"/>
                <w:sz w:val="24"/>
              </w:rPr>
            </w:pPr>
            <w:r>
              <w:rPr>
                <w:rFonts w:hint="eastAsia" w:ascii="仿宋" w:hAnsi="仿宋" w:eastAsia="仿宋" w:cs="仿宋"/>
                <w:sz w:val="24"/>
              </w:rPr>
              <w:t>电脑、钉钉移动端等多渠道报修方式。</w:t>
            </w:r>
          </w:p>
        </w:tc>
      </w:tr>
      <w:tr w14:paraId="754F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1C78C182">
            <w:pPr>
              <w:spacing w:line="360" w:lineRule="auto"/>
              <w:jc w:val="center"/>
              <w:rPr>
                <w:rFonts w:hint="eastAsia" w:ascii="仿宋" w:hAnsi="仿宋" w:eastAsia="仿宋" w:cs="仿宋"/>
                <w:sz w:val="24"/>
              </w:rPr>
            </w:pPr>
          </w:p>
        </w:tc>
        <w:tc>
          <w:tcPr>
            <w:tcW w:w="0" w:type="auto"/>
            <w:vMerge w:val="continue"/>
          </w:tcPr>
          <w:p w14:paraId="5FA469BF">
            <w:pPr>
              <w:spacing w:line="360" w:lineRule="auto"/>
              <w:jc w:val="both"/>
              <w:rPr>
                <w:rFonts w:hint="eastAsia" w:ascii="仿宋" w:hAnsi="仿宋" w:eastAsia="仿宋" w:cs="仿宋"/>
                <w:sz w:val="24"/>
              </w:rPr>
            </w:pPr>
          </w:p>
        </w:tc>
        <w:tc>
          <w:tcPr>
            <w:tcW w:w="0" w:type="auto"/>
            <w:vAlign w:val="center"/>
          </w:tcPr>
          <w:p w14:paraId="4179B634">
            <w:pPr>
              <w:spacing w:line="360" w:lineRule="auto"/>
              <w:jc w:val="both"/>
              <w:rPr>
                <w:rFonts w:hint="eastAsia" w:ascii="仿宋" w:hAnsi="仿宋" w:eastAsia="仿宋" w:cs="仿宋"/>
                <w:sz w:val="24"/>
              </w:rPr>
            </w:pPr>
            <w:r>
              <w:rPr>
                <w:rFonts w:hint="eastAsia" w:ascii="仿宋" w:hAnsi="仿宋" w:eastAsia="仿宋" w:cs="仿宋"/>
                <w:sz w:val="24"/>
              </w:rPr>
              <w:t>提供从报障、派单、接单、执行、完工、验收、到评价的全流程故障报修管理。</w:t>
            </w:r>
            <w:r>
              <w:rPr>
                <w:rFonts w:hint="eastAsia" w:ascii="仿宋" w:hAnsi="仿宋" w:eastAsia="仿宋" w:cs="仿宋"/>
                <w:b/>
                <w:bCs/>
                <w:sz w:val="24"/>
              </w:rPr>
              <w:t>（需要提供功能演示）</w:t>
            </w:r>
          </w:p>
        </w:tc>
      </w:tr>
      <w:tr w14:paraId="7EAC1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0F6CF76E">
            <w:pPr>
              <w:spacing w:line="360" w:lineRule="auto"/>
              <w:jc w:val="center"/>
              <w:rPr>
                <w:rFonts w:hint="eastAsia" w:ascii="仿宋" w:hAnsi="仿宋" w:eastAsia="仿宋" w:cs="仿宋"/>
                <w:sz w:val="24"/>
              </w:rPr>
            </w:pPr>
          </w:p>
        </w:tc>
        <w:tc>
          <w:tcPr>
            <w:tcW w:w="0" w:type="auto"/>
            <w:vMerge w:val="continue"/>
          </w:tcPr>
          <w:p w14:paraId="625CE3B1">
            <w:pPr>
              <w:spacing w:line="360" w:lineRule="auto"/>
              <w:jc w:val="both"/>
              <w:rPr>
                <w:rFonts w:hint="eastAsia" w:ascii="仿宋" w:hAnsi="仿宋" w:eastAsia="仿宋" w:cs="仿宋"/>
                <w:sz w:val="24"/>
              </w:rPr>
            </w:pPr>
          </w:p>
        </w:tc>
        <w:tc>
          <w:tcPr>
            <w:tcW w:w="0" w:type="auto"/>
            <w:vAlign w:val="center"/>
          </w:tcPr>
          <w:p w14:paraId="2097E800">
            <w:pPr>
              <w:spacing w:line="360" w:lineRule="auto"/>
              <w:jc w:val="both"/>
              <w:rPr>
                <w:rFonts w:hint="eastAsia" w:ascii="仿宋" w:hAnsi="仿宋" w:eastAsia="仿宋" w:cs="仿宋"/>
                <w:sz w:val="24"/>
              </w:rPr>
            </w:pPr>
            <w:r>
              <w:rPr>
                <w:rFonts w:hint="eastAsia" w:ascii="仿宋" w:hAnsi="仿宋" w:eastAsia="仿宋" w:cs="仿宋"/>
                <w:sz w:val="24"/>
              </w:rPr>
              <w:t>报障及建单管理，提供包括移动端一键快捷报单、PC端快速报单等多种报障方式，方便终端用户使用。</w:t>
            </w:r>
          </w:p>
        </w:tc>
      </w:tr>
      <w:tr w14:paraId="68D2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2AA11D8A">
            <w:pPr>
              <w:spacing w:line="360" w:lineRule="auto"/>
              <w:jc w:val="center"/>
              <w:rPr>
                <w:rFonts w:hint="eastAsia" w:ascii="仿宋" w:hAnsi="仿宋" w:eastAsia="仿宋" w:cs="仿宋"/>
                <w:sz w:val="24"/>
              </w:rPr>
            </w:pPr>
          </w:p>
        </w:tc>
        <w:tc>
          <w:tcPr>
            <w:tcW w:w="0" w:type="auto"/>
            <w:vMerge w:val="continue"/>
          </w:tcPr>
          <w:p w14:paraId="01F70D14">
            <w:pPr>
              <w:spacing w:line="360" w:lineRule="auto"/>
              <w:jc w:val="both"/>
              <w:rPr>
                <w:rFonts w:hint="eastAsia" w:ascii="仿宋" w:hAnsi="仿宋" w:eastAsia="仿宋" w:cs="仿宋"/>
                <w:sz w:val="24"/>
              </w:rPr>
            </w:pPr>
          </w:p>
        </w:tc>
        <w:tc>
          <w:tcPr>
            <w:tcW w:w="0" w:type="auto"/>
            <w:vAlign w:val="center"/>
          </w:tcPr>
          <w:p w14:paraId="7DBD78DA">
            <w:pPr>
              <w:spacing w:line="360" w:lineRule="auto"/>
              <w:jc w:val="both"/>
              <w:rPr>
                <w:rFonts w:hint="eastAsia" w:ascii="仿宋" w:hAnsi="仿宋" w:eastAsia="仿宋" w:cs="仿宋"/>
                <w:sz w:val="24"/>
              </w:rPr>
            </w:pPr>
            <w:r>
              <w:rPr>
                <w:rFonts w:hint="eastAsia" w:ascii="仿宋" w:hAnsi="仿宋" w:eastAsia="仿宋" w:cs="仿宋"/>
                <w:sz w:val="24"/>
              </w:rPr>
              <w:t>派单管理，提供根据策略自动派单和服务台人工派单两种流程，自动派单策略支持多级，可根据用户角色、资产类型、故障类型、科室部门等自定义；在人工派单时，派单员可查询服务人员工单数量、未完成数量等状态。</w:t>
            </w:r>
          </w:p>
        </w:tc>
      </w:tr>
      <w:tr w14:paraId="4C68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62FDE4EC">
            <w:pPr>
              <w:spacing w:line="360" w:lineRule="auto"/>
              <w:jc w:val="center"/>
              <w:rPr>
                <w:rFonts w:hint="eastAsia" w:ascii="仿宋" w:hAnsi="仿宋" w:eastAsia="仿宋" w:cs="仿宋"/>
                <w:sz w:val="24"/>
              </w:rPr>
            </w:pPr>
          </w:p>
        </w:tc>
        <w:tc>
          <w:tcPr>
            <w:tcW w:w="0" w:type="auto"/>
            <w:vMerge w:val="continue"/>
          </w:tcPr>
          <w:p w14:paraId="41441218">
            <w:pPr>
              <w:spacing w:line="360" w:lineRule="auto"/>
              <w:jc w:val="both"/>
              <w:rPr>
                <w:rFonts w:hint="eastAsia" w:ascii="仿宋" w:hAnsi="仿宋" w:eastAsia="仿宋" w:cs="仿宋"/>
                <w:sz w:val="24"/>
              </w:rPr>
            </w:pPr>
          </w:p>
        </w:tc>
        <w:tc>
          <w:tcPr>
            <w:tcW w:w="0" w:type="auto"/>
            <w:vAlign w:val="center"/>
          </w:tcPr>
          <w:p w14:paraId="6B76ECD2">
            <w:pPr>
              <w:spacing w:line="360" w:lineRule="auto"/>
              <w:jc w:val="both"/>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工单执行管理，服务人员接单后，可进行工单故障级别、故障类型等信息确认，故障处理过程及方案可一键上传到知识库。</w:t>
            </w:r>
            <w:r>
              <w:rPr>
                <w:rFonts w:hint="eastAsia" w:ascii="仿宋" w:hAnsi="仿宋" w:eastAsia="仿宋" w:cs="仿宋"/>
                <w:b/>
                <w:bCs/>
                <w:sz w:val="24"/>
              </w:rPr>
              <w:t>（需要提供功能截图证明）</w:t>
            </w:r>
          </w:p>
        </w:tc>
      </w:tr>
      <w:tr w14:paraId="504B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52A48F1C">
            <w:pPr>
              <w:spacing w:line="360" w:lineRule="auto"/>
              <w:jc w:val="center"/>
              <w:rPr>
                <w:rFonts w:hint="eastAsia" w:ascii="仿宋" w:hAnsi="仿宋" w:eastAsia="仿宋" w:cs="仿宋"/>
                <w:sz w:val="24"/>
              </w:rPr>
            </w:pPr>
          </w:p>
        </w:tc>
        <w:tc>
          <w:tcPr>
            <w:tcW w:w="0" w:type="auto"/>
            <w:vMerge w:val="continue"/>
          </w:tcPr>
          <w:p w14:paraId="0E1317D1">
            <w:pPr>
              <w:spacing w:line="360" w:lineRule="auto"/>
              <w:jc w:val="both"/>
              <w:rPr>
                <w:rFonts w:hint="eastAsia" w:ascii="仿宋" w:hAnsi="仿宋" w:eastAsia="仿宋" w:cs="仿宋"/>
                <w:sz w:val="24"/>
              </w:rPr>
            </w:pPr>
          </w:p>
        </w:tc>
        <w:tc>
          <w:tcPr>
            <w:tcW w:w="0" w:type="auto"/>
            <w:vAlign w:val="center"/>
          </w:tcPr>
          <w:p w14:paraId="0D855CF5">
            <w:pPr>
              <w:spacing w:line="360" w:lineRule="auto"/>
              <w:jc w:val="both"/>
              <w:rPr>
                <w:rFonts w:hint="eastAsia" w:ascii="仿宋" w:hAnsi="仿宋" w:eastAsia="仿宋" w:cs="仿宋"/>
                <w:sz w:val="24"/>
              </w:rPr>
            </w:pPr>
            <w:r>
              <w:rPr>
                <w:rFonts w:hint="eastAsia" w:ascii="仿宋" w:hAnsi="仿宋" w:eastAsia="仿宋" w:cs="仿宋"/>
                <w:sz w:val="24"/>
              </w:rPr>
              <w:t>工单评价管理，工单完工后，系统自动消息提醒报障人员进行满意度评价，可自定义时间范围未评价自动好评并关闭工单。</w:t>
            </w:r>
          </w:p>
        </w:tc>
      </w:tr>
      <w:tr w14:paraId="7F43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0AEB41C7">
            <w:pPr>
              <w:spacing w:line="360" w:lineRule="auto"/>
              <w:jc w:val="center"/>
              <w:rPr>
                <w:rFonts w:hint="eastAsia" w:ascii="仿宋" w:hAnsi="仿宋" w:eastAsia="仿宋" w:cs="仿宋"/>
                <w:sz w:val="24"/>
              </w:rPr>
            </w:pPr>
          </w:p>
        </w:tc>
        <w:tc>
          <w:tcPr>
            <w:tcW w:w="0" w:type="auto"/>
            <w:vMerge w:val="continue"/>
          </w:tcPr>
          <w:p w14:paraId="7E472C48">
            <w:pPr>
              <w:spacing w:line="360" w:lineRule="auto"/>
              <w:jc w:val="both"/>
              <w:rPr>
                <w:rFonts w:hint="eastAsia" w:ascii="仿宋" w:hAnsi="仿宋" w:eastAsia="仿宋" w:cs="仿宋"/>
                <w:sz w:val="24"/>
              </w:rPr>
            </w:pPr>
          </w:p>
        </w:tc>
        <w:tc>
          <w:tcPr>
            <w:tcW w:w="0" w:type="auto"/>
            <w:vAlign w:val="center"/>
          </w:tcPr>
          <w:p w14:paraId="0B7AC0D1">
            <w:pPr>
              <w:spacing w:line="360" w:lineRule="auto"/>
              <w:jc w:val="both"/>
              <w:rPr>
                <w:rFonts w:hint="eastAsia" w:ascii="仿宋" w:hAnsi="仿宋" w:eastAsia="仿宋" w:cs="仿宋"/>
                <w:sz w:val="24"/>
              </w:rPr>
            </w:pPr>
            <w:r>
              <w:rPr>
                <w:rFonts w:hint="eastAsia" w:ascii="仿宋" w:hAnsi="仿宋" w:eastAsia="仿宋" w:cs="仿宋"/>
                <w:sz w:val="24"/>
              </w:rPr>
              <w:t>工单外派管理，提供对工单执行中的设备外送维修服务等的流程管理，可记录维修金额及凭证上传。</w:t>
            </w:r>
          </w:p>
        </w:tc>
      </w:tr>
      <w:tr w14:paraId="6F4A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67F87B11">
            <w:pPr>
              <w:spacing w:line="360" w:lineRule="auto"/>
              <w:jc w:val="center"/>
              <w:rPr>
                <w:rFonts w:hint="eastAsia" w:ascii="仿宋" w:hAnsi="仿宋" w:eastAsia="仿宋" w:cs="仿宋"/>
                <w:sz w:val="24"/>
              </w:rPr>
            </w:pPr>
          </w:p>
        </w:tc>
        <w:tc>
          <w:tcPr>
            <w:tcW w:w="0" w:type="auto"/>
            <w:vMerge w:val="continue"/>
          </w:tcPr>
          <w:p w14:paraId="42963648">
            <w:pPr>
              <w:spacing w:line="360" w:lineRule="auto"/>
              <w:jc w:val="both"/>
              <w:rPr>
                <w:rFonts w:hint="eastAsia" w:ascii="仿宋" w:hAnsi="仿宋" w:eastAsia="仿宋" w:cs="仿宋"/>
                <w:sz w:val="24"/>
              </w:rPr>
            </w:pPr>
          </w:p>
        </w:tc>
        <w:tc>
          <w:tcPr>
            <w:tcW w:w="0" w:type="auto"/>
            <w:vAlign w:val="center"/>
          </w:tcPr>
          <w:p w14:paraId="17AD52B5">
            <w:pPr>
              <w:spacing w:line="360" w:lineRule="auto"/>
              <w:jc w:val="both"/>
              <w:rPr>
                <w:rFonts w:hint="eastAsia" w:ascii="仿宋" w:hAnsi="仿宋" w:eastAsia="仿宋" w:cs="仿宋"/>
                <w:sz w:val="24"/>
              </w:rPr>
            </w:pPr>
            <w:r>
              <w:rPr>
                <w:rFonts w:hint="eastAsia" w:ascii="仿宋" w:hAnsi="仿宋" w:eastAsia="仿宋" w:cs="仿宋"/>
                <w:sz w:val="24"/>
              </w:rPr>
              <w:t>补单功能，方便服务人员事后进行工单录入。</w:t>
            </w:r>
          </w:p>
        </w:tc>
      </w:tr>
      <w:tr w14:paraId="309F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1E2DDEB5">
            <w:pPr>
              <w:spacing w:line="360" w:lineRule="auto"/>
              <w:jc w:val="center"/>
              <w:rPr>
                <w:rFonts w:hint="eastAsia" w:ascii="仿宋" w:hAnsi="仿宋" w:eastAsia="仿宋" w:cs="仿宋"/>
                <w:sz w:val="24"/>
              </w:rPr>
            </w:pPr>
          </w:p>
        </w:tc>
        <w:tc>
          <w:tcPr>
            <w:tcW w:w="0" w:type="auto"/>
            <w:vMerge w:val="continue"/>
          </w:tcPr>
          <w:p w14:paraId="60C59ACC">
            <w:pPr>
              <w:spacing w:line="360" w:lineRule="auto"/>
              <w:jc w:val="both"/>
              <w:rPr>
                <w:rFonts w:hint="eastAsia" w:ascii="仿宋" w:hAnsi="仿宋" w:eastAsia="仿宋" w:cs="仿宋"/>
                <w:sz w:val="24"/>
              </w:rPr>
            </w:pPr>
          </w:p>
        </w:tc>
        <w:tc>
          <w:tcPr>
            <w:tcW w:w="0" w:type="auto"/>
            <w:vAlign w:val="center"/>
          </w:tcPr>
          <w:p w14:paraId="17D0642C">
            <w:pPr>
              <w:spacing w:line="360" w:lineRule="auto"/>
              <w:jc w:val="both"/>
              <w:rPr>
                <w:rFonts w:hint="eastAsia" w:ascii="仿宋" w:hAnsi="仿宋" w:eastAsia="仿宋" w:cs="仿宋"/>
                <w:sz w:val="24"/>
              </w:rPr>
            </w:pPr>
            <w:r>
              <w:rPr>
                <w:rFonts w:hint="eastAsia" w:ascii="仿宋" w:hAnsi="仿宋" w:eastAsia="仿宋" w:cs="仿宋"/>
                <w:sz w:val="24"/>
              </w:rPr>
              <w:t>提供协同任务功能，针对重大任务可以新建协同任务并指定任务负责人和协同人员；支持将协同任务分解成子任务，由不同人员来负责执行。</w:t>
            </w:r>
            <w:r>
              <w:rPr>
                <w:rFonts w:hint="eastAsia" w:ascii="仿宋" w:hAnsi="仿宋" w:eastAsia="仿宋" w:cs="仿宋"/>
                <w:b/>
                <w:bCs/>
                <w:sz w:val="24"/>
              </w:rPr>
              <w:t>（需要提供功能演示）</w:t>
            </w:r>
          </w:p>
        </w:tc>
      </w:tr>
      <w:tr w14:paraId="7595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restart"/>
            <w:vAlign w:val="center"/>
          </w:tcPr>
          <w:p w14:paraId="75EC0C97">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0" w:type="auto"/>
            <w:vMerge w:val="restart"/>
            <w:vAlign w:val="center"/>
          </w:tcPr>
          <w:p w14:paraId="7BABEA2C">
            <w:pPr>
              <w:spacing w:line="360" w:lineRule="auto"/>
              <w:jc w:val="center"/>
              <w:rPr>
                <w:rFonts w:hint="eastAsia" w:ascii="仿宋" w:hAnsi="仿宋" w:eastAsia="仿宋" w:cs="仿宋"/>
                <w:sz w:val="24"/>
              </w:rPr>
            </w:pPr>
            <w:r>
              <w:rPr>
                <w:rFonts w:hint="eastAsia" w:ascii="仿宋" w:hAnsi="仿宋" w:eastAsia="仿宋" w:cs="仿宋"/>
                <w:sz w:val="24"/>
              </w:rPr>
              <w:t>巡检管理</w:t>
            </w:r>
          </w:p>
        </w:tc>
        <w:tc>
          <w:tcPr>
            <w:tcW w:w="0" w:type="auto"/>
            <w:vAlign w:val="center"/>
          </w:tcPr>
          <w:p w14:paraId="6F9D55C2">
            <w:pPr>
              <w:spacing w:line="360" w:lineRule="auto"/>
              <w:jc w:val="both"/>
              <w:rPr>
                <w:rFonts w:hint="eastAsia" w:ascii="仿宋" w:hAnsi="仿宋" w:eastAsia="仿宋" w:cs="仿宋"/>
                <w:sz w:val="24"/>
              </w:rPr>
            </w:pPr>
            <w:r>
              <w:rPr>
                <w:rFonts w:hint="eastAsia" w:ascii="仿宋" w:hAnsi="仿宋" w:eastAsia="仿宋" w:cs="仿宋"/>
                <w:sz w:val="24"/>
              </w:rPr>
              <w:t>提供针对不同类型资产设备及软件系统的日常巡检巡查、特殊设备年审等工作全流程管理。</w:t>
            </w:r>
          </w:p>
        </w:tc>
      </w:tr>
      <w:tr w14:paraId="6D2C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14:paraId="14C43B8F">
            <w:pPr>
              <w:spacing w:line="360" w:lineRule="auto"/>
              <w:jc w:val="center"/>
              <w:rPr>
                <w:rFonts w:hint="eastAsia" w:ascii="仿宋" w:hAnsi="仿宋" w:eastAsia="仿宋" w:cs="仿宋"/>
                <w:sz w:val="24"/>
              </w:rPr>
            </w:pPr>
          </w:p>
        </w:tc>
        <w:tc>
          <w:tcPr>
            <w:tcW w:w="0" w:type="auto"/>
            <w:vMerge w:val="continue"/>
          </w:tcPr>
          <w:p w14:paraId="472DAA33">
            <w:pPr>
              <w:spacing w:line="360" w:lineRule="auto"/>
              <w:jc w:val="both"/>
              <w:rPr>
                <w:rFonts w:hint="eastAsia" w:ascii="仿宋" w:hAnsi="仿宋" w:eastAsia="仿宋" w:cs="仿宋"/>
                <w:sz w:val="24"/>
              </w:rPr>
            </w:pPr>
          </w:p>
        </w:tc>
        <w:tc>
          <w:tcPr>
            <w:tcW w:w="0" w:type="auto"/>
            <w:vAlign w:val="center"/>
          </w:tcPr>
          <w:p w14:paraId="3DE74AC8">
            <w:pPr>
              <w:spacing w:line="360" w:lineRule="auto"/>
              <w:jc w:val="both"/>
              <w:rPr>
                <w:rFonts w:hint="eastAsia" w:ascii="仿宋" w:hAnsi="仿宋" w:eastAsia="仿宋" w:cs="仿宋"/>
                <w:sz w:val="24"/>
              </w:rPr>
            </w:pPr>
            <w:r>
              <w:rPr>
                <w:rFonts w:hint="eastAsia" w:ascii="仿宋" w:hAnsi="仿宋" w:eastAsia="仿宋" w:cs="仿宋"/>
                <w:sz w:val="24"/>
              </w:rPr>
              <w:t>可创建周期性巡检任务，指定到岗位或个人，到期提醒。</w:t>
            </w:r>
          </w:p>
        </w:tc>
      </w:tr>
      <w:tr w14:paraId="6D21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6748FB7B">
            <w:pPr>
              <w:spacing w:line="360" w:lineRule="auto"/>
              <w:jc w:val="center"/>
              <w:rPr>
                <w:rFonts w:hint="eastAsia" w:ascii="仿宋" w:hAnsi="仿宋" w:eastAsia="仿宋" w:cs="仿宋"/>
                <w:sz w:val="24"/>
              </w:rPr>
            </w:pPr>
          </w:p>
        </w:tc>
        <w:tc>
          <w:tcPr>
            <w:tcW w:w="0" w:type="auto"/>
            <w:vMerge w:val="continue"/>
          </w:tcPr>
          <w:p w14:paraId="75E4799E">
            <w:pPr>
              <w:spacing w:line="360" w:lineRule="auto"/>
              <w:jc w:val="both"/>
              <w:rPr>
                <w:rFonts w:hint="eastAsia" w:ascii="仿宋" w:hAnsi="仿宋" w:eastAsia="仿宋" w:cs="仿宋"/>
                <w:sz w:val="24"/>
              </w:rPr>
            </w:pPr>
          </w:p>
        </w:tc>
        <w:tc>
          <w:tcPr>
            <w:tcW w:w="0" w:type="auto"/>
            <w:vAlign w:val="center"/>
          </w:tcPr>
          <w:p w14:paraId="591A9DBB">
            <w:pPr>
              <w:spacing w:line="360" w:lineRule="auto"/>
              <w:jc w:val="both"/>
              <w:rPr>
                <w:rFonts w:hint="eastAsia" w:ascii="仿宋" w:hAnsi="仿宋" w:eastAsia="仿宋" w:cs="仿宋"/>
                <w:sz w:val="24"/>
              </w:rPr>
            </w:pPr>
            <w:r>
              <w:rPr>
                <w:rFonts w:hint="eastAsia" w:ascii="仿宋" w:hAnsi="仿宋" w:eastAsia="仿宋" w:cs="仿宋"/>
                <w:sz w:val="24"/>
              </w:rPr>
              <w:t>巡检任务模板管理，提供二级模板功能，根据巡检对象可创建指标集模板，可自定义巡检指标及数据类型；根据巡检任务可创建对象集模板，可自定义任务的巡检对象类型及范围。</w:t>
            </w:r>
            <w:r>
              <w:rPr>
                <w:rFonts w:hint="eastAsia" w:ascii="仿宋" w:hAnsi="仿宋" w:eastAsia="仿宋" w:cs="仿宋"/>
                <w:b/>
                <w:bCs/>
                <w:sz w:val="24"/>
              </w:rPr>
              <w:t>（需要提供功能演示）</w:t>
            </w:r>
          </w:p>
        </w:tc>
      </w:tr>
      <w:tr w14:paraId="10F1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14:paraId="48D4C6A3">
            <w:pPr>
              <w:spacing w:line="360" w:lineRule="auto"/>
              <w:jc w:val="center"/>
              <w:rPr>
                <w:rFonts w:hint="eastAsia" w:ascii="仿宋" w:hAnsi="仿宋" w:eastAsia="仿宋" w:cs="仿宋"/>
                <w:sz w:val="24"/>
              </w:rPr>
            </w:pPr>
          </w:p>
        </w:tc>
        <w:tc>
          <w:tcPr>
            <w:tcW w:w="0" w:type="auto"/>
            <w:vMerge w:val="continue"/>
          </w:tcPr>
          <w:p w14:paraId="25D52F5C">
            <w:pPr>
              <w:spacing w:line="360" w:lineRule="auto"/>
              <w:jc w:val="both"/>
              <w:rPr>
                <w:rFonts w:hint="eastAsia" w:ascii="仿宋" w:hAnsi="仿宋" w:eastAsia="仿宋" w:cs="仿宋"/>
                <w:sz w:val="24"/>
              </w:rPr>
            </w:pPr>
          </w:p>
        </w:tc>
        <w:tc>
          <w:tcPr>
            <w:tcW w:w="0" w:type="auto"/>
            <w:vAlign w:val="center"/>
          </w:tcPr>
          <w:p w14:paraId="7E86B595">
            <w:pPr>
              <w:spacing w:line="360" w:lineRule="auto"/>
              <w:jc w:val="both"/>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巡检日历功能，在PC端均可以方便地查看巡检计划及执行情况。</w:t>
            </w:r>
            <w:r>
              <w:rPr>
                <w:rFonts w:hint="eastAsia" w:ascii="仿宋" w:hAnsi="仿宋" w:eastAsia="仿宋" w:cs="仿宋"/>
                <w:b/>
                <w:bCs/>
                <w:sz w:val="24"/>
              </w:rPr>
              <w:t>（需要提供功能截图证明）</w:t>
            </w:r>
          </w:p>
        </w:tc>
      </w:tr>
      <w:tr w14:paraId="4A29D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14:paraId="0CAC658B">
            <w:pPr>
              <w:spacing w:line="360" w:lineRule="auto"/>
              <w:jc w:val="center"/>
              <w:rPr>
                <w:rFonts w:hint="eastAsia" w:ascii="仿宋" w:hAnsi="仿宋" w:eastAsia="仿宋" w:cs="仿宋"/>
                <w:sz w:val="24"/>
              </w:rPr>
            </w:pPr>
          </w:p>
        </w:tc>
        <w:tc>
          <w:tcPr>
            <w:tcW w:w="0" w:type="auto"/>
            <w:vMerge w:val="continue"/>
          </w:tcPr>
          <w:p w14:paraId="4CC030F4">
            <w:pPr>
              <w:spacing w:line="360" w:lineRule="auto"/>
              <w:jc w:val="both"/>
              <w:rPr>
                <w:rFonts w:hint="eastAsia" w:ascii="仿宋" w:hAnsi="仿宋" w:eastAsia="仿宋" w:cs="仿宋"/>
                <w:sz w:val="24"/>
              </w:rPr>
            </w:pPr>
          </w:p>
        </w:tc>
        <w:tc>
          <w:tcPr>
            <w:tcW w:w="0" w:type="auto"/>
            <w:vAlign w:val="center"/>
          </w:tcPr>
          <w:p w14:paraId="0422E7F9">
            <w:pPr>
              <w:spacing w:line="360" w:lineRule="auto"/>
              <w:jc w:val="both"/>
              <w:rPr>
                <w:rFonts w:hint="eastAsia" w:ascii="仿宋" w:hAnsi="仿宋" w:eastAsia="仿宋" w:cs="仿宋"/>
                <w:sz w:val="24"/>
              </w:rPr>
            </w:pPr>
            <w:r>
              <w:rPr>
                <w:rFonts w:hint="eastAsia" w:ascii="仿宋" w:hAnsi="仿宋" w:eastAsia="仿宋" w:cs="仿宋"/>
                <w:sz w:val="24"/>
              </w:rPr>
              <w:t>巡检任务执行管理，巡检人员需按照任务模板执行，以保证巡检及时性和完整性；可通过移动端或PC端记录巡检结果，以便进行长期性趋势分析，提早发现隐患；巡检过程可拍照记录及录音上传。</w:t>
            </w:r>
          </w:p>
        </w:tc>
      </w:tr>
      <w:tr w14:paraId="6C93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2C65AC4">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0" w:type="auto"/>
            <w:vAlign w:val="center"/>
          </w:tcPr>
          <w:p w14:paraId="4E94FC80">
            <w:pPr>
              <w:spacing w:line="360" w:lineRule="auto"/>
              <w:jc w:val="center"/>
              <w:rPr>
                <w:rFonts w:hint="eastAsia" w:ascii="仿宋" w:hAnsi="仿宋" w:eastAsia="仿宋" w:cs="仿宋"/>
                <w:sz w:val="24"/>
              </w:rPr>
            </w:pPr>
            <w:r>
              <w:rPr>
                <w:rFonts w:hint="eastAsia" w:ascii="仿宋" w:hAnsi="仿宋" w:eastAsia="仿宋" w:cs="仿宋"/>
                <w:sz w:val="24"/>
              </w:rPr>
              <w:t>值班记录</w:t>
            </w:r>
          </w:p>
        </w:tc>
        <w:tc>
          <w:tcPr>
            <w:tcW w:w="0" w:type="auto"/>
            <w:vAlign w:val="center"/>
          </w:tcPr>
          <w:p w14:paraId="44A79889">
            <w:pPr>
              <w:spacing w:line="360" w:lineRule="auto"/>
              <w:jc w:val="both"/>
              <w:rPr>
                <w:rFonts w:hint="eastAsia" w:ascii="仿宋" w:hAnsi="仿宋" w:eastAsia="仿宋" w:cs="仿宋"/>
                <w:sz w:val="24"/>
              </w:rPr>
            </w:pPr>
            <w:r>
              <w:rPr>
                <w:rFonts w:hint="eastAsia" w:ascii="仿宋" w:hAnsi="仿宋" w:eastAsia="仿宋" w:cs="仿宋"/>
                <w:sz w:val="24"/>
              </w:rPr>
              <w:t>支持值班人员记录在值班过程中发生的各类问题情况，包括机房设备工作情况、网络设备运行情况、信息安全问题处理等；可以对值班期间未完成处理的工单进行值班交接。</w:t>
            </w:r>
            <w:r>
              <w:rPr>
                <w:rFonts w:hint="eastAsia" w:ascii="仿宋" w:hAnsi="仿宋" w:eastAsia="仿宋" w:cs="仿宋"/>
                <w:b/>
                <w:bCs/>
                <w:sz w:val="24"/>
              </w:rPr>
              <w:t>（需要提供功能演示）</w:t>
            </w:r>
          </w:p>
        </w:tc>
      </w:tr>
      <w:tr w14:paraId="2C3A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restart"/>
            <w:vAlign w:val="center"/>
          </w:tcPr>
          <w:p w14:paraId="753C6A0F">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0" w:type="auto"/>
            <w:vMerge w:val="restart"/>
            <w:vAlign w:val="center"/>
          </w:tcPr>
          <w:p w14:paraId="29BDA4BB">
            <w:pPr>
              <w:spacing w:line="360" w:lineRule="auto"/>
              <w:jc w:val="center"/>
              <w:rPr>
                <w:rFonts w:hint="eastAsia" w:ascii="仿宋" w:hAnsi="仿宋" w:eastAsia="仿宋" w:cs="仿宋"/>
                <w:sz w:val="24"/>
              </w:rPr>
            </w:pPr>
            <w:r>
              <w:rPr>
                <w:rFonts w:hint="eastAsia" w:ascii="仿宋" w:hAnsi="仿宋" w:eastAsia="仿宋" w:cs="仿宋"/>
                <w:sz w:val="24"/>
              </w:rPr>
              <w:t>报表中心</w:t>
            </w:r>
          </w:p>
        </w:tc>
        <w:tc>
          <w:tcPr>
            <w:tcW w:w="0" w:type="auto"/>
            <w:vAlign w:val="center"/>
          </w:tcPr>
          <w:p w14:paraId="6B656755">
            <w:pPr>
              <w:spacing w:line="360" w:lineRule="auto"/>
              <w:jc w:val="both"/>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日报系统：可通过移动端主动推送各部门的运维日报数据，可以通过切换日期查看今日实时和历史统计数据。</w:t>
            </w:r>
            <w:r>
              <w:rPr>
                <w:rFonts w:hint="eastAsia" w:ascii="仿宋" w:hAnsi="仿宋" w:eastAsia="仿宋" w:cs="仿宋"/>
                <w:b/>
                <w:bCs/>
                <w:sz w:val="24"/>
              </w:rPr>
              <w:t>（需要提供功能截图证明）</w:t>
            </w:r>
          </w:p>
        </w:tc>
      </w:tr>
      <w:tr w14:paraId="4F92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14:paraId="4C06F77C">
            <w:pPr>
              <w:spacing w:line="360" w:lineRule="auto"/>
              <w:jc w:val="center"/>
              <w:rPr>
                <w:rFonts w:hint="eastAsia" w:ascii="仿宋" w:hAnsi="仿宋" w:eastAsia="仿宋" w:cs="仿宋"/>
                <w:sz w:val="24"/>
              </w:rPr>
            </w:pPr>
          </w:p>
        </w:tc>
        <w:tc>
          <w:tcPr>
            <w:tcW w:w="0" w:type="auto"/>
            <w:vMerge w:val="continue"/>
          </w:tcPr>
          <w:p w14:paraId="42512CCF">
            <w:pPr>
              <w:spacing w:line="360" w:lineRule="auto"/>
              <w:jc w:val="both"/>
              <w:rPr>
                <w:rFonts w:hint="eastAsia" w:ascii="仿宋" w:hAnsi="仿宋" w:eastAsia="仿宋" w:cs="仿宋"/>
                <w:sz w:val="24"/>
              </w:rPr>
            </w:pPr>
          </w:p>
        </w:tc>
        <w:tc>
          <w:tcPr>
            <w:tcW w:w="0" w:type="auto"/>
            <w:vAlign w:val="center"/>
          </w:tcPr>
          <w:p w14:paraId="3F30D618">
            <w:pPr>
              <w:spacing w:line="360" w:lineRule="auto"/>
              <w:jc w:val="both"/>
              <w:rPr>
                <w:rFonts w:hint="eastAsia" w:ascii="仿宋" w:hAnsi="仿宋" w:eastAsia="仿宋" w:cs="仿宋"/>
                <w:sz w:val="24"/>
              </w:rPr>
            </w:pPr>
            <w:r>
              <w:rPr>
                <w:rFonts w:hint="eastAsia" w:ascii="仿宋" w:hAnsi="仿宋" w:eastAsia="仿宋" w:cs="仿宋"/>
                <w:sz w:val="24"/>
              </w:rPr>
              <w:t>统计报表系统：提供工单处理、巡检、文档管理等统计报表。</w:t>
            </w:r>
          </w:p>
        </w:tc>
      </w:tr>
      <w:tr w14:paraId="7EE0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14:paraId="35359CF1">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0" w:type="auto"/>
            <w:vMerge w:val="restart"/>
            <w:vAlign w:val="center"/>
          </w:tcPr>
          <w:p w14:paraId="64D2A569">
            <w:pPr>
              <w:spacing w:line="360" w:lineRule="auto"/>
              <w:jc w:val="center"/>
              <w:rPr>
                <w:rFonts w:hint="eastAsia" w:ascii="仿宋" w:hAnsi="仿宋" w:eastAsia="仿宋" w:cs="仿宋"/>
                <w:sz w:val="24"/>
              </w:rPr>
            </w:pPr>
            <w:r>
              <w:rPr>
                <w:rFonts w:hint="eastAsia" w:ascii="仿宋" w:hAnsi="仿宋" w:eastAsia="仿宋" w:cs="仿宋"/>
                <w:sz w:val="24"/>
              </w:rPr>
              <w:t>知识库管理</w:t>
            </w:r>
          </w:p>
        </w:tc>
        <w:tc>
          <w:tcPr>
            <w:tcW w:w="0" w:type="auto"/>
            <w:vAlign w:val="center"/>
          </w:tcPr>
          <w:p w14:paraId="0020A183">
            <w:pPr>
              <w:spacing w:line="360" w:lineRule="auto"/>
              <w:jc w:val="both"/>
              <w:rPr>
                <w:rFonts w:hint="eastAsia" w:ascii="仿宋" w:hAnsi="仿宋" w:eastAsia="仿宋" w:cs="仿宋"/>
                <w:sz w:val="24"/>
              </w:rPr>
            </w:pPr>
            <w:r>
              <w:rPr>
                <w:rFonts w:hint="eastAsia" w:ascii="仿宋" w:hAnsi="仿宋" w:eastAsia="仿宋" w:cs="仿宋"/>
                <w:sz w:val="24"/>
              </w:rPr>
              <w:t>文档分类和标签管理：系统文档分类可自定义，可通过文档标签快速筛选检索。通过数据权限实现各部门数据实现互相隔离。</w:t>
            </w:r>
          </w:p>
        </w:tc>
      </w:tr>
      <w:tr w14:paraId="5A60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14:paraId="12690208">
            <w:pPr>
              <w:spacing w:line="360" w:lineRule="auto"/>
              <w:jc w:val="center"/>
              <w:rPr>
                <w:rFonts w:hint="eastAsia" w:ascii="仿宋" w:hAnsi="仿宋" w:eastAsia="仿宋" w:cs="仿宋"/>
                <w:sz w:val="24"/>
              </w:rPr>
            </w:pPr>
          </w:p>
        </w:tc>
        <w:tc>
          <w:tcPr>
            <w:tcW w:w="0" w:type="auto"/>
            <w:vMerge w:val="continue"/>
          </w:tcPr>
          <w:p w14:paraId="617FB4C3">
            <w:pPr>
              <w:spacing w:line="360" w:lineRule="auto"/>
              <w:jc w:val="both"/>
              <w:rPr>
                <w:rFonts w:hint="eastAsia" w:ascii="仿宋" w:hAnsi="仿宋" w:eastAsia="仿宋" w:cs="仿宋"/>
                <w:sz w:val="24"/>
              </w:rPr>
            </w:pPr>
          </w:p>
        </w:tc>
        <w:tc>
          <w:tcPr>
            <w:tcW w:w="0" w:type="auto"/>
            <w:vAlign w:val="center"/>
          </w:tcPr>
          <w:p w14:paraId="7B467E18">
            <w:pPr>
              <w:spacing w:line="360" w:lineRule="auto"/>
              <w:jc w:val="both"/>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文档安全管理：可针对关键性知识库文档及条目进行权限加密，针对不同角色用户配置不同读写权限。</w:t>
            </w:r>
            <w:r>
              <w:rPr>
                <w:rFonts w:hint="eastAsia" w:ascii="仿宋" w:hAnsi="仿宋" w:eastAsia="仿宋" w:cs="仿宋"/>
                <w:b/>
                <w:bCs/>
                <w:sz w:val="24"/>
              </w:rPr>
              <w:t>（需要提供功能截图证明）</w:t>
            </w:r>
          </w:p>
        </w:tc>
      </w:tr>
      <w:tr w14:paraId="17DB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14:paraId="3CD324BE">
            <w:pPr>
              <w:spacing w:line="360" w:lineRule="auto"/>
              <w:jc w:val="center"/>
              <w:rPr>
                <w:rFonts w:hint="eastAsia" w:ascii="仿宋" w:hAnsi="仿宋" w:eastAsia="仿宋" w:cs="仿宋"/>
                <w:sz w:val="24"/>
              </w:rPr>
            </w:pPr>
            <w:r>
              <w:rPr>
                <w:rFonts w:hint="eastAsia" w:ascii="仿宋" w:hAnsi="仿宋" w:eastAsia="仿宋" w:cs="仿宋"/>
                <w:sz w:val="24"/>
              </w:rPr>
              <w:t>6</w:t>
            </w:r>
          </w:p>
        </w:tc>
        <w:tc>
          <w:tcPr>
            <w:tcW w:w="0" w:type="auto"/>
            <w:vMerge w:val="restart"/>
            <w:vAlign w:val="center"/>
          </w:tcPr>
          <w:p w14:paraId="0B3560F2">
            <w:pPr>
              <w:spacing w:line="360" w:lineRule="auto"/>
              <w:jc w:val="center"/>
              <w:rPr>
                <w:rFonts w:hint="eastAsia" w:ascii="仿宋" w:hAnsi="仿宋" w:eastAsia="仿宋" w:cs="仿宋"/>
                <w:sz w:val="24"/>
              </w:rPr>
            </w:pPr>
            <w:r>
              <w:rPr>
                <w:rFonts w:hint="eastAsia" w:ascii="仿宋" w:hAnsi="仿宋" w:eastAsia="仿宋" w:cs="仿宋"/>
                <w:sz w:val="24"/>
              </w:rPr>
              <w:t>移动端功能</w:t>
            </w:r>
          </w:p>
        </w:tc>
        <w:tc>
          <w:tcPr>
            <w:tcW w:w="0" w:type="auto"/>
            <w:vAlign w:val="center"/>
          </w:tcPr>
          <w:p w14:paraId="19D4E82D">
            <w:pPr>
              <w:spacing w:line="360" w:lineRule="auto"/>
              <w:jc w:val="both"/>
              <w:rPr>
                <w:rFonts w:hint="eastAsia" w:ascii="仿宋" w:hAnsi="仿宋" w:eastAsia="仿宋" w:cs="仿宋"/>
                <w:sz w:val="24"/>
              </w:rPr>
            </w:pPr>
            <w:r>
              <w:rPr>
                <w:rFonts w:hint="eastAsia" w:ascii="仿宋" w:hAnsi="仿宋" w:eastAsia="仿宋" w:cs="仿宋"/>
                <w:sz w:val="24"/>
                <w:lang w:val="en-CA"/>
              </w:rPr>
              <w:t>系统提供钉钉移动端功能，支持系统主要功能，实现移动办公。</w:t>
            </w:r>
          </w:p>
        </w:tc>
      </w:tr>
      <w:tr w14:paraId="3907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14:paraId="662F25E5">
            <w:pPr>
              <w:spacing w:line="360" w:lineRule="auto"/>
              <w:jc w:val="center"/>
              <w:rPr>
                <w:rFonts w:hint="eastAsia" w:ascii="仿宋" w:hAnsi="仿宋" w:eastAsia="仿宋" w:cs="仿宋"/>
                <w:sz w:val="24"/>
              </w:rPr>
            </w:pPr>
          </w:p>
        </w:tc>
        <w:tc>
          <w:tcPr>
            <w:tcW w:w="0" w:type="auto"/>
            <w:vMerge w:val="continue"/>
          </w:tcPr>
          <w:p w14:paraId="39CDBDF9">
            <w:pPr>
              <w:spacing w:line="360" w:lineRule="auto"/>
              <w:jc w:val="both"/>
              <w:rPr>
                <w:rFonts w:hint="eastAsia" w:ascii="仿宋" w:hAnsi="仿宋" w:eastAsia="仿宋" w:cs="仿宋"/>
                <w:sz w:val="24"/>
              </w:rPr>
            </w:pPr>
          </w:p>
        </w:tc>
        <w:tc>
          <w:tcPr>
            <w:tcW w:w="0" w:type="auto"/>
            <w:vAlign w:val="center"/>
          </w:tcPr>
          <w:p w14:paraId="24FDD5FF">
            <w:pPr>
              <w:spacing w:line="360" w:lineRule="auto"/>
              <w:jc w:val="both"/>
              <w:rPr>
                <w:rFonts w:hint="eastAsia" w:ascii="仿宋" w:hAnsi="仿宋" w:eastAsia="仿宋" w:cs="仿宋"/>
                <w:sz w:val="24"/>
              </w:rPr>
            </w:pPr>
            <w:r>
              <w:rPr>
                <w:rFonts w:hint="eastAsia" w:ascii="仿宋" w:hAnsi="仿宋" w:eastAsia="仿宋" w:cs="仿宋"/>
                <w:sz w:val="24"/>
              </w:rPr>
              <w:t>移动工作台系统：提供快速报修、补单、工单执行、工单验收、工单状态查询等各项功能。</w:t>
            </w:r>
          </w:p>
        </w:tc>
      </w:tr>
      <w:tr w14:paraId="1B8D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14:paraId="69B9739B">
            <w:pPr>
              <w:spacing w:line="360" w:lineRule="auto"/>
              <w:jc w:val="center"/>
              <w:rPr>
                <w:rFonts w:hint="eastAsia" w:ascii="仿宋" w:hAnsi="仿宋" w:eastAsia="仿宋" w:cs="仿宋"/>
                <w:sz w:val="24"/>
              </w:rPr>
            </w:pPr>
          </w:p>
        </w:tc>
        <w:tc>
          <w:tcPr>
            <w:tcW w:w="0" w:type="auto"/>
            <w:vMerge w:val="continue"/>
          </w:tcPr>
          <w:p w14:paraId="0A950363">
            <w:pPr>
              <w:spacing w:line="360" w:lineRule="auto"/>
              <w:jc w:val="both"/>
              <w:rPr>
                <w:rFonts w:hint="eastAsia" w:ascii="仿宋" w:hAnsi="仿宋" w:eastAsia="仿宋" w:cs="仿宋"/>
                <w:sz w:val="24"/>
              </w:rPr>
            </w:pPr>
          </w:p>
        </w:tc>
        <w:tc>
          <w:tcPr>
            <w:tcW w:w="0" w:type="auto"/>
            <w:vAlign w:val="center"/>
          </w:tcPr>
          <w:p w14:paraId="11AFAD08">
            <w:pPr>
              <w:spacing w:line="360" w:lineRule="auto"/>
              <w:jc w:val="both"/>
              <w:rPr>
                <w:rFonts w:hint="eastAsia" w:ascii="仿宋" w:hAnsi="仿宋" w:eastAsia="仿宋" w:cs="仿宋"/>
                <w:sz w:val="24"/>
              </w:rPr>
            </w:pPr>
            <w:r>
              <w:rPr>
                <w:rFonts w:hint="eastAsia" w:ascii="仿宋" w:hAnsi="仿宋" w:eastAsia="仿宋" w:cs="仿宋"/>
                <w:sz w:val="24"/>
              </w:rPr>
              <w:t>移动端便捷功能：提供语音识别输入功能，可通过语音代替手写输入；提供拍照和录音文件。</w:t>
            </w:r>
            <w:r>
              <w:rPr>
                <w:rFonts w:hint="eastAsia" w:ascii="仿宋" w:hAnsi="仿宋" w:eastAsia="仿宋" w:cs="仿宋"/>
                <w:b/>
                <w:bCs/>
                <w:sz w:val="24"/>
              </w:rPr>
              <w:t>（需要提供功能演示）</w:t>
            </w:r>
          </w:p>
        </w:tc>
      </w:tr>
      <w:tr w14:paraId="77B0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14:paraId="29B1703B">
            <w:pPr>
              <w:spacing w:line="360" w:lineRule="auto"/>
              <w:jc w:val="center"/>
              <w:rPr>
                <w:rFonts w:hint="eastAsia" w:ascii="仿宋" w:hAnsi="仿宋" w:eastAsia="仿宋" w:cs="仿宋"/>
                <w:sz w:val="24"/>
              </w:rPr>
            </w:pPr>
          </w:p>
        </w:tc>
        <w:tc>
          <w:tcPr>
            <w:tcW w:w="0" w:type="auto"/>
            <w:vMerge w:val="continue"/>
          </w:tcPr>
          <w:p w14:paraId="172B47E0">
            <w:pPr>
              <w:spacing w:line="360" w:lineRule="auto"/>
              <w:jc w:val="both"/>
              <w:rPr>
                <w:rFonts w:hint="eastAsia" w:ascii="仿宋" w:hAnsi="仿宋" w:eastAsia="仿宋" w:cs="仿宋"/>
                <w:sz w:val="24"/>
              </w:rPr>
            </w:pPr>
          </w:p>
        </w:tc>
        <w:tc>
          <w:tcPr>
            <w:tcW w:w="0" w:type="auto"/>
            <w:vAlign w:val="center"/>
          </w:tcPr>
          <w:p w14:paraId="727117F1">
            <w:pPr>
              <w:spacing w:line="360" w:lineRule="auto"/>
              <w:jc w:val="both"/>
              <w:rPr>
                <w:rFonts w:hint="eastAsia" w:ascii="仿宋" w:hAnsi="仿宋" w:eastAsia="仿宋" w:cs="仿宋"/>
                <w:sz w:val="24"/>
              </w:rPr>
            </w:pPr>
            <w:r>
              <w:rPr>
                <w:rFonts w:hint="eastAsia" w:ascii="仿宋" w:hAnsi="仿宋" w:eastAsia="仿宋" w:cs="仿宋"/>
                <w:sz w:val="24"/>
              </w:rPr>
              <w:t>移动端消息：提供模板消息，可在各业务流程节点发送消息通知。</w:t>
            </w:r>
          </w:p>
        </w:tc>
      </w:tr>
      <w:tr w14:paraId="77DA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14:paraId="44A89D61">
            <w:pPr>
              <w:spacing w:line="360" w:lineRule="auto"/>
              <w:jc w:val="center"/>
              <w:rPr>
                <w:rFonts w:hint="eastAsia" w:ascii="仿宋" w:hAnsi="仿宋" w:eastAsia="仿宋" w:cs="仿宋"/>
                <w:sz w:val="24"/>
              </w:rPr>
            </w:pPr>
          </w:p>
        </w:tc>
        <w:tc>
          <w:tcPr>
            <w:tcW w:w="0" w:type="auto"/>
            <w:vMerge w:val="continue"/>
          </w:tcPr>
          <w:p w14:paraId="13AA7093">
            <w:pPr>
              <w:spacing w:line="360" w:lineRule="auto"/>
              <w:jc w:val="both"/>
              <w:rPr>
                <w:rFonts w:hint="eastAsia" w:ascii="仿宋" w:hAnsi="仿宋" w:eastAsia="仿宋" w:cs="仿宋"/>
                <w:sz w:val="24"/>
              </w:rPr>
            </w:pPr>
          </w:p>
        </w:tc>
        <w:tc>
          <w:tcPr>
            <w:tcW w:w="0" w:type="auto"/>
            <w:vAlign w:val="center"/>
          </w:tcPr>
          <w:p w14:paraId="0CAD852E">
            <w:pPr>
              <w:spacing w:line="360" w:lineRule="auto"/>
              <w:jc w:val="both"/>
              <w:rPr>
                <w:rFonts w:hint="eastAsia" w:ascii="仿宋" w:hAnsi="仿宋" w:eastAsia="仿宋" w:cs="仿宋"/>
                <w:sz w:val="24"/>
              </w:rPr>
            </w:pPr>
            <w:r>
              <w:rPr>
                <w:rFonts w:hint="eastAsia" w:ascii="仿宋" w:hAnsi="仿宋" w:eastAsia="仿宋" w:cs="仿宋"/>
                <w:sz w:val="24"/>
              </w:rPr>
              <w:t>移动端个人中心：可设置个人参数，可显示个人相关各项数据。</w:t>
            </w:r>
          </w:p>
        </w:tc>
      </w:tr>
    </w:tbl>
    <w:p w14:paraId="274FC429">
      <w:pPr>
        <w:pStyle w:val="6"/>
        <w:tabs>
          <w:tab w:val="left" w:pos="420"/>
          <w:tab w:val="clear" w:pos="432"/>
        </w:tabs>
        <w:spacing w:line="360" w:lineRule="auto"/>
        <w:rPr>
          <w:rFonts w:hint="eastAsia" w:ascii="仿宋" w:eastAsia="仿宋" w:cs="仿宋"/>
          <w:sz w:val="24"/>
          <w:szCs w:val="24"/>
        </w:rPr>
      </w:pPr>
      <w:r>
        <w:rPr>
          <w:rFonts w:hint="eastAsia" w:ascii="仿宋" w:eastAsia="仿宋" w:cs="仿宋"/>
          <w:sz w:val="24"/>
          <w:szCs w:val="24"/>
          <w:lang w:val="en-US" w:eastAsia="zh-CN"/>
        </w:rPr>
        <w:t>2.3</w:t>
      </w:r>
      <w:r>
        <w:rPr>
          <w:rFonts w:hint="eastAsia" w:ascii="仿宋" w:eastAsia="仿宋" w:cs="仿宋"/>
          <w:sz w:val="24"/>
          <w:szCs w:val="24"/>
        </w:rPr>
        <w:t>萧山区中医院中心机房硬件服务清单</w:t>
      </w:r>
    </w:p>
    <w:tbl>
      <w:tblPr>
        <w:tblStyle w:val="63"/>
        <w:tblW w:w="9266" w:type="dxa"/>
        <w:jc w:val="center"/>
        <w:tblLayout w:type="autofit"/>
        <w:tblCellMar>
          <w:top w:w="0" w:type="dxa"/>
          <w:left w:w="108" w:type="dxa"/>
          <w:bottom w:w="0" w:type="dxa"/>
          <w:right w:w="108" w:type="dxa"/>
        </w:tblCellMar>
      </w:tblPr>
      <w:tblGrid>
        <w:gridCol w:w="696"/>
        <w:gridCol w:w="3036"/>
        <w:gridCol w:w="1176"/>
        <w:gridCol w:w="2376"/>
        <w:gridCol w:w="1176"/>
        <w:gridCol w:w="806"/>
      </w:tblGrid>
      <w:tr w14:paraId="3B1061E8">
        <w:tblPrEx>
          <w:tblCellMar>
            <w:top w:w="0" w:type="dxa"/>
            <w:left w:w="108" w:type="dxa"/>
            <w:bottom w:w="0" w:type="dxa"/>
            <w:right w:w="108" w:type="dxa"/>
          </w:tblCellMar>
        </w:tblPrEx>
        <w:trPr>
          <w:trHeight w:val="280" w:hRule="atLeast"/>
          <w:jc w:val="center"/>
        </w:trPr>
        <w:tc>
          <w:tcPr>
            <w:tcW w:w="926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112B">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一、网络设备</w:t>
            </w:r>
          </w:p>
        </w:tc>
      </w:tr>
      <w:tr w14:paraId="2708273C">
        <w:tblPrEx>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DF76">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BE6E">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78DF">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E6F8">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7768">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保修状态</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BD47">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数量</w:t>
            </w:r>
          </w:p>
        </w:tc>
      </w:tr>
      <w:tr w14:paraId="75A88A3C">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EE94">
            <w:pPr>
              <w:widowControl/>
              <w:spacing w:line="360" w:lineRule="auto"/>
              <w:jc w:val="center"/>
              <w:textAlignment w:val="bottom"/>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542B">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超融合业务接入交换机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DC80">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新华三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DD09">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S5120V2-53P-LI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8780">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FC2F">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r>
      <w:tr w14:paraId="6571CD17">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3B2E">
            <w:pPr>
              <w:widowControl/>
              <w:spacing w:line="360" w:lineRule="auto"/>
              <w:jc w:val="center"/>
              <w:textAlignment w:val="bottom"/>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51AA">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超融合业务接入交换机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CDA2">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58D1A8D3">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S5120V2-53P-LI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92D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73C2">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3F8B4FF5">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CFAF">
            <w:pPr>
              <w:widowControl/>
              <w:spacing w:line="360" w:lineRule="auto"/>
              <w:jc w:val="center"/>
              <w:textAlignment w:val="bottom"/>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4EBA">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外网核心交换机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33D4">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475B020A">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S57503E-S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120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3D16">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7B1C81B9">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311C">
            <w:pPr>
              <w:widowControl/>
              <w:spacing w:line="360" w:lineRule="auto"/>
              <w:jc w:val="center"/>
              <w:textAlignment w:val="bottom"/>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E77A">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1-9楼汇聚交换机备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E0CE">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2E53FC21">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S5800-32F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47C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0D5C">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633436CF">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876D">
            <w:pPr>
              <w:widowControl/>
              <w:spacing w:line="360" w:lineRule="auto"/>
              <w:jc w:val="center"/>
              <w:textAlignment w:val="bottom"/>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25C1">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10-21楼汇聚交换机备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500D">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6131F523">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S5800-32F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27A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95F2">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3FDFB248">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917E">
            <w:pPr>
              <w:widowControl/>
              <w:spacing w:line="360" w:lineRule="auto"/>
              <w:jc w:val="center"/>
              <w:textAlignment w:val="bottom"/>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7700">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1-9楼汇聚交换机主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07DF">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35420427">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S5800-32F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15A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4898">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608074E8">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3D71">
            <w:pPr>
              <w:widowControl/>
              <w:spacing w:line="360" w:lineRule="auto"/>
              <w:jc w:val="center"/>
              <w:textAlignment w:val="bottom"/>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BDE5">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10-21楼汇聚交换机主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A340">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024CBCC6">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S5800-32F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A86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8BA0">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3B4E32D5">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C4D1">
            <w:pPr>
              <w:widowControl/>
              <w:spacing w:line="360" w:lineRule="auto"/>
              <w:jc w:val="center"/>
              <w:textAlignment w:val="bottom"/>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6C47">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内网核心交换机主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BE47">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47768581">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S12510-X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8C4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D857">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63AC2953">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FC2E">
            <w:pPr>
              <w:widowControl/>
              <w:spacing w:line="360" w:lineRule="auto"/>
              <w:jc w:val="center"/>
              <w:textAlignment w:val="bottom"/>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52A5">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内网核心交换机备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46ED">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60CFDAC5">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S12510-X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AE5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A288">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6C8563F7">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40E6">
            <w:pPr>
              <w:widowControl/>
              <w:spacing w:line="360" w:lineRule="auto"/>
              <w:jc w:val="center"/>
              <w:textAlignment w:val="bottom"/>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990A">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120专线接入交换机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D42D">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5C1F7705">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S5120-52P-EI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EF41">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74CB">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0EE41A9C">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DADD">
            <w:pPr>
              <w:widowControl/>
              <w:spacing w:line="360" w:lineRule="auto"/>
              <w:jc w:val="center"/>
              <w:textAlignment w:val="bottom"/>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2BEB">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卫生专线路由器主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DC31">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思科</w:t>
            </w:r>
          </w:p>
        </w:tc>
        <w:tc>
          <w:tcPr>
            <w:tcW w:w="0" w:type="auto"/>
            <w:tcBorders>
              <w:top w:val="single" w:color="000000" w:sz="4" w:space="0"/>
              <w:left w:val="nil"/>
              <w:bottom w:val="single" w:color="000000" w:sz="4" w:space="0"/>
              <w:right w:val="nil"/>
            </w:tcBorders>
            <w:shd w:val="clear" w:color="auto" w:fill="auto"/>
            <w:noWrap/>
            <w:vAlign w:val="center"/>
          </w:tcPr>
          <w:p w14:paraId="71A22D86">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2811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52D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979C">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21F34CED">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8B77">
            <w:pPr>
              <w:widowControl/>
              <w:spacing w:line="360" w:lineRule="auto"/>
              <w:jc w:val="center"/>
              <w:textAlignment w:val="bottom"/>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484B">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卫生专线路由器备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4CF3">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思科</w:t>
            </w:r>
          </w:p>
        </w:tc>
        <w:tc>
          <w:tcPr>
            <w:tcW w:w="0" w:type="auto"/>
            <w:tcBorders>
              <w:top w:val="single" w:color="000000" w:sz="4" w:space="0"/>
              <w:left w:val="nil"/>
              <w:bottom w:val="single" w:color="000000" w:sz="4" w:space="0"/>
              <w:right w:val="nil"/>
            </w:tcBorders>
            <w:shd w:val="clear" w:color="auto" w:fill="auto"/>
            <w:noWrap/>
            <w:vAlign w:val="center"/>
          </w:tcPr>
          <w:p w14:paraId="09CAC8BE">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2811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D8E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9C8B">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30D1373A">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DE11">
            <w:pPr>
              <w:widowControl/>
              <w:spacing w:line="360" w:lineRule="auto"/>
              <w:jc w:val="center"/>
              <w:textAlignment w:val="bottom"/>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EDF9">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医保路由器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1AFC">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华为</w:t>
            </w:r>
          </w:p>
        </w:tc>
        <w:tc>
          <w:tcPr>
            <w:tcW w:w="0" w:type="auto"/>
            <w:tcBorders>
              <w:top w:val="single" w:color="000000" w:sz="4" w:space="0"/>
              <w:left w:val="nil"/>
              <w:bottom w:val="single" w:color="000000" w:sz="4" w:space="0"/>
              <w:right w:val="nil"/>
            </w:tcBorders>
            <w:shd w:val="clear" w:color="auto" w:fill="auto"/>
            <w:noWrap/>
            <w:vAlign w:val="center"/>
          </w:tcPr>
          <w:p w14:paraId="24A311DC">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AR1220-S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F65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5F00">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156516F2">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76B2">
            <w:pPr>
              <w:widowControl/>
              <w:spacing w:line="360" w:lineRule="auto"/>
              <w:jc w:val="center"/>
              <w:textAlignment w:val="bottom"/>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8791">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路由器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BBE02">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思科</w:t>
            </w:r>
          </w:p>
        </w:tc>
        <w:tc>
          <w:tcPr>
            <w:tcW w:w="0" w:type="auto"/>
            <w:tcBorders>
              <w:top w:val="single" w:color="000000" w:sz="4" w:space="0"/>
              <w:left w:val="nil"/>
              <w:bottom w:val="single" w:color="000000" w:sz="4" w:space="0"/>
              <w:right w:val="nil"/>
            </w:tcBorders>
            <w:shd w:val="clear" w:color="auto" w:fill="auto"/>
            <w:noWrap/>
            <w:vAlign w:val="center"/>
          </w:tcPr>
          <w:p w14:paraId="66954823">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2811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58D6">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AF5C">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23E3F40C">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DF011">
            <w:pPr>
              <w:widowControl/>
              <w:spacing w:line="360" w:lineRule="auto"/>
              <w:jc w:val="center"/>
              <w:textAlignment w:val="bottom"/>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B82F">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杭州医保交换机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AE27">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300AE828">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S3100V3-28TP-SI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262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043A">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558F0F97">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8446">
            <w:pPr>
              <w:widowControl/>
              <w:spacing w:line="360" w:lineRule="auto"/>
              <w:jc w:val="center"/>
              <w:textAlignment w:val="bottom"/>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5383">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医保路由器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9983">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华为</w:t>
            </w:r>
          </w:p>
        </w:tc>
        <w:tc>
          <w:tcPr>
            <w:tcW w:w="0" w:type="auto"/>
            <w:tcBorders>
              <w:top w:val="single" w:color="000000" w:sz="4" w:space="0"/>
              <w:left w:val="nil"/>
              <w:bottom w:val="single" w:color="000000" w:sz="4" w:space="0"/>
              <w:right w:val="nil"/>
            </w:tcBorders>
            <w:shd w:val="clear" w:color="auto" w:fill="auto"/>
            <w:noWrap/>
            <w:vAlign w:val="center"/>
          </w:tcPr>
          <w:p w14:paraId="55EE1706">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AR1220-S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1241">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0F9E">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5BA86CE2">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02F9">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F29C">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监控网核心交换机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10BA">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7FF2A966">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S7503E-S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BBB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5471">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779E4645">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0147">
            <w:pPr>
              <w:widowControl/>
              <w:spacing w:line="360" w:lineRule="auto"/>
              <w:jc w:val="center"/>
              <w:textAlignment w:val="bottom"/>
              <w:rPr>
                <w:rFonts w:hint="eastAsia" w:ascii="仿宋" w:hAnsi="仿宋" w:eastAsia="仿宋" w:cs="仿宋"/>
                <w:color w:val="000000"/>
                <w:sz w:val="24"/>
                <w:lang w:val="en-US"/>
              </w:rPr>
            </w:pPr>
            <w:r>
              <w:rPr>
                <w:rFonts w:hint="eastAsia" w:ascii="仿宋" w:hAnsi="仿宋" w:eastAsia="仿宋" w:cs="仿宋"/>
                <w:color w:val="000000"/>
                <w:kern w:val="0"/>
                <w:sz w:val="24"/>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DF34">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省医保路由器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A2A3">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28720B67">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MSR26 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2D2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4C77">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3AF82E9E">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CB7E">
            <w:pPr>
              <w:widowControl/>
              <w:spacing w:line="360" w:lineRule="auto"/>
              <w:jc w:val="center"/>
              <w:textAlignment w:val="bottom"/>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4F27">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工行路由器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75B7">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华为</w:t>
            </w:r>
          </w:p>
        </w:tc>
        <w:tc>
          <w:tcPr>
            <w:tcW w:w="0" w:type="auto"/>
            <w:tcBorders>
              <w:top w:val="single" w:color="000000" w:sz="4" w:space="0"/>
              <w:left w:val="nil"/>
              <w:bottom w:val="single" w:color="000000" w:sz="4" w:space="0"/>
              <w:right w:val="nil"/>
            </w:tcBorders>
            <w:shd w:val="clear" w:color="auto" w:fill="auto"/>
            <w:noWrap/>
            <w:vAlign w:val="center"/>
          </w:tcPr>
          <w:p w14:paraId="485AD28F">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R2611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930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A1DC">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274A80B0">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37FE">
            <w:pPr>
              <w:widowControl/>
              <w:spacing w:line="360" w:lineRule="auto"/>
              <w:jc w:val="center"/>
              <w:textAlignment w:val="bottom"/>
              <w:rPr>
                <w:rFonts w:hint="eastAsia" w:ascii="仿宋" w:hAnsi="仿宋" w:eastAsia="仿宋" w:cs="仿宋"/>
                <w:color w:val="000000"/>
                <w:sz w:val="24"/>
                <w:lang w:val="en-US" w:eastAsia="zh-CN"/>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E7E3">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机房接入交换机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B66D">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1314279A">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H3C S2126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F4A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3E08">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63155D9B">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BA39">
            <w:pPr>
              <w:widowControl/>
              <w:spacing w:line="360" w:lineRule="auto"/>
              <w:jc w:val="center"/>
              <w:textAlignment w:val="bottom"/>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1831">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桌面云接入交换机1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D077">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173635B5">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S5130 Series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1761">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A7AD">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0C5EC975">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E145">
            <w:pPr>
              <w:widowControl/>
              <w:spacing w:line="360" w:lineRule="auto"/>
              <w:jc w:val="center"/>
              <w:textAlignment w:val="bottom"/>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E55D">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桌面云接入交换机2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FDB3">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4332787F">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S5130 Series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6A05">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F90A">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31BC61A5">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494C">
            <w:pPr>
              <w:widowControl/>
              <w:spacing w:line="360" w:lineRule="auto"/>
              <w:jc w:val="center"/>
              <w:textAlignment w:val="bottom"/>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C081">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机房汇聚交换机主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CACF">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7AD95F02">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S7506E-S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BA9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87424">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7CF071A5">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D3A1">
            <w:pPr>
              <w:widowControl/>
              <w:spacing w:line="360" w:lineRule="auto"/>
              <w:jc w:val="center"/>
              <w:textAlignment w:val="bottom"/>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956B">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机房汇聚交换机备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D9C1">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6A5B7736">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S7506E-S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320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0C9B">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69E3C334">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B0E4">
            <w:pPr>
              <w:widowControl/>
              <w:spacing w:line="360" w:lineRule="auto"/>
              <w:jc w:val="center"/>
              <w:textAlignment w:val="bottom"/>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EEAB">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机房接入交换机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2024">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669CCF08">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S5120V2-52P-LI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4A76">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6191">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3C9614EC">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7F53">
            <w:pPr>
              <w:widowControl/>
              <w:spacing w:line="360" w:lineRule="auto"/>
              <w:jc w:val="center"/>
              <w:textAlignment w:val="bottom"/>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8066">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9C73">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Recent</w:t>
            </w:r>
          </w:p>
        </w:tc>
        <w:tc>
          <w:tcPr>
            <w:tcW w:w="0" w:type="auto"/>
            <w:tcBorders>
              <w:top w:val="single" w:color="000000" w:sz="4" w:space="0"/>
              <w:left w:val="nil"/>
              <w:bottom w:val="single" w:color="000000" w:sz="4" w:space="0"/>
              <w:right w:val="nil"/>
            </w:tcBorders>
            <w:shd w:val="clear" w:color="auto" w:fill="auto"/>
            <w:noWrap/>
            <w:vAlign w:val="center"/>
          </w:tcPr>
          <w:p w14:paraId="1D1DC7FD">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AS2032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F115">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60A2">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7F1B9C4E">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750D">
            <w:pPr>
              <w:widowControl/>
              <w:spacing w:line="360" w:lineRule="auto"/>
              <w:jc w:val="center"/>
              <w:textAlignment w:val="bottom"/>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7353">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机房接入交换机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1DCF">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75553BFA">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S5120S-52P-EI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E559">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672B">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698C13D4">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6BAC">
            <w:pPr>
              <w:widowControl/>
              <w:spacing w:line="360" w:lineRule="auto"/>
              <w:jc w:val="center"/>
              <w:textAlignment w:val="bottom"/>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91C2">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机房接入交换机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8502">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0B1E8D26">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S5130-52S-PWR-EI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A21A">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9B3C">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167D1A15">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8D59">
            <w:pPr>
              <w:widowControl/>
              <w:spacing w:line="360" w:lineRule="auto"/>
              <w:jc w:val="center"/>
              <w:textAlignment w:val="bottom"/>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674D">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机房接入交换机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B1E4">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1D784528">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S5120V3-28P-LI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D464">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D766">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508B0AF2">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49AE">
            <w:pPr>
              <w:widowControl/>
              <w:spacing w:line="360" w:lineRule="auto"/>
              <w:jc w:val="center"/>
              <w:textAlignment w:val="bottom"/>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7EF0">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机房接入交换机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9827">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2748D747">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S5120V3-28P-LI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80BB">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59C7">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30F44070">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2C43">
            <w:pPr>
              <w:widowControl/>
              <w:spacing w:line="360" w:lineRule="auto"/>
              <w:jc w:val="center"/>
              <w:textAlignment w:val="bottom"/>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3</w:t>
            </w:r>
            <w:r>
              <w:rPr>
                <w:rFonts w:hint="eastAsia" w:ascii="仿宋" w:hAnsi="仿宋" w:eastAsia="仿宋" w:cs="仿宋"/>
                <w:color w:val="000000"/>
                <w:kern w:val="0"/>
                <w:sz w:val="24"/>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08A4">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楼层接入交换机（2号楼）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509F">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1FCBC3D2">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S5120-28P-HPWR-SI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23E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71B6">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2657D8AB">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E321">
            <w:pPr>
              <w:widowControl/>
              <w:spacing w:line="360" w:lineRule="auto"/>
              <w:jc w:val="center"/>
              <w:textAlignment w:val="bottom"/>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3</w:t>
            </w:r>
            <w:r>
              <w:rPr>
                <w:rFonts w:hint="eastAsia" w:ascii="仿宋" w:hAnsi="仿宋" w:eastAsia="仿宋" w:cs="仿宋"/>
                <w:color w:val="000000"/>
                <w:kern w:val="0"/>
                <w:sz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25AE">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楼层接入交换机（2号楼）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62FE">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258AA1DC">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S5130S-28P-HPWR-EI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4AD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E73D">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6</w:t>
            </w:r>
          </w:p>
        </w:tc>
      </w:tr>
      <w:tr w14:paraId="22FA7310">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D2DE">
            <w:pPr>
              <w:widowControl/>
              <w:spacing w:line="360" w:lineRule="auto"/>
              <w:jc w:val="center"/>
              <w:textAlignment w:val="bottom"/>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51B6">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楼层接入交换机（2号楼）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7C65">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47E12142">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S5130S-52S-EI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B07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0773">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4</w:t>
            </w:r>
          </w:p>
        </w:tc>
      </w:tr>
      <w:tr w14:paraId="6E79225B">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EDB2">
            <w:pPr>
              <w:widowControl/>
              <w:spacing w:line="360" w:lineRule="auto"/>
              <w:jc w:val="center"/>
              <w:textAlignment w:val="bottom"/>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D167">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楼层接入交换机（2号楼）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537B">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7A546135">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S7503E-M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320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0A0B">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2</w:t>
            </w:r>
          </w:p>
        </w:tc>
      </w:tr>
      <w:tr w14:paraId="5224FB67">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FF82">
            <w:pPr>
              <w:widowControl/>
              <w:spacing w:line="360" w:lineRule="auto"/>
              <w:jc w:val="center"/>
              <w:textAlignment w:val="bottom"/>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0134">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楼层接入交换机（5号楼）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2612">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604255E1">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S3110-26TP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94A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4E98">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3</w:t>
            </w:r>
          </w:p>
        </w:tc>
      </w:tr>
      <w:tr w14:paraId="75E4178B">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849E">
            <w:pPr>
              <w:widowControl/>
              <w:spacing w:line="360" w:lineRule="auto"/>
              <w:jc w:val="center"/>
              <w:textAlignment w:val="bottom"/>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984F">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楼层接入交换机（5号楼）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F2BA">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61BCB637">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S5120V2-52P-LI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445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31DF">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4A4A4382">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201D">
            <w:pPr>
              <w:widowControl/>
              <w:spacing w:line="360" w:lineRule="auto"/>
              <w:jc w:val="center"/>
              <w:textAlignment w:val="bottom"/>
              <w:rPr>
                <w:rFonts w:hint="eastAsia" w:ascii="仿宋" w:hAnsi="仿宋" w:eastAsia="仿宋" w:cs="仿宋"/>
                <w:color w:val="000000"/>
                <w:sz w:val="24"/>
                <w:lang w:val="en-US" w:eastAsia="zh-CN"/>
              </w:rPr>
            </w:pPr>
            <w:r>
              <w:rPr>
                <w:rFonts w:hint="eastAsia" w:ascii="仿宋" w:hAnsi="仿宋" w:eastAsia="仿宋" w:cs="仿宋"/>
                <w:color w:val="000000"/>
                <w:kern w:val="0"/>
                <w:sz w:val="24"/>
                <w:lang w:eastAsia="zh-CN" w:bidi="ar"/>
              </w:rPr>
              <w:t>3</w:t>
            </w:r>
            <w:r>
              <w:rPr>
                <w:rFonts w:hint="eastAsia" w:ascii="仿宋" w:hAnsi="仿宋" w:eastAsia="仿宋" w:cs="仿宋"/>
                <w:color w:val="000000"/>
                <w:kern w:val="0"/>
                <w:sz w:val="24"/>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D2AD">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楼层接入交换机（5号楼）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FE08">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244841D0">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S5120-28P-HPWR-SI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984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0C8C">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0DCE6436">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AB3E">
            <w:pPr>
              <w:widowControl/>
              <w:spacing w:line="360" w:lineRule="auto"/>
              <w:jc w:val="center"/>
              <w:textAlignment w:val="bottom"/>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3B45">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楼层接入交换机（3号楼）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A66D">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4C956DB4">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S5120V2-52P-LI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5E85">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DCC6">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13</w:t>
            </w:r>
          </w:p>
        </w:tc>
      </w:tr>
      <w:tr w14:paraId="0E660A7D">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1BA5">
            <w:pPr>
              <w:widowControl/>
              <w:spacing w:line="360" w:lineRule="auto"/>
              <w:jc w:val="center"/>
              <w:textAlignment w:val="bottom"/>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7357">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楼层接入交换机（3号楼）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A7C0">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590D2DBE">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S3100V2-26TP-SI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A651">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5887">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5</w:t>
            </w:r>
          </w:p>
        </w:tc>
      </w:tr>
      <w:tr w14:paraId="4DF433C6">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0FE9">
            <w:pPr>
              <w:widowControl/>
              <w:spacing w:line="360" w:lineRule="auto"/>
              <w:jc w:val="center"/>
              <w:textAlignment w:val="bottom"/>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4</w:t>
            </w:r>
            <w:r>
              <w:rPr>
                <w:rFonts w:hint="eastAsia" w:ascii="仿宋" w:hAnsi="仿宋" w:eastAsia="仿宋" w:cs="仿宋"/>
                <w:color w:val="000000"/>
                <w:kern w:val="0"/>
                <w:sz w:val="24"/>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47D2">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楼层接入交换机（8号楼）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059A">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59FBB544">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S5130-52S-PWR-EI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E71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3593">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55</w:t>
            </w:r>
          </w:p>
        </w:tc>
      </w:tr>
      <w:tr w14:paraId="3EDC2E80">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17EF">
            <w:pPr>
              <w:widowControl/>
              <w:spacing w:line="360" w:lineRule="auto"/>
              <w:jc w:val="center"/>
              <w:textAlignment w:val="bottom"/>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4</w:t>
            </w:r>
            <w:r>
              <w:rPr>
                <w:rFonts w:hint="eastAsia" w:ascii="仿宋" w:hAnsi="仿宋" w:eastAsia="仿宋" w:cs="仿宋"/>
                <w:color w:val="000000"/>
                <w:kern w:val="0"/>
                <w:sz w:val="24"/>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FFF8">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楼层接入交换机（8号楼）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DA642">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443011A9">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S5130-28S-PWR-EI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588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6471">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6CCD749A">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C11D">
            <w:pPr>
              <w:widowControl/>
              <w:spacing w:line="360" w:lineRule="auto"/>
              <w:jc w:val="center"/>
              <w:textAlignment w:val="bottom"/>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4</w:t>
            </w:r>
            <w:r>
              <w:rPr>
                <w:rFonts w:hint="eastAsia" w:ascii="仿宋" w:hAnsi="仿宋" w:eastAsia="仿宋" w:cs="仿宋"/>
                <w:color w:val="000000"/>
                <w:kern w:val="0"/>
                <w:sz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3C7D">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楼层接入交换机（8号楼）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8823">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7A5182F3">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S5120S-28P-EI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951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8F05">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12</w:t>
            </w:r>
          </w:p>
        </w:tc>
      </w:tr>
      <w:tr w14:paraId="1AF8BD85">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2438">
            <w:pPr>
              <w:widowControl/>
              <w:spacing w:line="360" w:lineRule="auto"/>
              <w:jc w:val="center"/>
              <w:textAlignment w:val="bottom"/>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3DF3">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楼层接入交换机（8号楼）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89AA">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6F54184B">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S5120S-52P-EI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F7C6">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2A96">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14</w:t>
            </w:r>
          </w:p>
        </w:tc>
      </w:tr>
      <w:tr w14:paraId="264A6B2C">
        <w:tblPrEx>
          <w:tblCellMar>
            <w:top w:w="0" w:type="dxa"/>
            <w:left w:w="108" w:type="dxa"/>
            <w:bottom w:w="0" w:type="dxa"/>
            <w:right w:w="108" w:type="dxa"/>
          </w:tblCellMar>
        </w:tblPrEx>
        <w:trPr>
          <w:trHeight w:val="280" w:hRule="atLeast"/>
          <w:jc w:val="center"/>
        </w:trPr>
        <w:tc>
          <w:tcPr>
            <w:tcW w:w="9266" w:type="dxa"/>
            <w:gridSpan w:val="6"/>
            <w:tcBorders>
              <w:top w:val="single" w:color="000000" w:sz="4" w:space="0"/>
              <w:left w:val="single" w:color="000000" w:sz="4" w:space="0"/>
              <w:bottom w:val="single" w:color="000000" w:sz="4" w:space="0"/>
              <w:right w:val="nil"/>
            </w:tcBorders>
            <w:shd w:val="clear" w:color="auto" w:fill="auto"/>
            <w:noWrap/>
            <w:vAlign w:val="center"/>
          </w:tcPr>
          <w:p w14:paraId="538B6910">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二、安全设备</w:t>
            </w:r>
          </w:p>
        </w:tc>
      </w:tr>
      <w:tr w14:paraId="07EDBC6B">
        <w:tblPrEx>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4117">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3DB7C">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EC81">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DD24">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8478">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保修状态</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D9FF">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数量</w:t>
            </w:r>
          </w:p>
        </w:tc>
      </w:tr>
      <w:tr w14:paraId="5012B181">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F0B8">
            <w:pPr>
              <w:widowControl/>
              <w:spacing w:line="360" w:lineRule="auto"/>
              <w:jc w:val="center"/>
              <w:textAlignment w:val="bottom"/>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BD21">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网闸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5F40">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网御星云</w:t>
            </w:r>
          </w:p>
        </w:tc>
        <w:tc>
          <w:tcPr>
            <w:tcW w:w="0" w:type="auto"/>
            <w:tcBorders>
              <w:top w:val="single" w:color="000000" w:sz="4" w:space="0"/>
              <w:left w:val="nil"/>
              <w:bottom w:val="single" w:color="000000" w:sz="4" w:space="0"/>
              <w:right w:val="nil"/>
            </w:tcBorders>
            <w:shd w:val="clear" w:color="auto" w:fill="auto"/>
            <w:noWrap/>
            <w:vAlign w:val="center"/>
          </w:tcPr>
          <w:p w14:paraId="5FE2DFEF">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SIS-3000-Z2101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AAD2">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E958">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65048A23">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C79B">
            <w:pPr>
              <w:widowControl/>
              <w:spacing w:line="360" w:lineRule="auto"/>
              <w:jc w:val="center"/>
              <w:textAlignment w:val="bottom"/>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5BED">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日志审计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6C09">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新华三</w:t>
            </w:r>
          </w:p>
        </w:tc>
        <w:tc>
          <w:tcPr>
            <w:tcW w:w="0" w:type="auto"/>
            <w:tcBorders>
              <w:top w:val="single" w:color="000000" w:sz="4" w:space="0"/>
              <w:left w:val="nil"/>
              <w:bottom w:val="single" w:color="000000" w:sz="4" w:space="0"/>
              <w:right w:val="nil"/>
            </w:tcBorders>
            <w:shd w:val="clear" w:color="auto" w:fill="auto"/>
            <w:noWrap/>
            <w:vAlign w:val="center"/>
          </w:tcPr>
          <w:p w14:paraId="42BD8669">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CSAP-SA-AK645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4EC5">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D99A">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59081052">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4C76">
            <w:pPr>
              <w:widowControl/>
              <w:spacing w:line="360" w:lineRule="auto"/>
              <w:jc w:val="center"/>
              <w:textAlignment w:val="bottom"/>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37D0">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探针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0499">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深信服</w:t>
            </w:r>
          </w:p>
        </w:tc>
        <w:tc>
          <w:tcPr>
            <w:tcW w:w="0" w:type="auto"/>
            <w:tcBorders>
              <w:top w:val="single" w:color="000000" w:sz="4" w:space="0"/>
              <w:left w:val="nil"/>
              <w:bottom w:val="single" w:color="000000" w:sz="4" w:space="0"/>
              <w:right w:val="nil"/>
            </w:tcBorders>
            <w:shd w:val="clear" w:color="auto" w:fill="auto"/>
            <w:noWrap/>
            <w:vAlign w:val="center"/>
          </w:tcPr>
          <w:p w14:paraId="6E5539D8">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STA-100 B2100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129F">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410B">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65931714">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0503">
            <w:pPr>
              <w:widowControl/>
              <w:spacing w:line="360" w:lineRule="auto"/>
              <w:jc w:val="center"/>
              <w:textAlignment w:val="bottom"/>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1B27">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态势感知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A9EC">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深信服</w:t>
            </w:r>
          </w:p>
        </w:tc>
        <w:tc>
          <w:tcPr>
            <w:tcW w:w="0" w:type="auto"/>
            <w:tcBorders>
              <w:top w:val="single" w:color="000000" w:sz="4" w:space="0"/>
              <w:left w:val="nil"/>
              <w:bottom w:val="single" w:color="000000" w:sz="4" w:space="0"/>
              <w:right w:val="nil"/>
            </w:tcBorders>
            <w:shd w:val="clear" w:color="auto" w:fill="auto"/>
            <w:noWrap/>
            <w:vAlign w:val="center"/>
          </w:tcPr>
          <w:p w14:paraId="566174DC">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SIP-1000-F600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099D">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C93E">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39F27F6C">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EB66">
            <w:pPr>
              <w:widowControl/>
              <w:spacing w:line="360" w:lineRule="auto"/>
              <w:jc w:val="center"/>
              <w:textAlignment w:val="bottom"/>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78C1">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安全准入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4FA4">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盈高</w:t>
            </w:r>
          </w:p>
        </w:tc>
        <w:tc>
          <w:tcPr>
            <w:tcW w:w="0" w:type="auto"/>
            <w:tcBorders>
              <w:top w:val="single" w:color="000000" w:sz="4" w:space="0"/>
              <w:left w:val="nil"/>
              <w:bottom w:val="single" w:color="000000" w:sz="4" w:space="0"/>
              <w:right w:val="nil"/>
            </w:tcBorders>
            <w:shd w:val="clear" w:color="auto" w:fill="auto"/>
            <w:noWrap/>
            <w:vAlign w:val="center"/>
          </w:tcPr>
          <w:p w14:paraId="27FD2404">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ASM6503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7456">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DAA4">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1F63D82C">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34C4">
            <w:pPr>
              <w:widowControl/>
              <w:spacing w:line="360" w:lineRule="auto"/>
              <w:jc w:val="center"/>
              <w:textAlignment w:val="bottom"/>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1793">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VPN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2A1B">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深信服</w:t>
            </w:r>
          </w:p>
        </w:tc>
        <w:tc>
          <w:tcPr>
            <w:tcW w:w="0" w:type="auto"/>
            <w:tcBorders>
              <w:top w:val="single" w:color="000000" w:sz="4" w:space="0"/>
              <w:left w:val="nil"/>
              <w:bottom w:val="single" w:color="000000" w:sz="4" w:space="0"/>
              <w:right w:val="nil"/>
            </w:tcBorders>
            <w:shd w:val="clear" w:color="auto" w:fill="auto"/>
            <w:noWrap/>
            <w:vAlign w:val="center"/>
          </w:tcPr>
          <w:p w14:paraId="2A25477E">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VPN-2150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8603">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07BE">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50DAC63E">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7003">
            <w:pPr>
              <w:widowControl/>
              <w:spacing w:line="360" w:lineRule="auto"/>
              <w:jc w:val="center"/>
              <w:textAlignment w:val="bottom"/>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E361">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D43B">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新华三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CD07">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F1000-E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471C">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AE2C">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7F73D212">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E452">
            <w:pPr>
              <w:widowControl/>
              <w:spacing w:line="360" w:lineRule="auto"/>
              <w:jc w:val="center"/>
              <w:textAlignment w:val="bottom"/>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DAC8">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防火墙（VPN2接入）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FEF2">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新华三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9761">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F100-C-A3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3BAE">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5B14">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5DCD51D4">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7CB6">
            <w:pPr>
              <w:widowControl/>
              <w:spacing w:line="360" w:lineRule="auto"/>
              <w:jc w:val="center"/>
              <w:textAlignment w:val="bottom"/>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47FC">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无线AP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374F">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Aruba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A458">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103/105/207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AB38">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68B9">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383</w:t>
            </w:r>
          </w:p>
        </w:tc>
      </w:tr>
      <w:tr w14:paraId="4C5943D9">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1CF1">
            <w:pPr>
              <w:widowControl/>
              <w:spacing w:line="360" w:lineRule="auto"/>
              <w:jc w:val="center"/>
              <w:textAlignment w:val="bottom"/>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04BE">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无线控制器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D9E6">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Aruba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FD1C">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7210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E9A0">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596B">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2</w:t>
            </w:r>
          </w:p>
        </w:tc>
      </w:tr>
      <w:tr w14:paraId="0D5BAB10">
        <w:tblPrEx>
          <w:tblCellMar>
            <w:top w:w="0" w:type="dxa"/>
            <w:left w:w="108" w:type="dxa"/>
            <w:bottom w:w="0" w:type="dxa"/>
            <w:right w:w="108" w:type="dxa"/>
          </w:tblCellMar>
        </w:tblPrEx>
        <w:trPr>
          <w:trHeight w:val="280" w:hRule="atLeast"/>
          <w:jc w:val="center"/>
        </w:trPr>
        <w:tc>
          <w:tcPr>
            <w:tcW w:w="9266" w:type="dxa"/>
            <w:gridSpan w:val="6"/>
            <w:tcBorders>
              <w:top w:val="nil"/>
              <w:left w:val="single" w:color="000000" w:sz="4" w:space="0"/>
              <w:bottom w:val="single" w:color="000000" w:sz="4" w:space="0"/>
              <w:right w:val="nil"/>
            </w:tcBorders>
            <w:shd w:val="clear" w:color="auto" w:fill="auto"/>
            <w:noWrap/>
            <w:vAlign w:val="center"/>
          </w:tcPr>
          <w:p w14:paraId="178CBDD7">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三、服务器和存储设备</w:t>
            </w:r>
          </w:p>
        </w:tc>
      </w:tr>
      <w:tr w14:paraId="41754752">
        <w:tblPrEx>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4302">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4E0F">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8756">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F20A">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56F5">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保修状态</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A915">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数量</w:t>
            </w:r>
          </w:p>
        </w:tc>
      </w:tr>
      <w:tr w14:paraId="57C0B029">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F39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1FA0">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联想服务器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81311">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联想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5A21">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SR258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6D7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5BE2">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7C79FDD8">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048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EE56">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全国农保前置机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28AC">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戴尔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F046">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R420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AA91">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2DD5">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40417E67">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53E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EE3A">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自助机前置机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FAEB">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IBM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C6AA">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x3250 M5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319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37EE">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4C5C46A5">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003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62A4">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支付宝微信支付前置机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1DAC">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戴尔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1F22">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DELL R420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386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F04E9">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1781BE0C">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064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9F91">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备用机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6C59">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IBM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50AC">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x3650 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B51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298D">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55EFD3B4">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923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7F14">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万全服务器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DFDB">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联想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BA3C">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7C4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23AF">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774DF7CE">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862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068B">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备用服务器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D8E4">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IBM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66DC">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x3650 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036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5008">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297F2FAD">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93D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AE0B">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8BCD">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IBM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0CF9">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x3650 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E4EB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033E">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5AAA1EC5">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C4A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4AF3">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手术视频存储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2CC9">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柏科数据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F30F">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IS12T-R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70B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4C63">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07CC50BA">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5D3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8F53">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PACS存储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5CC4">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EMC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7730">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Isilon X200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37D1">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1C6C">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4829A597">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9BD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E173">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PACS存储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B7CA">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EMC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B75F">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Isilon X200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7C1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A018">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2397FFD3">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68D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2240">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PACS存储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CDC9">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EMC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89D6">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Isilon X200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AD4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9B7D">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6B63FA19">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0D55">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3AE2">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PACS存储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FB79">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EMC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FEBC">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Isilon X200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71D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8B7D">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660DF2C4">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7A0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575C">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PACS存储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2A08">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EMC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44EF">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VNX5500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3801">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342A">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3B26585F">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3C4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E316">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HIS数据库01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94AB">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联想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1725">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x3850 X6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DB0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8DA8">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094F1D8F">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1565">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9835">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存储网关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2543">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InfoCore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466C">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Tigler SC8220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50D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E788">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3DA1667F">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9F9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1C05">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存储服务器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DB4F">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EMC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4A54">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VNX5400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502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E27B">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06151810">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D97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C24A">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HIS数据库02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731D">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联想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FE64">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x3850 X6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40E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EFEC">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7D602631">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E3C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D59C">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存储网关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AD0B">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InfoCore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6414">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Tigler SC8220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080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567E">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6EF69E1D">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20E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4EE8">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E00A">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InfoCore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BD98">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Nextor CS2012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4184">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41DD">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r>
      <w:tr w14:paraId="7C54DD9D">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AEC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E608">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存储服务器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7D4D">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EMC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B5E3">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VNX5400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80CF">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D59A5">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r>
      <w:tr w14:paraId="334A0511">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C599">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5846">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虚拟化服务器主机1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2392A">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联想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E1E4">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x3850 X6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B561">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2402">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r>
      <w:tr w14:paraId="0B82F91B">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3AB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4B4A">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虚拟化服务器主机2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33D8">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联想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B6C4">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x3850 X6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5A1C">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ED5D">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r>
      <w:tr w14:paraId="0441335B">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3F0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B3B2">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虚拟化服务器主机3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A58D">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联想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1606">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x3850 X6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AB24">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3815">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r>
      <w:tr w14:paraId="6C0D3734">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E69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72CB">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虚拟化服务器主机4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AF35">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联想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7FCF">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x3850 X6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1644">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2864">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r>
      <w:tr w14:paraId="65452B82">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AC8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3008">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虚拟化服务器主机5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6D16">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联想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B816">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x3850 X6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E0EB2">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68F4">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r>
      <w:tr w14:paraId="324BC4DA">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166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869D">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虚拟化服务器主机6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2D26">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联想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C4E0">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x3850 X6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9673">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81C9">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r>
      <w:tr w14:paraId="7C4146E8">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A7F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FD6D">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DMZ超融合节点3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2ADF">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华为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728C">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H22H-05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92DEB">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47AA">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r>
      <w:tr w14:paraId="7A462A2A">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1FC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F121">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DMZ超融合节点2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3383">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华为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0F18">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H22H-05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D1C6">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92C4">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r>
      <w:tr w14:paraId="1B4F3CF7">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799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FBF5">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DMZ超融合节点1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DF51">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华为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DCE5">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H22H-05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3F6B">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BA06">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r>
      <w:tr w14:paraId="7D0CA36C">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9FD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6887">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DMZ双活华为存储1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B4B9">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华为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E117">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DAE52525U2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1EEC">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2F55">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r>
      <w:tr w14:paraId="4801A9C6">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546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E7AD">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DMZ超融合节点5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BAE8">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华为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A0EB4">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H22H-05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E09D">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BCFB">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r>
      <w:tr w14:paraId="6B25920F">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DA7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B56F">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DMZ超融合节点4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2663">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华为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0843F">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H22H-05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4E63">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FC36">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r>
      <w:tr w14:paraId="17AC30C7">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3FC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EE7B">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DMZ双活华为存储2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F24D">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华为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3324">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DAE52525U2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A446">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0B1D">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r>
      <w:tr w14:paraId="1415DCCA">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0295">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E21F">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戴尔服务器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B0DA">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戴尔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831E">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Precision 5820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13B3">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B942">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r>
      <w:tr w14:paraId="5457A93B">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E94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2907">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消化内镜质控管理平台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ED9F">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戴尔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E52D">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Precision 7820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9EEE">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D10D">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r>
      <w:tr w14:paraId="5DEF0466">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0E2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DB12">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全知数据脱敏系统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0BA5">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全知科技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8512">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DA5-SDM-A10000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CBFE">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C1EA">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r>
      <w:tr w14:paraId="24311AB9">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F026">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B306">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前置机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E97C">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曙光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2112">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I620-G30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A660">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8DDD">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r>
      <w:tr w14:paraId="26EC4681">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1B2C">
            <w:pPr>
              <w:widowControl/>
              <w:spacing w:line="360" w:lineRule="auto"/>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417F">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虚拟服务器1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8F29">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深信服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F28F">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VDS-B2950-L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298D">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B248">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r>
      <w:tr w14:paraId="7BC4B803">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8E3E">
            <w:pPr>
              <w:widowControl/>
              <w:spacing w:line="360" w:lineRule="auto"/>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B005">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虚拟服务器2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A54E">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深信服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73FC">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VDS-B2950-L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4B6F">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C6B4">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r>
      <w:tr w14:paraId="011369B1">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3603">
            <w:pPr>
              <w:widowControl/>
              <w:spacing w:line="360" w:lineRule="auto"/>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8F2B9">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虚拟服务器3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70AE">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深信服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BC5E">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VDS-B2950-L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5755">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5B60">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1F45C7C6">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7F01">
            <w:pPr>
              <w:widowControl/>
              <w:spacing w:line="360" w:lineRule="auto"/>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2380">
            <w:pPr>
              <w:widowControl/>
              <w:spacing w:line="360" w:lineRule="auto"/>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联想服务器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D30B">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联想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3C44">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x3650 M5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CC6D">
            <w:pPr>
              <w:widowControl/>
              <w:spacing w:line="360"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55A1">
            <w:pPr>
              <w:widowControl/>
              <w:spacing w:line="360" w:lineRule="auto"/>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r>
      <w:tr w14:paraId="1061AA3E">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B8F1">
            <w:pPr>
              <w:widowControl/>
              <w:spacing w:line="360" w:lineRule="auto"/>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D05D">
            <w:pPr>
              <w:widowControl/>
              <w:spacing w:line="360" w:lineRule="auto"/>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物流追溯系统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5F51">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戴尔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96F7">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PowerEdge R720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7B31">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已过保</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CB35">
            <w:pPr>
              <w:widowControl/>
              <w:spacing w:line="360" w:lineRule="auto"/>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bl>
    <w:p w14:paraId="0DCCB4EA">
      <w:pPr>
        <w:pStyle w:val="6"/>
        <w:tabs>
          <w:tab w:val="left" w:pos="420"/>
          <w:tab w:val="clear" w:pos="432"/>
        </w:tabs>
        <w:spacing w:line="360" w:lineRule="auto"/>
        <w:rPr>
          <w:rFonts w:hint="eastAsia" w:ascii="仿宋" w:eastAsia="仿宋" w:cs="仿宋"/>
          <w:sz w:val="24"/>
          <w:szCs w:val="24"/>
        </w:rPr>
      </w:pPr>
      <w:r>
        <w:rPr>
          <w:rFonts w:hint="eastAsia" w:ascii="仿宋" w:eastAsia="仿宋" w:cs="仿宋"/>
          <w:sz w:val="24"/>
          <w:szCs w:val="24"/>
          <w:lang w:val="en-US" w:eastAsia="zh-CN"/>
        </w:rPr>
        <w:t>2.4</w:t>
      </w:r>
      <w:r>
        <w:rPr>
          <w:rFonts w:hint="eastAsia" w:ascii="仿宋" w:eastAsia="仿宋" w:cs="仿宋"/>
          <w:sz w:val="24"/>
          <w:szCs w:val="24"/>
        </w:rPr>
        <w:t>原厂服务</w:t>
      </w:r>
    </w:p>
    <w:p w14:paraId="014524D1">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以下硬件产品需提供原厂软件升级服务。</w:t>
      </w:r>
    </w:p>
    <w:tbl>
      <w:tblPr>
        <w:tblStyle w:val="6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43"/>
        <w:gridCol w:w="1066"/>
        <w:gridCol w:w="1995"/>
        <w:gridCol w:w="784"/>
        <w:gridCol w:w="3270"/>
      </w:tblGrid>
      <w:tr w14:paraId="6C81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46" w:type="pct"/>
            <w:noWrap/>
          </w:tcPr>
          <w:p w14:paraId="54A2150E">
            <w:pPr>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723" w:type="pct"/>
            <w:noWrap/>
          </w:tcPr>
          <w:p w14:paraId="690E9D97">
            <w:pPr>
              <w:spacing w:line="360" w:lineRule="auto"/>
              <w:jc w:val="center"/>
              <w:rPr>
                <w:rFonts w:hint="eastAsia" w:ascii="仿宋" w:hAnsi="仿宋" w:eastAsia="仿宋" w:cs="仿宋"/>
                <w:sz w:val="24"/>
              </w:rPr>
            </w:pPr>
            <w:r>
              <w:rPr>
                <w:rFonts w:hint="eastAsia" w:ascii="仿宋" w:hAnsi="仿宋" w:eastAsia="仿宋" w:cs="仿宋"/>
                <w:sz w:val="24"/>
              </w:rPr>
              <w:t>设备名称</w:t>
            </w:r>
          </w:p>
        </w:tc>
        <w:tc>
          <w:tcPr>
            <w:tcW w:w="574" w:type="pct"/>
            <w:noWrap/>
          </w:tcPr>
          <w:p w14:paraId="70C0978C">
            <w:pPr>
              <w:spacing w:line="360" w:lineRule="auto"/>
              <w:jc w:val="center"/>
              <w:rPr>
                <w:rFonts w:hint="eastAsia" w:ascii="仿宋" w:hAnsi="仿宋" w:eastAsia="仿宋" w:cs="仿宋"/>
                <w:sz w:val="24"/>
              </w:rPr>
            </w:pPr>
            <w:r>
              <w:rPr>
                <w:rFonts w:hint="eastAsia" w:ascii="仿宋" w:hAnsi="仿宋" w:eastAsia="仿宋" w:cs="仿宋"/>
                <w:sz w:val="24"/>
              </w:rPr>
              <w:t>品牌</w:t>
            </w:r>
          </w:p>
        </w:tc>
        <w:tc>
          <w:tcPr>
            <w:tcW w:w="1074" w:type="pct"/>
            <w:noWrap/>
          </w:tcPr>
          <w:p w14:paraId="2782D311">
            <w:pPr>
              <w:spacing w:line="360" w:lineRule="auto"/>
              <w:jc w:val="center"/>
              <w:rPr>
                <w:rFonts w:hint="eastAsia" w:ascii="仿宋" w:hAnsi="仿宋" w:eastAsia="仿宋" w:cs="仿宋"/>
                <w:sz w:val="24"/>
              </w:rPr>
            </w:pPr>
            <w:r>
              <w:rPr>
                <w:rFonts w:hint="eastAsia" w:ascii="仿宋" w:hAnsi="仿宋" w:eastAsia="仿宋" w:cs="仿宋"/>
                <w:sz w:val="24"/>
              </w:rPr>
              <w:t>型号</w:t>
            </w:r>
          </w:p>
        </w:tc>
        <w:tc>
          <w:tcPr>
            <w:tcW w:w="422" w:type="pct"/>
            <w:noWrap/>
          </w:tcPr>
          <w:p w14:paraId="60E7FABB">
            <w:pPr>
              <w:spacing w:line="360" w:lineRule="auto"/>
              <w:jc w:val="center"/>
              <w:rPr>
                <w:rFonts w:hint="eastAsia" w:ascii="仿宋" w:hAnsi="仿宋" w:eastAsia="仿宋" w:cs="仿宋"/>
                <w:sz w:val="24"/>
              </w:rPr>
            </w:pPr>
            <w:r>
              <w:rPr>
                <w:rFonts w:hint="eastAsia" w:ascii="仿宋" w:hAnsi="仿宋" w:eastAsia="仿宋" w:cs="仿宋"/>
                <w:sz w:val="24"/>
              </w:rPr>
              <w:t>数量</w:t>
            </w:r>
          </w:p>
        </w:tc>
        <w:tc>
          <w:tcPr>
            <w:tcW w:w="1761" w:type="pct"/>
            <w:noWrap/>
          </w:tcPr>
          <w:p w14:paraId="3E8AC3AE">
            <w:pPr>
              <w:spacing w:line="360" w:lineRule="auto"/>
              <w:jc w:val="center"/>
              <w:rPr>
                <w:rFonts w:hint="eastAsia" w:ascii="仿宋" w:hAnsi="仿宋" w:eastAsia="仿宋" w:cs="仿宋"/>
                <w:sz w:val="24"/>
              </w:rPr>
            </w:pPr>
            <w:r>
              <w:rPr>
                <w:rFonts w:hint="eastAsia" w:ascii="仿宋" w:hAnsi="仿宋" w:eastAsia="仿宋" w:cs="仿宋"/>
                <w:sz w:val="24"/>
              </w:rPr>
              <w:t>需提供的原厂服务</w:t>
            </w:r>
          </w:p>
        </w:tc>
      </w:tr>
      <w:tr w14:paraId="4FD4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46" w:type="pct"/>
            <w:vMerge w:val="restart"/>
            <w:noWrap/>
            <w:vAlign w:val="center"/>
          </w:tcPr>
          <w:p w14:paraId="4A702B34">
            <w:pPr>
              <w:numPr>
                <w:ilvl w:val="0"/>
                <w:numId w:val="2"/>
              </w:numPr>
              <w:spacing w:line="360" w:lineRule="auto"/>
              <w:jc w:val="center"/>
              <w:rPr>
                <w:rFonts w:hint="eastAsia" w:ascii="仿宋" w:hAnsi="仿宋" w:eastAsia="仿宋" w:cs="仿宋"/>
                <w:sz w:val="24"/>
              </w:rPr>
            </w:pPr>
          </w:p>
        </w:tc>
        <w:tc>
          <w:tcPr>
            <w:tcW w:w="723" w:type="pct"/>
            <w:vMerge w:val="restart"/>
            <w:noWrap/>
            <w:vAlign w:val="center"/>
          </w:tcPr>
          <w:p w14:paraId="4C3644EE">
            <w:pPr>
              <w:spacing w:line="360" w:lineRule="auto"/>
              <w:jc w:val="center"/>
              <w:rPr>
                <w:rFonts w:hint="eastAsia" w:ascii="仿宋" w:hAnsi="仿宋" w:eastAsia="仿宋" w:cs="仿宋"/>
                <w:sz w:val="24"/>
              </w:rPr>
            </w:pPr>
            <w:r>
              <w:rPr>
                <w:rFonts w:hint="eastAsia" w:ascii="仿宋" w:hAnsi="仿宋" w:eastAsia="仿宋" w:cs="仿宋"/>
                <w:sz w:val="24"/>
              </w:rPr>
              <w:t>态势感知</w:t>
            </w:r>
          </w:p>
        </w:tc>
        <w:tc>
          <w:tcPr>
            <w:tcW w:w="574" w:type="pct"/>
            <w:vMerge w:val="restart"/>
            <w:noWrap/>
            <w:vAlign w:val="center"/>
          </w:tcPr>
          <w:p w14:paraId="58FF2C89">
            <w:pPr>
              <w:spacing w:line="360" w:lineRule="auto"/>
              <w:jc w:val="center"/>
              <w:rPr>
                <w:rFonts w:hint="eastAsia" w:ascii="仿宋" w:hAnsi="仿宋" w:eastAsia="仿宋" w:cs="仿宋"/>
                <w:sz w:val="24"/>
              </w:rPr>
            </w:pPr>
            <w:r>
              <w:rPr>
                <w:rFonts w:hint="eastAsia" w:ascii="仿宋" w:hAnsi="仿宋" w:eastAsia="仿宋" w:cs="仿宋"/>
                <w:sz w:val="24"/>
              </w:rPr>
              <w:t>深信服</w:t>
            </w:r>
          </w:p>
        </w:tc>
        <w:tc>
          <w:tcPr>
            <w:tcW w:w="1074" w:type="pct"/>
            <w:vMerge w:val="restart"/>
            <w:noWrap/>
            <w:vAlign w:val="center"/>
          </w:tcPr>
          <w:p w14:paraId="505C67F3">
            <w:pPr>
              <w:spacing w:line="360" w:lineRule="auto"/>
              <w:jc w:val="center"/>
              <w:rPr>
                <w:rFonts w:hint="eastAsia" w:ascii="仿宋" w:hAnsi="仿宋" w:eastAsia="仿宋" w:cs="仿宋"/>
                <w:sz w:val="24"/>
              </w:rPr>
            </w:pPr>
            <w:r>
              <w:rPr>
                <w:rFonts w:hint="eastAsia" w:ascii="仿宋" w:hAnsi="仿宋" w:eastAsia="仿宋" w:cs="仿宋"/>
                <w:sz w:val="24"/>
              </w:rPr>
              <w:t>SIP-1000-F600</w:t>
            </w:r>
          </w:p>
        </w:tc>
        <w:tc>
          <w:tcPr>
            <w:tcW w:w="422" w:type="pct"/>
            <w:vMerge w:val="restart"/>
            <w:noWrap/>
            <w:vAlign w:val="center"/>
          </w:tcPr>
          <w:p w14:paraId="040CA980">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761" w:type="pct"/>
            <w:noWrap/>
          </w:tcPr>
          <w:p w14:paraId="74CF4D44">
            <w:pPr>
              <w:spacing w:line="360" w:lineRule="auto"/>
              <w:jc w:val="center"/>
              <w:rPr>
                <w:rFonts w:hint="eastAsia" w:ascii="仿宋" w:hAnsi="仿宋" w:eastAsia="仿宋" w:cs="仿宋"/>
                <w:sz w:val="24"/>
              </w:rPr>
            </w:pPr>
            <w:r>
              <w:rPr>
                <w:rFonts w:hint="eastAsia" w:ascii="仿宋" w:hAnsi="仿宋" w:eastAsia="仿宋" w:cs="仿宋"/>
                <w:sz w:val="24"/>
              </w:rPr>
              <w:t>安全感知系统平台特征库软件V2.0</w:t>
            </w:r>
          </w:p>
        </w:tc>
      </w:tr>
      <w:tr w14:paraId="2FD8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46" w:type="pct"/>
            <w:vMerge w:val="continue"/>
            <w:noWrap/>
            <w:vAlign w:val="center"/>
          </w:tcPr>
          <w:p w14:paraId="199A9822">
            <w:pPr>
              <w:spacing w:line="360" w:lineRule="auto"/>
              <w:jc w:val="center"/>
              <w:rPr>
                <w:rFonts w:hint="eastAsia" w:ascii="仿宋" w:hAnsi="仿宋" w:eastAsia="仿宋" w:cs="仿宋"/>
                <w:sz w:val="24"/>
              </w:rPr>
            </w:pPr>
          </w:p>
        </w:tc>
        <w:tc>
          <w:tcPr>
            <w:tcW w:w="723" w:type="pct"/>
            <w:vMerge w:val="continue"/>
            <w:noWrap/>
            <w:vAlign w:val="center"/>
          </w:tcPr>
          <w:p w14:paraId="5ACAFF41">
            <w:pPr>
              <w:spacing w:line="360" w:lineRule="auto"/>
              <w:jc w:val="center"/>
              <w:rPr>
                <w:rFonts w:hint="eastAsia" w:ascii="仿宋" w:hAnsi="仿宋" w:eastAsia="仿宋" w:cs="仿宋"/>
                <w:sz w:val="24"/>
              </w:rPr>
            </w:pPr>
          </w:p>
        </w:tc>
        <w:tc>
          <w:tcPr>
            <w:tcW w:w="574" w:type="pct"/>
            <w:vMerge w:val="continue"/>
            <w:noWrap/>
            <w:vAlign w:val="center"/>
          </w:tcPr>
          <w:p w14:paraId="38AF5594">
            <w:pPr>
              <w:spacing w:line="360" w:lineRule="auto"/>
              <w:jc w:val="center"/>
              <w:rPr>
                <w:rFonts w:hint="eastAsia" w:ascii="仿宋" w:hAnsi="仿宋" w:eastAsia="仿宋" w:cs="仿宋"/>
                <w:sz w:val="24"/>
              </w:rPr>
            </w:pPr>
          </w:p>
        </w:tc>
        <w:tc>
          <w:tcPr>
            <w:tcW w:w="1074" w:type="pct"/>
            <w:vMerge w:val="continue"/>
            <w:noWrap/>
            <w:vAlign w:val="center"/>
          </w:tcPr>
          <w:p w14:paraId="3972D6FF">
            <w:pPr>
              <w:spacing w:line="360" w:lineRule="auto"/>
              <w:jc w:val="center"/>
              <w:rPr>
                <w:rFonts w:hint="eastAsia" w:ascii="仿宋" w:hAnsi="仿宋" w:eastAsia="仿宋" w:cs="仿宋"/>
                <w:sz w:val="24"/>
              </w:rPr>
            </w:pPr>
          </w:p>
        </w:tc>
        <w:tc>
          <w:tcPr>
            <w:tcW w:w="422" w:type="pct"/>
            <w:vMerge w:val="continue"/>
            <w:noWrap/>
            <w:vAlign w:val="center"/>
          </w:tcPr>
          <w:p w14:paraId="05AED260">
            <w:pPr>
              <w:spacing w:line="360" w:lineRule="auto"/>
              <w:jc w:val="center"/>
              <w:rPr>
                <w:rFonts w:hint="eastAsia" w:ascii="仿宋" w:hAnsi="仿宋" w:eastAsia="仿宋" w:cs="仿宋"/>
                <w:sz w:val="24"/>
              </w:rPr>
            </w:pPr>
          </w:p>
        </w:tc>
        <w:tc>
          <w:tcPr>
            <w:tcW w:w="1761" w:type="pct"/>
            <w:noWrap/>
          </w:tcPr>
          <w:p w14:paraId="1EC96945">
            <w:pPr>
              <w:spacing w:line="360" w:lineRule="auto"/>
              <w:jc w:val="center"/>
              <w:rPr>
                <w:rFonts w:hint="eastAsia" w:ascii="仿宋" w:hAnsi="仿宋" w:eastAsia="仿宋" w:cs="仿宋"/>
                <w:sz w:val="24"/>
              </w:rPr>
            </w:pPr>
            <w:r>
              <w:rPr>
                <w:rFonts w:hint="eastAsia" w:ascii="仿宋" w:hAnsi="仿宋" w:eastAsia="仿宋" w:cs="仿宋"/>
                <w:sz w:val="24"/>
              </w:rPr>
              <w:t>软件升级</w:t>
            </w:r>
          </w:p>
        </w:tc>
      </w:tr>
      <w:tr w14:paraId="730D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46" w:type="pct"/>
            <w:vMerge w:val="restart"/>
            <w:noWrap/>
            <w:vAlign w:val="center"/>
          </w:tcPr>
          <w:p w14:paraId="15F4DE88">
            <w:pPr>
              <w:numPr>
                <w:ilvl w:val="0"/>
                <w:numId w:val="2"/>
              </w:numPr>
              <w:spacing w:line="360" w:lineRule="auto"/>
              <w:jc w:val="center"/>
              <w:rPr>
                <w:rFonts w:hint="eastAsia" w:ascii="仿宋" w:hAnsi="仿宋" w:eastAsia="仿宋" w:cs="仿宋"/>
                <w:sz w:val="24"/>
              </w:rPr>
            </w:pPr>
          </w:p>
        </w:tc>
        <w:tc>
          <w:tcPr>
            <w:tcW w:w="723" w:type="pct"/>
            <w:vMerge w:val="restart"/>
            <w:noWrap/>
            <w:vAlign w:val="center"/>
          </w:tcPr>
          <w:p w14:paraId="6E09B57C">
            <w:pPr>
              <w:spacing w:line="360" w:lineRule="auto"/>
              <w:jc w:val="center"/>
              <w:rPr>
                <w:rFonts w:hint="eastAsia" w:ascii="仿宋" w:hAnsi="仿宋" w:eastAsia="仿宋" w:cs="仿宋"/>
                <w:sz w:val="24"/>
              </w:rPr>
            </w:pPr>
            <w:r>
              <w:rPr>
                <w:rFonts w:hint="eastAsia" w:ascii="仿宋" w:hAnsi="仿宋" w:eastAsia="仿宋" w:cs="仿宋"/>
                <w:sz w:val="24"/>
              </w:rPr>
              <w:t>探针</w:t>
            </w:r>
          </w:p>
        </w:tc>
        <w:tc>
          <w:tcPr>
            <w:tcW w:w="574" w:type="pct"/>
            <w:vMerge w:val="restart"/>
            <w:noWrap/>
            <w:vAlign w:val="center"/>
          </w:tcPr>
          <w:p w14:paraId="05844B17">
            <w:pPr>
              <w:spacing w:line="360" w:lineRule="auto"/>
              <w:jc w:val="center"/>
              <w:rPr>
                <w:rFonts w:hint="eastAsia" w:ascii="仿宋" w:hAnsi="仿宋" w:eastAsia="仿宋" w:cs="仿宋"/>
                <w:sz w:val="24"/>
              </w:rPr>
            </w:pPr>
            <w:r>
              <w:rPr>
                <w:rFonts w:hint="eastAsia" w:ascii="仿宋" w:hAnsi="仿宋" w:eastAsia="仿宋" w:cs="仿宋"/>
                <w:sz w:val="24"/>
              </w:rPr>
              <w:t>深信服</w:t>
            </w:r>
          </w:p>
        </w:tc>
        <w:tc>
          <w:tcPr>
            <w:tcW w:w="1074" w:type="pct"/>
            <w:vMerge w:val="restart"/>
            <w:noWrap/>
            <w:vAlign w:val="center"/>
          </w:tcPr>
          <w:p w14:paraId="3F415A57">
            <w:pPr>
              <w:spacing w:line="360" w:lineRule="auto"/>
              <w:jc w:val="center"/>
              <w:rPr>
                <w:rFonts w:hint="eastAsia" w:ascii="仿宋" w:hAnsi="仿宋" w:eastAsia="仿宋" w:cs="仿宋"/>
                <w:sz w:val="24"/>
              </w:rPr>
            </w:pPr>
            <w:r>
              <w:rPr>
                <w:rFonts w:hint="eastAsia" w:ascii="仿宋" w:hAnsi="仿宋" w:eastAsia="仿宋" w:cs="仿宋"/>
                <w:sz w:val="24"/>
              </w:rPr>
              <w:t>STA-100 B2100</w:t>
            </w:r>
          </w:p>
        </w:tc>
        <w:tc>
          <w:tcPr>
            <w:tcW w:w="422" w:type="pct"/>
            <w:vMerge w:val="restart"/>
            <w:noWrap/>
            <w:vAlign w:val="center"/>
          </w:tcPr>
          <w:p w14:paraId="4933A328">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761" w:type="pct"/>
            <w:noWrap/>
            <w:vAlign w:val="center"/>
          </w:tcPr>
          <w:p w14:paraId="5D07106B">
            <w:pPr>
              <w:spacing w:line="360" w:lineRule="auto"/>
              <w:jc w:val="center"/>
              <w:rPr>
                <w:rFonts w:hint="eastAsia" w:ascii="仿宋" w:hAnsi="仿宋" w:eastAsia="仿宋" w:cs="仿宋"/>
                <w:sz w:val="24"/>
              </w:rPr>
            </w:pPr>
            <w:r>
              <w:rPr>
                <w:rFonts w:hint="eastAsia" w:ascii="仿宋" w:hAnsi="仿宋" w:eastAsia="仿宋" w:cs="仿宋"/>
                <w:kern w:val="0"/>
                <w:sz w:val="24"/>
              </w:rPr>
              <w:t>安全感知系统探针特征库软件</w:t>
            </w:r>
          </w:p>
        </w:tc>
      </w:tr>
      <w:tr w14:paraId="64E2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46" w:type="pct"/>
            <w:vMerge w:val="continue"/>
            <w:noWrap/>
            <w:vAlign w:val="center"/>
          </w:tcPr>
          <w:p w14:paraId="71738BEE">
            <w:pPr>
              <w:spacing w:line="360" w:lineRule="auto"/>
              <w:jc w:val="center"/>
              <w:rPr>
                <w:rFonts w:hint="eastAsia" w:ascii="仿宋" w:hAnsi="仿宋" w:eastAsia="仿宋" w:cs="仿宋"/>
                <w:sz w:val="24"/>
              </w:rPr>
            </w:pPr>
          </w:p>
        </w:tc>
        <w:tc>
          <w:tcPr>
            <w:tcW w:w="723" w:type="pct"/>
            <w:vMerge w:val="continue"/>
            <w:noWrap/>
            <w:vAlign w:val="center"/>
          </w:tcPr>
          <w:p w14:paraId="78CC235E">
            <w:pPr>
              <w:spacing w:line="360" w:lineRule="auto"/>
              <w:jc w:val="center"/>
              <w:rPr>
                <w:rFonts w:hint="eastAsia" w:ascii="仿宋" w:hAnsi="仿宋" w:eastAsia="仿宋" w:cs="仿宋"/>
                <w:sz w:val="24"/>
              </w:rPr>
            </w:pPr>
          </w:p>
        </w:tc>
        <w:tc>
          <w:tcPr>
            <w:tcW w:w="574" w:type="pct"/>
            <w:vMerge w:val="continue"/>
            <w:noWrap/>
            <w:vAlign w:val="center"/>
          </w:tcPr>
          <w:p w14:paraId="4A75BB5E">
            <w:pPr>
              <w:spacing w:line="360" w:lineRule="auto"/>
              <w:jc w:val="center"/>
              <w:rPr>
                <w:rFonts w:hint="eastAsia" w:ascii="仿宋" w:hAnsi="仿宋" w:eastAsia="仿宋" w:cs="仿宋"/>
                <w:sz w:val="24"/>
              </w:rPr>
            </w:pPr>
          </w:p>
        </w:tc>
        <w:tc>
          <w:tcPr>
            <w:tcW w:w="1074" w:type="pct"/>
            <w:vMerge w:val="continue"/>
            <w:noWrap/>
            <w:vAlign w:val="center"/>
          </w:tcPr>
          <w:p w14:paraId="21A1E67C">
            <w:pPr>
              <w:spacing w:line="360" w:lineRule="auto"/>
              <w:jc w:val="center"/>
              <w:rPr>
                <w:rFonts w:hint="eastAsia" w:ascii="仿宋" w:hAnsi="仿宋" w:eastAsia="仿宋" w:cs="仿宋"/>
                <w:sz w:val="24"/>
              </w:rPr>
            </w:pPr>
          </w:p>
        </w:tc>
        <w:tc>
          <w:tcPr>
            <w:tcW w:w="422" w:type="pct"/>
            <w:vMerge w:val="continue"/>
            <w:noWrap/>
            <w:vAlign w:val="center"/>
          </w:tcPr>
          <w:p w14:paraId="5B13D4A6">
            <w:pPr>
              <w:spacing w:line="360" w:lineRule="auto"/>
              <w:jc w:val="center"/>
              <w:rPr>
                <w:rFonts w:hint="eastAsia" w:ascii="仿宋" w:hAnsi="仿宋" w:eastAsia="仿宋" w:cs="仿宋"/>
                <w:sz w:val="24"/>
              </w:rPr>
            </w:pPr>
          </w:p>
        </w:tc>
        <w:tc>
          <w:tcPr>
            <w:tcW w:w="1761" w:type="pct"/>
            <w:noWrap/>
            <w:vAlign w:val="center"/>
          </w:tcPr>
          <w:p w14:paraId="22D1C796">
            <w:pPr>
              <w:spacing w:line="360" w:lineRule="auto"/>
              <w:jc w:val="center"/>
              <w:rPr>
                <w:rFonts w:hint="eastAsia" w:ascii="仿宋" w:hAnsi="仿宋" w:eastAsia="仿宋" w:cs="仿宋"/>
                <w:sz w:val="24"/>
              </w:rPr>
            </w:pPr>
            <w:r>
              <w:rPr>
                <w:rFonts w:hint="eastAsia" w:ascii="仿宋" w:hAnsi="仿宋" w:eastAsia="仿宋" w:cs="仿宋"/>
                <w:kern w:val="0"/>
                <w:sz w:val="24"/>
              </w:rPr>
              <w:t>软件升级</w:t>
            </w:r>
          </w:p>
        </w:tc>
      </w:tr>
    </w:tbl>
    <w:p w14:paraId="1E3A9080">
      <w:pPr>
        <w:pStyle w:val="6"/>
        <w:tabs>
          <w:tab w:val="left" w:pos="420"/>
          <w:tab w:val="clear" w:pos="432"/>
        </w:tabs>
        <w:spacing w:line="360" w:lineRule="auto"/>
        <w:rPr>
          <w:rFonts w:hint="eastAsia" w:ascii="仿宋" w:eastAsia="仿宋" w:cs="仿宋"/>
          <w:sz w:val="24"/>
          <w:szCs w:val="24"/>
        </w:rPr>
      </w:pPr>
      <w:r>
        <w:rPr>
          <w:rFonts w:hint="eastAsia" w:ascii="仿宋" w:eastAsia="仿宋" w:cs="仿宋"/>
          <w:sz w:val="24"/>
          <w:szCs w:val="24"/>
          <w:lang w:val="en-US" w:eastAsia="zh-CN"/>
        </w:rPr>
        <w:t>2.5维保服务考核要求</w:t>
      </w:r>
    </w:p>
    <w:p w14:paraId="16D1806F">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要服从院方的</w:t>
      </w:r>
      <w:r>
        <w:rPr>
          <w:rFonts w:hint="eastAsia" w:ascii="仿宋" w:hAnsi="仿宋" w:eastAsia="仿宋" w:cs="仿宋"/>
          <w:sz w:val="24"/>
        </w:rPr>
        <w:t>质检管理，每季度组织一次针对项目服务的考核检查，对在检查中发现工作质量、服务效率、安全管理、沟通协调、设备维保巡检等方面存在的问题，按照服务管理考核评分细则，对</w:t>
      </w:r>
      <w:r>
        <w:rPr>
          <w:rFonts w:hint="eastAsia" w:ascii="仿宋" w:hAnsi="仿宋" w:eastAsia="仿宋" w:cs="仿宋"/>
          <w:sz w:val="24"/>
          <w:lang w:val="en-US" w:eastAsia="zh-CN"/>
        </w:rPr>
        <w:t>成交方</w:t>
      </w:r>
      <w:r>
        <w:rPr>
          <w:rFonts w:hint="eastAsia" w:ascii="仿宋" w:hAnsi="仿宋" w:eastAsia="仿宋" w:cs="仿宋"/>
          <w:sz w:val="24"/>
        </w:rPr>
        <w:t>的所有工作进行评分，考核总分为100分。季度考核总分数在90（含）分以上，费用按合同金额全额支付；考核总分数在80分（含）～89分，扣除服务费用2000元；考核总分数在70分（含）～79分，扣除服务费用3000元；考核总分数在70分以下的为考核不合格，扣除服务费用5000元；全年出现三次不合格，一律终止合同，并承担违约责任的赔偿。</w:t>
      </w:r>
    </w:p>
    <w:p w14:paraId="3F9298A6">
      <w:pPr>
        <w:spacing w:line="360" w:lineRule="auto"/>
        <w:rPr>
          <w:rFonts w:hint="eastAsia" w:ascii="仿宋" w:hAnsi="仿宋" w:eastAsia="仿宋" w:cs="仿宋"/>
          <w:sz w:val="24"/>
        </w:rPr>
      </w:pPr>
      <w:r>
        <w:rPr>
          <w:rFonts w:hint="eastAsia" w:ascii="仿宋" w:hAnsi="仿宋" w:eastAsia="仿宋" w:cs="仿宋"/>
          <w:sz w:val="24"/>
        </w:rPr>
        <w:t>考核表</w:t>
      </w:r>
      <w:r>
        <w:rPr>
          <w:rFonts w:hint="eastAsia" w:ascii="仿宋" w:hAnsi="仿宋" w:eastAsia="仿宋" w:cs="仿宋"/>
          <w:sz w:val="24"/>
          <w:lang w:val="en-US" w:eastAsia="zh-CN"/>
        </w:rPr>
        <w:t>附件如下</w:t>
      </w:r>
      <w:r>
        <w:rPr>
          <w:rFonts w:hint="eastAsia" w:ascii="仿宋" w:hAnsi="仿宋" w:eastAsia="仿宋" w:cs="仿宋"/>
          <w:sz w:val="24"/>
        </w:rPr>
        <w:t>：</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7705"/>
        <w:gridCol w:w="527"/>
        <w:gridCol w:w="528"/>
      </w:tblGrid>
      <w:tr w14:paraId="32EA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14:paraId="0DF357C4">
            <w:pPr>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0" w:type="auto"/>
            <w:shd w:val="clear" w:color="auto" w:fill="auto"/>
          </w:tcPr>
          <w:p w14:paraId="4B7AB7CB">
            <w:pPr>
              <w:spacing w:line="360" w:lineRule="auto"/>
              <w:jc w:val="center"/>
              <w:rPr>
                <w:rFonts w:hint="eastAsia" w:ascii="仿宋" w:hAnsi="仿宋" w:eastAsia="仿宋" w:cs="仿宋"/>
                <w:sz w:val="24"/>
              </w:rPr>
            </w:pPr>
            <w:r>
              <w:rPr>
                <w:rFonts w:hint="eastAsia" w:ascii="仿宋" w:hAnsi="仿宋" w:eastAsia="仿宋" w:cs="仿宋"/>
                <w:sz w:val="24"/>
              </w:rPr>
              <w:t>考核内容</w:t>
            </w:r>
          </w:p>
        </w:tc>
        <w:tc>
          <w:tcPr>
            <w:tcW w:w="0" w:type="auto"/>
            <w:shd w:val="clear" w:color="auto" w:fill="auto"/>
          </w:tcPr>
          <w:p w14:paraId="3DE9CC6D">
            <w:pPr>
              <w:spacing w:line="360" w:lineRule="auto"/>
              <w:jc w:val="center"/>
              <w:rPr>
                <w:rFonts w:hint="eastAsia" w:ascii="仿宋" w:hAnsi="仿宋" w:eastAsia="仿宋" w:cs="仿宋"/>
                <w:sz w:val="24"/>
              </w:rPr>
            </w:pPr>
            <w:r>
              <w:rPr>
                <w:rFonts w:hint="eastAsia" w:ascii="仿宋" w:hAnsi="仿宋" w:eastAsia="仿宋" w:cs="仿宋"/>
                <w:sz w:val="24"/>
              </w:rPr>
              <w:t>分值</w:t>
            </w:r>
          </w:p>
        </w:tc>
        <w:tc>
          <w:tcPr>
            <w:tcW w:w="0" w:type="auto"/>
            <w:shd w:val="clear" w:color="auto" w:fill="auto"/>
          </w:tcPr>
          <w:p w14:paraId="4D5437BB">
            <w:pPr>
              <w:spacing w:line="360" w:lineRule="auto"/>
              <w:jc w:val="center"/>
              <w:rPr>
                <w:rFonts w:hint="eastAsia" w:ascii="仿宋" w:hAnsi="仿宋" w:eastAsia="仿宋" w:cs="仿宋"/>
                <w:sz w:val="24"/>
              </w:rPr>
            </w:pPr>
            <w:r>
              <w:rPr>
                <w:rFonts w:hint="eastAsia" w:ascii="仿宋" w:hAnsi="仿宋" w:eastAsia="仿宋" w:cs="仿宋"/>
                <w:sz w:val="24"/>
              </w:rPr>
              <w:t>评分</w:t>
            </w:r>
          </w:p>
        </w:tc>
      </w:tr>
      <w:tr w14:paraId="237E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76EEAE90">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0" w:type="auto"/>
            <w:shd w:val="clear" w:color="auto" w:fill="auto"/>
            <w:vAlign w:val="center"/>
          </w:tcPr>
          <w:p w14:paraId="3DABCF76">
            <w:pPr>
              <w:spacing w:line="360" w:lineRule="auto"/>
              <w:jc w:val="left"/>
              <w:rPr>
                <w:rFonts w:hint="eastAsia" w:ascii="仿宋" w:hAnsi="仿宋" w:eastAsia="仿宋" w:cs="仿宋"/>
                <w:sz w:val="24"/>
              </w:rPr>
            </w:pPr>
            <w:r>
              <w:rPr>
                <w:rFonts w:hint="eastAsia" w:ascii="仿宋" w:hAnsi="仿宋" w:eastAsia="仿宋" w:cs="仿宋"/>
                <w:sz w:val="24"/>
              </w:rPr>
              <w:t>每季度对项目维保清单内设备进行例行巡检和预防性维护，并完成重要设备配置备份，以保证相关设备长时间的平稳运行（每季度首月）。未及时巡检每延迟一周扣1分，未对重要设备进行配置备份的，每发现一次扣1分。</w:t>
            </w:r>
          </w:p>
        </w:tc>
        <w:tc>
          <w:tcPr>
            <w:tcW w:w="0" w:type="auto"/>
            <w:shd w:val="clear" w:color="auto" w:fill="auto"/>
            <w:vAlign w:val="center"/>
          </w:tcPr>
          <w:p w14:paraId="0342B32B">
            <w:pPr>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0" w:type="auto"/>
            <w:shd w:val="clear" w:color="auto" w:fill="auto"/>
            <w:vAlign w:val="center"/>
          </w:tcPr>
          <w:p w14:paraId="30E02F2C">
            <w:pPr>
              <w:spacing w:line="360" w:lineRule="auto"/>
              <w:jc w:val="center"/>
              <w:rPr>
                <w:rFonts w:hint="eastAsia" w:ascii="仿宋" w:hAnsi="仿宋" w:eastAsia="仿宋" w:cs="仿宋"/>
                <w:sz w:val="24"/>
              </w:rPr>
            </w:pPr>
          </w:p>
        </w:tc>
      </w:tr>
      <w:tr w14:paraId="13C0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4353AE06">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0" w:type="auto"/>
            <w:shd w:val="clear" w:color="auto" w:fill="auto"/>
            <w:vAlign w:val="center"/>
          </w:tcPr>
          <w:p w14:paraId="7C47F0B2">
            <w:pPr>
              <w:spacing w:line="360" w:lineRule="auto"/>
              <w:jc w:val="left"/>
              <w:rPr>
                <w:rFonts w:hint="eastAsia" w:ascii="仿宋" w:hAnsi="仿宋" w:eastAsia="仿宋" w:cs="仿宋"/>
                <w:sz w:val="24"/>
              </w:rPr>
            </w:pPr>
            <w:r>
              <w:rPr>
                <w:rFonts w:hint="eastAsia" w:ascii="仿宋" w:hAnsi="仿宋" w:eastAsia="仿宋" w:cs="仿宋"/>
                <w:sz w:val="24"/>
              </w:rPr>
              <w:t>每季度对项目维保清单内设备进行例行巡检和预防性维护。每次服务后按照规定时间要求内出具巡检服务报告。未及时提交每延迟一天扣0.5分。</w:t>
            </w:r>
          </w:p>
        </w:tc>
        <w:tc>
          <w:tcPr>
            <w:tcW w:w="0" w:type="auto"/>
            <w:shd w:val="clear" w:color="auto" w:fill="auto"/>
            <w:vAlign w:val="center"/>
          </w:tcPr>
          <w:p w14:paraId="6EE9D8AB">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0" w:type="auto"/>
            <w:shd w:val="clear" w:color="auto" w:fill="auto"/>
            <w:vAlign w:val="center"/>
          </w:tcPr>
          <w:p w14:paraId="1C2A09A4">
            <w:pPr>
              <w:spacing w:line="360" w:lineRule="auto"/>
              <w:jc w:val="center"/>
              <w:rPr>
                <w:rFonts w:hint="eastAsia" w:ascii="仿宋" w:hAnsi="仿宋" w:eastAsia="仿宋" w:cs="仿宋"/>
                <w:sz w:val="24"/>
              </w:rPr>
            </w:pPr>
          </w:p>
        </w:tc>
      </w:tr>
      <w:tr w14:paraId="0E34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3594E309">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0" w:type="auto"/>
            <w:shd w:val="clear" w:color="auto" w:fill="auto"/>
            <w:vAlign w:val="center"/>
          </w:tcPr>
          <w:p w14:paraId="2BD6B3A0">
            <w:pPr>
              <w:spacing w:line="360" w:lineRule="auto"/>
              <w:jc w:val="left"/>
              <w:rPr>
                <w:rFonts w:hint="eastAsia" w:ascii="仿宋" w:hAnsi="仿宋" w:eastAsia="仿宋" w:cs="仿宋"/>
                <w:sz w:val="24"/>
              </w:rPr>
            </w:pPr>
            <w:r>
              <w:rPr>
                <w:rFonts w:hint="eastAsia" w:ascii="仿宋" w:hAnsi="仿宋" w:eastAsia="仿宋" w:cs="仿宋"/>
                <w:sz w:val="24"/>
              </w:rPr>
              <w:t>每季度对项目维保清单内设备进行例行巡检和预防性维护。每次服务后针对巡检发现的问题进行及时处理。未及时处理的每发现一次扣1分。</w:t>
            </w:r>
          </w:p>
        </w:tc>
        <w:tc>
          <w:tcPr>
            <w:tcW w:w="0" w:type="auto"/>
            <w:shd w:val="clear" w:color="auto" w:fill="auto"/>
            <w:vAlign w:val="center"/>
          </w:tcPr>
          <w:p w14:paraId="66B5D56B">
            <w:pPr>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0" w:type="auto"/>
            <w:shd w:val="clear" w:color="auto" w:fill="auto"/>
            <w:vAlign w:val="center"/>
          </w:tcPr>
          <w:p w14:paraId="68C950F8">
            <w:pPr>
              <w:spacing w:line="360" w:lineRule="auto"/>
              <w:jc w:val="center"/>
              <w:rPr>
                <w:rFonts w:hint="eastAsia" w:ascii="仿宋" w:hAnsi="仿宋" w:eastAsia="仿宋" w:cs="仿宋"/>
                <w:sz w:val="24"/>
              </w:rPr>
            </w:pPr>
          </w:p>
        </w:tc>
      </w:tr>
      <w:tr w14:paraId="7C48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3DEC26D3">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0" w:type="auto"/>
            <w:shd w:val="clear" w:color="auto" w:fill="auto"/>
            <w:vAlign w:val="center"/>
          </w:tcPr>
          <w:p w14:paraId="279A3FC0">
            <w:pPr>
              <w:spacing w:line="360" w:lineRule="auto"/>
              <w:jc w:val="left"/>
              <w:rPr>
                <w:rFonts w:hint="eastAsia" w:ascii="仿宋" w:hAnsi="仿宋" w:eastAsia="仿宋" w:cs="仿宋"/>
                <w:sz w:val="24"/>
              </w:rPr>
            </w:pPr>
            <w:r>
              <w:rPr>
                <w:rFonts w:hint="eastAsia" w:ascii="仿宋" w:hAnsi="仿宋" w:eastAsia="仿宋" w:cs="仿宋"/>
                <w:sz w:val="24"/>
              </w:rPr>
              <w:t>每次应急响应或者故障处理完成后，应该及时出具《故障报告》，未及时出具的发现一次扣1分。</w:t>
            </w:r>
          </w:p>
        </w:tc>
        <w:tc>
          <w:tcPr>
            <w:tcW w:w="0" w:type="auto"/>
            <w:shd w:val="clear" w:color="auto" w:fill="auto"/>
            <w:vAlign w:val="center"/>
          </w:tcPr>
          <w:p w14:paraId="638C6D15">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0" w:type="auto"/>
            <w:shd w:val="clear" w:color="auto" w:fill="auto"/>
            <w:vAlign w:val="center"/>
          </w:tcPr>
          <w:p w14:paraId="1D41B1A5">
            <w:pPr>
              <w:spacing w:line="360" w:lineRule="auto"/>
              <w:jc w:val="center"/>
              <w:rPr>
                <w:rFonts w:hint="eastAsia" w:ascii="仿宋" w:hAnsi="仿宋" w:eastAsia="仿宋" w:cs="仿宋"/>
                <w:sz w:val="24"/>
              </w:rPr>
            </w:pPr>
          </w:p>
        </w:tc>
      </w:tr>
      <w:tr w14:paraId="7354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5DDDBA57">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0" w:type="auto"/>
            <w:shd w:val="clear" w:color="auto" w:fill="auto"/>
            <w:vAlign w:val="center"/>
          </w:tcPr>
          <w:p w14:paraId="1E428F5F">
            <w:pPr>
              <w:spacing w:line="360" w:lineRule="auto"/>
              <w:jc w:val="left"/>
              <w:rPr>
                <w:rFonts w:hint="eastAsia" w:ascii="仿宋" w:hAnsi="仿宋" w:eastAsia="仿宋" w:cs="仿宋"/>
                <w:sz w:val="24"/>
              </w:rPr>
            </w:pPr>
            <w:r>
              <w:rPr>
                <w:rFonts w:hint="eastAsia" w:ascii="仿宋" w:hAnsi="仿宋" w:eastAsia="仿宋" w:cs="仿宋"/>
                <w:sz w:val="24"/>
              </w:rPr>
              <w:t>医院信息系统进行重大调整期间需有现场人员现场值守保障，工作积极负责、态度认真，遵守医院规章制度和工作纪律，主动配合信息</w:t>
            </w:r>
            <w:r>
              <w:rPr>
                <w:rFonts w:hint="eastAsia" w:ascii="仿宋" w:hAnsi="仿宋" w:eastAsia="仿宋" w:cs="仿宋"/>
                <w:sz w:val="24"/>
                <w:lang w:val="en-US" w:eastAsia="zh-CN"/>
              </w:rPr>
              <w:t>中心</w:t>
            </w:r>
            <w:r>
              <w:rPr>
                <w:rFonts w:hint="eastAsia" w:ascii="仿宋" w:hAnsi="仿宋" w:eastAsia="仿宋" w:cs="仿宋"/>
                <w:sz w:val="24"/>
              </w:rPr>
              <w:t>人员工作，发现违规违纪，发现一次扣0.5-2分。</w:t>
            </w:r>
          </w:p>
        </w:tc>
        <w:tc>
          <w:tcPr>
            <w:tcW w:w="0" w:type="auto"/>
            <w:shd w:val="clear" w:color="auto" w:fill="auto"/>
            <w:vAlign w:val="center"/>
          </w:tcPr>
          <w:p w14:paraId="7A82FB56">
            <w:pPr>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0" w:type="auto"/>
            <w:shd w:val="clear" w:color="auto" w:fill="auto"/>
            <w:vAlign w:val="center"/>
          </w:tcPr>
          <w:p w14:paraId="0DF10B8E">
            <w:pPr>
              <w:spacing w:line="360" w:lineRule="auto"/>
              <w:jc w:val="center"/>
              <w:rPr>
                <w:rFonts w:hint="eastAsia" w:ascii="仿宋" w:hAnsi="仿宋" w:eastAsia="仿宋" w:cs="仿宋"/>
                <w:sz w:val="24"/>
              </w:rPr>
            </w:pPr>
          </w:p>
        </w:tc>
      </w:tr>
      <w:tr w14:paraId="681E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0" w:type="auto"/>
            <w:shd w:val="clear" w:color="auto" w:fill="auto"/>
            <w:vAlign w:val="center"/>
          </w:tcPr>
          <w:p w14:paraId="1E7D0450">
            <w:pPr>
              <w:spacing w:line="360" w:lineRule="auto"/>
              <w:jc w:val="center"/>
              <w:rPr>
                <w:rFonts w:hint="eastAsia" w:ascii="仿宋" w:hAnsi="仿宋" w:eastAsia="仿宋" w:cs="仿宋"/>
                <w:sz w:val="24"/>
              </w:rPr>
            </w:pPr>
            <w:r>
              <w:rPr>
                <w:rFonts w:hint="eastAsia" w:ascii="仿宋" w:hAnsi="仿宋" w:eastAsia="仿宋" w:cs="仿宋"/>
                <w:sz w:val="24"/>
              </w:rPr>
              <w:t>6</w:t>
            </w:r>
          </w:p>
        </w:tc>
        <w:tc>
          <w:tcPr>
            <w:tcW w:w="0" w:type="auto"/>
            <w:shd w:val="clear" w:color="auto" w:fill="auto"/>
            <w:vAlign w:val="center"/>
          </w:tcPr>
          <w:p w14:paraId="3D1B3F37">
            <w:pPr>
              <w:spacing w:line="360" w:lineRule="auto"/>
              <w:jc w:val="left"/>
              <w:rPr>
                <w:rFonts w:hint="eastAsia" w:ascii="仿宋" w:hAnsi="仿宋" w:eastAsia="仿宋" w:cs="仿宋"/>
                <w:sz w:val="24"/>
              </w:rPr>
            </w:pPr>
            <w:r>
              <w:rPr>
                <w:rFonts w:hint="eastAsia" w:ascii="仿宋" w:hAnsi="仿宋" w:eastAsia="仿宋" w:cs="仿宋"/>
                <w:sz w:val="24"/>
              </w:rPr>
              <w:t>服务期间发现任何问题以隐患应及时反馈给甲方并配合甲方进行整改，未督促或反馈的发现一次扣1分。</w:t>
            </w:r>
          </w:p>
        </w:tc>
        <w:tc>
          <w:tcPr>
            <w:tcW w:w="0" w:type="auto"/>
            <w:shd w:val="clear" w:color="auto" w:fill="auto"/>
            <w:vAlign w:val="center"/>
          </w:tcPr>
          <w:p w14:paraId="5954E5C3">
            <w:pPr>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0" w:type="auto"/>
            <w:shd w:val="clear" w:color="auto" w:fill="auto"/>
            <w:vAlign w:val="center"/>
          </w:tcPr>
          <w:p w14:paraId="28FF604E">
            <w:pPr>
              <w:spacing w:line="360" w:lineRule="auto"/>
              <w:jc w:val="center"/>
              <w:rPr>
                <w:rFonts w:hint="eastAsia" w:ascii="仿宋" w:hAnsi="仿宋" w:eastAsia="仿宋" w:cs="仿宋"/>
                <w:sz w:val="24"/>
              </w:rPr>
            </w:pPr>
          </w:p>
        </w:tc>
      </w:tr>
      <w:tr w14:paraId="6AAA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0" w:type="auto"/>
            <w:shd w:val="clear" w:color="auto" w:fill="auto"/>
            <w:vAlign w:val="center"/>
          </w:tcPr>
          <w:p w14:paraId="6D1C28B9">
            <w:pPr>
              <w:spacing w:line="360" w:lineRule="auto"/>
              <w:jc w:val="center"/>
              <w:rPr>
                <w:rFonts w:hint="eastAsia" w:ascii="仿宋" w:hAnsi="仿宋" w:eastAsia="仿宋" w:cs="仿宋"/>
                <w:sz w:val="24"/>
              </w:rPr>
            </w:pPr>
            <w:r>
              <w:rPr>
                <w:rFonts w:hint="eastAsia" w:ascii="仿宋" w:hAnsi="仿宋" w:eastAsia="仿宋" w:cs="仿宋"/>
                <w:sz w:val="24"/>
              </w:rPr>
              <w:t>7</w:t>
            </w:r>
          </w:p>
        </w:tc>
        <w:tc>
          <w:tcPr>
            <w:tcW w:w="0" w:type="auto"/>
            <w:shd w:val="clear" w:color="auto" w:fill="auto"/>
          </w:tcPr>
          <w:p w14:paraId="6C532B74">
            <w:pPr>
              <w:spacing w:line="360" w:lineRule="auto"/>
              <w:jc w:val="left"/>
              <w:rPr>
                <w:rFonts w:hint="eastAsia" w:ascii="仿宋" w:hAnsi="仿宋" w:eastAsia="仿宋" w:cs="仿宋"/>
                <w:sz w:val="24"/>
              </w:rPr>
            </w:pPr>
            <w:r>
              <w:rPr>
                <w:rFonts w:hint="eastAsia" w:ascii="仿宋" w:hAnsi="仿宋" w:eastAsia="仿宋" w:cs="仿宋"/>
                <w:sz w:val="24"/>
              </w:rPr>
              <w:t>未及时处理和排除隐患或同一安全隐患超过二次仍未修复并且暂无解决方案的，一次扣1分。</w:t>
            </w:r>
          </w:p>
        </w:tc>
        <w:tc>
          <w:tcPr>
            <w:tcW w:w="0" w:type="auto"/>
            <w:shd w:val="clear" w:color="auto" w:fill="auto"/>
            <w:vAlign w:val="center"/>
          </w:tcPr>
          <w:p w14:paraId="4DB6F0DC">
            <w:pPr>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0" w:type="auto"/>
            <w:shd w:val="clear" w:color="auto" w:fill="auto"/>
            <w:vAlign w:val="center"/>
          </w:tcPr>
          <w:p w14:paraId="7E42FB2A">
            <w:pPr>
              <w:spacing w:line="360" w:lineRule="auto"/>
              <w:jc w:val="center"/>
              <w:rPr>
                <w:rFonts w:hint="eastAsia" w:ascii="仿宋" w:hAnsi="仿宋" w:eastAsia="仿宋" w:cs="仿宋"/>
                <w:sz w:val="24"/>
              </w:rPr>
            </w:pPr>
          </w:p>
        </w:tc>
      </w:tr>
      <w:tr w14:paraId="7E3B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28067FC1">
            <w:pPr>
              <w:spacing w:line="360" w:lineRule="auto"/>
              <w:jc w:val="center"/>
              <w:rPr>
                <w:rFonts w:hint="eastAsia" w:ascii="仿宋" w:hAnsi="仿宋" w:eastAsia="仿宋" w:cs="仿宋"/>
                <w:sz w:val="24"/>
              </w:rPr>
            </w:pPr>
            <w:r>
              <w:rPr>
                <w:rFonts w:hint="eastAsia" w:ascii="仿宋" w:hAnsi="仿宋" w:eastAsia="仿宋" w:cs="仿宋"/>
                <w:sz w:val="24"/>
              </w:rPr>
              <w:t>8</w:t>
            </w:r>
          </w:p>
        </w:tc>
        <w:tc>
          <w:tcPr>
            <w:tcW w:w="0" w:type="auto"/>
            <w:shd w:val="clear" w:color="auto" w:fill="auto"/>
          </w:tcPr>
          <w:p w14:paraId="1C5FCA4F">
            <w:pPr>
              <w:spacing w:line="360" w:lineRule="auto"/>
              <w:jc w:val="left"/>
              <w:rPr>
                <w:rFonts w:hint="eastAsia" w:ascii="仿宋" w:hAnsi="仿宋" w:eastAsia="仿宋" w:cs="仿宋"/>
                <w:sz w:val="24"/>
              </w:rPr>
            </w:pPr>
            <w:r>
              <w:rPr>
                <w:rFonts w:hint="eastAsia" w:ascii="仿宋" w:hAnsi="仿宋" w:eastAsia="仿宋" w:cs="仿宋"/>
                <w:sz w:val="24"/>
              </w:rPr>
              <w:t>服务单位人员现场服务必须严格遵守医院规章制度、保密协议等有关规定，不得从事与工作无关的事，发现一次扣0.5-3分。</w:t>
            </w:r>
          </w:p>
        </w:tc>
        <w:tc>
          <w:tcPr>
            <w:tcW w:w="0" w:type="auto"/>
            <w:shd w:val="clear" w:color="auto" w:fill="auto"/>
            <w:vAlign w:val="center"/>
          </w:tcPr>
          <w:p w14:paraId="21E0FF35">
            <w:pPr>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0" w:type="auto"/>
            <w:shd w:val="clear" w:color="auto" w:fill="auto"/>
            <w:vAlign w:val="center"/>
          </w:tcPr>
          <w:p w14:paraId="4FAB6B2C">
            <w:pPr>
              <w:spacing w:line="360" w:lineRule="auto"/>
              <w:jc w:val="center"/>
              <w:rPr>
                <w:rFonts w:hint="eastAsia" w:ascii="仿宋" w:hAnsi="仿宋" w:eastAsia="仿宋" w:cs="仿宋"/>
                <w:sz w:val="24"/>
              </w:rPr>
            </w:pPr>
          </w:p>
        </w:tc>
      </w:tr>
      <w:tr w14:paraId="4FBF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039F7B43">
            <w:pPr>
              <w:spacing w:line="360" w:lineRule="auto"/>
              <w:jc w:val="center"/>
              <w:rPr>
                <w:rFonts w:hint="eastAsia" w:ascii="仿宋" w:hAnsi="仿宋" w:eastAsia="仿宋" w:cs="仿宋"/>
                <w:sz w:val="24"/>
              </w:rPr>
            </w:pPr>
            <w:r>
              <w:rPr>
                <w:rFonts w:hint="eastAsia" w:ascii="仿宋" w:hAnsi="仿宋" w:eastAsia="仿宋" w:cs="仿宋"/>
                <w:sz w:val="24"/>
              </w:rPr>
              <w:t>9</w:t>
            </w:r>
          </w:p>
        </w:tc>
        <w:tc>
          <w:tcPr>
            <w:tcW w:w="0" w:type="auto"/>
            <w:shd w:val="clear" w:color="auto" w:fill="auto"/>
          </w:tcPr>
          <w:p w14:paraId="18486986">
            <w:pPr>
              <w:spacing w:line="360" w:lineRule="auto"/>
              <w:jc w:val="left"/>
              <w:rPr>
                <w:rFonts w:hint="eastAsia" w:ascii="仿宋" w:hAnsi="仿宋" w:eastAsia="仿宋" w:cs="仿宋"/>
                <w:sz w:val="24"/>
              </w:rPr>
            </w:pPr>
            <w:r>
              <w:rPr>
                <w:rFonts w:hint="eastAsia" w:ascii="仿宋" w:hAnsi="仿宋" w:eastAsia="仿宋" w:cs="仿宋"/>
                <w:sz w:val="24"/>
              </w:rPr>
              <w:t>服务人员未经</w:t>
            </w:r>
            <w:r>
              <w:rPr>
                <w:rFonts w:hint="eastAsia" w:ascii="仿宋" w:hAnsi="仿宋" w:eastAsia="仿宋" w:cs="仿宋"/>
                <w:sz w:val="24"/>
                <w:lang w:val="en-US" w:eastAsia="zh-CN"/>
              </w:rPr>
              <w:t>院方</w:t>
            </w:r>
            <w:r>
              <w:rPr>
                <w:rFonts w:hint="eastAsia" w:ascii="仿宋" w:hAnsi="仿宋" w:eastAsia="仿宋" w:cs="仿宋"/>
                <w:sz w:val="24"/>
              </w:rPr>
              <w:t>同意，擅自修改、删除配置或者数据的，发现一次扣1分。</w:t>
            </w:r>
          </w:p>
        </w:tc>
        <w:tc>
          <w:tcPr>
            <w:tcW w:w="0" w:type="auto"/>
            <w:shd w:val="clear" w:color="auto" w:fill="auto"/>
            <w:vAlign w:val="center"/>
          </w:tcPr>
          <w:p w14:paraId="2D04E54A">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0" w:type="auto"/>
            <w:shd w:val="clear" w:color="auto" w:fill="auto"/>
            <w:vAlign w:val="center"/>
          </w:tcPr>
          <w:p w14:paraId="2FDD16C9">
            <w:pPr>
              <w:spacing w:line="360" w:lineRule="auto"/>
              <w:jc w:val="center"/>
              <w:rPr>
                <w:rFonts w:hint="eastAsia" w:ascii="仿宋" w:hAnsi="仿宋" w:eastAsia="仿宋" w:cs="仿宋"/>
                <w:sz w:val="24"/>
              </w:rPr>
            </w:pPr>
          </w:p>
        </w:tc>
      </w:tr>
      <w:tr w14:paraId="55EB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42E393FB">
            <w:pPr>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0" w:type="auto"/>
            <w:shd w:val="clear" w:color="auto" w:fill="auto"/>
          </w:tcPr>
          <w:p w14:paraId="2FB0EA50">
            <w:pPr>
              <w:spacing w:line="360" w:lineRule="auto"/>
              <w:jc w:val="left"/>
              <w:rPr>
                <w:rFonts w:hint="eastAsia" w:ascii="仿宋" w:hAnsi="仿宋" w:eastAsia="仿宋" w:cs="仿宋"/>
                <w:sz w:val="24"/>
              </w:rPr>
            </w:pPr>
            <w:r>
              <w:rPr>
                <w:rFonts w:hint="eastAsia" w:ascii="仿宋" w:hAnsi="仿宋" w:eastAsia="仿宋" w:cs="仿宋"/>
                <w:sz w:val="24"/>
              </w:rPr>
              <w:t>因服务人员服务操作不当导致的信息系统出现崩溃、宕机或不可用等重大后果的，发现一次扣20分，并追究相关损失。</w:t>
            </w:r>
          </w:p>
        </w:tc>
        <w:tc>
          <w:tcPr>
            <w:tcW w:w="0" w:type="auto"/>
            <w:shd w:val="clear" w:color="auto" w:fill="auto"/>
            <w:vAlign w:val="center"/>
          </w:tcPr>
          <w:p w14:paraId="3119C8A5">
            <w:pPr>
              <w:spacing w:line="360" w:lineRule="auto"/>
              <w:jc w:val="center"/>
              <w:rPr>
                <w:rFonts w:hint="eastAsia" w:ascii="仿宋" w:hAnsi="仿宋" w:eastAsia="仿宋" w:cs="仿宋"/>
                <w:sz w:val="24"/>
              </w:rPr>
            </w:pPr>
            <w:r>
              <w:rPr>
                <w:rFonts w:hint="eastAsia" w:ascii="仿宋" w:hAnsi="仿宋" w:eastAsia="仿宋" w:cs="仿宋"/>
                <w:sz w:val="24"/>
              </w:rPr>
              <w:t>20</w:t>
            </w:r>
          </w:p>
        </w:tc>
        <w:tc>
          <w:tcPr>
            <w:tcW w:w="0" w:type="auto"/>
            <w:shd w:val="clear" w:color="auto" w:fill="auto"/>
            <w:vAlign w:val="center"/>
          </w:tcPr>
          <w:p w14:paraId="453323A7">
            <w:pPr>
              <w:spacing w:line="360" w:lineRule="auto"/>
              <w:jc w:val="center"/>
              <w:rPr>
                <w:rFonts w:hint="eastAsia" w:ascii="仿宋" w:hAnsi="仿宋" w:eastAsia="仿宋" w:cs="仿宋"/>
                <w:sz w:val="24"/>
              </w:rPr>
            </w:pPr>
          </w:p>
        </w:tc>
      </w:tr>
      <w:tr w14:paraId="2D34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4BD7F41C">
            <w:pPr>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0" w:type="auto"/>
            <w:shd w:val="clear" w:color="auto" w:fill="auto"/>
          </w:tcPr>
          <w:p w14:paraId="36BCC537">
            <w:pPr>
              <w:spacing w:line="360" w:lineRule="auto"/>
              <w:jc w:val="left"/>
              <w:rPr>
                <w:rFonts w:hint="eastAsia" w:ascii="仿宋" w:hAnsi="仿宋" w:eastAsia="仿宋" w:cs="仿宋"/>
                <w:sz w:val="24"/>
              </w:rPr>
            </w:pPr>
            <w:r>
              <w:rPr>
                <w:rFonts w:hint="eastAsia" w:ascii="仿宋" w:hAnsi="仿宋" w:eastAsia="仿宋" w:cs="仿宋"/>
                <w:sz w:val="24"/>
              </w:rPr>
              <w:t>服务单位所违反的其他事项未在考核细则中说明的，按照同等影响级别处理。</w:t>
            </w:r>
          </w:p>
        </w:tc>
        <w:tc>
          <w:tcPr>
            <w:tcW w:w="0" w:type="auto"/>
            <w:shd w:val="clear" w:color="auto" w:fill="auto"/>
            <w:vAlign w:val="center"/>
          </w:tcPr>
          <w:p w14:paraId="02E6B02B">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0" w:type="auto"/>
            <w:shd w:val="clear" w:color="auto" w:fill="auto"/>
            <w:vAlign w:val="center"/>
          </w:tcPr>
          <w:p w14:paraId="67010549">
            <w:pPr>
              <w:spacing w:line="360" w:lineRule="auto"/>
              <w:jc w:val="center"/>
              <w:rPr>
                <w:rFonts w:hint="eastAsia" w:ascii="仿宋" w:hAnsi="仿宋" w:eastAsia="仿宋" w:cs="仿宋"/>
                <w:sz w:val="24"/>
              </w:rPr>
            </w:pPr>
          </w:p>
        </w:tc>
      </w:tr>
      <w:tr w14:paraId="7733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0" w:type="auto"/>
            <w:shd w:val="clear" w:color="auto" w:fill="auto"/>
            <w:vAlign w:val="center"/>
          </w:tcPr>
          <w:p w14:paraId="58DF6293">
            <w:pPr>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0" w:type="auto"/>
            <w:gridSpan w:val="3"/>
            <w:shd w:val="clear" w:color="auto" w:fill="auto"/>
          </w:tcPr>
          <w:p w14:paraId="0CD58A9B">
            <w:pPr>
              <w:spacing w:line="360" w:lineRule="auto"/>
              <w:jc w:val="left"/>
              <w:rPr>
                <w:rFonts w:hint="eastAsia" w:ascii="仿宋" w:hAnsi="仿宋" w:eastAsia="仿宋" w:cs="仿宋"/>
                <w:sz w:val="24"/>
              </w:rPr>
            </w:pPr>
            <w:r>
              <w:rPr>
                <w:rFonts w:hint="eastAsia" w:ascii="仿宋" w:hAnsi="仿宋" w:eastAsia="仿宋" w:cs="仿宋"/>
                <w:sz w:val="24"/>
              </w:rPr>
              <w:t>考核总得分：</w:t>
            </w:r>
          </w:p>
        </w:tc>
      </w:tr>
    </w:tbl>
    <w:p w14:paraId="7D13E223">
      <w:pPr>
        <w:spacing w:line="360" w:lineRule="auto"/>
        <w:ind w:firstLine="720" w:firstLineChars="300"/>
        <w:jc w:val="left"/>
        <w:rPr>
          <w:rFonts w:hint="eastAsia" w:ascii="仿宋" w:hAnsi="仿宋" w:eastAsia="仿宋" w:cs="仿宋"/>
          <w:sz w:val="24"/>
        </w:rPr>
      </w:pPr>
    </w:p>
    <w:p w14:paraId="7ED74D86">
      <w:pPr>
        <w:spacing w:line="360" w:lineRule="auto"/>
        <w:jc w:val="left"/>
        <w:rPr>
          <w:rFonts w:hint="eastAsia" w:ascii="仿宋" w:hAnsi="仿宋" w:eastAsia="仿宋" w:cs="仿宋"/>
          <w:sz w:val="24"/>
          <w:u w:val="single"/>
          <w:lang w:val="en-US" w:eastAsia="zh-CN"/>
        </w:rPr>
      </w:pPr>
      <w:r>
        <w:rPr>
          <w:rFonts w:hint="eastAsia" w:ascii="仿宋" w:hAnsi="仿宋" w:eastAsia="仿宋" w:cs="仿宋"/>
          <w:sz w:val="24"/>
        </w:rPr>
        <w:t xml:space="preserve"> 考核人：</w:t>
      </w:r>
      <w:r>
        <w:rPr>
          <w:rFonts w:hint="eastAsia" w:ascii="仿宋" w:hAnsi="仿宋" w:eastAsia="仿宋" w:cs="仿宋"/>
          <w:sz w:val="24"/>
          <w:u w:val="single"/>
        </w:rPr>
        <w:t xml:space="preserve">                 </w:t>
      </w:r>
      <w:r>
        <w:rPr>
          <w:rFonts w:hint="eastAsia" w:ascii="仿宋" w:hAnsi="仿宋" w:eastAsia="仿宋" w:cs="仿宋"/>
          <w:sz w:val="24"/>
        </w:rPr>
        <w:t xml:space="preserve">         科室负责人审核：</w:t>
      </w:r>
      <w:r>
        <w:rPr>
          <w:rFonts w:hint="eastAsia" w:ascii="仿宋" w:hAnsi="仿宋" w:eastAsia="仿宋" w:cs="仿宋"/>
          <w:sz w:val="24"/>
          <w:u w:val="single"/>
          <w:lang w:val="en-US" w:eastAsia="zh-CN"/>
        </w:rPr>
        <w:t xml:space="preserve">                  </w:t>
      </w:r>
    </w:p>
    <w:p w14:paraId="28FE3C44">
      <w:pPr>
        <w:spacing w:line="360" w:lineRule="auto"/>
        <w:rPr>
          <w:rFonts w:hint="default" w:ascii="仿宋" w:hAnsi="仿宋" w:eastAsia="仿宋" w:cs="仿宋"/>
          <w:b/>
          <w:bCs/>
          <w:sz w:val="24"/>
          <w:lang w:val="en-US" w:eastAsia="zh-CN"/>
        </w:rPr>
      </w:pPr>
      <w:r>
        <w:rPr>
          <w:rFonts w:hint="eastAsia" w:ascii="仿宋" w:hAnsi="仿宋" w:eastAsia="仿宋" w:cs="仿宋"/>
          <w:b/>
          <w:bCs/>
          <w:sz w:val="24"/>
          <w:lang w:val="en-US" w:eastAsia="zh-CN"/>
        </w:rPr>
        <w:t>三、服务要求</w:t>
      </w:r>
    </w:p>
    <w:p w14:paraId="4E4FB7A4">
      <w:pPr>
        <w:numPr>
          <w:ilvl w:val="0"/>
          <w:numId w:val="3"/>
        </w:numPr>
        <w:spacing w:line="360" w:lineRule="auto"/>
        <w:ind w:firstLine="480" w:firstLineChars="200"/>
        <w:rPr>
          <w:rFonts w:hint="eastAsia" w:ascii="仿宋" w:hAnsi="仿宋" w:eastAsia="仿宋" w:cs="仿宋"/>
          <w:sz w:val="24"/>
        </w:rPr>
      </w:pPr>
      <w:r>
        <w:rPr>
          <w:rFonts w:hint="eastAsia" w:ascii="仿宋" w:hAnsi="仿宋" w:eastAsia="仿宋" w:cs="仿宋"/>
          <w:sz w:val="24"/>
        </w:rPr>
        <w:t>成交人对本次服务项目接触的数据、文档、账号密码等严格保密，未经采购人授权，不得以任何方式将有关系统数据的信息披露、发表或传播。成交人须与采购人签订相关保密协议。</w:t>
      </w:r>
    </w:p>
    <w:p w14:paraId="6344FC6C">
      <w:pPr>
        <w:numPr>
          <w:ilvl w:val="0"/>
          <w:numId w:val="3"/>
        </w:numPr>
        <w:spacing w:line="360" w:lineRule="auto"/>
        <w:ind w:firstLine="480" w:firstLineChars="200"/>
        <w:rPr>
          <w:rFonts w:hint="eastAsia" w:ascii="仿宋" w:hAnsi="仿宋" w:eastAsia="仿宋" w:cs="仿宋"/>
          <w:sz w:val="24"/>
        </w:rPr>
      </w:pPr>
      <w:r>
        <w:rPr>
          <w:rFonts w:hint="eastAsia" w:ascii="仿宋" w:hAnsi="仿宋" w:eastAsia="仿宋" w:cs="仿宋"/>
          <w:sz w:val="24"/>
        </w:rPr>
        <w:t>成交人应对采购人的机房与设备整体情况有全面地了解。服务时应与采购人人员一同进行。</w:t>
      </w:r>
    </w:p>
    <w:p w14:paraId="6894A003">
      <w:pPr>
        <w:numPr>
          <w:ilvl w:val="0"/>
          <w:numId w:val="3"/>
        </w:numPr>
        <w:spacing w:line="360" w:lineRule="auto"/>
        <w:ind w:firstLine="480" w:firstLineChars="200"/>
        <w:rPr>
          <w:rFonts w:hint="eastAsia" w:ascii="仿宋" w:hAnsi="仿宋" w:eastAsia="仿宋" w:cs="仿宋"/>
          <w:sz w:val="24"/>
        </w:rPr>
      </w:pPr>
      <w:r>
        <w:rPr>
          <w:rFonts w:hint="eastAsia" w:ascii="仿宋" w:hAnsi="仿宋" w:eastAsia="仿宋" w:cs="仿宋"/>
          <w:sz w:val="24"/>
        </w:rPr>
        <w:t>每次提供维保服务前应与采购人充分沟通，在获得用户授权许可后，方可进行相应操作，以确保系统的安全运行。</w:t>
      </w:r>
    </w:p>
    <w:p w14:paraId="28CB78B2">
      <w:pPr>
        <w:numPr>
          <w:ilvl w:val="0"/>
          <w:numId w:val="3"/>
        </w:numPr>
        <w:spacing w:line="360" w:lineRule="auto"/>
        <w:ind w:firstLine="480" w:firstLineChars="200"/>
        <w:rPr>
          <w:rFonts w:hint="eastAsia" w:ascii="仿宋" w:hAnsi="仿宋" w:eastAsia="仿宋" w:cs="仿宋"/>
          <w:sz w:val="24"/>
        </w:rPr>
      </w:pPr>
      <w:r>
        <w:rPr>
          <w:rFonts w:hint="eastAsia" w:ascii="仿宋" w:hAnsi="仿宋" w:eastAsia="仿宋" w:cs="仿宋"/>
          <w:sz w:val="24"/>
        </w:rPr>
        <w:t>服务过程中不能对采购人应用系统的正常运行产生影响，包括系统性能明显下降、网络拥塞、服务中断等，同时做好备份和应急措施。</w:t>
      </w:r>
    </w:p>
    <w:p w14:paraId="20E203D5">
      <w:pPr>
        <w:numPr>
          <w:ilvl w:val="0"/>
          <w:numId w:val="3"/>
        </w:numPr>
        <w:spacing w:line="360" w:lineRule="auto"/>
        <w:ind w:firstLine="480" w:firstLineChars="200"/>
        <w:rPr>
          <w:rFonts w:hint="eastAsia" w:ascii="仿宋" w:hAnsi="仿宋" w:eastAsia="仿宋" w:cs="仿宋"/>
          <w:sz w:val="24"/>
        </w:rPr>
      </w:pPr>
      <w:r>
        <w:rPr>
          <w:rFonts w:hint="eastAsia" w:ascii="仿宋" w:hAnsi="仿宋" w:eastAsia="仿宋" w:cs="仿宋"/>
          <w:sz w:val="24"/>
        </w:rPr>
        <w:t>成交人在本次项目服务过程中产生的所有过程文档、原始数据、正式报告等必须进行电子和纸质双重归档，并及时递交给采购人。</w:t>
      </w:r>
    </w:p>
    <w:p w14:paraId="19B9BA94">
      <w:pPr>
        <w:numPr>
          <w:ilvl w:val="0"/>
          <w:numId w:val="3"/>
        </w:numPr>
        <w:spacing w:line="360" w:lineRule="auto"/>
        <w:ind w:firstLine="480" w:firstLineChars="200"/>
        <w:rPr>
          <w:rFonts w:hint="eastAsia" w:ascii="仿宋" w:hAnsi="仿宋" w:eastAsia="仿宋" w:cs="仿宋"/>
          <w:sz w:val="24"/>
        </w:rPr>
      </w:pPr>
      <w:r>
        <w:rPr>
          <w:rFonts w:hint="eastAsia" w:ascii="仿宋" w:hAnsi="仿宋" w:eastAsia="仿宋" w:cs="仿宋"/>
          <w:sz w:val="24"/>
        </w:rPr>
        <w:t>成交人应对采购人突发的机房故障，提供7*24小时响应，在服务期内，发生或可能发生机房故障时，委派专业技术人员提供快速响应并开展现场服务，协助进行故障处理。事件处理结束后，出具《故障处理总结报告》。成交人应具有处理相关应急事件的经验及能力，具有协调相关部门的能力。</w:t>
      </w:r>
    </w:p>
    <w:p w14:paraId="05377C16">
      <w:pPr>
        <w:numPr>
          <w:ilvl w:val="0"/>
          <w:numId w:val="3"/>
        </w:numPr>
        <w:spacing w:line="360" w:lineRule="auto"/>
        <w:ind w:firstLine="480" w:firstLineChars="200"/>
        <w:rPr>
          <w:rFonts w:hint="eastAsia" w:ascii="仿宋" w:hAnsi="仿宋" w:eastAsia="仿宋" w:cs="仿宋"/>
          <w:sz w:val="24"/>
        </w:rPr>
      </w:pPr>
      <w:r>
        <w:rPr>
          <w:rFonts w:hint="eastAsia" w:ascii="仿宋" w:hAnsi="仿宋" w:eastAsia="仿宋" w:cs="仿宋"/>
          <w:sz w:val="24"/>
        </w:rPr>
        <w:t>▲应急响应服务时间要求：</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4947"/>
        <w:gridCol w:w="1172"/>
        <w:gridCol w:w="1028"/>
        <w:gridCol w:w="1278"/>
      </w:tblGrid>
      <w:tr w14:paraId="3EA6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91" w:type="dxa"/>
            <w:vAlign w:val="center"/>
          </w:tcPr>
          <w:p w14:paraId="3CA013EF">
            <w:pPr>
              <w:wordWrap w:val="0"/>
              <w:topLinePunct/>
              <w:spacing w:line="360" w:lineRule="auto"/>
              <w:jc w:val="center"/>
              <w:rPr>
                <w:rFonts w:hint="eastAsia" w:ascii="仿宋" w:hAnsi="仿宋" w:eastAsia="仿宋" w:cs="仿宋"/>
                <w:sz w:val="24"/>
              </w:rPr>
            </w:pPr>
            <w:r>
              <w:rPr>
                <w:rFonts w:hint="eastAsia" w:ascii="仿宋" w:hAnsi="仿宋" w:eastAsia="仿宋" w:cs="仿宋"/>
                <w:sz w:val="24"/>
              </w:rPr>
              <w:t>级别</w:t>
            </w:r>
          </w:p>
        </w:tc>
        <w:tc>
          <w:tcPr>
            <w:tcW w:w="4540" w:type="dxa"/>
            <w:vAlign w:val="center"/>
          </w:tcPr>
          <w:p w14:paraId="64299DA6">
            <w:pPr>
              <w:wordWrap w:val="0"/>
              <w:topLinePunct/>
              <w:spacing w:line="360" w:lineRule="auto"/>
              <w:jc w:val="center"/>
              <w:rPr>
                <w:rFonts w:hint="eastAsia" w:ascii="仿宋" w:hAnsi="仿宋" w:eastAsia="仿宋" w:cs="仿宋"/>
                <w:sz w:val="24"/>
              </w:rPr>
            </w:pPr>
            <w:r>
              <w:rPr>
                <w:rFonts w:hint="eastAsia" w:ascii="仿宋" w:hAnsi="仿宋" w:eastAsia="仿宋" w:cs="仿宋"/>
                <w:sz w:val="24"/>
              </w:rPr>
              <w:t>事件定义</w:t>
            </w:r>
          </w:p>
        </w:tc>
        <w:tc>
          <w:tcPr>
            <w:tcW w:w="1075" w:type="dxa"/>
            <w:vAlign w:val="center"/>
          </w:tcPr>
          <w:p w14:paraId="2B91E3BD">
            <w:pPr>
              <w:wordWrap w:val="0"/>
              <w:topLinePunct/>
              <w:spacing w:line="360" w:lineRule="auto"/>
              <w:jc w:val="center"/>
              <w:rPr>
                <w:rFonts w:hint="eastAsia" w:ascii="仿宋" w:hAnsi="仿宋" w:eastAsia="仿宋" w:cs="仿宋"/>
                <w:sz w:val="24"/>
              </w:rPr>
            </w:pPr>
            <w:r>
              <w:rPr>
                <w:rFonts w:hint="eastAsia" w:ascii="仿宋" w:hAnsi="仿宋" w:eastAsia="仿宋" w:cs="仿宋"/>
                <w:sz w:val="24"/>
              </w:rPr>
              <w:t>电话响应时限</w:t>
            </w:r>
          </w:p>
        </w:tc>
        <w:tc>
          <w:tcPr>
            <w:tcW w:w="943" w:type="dxa"/>
            <w:vAlign w:val="center"/>
          </w:tcPr>
          <w:p w14:paraId="16DA9BDC">
            <w:pPr>
              <w:wordWrap w:val="0"/>
              <w:topLinePunct/>
              <w:spacing w:line="360" w:lineRule="auto"/>
              <w:jc w:val="center"/>
              <w:rPr>
                <w:rFonts w:hint="eastAsia" w:ascii="仿宋" w:hAnsi="仿宋" w:eastAsia="仿宋" w:cs="仿宋"/>
                <w:sz w:val="24"/>
              </w:rPr>
            </w:pPr>
            <w:r>
              <w:rPr>
                <w:rFonts w:hint="eastAsia" w:ascii="仿宋" w:hAnsi="仿宋" w:eastAsia="仿宋" w:cs="仿宋"/>
                <w:sz w:val="24"/>
              </w:rPr>
              <w:t>现场响应时限</w:t>
            </w:r>
          </w:p>
        </w:tc>
        <w:tc>
          <w:tcPr>
            <w:tcW w:w="1173" w:type="dxa"/>
            <w:vAlign w:val="center"/>
          </w:tcPr>
          <w:p w14:paraId="5B9A045D">
            <w:pPr>
              <w:wordWrap w:val="0"/>
              <w:topLinePunct/>
              <w:spacing w:line="360" w:lineRule="auto"/>
              <w:jc w:val="center"/>
              <w:rPr>
                <w:rFonts w:hint="eastAsia" w:ascii="仿宋" w:hAnsi="仿宋" w:eastAsia="仿宋" w:cs="仿宋"/>
                <w:sz w:val="24"/>
              </w:rPr>
            </w:pPr>
            <w:r>
              <w:rPr>
                <w:rFonts w:hint="eastAsia" w:ascii="仿宋" w:hAnsi="仿宋" w:eastAsia="仿宋" w:cs="仿宋"/>
                <w:sz w:val="24"/>
              </w:rPr>
              <w:t>专家响应时限</w:t>
            </w:r>
          </w:p>
        </w:tc>
      </w:tr>
      <w:tr w14:paraId="69FC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91" w:type="dxa"/>
            <w:vAlign w:val="center"/>
          </w:tcPr>
          <w:p w14:paraId="0A46786C">
            <w:pPr>
              <w:wordWrap w:val="0"/>
              <w:topLinePunct/>
              <w:spacing w:line="360" w:lineRule="auto"/>
              <w:jc w:val="center"/>
              <w:rPr>
                <w:rFonts w:hint="eastAsia" w:ascii="仿宋" w:hAnsi="仿宋" w:eastAsia="仿宋" w:cs="仿宋"/>
                <w:sz w:val="24"/>
              </w:rPr>
            </w:pPr>
            <w:r>
              <w:rPr>
                <w:rFonts w:hint="eastAsia" w:ascii="仿宋" w:hAnsi="仿宋" w:eastAsia="仿宋" w:cs="仿宋"/>
                <w:sz w:val="24"/>
              </w:rPr>
              <w:t>紧急</w:t>
            </w:r>
          </w:p>
        </w:tc>
        <w:tc>
          <w:tcPr>
            <w:tcW w:w="4540" w:type="dxa"/>
            <w:vAlign w:val="center"/>
          </w:tcPr>
          <w:p w14:paraId="4C867A8F">
            <w:pPr>
              <w:wordWrap w:val="0"/>
              <w:topLinePunct/>
              <w:spacing w:line="360" w:lineRule="auto"/>
              <w:rPr>
                <w:rFonts w:hint="eastAsia" w:ascii="仿宋" w:hAnsi="仿宋" w:eastAsia="仿宋" w:cs="仿宋"/>
                <w:sz w:val="24"/>
              </w:rPr>
            </w:pPr>
            <w:r>
              <w:rPr>
                <w:rFonts w:hint="eastAsia" w:ascii="仿宋" w:hAnsi="仿宋" w:eastAsia="仿宋" w:cs="仿宋"/>
                <w:sz w:val="24"/>
              </w:rPr>
              <w:t>交换机、服务器、存储、网关等设备硬件故障，虚拟化系统、线路、电力等发生故障等影响到机房业务系统运行的紧急事件。</w:t>
            </w:r>
          </w:p>
        </w:tc>
        <w:tc>
          <w:tcPr>
            <w:tcW w:w="1075" w:type="dxa"/>
            <w:vAlign w:val="center"/>
          </w:tcPr>
          <w:p w14:paraId="5E18AA0C">
            <w:pPr>
              <w:wordWrap w:val="0"/>
              <w:topLinePunct/>
              <w:spacing w:line="360" w:lineRule="auto"/>
              <w:rPr>
                <w:rFonts w:hint="eastAsia" w:ascii="仿宋" w:hAnsi="仿宋" w:eastAsia="仿宋" w:cs="仿宋"/>
                <w:sz w:val="24"/>
              </w:rPr>
            </w:pPr>
            <w:r>
              <w:rPr>
                <w:rFonts w:hint="eastAsia" w:ascii="仿宋" w:hAnsi="仿宋" w:eastAsia="仿宋" w:cs="仿宋"/>
                <w:sz w:val="24"/>
              </w:rPr>
              <w:t>15分钟</w:t>
            </w:r>
          </w:p>
        </w:tc>
        <w:tc>
          <w:tcPr>
            <w:tcW w:w="943" w:type="dxa"/>
            <w:vAlign w:val="center"/>
          </w:tcPr>
          <w:p w14:paraId="73406FFD">
            <w:pPr>
              <w:wordWrap w:val="0"/>
              <w:topLinePunct/>
              <w:spacing w:line="360" w:lineRule="auto"/>
              <w:rPr>
                <w:rFonts w:hint="eastAsia" w:ascii="仿宋" w:hAnsi="仿宋" w:eastAsia="仿宋" w:cs="仿宋"/>
                <w:sz w:val="24"/>
              </w:rPr>
            </w:pPr>
            <w:r>
              <w:rPr>
                <w:rFonts w:hint="eastAsia" w:ascii="仿宋" w:hAnsi="仿宋" w:eastAsia="仿宋" w:cs="仿宋"/>
                <w:sz w:val="24"/>
              </w:rPr>
              <w:t>2小时</w:t>
            </w:r>
          </w:p>
        </w:tc>
        <w:tc>
          <w:tcPr>
            <w:tcW w:w="1173" w:type="dxa"/>
            <w:vAlign w:val="center"/>
          </w:tcPr>
          <w:p w14:paraId="0A1530C1">
            <w:pPr>
              <w:wordWrap w:val="0"/>
              <w:topLinePunct/>
              <w:spacing w:line="360" w:lineRule="auto"/>
              <w:rPr>
                <w:rFonts w:hint="eastAsia" w:ascii="仿宋" w:hAnsi="仿宋" w:eastAsia="仿宋" w:cs="仿宋"/>
                <w:sz w:val="24"/>
              </w:rPr>
            </w:pPr>
            <w:r>
              <w:rPr>
                <w:rFonts w:hint="eastAsia" w:ascii="仿宋" w:hAnsi="仿宋" w:eastAsia="仿宋" w:cs="仿宋"/>
                <w:sz w:val="24"/>
              </w:rPr>
              <w:t>0.5小时</w:t>
            </w:r>
          </w:p>
        </w:tc>
      </w:tr>
      <w:tr w14:paraId="0419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91" w:type="dxa"/>
            <w:vAlign w:val="center"/>
          </w:tcPr>
          <w:p w14:paraId="04E6716E">
            <w:pPr>
              <w:wordWrap w:val="0"/>
              <w:topLinePunct/>
              <w:spacing w:line="360" w:lineRule="auto"/>
              <w:jc w:val="center"/>
              <w:rPr>
                <w:rFonts w:hint="eastAsia" w:ascii="仿宋" w:hAnsi="仿宋" w:eastAsia="仿宋" w:cs="仿宋"/>
                <w:sz w:val="24"/>
              </w:rPr>
            </w:pPr>
            <w:r>
              <w:rPr>
                <w:rFonts w:hint="eastAsia" w:ascii="仿宋" w:hAnsi="仿宋" w:eastAsia="仿宋" w:cs="仿宋"/>
                <w:sz w:val="24"/>
              </w:rPr>
              <w:t>严重</w:t>
            </w:r>
          </w:p>
        </w:tc>
        <w:tc>
          <w:tcPr>
            <w:tcW w:w="4540" w:type="dxa"/>
            <w:vAlign w:val="center"/>
          </w:tcPr>
          <w:p w14:paraId="179A377F">
            <w:pPr>
              <w:wordWrap w:val="0"/>
              <w:topLinePunct/>
              <w:spacing w:line="360" w:lineRule="auto"/>
              <w:rPr>
                <w:rFonts w:hint="eastAsia" w:ascii="仿宋" w:hAnsi="仿宋" w:eastAsia="仿宋" w:cs="仿宋"/>
                <w:sz w:val="24"/>
              </w:rPr>
            </w:pPr>
            <w:r>
              <w:rPr>
                <w:rFonts w:hint="eastAsia" w:ascii="仿宋" w:hAnsi="仿宋" w:eastAsia="仿宋" w:cs="仿宋"/>
                <w:sz w:val="24"/>
              </w:rPr>
              <w:t>交换机、服务器、存储、网关等设备硬件故障，虚拟化系统、线路发生故障，并导致业务系统运行部分中断的严重事件。</w:t>
            </w:r>
          </w:p>
        </w:tc>
        <w:tc>
          <w:tcPr>
            <w:tcW w:w="1075" w:type="dxa"/>
            <w:vAlign w:val="center"/>
          </w:tcPr>
          <w:p w14:paraId="124FAEE6">
            <w:pPr>
              <w:wordWrap w:val="0"/>
              <w:topLinePunct/>
              <w:spacing w:line="360" w:lineRule="auto"/>
              <w:rPr>
                <w:rFonts w:hint="eastAsia" w:ascii="仿宋" w:hAnsi="仿宋" w:eastAsia="仿宋" w:cs="仿宋"/>
                <w:sz w:val="24"/>
              </w:rPr>
            </w:pPr>
            <w:r>
              <w:rPr>
                <w:rFonts w:hint="eastAsia" w:ascii="仿宋" w:hAnsi="仿宋" w:eastAsia="仿宋" w:cs="仿宋"/>
                <w:sz w:val="24"/>
              </w:rPr>
              <w:t>15分钟</w:t>
            </w:r>
          </w:p>
        </w:tc>
        <w:tc>
          <w:tcPr>
            <w:tcW w:w="943" w:type="dxa"/>
            <w:vAlign w:val="center"/>
          </w:tcPr>
          <w:p w14:paraId="15F56408">
            <w:pPr>
              <w:wordWrap w:val="0"/>
              <w:topLinePunct/>
              <w:spacing w:line="360" w:lineRule="auto"/>
              <w:rPr>
                <w:rFonts w:hint="eastAsia" w:ascii="仿宋" w:hAnsi="仿宋" w:eastAsia="仿宋" w:cs="仿宋"/>
                <w:sz w:val="24"/>
              </w:rPr>
            </w:pPr>
            <w:r>
              <w:rPr>
                <w:rFonts w:hint="eastAsia" w:ascii="仿宋" w:hAnsi="仿宋" w:eastAsia="仿宋" w:cs="仿宋"/>
                <w:sz w:val="24"/>
              </w:rPr>
              <w:t>2小时</w:t>
            </w:r>
          </w:p>
        </w:tc>
        <w:tc>
          <w:tcPr>
            <w:tcW w:w="1173" w:type="dxa"/>
            <w:vAlign w:val="center"/>
          </w:tcPr>
          <w:p w14:paraId="020B3C69">
            <w:pPr>
              <w:wordWrap w:val="0"/>
              <w:topLinePunct/>
              <w:spacing w:line="360" w:lineRule="auto"/>
              <w:rPr>
                <w:rFonts w:hint="eastAsia" w:ascii="仿宋" w:hAnsi="仿宋" w:eastAsia="仿宋" w:cs="仿宋"/>
                <w:sz w:val="24"/>
              </w:rPr>
            </w:pPr>
            <w:r>
              <w:rPr>
                <w:rFonts w:hint="eastAsia" w:ascii="仿宋" w:hAnsi="仿宋" w:eastAsia="仿宋" w:cs="仿宋"/>
                <w:sz w:val="24"/>
              </w:rPr>
              <w:t>0.5小时</w:t>
            </w:r>
          </w:p>
        </w:tc>
      </w:tr>
      <w:tr w14:paraId="6A58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791" w:type="dxa"/>
            <w:vAlign w:val="center"/>
          </w:tcPr>
          <w:p w14:paraId="554AE8DE">
            <w:pPr>
              <w:wordWrap w:val="0"/>
              <w:topLinePunct/>
              <w:spacing w:line="360" w:lineRule="auto"/>
              <w:jc w:val="center"/>
              <w:rPr>
                <w:rFonts w:hint="eastAsia" w:ascii="仿宋" w:hAnsi="仿宋" w:eastAsia="仿宋" w:cs="仿宋"/>
                <w:sz w:val="24"/>
              </w:rPr>
            </w:pPr>
            <w:r>
              <w:rPr>
                <w:rFonts w:hint="eastAsia" w:ascii="仿宋" w:hAnsi="仿宋" w:eastAsia="仿宋" w:cs="仿宋"/>
                <w:sz w:val="24"/>
              </w:rPr>
              <w:t>一般</w:t>
            </w:r>
          </w:p>
        </w:tc>
        <w:tc>
          <w:tcPr>
            <w:tcW w:w="4540" w:type="dxa"/>
            <w:vAlign w:val="center"/>
          </w:tcPr>
          <w:p w14:paraId="35D47BFC">
            <w:pPr>
              <w:keepLines/>
              <w:wordWrap w:val="0"/>
              <w:topLinePunct/>
              <w:spacing w:line="360" w:lineRule="auto"/>
              <w:rPr>
                <w:rFonts w:hint="eastAsia" w:ascii="仿宋" w:hAnsi="仿宋" w:eastAsia="仿宋" w:cs="仿宋"/>
                <w:sz w:val="24"/>
              </w:rPr>
            </w:pPr>
            <w:r>
              <w:rPr>
                <w:rFonts w:hint="eastAsia" w:ascii="仿宋" w:hAnsi="仿宋" w:eastAsia="仿宋" w:cs="仿宋"/>
                <w:sz w:val="24"/>
              </w:rPr>
              <w:t>交换机、服务器、存储、网关等设备硬件故障，虚拟化系统、线路发生故障，导致系统报警但并未影响业务系统的一般事件。</w:t>
            </w:r>
          </w:p>
        </w:tc>
        <w:tc>
          <w:tcPr>
            <w:tcW w:w="1075" w:type="dxa"/>
            <w:vAlign w:val="center"/>
          </w:tcPr>
          <w:p w14:paraId="33A539F4">
            <w:pPr>
              <w:wordWrap w:val="0"/>
              <w:topLinePunct/>
              <w:spacing w:line="360" w:lineRule="auto"/>
              <w:rPr>
                <w:rFonts w:hint="eastAsia" w:ascii="仿宋" w:hAnsi="仿宋" w:eastAsia="仿宋" w:cs="仿宋"/>
                <w:sz w:val="24"/>
              </w:rPr>
            </w:pPr>
            <w:r>
              <w:rPr>
                <w:rFonts w:hint="eastAsia" w:ascii="仿宋" w:hAnsi="仿宋" w:eastAsia="仿宋" w:cs="仿宋"/>
                <w:sz w:val="24"/>
              </w:rPr>
              <w:t>30分钟</w:t>
            </w:r>
          </w:p>
        </w:tc>
        <w:tc>
          <w:tcPr>
            <w:tcW w:w="943" w:type="dxa"/>
            <w:vAlign w:val="center"/>
          </w:tcPr>
          <w:p w14:paraId="64AD2373">
            <w:pPr>
              <w:wordWrap w:val="0"/>
              <w:topLinePunct/>
              <w:spacing w:line="360" w:lineRule="auto"/>
              <w:rPr>
                <w:rFonts w:hint="eastAsia" w:ascii="仿宋" w:hAnsi="仿宋" w:eastAsia="仿宋" w:cs="仿宋"/>
                <w:sz w:val="24"/>
              </w:rPr>
            </w:pPr>
            <w:r>
              <w:rPr>
                <w:rFonts w:hint="eastAsia" w:ascii="仿宋" w:hAnsi="仿宋" w:eastAsia="仿宋" w:cs="仿宋"/>
                <w:sz w:val="24"/>
              </w:rPr>
              <w:t>4小时</w:t>
            </w:r>
          </w:p>
        </w:tc>
        <w:tc>
          <w:tcPr>
            <w:tcW w:w="1173" w:type="dxa"/>
            <w:vAlign w:val="center"/>
          </w:tcPr>
          <w:p w14:paraId="6135DC80">
            <w:pPr>
              <w:wordWrap w:val="0"/>
              <w:topLinePunct/>
              <w:spacing w:line="360" w:lineRule="auto"/>
              <w:rPr>
                <w:rFonts w:hint="eastAsia" w:ascii="仿宋" w:hAnsi="仿宋" w:eastAsia="仿宋" w:cs="仿宋"/>
                <w:sz w:val="24"/>
              </w:rPr>
            </w:pPr>
            <w:r>
              <w:rPr>
                <w:rFonts w:hint="eastAsia" w:ascii="仿宋" w:hAnsi="仿宋" w:eastAsia="仿宋" w:cs="仿宋"/>
                <w:sz w:val="24"/>
              </w:rPr>
              <w:t>2小时</w:t>
            </w:r>
          </w:p>
        </w:tc>
      </w:tr>
    </w:tbl>
    <w:p w14:paraId="73548BBF">
      <w:pPr>
        <w:numPr>
          <w:ilvl w:val="0"/>
          <w:numId w:val="3"/>
        </w:numPr>
        <w:spacing w:line="360" w:lineRule="auto"/>
        <w:ind w:firstLine="480" w:firstLineChars="200"/>
        <w:rPr>
          <w:rFonts w:hint="eastAsia" w:ascii="仿宋" w:hAnsi="仿宋" w:eastAsia="仿宋" w:cs="仿宋"/>
          <w:sz w:val="24"/>
        </w:rPr>
      </w:pPr>
      <w:r>
        <w:rPr>
          <w:rFonts w:hint="eastAsia" w:ascii="仿宋" w:hAnsi="仿宋" w:eastAsia="仿宋" w:cs="仿宋"/>
          <w:sz w:val="24"/>
        </w:rPr>
        <w:t>成交人需详细确认和理解采购人各类关键系统和相关软硬件现状、配置情况以及本次项目的需求与目标，如有任何偏差均由成交人负责。</w:t>
      </w:r>
    </w:p>
    <w:p w14:paraId="0D8215AD">
      <w:pPr>
        <w:numPr>
          <w:ilvl w:val="0"/>
          <w:numId w:val="3"/>
        </w:numPr>
        <w:spacing w:line="360" w:lineRule="auto"/>
        <w:ind w:firstLine="480" w:firstLineChars="200"/>
        <w:rPr>
          <w:rFonts w:hint="eastAsia" w:ascii="仿宋" w:hAnsi="仿宋" w:eastAsia="仿宋" w:cs="仿宋"/>
          <w:sz w:val="24"/>
        </w:rPr>
      </w:pPr>
      <w:r>
        <w:rPr>
          <w:rFonts w:hint="eastAsia" w:ascii="仿宋" w:hAnsi="仿宋" w:eastAsia="仿宋" w:cs="仿宋"/>
          <w:sz w:val="24"/>
        </w:rPr>
        <w:t>对成交人的维护机构要求：具有较强的本地化服务能力，在本地拥有常驻服务和技术支持机构，并配有较强的专业技术队伍，能提供快速的售后服务响应。</w:t>
      </w:r>
    </w:p>
    <w:p w14:paraId="528647EB">
      <w:pPr>
        <w:numPr>
          <w:ilvl w:val="0"/>
          <w:numId w:val="3"/>
        </w:numPr>
        <w:spacing w:line="360" w:lineRule="auto"/>
        <w:ind w:firstLine="480" w:firstLineChars="200"/>
        <w:rPr>
          <w:rFonts w:hint="eastAsia" w:ascii="仿宋" w:hAnsi="仿宋" w:eastAsia="仿宋" w:cs="仿宋"/>
          <w:sz w:val="24"/>
        </w:rPr>
      </w:pPr>
      <w:r>
        <w:rPr>
          <w:rFonts w:hint="eastAsia" w:ascii="仿宋" w:hAnsi="仿宋" w:eastAsia="仿宋" w:cs="仿宋"/>
          <w:sz w:val="24"/>
        </w:rPr>
        <w:t>如技术要求中未特别注明需执行的国家相关标准、行业标准、地方标准或者其他标准、规范，则统一执行最新标准、规范。</w:t>
      </w:r>
    </w:p>
    <w:p w14:paraId="0E2ADC7D">
      <w:pPr>
        <w:spacing w:line="360" w:lineRule="auto"/>
        <w:ind w:firstLine="0" w:firstLineChars="0"/>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四、质量要求</w:t>
      </w:r>
    </w:p>
    <w:p w14:paraId="0399846D">
      <w:pPr>
        <w:numPr>
          <w:ilvl w:val="0"/>
          <w:numId w:val="4"/>
        </w:numPr>
        <w:spacing w:line="360" w:lineRule="auto"/>
        <w:ind w:firstLine="480" w:firstLineChars="200"/>
        <w:rPr>
          <w:rFonts w:hint="eastAsia" w:ascii="仿宋" w:hAnsi="仿宋" w:eastAsia="仿宋" w:cs="仿宋"/>
          <w:sz w:val="24"/>
        </w:rPr>
      </w:pPr>
      <w:r>
        <w:rPr>
          <w:rFonts w:hint="eastAsia" w:ascii="仿宋" w:hAnsi="仿宋" w:eastAsia="仿宋" w:cs="仿宋"/>
          <w:sz w:val="24"/>
        </w:rPr>
        <w:t>成交人应严格按照标书和国家法律法规及有关行业标准提供服务，确保服务质量。</w:t>
      </w:r>
    </w:p>
    <w:p w14:paraId="3379EC11">
      <w:pPr>
        <w:numPr>
          <w:ilvl w:val="0"/>
          <w:numId w:val="4"/>
        </w:numPr>
        <w:spacing w:line="360" w:lineRule="auto"/>
        <w:ind w:firstLine="480" w:firstLineChars="200"/>
        <w:rPr>
          <w:rFonts w:hint="eastAsia" w:ascii="仿宋" w:hAnsi="仿宋" w:eastAsia="仿宋" w:cs="仿宋"/>
          <w:sz w:val="24"/>
        </w:rPr>
      </w:pPr>
      <w:r>
        <w:rPr>
          <w:rFonts w:hint="eastAsia" w:ascii="仿宋" w:hAnsi="仿宋" w:eastAsia="仿宋" w:cs="仿宋"/>
          <w:sz w:val="24"/>
        </w:rPr>
        <w:t>采购人按常规检查与年终考核相结合，对服务质量进行检查和考核。检查：成交人按照采购文件中服务要求及时向采购人提交各阶段交付成果，采购人根据成交人提交的交付成果进行常规检查，传达意见和建议，促进此项工作良性地持续发展。合同期内，成交人若达不到合格服务标准，采购人对成交人提出限期整改，并有权要求承担相应违约金。</w:t>
      </w:r>
    </w:p>
    <w:p w14:paraId="676210EE">
      <w:pPr>
        <w:numPr>
          <w:ilvl w:val="0"/>
          <w:numId w:val="4"/>
        </w:numPr>
        <w:spacing w:line="360" w:lineRule="auto"/>
        <w:ind w:firstLine="480" w:firstLineChars="200"/>
        <w:rPr>
          <w:rFonts w:hint="eastAsia" w:ascii="仿宋" w:hAnsi="仿宋" w:eastAsia="仿宋" w:cs="仿宋"/>
          <w:sz w:val="24"/>
        </w:rPr>
      </w:pPr>
      <w:r>
        <w:rPr>
          <w:rFonts w:hint="eastAsia" w:ascii="仿宋" w:hAnsi="仿宋" w:eastAsia="仿宋" w:cs="仿宋"/>
          <w:sz w:val="24"/>
        </w:rPr>
        <w:t>成交人应指定专门的联络人，负责本项目的技术咨询、软硬件维护等的接洽工作，为保证服务质量，成交人不得单方面变更项目联络人，因人员离职等原因确需变更项目联络人的，应提前做好工作交接，避免出现空档期。</w:t>
      </w:r>
    </w:p>
    <w:p w14:paraId="3830629D">
      <w:pPr>
        <w:numPr>
          <w:ilvl w:val="0"/>
          <w:numId w:val="4"/>
        </w:numPr>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服务过程中可能涉及的所有财务成本已经包含投标总报价之中，成交人不得以其他理由增加费用。成交人应充分考虑本项目实际实施中可能存在服务清单之外但为保证需求实现必须增配的货物或服务支出风险，成交人应在投标时将相关成本列入投标报价之中。</w:t>
      </w:r>
    </w:p>
    <w:p w14:paraId="3343E6F2">
      <w:pPr>
        <w:numPr>
          <w:ilvl w:val="0"/>
          <w:numId w:val="4"/>
        </w:numPr>
        <w:spacing w:line="360" w:lineRule="auto"/>
        <w:ind w:firstLine="480" w:firstLineChars="200"/>
        <w:rPr>
          <w:rFonts w:hint="eastAsia" w:ascii="仿宋" w:hAnsi="仿宋" w:eastAsia="仿宋" w:cs="仿宋"/>
          <w:sz w:val="24"/>
        </w:rPr>
      </w:pPr>
      <w:r>
        <w:rPr>
          <w:rFonts w:hint="eastAsia" w:ascii="仿宋" w:hAnsi="仿宋" w:eastAsia="仿宋" w:cs="仿宋"/>
          <w:sz w:val="24"/>
        </w:rPr>
        <w:t>签订合同前，采购人要求成交人提供产品与公开竞争文件进行相关参数及功能逐一验证，如存在不符，将视为虚假应标行为，废除中标资格，并依法追究相关法律责任。</w:t>
      </w:r>
    </w:p>
    <w:p w14:paraId="7CE1AEFE">
      <w:pPr>
        <w:spacing w:line="360" w:lineRule="auto"/>
        <w:ind w:firstLine="0" w:firstLineChars="0"/>
        <w:rPr>
          <w:rFonts w:hint="eastAsia" w:ascii="仿宋" w:hAnsi="仿宋" w:eastAsia="仿宋" w:cs="仿宋"/>
          <w:b/>
          <w:bCs/>
          <w:sz w:val="28"/>
          <w:szCs w:val="28"/>
          <w:highlight w:val="none"/>
          <w:lang w:val="en-US" w:eastAsia="zh-CN"/>
        </w:rPr>
      </w:pPr>
    </w:p>
    <w:p w14:paraId="7BB3BCF6">
      <w:pPr>
        <w:spacing w:line="360" w:lineRule="auto"/>
        <w:ind w:firstLine="0" w:firstLineChars="0"/>
        <w:rPr>
          <w:rFonts w:ascii="仿宋" w:hAnsi="仿宋" w:eastAsia="仿宋" w:cs="仿宋"/>
          <w:sz w:val="28"/>
          <w:szCs w:val="28"/>
          <w:highlight w:val="none"/>
        </w:rPr>
      </w:pP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商务需求</w:t>
      </w:r>
    </w:p>
    <w:p w14:paraId="6B874D7F">
      <w:pPr>
        <w:autoSpaceDE w:val="0"/>
        <w:autoSpaceDN w:val="0"/>
        <w:adjustRightInd w:val="0"/>
        <w:spacing w:line="360" w:lineRule="auto"/>
        <w:ind w:firstLine="480" w:firstLineChars="200"/>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2.1</w:t>
      </w:r>
      <w:r>
        <w:rPr>
          <w:rFonts w:hint="eastAsia" w:ascii="仿宋" w:hAnsi="仿宋" w:eastAsia="仿宋" w:cs="仿宋"/>
          <w:kern w:val="0"/>
          <w:sz w:val="24"/>
          <w:szCs w:val="24"/>
          <w:highlight w:val="none"/>
        </w:rPr>
        <w:t>▲服务期限：12个月，具体起止时间以合同约定为准。</w:t>
      </w:r>
    </w:p>
    <w:p w14:paraId="483F9488">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lang w:val="en-US" w:eastAsia="zh-CN"/>
        </w:rPr>
        <w:t xml:space="preserve">2.2 </w:t>
      </w:r>
      <w:r>
        <w:rPr>
          <w:rFonts w:hint="eastAsia" w:ascii="仿宋" w:hAnsi="仿宋" w:eastAsia="仿宋" w:cs="仿宋"/>
          <w:b/>
          <w:bCs/>
          <w:sz w:val="24"/>
          <w:highlight w:val="none"/>
        </w:rPr>
        <w:t>项目实施计划</w:t>
      </w:r>
    </w:p>
    <w:p w14:paraId="5FBDA094">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项目实施的组织工作方案：工作时间进度表、工作程序或步骤、管理和协调方法、送货方案等。</w:t>
      </w:r>
    </w:p>
    <w:p w14:paraId="3D4BD73D">
      <w:pPr>
        <w:spacing w:line="360" w:lineRule="auto"/>
        <w:ind w:firstLine="472" w:firstLineChars="196"/>
        <w:rPr>
          <w:rFonts w:ascii="仿宋" w:hAnsi="仿宋" w:eastAsia="仿宋" w:cs="仿宋"/>
          <w:b/>
          <w:bCs/>
          <w:sz w:val="24"/>
          <w:highlight w:val="none"/>
        </w:rPr>
      </w:pPr>
      <w:r>
        <w:rPr>
          <w:rFonts w:hint="eastAsia" w:ascii="仿宋" w:hAnsi="仿宋" w:eastAsia="仿宋" w:cs="仿宋"/>
          <w:b/>
          <w:bCs/>
          <w:sz w:val="24"/>
          <w:highlight w:val="none"/>
          <w:lang w:val="en-US" w:eastAsia="zh-CN"/>
        </w:rPr>
        <w:t xml:space="preserve">2.3 </w:t>
      </w:r>
      <w:r>
        <w:rPr>
          <w:rFonts w:hint="eastAsia" w:ascii="仿宋" w:hAnsi="仿宋" w:eastAsia="仿宋" w:cs="仿宋"/>
          <w:b/>
          <w:bCs/>
          <w:sz w:val="24"/>
          <w:highlight w:val="none"/>
        </w:rPr>
        <w:t>付款方式：</w:t>
      </w:r>
    </w:p>
    <w:p w14:paraId="3B911941">
      <w:pPr>
        <w:autoSpaceDE w:val="0"/>
        <w:autoSpaceDN w:val="0"/>
        <w:adjustRightInd w:val="0"/>
        <w:spacing w:line="360" w:lineRule="auto"/>
        <w:ind w:firstLine="480" w:firstLineChars="200"/>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服务合同签订后，</w:t>
      </w:r>
      <w:r>
        <w:rPr>
          <w:rFonts w:hint="eastAsia" w:ascii="仿宋" w:hAnsi="仿宋" w:eastAsia="仿宋" w:cs="仿宋"/>
          <w:kern w:val="0"/>
          <w:sz w:val="24"/>
          <w:szCs w:val="24"/>
          <w:highlight w:val="none"/>
          <w:lang w:val="en-US" w:eastAsia="zh-CN"/>
        </w:rPr>
        <w:t>30</w:t>
      </w:r>
      <w:r>
        <w:rPr>
          <w:rFonts w:hint="eastAsia" w:ascii="仿宋" w:hAnsi="仿宋" w:eastAsia="仿宋" w:cs="仿宋"/>
          <w:kern w:val="0"/>
          <w:sz w:val="24"/>
          <w:szCs w:val="24"/>
          <w:highlight w:val="none"/>
        </w:rPr>
        <w:t>个工作日内支付合同金额的90%；一年服务期满后</w:t>
      </w:r>
      <w:r>
        <w:rPr>
          <w:rFonts w:hint="eastAsia" w:ascii="仿宋" w:hAnsi="仿宋" w:eastAsia="仿宋" w:cs="仿宋"/>
          <w:kern w:val="0"/>
          <w:sz w:val="24"/>
          <w:szCs w:val="24"/>
          <w:highlight w:val="none"/>
          <w:lang w:val="en-US" w:eastAsia="zh-CN"/>
        </w:rPr>
        <w:t>30</w:t>
      </w:r>
      <w:r>
        <w:rPr>
          <w:rFonts w:hint="eastAsia" w:ascii="仿宋" w:hAnsi="仿宋" w:eastAsia="仿宋" w:cs="仿宋"/>
          <w:kern w:val="0"/>
          <w:sz w:val="24"/>
          <w:szCs w:val="24"/>
          <w:highlight w:val="none"/>
        </w:rPr>
        <w:t>个工作日内支付合同金额的10%。</w:t>
      </w:r>
    </w:p>
    <w:p w14:paraId="3A3E7E80">
      <w:pPr>
        <w:spacing w:line="360" w:lineRule="auto"/>
        <w:ind w:firstLine="480" w:firstLineChars="200"/>
        <w:rPr>
          <w:rFonts w:ascii="仿宋" w:hAnsi="仿宋" w:eastAsia="仿宋" w:cs="仿宋"/>
          <w:sz w:val="24"/>
          <w:highlight w:val="none"/>
        </w:rPr>
      </w:pPr>
    </w:p>
    <w:p w14:paraId="54AD91C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注：</w:t>
      </w:r>
    </w:p>
    <w:p w14:paraId="16CEFF16">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1、如有附图，仅作参考。</w:t>
      </w:r>
    </w:p>
    <w:p w14:paraId="6627BF4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2、打▲内容为实质性要求，不允许有负偏离，否则将以涉及无效</w:t>
      </w:r>
      <w:r>
        <w:rPr>
          <w:rFonts w:hint="eastAsia" w:ascii="仿宋" w:hAnsi="仿宋" w:eastAsia="仿宋" w:cs="仿宋"/>
          <w:sz w:val="24"/>
          <w:highlight w:val="none"/>
          <w:lang w:eastAsia="zh-CN"/>
        </w:rPr>
        <w:t>响应</w:t>
      </w:r>
      <w:r>
        <w:rPr>
          <w:rFonts w:hint="eastAsia" w:ascii="仿宋" w:hAnsi="仿宋" w:eastAsia="仿宋" w:cs="仿宋"/>
          <w:sz w:val="24"/>
          <w:highlight w:val="none"/>
        </w:rPr>
        <w:t>条款作无效</w:t>
      </w:r>
      <w:r>
        <w:rPr>
          <w:rFonts w:hint="eastAsia" w:ascii="仿宋" w:hAnsi="仿宋" w:eastAsia="仿宋" w:cs="仿宋"/>
          <w:sz w:val="24"/>
          <w:highlight w:val="none"/>
          <w:lang w:eastAsia="zh-CN"/>
        </w:rPr>
        <w:t>响应</w:t>
      </w:r>
      <w:r>
        <w:rPr>
          <w:rFonts w:hint="eastAsia" w:ascii="仿宋" w:hAnsi="仿宋" w:eastAsia="仿宋" w:cs="仿宋"/>
          <w:sz w:val="24"/>
          <w:highlight w:val="none"/>
        </w:rPr>
        <w:t>。</w:t>
      </w:r>
    </w:p>
    <w:p w14:paraId="3ACB9B4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eastAsia="zh-CN"/>
        </w:rPr>
        <w:t>成交人</w:t>
      </w:r>
      <w:r>
        <w:rPr>
          <w:rFonts w:hint="eastAsia" w:ascii="仿宋" w:hAnsi="仿宋" w:eastAsia="仿宋" w:cs="仿宋"/>
          <w:sz w:val="24"/>
          <w:highlight w:val="none"/>
        </w:rPr>
        <w:t>所提供的货物、服务须与</w:t>
      </w:r>
      <w:r>
        <w:rPr>
          <w:rFonts w:hint="eastAsia" w:ascii="仿宋" w:hAnsi="仿宋" w:eastAsia="仿宋" w:cs="仿宋"/>
          <w:sz w:val="24"/>
          <w:highlight w:val="none"/>
          <w:lang w:eastAsia="zh-CN"/>
        </w:rPr>
        <w:t>响应</w:t>
      </w:r>
      <w:r>
        <w:rPr>
          <w:rFonts w:hint="eastAsia" w:ascii="仿宋" w:hAnsi="仿宋" w:eastAsia="仿宋" w:cs="仿宋"/>
          <w:sz w:val="24"/>
          <w:highlight w:val="none"/>
        </w:rPr>
        <w:t>承诺一致，不得以次充好、偷工减料，若在项目验收中发现有上述情况，将向有关部门举报，根据相关规定进行处理。</w:t>
      </w:r>
      <w:r>
        <w:rPr>
          <w:rFonts w:hint="eastAsia" w:ascii="仿宋" w:hAnsi="仿宋" w:eastAsia="仿宋" w:cs="仿宋"/>
          <w:color w:val="auto"/>
          <w:sz w:val="24"/>
          <w:highlight w:val="none"/>
        </w:rPr>
        <w:br w:type="page"/>
      </w:r>
    </w:p>
    <w:p w14:paraId="1FA9619E">
      <w:pPr>
        <w:spacing w:line="360" w:lineRule="auto"/>
        <w:ind w:firstLine="2891" w:firstLineChars="800"/>
        <w:jc w:val="left"/>
        <w:outlineLvl w:val="9"/>
        <w:rPr>
          <w:rFonts w:hint="eastAsia" w:ascii="仿宋" w:hAnsi="仿宋" w:eastAsia="仿宋" w:cs="仿宋"/>
          <w:b/>
          <w:color w:val="auto"/>
          <w:sz w:val="36"/>
          <w:szCs w:val="36"/>
          <w:highlight w:val="none"/>
        </w:rPr>
      </w:pPr>
      <w:bookmarkStart w:id="67" w:name="_Toc17175"/>
      <w:bookmarkStart w:id="68" w:name="_Toc4144"/>
      <w:bookmarkStart w:id="69" w:name="_Toc8223"/>
      <w:bookmarkStart w:id="70" w:name="_Toc7735"/>
      <w:r>
        <w:rPr>
          <w:rFonts w:hint="eastAsia" w:ascii="仿宋" w:hAnsi="仿宋" w:eastAsia="仿宋" w:cs="仿宋"/>
          <w:b/>
          <w:color w:val="auto"/>
          <w:sz w:val="36"/>
          <w:szCs w:val="36"/>
          <w:highlight w:val="none"/>
        </w:rPr>
        <w:t xml:space="preserve">第四部分 </w:t>
      </w:r>
      <w:bookmarkStart w:id="71" w:name="_Toc184314476"/>
      <w:bookmarkEnd w:id="71"/>
      <w:bookmarkStart w:id="72" w:name="_Toc184312077"/>
      <w:bookmarkEnd w:id="72"/>
      <w:bookmarkStart w:id="73" w:name="_Toc184314452"/>
      <w:bookmarkEnd w:id="73"/>
      <w:bookmarkStart w:id="74" w:name="_Toc184312139"/>
      <w:bookmarkEnd w:id="74"/>
      <w:bookmarkStart w:id="75" w:name="_Toc184313292"/>
      <w:bookmarkEnd w:id="75"/>
      <w:bookmarkStart w:id="76" w:name="_Toc184313300"/>
      <w:bookmarkEnd w:id="76"/>
      <w:bookmarkStart w:id="77" w:name="_Toc184308057"/>
      <w:bookmarkEnd w:id="77"/>
      <w:bookmarkStart w:id="78" w:name="_Toc184308090"/>
      <w:bookmarkEnd w:id="78"/>
      <w:bookmarkStart w:id="79" w:name="_Toc184313284"/>
      <w:bookmarkEnd w:id="79"/>
      <w:bookmarkStart w:id="80" w:name="_Toc184312074"/>
      <w:bookmarkEnd w:id="80"/>
      <w:bookmarkStart w:id="81" w:name="_Toc184313306"/>
      <w:bookmarkEnd w:id="81"/>
      <w:bookmarkStart w:id="82" w:name="_Toc184313241"/>
      <w:bookmarkEnd w:id="82"/>
      <w:bookmarkStart w:id="83" w:name="_Toc184313240"/>
      <w:bookmarkEnd w:id="83"/>
      <w:bookmarkStart w:id="84" w:name="_Toc184312107"/>
      <w:bookmarkEnd w:id="84"/>
      <w:bookmarkStart w:id="85" w:name="_Toc184308060"/>
      <w:bookmarkEnd w:id="85"/>
      <w:bookmarkStart w:id="86" w:name="_Toc184312118"/>
      <w:bookmarkEnd w:id="86"/>
      <w:bookmarkStart w:id="87" w:name="_Toc184310327"/>
      <w:bookmarkEnd w:id="87"/>
      <w:bookmarkStart w:id="88" w:name="_Toc184308081"/>
      <w:bookmarkEnd w:id="88"/>
      <w:bookmarkStart w:id="89" w:name="_Toc184308048"/>
      <w:bookmarkEnd w:id="89"/>
      <w:bookmarkStart w:id="90" w:name="_Toc184308108"/>
      <w:bookmarkEnd w:id="90"/>
      <w:bookmarkStart w:id="91" w:name="_Toc184308074"/>
      <w:bookmarkEnd w:id="91"/>
      <w:bookmarkStart w:id="92" w:name="_Toc184312097"/>
      <w:bookmarkEnd w:id="92"/>
      <w:bookmarkStart w:id="93" w:name="_Toc184310326"/>
      <w:bookmarkEnd w:id="93"/>
      <w:bookmarkStart w:id="94" w:name="_Toc184308041"/>
      <w:bookmarkEnd w:id="94"/>
      <w:bookmarkStart w:id="95" w:name="_Toc184312096"/>
      <w:bookmarkEnd w:id="95"/>
      <w:bookmarkStart w:id="96" w:name="_Toc184314430"/>
      <w:bookmarkEnd w:id="96"/>
      <w:bookmarkStart w:id="97" w:name="_Toc184310344"/>
      <w:bookmarkEnd w:id="97"/>
      <w:bookmarkStart w:id="98" w:name="_Toc184310288"/>
      <w:bookmarkEnd w:id="98"/>
      <w:bookmarkStart w:id="99" w:name="_Toc184310296"/>
      <w:bookmarkEnd w:id="99"/>
      <w:bookmarkStart w:id="100" w:name="_Toc184313267"/>
      <w:bookmarkEnd w:id="100"/>
      <w:bookmarkStart w:id="101" w:name="_Toc184308047"/>
      <w:bookmarkEnd w:id="101"/>
      <w:bookmarkStart w:id="102" w:name="_Toc184313282"/>
      <w:bookmarkEnd w:id="102"/>
      <w:bookmarkStart w:id="103" w:name="_Toc184314435"/>
      <w:bookmarkEnd w:id="103"/>
      <w:bookmarkStart w:id="104" w:name="_Toc184314425"/>
      <w:bookmarkEnd w:id="104"/>
      <w:bookmarkStart w:id="105" w:name="_Toc184312084"/>
      <w:bookmarkEnd w:id="105"/>
      <w:bookmarkStart w:id="106" w:name="_Toc184310303"/>
      <w:bookmarkEnd w:id="106"/>
      <w:bookmarkStart w:id="107" w:name="_Toc184312092"/>
      <w:bookmarkEnd w:id="107"/>
      <w:bookmarkStart w:id="108" w:name="_Toc184312082"/>
      <w:bookmarkEnd w:id="108"/>
      <w:bookmarkStart w:id="109" w:name="_Toc184314411"/>
      <w:bookmarkEnd w:id="109"/>
      <w:bookmarkStart w:id="110" w:name="_Toc184308084"/>
      <w:bookmarkEnd w:id="110"/>
      <w:bookmarkStart w:id="111" w:name="_Toc184312106"/>
      <w:bookmarkEnd w:id="111"/>
      <w:bookmarkStart w:id="112" w:name="_Toc184314473"/>
      <w:bookmarkEnd w:id="112"/>
      <w:bookmarkStart w:id="113" w:name="_Toc184312079"/>
      <w:bookmarkEnd w:id="113"/>
      <w:bookmarkStart w:id="114" w:name="_Toc184312076"/>
      <w:bookmarkEnd w:id="114"/>
      <w:bookmarkStart w:id="115" w:name="_Toc184312134"/>
      <w:bookmarkEnd w:id="115"/>
      <w:bookmarkStart w:id="116" w:name="_Toc184308078"/>
      <w:bookmarkEnd w:id="116"/>
      <w:bookmarkStart w:id="117" w:name="_Toc184310324"/>
      <w:bookmarkEnd w:id="117"/>
      <w:bookmarkStart w:id="118" w:name="_Toc184312128"/>
      <w:bookmarkEnd w:id="118"/>
      <w:bookmarkStart w:id="119" w:name="_Toc184310302"/>
      <w:bookmarkEnd w:id="119"/>
      <w:bookmarkStart w:id="120" w:name="_Toc184310273"/>
      <w:bookmarkEnd w:id="120"/>
      <w:bookmarkStart w:id="121" w:name="_Toc184312122"/>
      <w:bookmarkEnd w:id="121"/>
      <w:bookmarkStart w:id="122" w:name="_Toc184313246"/>
      <w:bookmarkEnd w:id="122"/>
      <w:bookmarkStart w:id="123" w:name="_Toc184314410"/>
      <w:bookmarkEnd w:id="123"/>
      <w:bookmarkStart w:id="124" w:name="_Toc184313245"/>
      <w:bookmarkEnd w:id="124"/>
      <w:bookmarkStart w:id="125" w:name="_Toc184313253"/>
      <w:bookmarkEnd w:id="125"/>
      <w:bookmarkStart w:id="126" w:name="_Toc184310300"/>
      <w:bookmarkEnd w:id="126"/>
      <w:bookmarkStart w:id="127" w:name="_Toc184313268"/>
      <w:bookmarkEnd w:id="127"/>
      <w:bookmarkStart w:id="128" w:name="_Toc184312071"/>
      <w:bookmarkEnd w:id="128"/>
      <w:bookmarkStart w:id="129" w:name="_Toc184308064"/>
      <w:bookmarkEnd w:id="129"/>
      <w:bookmarkStart w:id="130" w:name="_Toc184312121"/>
      <w:bookmarkEnd w:id="130"/>
      <w:bookmarkStart w:id="131" w:name="_Toc184308044"/>
      <w:bookmarkEnd w:id="131"/>
      <w:bookmarkStart w:id="132" w:name="_Toc184313305"/>
      <w:bookmarkEnd w:id="132"/>
      <w:bookmarkStart w:id="133" w:name="_Toc184310317"/>
      <w:bookmarkEnd w:id="133"/>
      <w:bookmarkStart w:id="134" w:name="_Toc184312081"/>
      <w:bookmarkEnd w:id="134"/>
      <w:bookmarkStart w:id="135" w:name="_Toc184313247"/>
      <w:bookmarkEnd w:id="135"/>
      <w:bookmarkStart w:id="136" w:name="_Toc184313256"/>
      <w:bookmarkEnd w:id="136"/>
      <w:bookmarkStart w:id="137" w:name="_Toc184312091"/>
      <w:bookmarkEnd w:id="137"/>
      <w:bookmarkStart w:id="138" w:name="_Toc184312132"/>
      <w:bookmarkEnd w:id="138"/>
      <w:bookmarkStart w:id="139" w:name="_Toc184308065"/>
      <w:bookmarkEnd w:id="139"/>
      <w:bookmarkStart w:id="140" w:name="_Toc184308096"/>
      <w:bookmarkEnd w:id="140"/>
      <w:bookmarkStart w:id="141" w:name="_Toc184313270"/>
      <w:bookmarkEnd w:id="141"/>
      <w:bookmarkStart w:id="142" w:name="_Toc184308056"/>
      <w:bookmarkEnd w:id="142"/>
      <w:bookmarkStart w:id="143" w:name="_Toc184308106"/>
      <w:bookmarkEnd w:id="143"/>
      <w:bookmarkStart w:id="144" w:name="_Toc184308072"/>
      <w:bookmarkEnd w:id="144"/>
      <w:bookmarkStart w:id="145" w:name="_Toc184313248"/>
      <w:bookmarkEnd w:id="145"/>
      <w:bookmarkStart w:id="146" w:name="_Toc184312070"/>
      <w:bookmarkEnd w:id="146"/>
      <w:bookmarkStart w:id="147" w:name="_Toc184310289"/>
      <w:bookmarkEnd w:id="147"/>
      <w:bookmarkStart w:id="148" w:name="_Toc184313308"/>
      <w:bookmarkEnd w:id="148"/>
      <w:bookmarkStart w:id="149" w:name="_Toc184313303"/>
      <w:bookmarkEnd w:id="149"/>
      <w:bookmarkStart w:id="150" w:name="_Toc184314481"/>
      <w:bookmarkEnd w:id="150"/>
      <w:bookmarkStart w:id="151" w:name="_Toc184312098"/>
      <w:bookmarkEnd w:id="151"/>
      <w:bookmarkStart w:id="152" w:name="_Toc184310283"/>
      <w:bookmarkEnd w:id="152"/>
      <w:bookmarkStart w:id="153" w:name="_Toc184314472"/>
      <w:bookmarkEnd w:id="153"/>
      <w:bookmarkStart w:id="154" w:name="_Toc184312123"/>
      <w:bookmarkEnd w:id="154"/>
      <w:bookmarkStart w:id="155" w:name="_Toc184312115"/>
      <w:bookmarkEnd w:id="155"/>
      <w:bookmarkStart w:id="156" w:name="_Toc184313273"/>
      <w:bookmarkEnd w:id="156"/>
      <w:bookmarkStart w:id="157" w:name="_Toc184310278"/>
      <w:bookmarkEnd w:id="157"/>
      <w:bookmarkStart w:id="158" w:name="_Toc184314428"/>
      <w:bookmarkEnd w:id="158"/>
      <w:bookmarkStart w:id="159" w:name="_Toc184314459"/>
      <w:bookmarkEnd w:id="159"/>
      <w:bookmarkStart w:id="160" w:name="_Toc184313307"/>
      <w:bookmarkEnd w:id="160"/>
      <w:bookmarkStart w:id="161" w:name="_Toc184308053"/>
      <w:bookmarkEnd w:id="161"/>
      <w:bookmarkStart w:id="162" w:name="_Toc184312087"/>
      <w:bookmarkEnd w:id="162"/>
      <w:bookmarkStart w:id="163" w:name="_Toc184312067"/>
      <w:bookmarkEnd w:id="163"/>
      <w:bookmarkStart w:id="164" w:name="_Toc184313257"/>
      <w:bookmarkEnd w:id="164"/>
      <w:bookmarkStart w:id="165" w:name="_Toc184312117"/>
      <w:bookmarkEnd w:id="165"/>
      <w:bookmarkStart w:id="166" w:name="_Toc184312078"/>
      <w:bookmarkEnd w:id="166"/>
      <w:bookmarkStart w:id="167" w:name="_Toc184308054"/>
      <w:bookmarkEnd w:id="167"/>
      <w:bookmarkStart w:id="168" w:name="_Toc184310312"/>
      <w:bookmarkEnd w:id="168"/>
      <w:bookmarkStart w:id="169" w:name="_Toc184310275"/>
      <w:bookmarkEnd w:id="169"/>
      <w:bookmarkStart w:id="170" w:name="_Toc184314474"/>
      <w:bookmarkEnd w:id="170"/>
      <w:bookmarkStart w:id="171" w:name="_Toc184314427"/>
      <w:bookmarkEnd w:id="171"/>
      <w:bookmarkStart w:id="172" w:name="_Toc184314444"/>
      <w:bookmarkEnd w:id="172"/>
      <w:bookmarkStart w:id="173" w:name="_Toc184313302"/>
      <w:bookmarkEnd w:id="173"/>
      <w:bookmarkStart w:id="174" w:name="_Toc184308085"/>
      <w:bookmarkEnd w:id="174"/>
      <w:bookmarkStart w:id="175" w:name="_Toc184314445"/>
      <w:bookmarkEnd w:id="175"/>
      <w:bookmarkStart w:id="176" w:name="_Toc184314471"/>
      <w:bookmarkEnd w:id="176"/>
      <w:bookmarkStart w:id="177" w:name="_Toc184314453"/>
      <w:bookmarkEnd w:id="177"/>
      <w:bookmarkStart w:id="178" w:name="_Toc184314454"/>
      <w:bookmarkEnd w:id="178"/>
      <w:bookmarkStart w:id="179" w:name="_Toc184313251"/>
      <w:bookmarkEnd w:id="179"/>
      <w:bookmarkStart w:id="180" w:name="_Toc184313299"/>
      <w:bookmarkEnd w:id="180"/>
      <w:bookmarkStart w:id="181" w:name="_Toc184313309"/>
      <w:bookmarkEnd w:id="181"/>
      <w:bookmarkStart w:id="182" w:name="_Toc184310323"/>
      <w:bookmarkEnd w:id="182"/>
      <w:bookmarkStart w:id="183" w:name="_Toc184313287"/>
      <w:bookmarkEnd w:id="183"/>
      <w:bookmarkStart w:id="184" w:name="_Toc184310314"/>
      <w:bookmarkEnd w:id="184"/>
      <w:bookmarkStart w:id="185" w:name="_Toc184310299"/>
      <w:bookmarkEnd w:id="185"/>
      <w:bookmarkStart w:id="186" w:name="_Toc184308097"/>
      <w:bookmarkEnd w:id="186"/>
      <w:bookmarkStart w:id="187" w:name="_Toc184312086"/>
      <w:bookmarkEnd w:id="187"/>
      <w:bookmarkStart w:id="188" w:name="_Toc184310316"/>
      <w:bookmarkEnd w:id="188"/>
      <w:bookmarkStart w:id="189" w:name="_Toc184312093"/>
      <w:bookmarkEnd w:id="189"/>
      <w:bookmarkStart w:id="190" w:name="_Toc184308043"/>
      <w:bookmarkEnd w:id="190"/>
      <w:bookmarkStart w:id="191" w:name="_Toc184312135"/>
      <w:bookmarkEnd w:id="191"/>
      <w:bookmarkStart w:id="192" w:name="_Toc184312112"/>
      <w:bookmarkEnd w:id="192"/>
      <w:bookmarkStart w:id="193" w:name="_Toc184312104"/>
      <w:bookmarkEnd w:id="193"/>
      <w:bookmarkStart w:id="194" w:name="_Toc184313290"/>
      <w:bookmarkEnd w:id="194"/>
      <w:bookmarkStart w:id="195" w:name="_Toc184310294"/>
      <w:bookmarkEnd w:id="195"/>
      <w:bookmarkStart w:id="196" w:name="_Toc184310274"/>
      <w:bookmarkEnd w:id="196"/>
      <w:bookmarkStart w:id="197" w:name="_Toc184310313"/>
      <w:bookmarkEnd w:id="197"/>
      <w:bookmarkStart w:id="198" w:name="_Toc184314458"/>
      <w:bookmarkEnd w:id="198"/>
      <w:bookmarkStart w:id="199" w:name="_Toc184312108"/>
      <w:bookmarkEnd w:id="199"/>
      <w:bookmarkStart w:id="200" w:name="_Toc184314422"/>
      <w:bookmarkEnd w:id="200"/>
      <w:bookmarkStart w:id="201" w:name="_Toc184310282"/>
      <w:bookmarkEnd w:id="201"/>
      <w:bookmarkStart w:id="202" w:name="_Toc184310329"/>
      <w:bookmarkEnd w:id="202"/>
      <w:bookmarkStart w:id="203" w:name="_Toc184310272"/>
      <w:bookmarkEnd w:id="203"/>
      <w:bookmarkStart w:id="204" w:name="_Toc184308055"/>
      <w:bookmarkEnd w:id="204"/>
      <w:bookmarkStart w:id="205" w:name="_Toc184310325"/>
      <w:bookmarkEnd w:id="205"/>
      <w:bookmarkStart w:id="206" w:name="_Toc184314424"/>
      <w:bookmarkEnd w:id="206"/>
      <w:bookmarkStart w:id="207" w:name="_Toc184308087"/>
      <w:bookmarkEnd w:id="207"/>
      <w:bookmarkStart w:id="208" w:name="_Toc184312085"/>
      <w:bookmarkEnd w:id="208"/>
      <w:bookmarkStart w:id="209" w:name="_Toc184313294"/>
      <w:bookmarkEnd w:id="209"/>
      <w:bookmarkStart w:id="210" w:name="_Toc184314439"/>
      <w:bookmarkEnd w:id="210"/>
      <w:bookmarkStart w:id="211" w:name="_Toc184313254"/>
      <w:bookmarkEnd w:id="211"/>
      <w:bookmarkStart w:id="212" w:name="_Toc184314447"/>
      <w:bookmarkEnd w:id="212"/>
      <w:bookmarkStart w:id="213" w:name="_Toc184312133"/>
      <w:bookmarkEnd w:id="213"/>
      <w:bookmarkStart w:id="214" w:name="_Toc184312114"/>
      <w:bookmarkEnd w:id="214"/>
      <w:bookmarkStart w:id="215" w:name="_Toc184312110"/>
      <w:bookmarkEnd w:id="215"/>
      <w:bookmarkStart w:id="216" w:name="_Toc184314437"/>
      <w:bookmarkEnd w:id="216"/>
      <w:bookmarkStart w:id="217" w:name="_Toc184310335"/>
      <w:bookmarkEnd w:id="217"/>
      <w:bookmarkStart w:id="218" w:name="_Toc184308093"/>
      <w:bookmarkEnd w:id="218"/>
      <w:bookmarkStart w:id="219" w:name="_Toc184312090"/>
      <w:bookmarkEnd w:id="219"/>
      <w:bookmarkStart w:id="220" w:name="_Toc184312126"/>
      <w:bookmarkEnd w:id="220"/>
      <w:bookmarkStart w:id="221" w:name="_Toc184310309"/>
      <w:bookmarkEnd w:id="221"/>
      <w:bookmarkStart w:id="222" w:name="_Toc184312109"/>
      <w:bookmarkEnd w:id="222"/>
      <w:bookmarkStart w:id="223" w:name="_Toc184314420"/>
      <w:bookmarkEnd w:id="223"/>
      <w:bookmarkStart w:id="224" w:name="_Toc184308095"/>
      <w:bookmarkEnd w:id="224"/>
      <w:bookmarkStart w:id="225" w:name="_Toc184310308"/>
      <w:bookmarkEnd w:id="225"/>
      <w:bookmarkStart w:id="226" w:name="_Toc184314461"/>
      <w:bookmarkEnd w:id="226"/>
      <w:bookmarkStart w:id="227" w:name="_Toc184314436"/>
      <w:bookmarkEnd w:id="227"/>
      <w:bookmarkStart w:id="228" w:name="_Toc184308104"/>
      <w:bookmarkEnd w:id="228"/>
      <w:bookmarkStart w:id="229" w:name="_Toc184310328"/>
      <w:bookmarkEnd w:id="229"/>
      <w:bookmarkStart w:id="230" w:name="_Toc184313258"/>
      <w:bookmarkEnd w:id="230"/>
      <w:bookmarkStart w:id="231" w:name="_Toc184308067"/>
      <w:bookmarkEnd w:id="231"/>
      <w:bookmarkStart w:id="232" w:name="_Toc184314414"/>
      <w:bookmarkEnd w:id="232"/>
      <w:bookmarkStart w:id="233" w:name="_Toc184314478"/>
      <w:bookmarkEnd w:id="233"/>
      <w:bookmarkStart w:id="234" w:name="_Toc184313274"/>
      <w:bookmarkEnd w:id="234"/>
      <w:bookmarkStart w:id="235" w:name="_Toc184314468"/>
      <w:bookmarkEnd w:id="235"/>
      <w:bookmarkStart w:id="236" w:name="_Toc184314456"/>
      <w:bookmarkEnd w:id="236"/>
      <w:bookmarkStart w:id="237" w:name="_Toc184313288"/>
      <w:bookmarkEnd w:id="237"/>
      <w:bookmarkStart w:id="238" w:name="_Toc184308077"/>
      <w:bookmarkEnd w:id="238"/>
      <w:bookmarkStart w:id="239" w:name="_Toc184310284"/>
      <w:bookmarkEnd w:id="239"/>
      <w:bookmarkStart w:id="240" w:name="_Toc184308105"/>
      <w:bookmarkEnd w:id="240"/>
      <w:bookmarkStart w:id="241" w:name="_Toc184312137"/>
      <w:bookmarkEnd w:id="241"/>
      <w:bookmarkStart w:id="242" w:name="_Toc184308052"/>
      <w:bookmarkEnd w:id="242"/>
      <w:bookmarkStart w:id="243" w:name="_Toc184314441"/>
      <w:bookmarkEnd w:id="243"/>
      <w:bookmarkStart w:id="244" w:name="_Toc184310298"/>
      <w:bookmarkEnd w:id="244"/>
      <w:bookmarkStart w:id="245" w:name="_Toc184314417"/>
      <w:bookmarkEnd w:id="245"/>
      <w:bookmarkStart w:id="246" w:name="_Toc184314470"/>
      <w:bookmarkEnd w:id="246"/>
      <w:bookmarkStart w:id="247" w:name="_Toc184308098"/>
      <w:bookmarkEnd w:id="247"/>
      <w:bookmarkStart w:id="248" w:name="_Toc184313263"/>
      <w:bookmarkEnd w:id="248"/>
      <w:bookmarkStart w:id="249" w:name="_Toc184312127"/>
      <w:bookmarkEnd w:id="249"/>
      <w:bookmarkStart w:id="250" w:name="_Toc184313310"/>
      <w:bookmarkEnd w:id="250"/>
      <w:bookmarkStart w:id="251" w:name="_Toc184314464"/>
      <w:bookmarkEnd w:id="251"/>
      <w:bookmarkStart w:id="252" w:name="_Toc184314431"/>
      <w:bookmarkEnd w:id="252"/>
      <w:bookmarkStart w:id="253" w:name="_Toc184310339"/>
      <w:bookmarkEnd w:id="253"/>
      <w:bookmarkStart w:id="254" w:name="_Toc184308075"/>
      <w:bookmarkEnd w:id="254"/>
      <w:bookmarkStart w:id="255" w:name="_Toc184308103"/>
      <w:bookmarkEnd w:id="255"/>
      <w:bookmarkStart w:id="256" w:name="_Toc184312069"/>
      <w:bookmarkEnd w:id="256"/>
      <w:bookmarkStart w:id="257" w:name="_Toc184308082"/>
      <w:bookmarkEnd w:id="257"/>
      <w:bookmarkStart w:id="258" w:name="_Toc184312100"/>
      <w:bookmarkEnd w:id="258"/>
      <w:bookmarkStart w:id="259" w:name="_Toc184314457"/>
      <w:bookmarkEnd w:id="259"/>
      <w:bookmarkStart w:id="260" w:name="_Toc184310286"/>
      <w:bookmarkEnd w:id="260"/>
      <w:bookmarkStart w:id="261" w:name="_Toc184310322"/>
      <w:bookmarkEnd w:id="261"/>
      <w:bookmarkStart w:id="262" w:name="_Toc184308094"/>
      <w:bookmarkEnd w:id="262"/>
      <w:bookmarkStart w:id="263" w:name="_Toc184308050"/>
      <w:bookmarkEnd w:id="263"/>
      <w:bookmarkStart w:id="264" w:name="_Toc184308100"/>
      <w:bookmarkEnd w:id="264"/>
      <w:bookmarkStart w:id="265" w:name="_Toc184314415"/>
      <w:bookmarkEnd w:id="265"/>
      <w:bookmarkStart w:id="266" w:name="_Toc184314421"/>
      <w:bookmarkEnd w:id="266"/>
      <w:bookmarkStart w:id="267" w:name="_Toc184312105"/>
      <w:bookmarkEnd w:id="267"/>
      <w:bookmarkStart w:id="268" w:name="_Toc184312101"/>
      <w:bookmarkEnd w:id="268"/>
      <w:bookmarkStart w:id="269" w:name="_Toc184310337"/>
      <w:bookmarkEnd w:id="269"/>
      <w:bookmarkStart w:id="270" w:name="_Toc184308066"/>
      <w:bookmarkEnd w:id="270"/>
      <w:bookmarkStart w:id="271" w:name="_Toc184313280"/>
      <w:bookmarkEnd w:id="271"/>
      <w:bookmarkStart w:id="272" w:name="_Toc184314413"/>
      <w:bookmarkEnd w:id="272"/>
      <w:bookmarkStart w:id="273" w:name="_Toc184314465"/>
      <w:bookmarkEnd w:id="273"/>
      <w:bookmarkStart w:id="274" w:name="_Toc184314426"/>
      <w:bookmarkEnd w:id="274"/>
      <w:bookmarkStart w:id="275" w:name="_Toc184313278"/>
      <w:bookmarkEnd w:id="275"/>
      <w:bookmarkStart w:id="276" w:name="_Toc184310305"/>
      <w:bookmarkEnd w:id="276"/>
      <w:bookmarkStart w:id="277" w:name="_Toc184314416"/>
      <w:bookmarkEnd w:id="277"/>
      <w:bookmarkStart w:id="278" w:name="_Toc184313272"/>
      <w:bookmarkEnd w:id="278"/>
      <w:bookmarkStart w:id="279" w:name="_Toc184313250"/>
      <w:bookmarkEnd w:id="279"/>
      <w:bookmarkStart w:id="280" w:name="_Toc184312095"/>
      <w:bookmarkEnd w:id="280"/>
      <w:bookmarkStart w:id="281" w:name="_Toc184310330"/>
      <w:bookmarkEnd w:id="281"/>
      <w:bookmarkStart w:id="282" w:name="_Toc184314438"/>
      <w:bookmarkEnd w:id="282"/>
      <w:bookmarkStart w:id="283" w:name="_Toc184314433"/>
      <w:bookmarkEnd w:id="283"/>
      <w:bookmarkStart w:id="284" w:name="_Toc184310277"/>
      <w:bookmarkEnd w:id="284"/>
      <w:bookmarkStart w:id="285" w:name="_Toc184314434"/>
      <w:bookmarkEnd w:id="285"/>
      <w:bookmarkStart w:id="286" w:name="_Toc184310321"/>
      <w:bookmarkEnd w:id="286"/>
      <w:bookmarkStart w:id="287" w:name="_Toc184313281"/>
      <w:bookmarkEnd w:id="287"/>
      <w:bookmarkStart w:id="288" w:name="_Toc184308042"/>
      <w:bookmarkEnd w:id="288"/>
      <w:bookmarkStart w:id="289" w:name="_Toc184314418"/>
      <w:bookmarkEnd w:id="289"/>
      <w:bookmarkStart w:id="290" w:name="_Toc184314423"/>
      <w:bookmarkEnd w:id="290"/>
      <w:bookmarkStart w:id="291" w:name="_Toc184313295"/>
      <w:bookmarkEnd w:id="291"/>
      <w:bookmarkStart w:id="292" w:name="_Toc184308061"/>
      <w:bookmarkEnd w:id="292"/>
      <w:bookmarkStart w:id="293" w:name="_Toc184314448"/>
      <w:bookmarkEnd w:id="293"/>
      <w:bookmarkStart w:id="294" w:name="_Toc184313269"/>
      <w:bookmarkEnd w:id="294"/>
      <w:bookmarkStart w:id="295" w:name="_Toc184314449"/>
      <w:bookmarkEnd w:id="295"/>
      <w:bookmarkStart w:id="296" w:name="_Toc184308039"/>
      <w:bookmarkEnd w:id="296"/>
      <w:bookmarkStart w:id="297" w:name="_Toc184310336"/>
      <w:bookmarkEnd w:id="297"/>
      <w:bookmarkStart w:id="298" w:name="_Toc184314467"/>
      <w:bookmarkEnd w:id="298"/>
      <w:bookmarkStart w:id="299" w:name="_Toc184312116"/>
      <w:bookmarkEnd w:id="299"/>
      <w:bookmarkStart w:id="300" w:name="_Toc184310280"/>
      <w:bookmarkEnd w:id="300"/>
      <w:bookmarkStart w:id="301" w:name="_Toc184312113"/>
      <w:bookmarkEnd w:id="301"/>
      <w:bookmarkStart w:id="302" w:name="_Toc184314432"/>
      <w:bookmarkEnd w:id="302"/>
      <w:bookmarkStart w:id="303" w:name="_Toc184313261"/>
      <w:bookmarkEnd w:id="303"/>
      <w:bookmarkStart w:id="304" w:name="_Toc184314460"/>
      <w:bookmarkEnd w:id="304"/>
      <w:bookmarkStart w:id="305" w:name="_Toc184313283"/>
      <w:bookmarkEnd w:id="305"/>
      <w:bookmarkStart w:id="306" w:name="_Toc184312131"/>
      <w:bookmarkEnd w:id="306"/>
      <w:bookmarkStart w:id="307" w:name="_Toc184310292"/>
      <w:bookmarkEnd w:id="307"/>
      <w:bookmarkStart w:id="308" w:name="_Toc184314443"/>
      <w:bookmarkEnd w:id="308"/>
      <w:bookmarkStart w:id="309" w:name="_Toc184310297"/>
      <w:bookmarkEnd w:id="309"/>
      <w:bookmarkStart w:id="310" w:name="_Toc184312120"/>
      <w:bookmarkEnd w:id="310"/>
      <w:bookmarkStart w:id="311" w:name="_Toc184310333"/>
      <w:bookmarkEnd w:id="311"/>
      <w:bookmarkStart w:id="312" w:name="_Toc184312124"/>
      <w:bookmarkEnd w:id="312"/>
      <w:bookmarkStart w:id="313" w:name="_Toc184314479"/>
      <w:bookmarkEnd w:id="313"/>
      <w:bookmarkStart w:id="314" w:name="_Toc184310342"/>
      <w:bookmarkEnd w:id="314"/>
      <w:bookmarkStart w:id="315" w:name="_Toc184308040"/>
      <w:bookmarkEnd w:id="315"/>
      <w:bookmarkStart w:id="316" w:name="_Toc184312080"/>
      <w:bookmarkEnd w:id="316"/>
      <w:bookmarkStart w:id="317" w:name="_Toc184308071"/>
      <w:bookmarkEnd w:id="317"/>
      <w:bookmarkStart w:id="318" w:name="_Toc184314462"/>
      <w:bookmarkEnd w:id="318"/>
      <w:bookmarkStart w:id="319" w:name="_Toc184308076"/>
      <w:bookmarkEnd w:id="319"/>
      <w:bookmarkStart w:id="320" w:name="_Toc184312088"/>
      <w:bookmarkEnd w:id="320"/>
      <w:bookmarkStart w:id="321" w:name="_Toc184313249"/>
      <w:bookmarkEnd w:id="321"/>
      <w:bookmarkStart w:id="322" w:name="_Toc184310306"/>
      <w:bookmarkEnd w:id="322"/>
      <w:bookmarkStart w:id="323" w:name="_Toc184312125"/>
      <w:bookmarkEnd w:id="323"/>
      <w:bookmarkStart w:id="324" w:name="_Toc184314440"/>
      <w:bookmarkEnd w:id="324"/>
      <w:bookmarkStart w:id="325" w:name="_Toc184310304"/>
      <w:bookmarkEnd w:id="325"/>
      <w:bookmarkStart w:id="326" w:name="_Toc184308092"/>
      <w:bookmarkEnd w:id="326"/>
      <w:bookmarkStart w:id="327" w:name="_Toc184312111"/>
      <w:bookmarkEnd w:id="327"/>
      <w:bookmarkStart w:id="328" w:name="_Toc184310311"/>
      <w:bookmarkEnd w:id="328"/>
      <w:bookmarkStart w:id="329" w:name="_Toc184314463"/>
      <w:bookmarkEnd w:id="329"/>
      <w:bookmarkStart w:id="330" w:name="_Toc184310295"/>
      <w:bookmarkEnd w:id="330"/>
      <w:bookmarkStart w:id="331" w:name="_Toc184314446"/>
      <w:bookmarkEnd w:id="331"/>
      <w:bookmarkStart w:id="332" w:name="_Toc184308070"/>
      <w:bookmarkEnd w:id="332"/>
      <w:bookmarkStart w:id="333" w:name="_Toc184313266"/>
      <w:bookmarkEnd w:id="333"/>
      <w:bookmarkStart w:id="334" w:name="_Toc184314412"/>
      <w:bookmarkEnd w:id="334"/>
      <w:bookmarkStart w:id="335" w:name="_Toc184313252"/>
      <w:bookmarkEnd w:id="335"/>
      <w:bookmarkStart w:id="336" w:name="_Toc184308101"/>
      <w:bookmarkEnd w:id="336"/>
      <w:bookmarkStart w:id="337" w:name="_Toc184313298"/>
      <w:bookmarkEnd w:id="337"/>
      <w:bookmarkStart w:id="338" w:name="_Toc184313260"/>
      <w:bookmarkEnd w:id="338"/>
      <w:bookmarkStart w:id="339" w:name="_Toc184310291"/>
      <w:bookmarkEnd w:id="339"/>
      <w:bookmarkStart w:id="340" w:name="_Toc184308038"/>
      <w:bookmarkEnd w:id="340"/>
      <w:bookmarkStart w:id="341" w:name="_Toc184308036"/>
      <w:bookmarkEnd w:id="341"/>
      <w:bookmarkStart w:id="342" w:name="_Toc184312072"/>
      <w:bookmarkEnd w:id="342"/>
      <w:bookmarkStart w:id="343" w:name="_Toc184313259"/>
      <w:bookmarkEnd w:id="343"/>
      <w:bookmarkStart w:id="344" w:name="_Toc184312136"/>
      <w:bookmarkEnd w:id="344"/>
      <w:bookmarkStart w:id="345" w:name="_Toc184313262"/>
      <w:bookmarkEnd w:id="345"/>
      <w:bookmarkStart w:id="346" w:name="_Toc184312099"/>
      <w:bookmarkEnd w:id="346"/>
      <w:bookmarkStart w:id="347" w:name="_Toc184310307"/>
      <w:bookmarkEnd w:id="347"/>
      <w:bookmarkStart w:id="348" w:name="_Toc184308102"/>
      <w:bookmarkEnd w:id="348"/>
      <w:bookmarkStart w:id="349" w:name="_Toc184310281"/>
      <w:bookmarkEnd w:id="349"/>
      <w:bookmarkStart w:id="350" w:name="_Toc184308063"/>
      <w:bookmarkEnd w:id="350"/>
      <w:bookmarkStart w:id="351" w:name="_Toc184313297"/>
      <w:bookmarkEnd w:id="351"/>
      <w:bookmarkStart w:id="352" w:name="_Toc184313291"/>
      <w:bookmarkEnd w:id="352"/>
      <w:bookmarkStart w:id="353" w:name="_Toc184313243"/>
      <w:bookmarkEnd w:id="353"/>
      <w:bookmarkStart w:id="354" w:name="_Toc184313244"/>
      <w:bookmarkEnd w:id="354"/>
      <w:bookmarkStart w:id="355" w:name="_Toc184312073"/>
      <w:bookmarkEnd w:id="355"/>
      <w:bookmarkStart w:id="356" w:name="_Toc184310340"/>
      <w:bookmarkEnd w:id="356"/>
      <w:bookmarkStart w:id="357" w:name="_Toc184314482"/>
      <w:bookmarkEnd w:id="357"/>
      <w:bookmarkStart w:id="358" w:name="_Toc184308080"/>
      <w:bookmarkEnd w:id="358"/>
      <w:bookmarkStart w:id="359" w:name="_Toc184310343"/>
      <w:bookmarkEnd w:id="359"/>
      <w:bookmarkStart w:id="360" w:name="_Toc184308049"/>
      <w:bookmarkEnd w:id="360"/>
      <w:bookmarkStart w:id="361" w:name="_Toc184313242"/>
      <w:bookmarkEnd w:id="361"/>
      <w:bookmarkStart w:id="362" w:name="_Toc184310285"/>
      <w:bookmarkEnd w:id="362"/>
      <w:bookmarkStart w:id="363" w:name="_Toc184313271"/>
      <w:bookmarkEnd w:id="363"/>
      <w:bookmarkStart w:id="364" w:name="_Toc184308045"/>
      <w:bookmarkEnd w:id="364"/>
      <w:bookmarkStart w:id="365" w:name="_Toc184308037"/>
      <w:bookmarkEnd w:id="365"/>
      <w:bookmarkStart w:id="366" w:name="_Toc184308099"/>
      <w:bookmarkEnd w:id="366"/>
      <w:bookmarkStart w:id="367" w:name="_Toc184308079"/>
      <w:bookmarkEnd w:id="367"/>
      <w:bookmarkStart w:id="368" w:name="_Toc184312103"/>
      <w:bookmarkEnd w:id="368"/>
      <w:bookmarkStart w:id="369" w:name="_Toc184312129"/>
      <w:bookmarkEnd w:id="369"/>
      <w:bookmarkStart w:id="370" w:name="_Toc184312075"/>
      <w:bookmarkEnd w:id="370"/>
      <w:bookmarkStart w:id="371" w:name="_Toc184312119"/>
      <w:bookmarkEnd w:id="371"/>
      <w:bookmarkStart w:id="372" w:name="_Toc184314442"/>
      <w:bookmarkEnd w:id="372"/>
      <w:bookmarkStart w:id="373" w:name="_Toc184310318"/>
      <w:bookmarkEnd w:id="373"/>
      <w:bookmarkStart w:id="374" w:name="_Toc184310331"/>
      <w:bookmarkEnd w:id="374"/>
      <w:bookmarkStart w:id="375" w:name="_Toc184310287"/>
      <w:bookmarkEnd w:id="375"/>
      <w:bookmarkStart w:id="376" w:name="_Toc184314429"/>
      <w:bookmarkEnd w:id="376"/>
      <w:bookmarkStart w:id="377" w:name="_Toc184313293"/>
      <w:bookmarkEnd w:id="377"/>
      <w:bookmarkStart w:id="378" w:name="_Toc184312130"/>
      <w:bookmarkEnd w:id="378"/>
      <w:bookmarkStart w:id="379" w:name="_Toc184310332"/>
      <w:bookmarkEnd w:id="379"/>
      <w:bookmarkStart w:id="380" w:name="_Toc184313275"/>
      <w:bookmarkEnd w:id="380"/>
      <w:bookmarkStart w:id="381" w:name="_Toc184308088"/>
      <w:bookmarkEnd w:id="381"/>
      <w:bookmarkStart w:id="382" w:name="_Toc184308046"/>
      <w:bookmarkEnd w:id="382"/>
      <w:bookmarkStart w:id="383" w:name="_Toc184313239"/>
      <w:bookmarkEnd w:id="383"/>
      <w:bookmarkStart w:id="384" w:name="_Toc184310341"/>
      <w:bookmarkEnd w:id="384"/>
      <w:bookmarkStart w:id="385" w:name="_Toc184310310"/>
      <w:bookmarkEnd w:id="385"/>
      <w:bookmarkStart w:id="386" w:name="_Toc184313265"/>
      <w:bookmarkEnd w:id="386"/>
      <w:bookmarkStart w:id="387" w:name="_Toc184313264"/>
      <w:bookmarkEnd w:id="387"/>
      <w:bookmarkStart w:id="388" w:name="_Toc184310320"/>
      <w:bookmarkEnd w:id="388"/>
      <w:bookmarkStart w:id="389" w:name="_Toc184310315"/>
      <w:bookmarkEnd w:id="389"/>
      <w:bookmarkStart w:id="390" w:name="_Toc184310319"/>
      <w:bookmarkEnd w:id="390"/>
      <w:bookmarkStart w:id="391" w:name="_Toc184313304"/>
      <w:bookmarkEnd w:id="391"/>
      <w:bookmarkStart w:id="392" w:name="_Toc184310290"/>
      <w:bookmarkEnd w:id="392"/>
      <w:bookmarkStart w:id="393" w:name="_Toc184308059"/>
      <w:bookmarkEnd w:id="393"/>
      <w:bookmarkStart w:id="394" w:name="_Toc184310293"/>
      <w:bookmarkEnd w:id="394"/>
      <w:bookmarkStart w:id="395" w:name="_Toc184314469"/>
      <w:bookmarkEnd w:id="395"/>
      <w:bookmarkStart w:id="396" w:name="_Toc184314480"/>
      <w:bookmarkEnd w:id="396"/>
      <w:bookmarkStart w:id="397" w:name="_Toc184314477"/>
      <w:bookmarkEnd w:id="397"/>
      <w:bookmarkStart w:id="398" w:name="_Toc184314475"/>
      <w:bookmarkEnd w:id="398"/>
      <w:bookmarkStart w:id="399" w:name="_Toc184310334"/>
      <w:bookmarkEnd w:id="399"/>
      <w:bookmarkStart w:id="400" w:name="_Toc184312068"/>
      <w:bookmarkEnd w:id="400"/>
      <w:bookmarkStart w:id="401" w:name="_Toc184312102"/>
      <w:bookmarkEnd w:id="401"/>
      <w:bookmarkStart w:id="402" w:name="_Toc184313276"/>
      <w:bookmarkEnd w:id="402"/>
      <w:bookmarkStart w:id="403" w:name="_Toc184313301"/>
      <w:bookmarkEnd w:id="403"/>
      <w:bookmarkStart w:id="404" w:name="_Toc184312094"/>
      <w:bookmarkEnd w:id="404"/>
      <w:bookmarkStart w:id="405" w:name="_Toc184314419"/>
      <w:bookmarkEnd w:id="405"/>
      <w:bookmarkStart w:id="406" w:name="_Toc184310276"/>
      <w:bookmarkEnd w:id="406"/>
      <w:bookmarkStart w:id="407" w:name="_Toc184308068"/>
      <w:bookmarkEnd w:id="407"/>
      <w:bookmarkStart w:id="408" w:name="_Toc184312138"/>
      <w:bookmarkEnd w:id="408"/>
      <w:bookmarkStart w:id="409" w:name="_Toc184308089"/>
      <w:bookmarkEnd w:id="409"/>
      <w:bookmarkStart w:id="410" w:name="_Toc184314455"/>
      <w:bookmarkEnd w:id="410"/>
      <w:bookmarkStart w:id="411" w:name="_Toc184310301"/>
      <w:bookmarkEnd w:id="411"/>
      <w:bookmarkStart w:id="412" w:name="_Toc184308051"/>
      <w:bookmarkEnd w:id="412"/>
      <w:bookmarkStart w:id="413" w:name="_Toc184308069"/>
      <w:bookmarkEnd w:id="413"/>
      <w:bookmarkStart w:id="414" w:name="_Toc184313277"/>
      <w:bookmarkEnd w:id="414"/>
      <w:bookmarkStart w:id="415" w:name="_Toc184308107"/>
      <w:bookmarkEnd w:id="415"/>
      <w:bookmarkStart w:id="416" w:name="_Toc184313255"/>
      <w:bookmarkEnd w:id="416"/>
      <w:bookmarkStart w:id="417" w:name="_Toc184308073"/>
      <w:bookmarkEnd w:id="417"/>
      <w:bookmarkStart w:id="418" w:name="_Toc184308058"/>
      <w:bookmarkEnd w:id="418"/>
      <w:bookmarkStart w:id="419" w:name="_Toc184310279"/>
      <w:bookmarkEnd w:id="419"/>
      <w:bookmarkStart w:id="420" w:name="_Toc184308062"/>
      <w:bookmarkEnd w:id="420"/>
      <w:bookmarkStart w:id="421" w:name="_Toc184313279"/>
      <w:bookmarkEnd w:id="421"/>
      <w:bookmarkStart w:id="422" w:name="_Toc184314451"/>
      <w:bookmarkEnd w:id="422"/>
      <w:bookmarkStart w:id="423" w:name="_Toc184310338"/>
      <w:bookmarkEnd w:id="423"/>
      <w:bookmarkStart w:id="424" w:name="_Toc184312083"/>
      <w:bookmarkEnd w:id="424"/>
      <w:bookmarkStart w:id="425" w:name="_Toc184314466"/>
      <w:bookmarkEnd w:id="425"/>
      <w:bookmarkStart w:id="426" w:name="_Toc184308091"/>
      <w:bookmarkEnd w:id="426"/>
      <w:bookmarkStart w:id="427" w:name="_Toc184313238"/>
      <w:bookmarkEnd w:id="427"/>
      <w:bookmarkStart w:id="428" w:name="_Toc184313286"/>
      <w:bookmarkEnd w:id="428"/>
      <w:bookmarkStart w:id="429" w:name="_Toc184308083"/>
      <w:bookmarkEnd w:id="429"/>
      <w:bookmarkStart w:id="430" w:name="_Toc184308086"/>
      <w:bookmarkEnd w:id="430"/>
      <w:bookmarkStart w:id="431" w:name="_Toc184313285"/>
      <w:bookmarkEnd w:id="431"/>
      <w:bookmarkStart w:id="432" w:name="_Toc184312089"/>
      <w:bookmarkEnd w:id="432"/>
      <w:bookmarkStart w:id="433" w:name="_Toc184313289"/>
      <w:bookmarkEnd w:id="433"/>
      <w:bookmarkStart w:id="434" w:name="_Toc184313296"/>
      <w:bookmarkEnd w:id="434"/>
      <w:bookmarkStart w:id="435" w:name="_Toc184314450"/>
      <w:bookmarkEnd w:id="435"/>
      <w:r>
        <w:rPr>
          <w:rFonts w:hint="eastAsia" w:ascii="仿宋" w:hAnsi="仿宋" w:eastAsia="仿宋" w:cs="仿宋"/>
          <w:b/>
          <w:color w:val="auto"/>
          <w:sz w:val="36"/>
          <w:szCs w:val="36"/>
          <w:highlight w:val="none"/>
        </w:rPr>
        <w:t>评审办法</w:t>
      </w:r>
      <w:bookmarkEnd w:id="67"/>
      <w:bookmarkEnd w:id="68"/>
      <w:bookmarkEnd w:id="69"/>
      <w:bookmarkEnd w:id="70"/>
    </w:p>
    <w:p w14:paraId="06BCE838">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评标办法前附表</w:t>
      </w:r>
    </w:p>
    <w:p w14:paraId="40C7C283">
      <w:pPr>
        <w:pStyle w:val="35"/>
        <w:spacing w:line="360" w:lineRule="auto"/>
        <w:rPr>
          <w:rFonts w:ascii="仿宋" w:hAnsi="仿宋" w:eastAsia="仿宋" w:cs="仿宋"/>
          <w:sz w:val="24"/>
          <w:szCs w:val="24"/>
          <w:highlight w:val="none"/>
        </w:rPr>
      </w:pPr>
      <w:bookmarkStart w:id="436" w:name="OLE_LINK8"/>
      <w:bookmarkStart w:id="437" w:name="OLE_LINK9"/>
      <w:bookmarkStart w:id="438" w:name="OLE_LINK1"/>
      <w:r>
        <w:rPr>
          <w:rFonts w:ascii="仿宋" w:hAnsi="仿宋" w:eastAsia="仿宋" w:cs="仿宋"/>
          <w:bCs/>
          <w:snapToGrid w:val="0"/>
          <w:kern w:val="0"/>
          <w:sz w:val="24"/>
          <w:szCs w:val="24"/>
          <w:highlight w:val="none"/>
        </w:rPr>
        <w:t>1、</w:t>
      </w:r>
      <w:r>
        <w:rPr>
          <w:rFonts w:hint="eastAsia" w:ascii="仿宋" w:hAnsi="仿宋" w:eastAsia="仿宋" w:cs="仿宋"/>
          <w:snapToGrid w:val="0"/>
          <w:sz w:val="24"/>
          <w:szCs w:val="24"/>
          <w:highlight w:val="none"/>
          <w:lang w:val="en-US" w:eastAsia="zh-CN"/>
        </w:rPr>
        <w:t>评审细则</w:t>
      </w:r>
    </w:p>
    <w:tbl>
      <w:tblPr>
        <w:tblStyle w:val="63"/>
        <w:tblW w:w="89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8"/>
        <w:gridCol w:w="1192"/>
        <w:gridCol w:w="701"/>
        <w:gridCol w:w="6244"/>
      </w:tblGrid>
      <w:tr w14:paraId="1AD43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tcBorders>
              <w:top w:val="single" w:color="000000" w:sz="4" w:space="0"/>
              <w:left w:val="single" w:color="000000" w:sz="4" w:space="0"/>
              <w:bottom w:val="single" w:color="000000" w:sz="4" w:space="0"/>
              <w:right w:val="single" w:color="000000" w:sz="4" w:space="0"/>
            </w:tcBorders>
            <w:vAlign w:val="center"/>
          </w:tcPr>
          <w:p w14:paraId="3A9076C4">
            <w:pPr>
              <w:pStyle w:val="484"/>
              <w:wordWrap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192" w:type="dxa"/>
            <w:tcBorders>
              <w:top w:val="single" w:color="000000" w:sz="4" w:space="0"/>
              <w:left w:val="single" w:color="000000" w:sz="4" w:space="0"/>
              <w:bottom w:val="single" w:color="000000" w:sz="4" w:space="0"/>
              <w:right w:val="single" w:color="auto" w:sz="4" w:space="0"/>
            </w:tcBorders>
            <w:vAlign w:val="center"/>
          </w:tcPr>
          <w:p w14:paraId="53291D2F">
            <w:pPr>
              <w:pStyle w:val="484"/>
              <w:wordWrap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评标</w:t>
            </w:r>
          </w:p>
          <w:p w14:paraId="6B518810">
            <w:pPr>
              <w:pStyle w:val="484"/>
              <w:wordWrap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因素</w:t>
            </w:r>
          </w:p>
        </w:tc>
        <w:tc>
          <w:tcPr>
            <w:tcW w:w="701" w:type="dxa"/>
            <w:tcBorders>
              <w:top w:val="single" w:color="000000" w:sz="4" w:space="0"/>
              <w:left w:val="single" w:color="auto" w:sz="4" w:space="0"/>
              <w:bottom w:val="single" w:color="000000" w:sz="4" w:space="0"/>
              <w:right w:val="single" w:color="000000" w:sz="4" w:space="0"/>
            </w:tcBorders>
            <w:vAlign w:val="center"/>
          </w:tcPr>
          <w:p w14:paraId="31DDAE8C">
            <w:pPr>
              <w:pStyle w:val="484"/>
              <w:wordWrap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分值</w:t>
            </w:r>
          </w:p>
          <w:p w14:paraId="207DF785">
            <w:pPr>
              <w:pStyle w:val="484"/>
              <w:wordWrap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权重</w:t>
            </w:r>
          </w:p>
        </w:tc>
        <w:tc>
          <w:tcPr>
            <w:tcW w:w="6244" w:type="dxa"/>
            <w:tcBorders>
              <w:top w:val="single" w:color="000000" w:sz="4" w:space="0"/>
              <w:left w:val="single" w:color="000000" w:sz="4" w:space="0"/>
              <w:bottom w:val="single" w:color="000000" w:sz="4" w:space="0"/>
              <w:right w:val="single" w:color="000000" w:sz="4" w:space="0"/>
            </w:tcBorders>
            <w:vAlign w:val="center"/>
          </w:tcPr>
          <w:p w14:paraId="1B8D67CF">
            <w:pPr>
              <w:pStyle w:val="484"/>
              <w:wordWrap w:val="0"/>
              <w:spacing w:line="360" w:lineRule="auto"/>
              <w:ind w:firstLine="2168" w:firstLineChars="900"/>
              <w:rPr>
                <w:rFonts w:hint="eastAsia" w:ascii="仿宋" w:hAnsi="仿宋" w:eastAsia="仿宋" w:cs="仿宋"/>
                <w:b/>
                <w:sz w:val="24"/>
                <w:szCs w:val="24"/>
              </w:rPr>
            </w:pPr>
            <w:r>
              <w:rPr>
                <w:rFonts w:hint="eastAsia" w:ascii="仿宋" w:hAnsi="仿宋" w:eastAsia="仿宋" w:cs="仿宋"/>
                <w:b/>
                <w:sz w:val="24"/>
                <w:szCs w:val="24"/>
              </w:rPr>
              <w:t>评标标准</w:t>
            </w:r>
          </w:p>
        </w:tc>
      </w:tr>
      <w:tr w14:paraId="3491B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25" w:type="dxa"/>
            <w:gridSpan w:val="4"/>
            <w:tcBorders>
              <w:top w:val="single" w:color="000000" w:sz="4" w:space="0"/>
              <w:left w:val="single" w:color="000000" w:sz="4" w:space="0"/>
              <w:bottom w:val="single" w:color="000000" w:sz="4" w:space="0"/>
              <w:right w:val="single" w:color="000000" w:sz="4" w:space="0"/>
            </w:tcBorders>
            <w:vAlign w:val="center"/>
          </w:tcPr>
          <w:p w14:paraId="5A381530">
            <w:pPr>
              <w:wordWrap w:val="0"/>
              <w:spacing w:line="360" w:lineRule="auto"/>
              <w:ind w:firstLine="420"/>
              <w:jc w:val="center"/>
              <w:rPr>
                <w:rFonts w:hint="eastAsia" w:ascii="仿宋" w:hAnsi="仿宋" w:eastAsia="仿宋" w:cs="仿宋"/>
                <w:b/>
                <w:sz w:val="24"/>
                <w:szCs w:val="24"/>
              </w:rPr>
            </w:pPr>
            <w:r>
              <w:rPr>
                <w:rFonts w:hint="eastAsia" w:ascii="仿宋" w:hAnsi="仿宋" w:eastAsia="仿宋" w:cs="仿宋"/>
                <w:b/>
                <w:sz w:val="24"/>
                <w:szCs w:val="24"/>
              </w:rPr>
              <w:t>价格部分（满分20分）</w:t>
            </w:r>
          </w:p>
        </w:tc>
      </w:tr>
      <w:tr w14:paraId="4C008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tcBorders>
              <w:top w:val="single" w:color="000000" w:sz="4" w:space="0"/>
              <w:left w:val="single" w:color="000000" w:sz="4" w:space="0"/>
              <w:bottom w:val="single" w:color="000000" w:sz="4" w:space="0"/>
              <w:right w:val="single" w:color="000000" w:sz="4" w:space="0"/>
            </w:tcBorders>
            <w:vAlign w:val="center"/>
          </w:tcPr>
          <w:p w14:paraId="544E68AB">
            <w:pPr>
              <w:wordWrap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192" w:type="dxa"/>
            <w:tcBorders>
              <w:top w:val="single" w:color="000000" w:sz="4" w:space="0"/>
              <w:left w:val="single" w:color="000000" w:sz="4" w:space="0"/>
              <w:bottom w:val="single" w:color="000000" w:sz="4" w:space="0"/>
              <w:right w:val="single" w:color="auto" w:sz="4" w:space="0"/>
            </w:tcBorders>
            <w:vAlign w:val="center"/>
          </w:tcPr>
          <w:p w14:paraId="5F125C2F">
            <w:pPr>
              <w:wordWrap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报价分</w:t>
            </w:r>
          </w:p>
        </w:tc>
        <w:tc>
          <w:tcPr>
            <w:tcW w:w="701" w:type="dxa"/>
            <w:tcBorders>
              <w:top w:val="single" w:color="000000" w:sz="4" w:space="0"/>
              <w:left w:val="single" w:color="auto" w:sz="4" w:space="0"/>
              <w:bottom w:val="single" w:color="000000" w:sz="4" w:space="0"/>
              <w:right w:val="single" w:color="000000" w:sz="4" w:space="0"/>
            </w:tcBorders>
            <w:vAlign w:val="center"/>
          </w:tcPr>
          <w:p w14:paraId="5E675EC6">
            <w:pPr>
              <w:wordWrap w:val="0"/>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0-2</w:t>
            </w:r>
            <w:r>
              <w:rPr>
                <w:rFonts w:hint="eastAsia" w:ascii="仿宋" w:hAnsi="仿宋" w:eastAsia="仿宋" w:cs="仿宋"/>
                <w:sz w:val="24"/>
                <w:szCs w:val="24"/>
              </w:rPr>
              <w:t>0</w:t>
            </w:r>
          </w:p>
        </w:tc>
        <w:tc>
          <w:tcPr>
            <w:tcW w:w="6244" w:type="dxa"/>
            <w:tcBorders>
              <w:top w:val="single" w:color="000000" w:sz="4" w:space="0"/>
              <w:left w:val="single" w:color="000000" w:sz="4" w:space="0"/>
              <w:bottom w:val="single" w:color="000000" w:sz="4" w:space="0"/>
              <w:right w:val="single" w:color="000000" w:sz="4" w:space="0"/>
            </w:tcBorders>
          </w:tcPr>
          <w:p w14:paraId="3C23751F">
            <w:pPr>
              <w:wordWrap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满足招标文件要求且评标报价最低的评标报价为评标基准价，其价格分为满分。最低有效投标价格为评标基准价</w:t>
            </w:r>
          </w:p>
          <w:p w14:paraId="0BC62831">
            <w:pPr>
              <w:wordWrap w:val="0"/>
              <w:spacing w:line="360" w:lineRule="auto"/>
              <w:rPr>
                <w:rFonts w:hint="eastAsia" w:ascii="仿宋" w:hAnsi="仿宋" w:eastAsia="仿宋" w:cs="仿宋"/>
                <w:sz w:val="24"/>
                <w:szCs w:val="24"/>
              </w:rPr>
            </w:pPr>
            <w:r>
              <w:rPr>
                <w:rFonts w:hint="eastAsia" w:ascii="仿宋" w:hAnsi="仿宋" w:eastAsia="仿宋" w:cs="仿宋"/>
                <w:sz w:val="24"/>
                <w:szCs w:val="24"/>
              </w:rPr>
              <w:t>投标报价得分=(评标基准价／投标报价)×价格权值×100（计算得分保留小数点后2位）</w:t>
            </w:r>
          </w:p>
        </w:tc>
      </w:tr>
      <w:tr w14:paraId="752E4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25" w:type="dxa"/>
            <w:gridSpan w:val="4"/>
            <w:tcBorders>
              <w:top w:val="single" w:color="000000" w:sz="4" w:space="0"/>
              <w:left w:val="single" w:color="000000" w:sz="4" w:space="0"/>
              <w:bottom w:val="single" w:color="000000" w:sz="4" w:space="0"/>
              <w:right w:val="single" w:color="000000" w:sz="4" w:space="0"/>
            </w:tcBorders>
            <w:vAlign w:val="center"/>
          </w:tcPr>
          <w:p w14:paraId="4BDCEAF3">
            <w:pPr>
              <w:wordWrap w:val="0"/>
              <w:spacing w:line="360" w:lineRule="auto"/>
              <w:ind w:firstLine="420"/>
              <w:jc w:val="center"/>
              <w:rPr>
                <w:rFonts w:hint="eastAsia" w:ascii="仿宋" w:hAnsi="仿宋" w:eastAsia="仿宋" w:cs="仿宋"/>
                <w:b/>
                <w:sz w:val="24"/>
                <w:szCs w:val="24"/>
              </w:rPr>
            </w:pPr>
            <w:r>
              <w:rPr>
                <w:rFonts w:hint="eastAsia" w:ascii="仿宋" w:hAnsi="仿宋" w:eastAsia="仿宋" w:cs="仿宋"/>
                <w:b/>
                <w:sz w:val="24"/>
                <w:szCs w:val="24"/>
              </w:rPr>
              <w:t>商务部分（满分3分）</w:t>
            </w:r>
          </w:p>
        </w:tc>
      </w:tr>
      <w:tr w14:paraId="5AB5C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restart"/>
            <w:tcBorders>
              <w:top w:val="single" w:color="000000" w:sz="4" w:space="0"/>
              <w:left w:val="single" w:color="000000" w:sz="4" w:space="0"/>
              <w:bottom w:val="single" w:color="000000" w:sz="4" w:space="0"/>
              <w:right w:val="single" w:color="000000" w:sz="4" w:space="0"/>
            </w:tcBorders>
            <w:vAlign w:val="center"/>
          </w:tcPr>
          <w:p w14:paraId="0B617D48">
            <w:pPr>
              <w:wordWrap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192" w:type="dxa"/>
            <w:tcBorders>
              <w:top w:val="single" w:color="000000" w:sz="4" w:space="0"/>
              <w:left w:val="single" w:color="000000" w:sz="4" w:space="0"/>
              <w:bottom w:val="single" w:color="000000" w:sz="4" w:space="0"/>
              <w:right w:val="single" w:color="auto" w:sz="4" w:space="0"/>
            </w:tcBorders>
            <w:vAlign w:val="center"/>
          </w:tcPr>
          <w:p w14:paraId="360FE356">
            <w:pPr>
              <w:wordWrap w:val="0"/>
              <w:spacing w:line="360" w:lineRule="auto"/>
              <w:jc w:val="center"/>
              <w:rPr>
                <w:rFonts w:hint="eastAsia" w:ascii="仿宋" w:hAnsi="仿宋" w:eastAsia="仿宋" w:cs="仿宋"/>
                <w:sz w:val="24"/>
                <w:szCs w:val="24"/>
              </w:rPr>
            </w:pPr>
            <w:r>
              <w:rPr>
                <w:rFonts w:hint="eastAsia" w:ascii="仿宋" w:hAnsi="仿宋" w:eastAsia="仿宋" w:cs="仿宋"/>
                <w:sz w:val="24"/>
              </w:rPr>
              <w:t>项目案例</w:t>
            </w:r>
          </w:p>
        </w:tc>
        <w:tc>
          <w:tcPr>
            <w:tcW w:w="701" w:type="dxa"/>
            <w:tcBorders>
              <w:top w:val="single" w:color="000000" w:sz="4" w:space="0"/>
              <w:left w:val="single" w:color="auto" w:sz="4" w:space="0"/>
              <w:bottom w:val="single" w:color="000000" w:sz="4" w:space="0"/>
              <w:right w:val="single" w:color="000000" w:sz="4" w:space="0"/>
            </w:tcBorders>
            <w:vAlign w:val="center"/>
          </w:tcPr>
          <w:p w14:paraId="1A912C37">
            <w:pPr>
              <w:wordWrap w:val="0"/>
              <w:spacing w:line="360" w:lineRule="auto"/>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0-1</w:t>
            </w:r>
          </w:p>
        </w:tc>
        <w:tc>
          <w:tcPr>
            <w:tcW w:w="6244" w:type="dxa"/>
            <w:tcBorders>
              <w:top w:val="single" w:color="000000" w:sz="4" w:space="0"/>
              <w:left w:val="single" w:color="000000" w:sz="4" w:space="0"/>
              <w:bottom w:val="single" w:color="000000" w:sz="4" w:space="0"/>
              <w:right w:val="single" w:color="000000" w:sz="4" w:space="0"/>
            </w:tcBorders>
          </w:tcPr>
          <w:p w14:paraId="6D340DFC">
            <w:pPr>
              <w:wordWrap w:val="0"/>
              <w:spacing w:line="360" w:lineRule="auto"/>
              <w:jc w:val="left"/>
              <w:rPr>
                <w:rFonts w:hint="eastAsia" w:ascii="仿宋" w:hAnsi="仿宋" w:eastAsia="仿宋" w:cs="仿宋"/>
                <w:sz w:val="24"/>
                <w:szCs w:val="24"/>
              </w:rPr>
            </w:pPr>
            <w:r>
              <w:rPr>
                <w:rFonts w:hint="eastAsia" w:ascii="仿宋" w:hAnsi="仿宋" w:eastAsia="仿宋" w:cs="仿宋"/>
                <w:sz w:val="24"/>
              </w:rPr>
              <w:t>自202</w:t>
            </w:r>
            <w:r>
              <w:rPr>
                <w:rFonts w:hint="eastAsia" w:ascii="仿宋" w:hAnsi="仿宋" w:eastAsia="仿宋" w:cs="仿宋"/>
                <w:sz w:val="24"/>
                <w:lang w:val="en-US" w:eastAsia="zh-CN"/>
              </w:rPr>
              <w:t>1</w:t>
            </w:r>
            <w:r>
              <w:rPr>
                <w:rFonts w:hint="eastAsia" w:ascii="仿宋" w:hAnsi="仿宋" w:eastAsia="仿宋" w:cs="仿宋"/>
                <w:sz w:val="24"/>
              </w:rPr>
              <w:t>年1月</w:t>
            </w:r>
            <w:r>
              <w:rPr>
                <w:rFonts w:hint="eastAsia" w:ascii="仿宋" w:hAnsi="仿宋" w:eastAsia="仿宋" w:cs="仿宋"/>
                <w:sz w:val="24"/>
                <w:lang w:val="en-US" w:eastAsia="zh-CN"/>
              </w:rPr>
              <w:t>1日</w:t>
            </w:r>
            <w:r>
              <w:rPr>
                <w:rFonts w:hint="eastAsia" w:ascii="仿宋" w:hAnsi="仿宋" w:eastAsia="仿宋" w:cs="仿宋"/>
                <w:sz w:val="24"/>
              </w:rPr>
              <w:t>以来（以合同签订时间为准），响应人具备类似相关的项目案例，每提供一个得0.5分，最高得1分。</w:t>
            </w:r>
          </w:p>
          <w:p w14:paraId="6F1383D7">
            <w:pPr>
              <w:wordWrap w:val="0"/>
              <w:spacing w:line="360" w:lineRule="auto"/>
              <w:jc w:val="left"/>
              <w:rPr>
                <w:rFonts w:hint="eastAsia" w:ascii="仿宋" w:hAnsi="仿宋" w:eastAsia="仿宋" w:cs="仿宋"/>
                <w:sz w:val="24"/>
                <w:szCs w:val="24"/>
              </w:rPr>
            </w:pPr>
            <w:r>
              <w:rPr>
                <w:rFonts w:hint="eastAsia" w:ascii="仿宋" w:hAnsi="仿宋" w:eastAsia="仿宋" w:cs="仿宋"/>
                <w:sz w:val="24"/>
                <w:szCs w:val="24"/>
              </w:rPr>
              <w:t>注：提供项目案例合同复印件并加盖</w:t>
            </w:r>
            <w:r>
              <w:rPr>
                <w:rFonts w:hint="eastAsia" w:ascii="仿宋" w:hAnsi="仿宋" w:eastAsia="仿宋" w:cs="仿宋"/>
                <w:sz w:val="24"/>
                <w:szCs w:val="24"/>
                <w:lang w:eastAsia="zh-CN"/>
              </w:rPr>
              <w:t>响应人</w:t>
            </w:r>
            <w:r>
              <w:rPr>
                <w:rFonts w:hint="eastAsia" w:ascii="仿宋" w:hAnsi="仿宋" w:eastAsia="仿宋" w:cs="仿宋"/>
                <w:sz w:val="24"/>
                <w:szCs w:val="24"/>
              </w:rPr>
              <w:t>电子印章。</w:t>
            </w:r>
          </w:p>
        </w:tc>
      </w:tr>
      <w:tr w14:paraId="6AD79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09FBF12D">
            <w:pPr>
              <w:widowControl/>
              <w:spacing w:line="360" w:lineRule="auto"/>
              <w:jc w:val="left"/>
              <w:rPr>
                <w:rFonts w:hint="eastAsia" w:ascii="仿宋" w:hAnsi="仿宋" w:eastAsia="仿宋" w:cs="仿宋"/>
                <w:sz w:val="24"/>
                <w:szCs w:val="24"/>
              </w:rPr>
            </w:pPr>
          </w:p>
        </w:tc>
        <w:tc>
          <w:tcPr>
            <w:tcW w:w="1192" w:type="dxa"/>
            <w:tcBorders>
              <w:top w:val="single" w:color="000000" w:sz="4" w:space="0"/>
              <w:left w:val="single" w:color="000000" w:sz="4" w:space="0"/>
              <w:bottom w:val="single" w:color="000000" w:sz="4" w:space="0"/>
              <w:right w:val="single" w:color="auto" w:sz="4" w:space="0"/>
            </w:tcBorders>
            <w:vAlign w:val="center"/>
          </w:tcPr>
          <w:p w14:paraId="21600725">
            <w:pPr>
              <w:wordWrap w:val="0"/>
              <w:spacing w:line="360" w:lineRule="auto"/>
              <w:jc w:val="center"/>
              <w:rPr>
                <w:rFonts w:hint="eastAsia" w:ascii="仿宋" w:hAnsi="仿宋" w:eastAsia="仿宋" w:cs="仿宋"/>
                <w:sz w:val="24"/>
                <w:szCs w:val="24"/>
              </w:rPr>
            </w:pPr>
            <w:r>
              <w:rPr>
                <w:rFonts w:hint="eastAsia" w:ascii="仿宋" w:hAnsi="仿宋" w:eastAsia="仿宋" w:cs="仿宋"/>
                <w:sz w:val="24"/>
                <w:lang w:val="en-US" w:eastAsia="zh-CN"/>
              </w:rPr>
              <w:t>认证证书</w:t>
            </w:r>
          </w:p>
        </w:tc>
        <w:tc>
          <w:tcPr>
            <w:tcW w:w="701" w:type="dxa"/>
            <w:tcBorders>
              <w:top w:val="single" w:color="000000" w:sz="4" w:space="0"/>
              <w:left w:val="single" w:color="auto" w:sz="4" w:space="0"/>
              <w:bottom w:val="single" w:color="000000" w:sz="4" w:space="0"/>
              <w:right w:val="single" w:color="000000" w:sz="4" w:space="0"/>
            </w:tcBorders>
            <w:vAlign w:val="center"/>
          </w:tcPr>
          <w:p w14:paraId="7BFEC7F7">
            <w:pPr>
              <w:wordWrap w:val="0"/>
              <w:spacing w:line="360" w:lineRule="auto"/>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0-2</w:t>
            </w:r>
          </w:p>
        </w:tc>
        <w:tc>
          <w:tcPr>
            <w:tcW w:w="6244" w:type="dxa"/>
            <w:tcBorders>
              <w:top w:val="single" w:color="000000" w:sz="4" w:space="0"/>
              <w:left w:val="single" w:color="000000" w:sz="4" w:space="0"/>
              <w:bottom w:val="single" w:color="000000" w:sz="4" w:space="0"/>
              <w:right w:val="single" w:color="000000" w:sz="4" w:space="0"/>
            </w:tcBorders>
          </w:tcPr>
          <w:p w14:paraId="6AA5564C">
            <w:pPr>
              <w:wordWrap w:val="0"/>
              <w:spacing w:line="360" w:lineRule="auto"/>
              <w:jc w:val="left"/>
              <w:rPr>
                <w:rFonts w:hint="eastAsia" w:ascii="仿宋" w:hAnsi="仿宋" w:eastAsia="仿宋" w:cs="仿宋"/>
                <w:sz w:val="24"/>
                <w:lang w:eastAsia="zh-CN"/>
              </w:rPr>
            </w:pPr>
            <w:r>
              <w:rPr>
                <w:rFonts w:hint="eastAsia" w:ascii="仿宋" w:hAnsi="仿宋" w:eastAsia="仿宋" w:cs="仿宋"/>
                <w:sz w:val="24"/>
              </w:rPr>
              <w:t>响应人具有有效的ISO9001质量管理体系认证证书，ISO14001环境管理体系认证证书，每个证书得1分，最多得2分</w:t>
            </w:r>
            <w:r>
              <w:rPr>
                <w:rFonts w:hint="eastAsia" w:ascii="仿宋" w:hAnsi="仿宋" w:eastAsia="仿宋" w:cs="仿宋"/>
                <w:sz w:val="24"/>
                <w:lang w:eastAsia="zh-CN"/>
              </w:rPr>
              <w:t>。</w:t>
            </w:r>
          </w:p>
          <w:p w14:paraId="5621D43A">
            <w:pPr>
              <w:wordWrap w:val="0"/>
              <w:spacing w:line="360" w:lineRule="auto"/>
              <w:jc w:val="left"/>
              <w:rPr>
                <w:rFonts w:hint="eastAsia" w:ascii="仿宋" w:hAnsi="仿宋" w:eastAsia="仿宋" w:cs="仿宋"/>
                <w:sz w:val="24"/>
                <w:szCs w:val="24"/>
              </w:rPr>
            </w:pPr>
            <w:r>
              <w:rPr>
                <w:rFonts w:hint="eastAsia" w:ascii="仿宋" w:hAnsi="仿宋" w:eastAsia="仿宋" w:cs="仿宋"/>
                <w:sz w:val="24"/>
                <w:lang w:val="en-US" w:eastAsia="zh-CN"/>
              </w:rPr>
              <w:t>注：</w:t>
            </w:r>
            <w:r>
              <w:rPr>
                <w:rFonts w:hint="eastAsia" w:ascii="仿宋" w:hAnsi="仿宋" w:eastAsia="仿宋" w:cs="仿宋"/>
                <w:sz w:val="24"/>
              </w:rPr>
              <w:t>提供证书复印件和《全国认证认可信息公共服务平台》查询“有效”结果截图，否则不得分。</w:t>
            </w:r>
          </w:p>
        </w:tc>
      </w:tr>
      <w:tr w14:paraId="209E3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25" w:type="dxa"/>
            <w:gridSpan w:val="4"/>
            <w:tcBorders>
              <w:top w:val="single" w:color="000000" w:sz="4" w:space="0"/>
              <w:left w:val="single" w:color="000000" w:sz="4" w:space="0"/>
              <w:bottom w:val="single" w:color="000000" w:sz="4" w:space="0"/>
              <w:right w:val="single" w:color="000000" w:sz="4" w:space="0"/>
            </w:tcBorders>
            <w:vAlign w:val="center"/>
          </w:tcPr>
          <w:p w14:paraId="6039B33E">
            <w:pPr>
              <w:wordWrap w:val="0"/>
              <w:spacing w:line="360" w:lineRule="auto"/>
              <w:ind w:firstLine="458" w:firstLineChars="190"/>
              <w:jc w:val="center"/>
              <w:rPr>
                <w:rFonts w:hint="eastAsia" w:ascii="仿宋" w:hAnsi="仿宋" w:eastAsia="仿宋" w:cs="仿宋"/>
                <w:b/>
                <w:sz w:val="24"/>
                <w:szCs w:val="24"/>
              </w:rPr>
            </w:pPr>
            <w:r>
              <w:rPr>
                <w:rFonts w:hint="eastAsia" w:ascii="仿宋" w:hAnsi="仿宋" w:eastAsia="仿宋" w:cs="仿宋"/>
                <w:b/>
                <w:sz w:val="24"/>
              </w:rPr>
              <w:t>技术部分（满分</w:t>
            </w:r>
            <w:r>
              <w:rPr>
                <w:rFonts w:hint="eastAsia" w:ascii="仿宋" w:hAnsi="仿宋" w:eastAsia="仿宋" w:cs="仿宋"/>
                <w:b/>
                <w:sz w:val="24"/>
                <w:lang w:val="en-US" w:eastAsia="zh-CN"/>
              </w:rPr>
              <w:t>77</w:t>
            </w:r>
            <w:r>
              <w:rPr>
                <w:rFonts w:hint="eastAsia" w:ascii="仿宋" w:hAnsi="仿宋" w:eastAsia="仿宋" w:cs="仿宋"/>
                <w:b/>
                <w:sz w:val="24"/>
              </w:rPr>
              <w:t>分）</w:t>
            </w:r>
          </w:p>
        </w:tc>
      </w:tr>
      <w:tr w14:paraId="54CF8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restart"/>
            <w:tcBorders>
              <w:top w:val="single" w:color="000000" w:sz="4" w:space="0"/>
              <w:left w:val="single" w:color="000000" w:sz="4" w:space="0"/>
              <w:bottom w:val="single" w:color="000000" w:sz="4" w:space="0"/>
              <w:right w:val="single" w:color="000000" w:sz="4" w:space="0"/>
            </w:tcBorders>
            <w:vAlign w:val="center"/>
          </w:tcPr>
          <w:p w14:paraId="71650443">
            <w:pPr>
              <w:wordWrap w:val="0"/>
              <w:spacing w:line="360" w:lineRule="auto"/>
              <w:jc w:val="center"/>
              <w:rPr>
                <w:rFonts w:hint="eastAsia" w:ascii="仿宋" w:hAnsi="仿宋" w:eastAsia="仿宋" w:cs="仿宋"/>
                <w:sz w:val="24"/>
                <w:szCs w:val="24"/>
              </w:rPr>
            </w:pPr>
            <w:r>
              <w:rPr>
                <w:rFonts w:hint="eastAsia" w:ascii="仿宋" w:hAnsi="仿宋" w:eastAsia="仿宋" w:cs="仿宋"/>
                <w:sz w:val="24"/>
              </w:rPr>
              <w:t>3</w:t>
            </w:r>
          </w:p>
        </w:tc>
        <w:tc>
          <w:tcPr>
            <w:tcW w:w="1192" w:type="dxa"/>
            <w:tcBorders>
              <w:top w:val="single" w:color="000000" w:sz="4" w:space="0"/>
              <w:left w:val="single" w:color="000000" w:sz="4" w:space="0"/>
              <w:bottom w:val="single" w:color="000000" w:sz="4" w:space="0"/>
              <w:right w:val="single" w:color="auto" w:sz="4" w:space="0"/>
            </w:tcBorders>
            <w:vAlign w:val="center"/>
          </w:tcPr>
          <w:p w14:paraId="4B616E0F">
            <w:pPr>
              <w:wordWrap w:val="0"/>
              <w:spacing w:line="360" w:lineRule="auto"/>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响应情况</w:t>
            </w:r>
          </w:p>
        </w:tc>
        <w:tc>
          <w:tcPr>
            <w:tcW w:w="701" w:type="dxa"/>
            <w:tcBorders>
              <w:top w:val="single" w:color="000000" w:sz="4" w:space="0"/>
              <w:left w:val="single" w:color="auto" w:sz="4" w:space="0"/>
              <w:bottom w:val="single" w:color="000000" w:sz="4" w:space="0"/>
              <w:right w:val="single" w:color="000000" w:sz="4" w:space="0"/>
            </w:tcBorders>
            <w:vAlign w:val="center"/>
          </w:tcPr>
          <w:p w14:paraId="73C808B1">
            <w:pPr>
              <w:wordWrap w:val="0"/>
              <w:spacing w:line="360" w:lineRule="auto"/>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0-26</w:t>
            </w:r>
          </w:p>
        </w:tc>
        <w:tc>
          <w:tcPr>
            <w:tcW w:w="6244" w:type="dxa"/>
            <w:tcBorders>
              <w:top w:val="single" w:color="000000" w:sz="4" w:space="0"/>
              <w:left w:val="single" w:color="000000" w:sz="4" w:space="0"/>
              <w:bottom w:val="single" w:color="000000" w:sz="4" w:space="0"/>
              <w:right w:val="single" w:color="000000" w:sz="4" w:space="0"/>
            </w:tcBorders>
            <w:vAlign w:val="center"/>
          </w:tcPr>
          <w:p w14:paraId="5C0266EF">
            <w:pPr>
              <w:wordWrap w:val="0"/>
              <w:spacing w:line="360" w:lineRule="auto"/>
              <w:rPr>
                <w:rFonts w:hint="eastAsia" w:ascii="仿宋" w:hAnsi="仿宋" w:eastAsia="仿宋" w:cs="仿宋"/>
                <w:bCs/>
                <w:sz w:val="24"/>
              </w:rPr>
            </w:pPr>
            <w:r>
              <w:rPr>
                <w:rFonts w:hint="eastAsia" w:ascii="仿宋" w:hAnsi="仿宋" w:eastAsia="仿宋" w:cs="仿宋"/>
                <w:bCs/>
                <w:sz w:val="24"/>
              </w:rPr>
              <w:t>（1）招标文件中的技术要求参数内容，全部满足得2</w:t>
            </w:r>
            <w:r>
              <w:rPr>
                <w:rFonts w:hint="eastAsia" w:ascii="仿宋" w:hAnsi="仿宋" w:eastAsia="仿宋" w:cs="仿宋"/>
                <w:bCs/>
                <w:sz w:val="24"/>
                <w:lang w:val="en-US" w:eastAsia="zh-CN"/>
              </w:rPr>
              <w:t>6</w:t>
            </w:r>
            <w:r>
              <w:rPr>
                <w:rFonts w:hint="eastAsia" w:ascii="仿宋" w:hAnsi="仿宋" w:eastAsia="仿宋" w:cs="仿宋"/>
                <w:bCs/>
                <w:sz w:val="24"/>
              </w:rPr>
              <w:t>分</w:t>
            </w:r>
            <w:r>
              <w:rPr>
                <w:rFonts w:hint="eastAsia" w:ascii="仿宋" w:hAnsi="仿宋" w:eastAsia="仿宋" w:cs="仿宋"/>
                <w:bCs/>
                <w:sz w:val="24"/>
                <w:lang w:eastAsia="zh-CN"/>
              </w:rPr>
              <w:t>，</w:t>
            </w:r>
            <w:r>
              <w:rPr>
                <w:rFonts w:hint="eastAsia" w:ascii="仿宋" w:hAnsi="仿宋" w:eastAsia="仿宋" w:cs="仿宋"/>
                <w:bCs/>
                <w:sz w:val="24"/>
                <w:lang w:val="en-US" w:eastAsia="zh-CN"/>
              </w:rPr>
              <w:t>不满足一项扣1分</w:t>
            </w:r>
            <w:r>
              <w:rPr>
                <w:rFonts w:hint="eastAsia" w:ascii="仿宋" w:hAnsi="仿宋" w:eastAsia="仿宋" w:cs="仿宋"/>
                <w:bCs/>
                <w:sz w:val="24"/>
              </w:rPr>
              <w:t>（</w:t>
            </w:r>
            <w:r>
              <w:rPr>
                <w:rFonts w:hint="eastAsia" w:ascii="仿宋" w:hAnsi="仿宋" w:eastAsia="仿宋" w:cs="仿宋"/>
                <w:bCs/>
                <w:sz w:val="24"/>
                <w:lang w:val="en-US" w:eastAsia="zh-CN"/>
              </w:rPr>
              <w:t>扣完为止</w:t>
            </w:r>
            <w:r>
              <w:rPr>
                <w:rFonts w:hint="eastAsia" w:ascii="仿宋" w:hAnsi="仿宋" w:eastAsia="仿宋" w:cs="仿宋"/>
                <w:bCs/>
                <w:sz w:val="24"/>
              </w:rPr>
              <w:t>）。</w:t>
            </w:r>
          </w:p>
          <w:p w14:paraId="6333C9BF">
            <w:pPr>
              <w:wordWrap w:val="0"/>
              <w:spacing w:line="360" w:lineRule="auto"/>
              <w:rPr>
                <w:rFonts w:hint="eastAsia" w:ascii="仿宋" w:hAnsi="仿宋" w:eastAsia="仿宋" w:cs="仿宋"/>
                <w:sz w:val="24"/>
                <w:lang w:eastAsia="zh-CN"/>
              </w:rPr>
            </w:pPr>
            <w:r>
              <w:rPr>
                <w:rFonts w:hint="eastAsia" w:ascii="仿宋" w:hAnsi="仿宋" w:eastAsia="仿宋" w:cs="仿宋"/>
                <w:bCs/>
                <w:sz w:val="24"/>
              </w:rPr>
              <w:t>（2）</w:t>
            </w:r>
            <w:r>
              <w:rPr>
                <w:rFonts w:hint="eastAsia" w:ascii="仿宋" w:hAnsi="仿宋" w:eastAsia="仿宋" w:cs="仿宋"/>
                <w:bCs/>
                <w:sz w:val="24"/>
                <w:lang w:eastAsia="zh-CN"/>
              </w:rPr>
              <w:t>“</w:t>
            </w:r>
            <w:r>
              <w:rPr>
                <w:rFonts w:hint="eastAsia" w:ascii="仿宋" w:hAnsi="仿宋" w:eastAsia="仿宋" w:cs="仿宋"/>
                <w:bCs/>
                <w:sz w:val="24"/>
                <w:lang w:val="en-US" w:eastAsia="zh-CN"/>
              </w:rPr>
              <w:t>*</w:t>
            </w:r>
            <w:r>
              <w:rPr>
                <w:rFonts w:hint="eastAsia" w:ascii="仿宋" w:hAnsi="仿宋" w:eastAsia="仿宋" w:cs="仿宋"/>
                <w:bCs/>
                <w:sz w:val="24"/>
                <w:lang w:eastAsia="zh-CN"/>
              </w:rPr>
              <w:t>”</w:t>
            </w:r>
            <w:r>
              <w:rPr>
                <w:rFonts w:hint="eastAsia" w:ascii="仿宋" w:hAnsi="仿宋" w:eastAsia="仿宋" w:cs="仿宋"/>
                <w:bCs/>
                <w:sz w:val="24"/>
              </w:rPr>
              <w:t>实质性技术要求参数有负偏离的，每一项扣2分（</w:t>
            </w:r>
            <w:r>
              <w:rPr>
                <w:rFonts w:hint="eastAsia" w:ascii="仿宋" w:hAnsi="仿宋" w:eastAsia="仿宋" w:cs="仿宋"/>
                <w:bCs/>
                <w:sz w:val="24"/>
                <w:lang w:val="en-US" w:eastAsia="zh-CN"/>
              </w:rPr>
              <w:t>扣完为止</w:t>
            </w:r>
            <w:r>
              <w:rPr>
                <w:rFonts w:hint="eastAsia" w:ascii="仿宋" w:hAnsi="仿宋" w:eastAsia="仿宋" w:cs="仿宋"/>
                <w:bCs/>
                <w:sz w:val="24"/>
              </w:rPr>
              <w:t>）</w:t>
            </w:r>
            <w:r>
              <w:rPr>
                <w:rFonts w:hint="eastAsia" w:ascii="仿宋" w:hAnsi="仿宋" w:eastAsia="仿宋" w:cs="仿宋"/>
                <w:bCs/>
                <w:sz w:val="24"/>
                <w:lang w:eastAsia="zh-CN"/>
              </w:rPr>
              <w:t>。</w:t>
            </w:r>
          </w:p>
        </w:tc>
      </w:tr>
      <w:tr w14:paraId="68B75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38525B6C">
            <w:pPr>
              <w:widowControl/>
              <w:spacing w:line="360" w:lineRule="auto"/>
              <w:jc w:val="left"/>
              <w:rPr>
                <w:rFonts w:hint="eastAsia" w:ascii="仿宋" w:hAnsi="仿宋" w:eastAsia="仿宋" w:cs="仿宋"/>
                <w:sz w:val="24"/>
                <w:szCs w:val="24"/>
              </w:rPr>
            </w:pPr>
          </w:p>
        </w:tc>
        <w:tc>
          <w:tcPr>
            <w:tcW w:w="1192" w:type="dxa"/>
            <w:tcBorders>
              <w:top w:val="single" w:color="000000" w:sz="4" w:space="0"/>
              <w:left w:val="single" w:color="000000" w:sz="4" w:space="0"/>
              <w:bottom w:val="single" w:color="000000" w:sz="4" w:space="0"/>
              <w:right w:val="single" w:color="auto" w:sz="4" w:space="0"/>
            </w:tcBorders>
            <w:vAlign w:val="center"/>
          </w:tcPr>
          <w:p w14:paraId="4A8A1527">
            <w:pPr>
              <w:wordWrap w:val="0"/>
              <w:spacing w:line="360" w:lineRule="auto"/>
              <w:jc w:val="center"/>
              <w:rPr>
                <w:rFonts w:hint="eastAsia" w:ascii="仿宋" w:hAnsi="仿宋" w:eastAsia="仿宋" w:cs="仿宋"/>
                <w:bCs/>
                <w:sz w:val="24"/>
              </w:rPr>
            </w:pPr>
            <w:r>
              <w:rPr>
                <w:rFonts w:hint="eastAsia" w:ascii="仿宋" w:hAnsi="仿宋" w:eastAsia="仿宋" w:cs="仿宋"/>
                <w:sz w:val="24"/>
              </w:rPr>
              <w:t>机房服务方案</w:t>
            </w:r>
          </w:p>
        </w:tc>
        <w:tc>
          <w:tcPr>
            <w:tcW w:w="701" w:type="dxa"/>
            <w:tcBorders>
              <w:top w:val="single" w:color="000000" w:sz="4" w:space="0"/>
              <w:left w:val="single" w:color="auto" w:sz="4" w:space="0"/>
              <w:bottom w:val="single" w:color="000000" w:sz="4" w:space="0"/>
              <w:right w:val="single" w:color="000000" w:sz="4" w:space="0"/>
            </w:tcBorders>
            <w:vAlign w:val="center"/>
          </w:tcPr>
          <w:p w14:paraId="2E5A479F">
            <w:pPr>
              <w:wordWrap w:val="0"/>
              <w:spacing w:line="360" w:lineRule="auto"/>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0-5</w:t>
            </w:r>
          </w:p>
        </w:tc>
        <w:tc>
          <w:tcPr>
            <w:tcW w:w="6244" w:type="dxa"/>
            <w:tcBorders>
              <w:top w:val="single" w:color="000000" w:sz="4" w:space="0"/>
              <w:left w:val="single" w:color="000000" w:sz="4" w:space="0"/>
              <w:bottom w:val="single" w:color="000000" w:sz="4" w:space="0"/>
              <w:right w:val="single" w:color="000000" w:sz="4" w:space="0"/>
            </w:tcBorders>
            <w:vAlign w:val="center"/>
          </w:tcPr>
          <w:p w14:paraId="3A28B467">
            <w:pPr>
              <w:wordWrap w:val="0"/>
              <w:spacing w:line="360" w:lineRule="auto"/>
              <w:rPr>
                <w:rFonts w:hint="eastAsia" w:ascii="仿宋" w:hAnsi="仿宋" w:eastAsia="仿宋" w:cs="仿宋"/>
                <w:sz w:val="24"/>
              </w:rPr>
            </w:pPr>
            <w:r>
              <w:rPr>
                <w:rFonts w:hint="eastAsia" w:ascii="仿宋" w:hAnsi="仿宋" w:eastAsia="仿宋" w:cs="仿宋"/>
                <w:sz w:val="24"/>
              </w:rPr>
              <w:t>根据响应人提供的机房基础环境现状了解程度，提出科学合理的服务方案</w:t>
            </w:r>
            <w:r>
              <w:rPr>
                <w:rFonts w:hint="eastAsia" w:ascii="仿宋" w:hAnsi="仿宋" w:eastAsia="仿宋" w:cs="仿宋"/>
                <w:sz w:val="24"/>
                <w:lang w:eastAsia="zh-CN"/>
              </w:rPr>
              <w:t>，</w:t>
            </w:r>
            <w:r>
              <w:rPr>
                <w:rFonts w:hint="eastAsia" w:ascii="仿宋" w:hAnsi="仿宋" w:eastAsia="仿宋" w:cs="仿宋"/>
                <w:sz w:val="24"/>
              </w:rPr>
              <w:t>方案完整、清楚、保障服务到位</w:t>
            </w:r>
            <w:r>
              <w:rPr>
                <w:rFonts w:hint="eastAsia" w:ascii="仿宋" w:hAnsi="仿宋" w:eastAsia="仿宋" w:cs="仿宋"/>
                <w:sz w:val="24"/>
                <w:lang w:val="en-US" w:eastAsia="zh-CN"/>
              </w:rPr>
              <w:t>等情况综合评定</w:t>
            </w:r>
            <w:r>
              <w:rPr>
                <w:rFonts w:hint="eastAsia" w:ascii="仿宋" w:hAnsi="仿宋" w:eastAsia="仿宋" w:cs="仿宋"/>
                <w:sz w:val="24"/>
              </w:rPr>
              <w:t>。</w:t>
            </w:r>
          </w:p>
          <w:p w14:paraId="587A590E">
            <w:pPr>
              <w:wordWrap w:val="0"/>
              <w:spacing w:line="360" w:lineRule="auto"/>
              <w:rPr>
                <w:rFonts w:hint="eastAsia" w:ascii="仿宋" w:hAnsi="仿宋" w:eastAsia="仿宋" w:cs="仿宋"/>
                <w:bCs/>
                <w:sz w:val="24"/>
              </w:rPr>
            </w:pPr>
            <w:r>
              <w:rPr>
                <w:rFonts w:hint="eastAsia" w:ascii="仿宋" w:hAnsi="仿宋" w:eastAsia="仿宋" w:cs="仿宋"/>
                <w:sz w:val="24"/>
                <w:lang w:eastAsia="zh-CN"/>
              </w:rPr>
              <w:t>（</w:t>
            </w:r>
            <w:r>
              <w:rPr>
                <w:rFonts w:hint="eastAsia" w:ascii="仿宋" w:hAnsi="仿宋" w:eastAsia="仿宋" w:cs="仿宋"/>
                <w:sz w:val="24"/>
                <w:lang w:val="en-US" w:eastAsia="zh-CN"/>
              </w:rPr>
              <w:t>评分设定：5,4,3,2,1,0</w:t>
            </w:r>
            <w:r>
              <w:rPr>
                <w:rFonts w:hint="eastAsia" w:ascii="仿宋" w:hAnsi="仿宋" w:eastAsia="仿宋" w:cs="仿宋"/>
                <w:sz w:val="24"/>
                <w:lang w:eastAsia="zh-CN"/>
              </w:rPr>
              <w:t>）</w:t>
            </w:r>
          </w:p>
        </w:tc>
      </w:tr>
      <w:tr w14:paraId="32241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5C20CBD1">
            <w:pPr>
              <w:widowControl/>
              <w:spacing w:line="360" w:lineRule="auto"/>
              <w:jc w:val="left"/>
              <w:rPr>
                <w:rFonts w:hint="eastAsia" w:ascii="仿宋" w:hAnsi="仿宋" w:eastAsia="仿宋" w:cs="仿宋"/>
                <w:sz w:val="24"/>
                <w:szCs w:val="24"/>
              </w:rPr>
            </w:pPr>
          </w:p>
        </w:tc>
        <w:tc>
          <w:tcPr>
            <w:tcW w:w="1192" w:type="dxa"/>
            <w:tcBorders>
              <w:top w:val="single" w:color="000000" w:sz="4" w:space="0"/>
              <w:left w:val="single" w:color="000000" w:sz="4" w:space="0"/>
              <w:bottom w:val="single" w:color="000000" w:sz="4" w:space="0"/>
              <w:right w:val="single" w:color="auto" w:sz="4" w:space="0"/>
            </w:tcBorders>
            <w:vAlign w:val="center"/>
          </w:tcPr>
          <w:p w14:paraId="7138013E">
            <w:pPr>
              <w:wordWrap w:val="0"/>
              <w:spacing w:line="360" w:lineRule="auto"/>
              <w:jc w:val="center"/>
              <w:rPr>
                <w:rFonts w:hint="eastAsia" w:ascii="仿宋" w:hAnsi="仿宋" w:eastAsia="仿宋" w:cs="仿宋"/>
                <w:bCs/>
                <w:sz w:val="24"/>
              </w:rPr>
            </w:pPr>
            <w:r>
              <w:rPr>
                <w:rFonts w:hint="eastAsia" w:ascii="仿宋" w:hAnsi="仿宋" w:eastAsia="仿宋" w:cs="仿宋"/>
                <w:sz w:val="24"/>
              </w:rPr>
              <w:t>运维服务方案</w:t>
            </w:r>
          </w:p>
        </w:tc>
        <w:tc>
          <w:tcPr>
            <w:tcW w:w="701" w:type="dxa"/>
            <w:tcBorders>
              <w:top w:val="single" w:color="000000" w:sz="4" w:space="0"/>
              <w:left w:val="single" w:color="auto" w:sz="4" w:space="0"/>
              <w:bottom w:val="single" w:color="000000" w:sz="4" w:space="0"/>
              <w:right w:val="single" w:color="000000" w:sz="4" w:space="0"/>
            </w:tcBorders>
            <w:vAlign w:val="center"/>
          </w:tcPr>
          <w:p w14:paraId="0C948C15">
            <w:pPr>
              <w:wordWrap w:val="0"/>
              <w:spacing w:line="360" w:lineRule="auto"/>
              <w:rPr>
                <w:rFonts w:hint="default" w:ascii="仿宋" w:hAnsi="仿宋" w:eastAsia="仿宋" w:cs="仿宋"/>
                <w:bCs/>
                <w:sz w:val="24"/>
                <w:lang w:val="en-US" w:eastAsia="zh-CN"/>
              </w:rPr>
            </w:pPr>
            <w:r>
              <w:rPr>
                <w:rFonts w:hint="eastAsia" w:ascii="仿宋" w:hAnsi="仿宋" w:eastAsia="仿宋" w:cs="仿宋"/>
                <w:bCs/>
                <w:sz w:val="24"/>
                <w:lang w:val="en-US" w:eastAsia="zh-CN"/>
              </w:rPr>
              <w:t>0-5</w:t>
            </w:r>
          </w:p>
        </w:tc>
        <w:tc>
          <w:tcPr>
            <w:tcW w:w="6244" w:type="dxa"/>
            <w:tcBorders>
              <w:top w:val="single" w:color="000000" w:sz="4" w:space="0"/>
              <w:left w:val="single" w:color="000000" w:sz="4" w:space="0"/>
              <w:bottom w:val="single" w:color="000000" w:sz="4" w:space="0"/>
              <w:right w:val="single" w:color="000000" w:sz="4" w:space="0"/>
            </w:tcBorders>
            <w:vAlign w:val="center"/>
          </w:tcPr>
          <w:p w14:paraId="650D3D46">
            <w:pPr>
              <w:wordWrap w:val="0"/>
              <w:spacing w:line="360" w:lineRule="auto"/>
              <w:rPr>
                <w:rFonts w:hint="eastAsia" w:ascii="仿宋" w:hAnsi="仿宋" w:eastAsia="仿宋" w:cs="仿宋"/>
                <w:sz w:val="24"/>
              </w:rPr>
            </w:pPr>
            <w:r>
              <w:rPr>
                <w:rFonts w:hint="eastAsia" w:ascii="仿宋" w:hAnsi="仿宋" w:eastAsia="仿宋" w:cs="仿宋"/>
                <w:sz w:val="24"/>
              </w:rPr>
              <w:t>根据响应人提供的运维服务方案，方案完整、清楚、保障服务到位</w:t>
            </w:r>
            <w:r>
              <w:rPr>
                <w:rFonts w:hint="eastAsia" w:ascii="仿宋" w:hAnsi="仿宋" w:eastAsia="仿宋" w:cs="仿宋"/>
                <w:sz w:val="24"/>
                <w:lang w:val="en-US" w:eastAsia="zh-CN"/>
              </w:rPr>
              <w:t>等情况综合评定</w:t>
            </w:r>
            <w:r>
              <w:rPr>
                <w:rFonts w:hint="eastAsia" w:ascii="仿宋" w:hAnsi="仿宋" w:eastAsia="仿宋" w:cs="仿宋"/>
                <w:sz w:val="24"/>
              </w:rPr>
              <w:t>。</w:t>
            </w:r>
          </w:p>
          <w:p w14:paraId="1A6F1277">
            <w:pPr>
              <w:wordWrap w:val="0"/>
              <w:spacing w:line="360" w:lineRule="auto"/>
              <w:rPr>
                <w:rFonts w:hint="eastAsia" w:ascii="仿宋" w:hAnsi="仿宋" w:eastAsia="仿宋" w:cs="仿宋"/>
                <w:bCs/>
                <w:sz w:val="24"/>
                <w:szCs w:val="24"/>
              </w:rPr>
            </w:pPr>
            <w:r>
              <w:rPr>
                <w:rFonts w:hint="eastAsia" w:ascii="仿宋" w:hAnsi="仿宋" w:eastAsia="仿宋" w:cs="仿宋"/>
                <w:sz w:val="24"/>
                <w:lang w:eastAsia="zh-CN"/>
              </w:rPr>
              <w:t>（</w:t>
            </w:r>
            <w:r>
              <w:rPr>
                <w:rFonts w:hint="eastAsia" w:ascii="仿宋" w:hAnsi="仿宋" w:eastAsia="仿宋" w:cs="仿宋"/>
                <w:sz w:val="24"/>
                <w:lang w:val="en-US" w:eastAsia="zh-CN"/>
              </w:rPr>
              <w:t>评分设定：5,4,3,2,1,0</w:t>
            </w:r>
            <w:r>
              <w:rPr>
                <w:rFonts w:hint="eastAsia" w:ascii="仿宋" w:hAnsi="仿宋" w:eastAsia="仿宋" w:cs="仿宋"/>
                <w:sz w:val="24"/>
                <w:lang w:eastAsia="zh-CN"/>
              </w:rPr>
              <w:t>）</w:t>
            </w:r>
          </w:p>
        </w:tc>
      </w:tr>
      <w:tr w14:paraId="5DCA4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7ED54510">
            <w:pPr>
              <w:widowControl/>
              <w:spacing w:line="360" w:lineRule="auto"/>
              <w:jc w:val="left"/>
              <w:rPr>
                <w:rFonts w:hint="eastAsia" w:ascii="仿宋" w:hAnsi="仿宋" w:eastAsia="仿宋" w:cs="仿宋"/>
                <w:sz w:val="24"/>
                <w:szCs w:val="24"/>
              </w:rPr>
            </w:pPr>
          </w:p>
        </w:tc>
        <w:tc>
          <w:tcPr>
            <w:tcW w:w="1192" w:type="dxa"/>
            <w:tcBorders>
              <w:top w:val="single" w:color="000000" w:sz="4" w:space="0"/>
              <w:left w:val="single" w:color="000000" w:sz="4" w:space="0"/>
              <w:bottom w:val="single" w:color="000000" w:sz="4" w:space="0"/>
              <w:right w:val="single" w:color="auto" w:sz="4" w:space="0"/>
            </w:tcBorders>
            <w:vAlign w:val="center"/>
          </w:tcPr>
          <w:p w14:paraId="56C767A7">
            <w:pPr>
              <w:wordWrap w:val="0"/>
              <w:spacing w:line="360" w:lineRule="auto"/>
              <w:jc w:val="center"/>
              <w:rPr>
                <w:rFonts w:hint="eastAsia" w:ascii="仿宋" w:hAnsi="仿宋" w:eastAsia="仿宋" w:cs="仿宋"/>
                <w:bCs/>
                <w:sz w:val="24"/>
                <w:szCs w:val="24"/>
              </w:rPr>
            </w:pPr>
            <w:r>
              <w:rPr>
                <w:rFonts w:hint="eastAsia" w:ascii="仿宋" w:hAnsi="仿宋" w:eastAsia="仿宋" w:cs="仿宋"/>
                <w:sz w:val="24"/>
              </w:rPr>
              <w:t>应急措施方案</w:t>
            </w:r>
          </w:p>
        </w:tc>
        <w:tc>
          <w:tcPr>
            <w:tcW w:w="701" w:type="dxa"/>
            <w:tcBorders>
              <w:top w:val="single" w:color="000000" w:sz="4" w:space="0"/>
              <w:left w:val="single" w:color="auto" w:sz="4" w:space="0"/>
              <w:bottom w:val="single" w:color="000000" w:sz="4" w:space="0"/>
              <w:right w:val="single" w:color="000000" w:sz="4" w:space="0"/>
            </w:tcBorders>
            <w:vAlign w:val="center"/>
          </w:tcPr>
          <w:p w14:paraId="3AE060CA">
            <w:pPr>
              <w:wordWrap w:val="0"/>
              <w:spacing w:line="360" w:lineRule="auto"/>
              <w:jc w:val="center"/>
              <w:rPr>
                <w:rFonts w:hint="default" w:ascii="仿宋" w:hAnsi="仿宋" w:eastAsia="仿宋" w:cs="仿宋"/>
                <w:bCs/>
                <w:sz w:val="24"/>
                <w:szCs w:val="24"/>
                <w:lang w:val="en-US" w:eastAsia="zh-CN"/>
              </w:rPr>
            </w:pPr>
            <w:r>
              <w:rPr>
                <w:rFonts w:hint="eastAsia" w:ascii="仿宋" w:hAnsi="仿宋" w:eastAsia="仿宋" w:cs="仿宋"/>
                <w:sz w:val="24"/>
                <w:szCs w:val="24"/>
                <w:lang w:val="en-US" w:eastAsia="zh-CN"/>
              </w:rPr>
              <w:t>0-5</w:t>
            </w:r>
          </w:p>
        </w:tc>
        <w:tc>
          <w:tcPr>
            <w:tcW w:w="6244" w:type="dxa"/>
            <w:tcBorders>
              <w:top w:val="single" w:color="000000" w:sz="4" w:space="0"/>
              <w:left w:val="single" w:color="000000" w:sz="4" w:space="0"/>
              <w:bottom w:val="single" w:color="000000" w:sz="4" w:space="0"/>
              <w:right w:val="single" w:color="000000" w:sz="4" w:space="0"/>
            </w:tcBorders>
            <w:vAlign w:val="center"/>
          </w:tcPr>
          <w:p w14:paraId="492AA62D">
            <w:pPr>
              <w:wordWrap w:val="0"/>
              <w:spacing w:line="360" w:lineRule="auto"/>
              <w:rPr>
                <w:rFonts w:hint="eastAsia" w:ascii="仿宋" w:hAnsi="仿宋" w:eastAsia="仿宋" w:cs="仿宋"/>
                <w:sz w:val="24"/>
              </w:rPr>
            </w:pPr>
            <w:r>
              <w:rPr>
                <w:rFonts w:hint="eastAsia" w:ascii="仿宋" w:hAnsi="仿宋" w:eastAsia="仿宋" w:cs="仿宋"/>
                <w:sz w:val="24"/>
              </w:rPr>
              <w:t>根据响应人提供的应急措施方案的完整性、合理性和可行性进行综合评分。</w:t>
            </w:r>
          </w:p>
          <w:p w14:paraId="4CEDE72B">
            <w:pPr>
              <w:wordWrap w:val="0"/>
              <w:spacing w:line="360" w:lineRule="auto"/>
              <w:rPr>
                <w:rFonts w:hint="eastAsia" w:ascii="仿宋" w:hAnsi="仿宋" w:eastAsia="仿宋" w:cs="仿宋"/>
                <w:bCs/>
                <w:sz w:val="24"/>
                <w:szCs w:val="24"/>
              </w:rPr>
            </w:pPr>
            <w:r>
              <w:rPr>
                <w:rFonts w:hint="eastAsia" w:ascii="仿宋" w:hAnsi="仿宋" w:eastAsia="仿宋" w:cs="仿宋"/>
                <w:sz w:val="24"/>
                <w:lang w:eastAsia="zh-CN"/>
              </w:rPr>
              <w:t>（</w:t>
            </w:r>
            <w:r>
              <w:rPr>
                <w:rFonts w:hint="eastAsia" w:ascii="仿宋" w:hAnsi="仿宋" w:eastAsia="仿宋" w:cs="仿宋"/>
                <w:sz w:val="24"/>
                <w:lang w:val="en-US" w:eastAsia="zh-CN"/>
              </w:rPr>
              <w:t>评分设定：5,4,3,2,1,0</w:t>
            </w:r>
            <w:r>
              <w:rPr>
                <w:rFonts w:hint="eastAsia" w:ascii="仿宋" w:hAnsi="仿宋" w:eastAsia="仿宋" w:cs="仿宋"/>
                <w:sz w:val="24"/>
                <w:lang w:eastAsia="zh-CN"/>
              </w:rPr>
              <w:t>）</w:t>
            </w:r>
          </w:p>
        </w:tc>
      </w:tr>
      <w:tr w14:paraId="42A33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2D787538">
            <w:pPr>
              <w:widowControl/>
              <w:spacing w:line="360" w:lineRule="auto"/>
              <w:jc w:val="left"/>
              <w:rPr>
                <w:rFonts w:hint="eastAsia" w:ascii="仿宋" w:hAnsi="仿宋" w:eastAsia="仿宋" w:cs="仿宋"/>
                <w:sz w:val="24"/>
                <w:szCs w:val="24"/>
              </w:rPr>
            </w:pPr>
          </w:p>
        </w:tc>
        <w:tc>
          <w:tcPr>
            <w:tcW w:w="1192" w:type="dxa"/>
            <w:vMerge w:val="restart"/>
            <w:tcBorders>
              <w:top w:val="single" w:color="000000" w:sz="4" w:space="0"/>
              <w:left w:val="single" w:color="000000" w:sz="4" w:space="0"/>
              <w:right w:val="single" w:color="auto" w:sz="4" w:space="0"/>
            </w:tcBorders>
            <w:vAlign w:val="center"/>
          </w:tcPr>
          <w:p w14:paraId="0135B8BE">
            <w:pPr>
              <w:wordWrap w:val="0"/>
              <w:spacing w:line="360" w:lineRule="auto"/>
              <w:jc w:val="center"/>
              <w:rPr>
                <w:rFonts w:hint="eastAsia" w:ascii="仿宋" w:hAnsi="仿宋" w:eastAsia="仿宋" w:cs="仿宋"/>
                <w:sz w:val="24"/>
                <w:szCs w:val="24"/>
              </w:rPr>
            </w:pPr>
            <w:r>
              <w:rPr>
                <w:rFonts w:hint="eastAsia" w:ascii="仿宋" w:hAnsi="仿宋" w:eastAsia="仿宋" w:cs="仿宋"/>
                <w:sz w:val="24"/>
              </w:rPr>
              <w:t>项目团队</w:t>
            </w:r>
          </w:p>
        </w:tc>
        <w:tc>
          <w:tcPr>
            <w:tcW w:w="701" w:type="dxa"/>
            <w:tcBorders>
              <w:top w:val="single" w:color="000000" w:sz="4" w:space="0"/>
              <w:left w:val="single" w:color="auto" w:sz="4" w:space="0"/>
              <w:bottom w:val="single" w:color="000000" w:sz="4" w:space="0"/>
              <w:right w:val="single" w:color="000000" w:sz="4" w:space="0"/>
            </w:tcBorders>
            <w:vAlign w:val="center"/>
          </w:tcPr>
          <w:p w14:paraId="04FD0ADF">
            <w:pPr>
              <w:wordWrap w:val="0"/>
              <w:spacing w:line="360" w:lineRule="auto"/>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0-3</w:t>
            </w:r>
          </w:p>
        </w:tc>
        <w:tc>
          <w:tcPr>
            <w:tcW w:w="6244" w:type="dxa"/>
            <w:tcBorders>
              <w:top w:val="single" w:color="000000" w:sz="4" w:space="0"/>
              <w:left w:val="single" w:color="000000" w:sz="4" w:space="0"/>
              <w:bottom w:val="single" w:color="000000" w:sz="4" w:space="0"/>
              <w:right w:val="single" w:color="000000" w:sz="4" w:space="0"/>
            </w:tcBorders>
            <w:vAlign w:val="center"/>
          </w:tcPr>
          <w:p w14:paraId="352CB1DA">
            <w:pPr>
              <w:spacing w:line="360" w:lineRule="auto"/>
              <w:jc w:val="both"/>
              <w:rPr>
                <w:rFonts w:hint="eastAsia" w:ascii="仿宋" w:hAnsi="仿宋" w:eastAsia="仿宋" w:cs="仿宋"/>
                <w:sz w:val="24"/>
                <w:szCs w:val="24"/>
              </w:rPr>
            </w:pPr>
            <w:r>
              <w:rPr>
                <w:rFonts w:hint="eastAsia" w:ascii="仿宋" w:hAnsi="仿宋" w:eastAsia="仿宋" w:cs="仿宋"/>
                <w:sz w:val="24"/>
                <w:szCs w:val="24"/>
              </w:rPr>
              <w:t>项目经理：</w:t>
            </w:r>
          </w:p>
          <w:p w14:paraId="0EAFDA5B">
            <w:pPr>
              <w:spacing w:line="360" w:lineRule="auto"/>
              <w:jc w:val="both"/>
              <w:rPr>
                <w:rFonts w:hint="eastAsia" w:ascii="仿宋" w:hAnsi="仿宋" w:eastAsia="仿宋" w:cs="仿宋"/>
                <w:sz w:val="24"/>
                <w:szCs w:val="24"/>
              </w:rPr>
            </w:pPr>
            <w:r>
              <w:rPr>
                <w:rFonts w:hint="eastAsia" w:ascii="仿宋" w:hAnsi="仿宋" w:eastAsia="仿宋" w:cs="仿宋"/>
                <w:sz w:val="24"/>
                <w:szCs w:val="24"/>
              </w:rPr>
              <w:t>项目经理具有国家信息安全水平证书（NISP）、注册信息安全专业人员（CISP-CISE）以及项目管理专业人员相关证书的，同时具备三个得3分，具备两个或者一个得1分，其他情况不得分。</w:t>
            </w:r>
          </w:p>
          <w:p w14:paraId="585EA9C1">
            <w:pPr>
              <w:wordWrap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注：</w:t>
            </w:r>
            <w:r>
              <w:rPr>
                <w:rFonts w:hint="eastAsia" w:ascii="仿宋" w:hAnsi="仿宋" w:eastAsia="仿宋" w:cs="仿宋"/>
                <w:sz w:val="24"/>
                <w:szCs w:val="24"/>
              </w:rPr>
              <w:t>需提供证书复印件和</w:t>
            </w:r>
            <w:r>
              <w:rPr>
                <w:rFonts w:hint="eastAsia" w:ascii="仿宋" w:hAnsi="仿宋" w:eastAsia="仿宋" w:cs="仿宋"/>
                <w:sz w:val="24"/>
                <w:szCs w:val="24"/>
                <w:lang w:val="en-US" w:eastAsia="zh-CN"/>
              </w:rPr>
              <w:t>9月、10月、11月</w:t>
            </w:r>
            <w:r>
              <w:rPr>
                <w:rFonts w:hint="eastAsia" w:ascii="仿宋" w:hAnsi="仿宋" w:eastAsia="仿宋" w:cs="仿宋"/>
                <w:sz w:val="24"/>
                <w:szCs w:val="24"/>
              </w:rPr>
              <w:t>内任意一月社保证明，不提供不得分。</w:t>
            </w:r>
            <w:r>
              <w:rPr>
                <w:rFonts w:hint="eastAsia" w:ascii="仿宋" w:hAnsi="仿宋" w:eastAsia="仿宋" w:cs="仿宋"/>
                <w:kern w:val="0"/>
                <w:sz w:val="24"/>
                <w:szCs w:val="24"/>
              </w:rPr>
              <w:t>社保参保缴纳单位必须</w:t>
            </w:r>
            <w:r>
              <w:rPr>
                <w:rFonts w:hint="eastAsia" w:ascii="仿宋" w:hAnsi="仿宋" w:eastAsia="仿宋" w:cs="仿宋"/>
                <w:sz w:val="24"/>
                <w:szCs w:val="24"/>
              </w:rPr>
              <w:t>是</w:t>
            </w:r>
            <w:r>
              <w:rPr>
                <w:rFonts w:hint="eastAsia" w:ascii="仿宋" w:hAnsi="仿宋" w:eastAsia="仿宋" w:cs="仿宋"/>
                <w:kern w:val="0"/>
                <w:sz w:val="24"/>
                <w:szCs w:val="24"/>
              </w:rPr>
              <w:t>投标人单位名称，其余单位均不予认可</w:t>
            </w:r>
            <w:r>
              <w:rPr>
                <w:rFonts w:hint="eastAsia" w:ascii="仿宋" w:hAnsi="仿宋" w:eastAsia="仿宋" w:cs="仿宋"/>
                <w:sz w:val="24"/>
                <w:szCs w:val="24"/>
              </w:rPr>
              <w:t>。</w:t>
            </w:r>
          </w:p>
        </w:tc>
      </w:tr>
      <w:tr w14:paraId="3DB35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0DC78CBF">
            <w:pPr>
              <w:widowControl/>
              <w:spacing w:line="360" w:lineRule="auto"/>
              <w:jc w:val="left"/>
              <w:rPr>
                <w:rFonts w:hint="eastAsia" w:ascii="仿宋" w:hAnsi="仿宋" w:eastAsia="仿宋" w:cs="仿宋"/>
                <w:sz w:val="24"/>
                <w:szCs w:val="24"/>
              </w:rPr>
            </w:pPr>
          </w:p>
        </w:tc>
        <w:tc>
          <w:tcPr>
            <w:tcW w:w="1192" w:type="dxa"/>
            <w:vMerge w:val="continue"/>
            <w:tcBorders>
              <w:left w:val="single" w:color="000000" w:sz="4" w:space="0"/>
              <w:right w:val="single" w:color="auto" w:sz="4" w:space="0"/>
            </w:tcBorders>
            <w:vAlign w:val="center"/>
          </w:tcPr>
          <w:p w14:paraId="0CAE2F71">
            <w:pPr>
              <w:wordWrap w:val="0"/>
              <w:spacing w:line="360" w:lineRule="auto"/>
              <w:jc w:val="center"/>
              <w:rPr>
                <w:rFonts w:hint="eastAsia" w:ascii="仿宋" w:hAnsi="仿宋" w:eastAsia="仿宋" w:cs="仿宋"/>
                <w:sz w:val="24"/>
                <w:szCs w:val="24"/>
              </w:rPr>
            </w:pPr>
          </w:p>
        </w:tc>
        <w:tc>
          <w:tcPr>
            <w:tcW w:w="701" w:type="dxa"/>
            <w:tcBorders>
              <w:top w:val="single" w:color="000000" w:sz="4" w:space="0"/>
              <w:left w:val="single" w:color="auto" w:sz="4" w:space="0"/>
              <w:bottom w:val="single" w:color="000000" w:sz="4" w:space="0"/>
              <w:right w:val="single" w:color="000000" w:sz="4" w:space="0"/>
            </w:tcBorders>
            <w:vAlign w:val="center"/>
          </w:tcPr>
          <w:p w14:paraId="6666D1BD">
            <w:pPr>
              <w:wordWrap w:val="0"/>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0-3</w:t>
            </w:r>
          </w:p>
        </w:tc>
        <w:tc>
          <w:tcPr>
            <w:tcW w:w="6244" w:type="dxa"/>
            <w:tcBorders>
              <w:top w:val="single" w:color="000000" w:sz="4" w:space="0"/>
              <w:left w:val="single" w:color="000000" w:sz="4" w:space="0"/>
              <w:bottom w:val="single" w:color="000000" w:sz="4" w:space="0"/>
              <w:right w:val="single" w:color="000000" w:sz="4" w:space="0"/>
            </w:tcBorders>
            <w:vAlign w:val="center"/>
          </w:tcPr>
          <w:p w14:paraId="1E57EC03">
            <w:pPr>
              <w:spacing w:line="360" w:lineRule="auto"/>
              <w:jc w:val="both"/>
              <w:rPr>
                <w:rFonts w:hint="eastAsia" w:ascii="仿宋" w:hAnsi="仿宋" w:eastAsia="仿宋" w:cs="仿宋"/>
                <w:sz w:val="24"/>
                <w:szCs w:val="24"/>
              </w:rPr>
            </w:pPr>
            <w:r>
              <w:rPr>
                <w:rFonts w:hint="eastAsia" w:ascii="仿宋" w:hAnsi="仿宋" w:eastAsia="仿宋" w:cs="仿宋"/>
                <w:sz w:val="24"/>
                <w:szCs w:val="24"/>
              </w:rPr>
              <w:t>项目技术负责人：</w:t>
            </w:r>
          </w:p>
          <w:p w14:paraId="2E05FD64">
            <w:pPr>
              <w:spacing w:line="360" w:lineRule="auto"/>
              <w:jc w:val="both"/>
              <w:rPr>
                <w:rFonts w:hint="eastAsia" w:ascii="仿宋" w:hAnsi="仿宋" w:eastAsia="仿宋" w:cs="仿宋"/>
                <w:sz w:val="24"/>
                <w:szCs w:val="24"/>
              </w:rPr>
            </w:pPr>
            <w:r>
              <w:rPr>
                <w:rFonts w:hint="eastAsia" w:ascii="仿宋" w:hAnsi="仿宋" w:eastAsia="仿宋" w:cs="仿宋"/>
                <w:sz w:val="24"/>
                <w:szCs w:val="24"/>
              </w:rPr>
              <w:t>项目技术负责人具备国家信息安全水平证书（NISP）、信息技术处理员、网络工程师证书的，同时具备三个得3分，具备任意两个或者一个得1分，其他情况不得分。</w:t>
            </w:r>
          </w:p>
          <w:p w14:paraId="27C26A31">
            <w:pPr>
              <w:wordWrap w:val="0"/>
              <w:spacing w:line="360" w:lineRule="auto"/>
              <w:rPr>
                <w:rFonts w:hint="eastAsia" w:ascii="仿宋" w:hAnsi="仿宋" w:eastAsia="仿宋" w:cs="仿宋"/>
                <w:bCs/>
                <w:sz w:val="24"/>
              </w:rPr>
            </w:pPr>
            <w:r>
              <w:rPr>
                <w:rFonts w:hint="eastAsia" w:ascii="仿宋" w:hAnsi="仿宋" w:eastAsia="仿宋" w:cs="仿宋"/>
                <w:sz w:val="24"/>
                <w:szCs w:val="24"/>
                <w:lang w:val="en-US" w:eastAsia="zh-CN"/>
              </w:rPr>
              <w:t>注：</w:t>
            </w:r>
            <w:r>
              <w:rPr>
                <w:rFonts w:hint="eastAsia" w:ascii="仿宋" w:hAnsi="仿宋" w:eastAsia="仿宋" w:cs="仿宋"/>
                <w:sz w:val="24"/>
                <w:szCs w:val="24"/>
              </w:rPr>
              <w:t>需提供证书复印件和</w:t>
            </w:r>
            <w:r>
              <w:rPr>
                <w:rFonts w:hint="eastAsia" w:ascii="仿宋" w:hAnsi="仿宋" w:eastAsia="仿宋" w:cs="仿宋"/>
                <w:sz w:val="24"/>
                <w:szCs w:val="24"/>
                <w:lang w:val="en-US" w:eastAsia="zh-CN"/>
              </w:rPr>
              <w:t>9月、10月、11月三个月</w:t>
            </w:r>
            <w:r>
              <w:rPr>
                <w:rFonts w:hint="eastAsia" w:ascii="仿宋" w:hAnsi="仿宋" w:eastAsia="仿宋" w:cs="仿宋"/>
                <w:sz w:val="24"/>
                <w:szCs w:val="24"/>
              </w:rPr>
              <w:t>内任意一月社保证明，不提供不得分。</w:t>
            </w:r>
            <w:r>
              <w:rPr>
                <w:rFonts w:hint="eastAsia" w:ascii="仿宋" w:hAnsi="仿宋" w:eastAsia="仿宋" w:cs="仿宋"/>
                <w:kern w:val="0"/>
                <w:sz w:val="24"/>
                <w:szCs w:val="24"/>
              </w:rPr>
              <w:t>社保参保缴纳单位必须</w:t>
            </w:r>
            <w:r>
              <w:rPr>
                <w:rFonts w:hint="eastAsia" w:ascii="仿宋" w:hAnsi="仿宋" w:eastAsia="仿宋" w:cs="仿宋"/>
                <w:sz w:val="24"/>
                <w:szCs w:val="24"/>
              </w:rPr>
              <w:t>是</w:t>
            </w:r>
            <w:r>
              <w:rPr>
                <w:rFonts w:hint="eastAsia" w:ascii="仿宋" w:hAnsi="仿宋" w:eastAsia="仿宋" w:cs="仿宋"/>
                <w:kern w:val="0"/>
                <w:sz w:val="24"/>
                <w:szCs w:val="24"/>
              </w:rPr>
              <w:t>投标人单位名称，其余单位均不予认可</w:t>
            </w:r>
            <w:r>
              <w:rPr>
                <w:rFonts w:hint="eastAsia" w:ascii="仿宋" w:hAnsi="仿宋" w:eastAsia="仿宋" w:cs="仿宋"/>
                <w:sz w:val="24"/>
                <w:szCs w:val="24"/>
              </w:rPr>
              <w:t>。</w:t>
            </w:r>
          </w:p>
        </w:tc>
      </w:tr>
      <w:tr w14:paraId="33F57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44503DC9">
            <w:pPr>
              <w:widowControl/>
              <w:spacing w:line="360" w:lineRule="auto"/>
              <w:jc w:val="left"/>
              <w:rPr>
                <w:rFonts w:hint="eastAsia" w:ascii="仿宋" w:hAnsi="仿宋" w:eastAsia="仿宋" w:cs="仿宋"/>
                <w:sz w:val="24"/>
                <w:szCs w:val="24"/>
              </w:rPr>
            </w:pPr>
          </w:p>
        </w:tc>
        <w:tc>
          <w:tcPr>
            <w:tcW w:w="1192" w:type="dxa"/>
            <w:vMerge w:val="continue"/>
            <w:tcBorders>
              <w:left w:val="single" w:color="000000" w:sz="4" w:space="0"/>
              <w:bottom w:val="single" w:color="000000" w:sz="4" w:space="0"/>
              <w:right w:val="single" w:color="auto" w:sz="4" w:space="0"/>
            </w:tcBorders>
            <w:vAlign w:val="center"/>
          </w:tcPr>
          <w:p w14:paraId="606E1CAC">
            <w:pPr>
              <w:wordWrap w:val="0"/>
              <w:spacing w:line="360" w:lineRule="auto"/>
              <w:jc w:val="center"/>
              <w:rPr>
                <w:rFonts w:hint="eastAsia" w:ascii="仿宋" w:hAnsi="仿宋" w:eastAsia="仿宋" w:cs="仿宋"/>
                <w:sz w:val="24"/>
                <w:szCs w:val="24"/>
              </w:rPr>
            </w:pPr>
          </w:p>
        </w:tc>
        <w:tc>
          <w:tcPr>
            <w:tcW w:w="701" w:type="dxa"/>
            <w:tcBorders>
              <w:top w:val="single" w:color="000000" w:sz="4" w:space="0"/>
              <w:left w:val="single" w:color="auto" w:sz="4" w:space="0"/>
              <w:bottom w:val="single" w:color="000000" w:sz="4" w:space="0"/>
              <w:right w:val="single" w:color="000000" w:sz="4" w:space="0"/>
            </w:tcBorders>
            <w:vAlign w:val="center"/>
          </w:tcPr>
          <w:p w14:paraId="0C866AE8">
            <w:pPr>
              <w:wordWrap w:val="0"/>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0-6</w:t>
            </w:r>
          </w:p>
        </w:tc>
        <w:tc>
          <w:tcPr>
            <w:tcW w:w="6244" w:type="dxa"/>
            <w:tcBorders>
              <w:top w:val="single" w:color="000000" w:sz="4" w:space="0"/>
              <w:left w:val="single" w:color="000000" w:sz="4" w:space="0"/>
              <w:bottom w:val="single" w:color="000000" w:sz="4" w:space="0"/>
              <w:right w:val="single" w:color="000000" w:sz="4" w:space="0"/>
            </w:tcBorders>
            <w:vAlign w:val="center"/>
          </w:tcPr>
          <w:p w14:paraId="52D88F92">
            <w:pPr>
              <w:spacing w:line="360" w:lineRule="auto"/>
              <w:jc w:val="both"/>
              <w:rPr>
                <w:rFonts w:hint="eastAsia" w:ascii="仿宋" w:hAnsi="仿宋" w:eastAsia="仿宋" w:cs="仿宋"/>
                <w:sz w:val="24"/>
                <w:szCs w:val="24"/>
              </w:rPr>
            </w:pPr>
            <w:r>
              <w:rPr>
                <w:rFonts w:hint="eastAsia" w:ascii="仿宋" w:hAnsi="仿宋" w:eastAsia="仿宋" w:cs="仿宋"/>
                <w:sz w:val="24"/>
                <w:szCs w:val="24"/>
              </w:rPr>
              <w:t>项目小组成员：</w:t>
            </w:r>
          </w:p>
          <w:p w14:paraId="5908BEA9">
            <w:pPr>
              <w:spacing w:line="360" w:lineRule="auto"/>
              <w:jc w:val="both"/>
              <w:rPr>
                <w:rFonts w:hint="eastAsia" w:ascii="仿宋" w:hAnsi="仿宋" w:eastAsia="仿宋" w:cs="仿宋"/>
                <w:sz w:val="24"/>
                <w:szCs w:val="24"/>
              </w:rPr>
            </w:pPr>
            <w:r>
              <w:rPr>
                <w:rFonts w:hint="eastAsia" w:ascii="仿宋" w:hAnsi="仿宋" w:eastAsia="仿宋" w:cs="仿宋"/>
                <w:sz w:val="24"/>
                <w:szCs w:val="24"/>
              </w:rPr>
              <w:t>（1）小组人员要求配备渗透测试工程师1名，需要具备注册渗透测试工程师（CISP-PTE）证书，满足一个得2分，最高2分，不提供不得分。</w:t>
            </w:r>
          </w:p>
          <w:p w14:paraId="3F874571">
            <w:pPr>
              <w:spacing w:line="360" w:lineRule="auto"/>
              <w:jc w:val="both"/>
              <w:rPr>
                <w:rFonts w:hint="eastAsia" w:ascii="仿宋" w:hAnsi="仿宋" w:eastAsia="仿宋" w:cs="仿宋"/>
                <w:sz w:val="24"/>
                <w:szCs w:val="24"/>
              </w:rPr>
            </w:pPr>
            <w:r>
              <w:rPr>
                <w:rFonts w:hint="eastAsia" w:ascii="仿宋" w:hAnsi="仿宋" w:eastAsia="仿宋" w:cs="仿宋"/>
                <w:sz w:val="24"/>
                <w:szCs w:val="24"/>
              </w:rPr>
              <w:t>（2）小组人员要求配备网络工程师1名，需要具备网络工程师认证证书，满足一个得1分，最高1分，不提供不得分。</w:t>
            </w:r>
          </w:p>
          <w:p w14:paraId="437FD70B">
            <w:pPr>
              <w:spacing w:line="360" w:lineRule="auto"/>
              <w:jc w:val="both"/>
              <w:rPr>
                <w:rFonts w:hint="eastAsia" w:ascii="仿宋" w:hAnsi="仿宋" w:eastAsia="仿宋" w:cs="仿宋"/>
                <w:sz w:val="24"/>
                <w:szCs w:val="24"/>
              </w:rPr>
            </w:pPr>
            <w:r>
              <w:rPr>
                <w:rFonts w:hint="eastAsia" w:ascii="仿宋" w:hAnsi="仿宋" w:eastAsia="仿宋" w:cs="仿宋"/>
                <w:sz w:val="24"/>
                <w:szCs w:val="24"/>
              </w:rPr>
              <w:t>（3）小组人员要求配备信息安全工程师1名，需要具备国家信息安全水平证书（NISP），满足一个得1分，最高1分，不提供不得分。</w:t>
            </w:r>
          </w:p>
          <w:p w14:paraId="1A69966B">
            <w:pPr>
              <w:spacing w:line="360" w:lineRule="auto"/>
              <w:jc w:val="both"/>
              <w:rPr>
                <w:rFonts w:hint="eastAsia" w:ascii="仿宋" w:hAnsi="仿宋" w:eastAsia="仿宋" w:cs="仿宋"/>
                <w:sz w:val="24"/>
                <w:szCs w:val="24"/>
              </w:rPr>
            </w:pPr>
            <w:r>
              <w:rPr>
                <w:rFonts w:hint="eastAsia" w:ascii="仿宋" w:hAnsi="仿宋" w:eastAsia="仿宋" w:cs="仿宋"/>
                <w:sz w:val="24"/>
                <w:szCs w:val="24"/>
              </w:rPr>
              <w:t>（4）小组人员要求配备云计算工程师1名，需要具备云计算认证工程师证书，满足一个得1分，最高2分，不提供不得分。</w:t>
            </w:r>
          </w:p>
          <w:p w14:paraId="5FBC3D0B">
            <w:pPr>
              <w:spacing w:line="360" w:lineRule="auto"/>
              <w:jc w:val="both"/>
              <w:rPr>
                <w:rFonts w:hint="eastAsia" w:ascii="仿宋" w:hAnsi="仿宋" w:eastAsia="仿宋" w:cs="仿宋"/>
                <w:sz w:val="24"/>
                <w:szCs w:val="24"/>
              </w:rPr>
            </w:pPr>
            <w:r>
              <w:rPr>
                <w:rFonts w:hint="eastAsia" w:ascii="仿宋" w:hAnsi="仿宋" w:eastAsia="仿宋" w:cs="仿宋"/>
                <w:sz w:val="24"/>
                <w:szCs w:val="24"/>
              </w:rPr>
              <w:t>（5）小组人员要求配备存储工程师1名，需要具备存储认证工程师证书，满足一个得1分，最高1分，不提供不得分。</w:t>
            </w:r>
          </w:p>
          <w:p w14:paraId="6AEEB213">
            <w:pPr>
              <w:wordWrap w:val="0"/>
              <w:spacing w:line="360" w:lineRule="auto"/>
              <w:rPr>
                <w:rFonts w:hint="eastAsia" w:ascii="仿宋" w:hAnsi="仿宋" w:eastAsia="仿宋" w:cs="仿宋"/>
                <w:bCs/>
                <w:sz w:val="24"/>
              </w:rPr>
            </w:pPr>
            <w:r>
              <w:rPr>
                <w:rFonts w:hint="eastAsia" w:ascii="仿宋" w:hAnsi="仿宋" w:eastAsia="仿宋" w:cs="仿宋"/>
                <w:sz w:val="24"/>
                <w:szCs w:val="24"/>
                <w:lang w:val="en-US" w:eastAsia="zh-CN"/>
              </w:rPr>
              <w:t>注：</w:t>
            </w:r>
            <w:r>
              <w:rPr>
                <w:rFonts w:hint="eastAsia" w:ascii="仿宋" w:hAnsi="仿宋" w:eastAsia="仿宋" w:cs="仿宋"/>
                <w:sz w:val="24"/>
                <w:szCs w:val="24"/>
              </w:rPr>
              <w:t>需提供证书复印件及相关人员近三个月中任意一个月社保证明，同一工程师具备多个证书的，只能计一次，不提供不得分。社保参保缴纳单位必须是投标人单位名称，其余单位均不予认可。</w:t>
            </w:r>
          </w:p>
        </w:tc>
      </w:tr>
      <w:tr w14:paraId="178C6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160FB185">
            <w:pPr>
              <w:widowControl/>
              <w:spacing w:line="360" w:lineRule="auto"/>
              <w:jc w:val="left"/>
              <w:rPr>
                <w:rFonts w:hint="eastAsia" w:ascii="仿宋" w:hAnsi="仿宋" w:eastAsia="仿宋" w:cs="仿宋"/>
                <w:sz w:val="24"/>
                <w:szCs w:val="24"/>
              </w:rPr>
            </w:pPr>
          </w:p>
        </w:tc>
        <w:tc>
          <w:tcPr>
            <w:tcW w:w="1192" w:type="dxa"/>
            <w:tcBorders>
              <w:top w:val="single" w:color="000000" w:sz="4" w:space="0"/>
              <w:left w:val="single" w:color="000000" w:sz="4" w:space="0"/>
              <w:bottom w:val="single" w:color="000000" w:sz="4" w:space="0"/>
              <w:right w:val="single" w:color="auto" w:sz="4" w:space="0"/>
            </w:tcBorders>
            <w:vAlign w:val="center"/>
          </w:tcPr>
          <w:p w14:paraId="13661C83">
            <w:pPr>
              <w:wordWrap w:val="0"/>
              <w:spacing w:line="360" w:lineRule="auto"/>
              <w:jc w:val="center"/>
              <w:rPr>
                <w:rFonts w:hint="eastAsia" w:ascii="仿宋" w:hAnsi="仿宋" w:eastAsia="仿宋" w:cs="仿宋"/>
                <w:sz w:val="24"/>
                <w:szCs w:val="24"/>
              </w:rPr>
            </w:pPr>
            <w:r>
              <w:rPr>
                <w:rFonts w:hint="eastAsia" w:ascii="仿宋" w:hAnsi="仿宋" w:eastAsia="仿宋" w:cs="仿宋"/>
                <w:sz w:val="24"/>
              </w:rPr>
              <w:t>售后服务方案</w:t>
            </w:r>
          </w:p>
        </w:tc>
        <w:tc>
          <w:tcPr>
            <w:tcW w:w="701" w:type="dxa"/>
            <w:tcBorders>
              <w:top w:val="single" w:color="000000" w:sz="4" w:space="0"/>
              <w:left w:val="single" w:color="auto" w:sz="4" w:space="0"/>
              <w:bottom w:val="single" w:color="000000" w:sz="4" w:space="0"/>
              <w:right w:val="single" w:color="000000" w:sz="4" w:space="0"/>
            </w:tcBorders>
            <w:vAlign w:val="center"/>
          </w:tcPr>
          <w:p w14:paraId="70C1A0D6">
            <w:pPr>
              <w:wordWrap w:val="0"/>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0-5</w:t>
            </w:r>
          </w:p>
        </w:tc>
        <w:tc>
          <w:tcPr>
            <w:tcW w:w="6244" w:type="dxa"/>
            <w:tcBorders>
              <w:top w:val="single" w:color="000000" w:sz="4" w:space="0"/>
              <w:left w:val="single" w:color="000000" w:sz="4" w:space="0"/>
              <w:bottom w:val="single" w:color="000000" w:sz="4" w:space="0"/>
              <w:right w:val="single" w:color="000000" w:sz="4" w:space="0"/>
            </w:tcBorders>
            <w:vAlign w:val="center"/>
          </w:tcPr>
          <w:p w14:paraId="600D06AA">
            <w:pPr>
              <w:wordWrap w:val="0"/>
              <w:spacing w:line="360" w:lineRule="auto"/>
              <w:rPr>
                <w:rFonts w:hint="eastAsia" w:ascii="仿宋" w:hAnsi="仿宋" w:eastAsia="仿宋" w:cs="仿宋"/>
                <w:sz w:val="24"/>
              </w:rPr>
            </w:pPr>
            <w:r>
              <w:rPr>
                <w:rFonts w:hint="eastAsia" w:ascii="仿宋" w:hAnsi="仿宋" w:eastAsia="仿宋" w:cs="仿宋"/>
                <w:sz w:val="24"/>
              </w:rPr>
              <w:t>根据响应人提供的售后服务方案、售后服务承诺的可行性、完整性及服务承诺落实运行维护人员保障措施进行综合评分。</w:t>
            </w:r>
          </w:p>
          <w:p w14:paraId="0AD4F23F">
            <w:pPr>
              <w:wordWrap w:val="0"/>
              <w:spacing w:line="360" w:lineRule="auto"/>
              <w:rPr>
                <w:rFonts w:hint="eastAsia" w:ascii="仿宋" w:hAnsi="仿宋" w:eastAsia="仿宋" w:cs="仿宋"/>
                <w:bCs/>
                <w:sz w:val="24"/>
              </w:rPr>
            </w:pPr>
            <w:r>
              <w:rPr>
                <w:rFonts w:hint="eastAsia" w:ascii="仿宋" w:hAnsi="仿宋" w:eastAsia="仿宋" w:cs="仿宋"/>
                <w:sz w:val="24"/>
                <w:lang w:eastAsia="zh-CN"/>
              </w:rPr>
              <w:t>（</w:t>
            </w:r>
            <w:r>
              <w:rPr>
                <w:rFonts w:hint="eastAsia" w:ascii="仿宋" w:hAnsi="仿宋" w:eastAsia="仿宋" w:cs="仿宋"/>
                <w:sz w:val="24"/>
                <w:lang w:val="en-US" w:eastAsia="zh-CN"/>
              </w:rPr>
              <w:t>评分设定：5,4,3,2,1,0</w:t>
            </w:r>
            <w:r>
              <w:rPr>
                <w:rFonts w:hint="eastAsia" w:ascii="仿宋" w:hAnsi="仿宋" w:eastAsia="仿宋" w:cs="仿宋"/>
                <w:sz w:val="24"/>
                <w:lang w:eastAsia="zh-CN"/>
              </w:rPr>
              <w:t>）</w:t>
            </w:r>
          </w:p>
        </w:tc>
      </w:tr>
      <w:tr w14:paraId="27908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4A289BA6">
            <w:pPr>
              <w:widowControl/>
              <w:spacing w:line="360" w:lineRule="auto"/>
              <w:jc w:val="left"/>
              <w:rPr>
                <w:rFonts w:hint="eastAsia" w:ascii="仿宋" w:hAnsi="仿宋" w:eastAsia="仿宋" w:cs="仿宋"/>
                <w:sz w:val="24"/>
                <w:szCs w:val="24"/>
              </w:rPr>
            </w:pPr>
          </w:p>
        </w:tc>
        <w:tc>
          <w:tcPr>
            <w:tcW w:w="1192" w:type="dxa"/>
            <w:tcBorders>
              <w:top w:val="single" w:color="000000" w:sz="4" w:space="0"/>
              <w:left w:val="single" w:color="000000" w:sz="4" w:space="0"/>
              <w:bottom w:val="single" w:color="000000" w:sz="4" w:space="0"/>
              <w:right w:val="single" w:color="auto" w:sz="4" w:space="0"/>
            </w:tcBorders>
            <w:vAlign w:val="center"/>
          </w:tcPr>
          <w:p w14:paraId="49F6E55C">
            <w:pPr>
              <w:spacing w:line="360" w:lineRule="auto"/>
              <w:jc w:val="center"/>
              <w:rPr>
                <w:rFonts w:hint="eastAsia" w:ascii="仿宋" w:hAnsi="仿宋" w:eastAsia="仿宋" w:cs="仿宋"/>
                <w:sz w:val="24"/>
              </w:rPr>
            </w:pPr>
            <w:r>
              <w:rPr>
                <w:rFonts w:hint="eastAsia" w:ascii="仿宋" w:hAnsi="仿宋" w:eastAsia="仿宋" w:cs="仿宋"/>
                <w:sz w:val="24"/>
              </w:rPr>
              <w:t>培训</w:t>
            </w:r>
          </w:p>
          <w:p w14:paraId="727B0673">
            <w:pPr>
              <w:wordWrap w:val="0"/>
              <w:spacing w:line="360" w:lineRule="auto"/>
              <w:jc w:val="center"/>
              <w:rPr>
                <w:rFonts w:hint="eastAsia" w:ascii="仿宋" w:hAnsi="仿宋" w:eastAsia="仿宋" w:cs="仿宋"/>
                <w:sz w:val="24"/>
                <w:szCs w:val="24"/>
              </w:rPr>
            </w:pPr>
            <w:r>
              <w:rPr>
                <w:rFonts w:hint="eastAsia" w:ascii="仿宋" w:hAnsi="仿宋" w:eastAsia="仿宋" w:cs="仿宋"/>
                <w:sz w:val="24"/>
              </w:rPr>
              <w:t>方案</w:t>
            </w:r>
          </w:p>
        </w:tc>
        <w:tc>
          <w:tcPr>
            <w:tcW w:w="701" w:type="dxa"/>
            <w:tcBorders>
              <w:top w:val="single" w:color="000000" w:sz="4" w:space="0"/>
              <w:left w:val="single" w:color="auto" w:sz="4" w:space="0"/>
              <w:bottom w:val="single" w:color="000000" w:sz="4" w:space="0"/>
              <w:right w:val="single" w:color="000000" w:sz="4" w:space="0"/>
            </w:tcBorders>
            <w:vAlign w:val="center"/>
          </w:tcPr>
          <w:p w14:paraId="740933B6">
            <w:pPr>
              <w:wordWrap w:val="0"/>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0-3</w:t>
            </w:r>
          </w:p>
        </w:tc>
        <w:tc>
          <w:tcPr>
            <w:tcW w:w="6244" w:type="dxa"/>
            <w:tcBorders>
              <w:top w:val="single" w:color="000000" w:sz="4" w:space="0"/>
              <w:left w:val="single" w:color="000000" w:sz="4" w:space="0"/>
              <w:bottom w:val="single" w:color="000000" w:sz="4" w:space="0"/>
              <w:right w:val="single" w:color="000000" w:sz="4" w:space="0"/>
            </w:tcBorders>
            <w:vAlign w:val="center"/>
          </w:tcPr>
          <w:p w14:paraId="45918D86">
            <w:pPr>
              <w:wordWrap w:val="0"/>
              <w:spacing w:line="360" w:lineRule="auto"/>
              <w:rPr>
                <w:rFonts w:hint="eastAsia" w:ascii="仿宋" w:hAnsi="仿宋" w:eastAsia="仿宋" w:cs="仿宋"/>
                <w:sz w:val="24"/>
              </w:rPr>
            </w:pPr>
            <w:r>
              <w:rPr>
                <w:rFonts w:hint="eastAsia" w:ascii="仿宋" w:hAnsi="仿宋" w:eastAsia="仿宋" w:cs="仿宋"/>
                <w:sz w:val="24"/>
              </w:rPr>
              <w:t>根据响应人提供具体的培训方案，包括课程概要、课程目的、教学方式、先决条件、培训手段、培训日程及费用等内容，从培训方案的专业性、针对性进行综合评分。</w:t>
            </w:r>
          </w:p>
          <w:p w14:paraId="51056657">
            <w:pPr>
              <w:wordWrap w:val="0"/>
              <w:spacing w:line="360" w:lineRule="auto"/>
              <w:rPr>
                <w:rFonts w:hint="eastAsia" w:ascii="仿宋" w:hAnsi="仿宋" w:eastAsia="仿宋" w:cs="仿宋"/>
                <w:bCs w:val="0"/>
                <w:sz w:val="24"/>
              </w:rPr>
            </w:pPr>
            <w:r>
              <w:rPr>
                <w:rFonts w:hint="eastAsia" w:ascii="仿宋" w:hAnsi="仿宋" w:eastAsia="仿宋" w:cs="仿宋"/>
                <w:sz w:val="24"/>
                <w:lang w:eastAsia="zh-CN"/>
              </w:rPr>
              <w:t>（</w:t>
            </w:r>
            <w:r>
              <w:rPr>
                <w:rFonts w:hint="eastAsia" w:ascii="仿宋" w:hAnsi="仿宋" w:eastAsia="仿宋" w:cs="仿宋"/>
                <w:sz w:val="24"/>
                <w:lang w:val="en-US" w:eastAsia="zh-CN"/>
              </w:rPr>
              <w:t>评分设定：3,2,1,0</w:t>
            </w:r>
            <w:r>
              <w:rPr>
                <w:rFonts w:hint="eastAsia" w:ascii="仿宋" w:hAnsi="仿宋" w:eastAsia="仿宋" w:cs="仿宋"/>
                <w:sz w:val="24"/>
                <w:lang w:eastAsia="zh-CN"/>
              </w:rPr>
              <w:t>）</w:t>
            </w:r>
          </w:p>
        </w:tc>
      </w:tr>
      <w:tr w14:paraId="72B82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4E5CB22B">
            <w:pPr>
              <w:widowControl/>
              <w:spacing w:line="360" w:lineRule="auto"/>
              <w:jc w:val="left"/>
              <w:rPr>
                <w:rFonts w:hint="eastAsia" w:ascii="仿宋" w:hAnsi="仿宋" w:eastAsia="仿宋" w:cs="仿宋"/>
                <w:sz w:val="24"/>
                <w:szCs w:val="24"/>
              </w:rPr>
            </w:pPr>
          </w:p>
        </w:tc>
        <w:tc>
          <w:tcPr>
            <w:tcW w:w="1192" w:type="dxa"/>
            <w:tcBorders>
              <w:top w:val="single" w:color="000000" w:sz="4" w:space="0"/>
              <w:left w:val="single" w:color="000000" w:sz="4" w:space="0"/>
              <w:bottom w:val="single" w:color="000000" w:sz="4" w:space="0"/>
              <w:right w:val="single" w:color="auto" w:sz="4" w:space="0"/>
            </w:tcBorders>
            <w:vAlign w:val="center"/>
          </w:tcPr>
          <w:p w14:paraId="2C767969">
            <w:pPr>
              <w:wordWrap w:val="0"/>
              <w:spacing w:line="360" w:lineRule="auto"/>
              <w:jc w:val="center"/>
              <w:rPr>
                <w:rFonts w:hint="eastAsia" w:ascii="仿宋" w:hAnsi="仿宋" w:eastAsia="仿宋" w:cs="仿宋"/>
                <w:sz w:val="24"/>
                <w:szCs w:val="24"/>
              </w:rPr>
            </w:pPr>
            <w:r>
              <w:rPr>
                <w:rFonts w:hint="eastAsia" w:ascii="仿宋" w:hAnsi="仿宋" w:eastAsia="仿宋" w:cs="仿宋"/>
                <w:sz w:val="24"/>
              </w:rPr>
              <w:t>备品备件库</w:t>
            </w:r>
          </w:p>
        </w:tc>
        <w:tc>
          <w:tcPr>
            <w:tcW w:w="701" w:type="dxa"/>
            <w:tcBorders>
              <w:top w:val="single" w:color="000000" w:sz="4" w:space="0"/>
              <w:left w:val="single" w:color="auto" w:sz="4" w:space="0"/>
              <w:bottom w:val="single" w:color="000000" w:sz="4" w:space="0"/>
              <w:right w:val="single" w:color="000000" w:sz="4" w:space="0"/>
            </w:tcBorders>
            <w:vAlign w:val="center"/>
          </w:tcPr>
          <w:p w14:paraId="0F701741">
            <w:pPr>
              <w:wordWrap w:val="0"/>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0-2</w:t>
            </w:r>
          </w:p>
        </w:tc>
        <w:tc>
          <w:tcPr>
            <w:tcW w:w="6244" w:type="dxa"/>
            <w:tcBorders>
              <w:top w:val="single" w:color="000000" w:sz="4" w:space="0"/>
              <w:left w:val="single" w:color="000000" w:sz="4" w:space="0"/>
              <w:bottom w:val="single" w:color="000000" w:sz="4" w:space="0"/>
              <w:right w:val="single" w:color="000000" w:sz="4" w:space="0"/>
            </w:tcBorders>
            <w:vAlign w:val="center"/>
          </w:tcPr>
          <w:p w14:paraId="1DB9D0C4">
            <w:pPr>
              <w:wordWrap w:val="0"/>
              <w:spacing w:line="360" w:lineRule="auto"/>
              <w:rPr>
                <w:rFonts w:hint="eastAsia" w:ascii="仿宋" w:hAnsi="仿宋" w:eastAsia="仿宋" w:cs="仿宋"/>
                <w:sz w:val="24"/>
              </w:rPr>
            </w:pPr>
            <w:r>
              <w:rPr>
                <w:rFonts w:hint="eastAsia" w:ascii="仿宋" w:hAnsi="仿宋" w:eastAsia="仿宋" w:cs="仿宋"/>
                <w:sz w:val="24"/>
              </w:rPr>
              <w:t>备品备件库情况，特别是关键设备部件的完备情况，是否能提供快速备品备件响应，保证备品备件到达现场时间的措施，确保采购人系统设备正常运行，提供备件清单、备件库地址、备件库现场照片等。</w:t>
            </w:r>
          </w:p>
          <w:p w14:paraId="2AF14953">
            <w:pPr>
              <w:wordWrap w:val="0"/>
              <w:spacing w:line="360" w:lineRule="auto"/>
              <w:rPr>
                <w:rFonts w:hint="eastAsia" w:ascii="仿宋" w:hAnsi="仿宋" w:eastAsia="仿宋" w:cs="仿宋"/>
                <w:bCs w:val="0"/>
                <w:sz w:val="24"/>
              </w:rPr>
            </w:pPr>
            <w:r>
              <w:rPr>
                <w:rFonts w:hint="eastAsia" w:ascii="仿宋" w:hAnsi="仿宋" w:eastAsia="仿宋" w:cs="仿宋"/>
                <w:sz w:val="24"/>
                <w:lang w:eastAsia="zh-CN"/>
              </w:rPr>
              <w:t>（</w:t>
            </w:r>
            <w:r>
              <w:rPr>
                <w:rFonts w:hint="eastAsia" w:ascii="仿宋" w:hAnsi="仿宋" w:eastAsia="仿宋" w:cs="仿宋"/>
                <w:sz w:val="24"/>
                <w:lang w:val="en-US" w:eastAsia="zh-CN"/>
              </w:rPr>
              <w:t>评分设定：2,1,0</w:t>
            </w:r>
            <w:r>
              <w:rPr>
                <w:rFonts w:hint="eastAsia" w:ascii="仿宋" w:hAnsi="仿宋" w:eastAsia="仿宋" w:cs="仿宋"/>
                <w:sz w:val="24"/>
                <w:lang w:eastAsia="zh-CN"/>
              </w:rPr>
              <w:t>）</w:t>
            </w:r>
          </w:p>
        </w:tc>
      </w:tr>
      <w:tr w14:paraId="1CD5E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24A1E102">
            <w:pPr>
              <w:widowControl/>
              <w:spacing w:line="360" w:lineRule="auto"/>
              <w:jc w:val="left"/>
              <w:rPr>
                <w:rFonts w:hint="eastAsia" w:ascii="仿宋" w:hAnsi="仿宋" w:eastAsia="仿宋" w:cs="仿宋"/>
                <w:sz w:val="24"/>
                <w:szCs w:val="24"/>
              </w:rPr>
            </w:pPr>
          </w:p>
        </w:tc>
        <w:tc>
          <w:tcPr>
            <w:tcW w:w="1192" w:type="dxa"/>
            <w:tcBorders>
              <w:top w:val="single" w:color="000000" w:sz="4" w:space="0"/>
              <w:left w:val="single" w:color="000000" w:sz="4" w:space="0"/>
              <w:bottom w:val="single" w:color="000000" w:sz="4" w:space="0"/>
              <w:right w:val="single" w:color="auto" w:sz="4" w:space="0"/>
            </w:tcBorders>
            <w:vAlign w:val="center"/>
          </w:tcPr>
          <w:p w14:paraId="0E7BE00A">
            <w:pPr>
              <w:wordWrap w:val="0"/>
              <w:spacing w:line="360" w:lineRule="auto"/>
              <w:jc w:val="center"/>
              <w:rPr>
                <w:rFonts w:hint="eastAsia" w:ascii="仿宋" w:hAnsi="仿宋" w:eastAsia="仿宋" w:cs="仿宋"/>
                <w:sz w:val="24"/>
                <w:szCs w:val="24"/>
              </w:rPr>
            </w:pPr>
            <w:r>
              <w:rPr>
                <w:rFonts w:hint="eastAsia" w:ascii="仿宋" w:hAnsi="仿宋" w:eastAsia="仿宋" w:cs="仿宋"/>
                <w:sz w:val="24"/>
              </w:rPr>
              <w:t>合理化建议</w:t>
            </w:r>
          </w:p>
        </w:tc>
        <w:tc>
          <w:tcPr>
            <w:tcW w:w="701" w:type="dxa"/>
            <w:tcBorders>
              <w:top w:val="single" w:color="000000" w:sz="4" w:space="0"/>
              <w:left w:val="single" w:color="auto" w:sz="4" w:space="0"/>
              <w:bottom w:val="single" w:color="000000" w:sz="4" w:space="0"/>
              <w:right w:val="single" w:color="000000" w:sz="4" w:space="0"/>
            </w:tcBorders>
            <w:vAlign w:val="center"/>
          </w:tcPr>
          <w:p w14:paraId="56419569">
            <w:pPr>
              <w:wordWrap w:val="0"/>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0-2</w:t>
            </w:r>
          </w:p>
        </w:tc>
        <w:tc>
          <w:tcPr>
            <w:tcW w:w="6244" w:type="dxa"/>
            <w:tcBorders>
              <w:top w:val="single" w:color="000000" w:sz="4" w:space="0"/>
              <w:left w:val="single" w:color="000000" w:sz="4" w:space="0"/>
              <w:bottom w:val="single" w:color="000000" w:sz="4" w:space="0"/>
              <w:right w:val="single" w:color="000000" w:sz="4" w:space="0"/>
            </w:tcBorders>
            <w:vAlign w:val="center"/>
          </w:tcPr>
          <w:p w14:paraId="7DE8C915">
            <w:pPr>
              <w:wordWrap w:val="0"/>
              <w:spacing w:line="360" w:lineRule="auto"/>
              <w:rPr>
                <w:rFonts w:hint="eastAsia" w:ascii="仿宋" w:hAnsi="仿宋" w:eastAsia="仿宋" w:cs="仿宋"/>
                <w:sz w:val="24"/>
              </w:rPr>
            </w:pPr>
            <w:r>
              <w:rPr>
                <w:rFonts w:hint="eastAsia" w:ascii="仿宋" w:hAnsi="仿宋" w:eastAsia="仿宋" w:cs="仿宋"/>
                <w:sz w:val="24"/>
              </w:rPr>
              <w:t>根据响应人针对项目推进和实施过程中可能遇到和存在的困难，进行客观仔细地分析，并结合自身专业经验，提出合理化建议。</w:t>
            </w:r>
          </w:p>
          <w:p w14:paraId="70AB9B32">
            <w:pPr>
              <w:wordWrap w:val="0"/>
              <w:spacing w:line="360" w:lineRule="auto"/>
              <w:rPr>
                <w:rFonts w:hint="eastAsia" w:ascii="仿宋" w:hAnsi="仿宋" w:eastAsia="仿宋" w:cs="仿宋"/>
                <w:bCs/>
                <w:sz w:val="24"/>
              </w:rPr>
            </w:pPr>
            <w:r>
              <w:rPr>
                <w:rFonts w:hint="eastAsia" w:ascii="仿宋" w:hAnsi="仿宋" w:eastAsia="仿宋" w:cs="仿宋"/>
                <w:sz w:val="24"/>
                <w:lang w:eastAsia="zh-CN"/>
              </w:rPr>
              <w:t>（</w:t>
            </w:r>
            <w:r>
              <w:rPr>
                <w:rFonts w:hint="eastAsia" w:ascii="仿宋" w:hAnsi="仿宋" w:eastAsia="仿宋" w:cs="仿宋"/>
                <w:sz w:val="24"/>
                <w:lang w:val="en-US" w:eastAsia="zh-CN"/>
              </w:rPr>
              <w:t>评分设定：2,1,0</w:t>
            </w:r>
            <w:r>
              <w:rPr>
                <w:rFonts w:hint="eastAsia" w:ascii="仿宋" w:hAnsi="仿宋" w:eastAsia="仿宋" w:cs="仿宋"/>
                <w:sz w:val="24"/>
                <w:lang w:eastAsia="zh-CN"/>
              </w:rPr>
              <w:t>）</w:t>
            </w:r>
          </w:p>
        </w:tc>
      </w:tr>
      <w:tr w14:paraId="5A375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38A220CA">
            <w:pPr>
              <w:widowControl/>
              <w:spacing w:line="360" w:lineRule="auto"/>
              <w:jc w:val="left"/>
              <w:rPr>
                <w:rFonts w:hint="eastAsia" w:ascii="仿宋" w:hAnsi="仿宋" w:eastAsia="仿宋" w:cs="仿宋"/>
                <w:sz w:val="24"/>
                <w:szCs w:val="24"/>
              </w:rPr>
            </w:pPr>
          </w:p>
        </w:tc>
        <w:tc>
          <w:tcPr>
            <w:tcW w:w="1192" w:type="dxa"/>
            <w:tcBorders>
              <w:top w:val="single" w:color="000000" w:sz="4" w:space="0"/>
              <w:left w:val="single" w:color="000000" w:sz="4" w:space="0"/>
              <w:bottom w:val="single" w:color="000000" w:sz="4" w:space="0"/>
              <w:right w:val="single" w:color="auto" w:sz="4" w:space="0"/>
            </w:tcBorders>
            <w:vAlign w:val="center"/>
          </w:tcPr>
          <w:p w14:paraId="5366248C">
            <w:pPr>
              <w:wordWrap w:val="0"/>
              <w:spacing w:line="360" w:lineRule="auto"/>
              <w:jc w:val="center"/>
              <w:rPr>
                <w:rFonts w:hint="eastAsia" w:ascii="仿宋" w:hAnsi="仿宋" w:eastAsia="仿宋" w:cs="仿宋"/>
                <w:sz w:val="24"/>
                <w:szCs w:val="24"/>
              </w:rPr>
            </w:pPr>
            <w:r>
              <w:rPr>
                <w:rFonts w:hint="eastAsia" w:ascii="仿宋" w:hAnsi="仿宋" w:eastAsia="仿宋" w:cs="仿宋"/>
                <w:sz w:val="24"/>
              </w:rPr>
              <w:t>本地化服务能力</w:t>
            </w:r>
          </w:p>
        </w:tc>
        <w:tc>
          <w:tcPr>
            <w:tcW w:w="701" w:type="dxa"/>
            <w:tcBorders>
              <w:top w:val="single" w:color="000000" w:sz="4" w:space="0"/>
              <w:left w:val="single" w:color="auto" w:sz="4" w:space="0"/>
              <w:bottom w:val="single" w:color="000000" w:sz="4" w:space="0"/>
              <w:right w:val="single" w:color="000000" w:sz="4" w:space="0"/>
            </w:tcBorders>
            <w:vAlign w:val="center"/>
          </w:tcPr>
          <w:p w14:paraId="15589557">
            <w:pPr>
              <w:wordWrap w:val="0"/>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0-2</w:t>
            </w:r>
          </w:p>
        </w:tc>
        <w:tc>
          <w:tcPr>
            <w:tcW w:w="6244" w:type="dxa"/>
            <w:tcBorders>
              <w:top w:val="single" w:color="000000" w:sz="4" w:space="0"/>
              <w:left w:val="single" w:color="000000" w:sz="4" w:space="0"/>
              <w:bottom w:val="single" w:color="000000" w:sz="4" w:space="0"/>
              <w:right w:val="single" w:color="000000" w:sz="4" w:space="0"/>
            </w:tcBorders>
            <w:vAlign w:val="center"/>
          </w:tcPr>
          <w:p w14:paraId="1CD74579">
            <w:pPr>
              <w:wordWrap w:val="0"/>
              <w:spacing w:line="360" w:lineRule="auto"/>
              <w:rPr>
                <w:rFonts w:hint="eastAsia" w:ascii="仿宋" w:hAnsi="仿宋" w:eastAsia="仿宋" w:cs="仿宋"/>
                <w:sz w:val="24"/>
              </w:rPr>
            </w:pPr>
            <w:r>
              <w:rPr>
                <w:rFonts w:hint="eastAsia" w:ascii="仿宋" w:hAnsi="仿宋" w:eastAsia="仿宋" w:cs="仿宋"/>
                <w:sz w:val="24"/>
              </w:rPr>
              <w:t>根据响应人服务响应时间、本地化服务方案等酌情评分。</w:t>
            </w:r>
          </w:p>
          <w:p w14:paraId="14C2F8E3">
            <w:pPr>
              <w:wordWrap w:val="0"/>
              <w:spacing w:line="360" w:lineRule="auto"/>
              <w:rPr>
                <w:rFonts w:hint="eastAsia" w:ascii="仿宋" w:hAnsi="仿宋" w:eastAsia="仿宋" w:cs="仿宋"/>
                <w:bCs w:val="0"/>
                <w:sz w:val="24"/>
              </w:rPr>
            </w:pPr>
            <w:r>
              <w:rPr>
                <w:rFonts w:hint="eastAsia" w:ascii="仿宋" w:hAnsi="仿宋" w:eastAsia="仿宋" w:cs="仿宋"/>
                <w:sz w:val="24"/>
                <w:lang w:eastAsia="zh-CN"/>
              </w:rPr>
              <w:t>（</w:t>
            </w:r>
            <w:r>
              <w:rPr>
                <w:rFonts w:hint="eastAsia" w:ascii="仿宋" w:hAnsi="仿宋" w:eastAsia="仿宋" w:cs="仿宋"/>
                <w:sz w:val="24"/>
                <w:lang w:val="en-US" w:eastAsia="zh-CN"/>
              </w:rPr>
              <w:t>评分设定：2,1,0</w:t>
            </w:r>
            <w:r>
              <w:rPr>
                <w:rFonts w:hint="eastAsia" w:ascii="仿宋" w:hAnsi="仿宋" w:eastAsia="仿宋" w:cs="仿宋"/>
                <w:sz w:val="24"/>
                <w:lang w:eastAsia="zh-CN"/>
              </w:rPr>
              <w:t>）</w:t>
            </w:r>
          </w:p>
        </w:tc>
      </w:tr>
      <w:tr w14:paraId="0DEB7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650AED42">
            <w:pPr>
              <w:widowControl/>
              <w:spacing w:line="360" w:lineRule="auto"/>
              <w:jc w:val="left"/>
              <w:rPr>
                <w:rFonts w:hint="eastAsia" w:ascii="仿宋" w:hAnsi="仿宋" w:eastAsia="仿宋" w:cs="仿宋"/>
                <w:sz w:val="24"/>
                <w:szCs w:val="24"/>
              </w:rPr>
            </w:pPr>
          </w:p>
        </w:tc>
        <w:tc>
          <w:tcPr>
            <w:tcW w:w="1192" w:type="dxa"/>
            <w:tcBorders>
              <w:top w:val="single" w:color="000000" w:sz="4" w:space="0"/>
              <w:left w:val="single" w:color="000000" w:sz="4" w:space="0"/>
              <w:bottom w:val="single" w:color="000000" w:sz="4" w:space="0"/>
              <w:right w:val="single" w:color="auto" w:sz="4" w:space="0"/>
            </w:tcBorders>
            <w:vAlign w:val="center"/>
          </w:tcPr>
          <w:p w14:paraId="3B78FD80">
            <w:pPr>
              <w:spacing w:line="360" w:lineRule="auto"/>
              <w:ind w:left="-34" w:leftChars="-25" w:right="-57" w:rightChars="-27" w:hanging="19" w:hangingChars="8"/>
              <w:jc w:val="center"/>
              <w:rPr>
                <w:rFonts w:hint="eastAsia" w:ascii="仿宋" w:hAnsi="仿宋" w:eastAsia="仿宋" w:cs="仿宋"/>
                <w:sz w:val="24"/>
              </w:rPr>
            </w:pPr>
            <w:r>
              <w:rPr>
                <w:rFonts w:hint="eastAsia" w:ascii="仿宋" w:hAnsi="仿宋" w:eastAsia="仿宋" w:cs="仿宋"/>
                <w:sz w:val="24"/>
              </w:rPr>
              <w:t>功能</w:t>
            </w:r>
          </w:p>
          <w:p w14:paraId="3B6F3C33">
            <w:pPr>
              <w:wordWrap w:val="0"/>
              <w:spacing w:line="360" w:lineRule="auto"/>
              <w:jc w:val="center"/>
              <w:rPr>
                <w:rFonts w:hint="eastAsia" w:ascii="仿宋" w:hAnsi="仿宋" w:eastAsia="仿宋" w:cs="仿宋"/>
                <w:sz w:val="24"/>
                <w:szCs w:val="24"/>
              </w:rPr>
            </w:pPr>
            <w:r>
              <w:rPr>
                <w:rFonts w:hint="eastAsia" w:ascii="仿宋" w:hAnsi="仿宋" w:eastAsia="仿宋" w:cs="仿宋"/>
                <w:sz w:val="24"/>
              </w:rPr>
              <w:t>演示</w:t>
            </w:r>
          </w:p>
        </w:tc>
        <w:tc>
          <w:tcPr>
            <w:tcW w:w="701" w:type="dxa"/>
            <w:tcBorders>
              <w:top w:val="single" w:color="000000" w:sz="4" w:space="0"/>
              <w:left w:val="single" w:color="auto" w:sz="4" w:space="0"/>
              <w:bottom w:val="single" w:color="000000" w:sz="4" w:space="0"/>
              <w:right w:val="single" w:color="000000" w:sz="4" w:space="0"/>
            </w:tcBorders>
            <w:vAlign w:val="center"/>
          </w:tcPr>
          <w:p w14:paraId="35654EF0">
            <w:pPr>
              <w:wordWrap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0-10</w:t>
            </w:r>
          </w:p>
        </w:tc>
        <w:tc>
          <w:tcPr>
            <w:tcW w:w="6244" w:type="dxa"/>
            <w:tcBorders>
              <w:top w:val="single" w:color="000000" w:sz="4" w:space="0"/>
              <w:left w:val="single" w:color="000000" w:sz="4" w:space="0"/>
              <w:bottom w:val="single" w:color="000000" w:sz="4" w:space="0"/>
              <w:right w:val="single" w:color="000000" w:sz="4" w:space="0"/>
            </w:tcBorders>
            <w:vAlign w:val="center"/>
          </w:tcPr>
          <w:p w14:paraId="7E8C2A16">
            <w:pPr>
              <w:spacing w:line="360" w:lineRule="auto"/>
              <w:jc w:val="both"/>
              <w:rPr>
                <w:rFonts w:hint="eastAsia" w:ascii="仿宋" w:hAnsi="仿宋" w:eastAsia="仿宋" w:cs="仿宋"/>
                <w:sz w:val="24"/>
              </w:rPr>
            </w:pPr>
            <w:r>
              <w:rPr>
                <w:rFonts w:hint="eastAsia" w:ascii="仿宋" w:hAnsi="仿宋" w:eastAsia="仿宋" w:cs="仿宋"/>
                <w:sz w:val="24"/>
              </w:rPr>
              <w:t>提供以下功能的现场演示，演示每条得2分，最高得10分。</w:t>
            </w:r>
          </w:p>
          <w:p w14:paraId="62377AB6">
            <w:pPr>
              <w:spacing w:line="360" w:lineRule="auto"/>
              <w:jc w:val="both"/>
              <w:rPr>
                <w:rFonts w:hint="eastAsia" w:ascii="仿宋" w:hAnsi="仿宋" w:eastAsia="仿宋" w:cs="仿宋"/>
                <w:sz w:val="24"/>
              </w:rPr>
            </w:pPr>
            <w:r>
              <w:rPr>
                <w:rFonts w:hint="eastAsia" w:ascii="仿宋" w:hAnsi="仿宋" w:eastAsia="仿宋" w:cs="仿宋"/>
                <w:sz w:val="24"/>
              </w:rPr>
              <w:t>1.提供从报障、派单、接单、执行、完工、验收、到评价的全流程故障报修管理。</w:t>
            </w:r>
          </w:p>
          <w:p w14:paraId="056B878A">
            <w:pPr>
              <w:spacing w:line="360" w:lineRule="auto"/>
              <w:jc w:val="both"/>
              <w:rPr>
                <w:rFonts w:hint="eastAsia" w:ascii="仿宋" w:hAnsi="仿宋" w:eastAsia="仿宋" w:cs="仿宋"/>
                <w:sz w:val="24"/>
              </w:rPr>
            </w:pPr>
            <w:r>
              <w:rPr>
                <w:rFonts w:hint="eastAsia" w:ascii="仿宋" w:hAnsi="仿宋" w:eastAsia="仿宋" w:cs="仿宋"/>
                <w:sz w:val="24"/>
              </w:rPr>
              <w:t>2.提供协同任务功能，针对重大任务可以新建协同任务并指定任务负责人和协同人员；支持将协同任务分解成子任务，由不同人员来负责执行。</w:t>
            </w:r>
          </w:p>
          <w:p w14:paraId="093B706F">
            <w:pPr>
              <w:spacing w:line="360" w:lineRule="auto"/>
              <w:jc w:val="both"/>
              <w:rPr>
                <w:rFonts w:hint="eastAsia" w:ascii="仿宋" w:hAnsi="仿宋" w:eastAsia="仿宋" w:cs="仿宋"/>
                <w:sz w:val="24"/>
              </w:rPr>
            </w:pPr>
            <w:r>
              <w:rPr>
                <w:rFonts w:hint="eastAsia" w:ascii="仿宋" w:hAnsi="仿宋" w:eastAsia="仿宋" w:cs="仿宋"/>
                <w:sz w:val="24"/>
              </w:rPr>
              <w:t>3.巡检任务模板管理，提供二级模板功能，根据巡检对象可创建指标集模板，可自定义巡检指标及数据类型；根据巡检任务可创建对象集模板，可自定义任务的巡检对象类型及范围。</w:t>
            </w:r>
          </w:p>
          <w:p w14:paraId="485507BF">
            <w:pPr>
              <w:spacing w:line="360" w:lineRule="auto"/>
              <w:jc w:val="both"/>
              <w:rPr>
                <w:rFonts w:hint="eastAsia" w:ascii="仿宋" w:hAnsi="仿宋" w:eastAsia="仿宋" w:cs="仿宋"/>
                <w:sz w:val="24"/>
              </w:rPr>
            </w:pPr>
            <w:r>
              <w:rPr>
                <w:rFonts w:hint="eastAsia" w:ascii="仿宋" w:hAnsi="仿宋" w:eastAsia="仿宋" w:cs="仿宋"/>
                <w:sz w:val="24"/>
              </w:rPr>
              <w:t>4.支持值班人员记录在值班过程中发生的各类问题情况，包括机房设备工作情况、网络设备运行情况、信息安全问题处理等；可以对值班期间未完成处理的工单进行值班交接。</w:t>
            </w:r>
          </w:p>
          <w:p w14:paraId="5900C752">
            <w:pPr>
              <w:wordWrap w:val="0"/>
              <w:spacing w:line="360" w:lineRule="auto"/>
              <w:rPr>
                <w:rFonts w:hint="eastAsia" w:ascii="仿宋" w:hAnsi="仿宋" w:eastAsia="仿宋" w:cs="仿宋"/>
                <w:bCs/>
                <w:sz w:val="24"/>
              </w:rPr>
            </w:pPr>
            <w:r>
              <w:rPr>
                <w:rFonts w:hint="eastAsia" w:ascii="仿宋" w:hAnsi="仿宋" w:eastAsia="仿宋" w:cs="仿宋"/>
                <w:sz w:val="24"/>
              </w:rPr>
              <w:t>5.移动端便捷功能：提供语音识别输入功能，可通过语音代替手写输入；提供拍照和录音文件。</w:t>
            </w:r>
          </w:p>
        </w:tc>
      </w:tr>
    </w:tbl>
    <w:p w14:paraId="1383BE89">
      <w:pPr>
        <w:spacing w:line="360" w:lineRule="auto"/>
        <w:rPr>
          <w:rFonts w:ascii="仿宋" w:hAnsi="仿宋" w:eastAsia="仿宋" w:cs="仿宋"/>
          <w:bCs/>
          <w:sz w:val="24"/>
          <w:highlight w:val="none"/>
        </w:rPr>
      </w:pPr>
    </w:p>
    <w:bookmarkEnd w:id="436"/>
    <w:bookmarkEnd w:id="437"/>
    <w:p w14:paraId="08C817C0">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文件中如附有外文资料，必须逐一对应翻译成中文并加盖</w:t>
      </w:r>
      <w:r>
        <w:rPr>
          <w:rFonts w:hint="eastAsia" w:ascii="仿宋" w:hAnsi="仿宋" w:eastAsia="仿宋" w:cs="仿宋"/>
          <w:sz w:val="24"/>
          <w:highlight w:val="none"/>
          <w:lang w:eastAsia="zh-CN"/>
        </w:rPr>
        <w:t>响应</w:t>
      </w:r>
      <w:r>
        <w:rPr>
          <w:rFonts w:hint="eastAsia" w:ascii="仿宋" w:hAnsi="仿宋" w:eastAsia="仿宋" w:cs="仿宋"/>
          <w:sz w:val="24"/>
          <w:highlight w:val="none"/>
        </w:rPr>
        <w:t>人公章后附在相关外文资料后面，否则外文资料不予认可。翻译的中文资料与外文资料不符的，均不予认可。翻译严重错误的，将视同提供虚假资料。</w:t>
      </w:r>
    </w:p>
    <w:p w14:paraId="0CE5AECF">
      <w:pPr>
        <w:pStyle w:val="2"/>
        <w:ind w:firstLine="420"/>
        <w:rPr>
          <w:rFonts w:hint="eastAsia" w:ascii="仿宋" w:hAnsi="仿宋" w:eastAsia="仿宋" w:cs="仿宋"/>
          <w:highlight w:val="none"/>
        </w:rPr>
      </w:pPr>
    </w:p>
    <w:bookmarkEnd w:id="438"/>
    <w:p w14:paraId="2ECAFDF1">
      <w:pPr>
        <w:pStyle w:val="27"/>
        <w:rPr>
          <w:rFonts w:hint="eastAsia" w:ascii="仿宋" w:hAnsi="仿宋" w:eastAsia="仿宋" w:cs="仿宋"/>
          <w:color w:val="auto"/>
          <w:highlight w:val="none"/>
        </w:rPr>
      </w:pPr>
      <w:r>
        <w:rPr>
          <w:rFonts w:hint="eastAsia" w:ascii="仿宋" w:hAnsi="仿宋" w:eastAsia="仿宋" w:cs="仿宋"/>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
          <w:b/>
          <w:color w:val="000000" w:themeColor="text1"/>
          <w:sz w:val="24"/>
          <w:szCs w:val="24"/>
          <w:highlight w:val="none"/>
          <w14:textFill>
            <w14:solidFill>
              <w14:schemeClr w14:val="tx1"/>
            </w14:solidFill>
          </w14:textFill>
        </w:rPr>
        <w:t>备注：</w:t>
      </w:r>
      <w:r>
        <w:rPr>
          <w:rFonts w:hint="eastAsia" w:ascii="仿宋" w:hAnsi="仿宋" w:eastAsia="仿宋" w:cs="仿宋"/>
          <w:color w:val="000000" w:themeColor="text1"/>
          <w:sz w:val="22"/>
          <w:szCs w:val="28"/>
          <w:highlight w:val="none"/>
          <w:lang w:eastAsia="zh-CN"/>
          <w14:textFill>
            <w14:solidFill>
              <w14:schemeClr w14:val="tx1"/>
            </w14:solidFill>
          </w14:textFill>
        </w:rPr>
        <w:t>响应</w:t>
      </w:r>
      <w:r>
        <w:rPr>
          <w:rFonts w:hint="eastAsia" w:ascii="仿宋" w:hAnsi="仿宋" w:eastAsia="仿宋" w:cs="仿宋"/>
          <w:color w:val="000000" w:themeColor="text1"/>
          <w:sz w:val="22"/>
          <w:szCs w:val="28"/>
          <w:highlight w:val="none"/>
          <w14:textFill>
            <w14:solidFill>
              <w14:schemeClr w14:val="tx1"/>
            </w14:solidFill>
          </w14:textFill>
        </w:rPr>
        <w:t>人编制</w:t>
      </w:r>
      <w:r>
        <w:rPr>
          <w:rFonts w:hint="eastAsia" w:ascii="仿宋" w:hAnsi="仿宋" w:eastAsia="仿宋" w:cs="仿宋"/>
          <w:color w:val="000000" w:themeColor="text1"/>
          <w:sz w:val="22"/>
          <w:szCs w:val="28"/>
          <w:highlight w:val="none"/>
          <w:lang w:eastAsia="zh-CN"/>
          <w14:textFill>
            <w14:solidFill>
              <w14:schemeClr w14:val="tx1"/>
            </w14:solidFill>
          </w14:textFill>
        </w:rPr>
        <w:t>响应</w:t>
      </w:r>
      <w:r>
        <w:rPr>
          <w:rFonts w:hint="eastAsia" w:ascii="仿宋" w:hAnsi="仿宋" w:eastAsia="仿宋" w:cs="仿宋"/>
          <w:color w:val="000000" w:themeColor="text1"/>
          <w:sz w:val="22"/>
          <w:szCs w:val="28"/>
          <w:highlight w:val="none"/>
          <w14:textFill>
            <w14:solidFill>
              <w14:schemeClr w14:val="tx1"/>
            </w14:solidFill>
          </w14:textFill>
        </w:rPr>
        <w:t>文件（商务技术文件部分）时，建议按此目录（序号和内容）提供评标标准相应的商务技术资料。</w:t>
      </w:r>
      <w:r>
        <w:rPr>
          <w:rFonts w:hint="eastAsia" w:ascii="仿宋" w:hAnsi="仿宋" w:eastAsia="仿宋" w:cs="仿宋"/>
          <w:color w:val="auto"/>
          <w:highlight w:val="none"/>
        </w:rPr>
        <w:br w:type="page"/>
      </w:r>
    </w:p>
    <w:p w14:paraId="523DD2C4">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一、评审方法</w:t>
      </w:r>
    </w:p>
    <w:p w14:paraId="653EF09F">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综合评分法，是指响应文件满足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全部实质性要求，且按照评审因素的量化指标评审得分最高的供应商为中标候选人的评审方法。</w:t>
      </w:r>
    </w:p>
    <w:p w14:paraId="65573176">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二、评审标准</w:t>
      </w:r>
    </w:p>
    <w:p w14:paraId="0DBD3FFA">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评审标准：</w:t>
      </w:r>
      <w:r>
        <w:rPr>
          <w:rFonts w:hint="eastAsia" w:ascii="仿宋" w:hAnsi="仿宋" w:eastAsia="仿宋" w:cs="仿宋"/>
          <w:color w:val="auto"/>
          <w:kern w:val="0"/>
          <w:sz w:val="24"/>
          <w:highlight w:val="none"/>
        </w:rPr>
        <w:t>见评审办法前附表。</w:t>
      </w:r>
    </w:p>
    <w:p w14:paraId="6B11F521">
      <w:pPr>
        <w:adjustRightInd/>
        <w:spacing w:line="360" w:lineRule="auto"/>
        <w:rPr>
          <w:rFonts w:hint="eastAsia" w:ascii="仿宋" w:hAnsi="仿宋" w:eastAsia="仿宋" w:cs="仿宋"/>
          <w:b/>
          <w:color w:val="auto"/>
          <w:sz w:val="32"/>
          <w:highlight w:val="none"/>
        </w:rPr>
      </w:pPr>
      <w:bookmarkStart w:id="439" w:name="_Toc8674"/>
      <w:r>
        <w:rPr>
          <w:rFonts w:hint="eastAsia" w:ascii="仿宋" w:hAnsi="仿宋" w:eastAsia="仿宋" w:cs="仿宋"/>
          <w:b/>
          <w:color w:val="auto"/>
          <w:sz w:val="32"/>
          <w:highlight w:val="none"/>
        </w:rPr>
        <w:t>三、评审程序</w:t>
      </w:r>
      <w:bookmarkEnd w:id="439"/>
    </w:p>
    <w:p w14:paraId="0994E76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评审委员会应当对符合资格的供应商的响应文件进行符合性审查，以确定其是否满足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的实质性要求。不满足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的实质性要求的，响应无效。</w:t>
      </w:r>
    </w:p>
    <w:p w14:paraId="71E8E0D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评审委员会应当按照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中规定的评审方法和标准，对符合性审查合格的响应文件进行商务和技术评估，综合比较与评价。</w:t>
      </w:r>
    </w:p>
    <w:p w14:paraId="41D9D9C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评审委员会各成员应当独立对每个供应商的商务和技术文件进行评价，并汇总商务技术得分情况。</w:t>
      </w:r>
    </w:p>
    <w:p w14:paraId="68987158">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4D7E34E0">
      <w:pPr>
        <w:pStyle w:val="134"/>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3.4.1响应文件报价出现前后不一致的，按照下列规定修正：</w:t>
      </w:r>
    </w:p>
    <w:p w14:paraId="128593C4">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3.4.1.1响应文件中开标一览表(报价表)内容与响应文件中相应内容不一致的，以开标一览表(报价表)为准;</w:t>
      </w:r>
    </w:p>
    <w:p w14:paraId="15DB4F25">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747C63CE">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48933869">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290AE52B">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《政府采购货物和服务招标投标管理办法》第五十一条第二款的规定经供应商确认后产生约束力。</w:t>
      </w:r>
    </w:p>
    <w:p w14:paraId="6FA0C11F">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3.4.2响应文件出现不是唯一的、有选择性响应报价的，响应无效。</w:t>
      </w:r>
    </w:p>
    <w:p w14:paraId="402214F9">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3.4.3响应报价超过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中规定的预算金额或者最高限价的，响应无效。</w:t>
      </w:r>
    </w:p>
    <w:p w14:paraId="6D075AD4">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审委员会认为供应商的报价明显低于其他通过符合性审查供应商的报价，有可能影响产品质量或者不能诚信履约的，应当要求其在合理的时间内提供书面说明，必要时提交相关证明材料;供应商不能证明其报价合理性的，评审委员会应当将其作为无效响应处理。</w:t>
      </w:r>
    </w:p>
    <w:p w14:paraId="3AFA58EA">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采用综合评分法的，评审结果按评审后得分由高到低顺序排列。得分相同的，按响应报价由低到高顺序排列。得分且响应报价相同的并列。响应文件满足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全部实质性要求，且按照评审因素的量化指标评审得分最高的供应商为排名第一的中标候选人。</w:t>
      </w:r>
    </w:p>
    <w:p w14:paraId="74278E2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3.6编写评审报告。</w:t>
      </w:r>
      <w:r>
        <w:rPr>
          <w:rFonts w:hint="eastAsia" w:ascii="仿宋" w:hAnsi="仿宋" w:eastAsia="仿宋" w:cs="仿宋"/>
          <w:color w:val="auto"/>
          <w:kern w:val="0"/>
          <w:sz w:val="24"/>
          <w:highlight w:val="none"/>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5A822D8A">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四、评审中的其他事项</w:t>
      </w:r>
    </w:p>
    <w:p w14:paraId="1F6A29A5">
      <w:pPr>
        <w:pStyle w:val="134"/>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4.1供应商澄清、说明或者补正。</w:t>
      </w:r>
      <w:r>
        <w:rPr>
          <w:rFonts w:hint="eastAsia" w:ascii="仿宋" w:hAnsi="仿宋" w:eastAsia="仿宋" w:cs="仿宋"/>
          <w:color w:val="auto"/>
          <w:kern w:val="0"/>
          <w:szCs w:val="24"/>
          <w:highlight w:val="none"/>
        </w:rPr>
        <w:t>对于响应文件中含义不明确、同类问题表述不一致或者有明显文字和计算错误的内容需要供应商作出必要的澄清、说明或者补正的，评审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AD71328">
      <w:pPr>
        <w:pStyle w:val="3"/>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4.2响应无效。</w:t>
      </w:r>
      <w:r>
        <w:rPr>
          <w:rFonts w:hint="eastAsia" w:ascii="仿宋" w:hAnsi="仿宋" w:eastAsia="仿宋" w:cs="仿宋"/>
          <w:color w:val="auto"/>
          <w:szCs w:val="21"/>
          <w:highlight w:val="none"/>
        </w:rPr>
        <w:t>有下列情形之一的，响应无效：</w:t>
      </w:r>
    </w:p>
    <w:p w14:paraId="1AED3BC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4.2.1供应商不具备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中规定的资格要求的（供应商未提供有效的资格文件的，视为供应商不具备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w:t>
      </w:r>
    </w:p>
    <w:p w14:paraId="4DAF081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4.2.2响应文件未按照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要求签署、盖章的；</w:t>
      </w:r>
    </w:p>
    <w:p w14:paraId="530AA76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4.2.3响应文件含有</w:t>
      </w:r>
      <w:r>
        <w:rPr>
          <w:rFonts w:hint="eastAsia" w:ascii="仿宋" w:hAnsi="仿宋" w:eastAsia="仿宋" w:cs="仿宋"/>
          <w:color w:val="auto"/>
          <w:kern w:val="0"/>
          <w:sz w:val="24"/>
          <w:highlight w:val="none"/>
          <w:lang w:eastAsia="zh-CN"/>
        </w:rPr>
        <w:t>交易人</w:t>
      </w:r>
      <w:r>
        <w:rPr>
          <w:rFonts w:hint="eastAsia" w:ascii="仿宋" w:hAnsi="仿宋" w:eastAsia="仿宋" w:cs="仿宋"/>
          <w:color w:val="auto"/>
          <w:kern w:val="0"/>
          <w:sz w:val="24"/>
          <w:highlight w:val="none"/>
        </w:rPr>
        <w:t>不能接受的附加条件的；</w:t>
      </w:r>
    </w:p>
    <w:p w14:paraId="0ED5B52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4.2.4响应文件中承诺的响应有效期少于</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中载明的响应有效期的；</w:t>
      </w:r>
    </w:p>
    <w:p w14:paraId="3E729711">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4.2.5响应文件出现不是唯一的、有选择性响应报价的;</w:t>
      </w:r>
    </w:p>
    <w:p w14:paraId="2C9D0F2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4.2.6响应报价超过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w:t>
      </w:r>
    </w:p>
    <w:p w14:paraId="35B973F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4.2.7报价明显低于其他通过符合性审查供应商的报价，有可能影响产品质量或者不能诚信履约的，未能按要求提供书面说明或者提交相关证明材料，不能证明其报价合理性的;</w:t>
      </w:r>
    </w:p>
    <w:p w14:paraId="180AC28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4.2.8供应商对根据修正原则修正后的报价不确认的；</w:t>
      </w:r>
    </w:p>
    <w:p w14:paraId="78ABDA4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4.2.9供应商提供虚假材料响应的；</w:t>
      </w:r>
    </w:p>
    <w:p w14:paraId="70A37D50">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4.2.10供应商有恶意串通、妨碍其他供应商的竞争行为、损害</w:t>
      </w:r>
      <w:r>
        <w:rPr>
          <w:rFonts w:hint="eastAsia" w:ascii="仿宋" w:hAnsi="仿宋" w:eastAsia="仿宋" w:cs="仿宋"/>
          <w:color w:val="auto"/>
          <w:kern w:val="0"/>
          <w:sz w:val="24"/>
          <w:highlight w:val="none"/>
          <w:lang w:eastAsia="zh-CN"/>
        </w:rPr>
        <w:t>交易人</w:t>
      </w:r>
      <w:r>
        <w:rPr>
          <w:rFonts w:hint="eastAsia" w:ascii="仿宋" w:hAnsi="仿宋" w:eastAsia="仿宋" w:cs="仿宋"/>
          <w:color w:val="auto"/>
          <w:kern w:val="0"/>
          <w:sz w:val="24"/>
          <w:highlight w:val="none"/>
        </w:rPr>
        <w:t>或者其他供应商的合法权益情形的；</w:t>
      </w:r>
    </w:p>
    <w:p w14:paraId="7398211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4.2.12供应商仅提交备份响应文件，未在电子交易平台传输递交响应文件的，响应无效；</w:t>
      </w:r>
    </w:p>
    <w:p w14:paraId="560E8402">
      <w:pPr>
        <w:spacing w:line="360" w:lineRule="auto"/>
        <w:ind w:firstLine="480" w:firstLineChars="200"/>
        <w:rPr>
          <w:rFonts w:hint="eastAsia" w:ascii="仿宋" w:hAnsi="仿宋" w:eastAsia="仿宋" w:cs="仿宋"/>
          <w:color w:val="auto"/>
          <w:kern w:val="0"/>
          <w:sz w:val="24"/>
          <w:highlight w:val="none"/>
        </w:rPr>
      </w:pPr>
      <w:bookmarkStart w:id="440" w:name="_Toc17410"/>
      <w:r>
        <w:rPr>
          <w:rFonts w:hint="eastAsia" w:ascii="仿宋" w:hAnsi="仿宋" w:eastAsia="仿宋" w:cs="仿宋"/>
          <w:color w:val="auto"/>
          <w:kern w:val="0"/>
          <w:sz w:val="24"/>
          <w:highlight w:val="none"/>
        </w:rPr>
        <w:t>4.2.13 响应文件不满足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的其它实质性要求的；</w:t>
      </w:r>
      <w:bookmarkEnd w:id="440"/>
    </w:p>
    <w:p w14:paraId="4F6D27B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1DF4A446">
      <w:pPr>
        <w:pStyle w:val="3"/>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30A9DDF9">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作实质响应的供应商不足3家的；</w:t>
      </w:r>
    </w:p>
    <w:p w14:paraId="371F1C67">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266D6A2">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5.3供应商的报价均超过了采购预算，</w:t>
      </w:r>
      <w:r>
        <w:rPr>
          <w:rFonts w:hint="eastAsia" w:ascii="仿宋" w:hAnsi="仿宋" w:eastAsia="仿宋" w:cs="仿宋"/>
          <w:color w:val="auto"/>
          <w:highlight w:val="none"/>
          <w:lang w:eastAsia="zh-CN"/>
        </w:rPr>
        <w:t>交易人</w:t>
      </w:r>
      <w:r>
        <w:rPr>
          <w:rFonts w:hint="eastAsia" w:ascii="仿宋" w:hAnsi="仿宋" w:eastAsia="仿宋" w:cs="仿宋"/>
          <w:color w:val="auto"/>
          <w:highlight w:val="none"/>
        </w:rPr>
        <w:t>不能支付的；</w:t>
      </w:r>
    </w:p>
    <w:p w14:paraId="2D22DBFD">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6C76865F">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废标后，采购代理机构应当将废标理由通知所有供应商。</w:t>
      </w:r>
    </w:p>
    <w:p w14:paraId="77DD43B2">
      <w:pPr>
        <w:pStyle w:val="3"/>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，重新组织采购活动。</w:t>
      </w:r>
      <w:r>
        <w:rPr>
          <w:rFonts w:hint="eastAsia" w:ascii="仿宋" w:hAnsi="仿宋" w:eastAsia="仿宋" w:cs="仿宋"/>
          <w:color w:val="auto"/>
          <w:highlight w:val="none"/>
        </w:rPr>
        <w:t>评审委员会发现</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存在歧义、重大缺陷导致评审工作无法进行，或者</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内容违反国家有关强制性规定的，将停止评审工作，并与</w:t>
      </w:r>
      <w:r>
        <w:rPr>
          <w:rFonts w:hint="eastAsia" w:ascii="仿宋" w:hAnsi="仿宋" w:eastAsia="仿宋" w:cs="仿宋"/>
          <w:color w:val="auto"/>
          <w:highlight w:val="none"/>
          <w:lang w:eastAsia="zh-CN"/>
        </w:rPr>
        <w:t>交易人</w:t>
      </w:r>
      <w:r>
        <w:rPr>
          <w:rFonts w:hint="eastAsia" w:ascii="仿宋" w:hAnsi="仿宋" w:eastAsia="仿宋" w:cs="仿宋"/>
          <w:color w:val="auto"/>
          <w:highlight w:val="none"/>
        </w:rPr>
        <w:t>、采购代理机构沟通并作书面记录。</w:t>
      </w:r>
      <w:r>
        <w:rPr>
          <w:rFonts w:hint="eastAsia" w:ascii="仿宋" w:hAnsi="仿宋" w:eastAsia="仿宋" w:cs="仿宋"/>
          <w:color w:val="auto"/>
          <w:highlight w:val="none"/>
          <w:lang w:eastAsia="zh-CN"/>
        </w:rPr>
        <w:t>交易人</w:t>
      </w:r>
      <w:r>
        <w:rPr>
          <w:rFonts w:hint="eastAsia" w:ascii="仿宋" w:hAnsi="仿宋" w:eastAsia="仿宋" w:cs="仿宋"/>
          <w:color w:val="auto"/>
          <w:highlight w:val="none"/>
        </w:rPr>
        <w:t>、采购代理机构确认后，将修改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，重新组织采购活动。</w:t>
      </w:r>
    </w:p>
    <w:p w14:paraId="3F482F2F">
      <w:pPr>
        <w:pStyle w:val="3"/>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2BD15628">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w:t>
      </w:r>
      <w:r>
        <w:rPr>
          <w:rFonts w:hint="eastAsia" w:ascii="仿宋" w:hAnsi="仿宋" w:eastAsia="仿宋" w:cs="仿宋"/>
          <w:color w:val="auto"/>
          <w:highlight w:val="none"/>
          <w:lang w:eastAsia="zh-CN"/>
        </w:rPr>
        <w:t>成交人</w:t>
      </w:r>
      <w:r>
        <w:rPr>
          <w:rFonts w:hint="eastAsia" w:ascii="仿宋" w:hAnsi="仿宋" w:eastAsia="仿宋" w:cs="仿宋"/>
          <w:color w:val="auto"/>
          <w:highlight w:val="none"/>
        </w:rPr>
        <w:t>的，终止本次采购活动，重新开展采购活动。</w:t>
      </w:r>
    </w:p>
    <w:p w14:paraId="725B9DBA">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w:t>
      </w:r>
      <w:r>
        <w:rPr>
          <w:rFonts w:hint="eastAsia" w:ascii="仿宋" w:hAnsi="仿宋" w:eastAsia="仿宋" w:cs="仿宋"/>
          <w:color w:val="auto"/>
          <w:highlight w:val="none"/>
          <w:lang w:eastAsia="zh-CN"/>
        </w:rPr>
        <w:t>成交人</w:t>
      </w:r>
      <w:r>
        <w:rPr>
          <w:rFonts w:hint="eastAsia" w:ascii="仿宋" w:hAnsi="仿宋" w:eastAsia="仿宋" w:cs="仿宋"/>
          <w:color w:val="auto"/>
          <w:highlight w:val="none"/>
        </w:rPr>
        <w:t>但尚未签订采购合同的，中标结果无效，从合格的中标候选人中另行确定</w:t>
      </w:r>
      <w:r>
        <w:rPr>
          <w:rFonts w:hint="eastAsia" w:ascii="仿宋" w:hAnsi="仿宋" w:eastAsia="仿宋" w:cs="仿宋"/>
          <w:color w:val="auto"/>
          <w:highlight w:val="none"/>
          <w:lang w:eastAsia="zh-CN"/>
        </w:rPr>
        <w:t>成交人</w:t>
      </w:r>
      <w:r>
        <w:rPr>
          <w:rFonts w:hint="eastAsia" w:ascii="仿宋" w:hAnsi="仿宋" w:eastAsia="仿宋" w:cs="仿宋"/>
          <w:color w:val="auto"/>
          <w:highlight w:val="none"/>
        </w:rPr>
        <w:t>；没有合格的中标候选人的，重新开展采购活动。</w:t>
      </w:r>
    </w:p>
    <w:p w14:paraId="56EB3DFB">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7.3采购合同已签订但尚未履行的，撤销合同，从合格的中标候选人中另行确定</w:t>
      </w:r>
      <w:r>
        <w:rPr>
          <w:rFonts w:hint="eastAsia" w:ascii="仿宋" w:hAnsi="仿宋" w:eastAsia="仿宋" w:cs="仿宋"/>
          <w:color w:val="auto"/>
          <w:highlight w:val="none"/>
          <w:lang w:eastAsia="zh-CN"/>
        </w:rPr>
        <w:t>成交人</w:t>
      </w:r>
      <w:r>
        <w:rPr>
          <w:rFonts w:hint="eastAsia" w:ascii="仿宋" w:hAnsi="仿宋" w:eastAsia="仿宋" w:cs="仿宋"/>
          <w:color w:val="auto"/>
          <w:highlight w:val="none"/>
        </w:rPr>
        <w:t>；没有合格的中标候选人的，重新开展采购活动。</w:t>
      </w:r>
    </w:p>
    <w:p w14:paraId="3948FB2A">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7.4采购合同已经履行，给</w:t>
      </w:r>
      <w:r>
        <w:rPr>
          <w:rFonts w:hint="eastAsia" w:ascii="仿宋" w:hAnsi="仿宋" w:eastAsia="仿宋" w:cs="仿宋"/>
          <w:color w:val="auto"/>
          <w:highlight w:val="none"/>
          <w:lang w:eastAsia="zh-CN"/>
        </w:rPr>
        <w:t>交易人</w:t>
      </w:r>
      <w:r>
        <w:rPr>
          <w:rFonts w:hint="eastAsia" w:ascii="仿宋" w:hAnsi="仿宋" w:eastAsia="仿宋" w:cs="仿宋"/>
          <w:color w:val="auto"/>
          <w:highlight w:val="none"/>
        </w:rPr>
        <w:t>、供应商造成损失的，由责任人承担赔偿责任。</w:t>
      </w:r>
    </w:p>
    <w:p w14:paraId="772436ED">
      <w:pPr>
        <w:pStyle w:val="3"/>
        <w:snapToGrid w:val="0"/>
        <w:spacing w:line="36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7.5采购当事人有其他违反政府采购法或者政府采购法实施条例等法律法规规定的行为，经改正后仍然影响或者可能影响中标结果或者依法被认定为中标无效的，依照7.1-7.4规定处理。</w:t>
      </w:r>
    </w:p>
    <w:p w14:paraId="2F83F662">
      <w:pPr>
        <w:pStyle w:val="3"/>
        <w:snapToGrid w:val="0"/>
        <w:spacing w:line="360" w:lineRule="auto"/>
        <w:ind w:firstLine="0" w:firstLineChars="0"/>
        <w:rPr>
          <w:rFonts w:hint="eastAsia" w:ascii="仿宋" w:hAnsi="仿宋" w:eastAsia="仿宋" w:cs="仿宋"/>
          <w:color w:val="auto"/>
          <w:highlight w:val="none"/>
        </w:rPr>
      </w:pPr>
    </w:p>
    <w:bookmarkEnd w:id="66"/>
    <w:p w14:paraId="4567A2BB">
      <w:pPr>
        <w:spacing w:line="360" w:lineRule="auto"/>
        <w:ind w:left="720" w:leftChars="343" w:firstLine="1084" w:firstLineChars="300"/>
        <w:outlineLvl w:val="0"/>
        <w:rPr>
          <w:rFonts w:hint="eastAsia" w:ascii="仿宋" w:hAnsi="仿宋" w:eastAsia="仿宋" w:cs="仿宋"/>
          <w:b/>
          <w:color w:val="auto"/>
          <w:sz w:val="36"/>
          <w:szCs w:val="36"/>
          <w:highlight w:val="none"/>
        </w:rPr>
        <w:sectPr>
          <w:footerReference r:id="rId9" w:type="default"/>
          <w:pgSz w:w="11905" w:h="16838"/>
          <w:pgMar w:top="1417" w:right="1417" w:bottom="1417" w:left="1417" w:header="851" w:footer="850" w:gutter="0"/>
          <w:pgBorders>
            <w:top w:val="none" w:sz="0" w:space="0"/>
            <w:left w:val="none" w:sz="0" w:space="0"/>
            <w:bottom w:val="none" w:sz="0" w:space="0"/>
            <w:right w:val="none" w:sz="0" w:space="0"/>
          </w:pgBorders>
          <w:cols w:space="0" w:num="1"/>
        </w:sectPr>
      </w:pPr>
      <w:bookmarkStart w:id="441" w:name="_Toc14100"/>
      <w:bookmarkStart w:id="442" w:name="第五部分"/>
      <w:bookmarkStart w:id="443" w:name="_Toc86217003"/>
    </w:p>
    <w:p w14:paraId="2800977E">
      <w:pPr>
        <w:spacing w:line="360" w:lineRule="auto"/>
        <w:jc w:val="center"/>
        <w:outlineLvl w:val="0"/>
        <w:rPr>
          <w:rFonts w:hint="eastAsia" w:ascii="仿宋" w:hAnsi="仿宋" w:eastAsia="仿宋" w:cs="仿宋"/>
          <w:b/>
          <w:color w:val="auto"/>
          <w:sz w:val="36"/>
          <w:szCs w:val="36"/>
          <w:highlight w:val="none"/>
        </w:rPr>
      </w:pPr>
      <w:bookmarkStart w:id="444" w:name="_Toc4511"/>
      <w:bookmarkStart w:id="445" w:name="_Toc4810"/>
      <w:bookmarkStart w:id="446" w:name="_Toc22379"/>
      <w:r>
        <w:rPr>
          <w:rFonts w:hint="eastAsia" w:ascii="仿宋" w:hAnsi="仿宋" w:eastAsia="仿宋" w:cs="仿宋"/>
          <w:b/>
          <w:color w:val="auto"/>
          <w:sz w:val="36"/>
          <w:szCs w:val="36"/>
          <w:highlight w:val="none"/>
        </w:rPr>
        <w:t>第五部分 拟签订的合同文本</w:t>
      </w:r>
      <w:bookmarkEnd w:id="441"/>
      <w:bookmarkEnd w:id="444"/>
      <w:r>
        <w:rPr>
          <w:rFonts w:hint="eastAsia" w:ascii="仿宋" w:hAnsi="仿宋" w:eastAsia="仿宋" w:cs="仿宋"/>
          <w:b/>
          <w:color w:val="auto"/>
          <w:sz w:val="36"/>
          <w:szCs w:val="36"/>
          <w:highlight w:val="none"/>
        </w:rPr>
        <w:t>（以最终合同为准）</w:t>
      </w:r>
      <w:bookmarkEnd w:id="445"/>
      <w:bookmarkEnd w:id="446"/>
    </w:p>
    <w:p w14:paraId="4CD2B1DC">
      <w:pPr>
        <w:spacing w:line="360" w:lineRule="auto"/>
        <w:ind w:firstLine="480" w:firstLineChars="200"/>
        <w:rPr>
          <w:rFonts w:hint="eastAsia" w:ascii="仿宋" w:hAnsi="仿宋" w:eastAsia="仿宋" w:cs="仿宋"/>
          <w:color w:val="auto"/>
          <w:sz w:val="24"/>
          <w:highlight w:val="none"/>
        </w:rPr>
      </w:pPr>
      <w:bookmarkStart w:id="447" w:name="_Toc12770"/>
      <w:bookmarkStart w:id="448" w:name="_Toc10052"/>
    </w:p>
    <w:p w14:paraId="4F57DEA6">
      <w:pPr>
        <w:snapToGrid w:val="0"/>
        <w:spacing w:line="360" w:lineRule="auto"/>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甲方（</w:t>
      </w:r>
      <w:r>
        <w:rPr>
          <w:rFonts w:hint="eastAsia" w:ascii="仿宋" w:hAnsi="仿宋" w:eastAsia="仿宋" w:cs="仿宋"/>
          <w:snapToGrid w:val="0"/>
          <w:kern w:val="0"/>
          <w:sz w:val="24"/>
          <w:lang w:eastAsia="zh-CN"/>
        </w:rPr>
        <w:t>交易人</w:t>
      </w:r>
      <w:r>
        <w:rPr>
          <w:rFonts w:hint="eastAsia" w:ascii="仿宋" w:hAnsi="仿宋" w:eastAsia="仿宋" w:cs="仿宋"/>
          <w:snapToGrid w:val="0"/>
          <w:kern w:val="0"/>
          <w:sz w:val="24"/>
        </w:rPr>
        <w:t>）：</w:t>
      </w:r>
    </w:p>
    <w:p w14:paraId="1289E933">
      <w:pPr>
        <w:snapToGrid w:val="0"/>
        <w:spacing w:line="360" w:lineRule="auto"/>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乙方（</w:t>
      </w:r>
      <w:r>
        <w:rPr>
          <w:rFonts w:hint="eastAsia" w:ascii="仿宋" w:hAnsi="仿宋" w:eastAsia="仿宋" w:cs="仿宋"/>
          <w:snapToGrid w:val="0"/>
          <w:kern w:val="0"/>
          <w:sz w:val="24"/>
          <w:lang w:eastAsia="zh-CN"/>
        </w:rPr>
        <w:t>响应人</w:t>
      </w:r>
      <w:r>
        <w:rPr>
          <w:rFonts w:hint="eastAsia" w:ascii="仿宋" w:hAnsi="仿宋" w:eastAsia="仿宋" w:cs="仿宋"/>
          <w:snapToGrid w:val="0"/>
          <w:kern w:val="0"/>
          <w:sz w:val="24"/>
        </w:rPr>
        <w:t>）：</w:t>
      </w:r>
    </w:p>
    <w:p w14:paraId="7F68CCF1">
      <w:pPr>
        <w:tabs>
          <w:tab w:val="left" w:pos="1260"/>
        </w:tabs>
        <w:snapToGrid w:val="0"/>
        <w:spacing w:line="360" w:lineRule="auto"/>
        <w:ind w:firstLine="480" w:firstLineChars="200"/>
        <w:rPr>
          <w:rFonts w:hint="eastAsia" w:ascii="仿宋" w:hAnsi="仿宋" w:eastAsia="仿宋" w:cs="仿宋"/>
          <w:bCs/>
          <w:snapToGrid w:val="0"/>
          <w:sz w:val="24"/>
        </w:rPr>
      </w:pPr>
    </w:p>
    <w:p w14:paraId="08BC1E64">
      <w:pPr>
        <w:tabs>
          <w:tab w:val="left" w:pos="1260"/>
        </w:tabs>
        <w:snapToGrid w:val="0"/>
        <w:spacing w:line="360" w:lineRule="auto"/>
        <w:ind w:firstLine="480" w:firstLineChars="200"/>
        <w:rPr>
          <w:rFonts w:hint="eastAsia" w:ascii="仿宋" w:hAnsi="仿宋" w:eastAsia="仿宋" w:cs="仿宋"/>
          <w:bCs/>
          <w:snapToGrid w:val="0"/>
          <w:sz w:val="24"/>
        </w:rPr>
      </w:pPr>
      <w:r>
        <w:rPr>
          <w:rFonts w:hint="eastAsia" w:ascii="仿宋" w:hAnsi="仿宋" w:eastAsia="仿宋" w:cs="仿宋"/>
          <w:bCs/>
          <w:snapToGrid w:val="0"/>
          <w:sz w:val="24"/>
        </w:rPr>
        <w:t>根据</w:t>
      </w:r>
      <w:r>
        <w:rPr>
          <w:rFonts w:hint="eastAsia" w:ascii="仿宋" w:hAnsi="仿宋" w:eastAsia="仿宋" w:cs="仿宋"/>
          <w:bCs/>
          <w:snapToGrid w:val="0"/>
          <w:sz w:val="24"/>
          <w:u w:val="single"/>
        </w:rPr>
        <w:t xml:space="preserve">      </w:t>
      </w:r>
      <w:r>
        <w:rPr>
          <w:rFonts w:hint="eastAsia" w:ascii="仿宋" w:hAnsi="仿宋" w:eastAsia="仿宋" w:cs="仿宋"/>
          <w:bCs/>
          <w:snapToGrid w:val="0"/>
          <w:sz w:val="24"/>
        </w:rPr>
        <w:t>年</w:t>
      </w:r>
      <w:r>
        <w:rPr>
          <w:rFonts w:hint="eastAsia" w:ascii="仿宋" w:hAnsi="仿宋" w:eastAsia="仿宋" w:cs="仿宋"/>
          <w:bCs/>
          <w:snapToGrid w:val="0"/>
          <w:sz w:val="24"/>
          <w:u w:val="single"/>
        </w:rPr>
        <w:t xml:space="preserve">      </w:t>
      </w:r>
      <w:r>
        <w:rPr>
          <w:rFonts w:hint="eastAsia" w:ascii="仿宋" w:hAnsi="仿宋" w:eastAsia="仿宋" w:cs="仿宋"/>
          <w:bCs/>
          <w:snapToGrid w:val="0"/>
          <w:sz w:val="24"/>
        </w:rPr>
        <w:t>月</w:t>
      </w:r>
      <w:r>
        <w:rPr>
          <w:rFonts w:hint="eastAsia" w:ascii="仿宋" w:hAnsi="仿宋" w:eastAsia="仿宋" w:cs="仿宋"/>
          <w:bCs/>
          <w:snapToGrid w:val="0"/>
          <w:sz w:val="24"/>
          <w:u w:val="single"/>
        </w:rPr>
        <w:t xml:space="preserve">    </w:t>
      </w:r>
      <w:r>
        <w:rPr>
          <w:rFonts w:hint="eastAsia" w:ascii="仿宋" w:hAnsi="仿宋" w:eastAsia="仿宋" w:cs="仿宋"/>
          <w:bCs/>
          <w:snapToGrid w:val="0"/>
          <w:sz w:val="24"/>
        </w:rPr>
        <w:t>日</w:t>
      </w:r>
      <w:r>
        <w:rPr>
          <w:rFonts w:hint="eastAsia" w:ascii="仿宋" w:hAnsi="仿宋" w:eastAsia="仿宋" w:cs="仿宋"/>
          <w:color w:val="000000"/>
          <w:kern w:val="0"/>
          <w:sz w:val="24"/>
          <w:u w:val="single"/>
        </w:rPr>
        <w:t xml:space="preserve">                          项目</w:t>
      </w:r>
      <w:r>
        <w:rPr>
          <w:rFonts w:hint="eastAsia" w:ascii="仿宋" w:hAnsi="仿宋" w:eastAsia="仿宋" w:cs="仿宋"/>
          <w:bCs/>
          <w:snapToGrid w:val="0"/>
          <w:sz w:val="24"/>
        </w:rPr>
        <w:t>（采购编号： ）采购结果和</w:t>
      </w:r>
      <w:r>
        <w:rPr>
          <w:rFonts w:hint="eastAsia" w:ascii="仿宋" w:hAnsi="仿宋" w:eastAsia="仿宋" w:cs="仿宋"/>
          <w:bCs/>
          <w:snapToGrid w:val="0"/>
          <w:sz w:val="24"/>
          <w:lang w:eastAsia="zh-CN"/>
        </w:rPr>
        <w:t>交易文件</w:t>
      </w:r>
      <w:r>
        <w:rPr>
          <w:rFonts w:hint="eastAsia" w:ascii="仿宋" w:hAnsi="仿宋" w:eastAsia="仿宋" w:cs="仿宋"/>
          <w:bCs/>
          <w:snapToGrid w:val="0"/>
          <w:sz w:val="24"/>
        </w:rPr>
        <w:t>的要求，并依照《中华人民共和国民法典》等有关法律、行政法规的规定，同时在平等、公平、诚实和信用的原则下，经双方协商一致，订立本合同。</w:t>
      </w:r>
    </w:p>
    <w:p w14:paraId="7E8BF9F1">
      <w:pPr>
        <w:tabs>
          <w:tab w:val="left" w:pos="540"/>
        </w:tabs>
        <w:snapToGrid w:val="0"/>
        <w:spacing w:line="360" w:lineRule="auto"/>
        <w:ind w:firstLine="482" w:firstLineChars="200"/>
        <w:rPr>
          <w:rFonts w:hint="eastAsia" w:ascii="仿宋" w:hAnsi="仿宋" w:eastAsia="仿宋" w:cs="仿宋"/>
          <w:b/>
          <w:bCs/>
          <w:sz w:val="24"/>
          <w:u w:val="single"/>
        </w:rPr>
      </w:pPr>
      <w:r>
        <w:rPr>
          <w:rFonts w:hint="eastAsia" w:ascii="仿宋" w:hAnsi="仿宋" w:eastAsia="仿宋" w:cs="仿宋"/>
          <w:b/>
          <w:bCs/>
          <w:sz w:val="24"/>
        </w:rPr>
        <w:t>一、服务内容：</w:t>
      </w:r>
      <w:r>
        <w:rPr>
          <w:rFonts w:hint="eastAsia" w:ascii="仿宋" w:hAnsi="仿宋" w:eastAsia="仿宋" w:cs="仿宋"/>
          <w:b/>
          <w:bCs/>
          <w:sz w:val="24"/>
          <w:u w:val="single"/>
        </w:rPr>
        <w:t>详见</w:t>
      </w:r>
      <w:r>
        <w:rPr>
          <w:rFonts w:hint="eastAsia" w:ascii="仿宋" w:hAnsi="仿宋" w:eastAsia="仿宋" w:cs="仿宋"/>
          <w:b/>
          <w:bCs/>
          <w:sz w:val="24"/>
          <w:u w:val="single"/>
          <w:lang w:eastAsia="zh-CN"/>
        </w:rPr>
        <w:t>交易文件</w:t>
      </w:r>
      <w:r>
        <w:rPr>
          <w:rFonts w:hint="eastAsia" w:ascii="仿宋" w:hAnsi="仿宋" w:eastAsia="仿宋" w:cs="仿宋"/>
          <w:b/>
          <w:bCs/>
          <w:sz w:val="24"/>
          <w:u w:val="single"/>
        </w:rPr>
        <w:t>第三部分采购需求书</w:t>
      </w:r>
    </w:p>
    <w:p w14:paraId="0A462BD5">
      <w:pPr>
        <w:tabs>
          <w:tab w:val="left" w:pos="540"/>
        </w:tabs>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lang w:eastAsia="zh-CN"/>
        </w:rPr>
        <w:t>二</w:t>
      </w:r>
      <w:r>
        <w:rPr>
          <w:rFonts w:hint="eastAsia" w:ascii="仿宋" w:hAnsi="仿宋" w:eastAsia="仿宋" w:cs="仿宋"/>
          <w:b/>
          <w:bCs/>
          <w:sz w:val="24"/>
        </w:rPr>
        <w:t>、服务期</w:t>
      </w:r>
    </w:p>
    <w:p w14:paraId="3D18C195">
      <w:pPr>
        <w:pStyle w:val="60"/>
        <w:wordWrap w:val="0"/>
        <w:snapToGrid w:val="0"/>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1.服务期限：</w:t>
      </w:r>
    </w:p>
    <w:p w14:paraId="0BE3D3BF">
      <w:pPr>
        <w:pStyle w:val="60"/>
        <w:wordWrap w:val="0"/>
        <w:snapToGrid w:val="0"/>
        <w:spacing w:before="0" w:beforeAutospacing="0" w:after="0" w:afterAutospacing="0" w:line="360" w:lineRule="auto"/>
        <w:ind w:firstLine="480" w:firstLineChars="200"/>
        <w:rPr>
          <w:rFonts w:hint="default" w:ascii="仿宋" w:hAnsi="仿宋" w:eastAsia="仿宋" w:cs="仿宋"/>
          <w:lang w:val="en-US" w:eastAsia="zh-CN"/>
        </w:rPr>
      </w:pPr>
      <w:r>
        <w:rPr>
          <w:rFonts w:hint="eastAsia" w:ascii="仿宋" w:hAnsi="仿宋" w:eastAsia="仿宋" w:cs="仿宋"/>
        </w:rPr>
        <w:t>2.服务</w:t>
      </w:r>
      <w:r>
        <w:rPr>
          <w:rFonts w:hint="eastAsia" w:ascii="仿宋" w:hAnsi="仿宋" w:eastAsia="仿宋" w:cs="仿宋"/>
          <w:lang w:eastAsia="zh-CN"/>
        </w:rPr>
        <w:t>地点</w:t>
      </w:r>
      <w:r>
        <w:rPr>
          <w:rFonts w:hint="eastAsia" w:ascii="仿宋" w:hAnsi="仿宋" w:eastAsia="仿宋" w:cs="仿宋"/>
        </w:rPr>
        <w:t>：</w:t>
      </w:r>
      <w:r>
        <w:rPr>
          <w:rFonts w:hint="eastAsia" w:ascii="仿宋" w:hAnsi="仿宋" w:eastAsia="仿宋" w:cs="仿宋"/>
          <w:bCs/>
          <w:sz w:val="24"/>
          <w:u w:val="single"/>
        </w:rPr>
        <w:t xml:space="preserve">            </w:t>
      </w:r>
      <w:r>
        <w:rPr>
          <w:rFonts w:hint="eastAsia" w:ascii="仿宋" w:hAnsi="仿宋" w:eastAsia="仿宋" w:cs="仿宋"/>
          <w:lang w:val="en-US" w:eastAsia="zh-CN"/>
        </w:rPr>
        <w:t xml:space="preserve">  </w:t>
      </w:r>
    </w:p>
    <w:p w14:paraId="1AB98A73">
      <w:pPr>
        <w:tabs>
          <w:tab w:val="left" w:pos="540"/>
        </w:tabs>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lang w:eastAsia="zh-CN"/>
        </w:rPr>
        <w:t>三</w:t>
      </w:r>
      <w:r>
        <w:rPr>
          <w:rFonts w:hint="eastAsia" w:ascii="仿宋" w:hAnsi="仿宋" w:eastAsia="仿宋" w:cs="仿宋"/>
          <w:b/>
          <w:bCs/>
          <w:sz w:val="24"/>
        </w:rPr>
        <w:t>、合同价格及付款方式</w:t>
      </w:r>
    </w:p>
    <w:p w14:paraId="3863A7DF">
      <w:pPr>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en-US" w:eastAsia="zh-CN"/>
        </w:rPr>
        <w:t>.</w:t>
      </w:r>
      <w:r>
        <w:rPr>
          <w:rFonts w:hint="eastAsia" w:ascii="仿宋" w:hAnsi="仿宋" w:eastAsia="仿宋" w:cs="仿宋"/>
          <w:bCs/>
          <w:sz w:val="24"/>
        </w:rPr>
        <w:t>本合同金额为（大写）</w:t>
      </w:r>
      <w:r>
        <w:rPr>
          <w:rFonts w:hint="eastAsia" w:ascii="仿宋" w:hAnsi="仿宋" w:eastAsia="仿宋" w:cs="仿宋"/>
          <w:bCs/>
          <w:sz w:val="24"/>
          <w:u w:val="single"/>
        </w:rPr>
        <w:t xml:space="preserve">            </w:t>
      </w:r>
      <w:r>
        <w:rPr>
          <w:rFonts w:hint="eastAsia" w:ascii="仿宋" w:hAnsi="仿宋" w:eastAsia="仿宋" w:cs="仿宋"/>
          <w:bCs/>
          <w:sz w:val="24"/>
        </w:rPr>
        <w:t>元（￥</w:t>
      </w:r>
      <w:r>
        <w:rPr>
          <w:rFonts w:hint="eastAsia" w:ascii="仿宋" w:hAnsi="仿宋" w:eastAsia="仿宋" w:cs="仿宋"/>
          <w:bCs/>
          <w:sz w:val="24"/>
          <w:u w:val="single"/>
        </w:rPr>
        <w:t xml:space="preserve">        </w:t>
      </w:r>
      <w:r>
        <w:rPr>
          <w:rFonts w:hint="eastAsia" w:ascii="仿宋" w:hAnsi="仿宋" w:eastAsia="仿宋" w:cs="仿宋"/>
          <w:bCs/>
          <w:sz w:val="24"/>
        </w:rPr>
        <w:t>元）人民币。</w:t>
      </w:r>
    </w:p>
    <w:p w14:paraId="4CED853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付款方式：</w:t>
      </w:r>
    </w:p>
    <w:p w14:paraId="6471274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 xml:space="preserve">                                     </w:t>
      </w:r>
      <w:r>
        <w:rPr>
          <w:rFonts w:hint="eastAsia" w:ascii="仿宋" w:hAnsi="仿宋" w:eastAsia="仿宋" w:cs="仿宋"/>
          <w:sz w:val="24"/>
        </w:rPr>
        <w:t>；</w:t>
      </w:r>
    </w:p>
    <w:p w14:paraId="44C17C46">
      <w:pPr>
        <w:snapToGrid w:val="0"/>
        <w:spacing w:line="360" w:lineRule="auto"/>
        <w:ind w:firstLine="480" w:firstLineChars="200"/>
        <w:rPr>
          <w:rFonts w:hint="eastAsia"/>
        </w:rPr>
      </w:pPr>
      <w:r>
        <w:rPr>
          <w:rFonts w:hint="eastAsia" w:ascii="仿宋" w:hAnsi="仿宋" w:eastAsia="仿宋" w:cs="仿宋"/>
          <w:sz w:val="24"/>
        </w:rPr>
        <w:t>（2）完成合同内所有服务内容，经</w:t>
      </w:r>
      <w:r>
        <w:rPr>
          <w:rFonts w:hint="eastAsia" w:ascii="仿宋" w:hAnsi="仿宋" w:eastAsia="仿宋" w:cs="仿宋"/>
          <w:sz w:val="24"/>
          <w:lang w:val="en-US" w:eastAsia="zh-CN"/>
        </w:rPr>
        <w:t>评审</w:t>
      </w:r>
      <w:r>
        <w:rPr>
          <w:rFonts w:hint="eastAsia" w:ascii="仿宋" w:hAnsi="仿宋" w:eastAsia="仿宋" w:cs="仿宋"/>
          <w:sz w:val="24"/>
        </w:rPr>
        <w:t>通过后，支付剩余合同款项。</w:t>
      </w:r>
    </w:p>
    <w:p w14:paraId="34076D94">
      <w:pPr>
        <w:snapToGrid w:val="0"/>
        <w:spacing w:line="360" w:lineRule="auto"/>
        <w:ind w:firstLine="480" w:firstLineChars="200"/>
        <w:rPr>
          <w:rFonts w:hint="eastAsia" w:ascii="仿宋" w:hAnsi="仿宋" w:eastAsia="仿宋" w:cs="仿宋"/>
          <w:b/>
          <w:sz w:val="24"/>
        </w:rPr>
      </w:pPr>
      <w:r>
        <w:rPr>
          <w:rFonts w:hint="eastAsia" w:ascii="仿宋" w:hAnsi="仿宋" w:eastAsia="仿宋" w:cs="仿宋"/>
          <w:sz w:val="24"/>
          <w:lang w:eastAsia="zh-CN"/>
        </w:rPr>
        <w:t>响应人</w:t>
      </w:r>
      <w:r>
        <w:rPr>
          <w:rFonts w:hint="eastAsia" w:ascii="仿宋" w:hAnsi="仿宋" w:eastAsia="仿宋" w:cs="仿宋"/>
          <w:sz w:val="24"/>
        </w:rPr>
        <w:t>必须提供给</w:t>
      </w:r>
      <w:r>
        <w:rPr>
          <w:rFonts w:hint="eastAsia" w:ascii="仿宋" w:hAnsi="仿宋" w:eastAsia="仿宋" w:cs="仿宋"/>
          <w:sz w:val="24"/>
          <w:lang w:eastAsia="zh-CN"/>
        </w:rPr>
        <w:t>交易人</w:t>
      </w:r>
      <w:r>
        <w:rPr>
          <w:rFonts w:hint="eastAsia" w:ascii="仿宋" w:hAnsi="仿宋" w:eastAsia="仿宋" w:cs="仿宋"/>
          <w:sz w:val="24"/>
        </w:rPr>
        <w:t>相应款项一致的全额、正规、合法、有效的发票，否则甲方有权延期付款，直至收到乙方相应发票为止。</w:t>
      </w:r>
    </w:p>
    <w:p w14:paraId="3063EBB7">
      <w:pPr>
        <w:tabs>
          <w:tab w:val="left" w:pos="540"/>
        </w:tabs>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lang w:eastAsia="zh-CN"/>
        </w:rPr>
        <w:t>四</w:t>
      </w:r>
      <w:r>
        <w:rPr>
          <w:rFonts w:hint="eastAsia" w:ascii="仿宋" w:hAnsi="仿宋" w:eastAsia="仿宋" w:cs="仿宋"/>
          <w:b/>
          <w:bCs/>
          <w:sz w:val="24"/>
        </w:rPr>
        <w:t>、履约保证金</w:t>
      </w:r>
    </w:p>
    <w:p w14:paraId="0CA722E2">
      <w:pPr>
        <w:pStyle w:val="26"/>
        <w:snapToGrid w:val="0"/>
        <w:ind w:firstLine="480" w:firstLineChars="200"/>
        <w:rPr>
          <w:rFonts w:hint="default" w:ascii="仿宋" w:hAnsi="仿宋" w:eastAsia="仿宋" w:cs="仿宋"/>
          <w:lang w:val="en-US" w:eastAsia="zh-CN"/>
        </w:rPr>
      </w:pPr>
      <w:r>
        <w:rPr>
          <w:rFonts w:hint="eastAsia" w:ascii="仿宋" w:hAnsi="仿宋" w:eastAsia="仿宋" w:cs="仿宋"/>
          <w:lang w:val="en-US" w:eastAsia="zh-CN"/>
        </w:rPr>
        <w:t>本项目无需缴纳履约保证金。</w:t>
      </w:r>
    </w:p>
    <w:p w14:paraId="506AE5B2">
      <w:pPr>
        <w:tabs>
          <w:tab w:val="left" w:pos="540"/>
        </w:tabs>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lang w:eastAsia="zh-CN"/>
        </w:rPr>
        <w:t>五</w:t>
      </w:r>
      <w:r>
        <w:rPr>
          <w:rFonts w:hint="eastAsia" w:ascii="仿宋" w:hAnsi="仿宋" w:eastAsia="仿宋" w:cs="仿宋"/>
          <w:b/>
          <w:bCs/>
          <w:sz w:val="24"/>
        </w:rPr>
        <w:t>、质量要求</w:t>
      </w:r>
    </w:p>
    <w:p w14:paraId="1144E479">
      <w:pPr>
        <w:tabs>
          <w:tab w:val="left" w:pos="540"/>
        </w:tabs>
        <w:snapToGrid w:val="0"/>
        <w:spacing w:line="360" w:lineRule="auto"/>
        <w:ind w:firstLine="480" w:firstLineChars="200"/>
        <w:rPr>
          <w:rFonts w:hint="eastAsia" w:ascii="仿宋" w:hAnsi="仿宋" w:eastAsia="仿宋" w:cs="仿宋"/>
          <w:b/>
          <w:bCs/>
          <w:sz w:val="24"/>
        </w:rPr>
      </w:pPr>
      <w:r>
        <w:rPr>
          <w:rFonts w:hint="eastAsia" w:ascii="仿宋" w:hAnsi="仿宋" w:eastAsia="仿宋" w:cs="仿宋"/>
          <w:sz w:val="24"/>
        </w:rPr>
        <w:t>乙方保证所提交成果符合国家相关规范、规程的要求。</w:t>
      </w:r>
    </w:p>
    <w:p w14:paraId="62FB7B1A">
      <w:pPr>
        <w:tabs>
          <w:tab w:val="left" w:pos="540"/>
        </w:tabs>
        <w:snapToGrid w:val="0"/>
        <w:spacing w:line="360" w:lineRule="auto"/>
        <w:ind w:firstLine="482" w:firstLineChars="200"/>
        <w:rPr>
          <w:rFonts w:hint="eastAsia" w:ascii="仿宋" w:hAnsi="仿宋" w:eastAsia="仿宋" w:cs="仿宋"/>
          <w:sz w:val="24"/>
        </w:rPr>
      </w:pPr>
      <w:r>
        <w:rPr>
          <w:rFonts w:hint="eastAsia" w:ascii="仿宋" w:hAnsi="仿宋" w:eastAsia="仿宋" w:cs="仿宋"/>
          <w:b/>
          <w:bCs/>
          <w:sz w:val="24"/>
          <w:lang w:eastAsia="zh-CN"/>
        </w:rPr>
        <w:t>六</w:t>
      </w:r>
      <w:r>
        <w:rPr>
          <w:rFonts w:hint="eastAsia" w:ascii="仿宋" w:hAnsi="仿宋" w:eastAsia="仿宋" w:cs="仿宋"/>
          <w:b/>
          <w:bCs/>
          <w:sz w:val="24"/>
        </w:rPr>
        <w:t>、技术资料</w:t>
      </w:r>
    </w:p>
    <w:p w14:paraId="3D2F2479">
      <w:pPr>
        <w:tabs>
          <w:tab w:val="left" w:pos="5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1.乙方应按</w:t>
      </w:r>
      <w:r>
        <w:rPr>
          <w:rFonts w:hint="eastAsia" w:ascii="仿宋" w:hAnsi="仿宋" w:eastAsia="仿宋" w:cs="仿宋"/>
          <w:sz w:val="24"/>
          <w:lang w:eastAsia="zh-CN"/>
        </w:rPr>
        <w:t>交易文件</w:t>
      </w:r>
      <w:r>
        <w:rPr>
          <w:rFonts w:hint="eastAsia" w:ascii="仿宋" w:hAnsi="仿宋" w:eastAsia="仿宋" w:cs="仿宋"/>
          <w:sz w:val="24"/>
        </w:rPr>
        <w:t>规定的时间向甲方提供有关技术资料。</w:t>
      </w:r>
    </w:p>
    <w:p w14:paraId="13AAFB03">
      <w:pPr>
        <w:tabs>
          <w:tab w:val="left" w:pos="5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2.没有甲方事先书面同意，乙方不得将由甲方提供的有关合同或任何合同条文或资料提供给与履行本合同无关的任何其他人。即使向履行本合同有关的人员提供，也应注意保密并限于履行合同的必需范围。</w:t>
      </w:r>
    </w:p>
    <w:p w14:paraId="78F3E03C">
      <w:pPr>
        <w:tabs>
          <w:tab w:val="left" w:pos="540"/>
        </w:tabs>
        <w:snapToGrid w:val="0"/>
        <w:spacing w:line="360" w:lineRule="auto"/>
        <w:ind w:firstLine="482" w:firstLineChars="200"/>
        <w:rPr>
          <w:rFonts w:hint="eastAsia" w:ascii="仿宋" w:hAnsi="仿宋" w:eastAsia="仿宋" w:cs="仿宋"/>
          <w:b/>
          <w:bCs/>
          <w:sz w:val="24"/>
          <w:lang w:eastAsia="zh-CN"/>
        </w:rPr>
      </w:pPr>
      <w:r>
        <w:rPr>
          <w:rFonts w:hint="eastAsia" w:ascii="仿宋" w:hAnsi="仿宋" w:eastAsia="仿宋" w:cs="仿宋"/>
          <w:b/>
          <w:bCs/>
          <w:sz w:val="24"/>
          <w:lang w:eastAsia="zh-CN"/>
        </w:rPr>
        <w:t>七、绩效考核</w:t>
      </w:r>
    </w:p>
    <w:p w14:paraId="3A591CFB">
      <w:pPr>
        <w:tabs>
          <w:tab w:val="left" w:pos="5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每季度完成检查的定点医药机构质量进行绩效考核；在乙方完成全部定点医药机构检查、评价工作的15个工作日内进行全年</w:t>
      </w:r>
      <w:r>
        <w:rPr>
          <w:rFonts w:hint="eastAsia" w:ascii="仿宋" w:hAnsi="仿宋" w:eastAsia="仿宋" w:cs="仿宋"/>
          <w:sz w:val="24"/>
          <w:lang w:val="zh-CN"/>
        </w:rPr>
        <w:t>绩效考核及</w:t>
      </w:r>
      <w:r>
        <w:rPr>
          <w:rFonts w:hint="eastAsia" w:ascii="仿宋" w:hAnsi="仿宋" w:eastAsia="仿宋" w:cs="仿宋"/>
          <w:sz w:val="24"/>
        </w:rPr>
        <w:t>验收工作，出具服务项目</w:t>
      </w:r>
      <w:r>
        <w:rPr>
          <w:rFonts w:hint="eastAsia" w:ascii="仿宋" w:hAnsi="仿宋" w:eastAsia="仿宋" w:cs="仿宋"/>
          <w:sz w:val="24"/>
          <w:lang w:val="zh-CN"/>
        </w:rPr>
        <w:t>绩效考核</w:t>
      </w:r>
      <w:r>
        <w:rPr>
          <w:rFonts w:hint="eastAsia" w:ascii="仿宋" w:hAnsi="仿宋" w:eastAsia="仿宋" w:cs="仿宋"/>
          <w:sz w:val="24"/>
        </w:rPr>
        <w:t>评价意见。甲方的</w:t>
      </w:r>
      <w:r>
        <w:rPr>
          <w:rFonts w:hint="eastAsia" w:ascii="仿宋" w:hAnsi="仿宋" w:eastAsia="仿宋" w:cs="仿宋"/>
          <w:sz w:val="24"/>
          <w:lang w:val="zh-CN"/>
        </w:rPr>
        <w:t>绩效考核及</w:t>
      </w:r>
      <w:r>
        <w:rPr>
          <w:rFonts w:hint="eastAsia" w:ascii="仿宋" w:hAnsi="仿宋" w:eastAsia="仿宋" w:cs="仿宋"/>
          <w:sz w:val="24"/>
        </w:rPr>
        <w:t>验收标准为本协议的约定及相关法律、法规及规范性文件的规定。具体绩效方法及考核指标另行制定。</w:t>
      </w:r>
    </w:p>
    <w:p w14:paraId="2D6EDB16">
      <w:pPr>
        <w:tabs>
          <w:tab w:val="left" w:pos="5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乙方应对检查、核查结果的真实性负责。如乙方存在虚假核查行为或故意隐瞒的，乙方应补偿甲方因虚假票据造成的医保基金损失及退还该笔核查费用，甲方将保留继续追究乙方法律责任的权利。</w:t>
      </w:r>
    </w:p>
    <w:p w14:paraId="58D82FB0">
      <w:pPr>
        <w:tabs>
          <w:tab w:val="left" w:pos="540"/>
        </w:tabs>
        <w:snapToGrid w:val="0"/>
        <w:spacing w:line="360" w:lineRule="auto"/>
        <w:ind w:firstLine="480" w:firstLineChars="200"/>
        <w:rPr>
          <w:rFonts w:hint="eastAsia"/>
          <w:lang w:eastAsia="zh-CN"/>
        </w:rPr>
      </w:pPr>
      <w:r>
        <w:rPr>
          <w:rFonts w:hint="eastAsia" w:ascii="仿宋" w:hAnsi="仿宋" w:eastAsia="仿宋" w:cs="仿宋"/>
          <w:sz w:val="24"/>
        </w:rPr>
        <w:t>乙方对甲方提供的信息及相关资料承担保密责任，不得用于其他用途、不得向第三方泄露。</w:t>
      </w:r>
    </w:p>
    <w:p w14:paraId="6008AB68">
      <w:pPr>
        <w:tabs>
          <w:tab w:val="left" w:pos="540"/>
        </w:tabs>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八、知识产权</w:t>
      </w:r>
    </w:p>
    <w:p w14:paraId="54D6F16E">
      <w:pPr>
        <w:tabs>
          <w:tab w:val="left" w:pos="5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乙方应保证提供服务过程中不会侵犯任何第三方的知识产权。</w:t>
      </w:r>
    </w:p>
    <w:p w14:paraId="4D6968BD">
      <w:pPr>
        <w:tabs>
          <w:tab w:val="left" w:pos="540"/>
        </w:tabs>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九、验收</w:t>
      </w:r>
    </w:p>
    <w:p w14:paraId="151D9537">
      <w:pPr>
        <w:snapToGrid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1</w:t>
      </w:r>
      <w:r>
        <w:rPr>
          <w:rFonts w:hint="eastAsia" w:ascii="仿宋" w:hAnsi="仿宋" w:eastAsia="仿宋" w:cs="仿宋"/>
          <w:snapToGrid w:val="0"/>
          <w:kern w:val="0"/>
          <w:sz w:val="24"/>
          <w:lang w:val="en-US" w:eastAsia="zh-CN"/>
        </w:rPr>
        <w:t>.</w:t>
      </w:r>
      <w:r>
        <w:rPr>
          <w:rFonts w:hint="eastAsia" w:ascii="仿宋" w:hAnsi="仿宋" w:eastAsia="仿宋" w:cs="仿宋"/>
          <w:snapToGrid w:val="0"/>
          <w:kern w:val="0"/>
          <w:sz w:val="24"/>
        </w:rPr>
        <w:t>验收主体：甲方。</w:t>
      </w:r>
    </w:p>
    <w:p w14:paraId="09242536">
      <w:pPr>
        <w:snapToGrid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2</w:t>
      </w:r>
      <w:r>
        <w:rPr>
          <w:rFonts w:hint="eastAsia" w:ascii="仿宋" w:hAnsi="仿宋" w:eastAsia="仿宋" w:cs="仿宋"/>
          <w:snapToGrid w:val="0"/>
          <w:kern w:val="0"/>
          <w:sz w:val="24"/>
          <w:lang w:val="en-US" w:eastAsia="zh-CN"/>
        </w:rPr>
        <w:t>.</w:t>
      </w:r>
      <w:r>
        <w:rPr>
          <w:rFonts w:hint="eastAsia" w:ascii="仿宋" w:hAnsi="仿宋" w:eastAsia="仿宋" w:cs="仿宋"/>
          <w:snapToGrid w:val="0"/>
          <w:kern w:val="0"/>
          <w:sz w:val="24"/>
        </w:rPr>
        <w:t>甲方在乙方提供服务的过程中，有权不定期对服务内容和质量进行考核。乙方应当配合进行。</w:t>
      </w:r>
    </w:p>
    <w:p w14:paraId="27ECF587">
      <w:pPr>
        <w:snapToGrid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3</w:t>
      </w:r>
      <w:r>
        <w:rPr>
          <w:rFonts w:hint="eastAsia" w:ascii="仿宋" w:hAnsi="仿宋" w:eastAsia="仿宋" w:cs="仿宋"/>
          <w:snapToGrid w:val="0"/>
          <w:kern w:val="0"/>
          <w:sz w:val="24"/>
          <w:lang w:val="en-US" w:eastAsia="zh-CN"/>
        </w:rPr>
        <w:t>.</w:t>
      </w:r>
      <w:r>
        <w:rPr>
          <w:rFonts w:hint="eastAsia" w:ascii="仿宋" w:hAnsi="仿宋" w:eastAsia="仿宋" w:cs="仿宋"/>
          <w:snapToGrid w:val="0"/>
          <w:kern w:val="0"/>
          <w:sz w:val="24"/>
        </w:rPr>
        <w:t>最终验收时间：服务内容执行完毕、服务期截止后。</w:t>
      </w:r>
    </w:p>
    <w:p w14:paraId="780C7010">
      <w:pPr>
        <w:snapToGrid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4</w:t>
      </w:r>
      <w:r>
        <w:rPr>
          <w:rFonts w:hint="eastAsia" w:ascii="仿宋" w:hAnsi="仿宋" w:eastAsia="仿宋" w:cs="仿宋"/>
          <w:snapToGrid w:val="0"/>
          <w:kern w:val="0"/>
          <w:sz w:val="24"/>
          <w:lang w:val="en-US" w:eastAsia="zh-CN"/>
        </w:rPr>
        <w:t>.</w:t>
      </w:r>
      <w:r>
        <w:rPr>
          <w:rFonts w:hint="eastAsia" w:ascii="仿宋" w:hAnsi="仿宋" w:eastAsia="仿宋" w:cs="仿宋"/>
          <w:snapToGrid w:val="0"/>
          <w:kern w:val="0"/>
          <w:sz w:val="24"/>
        </w:rPr>
        <w:t>验收程序：乙方向甲方提出申请验收，甲方按验收方案组织履约验收。乙方应将项目执行过程及时记录、收集、整理，向甲方递交验收申请资料。</w:t>
      </w:r>
    </w:p>
    <w:p w14:paraId="1158F0D7">
      <w:pPr>
        <w:snapToGrid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5</w:t>
      </w:r>
      <w:r>
        <w:rPr>
          <w:rFonts w:hint="eastAsia" w:ascii="仿宋" w:hAnsi="仿宋" w:eastAsia="仿宋" w:cs="仿宋"/>
          <w:snapToGrid w:val="0"/>
          <w:kern w:val="0"/>
          <w:sz w:val="24"/>
          <w:lang w:val="en-US" w:eastAsia="zh-CN"/>
        </w:rPr>
        <w:t>.</w:t>
      </w:r>
      <w:r>
        <w:rPr>
          <w:rFonts w:hint="eastAsia" w:ascii="仿宋" w:hAnsi="仿宋" w:eastAsia="仿宋" w:cs="仿宋"/>
          <w:snapToGrid w:val="0"/>
          <w:kern w:val="0"/>
          <w:sz w:val="24"/>
        </w:rPr>
        <w:t>验收内容：乙方实际完成的情况是否符合</w:t>
      </w:r>
      <w:r>
        <w:rPr>
          <w:rFonts w:hint="eastAsia" w:ascii="仿宋" w:hAnsi="仿宋" w:eastAsia="仿宋" w:cs="仿宋"/>
          <w:snapToGrid w:val="0"/>
          <w:kern w:val="0"/>
          <w:sz w:val="24"/>
          <w:lang w:eastAsia="zh-CN"/>
        </w:rPr>
        <w:t>交易文件</w:t>
      </w:r>
      <w:r>
        <w:rPr>
          <w:rFonts w:hint="eastAsia" w:ascii="仿宋" w:hAnsi="仿宋" w:eastAsia="仿宋" w:cs="仿宋"/>
          <w:snapToGrid w:val="0"/>
          <w:kern w:val="0"/>
          <w:sz w:val="24"/>
        </w:rPr>
        <w:t>要求和乙方在投标响应文件中的商务、技术承诺。</w:t>
      </w:r>
    </w:p>
    <w:p w14:paraId="5EAAA9DC">
      <w:pPr>
        <w:snapToGrid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6</w:t>
      </w:r>
      <w:r>
        <w:rPr>
          <w:rFonts w:hint="eastAsia" w:ascii="仿宋" w:hAnsi="仿宋" w:eastAsia="仿宋" w:cs="仿宋"/>
          <w:snapToGrid w:val="0"/>
          <w:kern w:val="0"/>
          <w:sz w:val="24"/>
          <w:lang w:val="en-US" w:eastAsia="zh-CN"/>
        </w:rPr>
        <w:t>.</w:t>
      </w:r>
      <w:r>
        <w:rPr>
          <w:rFonts w:hint="eastAsia" w:ascii="仿宋" w:hAnsi="仿宋" w:eastAsia="仿宋" w:cs="仿宋"/>
          <w:snapToGrid w:val="0"/>
          <w:kern w:val="0"/>
          <w:sz w:val="24"/>
        </w:rPr>
        <w:t>验收标准：乙方已经按</w:t>
      </w:r>
      <w:r>
        <w:rPr>
          <w:rFonts w:hint="eastAsia" w:ascii="仿宋" w:hAnsi="仿宋" w:eastAsia="仿宋" w:cs="仿宋"/>
          <w:snapToGrid w:val="0"/>
          <w:kern w:val="0"/>
          <w:sz w:val="24"/>
          <w:lang w:eastAsia="zh-CN"/>
        </w:rPr>
        <w:t>交易文件</w:t>
      </w:r>
      <w:r>
        <w:rPr>
          <w:rFonts w:hint="eastAsia" w:ascii="仿宋" w:hAnsi="仿宋" w:eastAsia="仿宋" w:cs="仿宋"/>
          <w:snapToGrid w:val="0"/>
          <w:kern w:val="0"/>
          <w:sz w:val="24"/>
        </w:rPr>
        <w:t>要求和乙方在投标响应文件中的商务、技术承诺完成项目执行。</w:t>
      </w:r>
    </w:p>
    <w:p w14:paraId="0BD2EB77">
      <w:pPr>
        <w:snapToGrid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lang w:val="en-US" w:eastAsia="zh-CN"/>
        </w:rPr>
        <w:t>7.</w:t>
      </w:r>
      <w:r>
        <w:rPr>
          <w:rFonts w:hint="eastAsia" w:ascii="仿宋" w:hAnsi="仿宋" w:eastAsia="仿宋" w:cs="仿宋"/>
          <w:snapToGrid w:val="0"/>
          <w:kern w:val="0"/>
          <w:sz w:val="24"/>
        </w:rPr>
        <w:t>经验收后，乙方服务成果不合格的（或未通过评审的），甲方有权要求乙方进行整改，相关费用由乙方承担；如整改后仍不合格的，甲方有权解除合同，并可以拒绝支付未支付的款项，乙方已经收取的款项应退还给甲方。</w:t>
      </w:r>
    </w:p>
    <w:p w14:paraId="72C306B4">
      <w:pPr>
        <w:tabs>
          <w:tab w:val="left" w:pos="540"/>
        </w:tabs>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十、转包或分包</w:t>
      </w:r>
    </w:p>
    <w:p w14:paraId="2A1BBCEF">
      <w:pPr>
        <w:tabs>
          <w:tab w:val="left" w:pos="5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1.本合同范围的服务，应由乙方直接供应，不得转让他人供应；</w:t>
      </w:r>
    </w:p>
    <w:p w14:paraId="42B1B412">
      <w:pPr>
        <w:tabs>
          <w:tab w:val="left" w:pos="5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2.如有转让和未经甲方同意的分包行为，甲方有权解除合同，并追究乙方的违约责任。</w:t>
      </w:r>
    </w:p>
    <w:p w14:paraId="529CFC3E">
      <w:pPr>
        <w:tabs>
          <w:tab w:val="left" w:pos="540"/>
        </w:tabs>
        <w:snapToGrid w:val="0"/>
        <w:spacing w:line="360" w:lineRule="auto"/>
        <w:ind w:firstLine="482" w:firstLineChars="200"/>
        <w:rPr>
          <w:rFonts w:hint="eastAsia" w:ascii="仿宋" w:hAnsi="仿宋" w:eastAsia="仿宋" w:cs="仿宋"/>
          <w:sz w:val="24"/>
        </w:rPr>
      </w:pPr>
      <w:r>
        <w:rPr>
          <w:rFonts w:hint="eastAsia" w:ascii="仿宋" w:hAnsi="仿宋" w:eastAsia="仿宋" w:cs="仿宋"/>
          <w:b/>
          <w:bCs/>
          <w:sz w:val="24"/>
        </w:rPr>
        <w:t>十一、税费</w:t>
      </w:r>
    </w:p>
    <w:p w14:paraId="5DB9D8DF">
      <w:pPr>
        <w:tabs>
          <w:tab w:val="left" w:pos="5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本合同执行中相关的一切税费均由乙方负担。</w:t>
      </w:r>
    </w:p>
    <w:p w14:paraId="281D86F5">
      <w:pPr>
        <w:tabs>
          <w:tab w:val="left" w:pos="540"/>
        </w:tabs>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十二、质量保证及后续服务</w:t>
      </w:r>
    </w:p>
    <w:p w14:paraId="140F6D92">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1．乙方应按</w:t>
      </w:r>
      <w:r>
        <w:rPr>
          <w:rFonts w:hint="eastAsia" w:ascii="仿宋" w:hAnsi="仿宋" w:eastAsia="仿宋" w:cs="仿宋"/>
          <w:color w:val="000000"/>
          <w:sz w:val="24"/>
          <w:lang w:eastAsia="zh-CN"/>
        </w:rPr>
        <w:t>交易文件</w:t>
      </w:r>
      <w:r>
        <w:rPr>
          <w:rFonts w:hint="eastAsia" w:ascii="仿宋" w:hAnsi="仿宋" w:eastAsia="仿宋" w:cs="仿宋"/>
          <w:color w:val="000000"/>
          <w:sz w:val="24"/>
        </w:rPr>
        <w:t>规定向甲方提供服务。</w:t>
      </w:r>
    </w:p>
    <w:p w14:paraId="66FEE8F2">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2．乙方提供的服务成果在服务质量保证期内发生问题，乙方应负责免费提供后续服务。对达不到要求者，甲方有权选择按以下办法处理：</w:t>
      </w:r>
    </w:p>
    <w:p w14:paraId="2859244D">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(1)重做：由乙方承担所发生的全部费用。</w:t>
      </w:r>
    </w:p>
    <w:p w14:paraId="14F72DA2">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(2)解除合同。</w:t>
      </w:r>
    </w:p>
    <w:p w14:paraId="2B9B4870">
      <w:pPr>
        <w:tabs>
          <w:tab w:val="left" w:pos="540"/>
        </w:tabs>
        <w:snapToGrid w:val="0"/>
        <w:spacing w:line="360" w:lineRule="auto"/>
        <w:ind w:firstLine="482" w:firstLineChars="200"/>
        <w:rPr>
          <w:rFonts w:hint="eastAsia" w:ascii="仿宋" w:hAnsi="仿宋" w:eastAsia="仿宋" w:cs="仿宋"/>
          <w:sz w:val="24"/>
        </w:rPr>
      </w:pPr>
      <w:r>
        <w:rPr>
          <w:rFonts w:hint="eastAsia" w:ascii="仿宋" w:hAnsi="仿宋" w:eastAsia="仿宋" w:cs="仿宋"/>
          <w:b/>
          <w:bCs/>
          <w:sz w:val="24"/>
        </w:rPr>
        <w:t>十三、违约责任</w:t>
      </w:r>
    </w:p>
    <w:p w14:paraId="0EE525B1">
      <w:pPr>
        <w:tabs>
          <w:tab w:val="left" w:pos="5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1．甲方无正当理由拒收接受服务的，甲方向乙方偿付合同款项百分之五作为违约金。</w:t>
      </w:r>
    </w:p>
    <w:p w14:paraId="673D63C5">
      <w:pPr>
        <w:tabs>
          <w:tab w:val="left" w:pos="5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 xml:space="preserve">．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0E461B07">
      <w:pPr>
        <w:tabs>
          <w:tab w:val="left" w:pos="540"/>
        </w:tabs>
        <w:snapToGrid w:val="0"/>
        <w:spacing w:line="360" w:lineRule="auto"/>
        <w:ind w:firstLine="482" w:firstLineChars="200"/>
        <w:rPr>
          <w:rFonts w:hint="eastAsia" w:ascii="仿宋" w:hAnsi="仿宋" w:eastAsia="仿宋" w:cs="仿宋"/>
          <w:sz w:val="24"/>
        </w:rPr>
      </w:pPr>
      <w:r>
        <w:rPr>
          <w:rFonts w:hint="eastAsia" w:ascii="仿宋" w:hAnsi="仿宋" w:eastAsia="仿宋" w:cs="仿宋"/>
          <w:b/>
          <w:bCs/>
          <w:sz w:val="24"/>
        </w:rPr>
        <w:t>十四、不可抗力事件处理</w:t>
      </w:r>
    </w:p>
    <w:p w14:paraId="271EA4C2">
      <w:pPr>
        <w:tabs>
          <w:tab w:val="left" w:pos="5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1．在合同有效期内，任何一方因不可抗力事件导致不能履行合同，则合同履行期可延长，其延长期与不可抗力影响期相同。</w:t>
      </w:r>
    </w:p>
    <w:p w14:paraId="0551F4AB">
      <w:pPr>
        <w:tabs>
          <w:tab w:val="left" w:pos="5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2．不可抗力事件发生后，应立即通知对方，并寄送有关权威机构出具的证明。</w:t>
      </w:r>
    </w:p>
    <w:p w14:paraId="790580F8">
      <w:pPr>
        <w:tabs>
          <w:tab w:val="left" w:pos="5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3.不可抗力事件延续120天以上，双方应通过友好协商，确定是否继续履行合同。</w:t>
      </w:r>
    </w:p>
    <w:p w14:paraId="52F6666E">
      <w:pPr>
        <w:tabs>
          <w:tab w:val="left" w:pos="540"/>
        </w:tabs>
        <w:snapToGrid w:val="0"/>
        <w:spacing w:line="360" w:lineRule="auto"/>
        <w:ind w:firstLine="482" w:firstLineChars="200"/>
        <w:rPr>
          <w:rFonts w:hint="eastAsia" w:ascii="仿宋" w:hAnsi="仿宋" w:eastAsia="仿宋" w:cs="仿宋"/>
          <w:sz w:val="24"/>
        </w:rPr>
      </w:pPr>
      <w:r>
        <w:rPr>
          <w:rFonts w:hint="eastAsia" w:ascii="仿宋" w:hAnsi="仿宋" w:eastAsia="仿宋" w:cs="仿宋"/>
          <w:b/>
          <w:bCs/>
          <w:sz w:val="24"/>
        </w:rPr>
        <w:t>十五、诉讼</w:t>
      </w:r>
    </w:p>
    <w:p w14:paraId="6140BD1F">
      <w:pPr>
        <w:tabs>
          <w:tab w:val="left" w:pos="5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双方在执行合同中所发生的一切争议，应通过协商解决。如协商不成，可向甲方所在地法院起诉。</w:t>
      </w:r>
    </w:p>
    <w:p w14:paraId="1B6F7D48">
      <w:pPr>
        <w:snapToGrid w:val="0"/>
        <w:spacing w:line="360" w:lineRule="auto"/>
        <w:ind w:right="-514" w:rightChars="-245" w:firstLine="482" w:firstLineChars="200"/>
        <w:rPr>
          <w:rFonts w:hint="eastAsia" w:ascii="仿宋" w:hAnsi="仿宋" w:eastAsia="仿宋" w:cs="仿宋"/>
          <w:b/>
          <w:sz w:val="24"/>
        </w:rPr>
      </w:pPr>
      <w:r>
        <w:rPr>
          <w:rFonts w:hint="eastAsia" w:ascii="仿宋" w:hAnsi="仿宋" w:eastAsia="仿宋" w:cs="仿宋"/>
          <w:b/>
          <w:sz w:val="24"/>
        </w:rPr>
        <w:t>十六、合同生效</w:t>
      </w:r>
    </w:p>
    <w:p w14:paraId="093DE12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1.合同经双方法定代表人或授权代表签字并加盖单位公章后生效。</w:t>
      </w:r>
    </w:p>
    <w:p w14:paraId="45C5F7D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2.附件。本协议附件包括：</w:t>
      </w:r>
      <w:r>
        <w:rPr>
          <w:rFonts w:hint="eastAsia" w:ascii="仿宋" w:hAnsi="仿宋" w:eastAsia="仿宋" w:cs="仿宋"/>
          <w:sz w:val="24"/>
          <w:lang w:eastAsia="zh-CN"/>
        </w:rPr>
        <w:t>交易文件</w:t>
      </w:r>
      <w:r>
        <w:rPr>
          <w:rFonts w:hint="eastAsia" w:ascii="仿宋" w:hAnsi="仿宋" w:eastAsia="仿宋" w:cs="仿宋"/>
          <w:sz w:val="24"/>
        </w:rPr>
        <w:t>、采购补充文件（如有）、</w:t>
      </w:r>
      <w:r>
        <w:rPr>
          <w:rFonts w:hint="eastAsia" w:ascii="仿宋" w:hAnsi="仿宋" w:eastAsia="仿宋" w:cs="仿宋"/>
          <w:sz w:val="24"/>
          <w:lang w:eastAsia="zh-CN"/>
        </w:rPr>
        <w:t>响应</w:t>
      </w:r>
      <w:r>
        <w:rPr>
          <w:rFonts w:hint="eastAsia" w:ascii="仿宋" w:hAnsi="仿宋" w:eastAsia="仿宋" w:cs="仿宋"/>
          <w:sz w:val="24"/>
        </w:rPr>
        <w:t>文件、询标纪要及承诺（如有）、中标通知书、合同协议特定条款等均作为本合同的组成部分。附件是本协议不可分割的组成部分，以签署时间在后的优先。</w:t>
      </w:r>
    </w:p>
    <w:p w14:paraId="7A34560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3.本合同未尽事宜，遵照《民法典》有关条文执行。</w:t>
      </w:r>
    </w:p>
    <w:p w14:paraId="1B19E3B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4.本合同一式</w:t>
      </w:r>
      <w:r>
        <w:rPr>
          <w:rFonts w:hint="eastAsia" w:ascii="仿宋" w:hAnsi="仿宋" w:eastAsia="仿宋" w:cs="仿宋"/>
          <w:sz w:val="24"/>
          <w:lang w:val="en-US" w:eastAsia="zh-CN"/>
        </w:rPr>
        <w:t>陆</w:t>
      </w:r>
      <w:r>
        <w:rPr>
          <w:rFonts w:hint="eastAsia" w:ascii="仿宋" w:hAnsi="仿宋" w:eastAsia="仿宋" w:cs="仿宋"/>
          <w:sz w:val="24"/>
        </w:rPr>
        <w:t>份，甲乙双方各执</w:t>
      </w:r>
      <w:r>
        <w:rPr>
          <w:rFonts w:hint="eastAsia" w:ascii="仿宋" w:hAnsi="仿宋" w:eastAsia="仿宋" w:cs="仿宋"/>
          <w:sz w:val="24"/>
          <w:lang w:val="en-US" w:eastAsia="zh-CN"/>
        </w:rPr>
        <w:t>叁</w:t>
      </w:r>
      <w:r>
        <w:rPr>
          <w:rFonts w:hint="eastAsia" w:ascii="仿宋" w:hAnsi="仿宋" w:eastAsia="仿宋" w:cs="仿宋"/>
          <w:sz w:val="24"/>
        </w:rPr>
        <w:t>份。</w:t>
      </w:r>
    </w:p>
    <w:p w14:paraId="0C7E018F">
      <w:pPr>
        <w:pStyle w:val="400"/>
        <w:spacing w:after="120" w:line="400" w:lineRule="exact"/>
        <w:ind w:firstLine="480"/>
        <w:rPr>
          <w:rFonts w:hint="eastAsia" w:ascii="仿宋" w:hAnsi="仿宋" w:eastAsia="仿宋" w:cs="仿宋"/>
          <w:color w:val="FF0000"/>
          <w:szCs w:val="24"/>
        </w:rPr>
      </w:pPr>
    </w:p>
    <w:tbl>
      <w:tblPr>
        <w:tblStyle w:val="63"/>
        <w:tblW w:w="0" w:type="auto"/>
        <w:tblInd w:w="0" w:type="dxa"/>
        <w:tblLayout w:type="fixed"/>
        <w:tblCellMar>
          <w:top w:w="0" w:type="dxa"/>
          <w:left w:w="108" w:type="dxa"/>
          <w:bottom w:w="0" w:type="dxa"/>
          <w:right w:w="108" w:type="dxa"/>
        </w:tblCellMar>
      </w:tblPr>
      <w:tblGrid>
        <w:gridCol w:w="4479"/>
        <w:gridCol w:w="4473"/>
      </w:tblGrid>
      <w:tr w14:paraId="08145A52">
        <w:tblPrEx>
          <w:tblCellMar>
            <w:top w:w="0" w:type="dxa"/>
            <w:left w:w="108" w:type="dxa"/>
            <w:bottom w:w="0" w:type="dxa"/>
            <w:right w:w="108" w:type="dxa"/>
          </w:tblCellMar>
        </w:tblPrEx>
        <w:tc>
          <w:tcPr>
            <w:tcW w:w="4479" w:type="dxa"/>
            <w:noWrap w:val="0"/>
            <w:vAlign w:val="center"/>
          </w:tcPr>
          <w:p w14:paraId="08C0A5B2">
            <w:pPr>
              <w:snapToGrid w:val="0"/>
              <w:spacing w:line="400" w:lineRule="exact"/>
              <w:rPr>
                <w:rFonts w:hint="eastAsia" w:ascii="仿宋" w:hAnsi="仿宋" w:eastAsia="仿宋" w:cs="仿宋"/>
                <w:b/>
                <w:sz w:val="24"/>
              </w:rPr>
            </w:pPr>
            <w:r>
              <w:rPr>
                <w:rFonts w:hint="eastAsia" w:ascii="仿宋" w:hAnsi="仿宋" w:eastAsia="仿宋" w:cs="仿宋"/>
                <w:b/>
                <w:bCs/>
                <w:sz w:val="24"/>
              </w:rPr>
              <w:t>甲 方：</w:t>
            </w:r>
          </w:p>
        </w:tc>
        <w:tc>
          <w:tcPr>
            <w:tcW w:w="4473" w:type="dxa"/>
            <w:noWrap w:val="0"/>
            <w:vAlign w:val="center"/>
          </w:tcPr>
          <w:p w14:paraId="66A09B10">
            <w:pPr>
              <w:snapToGrid w:val="0"/>
              <w:spacing w:line="400" w:lineRule="exact"/>
              <w:rPr>
                <w:rFonts w:hint="eastAsia" w:ascii="仿宋" w:hAnsi="仿宋" w:eastAsia="仿宋" w:cs="仿宋"/>
                <w:b/>
                <w:bCs/>
                <w:sz w:val="24"/>
              </w:rPr>
            </w:pPr>
            <w:r>
              <w:rPr>
                <w:rFonts w:hint="eastAsia" w:ascii="仿宋" w:hAnsi="仿宋" w:eastAsia="仿宋" w:cs="仿宋"/>
                <w:b/>
                <w:bCs/>
                <w:sz w:val="24"/>
              </w:rPr>
              <w:t xml:space="preserve">乙 方： </w:t>
            </w:r>
          </w:p>
        </w:tc>
      </w:tr>
      <w:tr w14:paraId="6BCDD755">
        <w:tblPrEx>
          <w:tblCellMar>
            <w:top w:w="0" w:type="dxa"/>
            <w:left w:w="108" w:type="dxa"/>
            <w:bottom w:w="0" w:type="dxa"/>
            <w:right w:w="108" w:type="dxa"/>
          </w:tblCellMar>
        </w:tblPrEx>
        <w:tc>
          <w:tcPr>
            <w:tcW w:w="4479" w:type="dxa"/>
            <w:noWrap w:val="0"/>
            <w:vAlign w:val="top"/>
          </w:tcPr>
          <w:p w14:paraId="7D2D4EC8">
            <w:pPr>
              <w:spacing w:line="400" w:lineRule="exact"/>
              <w:rPr>
                <w:rFonts w:hint="eastAsia" w:ascii="仿宋" w:hAnsi="仿宋" w:eastAsia="仿宋" w:cs="仿宋"/>
                <w:b/>
                <w:bCs/>
                <w:sz w:val="24"/>
              </w:rPr>
            </w:pPr>
            <w:r>
              <w:rPr>
                <w:rFonts w:hint="eastAsia" w:ascii="仿宋" w:hAnsi="仿宋" w:eastAsia="仿宋" w:cs="仿宋"/>
                <w:bCs/>
                <w:sz w:val="24"/>
              </w:rPr>
              <w:t>（</w:t>
            </w:r>
            <w:r>
              <w:rPr>
                <w:rFonts w:hint="eastAsia" w:ascii="仿宋" w:hAnsi="仿宋" w:eastAsia="仿宋" w:cs="仿宋"/>
                <w:sz w:val="24"/>
              </w:rPr>
              <w:t>盖章）</w:t>
            </w:r>
          </w:p>
        </w:tc>
        <w:tc>
          <w:tcPr>
            <w:tcW w:w="4473" w:type="dxa"/>
            <w:noWrap w:val="0"/>
            <w:vAlign w:val="top"/>
          </w:tcPr>
          <w:p w14:paraId="0D5596CD">
            <w:pPr>
              <w:spacing w:line="400" w:lineRule="exact"/>
              <w:rPr>
                <w:rFonts w:hint="eastAsia" w:ascii="仿宋" w:hAnsi="仿宋" w:eastAsia="仿宋" w:cs="仿宋"/>
                <w:b/>
                <w:bCs/>
                <w:sz w:val="24"/>
              </w:rPr>
            </w:pPr>
            <w:r>
              <w:rPr>
                <w:rFonts w:hint="eastAsia" w:ascii="仿宋" w:hAnsi="仿宋" w:eastAsia="仿宋" w:cs="仿宋"/>
                <w:sz w:val="24"/>
              </w:rPr>
              <w:t>（盖章）</w:t>
            </w:r>
          </w:p>
        </w:tc>
      </w:tr>
      <w:tr w14:paraId="6D2265B8">
        <w:tblPrEx>
          <w:tblCellMar>
            <w:top w:w="0" w:type="dxa"/>
            <w:left w:w="108" w:type="dxa"/>
            <w:bottom w:w="0" w:type="dxa"/>
            <w:right w:w="108" w:type="dxa"/>
          </w:tblCellMar>
        </w:tblPrEx>
        <w:tc>
          <w:tcPr>
            <w:tcW w:w="4479" w:type="dxa"/>
            <w:noWrap w:val="0"/>
            <w:vAlign w:val="top"/>
          </w:tcPr>
          <w:p w14:paraId="3D5C3B69">
            <w:pPr>
              <w:snapToGrid w:val="0"/>
              <w:spacing w:line="400" w:lineRule="exact"/>
              <w:rPr>
                <w:rFonts w:hint="eastAsia" w:ascii="仿宋" w:hAnsi="仿宋" w:eastAsia="仿宋" w:cs="仿宋"/>
                <w:b/>
                <w:bCs/>
                <w:sz w:val="24"/>
              </w:rPr>
            </w:pPr>
            <w:r>
              <w:rPr>
                <w:rFonts w:hint="eastAsia" w:ascii="仿宋" w:hAnsi="仿宋" w:eastAsia="仿宋" w:cs="仿宋"/>
                <w:sz w:val="24"/>
              </w:rPr>
              <w:t>法人或授权代表：</w:t>
            </w:r>
          </w:p>
        </w:tc>
        <w:tc>
          <w:tcPr>
            <w:tcW w:w="4473" w:type="dxa"/>
            <w:noWrap w:val="0"/>
            <w:vAlign w:val="top"/>
          </w:tcPr>
          <w:p w14:paraId="4AAADE4E">
            <w:pPr>
              <w:snapToGrid w:val="0"/>
              <w:spacing w:line="400" w:lineRule="exact"/>
              <w:rPr>
                <w:rFonts w:hint="eastAsia" w:ascii="仿宋" w:hAnsi="仿宋" w:eastAsia="仿宋" w:cs="仿宋"/>
                <w:b/>
                <w:bCs/>
                <w:sz w:val="24"/>
              </w:rPr>
            </w:pPr>
            <w:r>
              <w:rPr>
                <w:rFonts w:hint="eastAsia" w:ascii="仿宋" w:hAnsi="仿宋" w:eastAsia="仿宋" w:cs="仿宋"/>
                <w:sz w:val="24"/>
              </w:rPr>
              <w:t>法人或授权代表：</w:t>
            </w:r>
          </w:p>
        </w:tc>
      </w:tr>
      <w:tr w14:paraId="59111EBC">
        <w:tblPrEx>
          <w:tblCellMar>
            <w:top w:w="0" w:type="dxa"/>
            <w:left w:w="108" w:type="dxa"/>
            <w:bottom w:w="0" w:type="dxa"/>
            <w:right w:w="108" w:type="dxa"/>
          </w:tblCellMar>
        </w:tblPrEx>
        <w:trPr>
          <w:trHeight w:val="415" w:hRule="atLeast"/>
        </w:trPr>
        <w:tc>
          <w:tcPr>
            <w:tcW w:w="4479" w:type="dxa"/>
            <w:noWrap w:val="0"/>
            <w:vAlign w:val="top"/>
          </w:tcPr>
          <w:p w14:paraId="16E6C16C">
            <w:pPr>
              <w:spacing w:line="400" w:lineRule="exact"/>
              <w:rPr>
                <w:rFonts w:hint="eastAsia" w:ascii="仿宋" w:hAnsi="仿宋" w:eastAsia="仿宋" w:cs="仿宋"/>
                <w:b/>
                <w:bCs/>
                <w:sz w:val="24"/>
              </w:rPr>
            </w:pPr>
            <w:r>
              <w:rPr>
                <w:rFonts w:hint="eastAsia" w:ascii="仿宋" w:hAnsi="仿宋" w:eastAsia="仿宋" w:cs="仿宋"/>
                <w:sz w:val="24"/>
              </w:rPr>
              <w:t>通讯地址：</w:t>
            </w:r>
          </w:p>
        </w:tc>
        <w:tc>
          <w:tcPr>
            <w:tcW w:w="4473" w:type="dxa"/>
            <w:noWrap w:val="0"/>
            <w:vAlign w:val="top"/>
          </w:tcPr>
          <w:p w14:paraId="6C0ED894">
            <w:pPr>
              <w:spacing w:line="400" w:lineRule="exact"/>
              <w:rPr>
                <w:rFonts w:hint="eastAsia" w:ascii="仿宋" w:hAnsi="仿宋" w:eastAsia="仿宋" w:cs="仿宋"/>
                <w:b/>
                <w:bCs/>
                <w:sz w:val="24"/>
              </w:rPr>
            </w:pPr>
            <w:r>
              <w:rPr>
                <w:rFonts w:hint="eastAsia" w:ascii="仿宋" w:hAnsi="仿宋" w:eastAsia="仿宋" w:cs="仿宋"/>
                <w:sz w:val="24"/>
              </w:rPr>
              <w:t>通讯地址：</w:t>
            </w:r>
          </w:p>
        </w:tc>
      </w:tr>
      <w:tr w14:paraId="3008D437">
        <w:tblPrEx>
          <w:tblCellMar>
            <w:top w:w="0" w:type="dxa"/>
            <w:left w:w="108" w:type="dxa"/>
            <w:bottom w:w="0" w:type="dxa"/>
            <w:right w:w="108" w:type="dxa"/>
          </w:tblCellMar>
        </w:tblPrEx>
        <w:tc>
          <w:tcPr>
            <w:tcW w:w="4479" w:type="dxa"/>
            <w:noWrap w:val="0"/>
            <w:vAlign w:val="top"/>
          </w:tcPr>
          <w:p w14:paraId="406832C9">
            <w:pPr>
              <w:snapToGrid w:val="0"/>
              <w:spacing w:line="400" w:lineRule="exact"/>
              <w:rPr>
                <w:rFonts w:hint="eastAsia" w:ascii="仿宋" w:hAnsi="仿宋" w:eastAsia="仿宋" w:cs="仿宋"/>
                <w:b/>
                <w:bCs/>
                <w:sz w:val="24"/>
              </w:rPr>
            </w:pPr>
            <w:r>
              <w:rPr>
                <w:rFonts w:hint="eastAsia" w:ascii="仿宋" w:hAnsi="仿宋" w:eastAsia="仿宋" w:cs="仿宋"/>
                <w:sz w:val="24"/>
              </w:rPr>
              <w:t>开 户 行：</w:t>
            </w:r>
          </w:p>
        </w:tc>
        <w:tc>
          <w:tcPr>
            <w:tcW w:w="4473" w:type="dxa"/>
            <w:noWrap w:val="0"/>
            <w:vAlign w:val="top"/>
          </w:tcPr>
          <w:p w14:paraId="54D63C12">
            <w:pPr>
              <w:snapToGrid w:val="0"/>
              <w:spacing w:line="400" w:lineRule="exact"/>
              <w:rPr>
                <w:rFonts w:hint="eastAsia" w:ascii="仿宋" w:hAnsi="仿宋" w:eastAsia="仿宋" w:cs="仿宋"/>
                <w:b/>
                <w:bCs/>
                <w:sz w:val="24"/>
              </w:rPr>
            </w:pPr>
            <w:r>
              <w:rPr>
                <w:rFonts w:hint="eastAsia" w:ascii="仿宋" w:hAnsi="仿宋" w:eastAsia="仿宋" w:cs="仿宋"/>
                <w:sz w:val="24"/>
              </w:rPr>
              <w:t>开 户 行：</w:t>
            </w:r>
          </w:p>
        </w:tc>
      </w:tr>
      <w:tr w14:paraId="7083489D">
        <w:tblPrEx>
          <w:tblCellMar>
            <w:top w:w="0" w:type="dxa"/>
            <w:left w:w="108" w:type="dxa"/>
            <w:bottom w:w="0" w:type="dxa"/>
            <w:right w:w="108" w:type="dxa"/>
          </w:tblCellMar>
        </w:tblPrEx>
        <w:tc>
          <w:tcPr>
            <w:tcW w:w="4479" w:type="dxa"/>
            <w:noWrap w:val="0"/>
            <w:vAlign w:val="top"/>
          </w:tcPr>
          <w:p w14:paraId="65853A4E">
            <w:pPr>
              <w:spacing w:line="400" w:lineRule="exact"/>
              <w:rPr>
                <w:rFonts w:hint="eastAsia" w:ascii="仿宋" w:hAnsi="仿宋" w:eastAsia="仿宋" w:cs="仿宋"/>
                <w:b/>
                <w:bCs/>
                <w:sz w:val="24"/>
              </w:rPr>
            </w:pPr>
            <w:r>
              <w:rPr>
                <w:rFonts w:hint="eastAsia" w:ascii="仿宋" w:hAnsi="仿宋" w:eastAsia="仿宋" w:cs="仿宋"/>
                <w:sz w:val="24"/>
              </w:rPr>
              <w:t>帐    号：</w:t>
            </w:r>
          </w:p>
        </w:tc>
        <w:tc>
          <w:tcPr>
            <w:tcW w:w="4473" w:type="dxa"/>
            <w:noWrap w:val="0"/>
            <w:vAlign w:val="top"/>
          </w:tcPr>
          <w:p w14:paraId="5637DA24">
            <w:pPr>
              <w:spacing w:line="400" w:lineRule="exact"/>
              <w:rPr>
                <w:rFonts w:hint="eastAsia" w:ascii="仿宋" w:hAnsi="仿宋" w:eastAsia="仿宋" w:cs="仿宋"/>
                <w:b/>
                <w:bCs/>
                <w:sz w:val="24"/>
              </w:rPr>
            </w:pPr>
            <w:r>
              <w:rPr>
                <w:rFonts w:hint="eastAsia" w:ascii="仿宋" w:hAnsi="仿宋" w:eastAsia="仿宋" w:cs="仿宋"/>
                <w:sz w:val="24"/>
              </w:rPr>
              <w:t>帐    号：</w:t>
            </w:r>
          </w:p>
        </w:tc>
      </w:tr>
      <w:tr w14:paraId="4A5BB5A6">
        <w:tblPrEx>
          <w:tblCellMar>
            <w:top w:w="0" w:type="dxa"/>
            <w:left w:w="108" w:type="dxa"/>
            <w:bottom w:w="0" w:type="dxa"/>
            <w:right w:w="108" w:type="dxa"/>
          </w:tblCellMar>
        </w:tblPrEx>
        <w:tc>
          <w:tcPr>
            <w:tcW w:w="4479" w:type="dxa"/>
            <w:noWrap w:val="0"/>
            <w:vAlign w:val="top"/>
          </w:tcPr>
          <w:p w14:paraId="6BB6CA06">
            <w:pPr>
              <w:snapToGrid w:val="0"/>
              <w:spacing w:line="400" w:lineRule="exact"/>
              <w:rPr>
                <w:rFonts w:hint="eastAsia" w:ascii="仿宋" w:hAnsi="仿宋" w:eastAsia="仿宋" w:cs="仿宋"/>
                <w:b/>
                <w:bCs/>
                <w:sz w:val="24"/>
              </w:rPr>
            </w:pPr>
            <w:r>
              <w:rPr>
                <w:rFonts w:hint="eastAsia" w:ascii="仿宋" w:hAnsi="仿宋" w:eastAsia="仿宋" w:cs="仿宋"/>
                <w:sz w:val="24"/>
              </w:rPr>
              <w:t>电    话：</w:t>
            </w:r>
          </w:p>
        </w:tc>
        <w:tc>
          <w:tcPr>
            <w:tcW w:w="4473" w:type="dxa"/>
            <w:noWrap w:val="0"/>
            <w:vAlign w:val="top"/>
          </w:tcPr>
          <w:p w14:paraId="41799DB2">
            <w:pPr>
              <w:snapToGrid w:val="0"/>
              <w:spacing w:line="400" w:lineRule="exact"/>
              <w:rPr>
                <w:rFonts w:hint="eastAsia" w:ascii="仿宋" w:hAnsi="仿宋" w:eastAsia="仿宋" w:cs="仿宋"/>
                <w:b/>
                <w:bCs/>
                <w:sz w:val="24"/>
              </w:rPr>
            </w:pPr>
            <w:r>
              <w:rPr>
                <w:rFonts w:hint="eastAsia" w:ascii="仿宋" w:hAnsi="仿宋" w:eastAsia="仿宋" w:cs="仿宋"/>
                <w:sz w:val="24"/>
              </w:rPr>
              <w:t>电    话：</w:t>
            </w:r>
          </w:p>
        </w:tc>
      </w:tr>
      <w:tr w14:paraId="49B15932">
        <w:tblPrEx>
          <w:tblCellMar>
            <w:top w:w="0" w:type="dxa"/>
            <w:left w:w="108" w:type="dxa"/>
            <w:bottom w:w="0" w:type="dxa"/>
            <w:right w:w="108" w:type="dxa"/>
          </w:tblCellMar>
        </w:tblPrEx>
        <w:tc>
          <w:tcPr>
            <w:tcW w:w="4479" w:type="dxa"/>
            <w:noWrap w:val="0"/>
            <w:vAlign w:val="top"/>
          </w:tcPr>
          <w:p w14:paraId="11300B4A">
            <w:pPr>
              <w:spacing w:line="400" w:lineRule="exact"/>
              <w:rPr>
                <w:rFonts w:hint="eastAsia" w:ascii="仿宋" w:hAnsi="仿宋" w:eastAsia="仿宋" w:cs="仿宋"/>
                <w:b/>
                <w:bCs/>
                <w:sz w:val="24"/>
              </w:rPr>
            </w:pPr>
            <w:r>
              <w:rPr>
                <w:rFonts w:hint="eastAsia" w:ascii="仿宋" w:hAnsi="仿宋" w:eastAsia="仿宋" w:cs="仿宋"/>
                <w:sz w:val="24"/>
              </w:rPr>
              <w:t xml:space="preserve">日    期：      年   月   日  </w:t>
            </w:r>
          </w:p>
        </w:tc>
        <w:tc>
          <w:tcPr>
            <w:tcW w:w="4473" w:type="dxa"/>
            <w:noWrap w:val="0"/>
            <w:vAlign w:val="top"/>
          </w:tcPr>
          <w:p w14:paraId="7AFA86AD">
            <w:pPr>
              <w:spacing w:line="400" w:lineRule="exact"/>
              <w:rPr>
                <w:rFonts w:hint="eastAsia" w:ascii="仿宋" w:hAnsi="仿宋" w:eastAsia="仿宋" w:cs="仿宋"/>
                <w:b/>
                <w:bCs/>
                <w:sz w:val="24"/>
              </w:rPr>
            </w:pPr>
            <w:r>
              <w:rPr>
                <w:rFonts w:hint="eastAsia" w:ascii="仿宋" w:hAnsi="仿宋" w:eastAsia="仿宋" w:cs="仿宋"/>
                <w:sz w:val="24"/>
              </w:rPr>
              <w:t>日    期：       年   月   日</w:t>
            </w:r>
          </w:p>
        </w:tc>
      </w:tr>
    </w:tbl>
    <w:p w14:paraId="2DA24113">
      <w:pPr>
        <w:spacing w:line="360" w:lineRule="auto"/>
        <w:ind w:left="-420" w:leftChars="-200" w:right="-420" w:rightChars="-200"/>
        <w:rPr>
          <w:rFonts w:hint="eastAsia" w:ascii="仿宋" w:hAnsi="仿宋" w:eastAsia="仿宋" w:cs="仿宋"/>
          <w:sz w:val="24"/>
        </w:rPr>
      </w:pPr>
    </w:p>
    <w:p w14:paraId="5063A2B3">
      <w:pPr>
        <w:spacing w:line="240" w:lineRule="auto"/>
        <w:ind w:left="0" w:firstLine="0" w:firstLineChars="0"/>
        <w:outlineLvl w:val="9"/>
        <w:rPr>
          <w:rFonts w:hint="eastAsia" w:ascii="仿宋" w:hAnsi="仿宋" w:eastAsia="仿宋" w:cs="仿宋"/>
          <w:b/>
          <w:color w:val="auto"/>
          <w:sz w:val="36"/>
          <w:szCs w:val="20"/>
          <w:highlight w:val="none"/>
        </w:rPr>
      </w:pPr>
      <w:bookmarkStart w:id="449" w:name="_Toc28060"/>
      <w:bookmarkStart w:id="450" w:name="_Toc23083"/>
      <w:r>
        <w:rPr>
          <w:rFonts w:hint="eastAsia" w:ascii="仿宋" w:hAnsi="仿宋" w:eastAsia="仿宋" w:cs="仿宋"/>
          <w:b/>
          <w:color w:val="auto"/>
          <w:sz w:val="36"/>
          <w:szCs w:val="20"/>
          <w:highlight w:val="none"/>
        </w:rPr>
        <w:br w:type="page"/>
      </w:r>
    </w:p>
    <w:p w14:paraId="3B9FDDBD">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42"/>
      <w:r>
        <w:rPr>
          <w:rFonts w:hint="eastAsia" w:ascii="仿宋" w:hAnsi="仿宋" w:eastAsia="仿宋" w:cs="仿宋"/>
          <w:b/>
          <w:color w:val="auto"/>
          <w:sz w:val="36"/>
          <w:szCs w:val="20"/>
          <w:highlight w:val="none"/>
        </w:rPr>
        <w:t xml:space="preserve"> </w:t>
      </w:r>
      <w:bookmarkEnd w:id="443"/>
      <w:r>
        <w:rPr>
          <w:rFonts w:hint="eastAsia" w:ascii="仿宋" w:hAnsi="仿宋" w:eastAsia="仿宋" w:cs="仿宋"/>
          <w:b/>
          <w:color w:val="auto"/>
          <w:sz w:val="36"/>
          <w:szCs w:val="20"/>
          <w:highlight w:val="none"/>
        </w:rPr>
        <w:t>应提交的有关格式范例</w:t>
      </w:r>
      <w:bookmarkEnd w:id="447"/>
      <w:bookmarkEnd w:id="448"/>
      <w:bookmarkEnd w:id="449"/>
      <w:bookmarkEnd w:id="450"/>
    </w:p>
    <w:p w14:paraId="00F425E2">
      <w:pPr>
        <w:rPr>
          <w:rFonts w:hint="eastAsia" w:ascii="仿宋" w:hAnsi="仿宋" w:eastAsia="仿宋" w:cs="仿宋"/>
          <w:color w:val="auto"/>
          <w:highlight w:val="none"/>
        </w:rPr>
      </w:pPr>
    </w:p>
    <w:p w14:paraId="068837D9">
      <w:pPr>
        <w:spacing w:line="360" w:lineRule="auto"/>
        <w:jc w:val="center"/>
        <w:rPr>
          <w:rFonts w:hint="eastAsia" w:ascii="仿宋" w:hAnsi="仿宋" w:eastAsia="仿宋" w:cs="仿宋"/>
          <w:color w:val="auto"/>
          <w:sz w:val="36"/>
          <w:szCs w:val="36"/>
          <w:highlight w:val="none"/>
        </w:rPr>
      </w:pPr>
      <w:bookmarkStart w:id="451" w:name="_Toc27632"/>
      <w:r>
        <w:rPr>
          <w:rFonts w:hint="eastAsia" w:ascii="仿宋" w:hAnsi="仿宋" w:eastAsia="仿宋" w:cs="仿宋"/>
          <w:color w:val="auto"/>
          <w:sz w:val="36"/>
          <w:szCs w:val="36"/>
          <w:highlight w:val="none"/>
        </w:rPr>
        <w:t>资格文件部分</w:t>
      </w:r>
      <w:bookmarkEnd w:id="451"/>
    </w:p>
    <w:p w14:paraId="32D674CC">
      <w:pPr>
        <w:spacing w:line="360" w:lineRule="auto"/>
        <w:jc w:val="center"/>
        <w:rPr>
          <w:rFonts w:hint="eastAsia" w:ascii="仿宋" w:hAnsi="仿宋" w:eastAsia="仿宋" w:cs="仿宋"/>
          <w:color w:val="auto"/>
          <w:sz w:val="36"/>
          <w:szCs w:val="36"/>
          <w:highlight w:val="none"/>
        </w:rPr>
      </w:pPr>
      <w:bookmarkStart w:id="452" w:name="_Toc10467"/>
      <w:r>
        <w:rPr>
          <w:rFonts w:hint="eastAsia" w:ascii="仿宋" w:hAnsi="仿宋" w:eastAsia="仿宋" w:cs="仿宋"/>
          <w:color w:val="auto"/>
          <w:sz w:val="36"/>
          <w:szCs w:val="36"/>
          <w:highlight w:val="none"/>
        </w:rPr>
        <w:t>目录</w:t>
      </w:r>
      <w:bookmarkEnd w:id="452"/>
    </w:p>
    <w:p w14:paraId="1A55B7C9">
      <w:pPr>
        <w:rPr>
          <w:rFonts w:hint="eastAsia" w:ascii="仿宋" w:hAnsi="仿宋" w:eastAsia="仿宋" w:cs="仿宋"/>
          <w:color w:val="auto"/>
          <w:highlight w:val="none"/>
        </w:rPr>
      </w:pPr>
    </w:p>
    <w:p w14:paraId="4F047F3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（1）符合参加采购活动应当具备的一般条件的承诺函………………………（页码）</w:t>
      </w:r>
    </w:p>
    <w:p w14:paraId="552FA0C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（2）落实政府采购政策需满足的资格要求</w:t>
      </w:r>
      <w:r>
        <w:rPr>
          <w:rFonts w:hint="eastAsia" w:ascii="仿宋" w:hAnsi="仿宋" w:eastAsia="仿宋" w:cs="仿宋"/>
          <w:color w:val="auto"/>
          <w:sz w:val="24"/>
          <w:highlight w:val="none"/>
        </w:rPr>
        <w:t>……………………………………（页码）</w:t>
      </w:r>
    </w:p>
    <w:p w14:paraId="2844518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）本项目的特定资格要求……………………………………………………（页码）</w:t>
      </w:r>
    </w:p>
    <w:p w14:paraId="1E52CC1F">
      <w:pPr>
        <w:snapToGrid w:val="0"/>
        <w:spacing w:line="360" w:lineRule="auto"/>
        <w:ind w:firstLine="480" w:firstLineChars="200"/>
        <w:rPr>
          <w:rFonts w:hint="eastAsia" w:ascii="仿宋" w:hAnsi="仿宋" w:eastAsia="仿宋" w:cs="仿宋"/>
          <w:color w:val="auto"/>
          <w:sz w:val="24"/>
          <w:highlight w:val="none"/>
        </w:rPr>
      </w:pPr>
    </w:p>
    <w:p w14:paraId="53E04FC3">
      <w:pPr>
        <w:snapToGrid w:val="0"/>
        <w:spacing w:line="360" w:lineRule="auto"/>
        <w:ind w:right="480"/>
        <w:jc w:val="center"/>
        <w:rPr>
          <w:rFonts w:hint="eastAsia" w:ascii="仿宋" w:hAnsi="仿宋" w:eastAsia="仿宋" w:cs="仿宋"/>
          <w:b/>
          <w:color w:val="auto"/>
          <w:kern w:val="0"/>
          <w:sz w:val="32"/>
          <w:szCs w:val="32"/>
          <w:highlight w:val="none"/>
        </w:rPr>
        <w:sectPr>
          <w:headerReference r:id="rId10" w:type="default"/>
          <w:footerReference r:id="rId11" w:type="default"/>
          <w:pgSz w:w="11905" w:h="16838"/>
          <w:pgMar w:top="1417" w:right="1417" w:bottom="1417" w:left="1417" w:header="851" w:footer="850" w:gutter="0"/>
          <w:pgBorders>
            <w:top w:val="none" w:sz="0" w:space="0"/>
            <w:left w:val="none" w:sz="0" w:space="0"/>
            <w:bottom w:val="none" w:sz="0" w:space="0"/>
            <w:right w:val="none" w:sz="0" w:space="0"/>
          </w:pgBorders>
          <w:cols w:space="0" w:num="1"/>
          <w:docGrid w:linePitch="312" w:charSpace="0"/>
        </w:sectPr>
      </w:pPr>
      <w:r>
        <w:rPr>
          <w:rFonts w:hint="eastAsia" w:ascii="仿宋" w:hAnsi="仿宋" w:eastAsia="仿宋" w:cs="仿宋"/>
          <w:b/>
          <w:color w:val="auto"/>
          <w:kern w:val="0"/>
          <w:sz w:val="32"/>
          <w:szCs w:val="32"/>
          <w:highlight w:val="none"/>
        </w:rPr>
        <w:t xml:space="preserve">  </w:t>
      </w:r>
    </w:p>
    <w:p w14:paraId="35C14213">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符合参加采购活动应当具备的一般条件的承诺函</w:t>
      </w:r>
    </w:p>
    <w:p w14:paraId="1F38E59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杭州市萧山区中医院医共体总院</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浙江华夏工程管理有限公司</w:t>
      </w:r>
      <w:r>
        <w:rPr>
          <w:rFonts w:hint="eastAsia" w:ascii="仿宋" w:hAnsi="仿宋" w:eastAsia="仿宋" w:cs="仿宋"/>
          <w:color w:val="auto"/>
          <w:sz w:val="24"/>
          <w:highlight w:val="none"/>
        </w:rPr>
        <w:t>：</w:t>
      </w:r>
    </w:p>
    <w:p w14:paraId="466ADEB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萧山区中医院中心机房设备维保项目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】采购活动，郑重承诺：</w:t>
      </w:r>
    </w:p>
    <w:p w14:paraId="48737FFC">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6EBC025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76C247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A24CA1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AB8E98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31160D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36165A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0BB11B5">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C5E455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AB2798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1、单位负责人为同一人或者存在直接控股、管理关系的不同供应商参加同一合同项下的采购活动的；</w:t>
      </w:r>
    </w:p>
    <w:p w14:paraId="51670E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502C812">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10CD0E06">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0335E4AC">
      <w:pPr>
        <w:pStyle w:val="27"/>
        <w:rPr>
          <w:rFonts w:hint="eastAsia" w:ascii="仿宋" w:hAnsi="仿宋" w:eastAsia="仿宋" w:cs="仿宋"/>
          <w:color w:val="auto"/>
          <w:highlight w:val="none"/>
        </w:rPr>
      </w:pPr>
    </w:p>
    <w:p w14:paraId="5D26D96C">
      <w:pPr>
        <w:pStyle w:val="27"/>
        <w:rPr>
          <w:rFonts w:hint="eastAsia" w:ascii="仿宋" w:hAnsi="仿宋" w:eastAsia="仿宋" w:cs="仿宋"/>
          <w:color w:val="auto"/>
          <w:highlight w:val="none"/>
        </w:rPr>
      </w:pPr>
    </w:p>
    <w:p w14:paraId="2AFE7309">
      <w:pPr>
        <w:pStyle w:val="27"/>
        <w:rPr>
          <w:rFonts w:hint="eastAsia" w:ascii="仿宋" w:hAnsi="仿宋" w:eastAsia="仿宋" w:cs="仿宋"/>
          <w:color w:val="auto"/>
          <w:highlight w:val="none"/>
        </w:rPr>
      </w:pPr>
    </w:p>
    <w:p w14:paraId="643571B0">
      <w:pPr>
        <w:pStyle w:val="27"/>
        <w:rPr>
          <w:rFonts w:hint="eastAsia" w:ascii="仿宋" w:hAnsi="仿宋" w:eastAsia="仿宋" w:cs="仿宋"/>
          <w:color w:val="auto"/>
          <w:highlight w:val="none"/>
        </w:rPr>
      </w:pPr>
    </w:p>
    <w:p w14:paraId="21DD80AC">
      <w:pPr>
        <w:pStyle w:val="27"/>
        <w:rPr>
          <w:rFonts w:hint="eastAsia" w:ascii="仿宋" w:hAnsi="仿宋" w:eastAsia="仿宋" w:cs="仿宋"/>
          <w:color w:val="auto"/>
          <w:highlight w:val="none"/>
        </w:rPr>
      </w:pPr>
    </w:p>
    <w:p w14:paraId="6CC42708">
      <w:pPr>
        <w:pStyle w:val="27"/>
        <w:rPr>
          <w:rFonts w:hint="eastAsia" w:ascii="仿宋" w:hAnsi="仿宋" w:eastAsia="仿宋" w:cs="仿宋"/>
          <w:color w:val="auto"/>
          <w:highlight w:val="none"/>
        </w:rPr>
      </w:pPr>
    </w:p>
    <w:p w14:paraId="5BF43DC4">
      <w:pPr>
        <w:snapToGrid w:val="0"/>
        <w:spacing w:line="360" w:lineRule="auto"/>
        <w:ind w:right="480"/>
        <w:jc w:val="center"/>
        <w:rPr>
          <w:rFonts w:hint="eastAsia" w:ascii="仿宋" w:hAnsi="仿宋" w:eastAsia="仿宋" w:cs="仿宋"/>
          <w:b/>
          <w:color w:val="auto"/>
          <w:kern w:val="0"/>
          <w:sz w:val="32"/>
          <w:szCs w:val="32"/>
          <w:highlight w:val="none"/>
        </w:rPr>
      </w:pPr>
    </w:p>
    <w:p w14:paraId="1414E1A5">
      <w:pPr>
        <w:snapToGrid/>
        <w:spacing w:line="240" w:lineRule="auto"/>
        <w:ind w:right="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D8A6AC0">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14:paraId="34D465B6">
      <w:pPr>
        <w:widowControl/>
        <w:spacing w:line="360" w:lineRule="auto"/>
        <w:ind w:left="150"/>
        <w:jc w:val="center"/>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无</w:t>
      </w:r>
    </w:p>
    <w:p w14:paraId="31DE0F61">
      <w:pPr>
        <w:rPr>
          <w:rFonts w:hint="eastAsia" w:ascii="仿宋" w:hAnsi="仿宋" w:eastAsia="仿宋" w:cs="仿宋"/>
          <w:color w:val="auto"/>
          <w:highlight w:val="none"/>
        </w:rPr>
      </w:pPr>
    </w:p>
    <w:p w14:paraId="25DCD3B9">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14:paraId="327DDEE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（根据交易公告本项目的特定资格要求提供相应的材料；未要求的，无需提供）</w:t>
      </w:r>
    </w:p>
    <w:p w14:paraId="0C80D374">
      <w:pPr>
        <w:rPr>
          <w:rFonts w:hint="eastAsia" w:ascii="仿宋" w:hAnsi="仿宋" w:eastAsia="仿宋" w:cs="仿宋"/>
          <w:color w:val="auto"/>
          <w:highlight w:val="none"/>
        </w:rPr>
      </w:pPr>
    </w:p>
    <w:p w14:paraId="40FDB231">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79B509D">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44C8F45B">
      <w:pPr>
        <w:spacing w:line="360" w:lineRule="auto"/>
        <w:jc w:val="center"/>
        <w:rPr>
          <w:rFonts w:hint="eastAsia" w:ascii="仿宋" w:hAnsi="仿宋" w:eastAsia="仿宋" w:cs="仿宋"/>
          <w:color w:val="auto"/>
          <w:sz w:val="28"/>
          <w:szCs w:val="28"/>
          <w:highlight w:val="none"/>
        </w:rPr>
      </w:pPr>
      <w:bookmarkStart w:id="453" w:name="_Toc4386"/>
      <w:r>
        <w:rPr>
          <w:rFonts w:hint="eastAsia" w:ascii="仿宋" w:hAnsi="仿宋" w:eastAsia="仿宋" w:cs="仿宋"/>
          <w:color w:val="auto"/>
          <w:sz w:val="28"/>
          <w:szCs w:val="28"/>
          <w:highlight w:val="none"/>
        </w:rPr>
        <w:t>目录</w:t>
      </w:r>
      <w:bookmarkEnd w:id="453"/>
    </w:p>
    <w:p w14:paraId="6458789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（1）响应函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0D97ED6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（3）分包意向协议（如果有）</w:t>
      </w:r>
      <w:r>
        <w:rPr>
          <w:rFonts w:hint="eastAsia" w:ascii="仿宋" w:hAnsi="仿宋" w:eastAsia="仿宋" w:cs="仿宋"/>
          <w:color w:val="auto"/>
          <w:highlight w:val="none"/>
        </w:rPr>
        <w:t>…………………………………………………………（页码）</w:t>
      </w:r>
    </w:p>
    <w:p w14:paraId="7DEEEF6B">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5355AD12">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2C43CD5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（6）响应标的清单及说明……………</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52D8E15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）采购供应商廉洁自律承诺书</w:t>
      </w:r>
      <w:r>
        <w:rPr>
          <w:rFonts w:hint="eastAsia" w:ascii="仿宋" w:hAnsi="仿宋" w:eastAsia="仿宋" w:cs="仿宋"/>
          <w:color w:val="auto"/>
          <w:highlight w:val="none"/>
        </w:rPr>
        <w:t>………………………………………………………（页码）</w:t>
      </w:r>
    </w:p>
    <w:p w14:paraId="3D564274">
      <w:pPr>
        <w:snapToGrid w:val="0"/>
        <w:spacing w:line="360" w:lineRule="auto"/>
        <w:ind w:left="479" w:leftChars="228"/>
        <w:rPr>
          <w:rFonts w:hint="eastAsia" w:ascii="仿宋" w:hAnsi="仿宋" w:eastAsia="仿宋" w:cs="仿宋"/>
          <w:color w:val="auto"/>
          <w:highlight w:val="none"/>
        </w:rPr>
      </w:pPr>
    </w:p>
    <w:p w14:paraId="7BD20DBC">
      <w:pPr>
        <w:snapToGrid w:val="0"/>
        <w:spacing w:line="360" w:lineRule="auto"/>
        <w:jc w:val="center"/>
        <w:rPr>
          <w:rFonts w:hint="eastAsia" w:ascii="仿宋" w:hAnsi="仿宋" w:eastAsia="仿宋" w:cs="仿宋"/>
          <w:b/>
          <w:color w:val="auto"/>
          <w:kern w:val="0"/>
          <w:sz w:val="32"/>
          <w:szCs w:val="32"/>
          <w:highlight w:val="none"/>
          <w:lang w:val="zh-CN"/>
        </w:rPr>
      </w:pPr>
    </w:p>
    <w:p w14:paraId="322C9438">
      <w:pPr>
        <w:snapToGrid w:val="0"/>
        <w:spacing w:line="360" w:lineRule="auto"/>
        <w:jc w:val="center"/>
        <w:rPr>
          <w:rFonts w:hint="eastAsia" w:ascii="仿宋" w:hAnsi="仿宋" w:eastAsia="仿宋" w:cs="仿宋"/>
          <w:b/>
          <w:color w:val="auto"/>
          <w:kern w:val="0"/>
          <w:sz w:val="32"/>
          <w:szCs w:val="32"/>
          <w:highlight w:val="none"/>
          <w:lang w:val="zh-CN"/>
        </w:rPr>
      </w:pPr>
    </w:p>
    <w:p w14:paraId="50D23B85">
      <w:pPr>
        <w:snapToGrid w:val="0"/>
        <w:spacing w:line="360" w:lineRule="auto"/>
        <w:jc w:val="center"/>
        <w:rPr>
          <w:rFonts w:hint="eastAsia" w:ascii="仿宋" w:hAnsi="仿宋" w:eastAsia="仿宋" w:cs="仿宋"/>
          <w:b/>
          <w:color w:val="auto"/>
          <w:kern w:val="0"/>
          <w:sz w:val="32"/>
          <w:szCs w:val="32"/>
          <w:highlight w:val="none"/>
          <w:lang w:val="zh-CN"/>
        </w:rPr>
      </w:pPr>
    </w:p>
    <w:p w14:paraId="22D5F45C">
      <w:pPr>
        <w:snapToGrid w:val="0"/>
        <w:spacing w:line="360" w:lineRule="auto"/>
        <w:ind w:firstLine="3855" w:firstLineChars="1200"/>
        <w:outlineLvl w:val="0"/>
        <w:rPr>
          <w:rFonts w:hint="eastAsia" w:ascii="仿宋" w:hAnsi="仿宋" w:eastAsia="仿宋" w:cs="仿宋"/>
          <w:b/>
          <w:color w:val="auto"/>
          <w:kern w:val="0"/>
          <w:sz w:val="32"/>
          <w:szCs w:val="32"/>
          <w:highlight w:val="none"/>
        </w:rPr>
        <w:sectPr>
          <w:pgSz w:w="11905" w:h="16838"/>
          <w:pgMar w:top="1417" w:right="1417" w:bottom="1417" w:left="1417" w:header="851" w:footer="850" w:gutter="0"/>
          <w:pgBorders>
            <w:top w:val="none" w:sz="0" w:space="0"/>
            <w:left w:val="none" w:sz="0" w:space="0"/>
            <w:bottom w:val="none" w:sz="0" w:space="0"/>
            <w:right w:val="none" w:sz="0" w:space="0"/>
          </w:pgBorders>
          <w:cols w:space="0" w:num="1"/>
          <w:docGrid w:linePitch="312" w:charSpace="0"/>
        </w:sectPr>
      </w:pPr>
      <w:bookmarkStart w:id="454" w:name="_Toc6607"/>
    </w:p>
    <w:p w14:paraId="7312F894">
      <w:pPr>
        <w:snapToGrid w:val="0"/>
        <w:spacing w:line="360" w:lineRule="auto"/>
        <w:ind w:firstLine="3855" w:firstLineChars="1200"/>
        <w:outlineLvl w:val="0"/>
        <w:rPr>
          <w:rFonts w:hint="eastAsia" w:ascii="仿宋" w:hAnsi="仿宋" w:eastAsia="仿宋" w:cs="仿宋"/>
          <w:b/>
          <w:color w:val="auto"/>
          <w:sz w:val="32"/>
          <w:szCs w:val="32"/>
          <w:highlight w:val="none"/>
        </w:rPr>
      </w:pPr>
      <w:bookmarkStart w:id="455" w:name="_Toc26459"/>
      <w:bookmarkStart w:id="456" w:name="_Toc9133"/>
      <w:bookmarkStart w:id="457" w:name="_Toc25367"/>
      <w:r>
        <w:rPr>
          <w:rFonts w:hint="eastAsia" w:ascii="仿宋" w:hAnsi="仿宋" w:eastAsia="仿宋" w:cs="仿宋"/>
          <w:b/>
          <w:color w:val="auto"/>
          <w:kern w:val="0"/>
          <w:sz w:val="32"/>
          <w:szCs w:val="32"/>
          <w:highlight w:val="none"/>
        </w:rPr>
        <w:t>一、响应</w:t>
      </w:r>
      <w:r>
        <w:rPr>
          <w:rFonts w:hint="eastAsia" w:ascii="仿宋" w:hAnsi="仿宋" w:eastAsia="仿宋" w:cs="仿宋"/>
          <w:b/>
          <w:color w:val="auto"/>
          <w:sz w:val="32"/>
          <w:szCs w:val="32"/>
          <w:highlight w:val="none"/>
        </w:rPr>
        <w:t>函</w:t>
      </w:r>
      <w:bookmarkEnd w:id="454"/>
      <w:bookmarkEnd w:id="455"/>
      <w:bookmarkEnd w:id="456"/>
      <w:bookmarkEnd w:id="457"/>
    </w:p>
    <w:p w14:paraId="4B73FF4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杭州市萧山区中医院医共体总院</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浙江华夏工程管理有限公司</w:t>
      </w:r>
      <w:r>
        <w:rPr>
          <w:rFonts w:hint="eastAsia" w:ascii="仿宋" w:hAnsi="仿宋" w:eastAsia="仿宋" w:cs="仿宋"/>
          <w:color w:val="auto"/>
          <w:sz w:val="24"/>
          <w:highlight w:val="none"/>
        </w:rPr>
        <w:t>：</w:t>
      </w:r>
    </w:p>
    <w:p w14:paraId="7AD406B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萧山区中医院中心机房设备维保项目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】采购的有关活动，并对此项目进行响应。为此：</w:t>
      </w:r>
    </w:p>
    <w:p w14:paraId="1CC8739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1、我方承诺响应有效期从提交响应文件的截止之日起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本响应文件在响应有效期满之前均具有约束力。</w:t>
      </w:r>
    </w:p>
    <w:p w14:paraId="2E8D54C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2、我方的响应文件包括以下内容：</w:t>
      </w:r>
    </w:p>
    <w:p w14:paraId="43E9779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7B6AC68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3F8EFE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B0D3A9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6220CB2">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4A92D7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2.2.1响应函；</w:t>
      </w:r>
      <w:r>
        <w:rPr>
          <w:rFonts w:hint="eastAsia" w:ascii="仿宋" w:hAnsi="仿宋" w:eastAsia="仿宋" w:cs="仿宋"/>
          <w:color w:val="auto"/>
          <w:sz w:val="24"/>
          <w:highlight w:val="none"/>
          <w:lang w:val="zh-CN"/>
        </w:rPr>
        <w:t xml:space="preserve"> </w:t>
      </w:r>
    </w:p>
    <w:p w14:paraId="1D418BA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428E4FD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1CD2CF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42811B5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142D732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2.2.6响应标的清单及说明；</w:t>
      </w:r>
    </w:p>
    <w:p w14:paraId="735A816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782EF830">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采购供应商廉洁自律承诺书；</w:t>
      </w:r>
    </w:p>
    <w:p w14:paraId="6C8DD39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6CCD7CB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w:t>
      </w:r>
      <w:r>
        <w:rPr>
          <w:rFonts w:hint="eastAsia" w:ascii="仿宋" w:hAnsi="仿宋" w:eastAsia="仿宋" w:cs="仿宋"/>
          <w:color w:val="auto"/>
          <w:sz w:val="24"/>
          <w:highlight w:val="none"/>
          <w:lang w:eastAsia="zh-CN"/>
        </w:rPr>
        <w:t>开标</w:t>
      </w:r>
      <w:r>
        <w:rPr>
          <w:rFonts w:hint="eastAsia" w:ascii="仿宋" w:hAnsi="仿宋" w:eastAsia="仿宋" w:cs="仿宋"/>
          <w:color w:val="auto"/>
          <w:sz w:val="24"/>
          <w:highlight w:val="none"/>
        </w:rPr>
        <w:t>一览表（报价表）；</w:t>
      </w:r>
    </w:p>
    <w:p w14:paraId="717AEEC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2.3.2分项报价表；</w:t>
      </w:r>
    </w:p>
    <w:p w14:paraId="1A02FD0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3、我方承诺除商务技术偏离表列出的偏离外，我方响应交易文件的全部要求。</w:t>
      </w:r>
    </w:p>
    <w:p w14:paraId="16C36C5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14:paraId="4BC8F5E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14:paraId="4FAAC43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10C7D8C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4.3按照交易文件要求提交履约保证金； </w:t>
      </w:r>
    </w:p>
    <w:p w14:paraId="425E942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30D0EB8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86DBE7A">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6A4A471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9172F0E">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7C186E3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33EF9F1">
      <w:pPr>
        <w:snapToGrid w:val="0"/>
        <w:spacing w:line="360" w:lineRule="auto"/>
        <w:jc w:val="center"/>
        <w:rPr>
          <w:rFonts w:hint="eastAsia" w:ascii="仿宋" w:hAnsi="仿宋" w:eastAsia="仿宋" w:cs="仿宋"/>
          <w:b/>
          <w:color w:val="auto"/>
          <w:kern w:val="0"/>
          <w:sz w:val="32"/>
          <w:szCs w:val="32"/>
          <w:highlight w:val="none"/>
        </w:rPr>
      </w:pPr>
    </w:p>
    <w:p w14:paraId="5050E7DB">
      <w:pPr>
        <w:snapToGrid w:val="0"/>
        <w:spacing w:line="360" w:lineRule="auto"/>
        <w:rPr>
          <w:rFonts w:hint="eastAsia" w:ascii="仿宋" w:hAnsi="仿宋" w:eastAsia="仿宋" w:cs="仿宋"/>
          <w:color w:val="auto"/>
          <w:sz w:val="24"/>
          <w:highlight w:val="none"/>
        </w:rPr>
      </w:pPr>
    </w:p>
    <w:p w14:paraId="12B11EEA">
      <w:pPr>
        <w:jc w:val="center"/>
        <w:rPr>
          <w:rFonts w:hint="eastAsia" w:ascii="仿宋" w:hAnsi="仿宋" w:eastAsia="仿宋" w:cs="仿宋"/>
          <w:b/>
          <w:color w:val="auto"/>
          <w:kern w:val="0"/>
          <w:sz w:val="32"/>
          <w:szCs w:val="32"/>
          <w:highlight w:val="none"/>
        </w:rPr>
      </w:pPr>
    </w:p>
    <w:p w14:paraId="4E1A4A6D">
      <w:pPr>
        <w:jc w:val="center"/>
        <w:rPr>
          <w:rFonts w:hint="eastAsia" w:ascii="仿宋" w:hAnsi="仿宋" w:eastAsia="仿宋" w:cs="仿宋"/>
          <w:b/>
          <w:color w:val="auto"/>
          <w:kern w:val="0"/>
          <w:sz w:val="32"/>
          <w:szCs w:val="32"/>
          <w:highlight w:val="none"/>
        </w:rPr>
      </w:pPr>
    </w:p>
    <w:p w14:paraId="5E9C2FB9">
      <w:pPr>
        <w:jc w:val="center"/>
        <w:rPr>
          <w:rFonts w:hint="eastAsia" w:ascii="仿宋" w:hAnsi="仿宋" w:eastAsia="仿宋" w:cs="仿宋"/>
          <w:b/>
          <w:color w:val="auto"/>
          <w:kern w:val="0"/>
          <w:sz w:val="32"/>
          <w:szCs w:val="32"/>
          <w:highlight w:val="none"/>
        </w:rPr>
      </w:pPr>
    </w:p>
    <w:p w14:paraId="534294B0">
      <w:pPr>
        <w:jc w:val="center"/>
        <w:rPr>
          <w:rFonts w:hint="eastAsia" w:ascii="仿宋" w:hAnsi="仿宋" w:eastAsia="仿宋" w:cs="仿宋"/>
          <w:b/>
          <w:color w:val="auto"/>
          <w:kern w:val="0"/>
          <w:sz w:val="32"/>
          <w:szCs w:val="32"/>
          <w:highlight w:val="none"/>
        </w:rPr>
      </w:pPr>
    </w:p>
    <w:p w14:paraId="1AE40CF3">
      <w:pPr>
        <w:jc w:val="center"/>
        <w:rPr>
          <w:rFonts w:hint="eastAsia" w:ascii="仿宋" w:hAnsi="仿宋" w:eastAsia="仿宋" w:cs="仿宋"/>
          <w:b/>
          <w:color w:val="auto"/>
          <w:kern w:val="0"/>
          <w:sz w:val="32"/>
          <w:szCs w:val="32"/>
          <w:highlight w:val="none"/>
        </w:rPr>
      </w:pPr>
    </w:p>
    <w:p w14:paraId="23F1490F">
      <w:pPr>
        <w:jc w:val="center"/>
        <w:rPr>
          <w:rFonts w:hint="eastAsia" w:ascii="仿宋" w:hAnsi="仿宋" w:eastAsia="仿宋" w:cs="仿宋"/>
          <w:b/>
          <w:color w:val="auto"/>
          <w:kern w:val="0"/>
          <w:sz w:val="32"/>
          <w:szCs w:val="32"/>
          <w:highlight w:val="none"/>
        </w:rPr>
      </w:pPr>
    </w:p>
    <w:p w14:paraId="62A3F209">
      <w:pPr>
        <w:jc w:val="center"/>
        <w:rPr>
          <w:rFonts w:hint="eastAsia" w:ascii="仿宋" w:hAnsi="仿宋" w:eastAsia="仿宋" w:cs="仿宋"/>
          <w:b/>
          <w:color w:val="auto"/>
          <w:kern w:val="0"/>
          <w:sz w:val="32"/>
          <w:szCs w:val="32"/>
          <w:highlight w:val="none"/>
        </w:rPr>
      </w:pPr>
    </w:p>
    <w:p w14:paraId="3CAC47AE">
      <w:pPr>
        <w:jc w:val="center"/>
        <w:rPr>
          <w:rFonts w:hint="eastAsia" w:ascii="仿宋" w:hAnsi="仿宋" w:eastAsia="仿宋" w:cs="仿宋"/>
          <w:b/>
          <w:color w:val="auto"/>
          <w:kern w:val="0"/>
          <w:sz w:val="32"/>
          <w:szCs w:val="32"/>
          <w:highlight w:val="none"/>
        </w:rPr>
      </w:pPr>
    </w:p>
    <w:p w14:paraId="787C0CE0">
      <w:pPr>
        <w:jc w:val="center"/>
        <w:rPr>
          <w:rFonts w:hint="eastAsia" w:ascii="仿宋" w:hAnsi="仿宋" w:eastAsia="仿宋" w:cs="仿宋"/>
          <w:b/>
          <w:color w:val="auto"/>
          <w:kern w:val="0"/>
          <w:sz w:val="32"/>
          <w:szCs w:val="32"/>
          <w:highlight w:val="none"/>
        </w:rPr>
      </w:pPr>
    </w:p>
    <w:p w14:paraId="344DCF0A">
      <w:pPr>
        <w:jc w:val="center"/>
        <w:rPr>
          <w:rFonts w:hint="eastAsia" w:ascii="仿宋" w:hAnsi="仿宋" w:eastAsia="仿宋" w:cs="仿宋"/>
          <w:b/>
          <w:color w:val="auto"/>
          <w:kern w:val="0"/>
          <w:sz w:val="32"/>
          <w:szCs w:val="32"/>
          <w:highlight w:val="none"/>
        </w:rPr>
      </w:pPr>
    </w:p>
    <w:p w14:paraId="709948DA">
      <w:pPr>
        <w:jc w:val="center"/>
        <w:rPr>
          <w:rFonts w:hint="eastAsia" w:ascii="仿宋" w:hAnsi="仿宋" w:eastAsia="仿宋" w:cs="仿宋"/>
          <w:b/>
          <w:color w:val="auto"/>
          <w:kern w:val="0"/>
          <w:sz w:val="32"/>
          <w:szCs w:val="32"/>
          <w:highlight w:val="none"/>
        </w:rPr>
      </w:pPr>
    </w:p>
    <w:p w14:paraId="07CEAC9E">
      <w:pPr>
        <w:jc w:val="center"/>
        <w:rPr>
          <w:rFonts w:hint="eastAsia" w:ascii="仿宋" w:hAnsi="仿宋" w:eastAsia="仿宋" w:cs="仿宋"/>
          <w:b/>
          <w:color w:val="auto"/>
          <w:kern w:val="0"/>
          <w:sz w:val="32"/>
          <w:szCs w:val="32"/>
          <w:highlight w:val="none"/>
        </w:rPr>
      </w:pPr>
    </w:p>
    <w:p w14:paraId="52B1D863">
      <w:pPr>
        <w:jc w:val="center"/>
        <w:rPr>
          <w:rFonts w:hint="eastAsia" w:ascii="仿宋" w:hAnsi="仿宋" w:eastAsia="仿宋" w:cs="仿宋"/>
          <w:b/>
          <w:color w:val="auto"/>
          <w:kern w:val="0"/>
          <w:sz w:val="32"/>
          <w:szCs w:val="32"/>
          <w:highlight w:val="none"/>
        </w:rPr>
      </w:pPr>
    </w:p>
    <w:p w14:paraId="56B419AC">
      <w:pPr>
        <w:jc w:val="center"/>
        <w:rPr>
          <w:rFonts w:hint="eastAsia" w:ascii="仿宋" w:hAnsi="仿宋" w:eastAsia="仿宋" w:cs="仿宋"/>
          <w:b/>
          <w:color w:val="auto"/>
          <w:kern w:val="0"/>
          <w:sz w:val="32"/>
          <w:szCs w:val="32"/>
          <w:highlight w:val="none"/>
        </w:rPr>
      </w:pPr>
    </w:p>
    <w:p w14:paraId="0CB4EC5A">
      <w:pPr>
        <w:jc w:val="center"/>
        <w:rPr>
          <w:rFonts w:hint="eastAsia" w:ascii="仿宋" w:hAnsi="仿宋" w:eastAsia="仿宋" w:cs="仿宋"/>
          <w:b/>
          <w:color w:val="auto"/>
          <w:kern w:val="0"/>
          <w:sz w:val="32"/>
          <w:szCs w:val="32"/>
          <w:highlight w:val="none"/>
        </w:rPr>
      </w:pPr>
    </w:p>
    <w:p w14:paraId="21DC9F6E">
      <w:pPr>
        <w:jc w:val="center"/>
        <w:rPr>
          <w:rFonts w:hint="eastAsia" w:ascii="仿宋" w:hAnsi="仿宋" w:eastAsia="仿宋" w:cs="仿宋"/>
          <w:b/>
          <w:color w:val="auto"/>
          <w:kern w:val="0"/>
          <w:sz w:val="32"/>
          <w:szCs w:val="32"/>
          <w:highlight w:val="none"/>
        </w:rPr>
      </w:pPr>
    </w:p>
    <w:p w14:paraId="2B63D666">
      <w:pPr>
        <w:jc w:val="center"/>
        <w:rPr>
          <w:rFonts w:hint="eastAsia" w:ascii="仿宋" w:hAnsi="仿宋" w:eastAsia="仿宋" w:cs="仿宋"/>
          <w:b/>
          <w:color w:val="auto"/>
          <w:kern w:val="0"/>
          <w:sz w:val="32"/>
          <w:szCs w:val="32"/>
          <w:highlight w:val="none"/>
        </w:rPr>
      </w:pPr>
    </w:p>
    <w:p w14:paraId="4A07921C">
      <w:pPr>
        <w:jc w:val="center"/>
        <w:rPr>
          <w:rFonts w:hint="eastAsia" w:ascii="仿宋" w:hAnsi="仿宋" w:eastAsia="仿宋" w:cs="仿宋"/>
          <w:b/>
          <w:color w:val="auto"/>
          <w:kern w:val="0"/>
          <w:sz w:val="32"/>
          <w:szCs w:val="32"/>
          <w:highlight w:val="none"/>
        </w:rPr>
      </w:pPr>
    </w:p>
    <w:p w14:paraId="1965152E">
      <w:pPr>
        <w:jc w:val="center"/>
        <w:rPr>
          <w:rFonts w:hint="eastAsia" w:ascii="仿宋" w:hAnsi="仿宋" w:eastAsia="仿宋" w:cs="仿宋"/>
          <w:b/>
          <w:color w:val="auto"/>
          <w:kern w:val="0"/>
          <w:sz w:val="32"/>
          <w:szCs w:val="32"/>
          <w:highlight w:val="none"/>
        </w:rPr>
      </w:pPr>
    </w:p>
    <w:p w14:paraId="020B1602">
      <w:pPr>
        <w:jc w:val="center"/>
        <w:rPr>
          <w:rFonts w:hint="eastAsia" w:ascii="仿宋" w:hAnsi="仿宋" w:eastAsia="仿宋" w:cs="仿宋"/>
          <w:b/>
          <w:color w:val="auto"/>
          <w:kern w:val="0"/>
          <w:sz w:val="32"/>
          <w:szCs w:val="32"/>
          <w:highlight w:val="none"/>
        </w:rPr>
      </w:pPr>
    </w:p>
    <w:p w14:paraId="6239194B">
      <w:pPr>
        <w:jc w:val="center"/>
        <w:rPr>
          <w:rFonts w:hint="eastAsia" w:ascii="仿宋" w:hAnsi="仿宋" w:eastAsia="仿宋" w:cs="仿宋"/>
          <w:b/>
          <w:color w:val="auto"/>
          <w:kern w:val="0"/>
          <w:sz w:val="32"/>
          <w:szCs w:val="32"/>
          <w:highlight w:val="none"/>
        </w:rPr>
      </w:pPr>
    </w:p>
    <w:p w14:paraId="3DD82860">
      <w:pPr>
        <w:jc w:val="center"/>
        <w:rPr>
          <w:rFonts w:hint="eastAsia" w:ascii="仿宋" w:hAnsi="仿宋" w:eastAsia="仿宋" w:cs="仿宋"/>
          <w:b/>
          <w:color w:val="auto"/>
          <w:kern w:val="0"/>
          <w:sz w:val="32"/>
          <w:szCs w:val="32"/>
          <w:highlight w:val="none"/>
        </w:rPr>
      </w:pPr>
    </w:p>
    <w:p w14:paraId="511156C6">
      <w:pPr>
        <w:snapToGrid/>
        <w:spacing w:line="240" w:lineRule="auto"/>
        <w:jc w:val="left"/>
        <w:outlineLvl w:val="9"/>
        <w:rPr>
          <w:rFonts w:hint="eastAsia" w:ascii="仿宋" w:hAnsi="仿宋" w:eastAsia="仿宋" w:cs="仿宋"/>
          <w:b/>
          <w:color w:val="auto"/>
          <w:kern w:val="0"/>
          <w:sz w:val="32"/>
          <w:szCs w:val="32"/>
          <w:highlight w:val="none"/>
          <w:lang w:val="zh-CN"/>
        </w:rPr>
      </w:pPr>
      <w:bookmarkStart w:id="458" w:name="_Toc26863"/>
      <w:bookmarkStart w:id="459" w:name="_Toc25586"/>
      <w:bookmarkStart w:id="460" w:name="_Toc2183"/>
      <w:r>
        <w:rPr>
          <w:rFonts w:hint="eastAsia" w:ascii="仿宋" w:hAnsi="仿宋" w:eastAsia="仿宋" w:cs="仿宋"/>
          <w:b/>
          <w:color w:val="auto"/>
          <w:kern w:val="0"/>
          <w:sz w:val="32"/>
          <w:szCs w:val="32"/>
          <w:highlight w:val="none"/>
          <w:lang w:val="zh-CN"/>
        </w:rPr>
        <w:br w:type="page"/>
      </w:r>
    </w:p>
    <w:p w14:paraId="1391D36D">
      <w:pPr>
        <w:snapToGrid w:val="0"/>
        <w:spacing w:line="360" w:lineRule="auto"/>
        <w:jc w:val="center"/>
        <w:outlineLvl w:val="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bookmarkEnd w:id="458"/>
      <w:bookmarkEnd w:id="459"/>
      <w:bookmarkEnd w:id="460"/>
    </w:p>
    <w:p w14:paraId="7B2C8A71">
      <w:pPr>
        <w:snapToGrid w:val="0"/>
        <w:spacing w:line="360" w:lineRule="auto"/>
        <w:jc w:val="center"/>
        <w:rPr>
          <w:rFonts w:hint="eastAsia" w:ascii="仿宋" w:hAnsi="仿宋" w:eastAsia="仿宋" w:cs="仿宋"/>
          <w:b/>
          <w:color w:val="auto"/>
          <w:kern w:val="0"/>
          <w:sz w:val="32"/>
          <w:szCs w:val="32"/>
          <w:highlight w:val="none"/>
          <w:lang w:val="zh-CN"/>
        </w:rPr>
      </w:pPr>
    </w:p>
    <w:p w14:paraId="2E864F4D">
      <w:pPr>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w:t>
      </w:r>
    </w:p>
    <w:p w14:paraId="4946ED8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杭州市萧山区中医院医共体总院</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浙江华夏工程管理有限公司</w:t>
      </w:r>
      <w:r>
        <w:rPr>
          <w:rFonts w:hint="eastAsia" w:ascii="仿宋" w:hAnsi="仿宋" w:eastAsia="仿宋" w:cs="仿宋"/>
          <w:color w:val="auto"/>
          <w:kern w:val="0"/>
          <w:sz w:val="24"/>
          <w:highlight w:val="none"/>
          <w:lang w:val="zh-CN"/>
        </w:rPr>
        <w:t>：</w:t>
      </w:r>
    </w:p>
    <w:p w14:paraId="03F5D667">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萧山区中医院中心机房设备维保项目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响应的一切事项，其法律后果由我方承担。</w:t>
      </w:r>
    </w:p>
    <w:p w14:paraId="3FD50C5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8555D2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ABB8E8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2DB77119">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109BF03E">
      <w:pPr>
        <w:snapToGrid w:val="0"/>
        <w:spacing w:line="360" w:lineRule="auto"/>
        <w:rPr>
          <w:rFonts w:hint="eastAsia" w:ascii="仿宋" w:hAnsi="仿宋" w:eastAsia="仿宋" w:cs="仿宋"/>
          <w:color w:val="auto"/>
          <w:sz w:val="24"/>
          <w:highlight w:val="none"/>
        </w:rPr>
      </w:pPr>
    </w:p>
    <w:p w14:paraId="77993945">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的身份证明（适用于法定代表人、单位负责人或者自然人本人代表供应商参加响应）</w:t>
      </w:r>
    </w:p>
    <w:p w14:paraId="4A7C24F9">
      <w:pPr>
        <w:pStyle w:val="152"/>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93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9207" w:type="dxa"/>
          </w:tcPr>
          <w:p w14:paraId="23537B88">
            <w:pPr>
              <w:pStyle w:val="152"/>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C6B9E75">
            <w:pPr>
              <w:pStyle w:val="152"/>
              <w:adjustRightInd w:val="0"/>
              <w:spacing w:line="360" w:lineRule="auto"/>
              <w:rPr>
                <w:rFonts w:hint="eastAsia" w:ascii="仿宋" w:hAnsi="仿宋" w:eastAsia="仿宋" w:cs="仿宋"/>
                <w:bCs/>
                <w:color w:val="auto"/>
                <w:sz w:val="24"/>
                <w:highlight w:val="none"/>
              </w:rPr>
            </w:pPr>
          </w:p>
        </w:tc>
      </w:tr>
    </w:tbl>
    <w:p w14:paraId="196EB4BA">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5481AC59">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F3EEC46">
      <w:pPr>
        <w:jc w:val="center"/>
        <w:rPr>
          <w:rFonts w:hint="eastAsia" w:ascii="仿宋" w:hAnsi="仿宋" w:eastAsia="仿宋" w:cs="仿宋"/>
          <w:b/>
          <w:color w:val="auto"/>
          <w:kern w:val="0"/>
          <w:sz w:val="32"/>
          <w:szCs w:val="32"/>
          <w:highlight w:val="none"/>
        </w:rPr>
      </w:pPr>
    </w:p>
    <w:p w14:paraId="7ACAA2C8">
      <w:pPr>
        <w:snapToGrid/>
        <w:spacing w:line="240" w:lineRule="auto"/>
        <w:jc w:val="left"/>
        <w:outlineLvl w:val="9"/>
        <w:rPr>
          <w:rFonts w:hint="eastAsia" w:ascii="仿宋" w:hAnsi="仿宋" w:eastAsia="仿宋" w:cs="仿宋"/>
          <w:b/>
          <w:color w:val="auto"/>
          <w:kern w:val="0"/>
          <w:sz w:val="32"/>
          <w:szCs w:val="32"/>
          <w:highlight w:val="none"/>
          <w:lang w:val="zh-CN"/>
        </w:rPr>
      </w:pPr>
      <w:bookmarkStart w:id="461" w:name="_Toc9018"/>
      <w:bookmarkStart w:id="462" w:name="_Toc25489"/>
      <w:bookmarkStart w:id="463" w:name="_Toc6149"/>
      <w:r>
        <w:rPr>
          <w:rFonts w:hint="eastAsia" w:ascii="仿宋" w:hAnsi="仿宋" w:eastAsia="仿宋" w:cs="仿宋"/>
          <w:b/>
          <w:color w:val="auto"/>
          <w:kern w:val="0"/>
          <w:sz w:val="32"/>
          <w:szCs w:val="32"/>
          <w:highlight w:val="none"/>
          <w:lang w:val="zh-CN"/>
        </w:rPr>
        <w:br w:type="page"/>
      </w:r>
    </w:p>
    <w:p w14:paraId="057987F7">
      <w:pPr>
        <w:snapToGrid w:val="0"/>
        <w:spacing w:line="360" w:lineRule="auto"/>
        <w:jc w:val="center"/>
        <w:outlineLvl w:val="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三、分包意向协议（如果有）</w:t>
      </w:r>
      <w:bookmarkEnd w:id="461"/>
      <w:bookmarkEnd w:id="462"/>
      <w:bookmarkEnd w:id="463"/>
    </w:p>
    <w:p w14:paraId="09D53C58">
      <w:pPr>
        <w:widowControl/>
        <w:spacing w:line="360" w:lineRule="auto"/>
        <w:ind w:firstLine="120" w:firstLineChars="50"/>
        <w:jc w:val="left"/>
        <w:rPr>
          <w:rFonts w:hint="eastAsia" w:ascii="仿宋" w:hAnsi="仿宋" w:eastAsia="仿宋" w:cs="仿宋"/>
          <w:color w:val="auto"/>
          <w:sz w:val="24"/>
          <w:highlight w:val="none"/>
        </w:rPr>
      </w:pPr>
      <w:bookmarkStart w:id="464"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w:t>
      </w:r>
      <w:r>
        <w:rPr>
          <w:rFonts w:hint="eastAsia" w:ascii="仿宋" w:hAnsi="仿宋" w:eastAsia="仿宋" w:cs="仿宋"/>
          <w:b/>
          <w:color w:val="auto"/>
          <w:sz w:val="24"/>
          <w:highlight w:val="none"/>
          <w:lang w:val="en-US" w:eastAsia="zh-CN"/>
        </w:rPr>
        <w:t>自拟</w:t>
      </w:r>
      <w:r>
        <w:rPr>
          <w:rFonts w:hint="eastAsia" w:ascii="仿宋" w:hAnsi="仿宋" w:eastAsia="仿宋" w:cs="仿宋"/>
          <w:b/>
          <w:color w:val="auto"/>
          <w:sz w:val="24"/>
          <w:highlight w:val="none"/>
        </w:rPr>
        <w:t>)；交易人不同意分包或者供应商成交后不以分包方式履行合同的，则不需要提供。</w:t>
      </w:r>
      <w:r>
        <w:rPr>
          <w:rFonts w:hint="eastAsia" w:ascii="仿宋" w:hAnsi="仿宋" w:eastAsia="仿宋" w:cs="仿宋"/>
          <w:color w:val="auto"/>
          <w:sz w:val="24"/>
          <w:highlight w:val="none"/>
        </w:rPr>
        <w:t>]</w:t>
      </w:r>
    </w:p>
    <w:bookmarkEnd w:id="464"/>
    <w:p w14:paraId="6489A880">
      <w:pPr>
        <w:jc w:val="center"/>
        <w:rPr>
          <w:rFonts w:hint="eastAsia" w:ascii="仿宋" w:hAnsi="仿宋" w:eastAsia="仿宋" w:cs="仿宋"/>
          <w:b/>
          <w:color w:val="auto"/>
          <w:kern w:val="0"/>
          <w:sz w:val="32"/>
          <w:szCs w:val="32"/>
          <w:highlight w:val="none"/>
        </w:rPr>
      </w:pPr>
    </w:p>
    <w:p w14:paraId="1EB18DC3">
      <w:pPr>
        <w:rPr>
          <w:rFonts w:hint="eastAsia" w:ascii="仿宋" w:hAnsi="仿宋" w:eastAsia="仿宋" w:cs="仿宋"/>
          <w:color w:val="auto"/>
          <w:highlight w:val="none"/>
        </w:rPr>
      </w:pPr>
    </w:p>
    <w:p w14:paraId="54C622E8">
      <w:pPr>
        <w:snapToGrid w:val="0"/>
        <w:spacing w:line="360" w:lineRule="auto"/>
        <w:jc w:val="center"/>
        <w:outlineLvl w:val="0"/>
        <w:rPr>
          <w:rFonts w:hint="eastAsia" w:ascii="仿宋" w:hAnsi="仿宋" w:eastAsia="仿宋" w:cs="仿宋"/>
          <w:b/>
          <w:color w:val="auto"/>
          <w:kern w:val="0"/>
          <w:sz w:val="32"/>
          <w:szCs w:val="32"/>
          <w:highlight w:val="none"/>
          <w:lang w:val="zh-CN"/>
        </w:rPr>
      </w:pPr>
      <w:bookmarkStart w:id="465" w:name="_Toc3221"/>
      <w:bookmarkStart w:id="466" w:name="_Toc21720"/>
      <w:bookmarkStart w:id="467" w:name="_Toc7412"/>
      <w:r>
        <w:rPr>
          <w:rFonts w:hint="eastAsia" w:ascii="仿宋" w:hAnsi="仿宋" w:eastAsia="仿宋" w:cs="仿宋"/>
          <w:b/>
          <w:color w:val="auto"/>
          <w:kern w:val="0"/>
          <w:sz w:val="32"/>
          <w:szCs w:val="32"/>
          <w:highlight w:val="none"/>
          <w:lang w:val="zh-CN"/>
        </w:rPr>
        <w:t>四、符合性审查资料</w:t>
      </w:r>
      <w:bookmarkEnd w:id="465"/>
      <w:bookmarkEnd w:id="466"/>
      <w:bookmarkEnd w:id="467"/>
    </w:p>
    <w:p w14:paraId="632FD7A3">
      <w:pPr>
        <w:jc w:val="center"/>
        <w:rPr>
          <w:rFonts w:hint="eastAsia" w:ascii="仿宋" w:hAnsi="仿宋" w:eastAsia="仿宋" w:cs="仿宋"/>
          <w:b/>
          <w:color w:val="auto"/>
          <w:kern w:val="0"/>
          <w:sz w:val="32"/>
          <w:szCs w:val="32"/>
          <w:highlight w:val="none"/>
        </w:rPr>
      </w:pPr>
    </w:p>
    <w:tbl>
      <w:tblPr>
        <w:tblStyle w:val="63"/>
        <w:tblW w:w="9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550"/>
        <w:gridCol w:w="3300"/>
        <w:gridCol w:w="2512"/>
      </w:tblGrid>
      <w:tr w14:paraId="447E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67" w:type="dxa"/>
            <w:vAlign w:val="center"/>
          </w:tcPr>
          <w:p w14:paraId="138FE94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550" w:type="dxa"/>
            <w:vAlign w:val="center"/>
          </w:tcPr>
          <w:p w14:paraId="47AF386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300" w:type="dxa"/>
            <w:vAlign w:val="center"/>
          </w:tcPr>
          <w:p w14:paraId="0164803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2512" w:type="dxa"/>
            <w:vAlign w:val="center"/>
          </w:tcPr>
          <w:p w14:paraId="14A3DD45">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响应文件中的</w:t>
            </w:r>
          </w:p>
          <w:p w14:paraId="5E833CA7">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C96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67" w:type="dxa"/>
            <w:vAlign w:val="center"/>
          </w:tcPr>
          <w:p w14:paraId="2B7EA4A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550" w:type="dxa"/>
          </w:tcPr>
          <w:p w14:paraId="393F23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响应文件按照交易文件要求签署、盖章。</w:t>
            </w:r>
          </w:p>
        </w:tc>
        <w:tc>
          <w:tcPr>
            <w:tcW w:w="3300" w:type="dxa"/>
            <w:vAlign w:val="center"/>
          </w:tcPr>
          <w:p w14:paraId="0DFE41C6">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需要使用电子签名或者签字盖章的响应文件的组成部分</w:t>
            </w:r>
          </w:p>
        </w:tc>
        <w:tc>
          <w:tcPr>
            <w:tcW w:w="2512" w:type="dxa"/>
            <w:vAlign w:val="center"/>
          </w:tcPr>
          <w:p w14:paraId="01BD32B4">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FF1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67" w:type="dxa"/>
            <w:vAlign w:val="center"/>
          </w:tcPr>
          <w:p w14:paraId="0B6F92B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550" w:type="dxa"/>
          </w:tcPr>
          <w:p w14:paraId="7A52BFA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响应文件中承诺的响应有效期不少于交易文件中载明的响应有效期。</w:t>
            </w:r>
          </w:p>
        </w:tc>
        <w:tc>
          <w:tcPr>
            <w:tcW w:w="3300" w:type="dxa"/>
            <w:vAlign w:val="center"/>
          </w:tcPr>
          <w:p w14:paraId="2AEE418E">
            <w:pP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响应函</w:t>
            </w:r>
          </w:p>
        </w:tc>
        <w:tc>
          <w:tcPr>
            <w:tcW w:w="2512" w:type="dxa"/>
            <w:vAlign w:val="center"/>
          </w:tcPr>
          <w:p w14:paraId="0671C6C7">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F30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67" w:type="dxa"/>
            <w:vAlign w:val="center"/>
          </w:tcPr>
          <w:p w14:paraId="7C2F76E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550" w:type="dxa"/>
          </w:tcPr>
          <w:p w14:paraId="2A03D1B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响应文件满足交易文件的其它实质性要求。</w:t>
            </w:r>
          </w:p>
        </w:tc>
        <w:tc>
          <w:tcPr>
            <w:tcW w:w="3300" w:type="dxa"/>
            <w:vAlign w:val="center"/>
          </w:tcPr>
          <w:p w14:paraId="09BD1E95">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交易文件其它实质性要求相应的材料（“▲” 系指实质性要求条款，交易文件无其它实质性要求的，无需提供）</w:t>
            </w:r>
          </w:p>
        </w:tc>
        <w:tc>
          <w:tcPr>
            <w:tcW w:w="2512" w:type="dxa"/>
            <w:vAlign w:val="center"/>
          </w:tcPr>
          <w:p w14:paraId="58C08841">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3C68C18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B3B23E9">
      <w:pPr>
        <w:jc w:val="center"/>
        <w:rPr>
          <w:rFonts w:hint="eastAsia" w:ascii="仿宋" w:hAnsi="仿宋" w:eastAsia="仿宋" w:cs="仿宋"/>
          <w:b/>
          <w:color w:val="auto"/>
          <w:kern w:val="0"/>
          <w:sz w:val="32"/>
          <w:szCs w:val="32"/>
          <w:highlight w:val="none"/>
        </w:rPr>
      </w:pPr>
    </w:p>
    <w:p w14:paraId="778693F4">
      <w:pPr>
        <w:rPr>
          <w:rFonts w:hint="eastAsia" w:ascii="仿宋" w:hAnsi="仿宋" w:eastAsia="仿宋" w:cs="仿宋"/>
          <w:color w:val="auto"/>
          <w:highlight w:val="none"/>
        </w:rPr>
      </w:pPr>
    </w:p>
    <w:p w14:paraId="3468EC82">
      <w:pPr>
        <w:snapToGrid/>
        <w:spacing w:line="240" w:lineRule="auto"/>
        <w:jc w:val="left"/>
        <w:outlineLvl w:val="9"/>
        <w:rPr>
          <w:rFonts w:hint="eastAsia" w:ascii="仿宋" w:hAnsi="仿宋" w:eastAsia="仿宋" w:cs="仿宋"/>
          <w:b/>
          <w:color w:val="auto"/>
          <w:kern w:val="0"/>
          <w:sz w:val="32"/>
          <w:szCs w:val="32"/>
          <w:highlight w:val="none"/>
          <w:lang w:val="zh-CN"/>
        </w:rPr>
      </w:pPr>
      <w:bookmarkStart w:id="468" w:name="_Toc25196"/>
      <w:bookmarkStart w:id="469" w:name="_Toc20108"/>
      <w:r>
        <w:rPr>
          <w:rFonts w:hint="eastAsia" w:ascii="仿宋" w:hAnsi="仿宋" w:eastAsia="仿宋" w:cs="仿宋"/>
          <w:b/>
          <w:color w:val="auto"/>
          <w:kern w:val="0"/>
          <w:sz w:val="32"/>
          <w:szCs w:val="32"/>
          <w:highlight w:val="none"/>
          <w:lang w:val="zh-CN"/>
        </w:rPr>
        <w:br w:type="page"/>
      </w:r>
    </w:p>
    <w:p w14:paraId="319D6461">
      <w:pPr>
        <w:snapToGrid w:val="0"/>
        <w:spacing w:line="360" w:lineRule="auto"/>
        <w:jc w:val="center"/>
        <w:outlineLvl w:val="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五、评标标准相应的商务技术资料</w:t>
      </w:r>
      <w:bookmarkEnd w:id="468"/>
      <w:bookmarkEnd w:id="469"/>
    </w:p>
    <w:p w14:paraId="52CCA41B">
      <w:pPr>
        <w:rPr>
          <w:rFonts w:hint="eastAsia" w:ascii="仿宋" w:hAnsi="仿宋" w:eastAsia="仿宋" w:cs="仿宋"/>
          <w:color w:val="auto"/>
          <w:highlight w:val="none"/>
          <w:lang w:val="zh-CN"/>
        </w:rPr>
      </w:pPr>
      <w:bookmarkStart w:id="470" w:name="_Toc3744"/>
    </w:p>
    <w:p w14:paraId="4757EF5B">
      <w:pPr>
        <w:snapToGrid w:val="0"/>
        <w:spacing w:line="360" w:lineRule="auto"/>
        <w:jc w:val="center"/>
        <w:outlineLvl w:val="0"/>
        <w:rPr>
          <w:rFonts w:hint="eastAsia" w:ascii="仿宋" w:hAnsi="仿宋" w:eastAsia="仿宋" w:cs="仿宋"/>
          <w:b/>
          <w:color w:val="auto"/>
          <w:kern w:val="0"/>
          <w:sz w:val="32"/>
          <w:szCs w:val="32"/>
          <w:highlight w:val="none"/>
        </w:rPr>
      </w:pPr>
      <w:bookmarkStart w:id="471" w:name="_Toc18066"/>
      <w:bookmarkStart w:id="472" w:name="_Toc20300"/>
    </w:p>
    <w:p w14:paraId="5FD32E0B">
      <w:pPr>
        <w:snapToGrid w:val="0"/>
        <w:spacing w:line="360" w:lineRule="auto"/>
        <w:jc w:val="center"/>
        <w:outlineLvl w:val="0"/>
        <w:rPr>
          <w:rFonts w:hint="eastAsia" w:ascii="仿宋" w:hAnsi="仿宋" w:eastAsia="仿宋" w:cs="仿宋"/>
          <w:b/>
          <w:color w:val="auto"/>
          <w:kern w:val="0"/>
          <w:sz w:val="32"/>
          <w:szCs w:val="32"/>
          <w:highlight w:val="none"/>
        </w:rPr>
      </w:pPr>
    </w:p>
    <w:p w14:paraId="30CC6EEE">
      <w:pPr>
        <w:snapToGrid w:val="0"/>
        <w:spacing w:line="360" w:lineRule="auto"/>
        <w:jc w:val="center"/>
        <w:outlineLvl w:val="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六</w:t>
      </w:r>
      <w:r>
        <w:rPr>
          <w:rFonts w:hint="eastAsia" w:ascii="仿宋" w:hAnsi="仿宋" w:eastAsia="仿宋" w:cs="仿宋"/>
          <w:b/>
          <w:color w:val="auto"/>
          <w:kern w:val="0"/>
          <w:sz w:val="32"/>
          <w:szCs w:val="32"/>
          <w:highlight w:val="none"/>
          <w:lang w:val="zh-CN"/>
        </w:rPr>
        <w:t>、</w:t>
      </w:r>
      <w:bookmarkEnd w:id="470"/>
      <w:bookmarkStart w:id="473" w:name="_Toc19557"/>
      <w:r>
        <w:rPr>
          <w:rFonts w:hint="eastAsia" w:ascii="仿宋" w:hAnsi="仿宋" w:eastAsia="仿宋" w:cs="仿宋"/>
          <w:b/>
          <w:color w:val="auto"/>
          <w:kern w:val="0"/>
          <w:sz w:val="32"/>
          <w:szCs w:val="32"/>
          <w:highlight w:val="none"/>
          <w:lang w:val="zh-CN"/>
        </w:rPr>
        <w:t>响应标的清单</w:t>
      </w:r>
      <w:r>
        <w:rPr>
          <w:rFonts w:hint="eastAsia" w:ascii="仿宋" w:hAnsi="仿宋" w:eastAsia="仿宋" w:cs="仿宋"/>
          <w:b/>
          <w:color w:val="auto"/>
          <w:kern w:val="0"/>
          <w:sz w:val="32"/>
          <w:szCs w:val="32"/>
          <w:highlight w:val="none"/>
        </w:rPr>
        <w:t>及说明</w:t>
      </w:r>
      <w:bookmarkEnd w:id="471"/>
      <w:bookmarkEnd w:id="472"/>
      <w:bookmarkEnd w:id="473"/>
    </w:p>
    <w:tbl>
      <w:tblPr>
        <w:tblStyle w:val="63"/>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103"/>
        <w:gridCol w:w="2088"/>
        <w:gridCol w:w="1305"/>
        <w:gridCol w:w="1426"/>
        <w:gridCol w:w="1188"/>
        <w:gridCol w:w="1425"/>
      </w:tblGrid>
      <w:tr w14:paraId="349E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9636BF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103" w:type="dxa"/>
            <w:tcBorders>
              <w:top w:val="single" w:color="auto" w:sz="4" w:space="0"/>
              <w:left w:val="single" w:color="auto" w:sz="4" w:space="0"/>
              <w:bottom w:val="single" w:color="auto" w:sz="4" w:space="0"/>
              <w:right w:val="single" w:color="auto" w:sz="4" w:space="0"/>
            </w:tcBorders>
            <w:vAlign w:val="center"/>
          </w:tcPr>
          <w:p w14:paraId="2C600BC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名称</w:t>
            </w:r>
          </w:p>
        </w:tc>
        <w:tc>
          <w:tcPr>
            <w:tcW w:w="2088" w:type="dxa"/>
            <w:tcBorders>
              <w:top w:val="single" w:color="auto" w:sz="4" w:space="0"/>
              <w:left w:val="single" w:color="auto" w:sz="4" w:space="0"/>
              <w:bottom w:val="single" w:color="auto" w:sz="4" w:space="0"/>
              <w:right w:val="single" w:color="auto" w:sz="4" w:space="0"/>
            </w:tcBorders>
            <w:vAlign w:val="center"/>
          </w:tcPr>
          <w:p w14:paraId="588B2C4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品牌（如果有）</w:t>
            </w:r>
          </w:p>
        </w:tc>
        <w:tc>
          <w:tcPr>
            <w:tcW w:w="1305" w:type="dxa"/>
            <w:tcBorders>
              <w:top w:val="single" w:color="auto" w:sz="4" w:space="0"/>
              <w:left w:val="single" w:color="auto" w:sz="4" w:space="0"/>
              <w:bottom w:val="single" w:color="auto" w:sz="4" w:space="0"/>
              <w:right w:val="single" w:color="auto" w:sz="4" w:space="0"/>
            </w:tcBorders>
            <w:vAlign w:val="center"/>
          </w:tcPr>
          <w:p w14:paraId="6F31A74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规格型号</w:t>
            </w:r>
          </w:p>
        </w:tc>
        <w:tc>
          <w:tcPr>
            <w:tcW w:w="1426" w:type="dxa"/>
            <w:tcBorders>
              <w:top w:val="single" w:color="auto" w:sz="4" w:space="0"/>
              <w:left w:val="single" w:color="auto" w:sz="4" w:space="0"/>
              <w:bottom w:val="single" w:color="auto" w:sz="4" w:space="0"/>
              <w:right w:val="single" w:color="auto" w:sz="4" w:space="0"/>
            </w:tcBorders>
            <w:vAlign w:val="center"/>
          </w:tcPr>
          <w:p w14:paraId="38E8602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技术参数</w:t>
            </w:r>
          </w:p>
        </w:tc>
        <w:tc>
          <w:tcPr>
            <w:tcW w:w="1188" w:type="dxa"/>
            <w:tcBorders>
              <w:top w:val="single" w:color="auto" w:sz="4" w:space="0"/>
              <w:left w:val="single" w:color="auto" w:sz="4" w:space="0"/>
              <w:bottom w:val="single" w:color="auto" w:sz="4" w:space="0"/>
              <w:right w:val="single" w:color="auto" w:sz="4" w:space="0"/>
            </w:tcBorders>
            <w:vAlign w:val="center"/>
          </w:tcPr>
          <w:p w14:paraId="09DF269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数量</w:t>
            </w:r>
          </w:p>
        </w:tc>
        <w:tc>
          <w:tcPr>
            <w:tcW w:w="1425" w:type="dxa"/>
            <w:tcBorders>
              <w:top w:val="single" w:color="auto" w:sz="4" w:space="0"/>
              <w:left w:val="single" w:color="auto" w:sz="4" w:space="0"/>
              <w:bottom w:val="single" w:color="auto" w:sz="4" w:space="0"/>
              <w:right w:val="single" w:color="auto" w:sz="4" w:space="0"/>
            </w:tcBorders>
            <w:vAlign w:val="center"/>
          </w:tcPr>
          <w:p w14:paraId="2D0F0CD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备注</w:t>
            </w:r>
          </w:p>
        </w:tc>
      </w:tr>
      <w:tr w14:paraId="2E5A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7F1955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p>
        </w:tc>
        <w:tc>
          <w:tcPr>
            <w:tcW w:w="1103" w:type="dxa"/>
            <w:tcBorders>
              <w:top w:val="single" w:color="auto" w:sz="4" w:space="0"/>
              <w:left w:val="single" w:color="auto" w:sz="4" w:space="0"/>
              <w:bottom w:val="single" w:color="auto" w:sz="4" w:space="0"/>
              <w:right w:val="single" w:color="auto" w:sz="4" w:space="0"/>
            </w:tcBorders>
            <w:vAlign w:val="center"/>
          </w:tcPr>
          <w:p w14:paraId="7C5F8544">
            <w:pPr>
              <w:jc w:val="center"/>
              <w:rPr>
                <w:rFonts w:hint="eastAsia" w:ascii="仿宋" w:hAnsi="仿宋" w:eastAsia="仿宋" w:cs="仿宋"/>
                <w:b/>
                <w:bCs/>
                <w:color w:val="auto"/>
                <w:sz w:val="24"/>
                <w:highlight w:val="none"/>
              </w:rPr>
            </w:pPr>
          </w:p>
        </w:tc>
        <w:tc>
          <w:tcPr>
            <w:tcW w:w="2088" w:type="dxa"/>
            <w:tcBorders>
              <w:top w:val="single" w:color="auto" w:sz="4" w:space="0"/>
              <w:left w:val="single" w:color="auto" w:sz="4" w:space="0"/>
              <w:bottom w:val="single" w:color="auto" w:sz="4" w:space="0"/>
              <w:right w:val="single" w:color="auto" w:sz="4" w:space="0"/>
            </w:tcBorders>
            <w:vAlign w:val="center"/>
          </w:tcPr>
          <w:p w14:paraId="6C3E918F">
            <w:pPr>
              <w:jc w:val="center"/>
              <w:rPr>
                <w:rFonts w:hint="eastAsia" w:ascii="仿宋" w:hAnsi="仿宋" w:eastAsia="仿宋" w:cs="仿宋"/>
                <w:b/>
                <w:bCs/>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0039DDCE">
            <w:pPr>
              <w:jc w:val="center"/>
              <w:rPr>
                <w:rFonts w:hint="eastAsia" w:ascii="仿宋" w:hAnsi="仿宋" w:eastAsia="仿宋" w:cs="仿宋"/>
                <w:b/>
                <w:bCs/>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29E0A6EE">
            <w:pPr>
              <w:jc w:val="center"/>
              <w:rPr>
                <w:rFonts w:hint="eastAsia" w:ascii="仿宋" w:hAnsi="仿宋" w:eastAsia="仿宋" w:cs="仿宋"/>
                <w:b/>
                <w:bCs/>
                <w:color w:val="auto"/>
                <w:sz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3999BA07">
            <w:pPr>
              <w:jc w:val="center"/>
              <w:rPr>
                <w:rFonts w:hint="eastAsia" w:ascii="仿宋" w:hAnsi="仿宋" w:eastAsia="仿宋" w:cs="仿宋"/>
                <w:b/>
                <w:bCs/>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22F31E67">
            <w:pPr>
              <w:jc w:val="center"/>
              <w:rPr>
                <w:rFonts w:hint="eastAsia" w:ascii="仿宋" w:hAnsi="仿宋" w:eastAsia="仿宋" w:cs="仿宋"/>
                <w:b/>
                <w:bCs/>
                <w:color w:val="auto"/>
                <w:sz w:val="24"/>
                <w:highlight w:val="none"/>
              </w:rPr>
            </w:pPr>
          </w:p>
        </w:tc>
      </w:tr>
      <w:tr w14:paraId="738C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4CE3BB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p>
        </w:tc>
        <w:tc>
          <w:tcPr>
            <w:tcW w:w="1103" w:type="dxa"/>
            <w:tcBorders>
              <w:top w:val="single" w:color="auto" w:sz="4" w:space="0"/>
              <w:left w:val="single" w:color="auto" w:sz="4" w:space="0"/>
              <w:bottom w:val="single" w:color="auto" w:sz="4" w:space="0"/>
              <w:right w:val="single" w:color="auto" w:sz="4" w:space="0"/>
            </w:tcBorders>
            <w:vAlign w:val="center"/>
          </w:tcPr>
          <w:p w14:paraId="06B58545">
            <w:pPr>
              <w:jc w:val="center"/>
              <w:rPr>
                <w:rFonts w:hint="eastAsia" w:ascii="仿宋" w:hAnsi="仿宋" w:eastAsia="仿宋" w:cs="仿宋"/>
                <w:b/>
                <w:bCs/>
                <w:color w:val="auto"/>
                <w:sz w:val="24"/>
                <w:highlight w:val="none"/>
              </w:rPr>
            </w:pPr>
          </w:p>
        </w:tc>
        <w:tc>
          <w:tcPr>
            <w:tcW w:w="2088" w:type="dxa"/>
            <w:tcBorders>
              <w:top w:val="single" w:color="auto" w:sz="4" w:space="0"/>
              <w:left w:val="single" w:color="auto" w:sz="4" w:space="0"/>
              <w:bottom w:val="single" w:color="auto" w:sz="4" w:space="0"/>
              <w:right w:val="single" w:color="auto" w:sz="4" w:space="0"/>
            </w:tcBorders>
            <w:vAlign w:val="center"/>
          </w:tcPr>
          <w:p w14:paraId="73B3093B">
            <w:pPr>
              <w:jc w:val="center"/>
              <w:rPr>
                <w:rFonts w:hint="eastAsia" w:ascii="仿宋" w:hAnsi="仿宋" w:eastAsia="仿宋" w:cs="仿宋"/>
                <w:b/>
                <w:bCs/>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4E307F26">
            <w:pPr>
              <w:jc w:val="center"/>
              <w:rPr>
                <w:rFonts w:hint="eastAsia" w:ascii="仿宋" w:hAnsi="仿宋" w:eastAsia="仿宋" w:cs="仿宋"/>
                <w:b/>
                <w:bCs/>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7E705335">
            <w:pPr>
              <w:jc w:val="center"/>
              <w:rPr>
                <w:rFonts w:hint="eastAsia" w:ascii="仿宋" w:hAnsi="仿宋" w:eastAsia="仿宋" w:cs="仿宋"/>
                <w:b/>
                <w:bCs/>
                <w:color w:val="auto"/>
                <w:sz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34BFCA09">
            <w:pPr>
              <w:jc w:val="center"/>
              <w:rPr>
                <w:rFonts w:hint="eastAsia" w:ascii="仿宋" w:hAnsi="仿宋" w:eastAsia="仿宋" w:cs="仿宋"/>
                <w:b/>
                <w:bCs/>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2D8D4C34">
            <w:pPr>
              <w:jc w:val="center"/>
              <w:rPr>
                <w:rFonts w:hint="eastAsia" w:ascii="仿宋" w:hAnsi="仿宋" w:eastAsia="仿宋" w:cs="仿宋"/>
                <w:b/>
                <w:bCs/>
                <w:color w:val="auto"/>
                <w:sz w:val="24"/>
                <w:highlight w:val="none"/>
              </w:rPr>
            </w:pPr>
          </w:p>
        </w:tc>
      </w:tr>
      <w:tr w14:paraId="60E9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532628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p>
        </w:tc>
        <w:tc>
          <w:tcPr>
            <w:tcW w:w="1103" w:type="dxa"/>
            <w:tcBorders>
              <w:top w:val="single" w:color="auto" w:sz="4" w:space="0"/>
              <w:left w:val="single" w:color="auto" w:sz="4" w:space="0"/>
              <w:bottom w:val="single" w:color="auto" w:sz="4" w:space="0"/>
              <w:right w:val="single" w:color="auto" w:sz="4" w:space="0"/>
            </w:tcBorders>
            <w:vAlign w:val="center"/>
          </w:tcPr>
          <w:p w14:paraId="63709C8A">
            <w:pPr>
              <w:jc w:val="center"/>
              <w:rPr>
                <w:rFonts w:hint="eastAsia" w:ascii="仿宋" w:hAnsi="仿宋" w:eastAsia="仿宋" w:cs="仿宋"/>
                <w:b/>
                <w:bCs/>
                <w:color w:val="auto"/>
                <w:sz w:val="24"/>
                <w:highlight w:val="none"/>
              </w:rPr>
            </w:pPr>
          </w:p>
        </w:tc>
        <w:tc>
          <w:tcPr>
            <w:tcW w:w="2088" w:type="dxa"/>
            <w:tcBorders>
              <w:top w:val="single" w:color="auto" w:sz="4" w:space="0"/>
              <w:left w:val="single" w:color="auto" w:sz="4" w:space="0"/>
              <w:bottom w:val="single" w:color="auto" w:sz="4" w:space="0"/>
              <w:right w:val="single" w:color="auto" w:sz="4" w:space="0"/>
            </w:tcBorders>
            <w:vAlign w:val="center"/>
          </w:tcPr>
          <w:p w14:paraId="11FAD559">
            <w:pPr>
              <w:jc w:val="center"/>
              <w:rPr>
                <w:rFonts w:hint="eastAsia" w:ascii="仿宋" w:hAnsi="仿宋" w:eastAsia="仿宋" w:cs="仿宋"/>
                <w:b/>
                <w:bCs/>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573B606F">
            <w:pPr>
              <w:jc w:val="center"/>
              <w:rPr>
                <w:rFonts w:hint="eastAsia" w:ascii="仿宋" w:hAnsi="仿宋" w:eastAsia="仿宋" w:cs="仿宋"/>
                <w:b/>
                <w:bCs/>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53191C94">
            <w:pPr>
              <w:jc w:val="center"/>
              <w:rPr>
                <w:rFonts w:hint="eastAsia" w:ascii="仿宋" w:hAnsi="仿宋" w:eastAsia="仿宋" w:cs="仿宋"/>
                <w:b/>
                <w:bCs/>
                <w:color w:val="auto"/>
                <w:sz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687EEE36">
            <w:pPr>
              <w:jc w:val="center"/>
              <w:rPr>
                <w:rFonts w:hint="eastAsia" w:ascii="仿宋" w:hAnsi="仿宋" w:eastAsia="仿宋" w:cs="仿宋"/>
                <w:b/>
                <w:bCs/>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56D2B615">
            <w:pPr>
              <w:jc w:val="center"/>
              <w:rPr>
                <w:rFonts w:hint="eastAsia" w:ascii="仿宋" w:hAnsi="仿宋" w:eastAsia="仿宋" w:cs="仿宋"/>
                <w:b/>
                <w:bCs/>
                <w:color w:val="auto"/>
                <w:sz w:val="24"/>
                <w:highlight w:val="none"/>
              </w:rPr>
            </w:pPr>
          </w:p>
        </w:tc>
      </w:tr>
    </w:tbl>
    <w:p w14:paraId="0811ECD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7DB13F9">
      <w:pPr>
        <w:pStyle w:val="6"/>
        <w:rPr>
          <w:rFonts w:hint="eastAsia" w:ascii="仿宋" w:hAnsi="仿宋" w:eastAsia="仿宋" w:cs="仿宋"/>
          <w:color w:val="auto"/>
          <w:sz w:val="24"/>
          <w:highlight w:val="none"/>
        </w:rPr>
      </w:pPr>
    </w:p>
    <w:p w14:paraId="0764E52F">
      <w:pPr>
        <w:rPr>
          <w:rFonts w:hint="eastAsia" w:ascii="仿宋" w:hAnsi="仿宋" w:eastAsia="仿宋" w:cs="仿宋"/>
          <w:color w:val="auto"/>
          <w:sz w:val="24"/>
          <w:highlight w:val="none"/>
        </w:rPr>
      </w:pPr>
    </w:p>
    <w:p w14:paraId="082C21F7">
      <w:pPr>
        <w:snapToGrid/>
        <w:spacing w:line="360" w:lineRule="auto"/>
        <w:ind w:right="420" w:firstLine="3213" w:firstLineChars="1000"/>
        <w:jc w:val="left"/>
        <w:outlineLvl w:val="9"/>
        <w:rPr>
          <w:rFonts w:hint="eastAsia" w:ascii="仿宋" w:hAnsi="仿宋" w:eastAsia="仿宋" w:cs="仿宋"/>
          <w:b/>
          <w:color w:val="auto"/>
          <w:kern w:val="0"/>
          <w:sz w:val="32"/>
          <w:szCs w:val="32"/>
          <w:highlight w:val="none"/>
          <w:lang w:val="zh-CN"/>
        </w:rPr>
      </w:pPr>
      <w:bookmarkStart w:id="474" w:name="_Toc24105"/>
      <w:bookmarkStart w:id="475" w:name="_Toc22251"/>
      <w:bookmarkStart w:id="476" w:name="_Toc16398"/>
      <w:r>
        <w:rPr>
          <w:rFonts w:hint="eastAsia" w:ascii="仿宋" w:hAnsi="仿宋" w:eastAsia="仿宋" w:cs="仿宋"/>
          <w:b/>
          <w:color w:val="auto"/>
          <w:kern w:val="0"/>
          <w:sz w:val="32"/>
          <w:szCs w:val="32"/>
          <w:highlight w:val="none"/>
        </w:rPr>
        <w:t>七</w:t>
      </w:r>
      <w:r>
        <w:rPr>
          <w:rFonts w:hint="eastAsia" w:ascii="仿宋" w:hAnsi="仿宋" w:eastAsia="仿宋" w:cs="仿宋"/>
          <w:b/>
          <w:color w:val="auto"/>
          <w:kern w:val="0"/>
          <w:sz w:val="32"/>
          <w:szCs w:val="32"/>
          <w:highlight w:val="none"/>
          <w:lang w:val="zh-CN"/>
        </w:rPr>
        <w:t>、商务技术偏离表</w:t>
      </w:r>
      <w:bookmarkEnd w:id="474"/>
      <w:bookmarkEnd w:id="475"/>
      <w:bookmarkEnd w:id="476"/>
    </w:p>
    <w:tbl>
      <w:tblPr>
        <w:tblStyle w:val="64"/>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3213"/>
        <w:gridCol w:w="3400"/>
        <w:gridCol w:w="1632"/>
      </w:tblGrid>
      <w:tr w14:paraId="27BE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9" w:type="dxa"/>
            <w:vAlign w:val="center"/>
          </w:tcPr>
          <w:p w14:paraId="7F051E3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213" w:type="dxa"/>
            <w:vAlign w:val="center"/>
          </w:tcPr>
          <w:p w14:paraId="56CCFFF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交易文件章节及具体内容</w:t>
            </w:r>
          </w:p>
        </w:tc>
        <w:tc>
          <w:tcPr>
            <w:tcW w:w="3400" w:type="dxa"/>
            <w:vAlign w:val="center"/>
          </w:tcPr>
          <w:p w14:paraId="335DF1E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响应文件章节及具体内容</w:t>
            </w:r>
          </w:p>
        </w:tc>
        <w:tc>
          <w:tcPr>
            <w:tcW w:w="1632" w:type="dxa"/>
            <w:vAlign w:val="center"/>
          </w:tcPr>
          <w:p w14:paraId="08C03D3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3CA7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9" w:type="dxa"/>
            <w:vAlign w:val="center"/>
          </w:tcPr>
          <w:p w14:paraId="41F3BA8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p>
        </w:tc>
        <w:tc>
          <w:tcPr>
            <w:tcW w:w="3213" w:type="dxa"/>
            <w:vAlign w:val="center"/>
          </w:tcPr>
          <w:p w14:paraId="791A2D56">
            <w:pPr>
              <w:jc w:val="center"/>
              <w:rPr>
                <w:rFonts w:hint="eastAsia" w:ascii="仿宋" w:hAnsi="仿宋" w:eastAsia="仿宋" w:cs="仿宋"/>
                <w:b/>
                <w:bCs/>
                <w:color w:val="auto"/>
                <w:sz w:val="24"/>
                <w:highlight w:val="none"/>
              </w:rPr>
            </w:pPr>
          </w:p>
        </w:tc>
        <w:tc>
          <w:tcPr>
            <w:tcW w:w="3400" w:type="dxa"/>
            <w:vAlign w:val="center"/>
          </w:tcPr>
          <w:p w14:paraId="34C3BD6B">
            <w:pPr>
              <w:jc w:val="center"/>
              <w:rPr>
                <w:rFonts w:hint="eastAsia" w:ascii="仿宋" w:hAnsi="仿宋" w:eastAsia="仿宋" w:cs="仿宋"/>
                <w:b/>
                <w:bCs/>
                <w:color w:val="auto"/>
                <w:sz w:val="24"/>
                <w:highlight w:val="none"/>
              </w:rPr>
            </w:pPr>
          </w:p>
        </w:tc>
        <w:tc>
          <w:tcPr>
            <w:tcW w:w="1632" w:type="dxa"/>
            <w:vAlign w:val="center"/>
          </w:tcPr>
          <w:p w14:paraId="479207D4">
            <w:pPr>
              <w:jc w:val="center"/>
              <w:rPr>
                <w:rFonts w:hint="eastAsia" w:ascii="仿宋" w:hAnsi="仿宋" w:eastAsia="仿宋" w:cs="仿宋"/>
                <w:b/>
                <w:bCs/>
                <w:color w:val="auto"/>
                <w:sz w:val="24"/>
                <w:highlight w:val="none"/>
              </w:rPr>
            </w:pPr>
          </w:p>
        </w:tc>
      </w:tr>
      <w:tr w14:paraId="4CED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9" w:type="dxa"/>
            <w:vAlign w:val="center"/>
          </w:tcPr>
          <w:p w14:paraId="2E5EAC6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p>
        </w:tc>
        <w:tc>
          <w:tcPr>
            <w:tcW w:w="3213" w:type="dxa"/>
            <w:vAlign w:val="center"/>
          </w:tcPr>
          <w:p w14:paraId="10E810D4">
            <w:pPr>
              <w:jc w:val="center"/>
              <w:rPr>
                <w:rFonts w:hint="eastAsia" w:ascii="仿宋" w:hAnsi="仿宋" w:eastAsia="仿宋" w:cs="仿宋"/>
                <w:b/>
                <w:bCs/>
                <w:color w:val="auto"/>
                <w:sz w:val="24"/>
                <w:highlight w:val="none"/>
              </w:rPr>
            </w:pPr>
          </w:p>
        </w:tc>
        <w:tc>
          <w:tcPr>
            <w:tcW w:w="3400" w:type="dxa"/>
            <w:vAlign w:val="center"/>
          </w:tcPr>
          <w:p w14:paraId="671AAF31">
            <w:pPr>
              <w:jc w:val="center"/>
              <w:rPr>
                <w:rFonts w:hint="eastAsia" w:ascii="仿宋" w:hAnsi="仿宋" w:eastAsia="仿宋" w:cs="仿宋"/>
                <w:b/>
                <w:bCs/>
                <w:color w:val="auto"/>
                <w:sz w:val="24"/>
                <w:highlight w:val="none"/>
              </w:rPr>
            </w:pPr>
          </w:p>
        </w:tc>
        <w:tc>
          <w:tcPr>
            <w:tcW w:w="1632" w:type="dxa"/>
            <w:vAlign w:val="center"/>
          </w:tcPr>
          <w:p w14:paraId="14741038">
            <w:pPr>
              <w:jc w:val="center"/>
              <w:rPr>
                <w:rFonts w:hint="eastAsia" w:ascii="仿宋" w:hAnsi="仿宋" w:eastAsia="仿宋" w:cs="仿宋"/>
                <w:b/>
                <w:bCs/>
                <w:color w:val="auto"/>
                <w:sz w:val="24"/>
                <w:highlight w:val="none"/>
              </w:rPr>
            </w:pPr>
          </w:p>
        </w:tc>
      </w:tr>
      <w:tr w14:paraId="7D35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9" w:type="dxa"/>
            <w:vAlign w:val="center"/>
          </w:tcPr>
          <w:p w14:paraId="374AA02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p>
        </w:tc>
        <w:tc>
          <w:tcPr>
            <w:tcW w:w="3213" w:type="dxa"/>
            <w:vAlign w:val="center"/>
          </w:tcPr>
          <w:p w14:paraId="6A84CB0B">
            <w:pPr>
              <w:jc w:val="center"/>
              <w:rPr>
                <w:rFonts w:hint="eastAsia" w:ascii="仿宋" w:hAnsi="仿宋" w:eastAsia="仿宋" w:cs="仿宋"/>
                <w:b/>
                <w:bCs/>
                <w:color w:val="auto"/>
                <w:sz w:val="24"/>
                <w:highlight w:val="none"/>
              </w:rPr>
            </w:pPr>
          </w:p>
        </w:tc>
        <w:tc>
          <w:tcPr>
            <w:tcW w:w="3400" w:type="dxa"/>
            <w:vAlign w:val="center"/>
          </w:tcPr>
          <w:p w14:paraId="043DD8A5">
            <w:pPr>
              <w:jc w:val="center"/>
              <w:rPr>
                <w:rFonts w:hint="eastAsia" w:ascii="仿宋" w:hAnsi="仿宋" w:eastAsia="仿宋" w:cs="仿宋"/>
                <w:b/>
                <w:bCs/>
                <w:color w:val="auto"/>
                <w:sz w:val="24"/>
                <w:highlight w:val="none"/>
              </w:rPr>
            </w:pPr>
          </w:p>
        </w:tc>
        <w:tc>
          <w:tcPr>
            <w:tcW w:w="1632" w:type="dxa"/>
            <w:vAlign w:val="center"/>
          </w:tcPr>
          <w:p w14:paraId="16972E9D">
            <w:pPr>
              <w:jc w:val="center"/>
              <w:rPr>
                <w:rFonts w:hint="eastAsia" w:ascii="仿宋" w:hAnsi="仿宋" w:eastAsia="仿宋" w:cs="仿宋"/>
                <w:b/>
                <w:bCs/>
                <w:color w:val="auto"/>
                <w:sz w:val="24"/>
                <w:highlight w:val="none"/>
              </w:rPr>
            </w:pPr>
          </w:p>
        </w:tc>
      </w:tr>
    </w:tbl>
    <w:p w14:paraId="174C9591">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供应商保证：除商务技术偏离表列出的偏离外，供应商响应交易文件的全部要求</w:t>
      </w:r>
    </w:p>
    <w:p w14:paraId="17704AC0">
      <w:pPr>
        <w:jc w:val="center"/>
        <w:rPr>
          <w:rFonts w:hint="eastAsia" w:ascii="仿宋" w:hAnsi="仿宋" w:eastAsia="仿宋" w:cs="仿宋"/>
          <w:b/>
          <w:color w:val="auto"/>
          <w:kern w:val="0"/>
          <w:sz w:val="32"/>
          <w:szCs w:val="32"/>
          <w:highlight w:val="none"/>
        </w:rPr>
      </w:pPr>
    </w:p>
    <w:p w14:paraId="2069281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FBA80AC">
      <w:pPr>
        <w:ind w:firstLine="1911" w:firstLineChars="595"/>
        <w:rPr>
          <w:rFonts w:hint="eastAsia" w:ascii="仿宋" w:hAnsi="仿宋" w:eastAsia="仿宋" w:cs="仿宋"/>
          <w:b/>
          <w:bCs/>
          <w:color w:val="auto"/>
          <w:sz w:val="32"/>
          <w:szCs w:val="32"/>
          <w:highlight w:val="none"/>
        </w:rPr>
      </w:pPr>
    </w:p>
    <w:p w14:paraId="64376411">
      <w:pPr>
        <w:ind w:firstLine="1911" w:firstLineChars="595"/>
        <w:rPr>
          <w:rFonts w:hint="eastAsia" w:ascii="仿宋" w:hAnsi="仿宋" w:eastAsia="仿宋" w:cs="仿宋"/>
          <w:b/>
          <w:bCs/>
          <w:color w:val="auto"/>
          <w:sz w:val="32"/>
          <w:szCs w:val="32"/>
          <w:highlight w:val="none"/>
        </w:rPr>
      </w:pPr>
    </w:p>
    <w:p w14:paraId="0F6B8E2C">
      <w:pPr>
        <w:ind w:firstLine="1911" w:firstLineChars="595"/>
        <w:rPr>
          <w:rFonts w:hint="eastAsia" w:ascii="仿宋" w:hAnsi="仿宋" w:eastAsia="仿宋" w:cs="仿宋"/>
          <w:b/>
          <w:bCs/>
          <w:color w:val="auto"/>
          <w:sz w:val="32"/>
          <w:szCs w:val="32"/>
          <w:highlight w:val="none"/>
        </w:rPr>
      </w:pPr>
    </w:p>
    <w:p w14:paraId="6E7CD931">
      <w:pPr>
        <w:ind w:firstLine="1911" w:firstLineChars="595"/>
        <w:rPr>
          <w:rFonts w:hint="eastAsia" w:ascii="仿宋" w:hAnsi="仿宋" w:eastAsia="仿宋" w:cs="仿宋"/>
          <w:b/>
          <w:bCs/>
          <w:color w:val="auto"/>
          <w:sz w:val="32"/>
          <w:szCs w:val="32"/>
          <w:highlight w:val="none"/>
        </w:rPr>
      </w:pPr>
    </w:p>
    <w:p w14:paraId="7FF059AE">
      <w:pPr>
        <w:ind w:firstLine="1911" w:firstLineChars="595"/>
        <w:rPr>
          <w:rFonts w:hint="eastAsia" w:ascii="仿宋" w:hAnsi="仿宋" w:eastAsia="仿宋" w:cs="仿宋"/>
          <w:b/>
          <w:bCs/>
          <w:color w:val="auto"/>
          <w:sz w:val="32"/>
          <w:szCs w:val="32"/>
          <w:highlight w:val="none"/>
        </w:rPr>
      </w:pPr>
    </w:p>
    <w:p w14:paraId="2F7E0CA0">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50E30B1E">
      <w:pPr>
        <w:snapToGrid w:val="0"/>
        <w:spacing w:line="360" w:lineRule="auto"/>
        <w:jc w:val="center"/>
        <w:outlineLvl w:val="0"/>
        <w:rPr>
          <w:rFonts w:hint="eastAsia" w:ascii="仿宋" w:hAnsi="仿宋" w:eastAsia="仿宋" w:cs="仿宋"/>
          <w:b/>
          <w:color w:val="auto"/>
          <w:kern w:val="0"/>
          <w:sz w:val="32"/>
          <w:szCs w:val="32"/>
          <w:highlight w:val="none"/>
          <w:lang w:val="zh-CN"/>
        </w:rPr>
      </w:pPr>
      <w:bookmarkStart w:id="477" w:name="_Toc32087"/>
      <w:bookmarkStart w:id="478" w:name="_Toc1330"/>
      <w:bookmarkStart w:id="479" w:name="_Toc32758"/>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、采购供应商廉洁自律承诺书</w:t>
      </w:r>
      <w:bookmarkEnd w:id="477"/>
      <w:bookmarkEnd w:id="478"/>
      <w:bookmarkEnd w:id="479"/>
    </w:p>
    <w:p w14:paraId="535198F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杭州市萧山区中医院医共体总院</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浙江华夏工程管理有限公司</w:t>
      </w:r>
      <w:r>
        <w:rPr>
          <w:rFonts w:hint="eastAsia" w:ascii="仿宋" w:hAnsi="仿宋" w:eastAsia="仿宋" w:cs="仿宋"/>
          <w:color w:val="auto"/>
          <w:kern w:val="0"/>
          <w:sz w:val="24"/>
          <w:highlight w:val="none"/>
          <w:lang w:val="zh-CN"/>
        </w:rPr>
        <w:t>：</w:t>
      </w:r>
    </w:p>
    <w:p w14:paraId="36C2FEC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项目采购要求参加响应。在这次响应过程中和成交后，我们将严格遵守国家法律法规要求，并郑重承诺：</w:t>
      </w:r>
    </w:p>
    <w:p w14:paraId="21C58C4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87A63C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C98A20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144DB7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356B173">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1BEFA90E">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01E8290">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FBC99E6">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有权立即取消我单位响应、成交或在建项目的建设资格，有权拒绝我单位在一定时期内进入你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7B3CAA9C">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CCB558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810B28C">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6B3BD2B">
      <w:pPr>
        <w:autoSpaceDE w:val="0"/>
        <w:autoSpaceDN w:val="0"/>
        <w:spacing w:line="360" w:lineRule="auto"/>
        <w:ind w:right="112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3D76D2F">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4874F52">
      <w:pPr>
        <w:spacing w:line="360" w:lineRule="auto"/>
        <w:jc w:val="center"/>
        <w:rPr>
          <w:rFonts w:hint="eastAsia" w:ascii="仿宋" w:hAnsi="仿宋" w:eastAsia="仿宋" w:cs="仿宋"/>
          <w:b/>
          <w:bCs/>
          <w:color w:val="auto"/>
          <w:sz w:val="24"/>
          <w:highlight w:val="none"/>
        </w:rPr>
      </w:pPr>
    </w:p>
    <w:p w14:paraId="399ED1D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86FFC63">
      <w:pPr>
        <w:spacing w:line="360" w:lineRule="auto"/>
        <w:jc w:val="center"/>
        <w:rPr>
          <w:rFonts w:hint="eastAsia" w:ascii="仿宋" w:hAnsi="仿宋" w:eastAsia="仿宋" w:cs="仿宋"/>
          <w:b/>
          <w:bCs/>
          <w:color w:val="auto"/>
          <w:sz w:val="24"/>
          <w:highlight w:val="none"/>
        </w:rPr>
        <w:sectPr>
          <w:pgSz w:w="11905" w:h="16838"/>
          <w:pgMar w:top="1417" w:right="1417" w:bottom="1417" w:left="1417" w:header="851" w:footer="850" w:gutter="0"/>
          <w:pgBorders>
            <w:top w:val="none" w:sz="0" w:space="0"/>
            <w:left w:val="none" w:sz="0" w:space="0"/>
            <w:bottom w:val="none" w:sz="0" w:space="0"/>
            <w:right w:val="none" w:sz="0" w:space="0"/>
          </w:pgBorders>
          <w:cols w:space="0" w:num="1"/>
          <w:docGrid w:linePitch="312" w:charSpace="0"/>
        </w:sectPr>
      </w:pPr>
    </w:p>
    <w:p w14:paraId="6B287EAD">
      <w:pPr>
        <w:spacing w:line="480" w:lineRule="auto"/>
        <w:jc w:val="center"/>
        <w:rPr>
          <w:rFonts w:hint="eastAsia" w:ascii="仿宋" w:hAnsi="仿宋" w:eastAsia="仿宋" w:cs="仿宋"/>
          <w:color w:val="auto"/>
          <w:sz w:val="36"/>
          <w:szCs w:val="36"/>
          <w:highlight w:val="none"/>
        </w:rPr>
      </w:pPr>
      <w:bookmarkStart w:id="480" w:name="_Toc8063"/>
      <w:r>
        <w:rPr>
          <w:rFonts w:hint="eastAsia" w:ascii="仿宋" w:hAnsi="仿宋" w:eastAsia="仿宋" w:cs="仿宋"/>
          <w:color w:val="auto"/>
          <w:sz w:val="36"/>
          <w:szCs w:val="36"/>
          <w:highlight w:val="none"/>
        </w:rPr>
        <w:t>报价文件部分</w:t>
      </w:r>
      <w:bookmarkEnd w:id="480"/>
    </w:p>
    <w:p w14:paraId="301387AC">
      <w:pPr>
        <w:spacing w:line="480" w:lineRule="auto"/>
        <w:jc w:val="center"/>
        <w:rPr>
          <w:rFonts w:hint="eastAsia" w:ascii="仿宋" w:hAnsi="仿宋" w:eastAsia="仿宋" w:cs="仿宋"/>
          <w:color w:val="auto"/>
          <w:sz w:val="36"/>
          <w:szCs w:val="36"/>
          <w:highlight w:val="none"/>
        </w:rPr>
      </w:pPr>
      <w:bookmarkStart w:id="481" w:name="_Toc17273"/>
      <w:r>
        <w:rPr>
          <w:rFonts w:hint="eastAsia" w:ascii="仿宋" w:hAnsi="仿宋" w:eastAsia="仿宋" w:cs="仿宋"/>
          <w:color w:val="auto"/>
          <w:sz w:val="36"/>
          <w:szCs w:val="36"/>
          <w:highlight w:val="none"/>
        </w:rPr>
        <w:t>目录</w:t>
      </w:r>
      <w:bookmarkEnd w:id="481"/>
    </w:p>
    <w:p w14:paraId="15C6D555">
      <w:pPr>
        <w:numPr>
          <w:ilvl w:val="0"/>
          <w:numId w:val="5"/>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开标</w:t>
      </w:r>
      <w:r>
        <w:rPr>
          <w:rFonts w:hint="eastAsia" w:ascii="仿宋" w:hAnsi="仿宋" w:eastAsia="仿宋" w:cs="仿宋"/>
          <w:color w:val="auto"/>
          <w:sz w:val="24"/>
          <w:highlight w:val="none"/>
        </w:rPr>
        <w:t>一览表（报价表）………………………………………………………（页码）</w:t>
      </w:r>
    </w:p>
    <w:p w14:paraId="2B1A313F">
      <w:pPr>
        <w:snapToGrid w:val="0"/>
        <w:spacing w:line="360" w:lineRule="auto"/>
        <w:ind w:right="480"/>
        <w:jc w:val="center"/>
        <w:rPr>
          <w:rFonts w:hint="eastAsia" w:ascii="仿宋" w:hAnsi="仿宋" w:eastAsia="仿宋" w:cs="仿宋"/>
          <w:b/>
          <w:color w:val="auto"/>
          <w:kern w:val="0"/>
          <w:sz w:val="32"/>
          <w:szCs w:val="32"/>
          <w:highlight w:val="none"/>
        </w:rPr>
      </w:pPr>
    </w:p>
    <w:p w14:paraId="2AC39008">
      <w:pPr>
        <w:snapToGrid w:val="0"/>
        <w:spacing w:line="360" w:lineRule="auto"/>
        <w:ind w:right="480"/>
        <w:jc w:val="center"/>
        <w:rPr>
          <w:rFonts w:hint="eastAsia" w:ascii="仿宋" w:hAnsi="仿宋" w:eastAsia="仿宋" w:cs="仿宋"/>
          <w:b/>
          <w:color w:val="auto"/>
          <w:kern w:val="0"/>
          <w:sz w:val="32"/>
          <w:szCs w:val="32"/>
          <w:highlight w:val="none"/>
        </w:rPr>
      </w:pPr>
    </w:p>
    <w:p w14:paraId="02A75D1B">
      <w:pPr>
        <w:snapToGrid w:val="0"/>
        <w:spacing w:line="360" w:lineRule="auto"/>
        <w:ind w:right="480"/>
        <w:jc w:val="center"/>
        <w:rPr>
          <w:rFonts w:hint="eastAsia" w:ascii="仿宋" w:hAnsi="仿宋" w:eastAsia="仿宋" w:cs="仿宋"/>
          <w:b/>
          <w:color w:val="auto"/>
          <w:kern w:val="0"/>
          <w:sz w:val="32"/>
          <w:szCs w:val="32"/>
          <w:highlight w:val="none"/>
        </w:rPr>
      </w:pPr>
    </w:p>
    <w:p w14:paraId="2F9751AA">
      <w:pPr>
        <w:snapToGrid w:val="0"/>
        <w:spacing w:line="360" w:lineRule="auto"/>
        <w:ind w:right="480"/>
        <w:jc w:val="center"/>
        <w:rPr>
          <w:rFonts w:hint="eastAsia" w:ascii="仿宋" w:hAnsi="仿宋" w:eastAsia="仿宋" w:cs="仿宋"/>
          <w:b/>
          <w:color w:val="auto"/>
          <w:kern w:val="0"/>
          <w:sz w:val="32"/>
          <w:szCs w:val="32"/>
          <w:highlight w:val="none"/>
        </w:rPr>
      </w:pPr>
    </w:p>
    <w:p w14:paraId="756E614C">
      <w:pPr>
        <w:snapToGrid w:val="0"/>
        <w:spacing w:line="360" w:lineRule="auto"/>
        <w:ind w:right="480"/>
        <w:jc w:val="center"/>
        <w:rPr>
          <w:rFonts w:hint="eastAsia" w:ascii="仿宋" w:hAnsi="仿宋" w:eastAsia="仿宋" w:cs="仿宋"/>
          <w:b/>
          <w:color w:val="auto"/>
          <w:kern w:val="0"/>
          <w:sz w:val="32"/>
          <w:szCs w:val="32"/>
          <w:highlight w:val="none"/>
        </w:rPr>
      </w:pPr>
    </w:p>
    <w:p w14:paraId="14672F96">
      <w:pPr>
        <w:snapToGrid w:val="0"/>
        <w:spacing w:line="360" w:lineRule="auto"/>
        <w:ind w:right="480"/>
        <w:jc w:val="center"/>
        <w:rPr>
          <w:rFonts w:hint="eastAsia" w:ascii="仿宋" w:hAnsi="仿宋" w:eastAsia="仿宋" w:cs="仿宋"/>
          <w:b/>
          <w:color w:val="auto"/>
          <w:kern w:val="0"/>
          <w:sz w:val="32"/>
          <w:szCs w:val="32"/>
          <w:highlight w:val="none"/>
        </w:rPr>
      </w:pPr>
    </w:p>
    <w:p w14:paraId="3116CDE0">
      <w:pPr>
        <w:snapToGrid w:val="0"/>
        <w:spacing w:line="360" w:lineRule="auto"/>
        <w:ind w:right="480"/>
        <w:jc w:val="center"/>
        <w:rPr>
          <w:rFonts w:hint="eastAsia" w:ascii="仿宋" w:hAnsi="仿宋" w:eastAsia="仿宋" w:cs="仿宋"/>
          <w:b/>
          <w:color w:val="auto"/>
          <w:kern w:val="0"/>
          <w:sz w:val="32"/>
          <w:szCs w:val="32"/>
          <w:highlight w:val="none"/>
        </w:rPr>
      </w:pPr>
    </w:p>
    <w:p w14:paraId="10398CC9">
      <w:pPr>
        <w:snapToGrid w:val="0"/>
        <w:spacing w:line="360" w:lineRule="auto"/>
        <w:ind w:right="480"/>
        <w:jc w:val="center"/>
        <w:rPr>
          <w:rFonts w:hint="eastAsia" w:ascii="仿宋" w:hAnsi="仿宋" w:eastAsia="仿宋" w:cs="仿宋"/>
          <w:b/>
          <w:color w:val="auto"/>
          <w:kern w:val="0"/>
          <w:sz w:val="32"/>
          <w:szCs w:val="32"/>
          <w:highlight w:val="none"/>
        </w:rPr>
      </w:pPr>
    </w:p>
    <w:p w14:paraId="41D4AB48">
      <w:pPr>
        <w:snapToGrid w:val="0"/>
        <w:spacing w:line="360" w:lineRule="auto"/>
        <w:ind w:right="480"/>
        <w:jc w:val="center"/>
        <w:rPr>
          <w:rFonts w:hint="eastAsia" w:ascii="仿宋" w:hAnsi="仿宋" w:eastAsia="仿宋" w:cs="仿宋"/>
          <w:b/>
          <w:color w:val="auto"/>
          <w:kern w:val="0"/>
          <w:sz w:val="32"/>
          <w:szCs w:val="32"/>
          <w:highlight w:val="none"/>
        </w:rPr>
      </w:pPr>
    </w:p>
    <w:p w14:paraId="1050A569">
      <w:pPr>
        <w:snapToGrid w:val="0"/>
        <w:spacing w:line="360" w:lineRule="auto"/>
        <w:ind w:right="480"/>
        <w:jc w:val="center"/>
        <w:rPr>
          <w:rFonts w:hint="eastAsia" w:ascii="仿宋" w:hAnsi="仿宋" w:eastAsia="仿宋" w:cs="仿宋"/>
          <w:b/>
          <w:color w:val="auto"/>
          <w:kern w:val="0"/>
          <w:sz w:val="32"/>
          <w:szCs w:val="32"/>
          <w:highlight w:val="none"/>
        </w:rPr>
      </w:pPr>
    </w:p>
    <w:p w14:paraId="3108C198">
      <w:pPr>
        <w:snapToGrid w:val="0"/>
        <w:spacing w:line="360" w:lineRule="auto"/>
        <w:ind w:right="480"/>
        <w:jc w:val="center"/>
        <w:rPr>
          <w:rFonts w:hint="eastAsia" w:ascii="仿宋" w:hAnsi="仿宋" w:eastAsia="仿宋" w:cs="仿宋"/>
          <w:b/>
          <w:color w:val="auto"/>
          <w:kern w:val="0"/>
          <w:sz w:val="32"/>
          <w:szCs w:val="32"/>
          <w:highlight w:val="none"/>
        </w:rPr>
      </w:pPr>
    </w:p>
    <w:p w14:paraId="70536FC9">
      <w:pPr>
        <w:snapToGrid w:val="0"/>
        <w:spacing w:line="360" w:lineRule="auto"/>
        <w:ind w:right="480"/>
        <w:jc w:val="center"/>
        <w:rPr>
          <w:rFonts w:hint="eastAsia" w:ascii="仿宋" w:hAnsi="仿宋" w:eastAsia="仿宋" w:cs="仿宋"/>
          <w:b/>
          <w:color w:val="auto"/>
          <w:kern w:val="0"/>
          <w:sz w:val="32"/>
          <w:szCs w:val="32"/>
          <w:highlight w:val="none"/>
        </w:rPr>
      </w:pPr>
    </w:p>
    <w:p w14:paraId="393B663E">
      <w:pPr>
        <w:snapToGrid w:val="0"/>
        <w:spacing w:line="360" w:lineRule="auto"/>
        <w:ind w:right="480"/>
        <w:jc w:val="center"/>
        <w:rPr>
          <w:rFonts w:hint="eastAsia" w:ascii="仿宋" w:hAnsi="仿宋" w:eastAsia="仿宋" w:cs="仿宋"/>
          <w:b/>
          <w:color w:val="auto"/>
          <w:kern w:val="0"/>
          <w:sz w:val="32"/>
          <w:szCs w:val="32"/>
          <w:highlight w:val="none"/>
        </w:rPr>
      </w:pPr>
    </w:p>
    <w:p w14:paraId="648019EF">
      <w:pPr>
        <w:snapToGrid w:val="0"/>
        <w:spacing w:line="360" w:lineRule="auto"/>
        <w:ind w:right="480"/>
        <w:jc w:val="center"/>
        <w:rPr>
          <w:rFonts w:hint="eastAsia" w:ascii="仿宋" w:hAnsi="仿宋" w:eastAsia="仿宋" w:cs="仿宋"/>
          <w:b/>
          <w:color w:val="auto"/>
          <w:kern w:val="0"/>
          <w:sz w:val="32"/>
          <w:szCs w:val="32"/>
          <w:highlight w:val="none"/>
        </w:rPr>
      </w:pPr>
    </w:p>
    <w:p w14:paraId="7C6D2B9A">
      <w:pPr>
        <w:snapToGrid w:val="0"/>
        <w:spacing w:line="360" w:lineRule="auto"/>
        <w:ind w:right="480"/>
        <w:jc w:val="center"/>
        <w:rPr>
          <w:rFonts w:hint="eastAsia" w:ascii="仿宋" w:hAnsi="仿宋" w:eastAsia="仿宋" w:cs="仿宋"/>
          <w:b/>
          <w:color w:val="auto"/>
          <w:kern w:val="0"/>
          <w:sz w:val="32"/>
          <w:szCs w:val="32"/>
          <w:highlight w:val="none"/>
        </w:rPr>
      </w:pPr>
    </w:p>
    <w:p w14:paraId="5E8710A8">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2" w:type="first"/>
          <w:footerReference r:id="rId14" w:type="first"/>
          <w:footerReference r:id="rId13" w:type="default"/>
          <w:pgSz w:w="11905" w:h="16838"/>
          <w:pgMar w:top="1417" w:right="1417" w:bottom="1417" w:left="1417" w:header="851" w:footer="850" w:gutter="0"/>
          <w:pgBorders>
            <w:top w:val="none" w:sz="0" w:space="0"/>
            <w:left w:val="none" w:sz="0" w:space="0"/>
            <w:bottom w:val="none" w:sz="0" w:space="0"/>
            <w:right w:val="none" w:sz="0" w:space="0"/>
          </w:pgBorders>
          <w:cols w:space="0" w:num="1"/>
          <w:docGrid w:linePitch="312" w:charSpace="0"/>
        </w:sectPr>
      </w:pPr>
    </w:p>
    <w:p w14:paraId="5431ED87">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0"/>
          <w:sz w:val="32"/>
          <w:szCs w:val="32"/>
          <w:highlight w:val="none"/>
          <w:lang w:val="zh-CN"/>
        </w:rPr>
      </w:pPr>
      <w:bookmarkStart w:id="482" w:name="_Toc16717"/>
      <w:bookmarkStart w:id="483" w:name="_Toc23381"/>
      <w:bookmarkStart w:id="484" w:name="_Toc15325"/>
      <w:bookmarkStart w:id="485" w:name="_Toc2087"/>
      <w:r>
        <w:rPr>
          <w:rFonts w:hint="eastAsia" w:ascii="仿宋" w:hAnsi="仿宋" w:eastAsia="仿宋" w:cs="仿宋"/>
          <w:color w:val="auto"/>
          <w:kern w:val="0"/>
          <w:sz w:val="32"/>
          <w:szCs w:val="32"/>
          <w:highlight w:val="none"/>
          <w:lang w:val="zh-CN"/>
        </w:rPr>
        <w:t>一、开标一览表（报价表）</w:t>
      </w:r>
      <w:bookmarkEnd w:id="482"/>
      <w:bookmarkEnd w:id="483"/>
      <w:bookmarkEnd w:id="484"/>
      <w:bookmarkEnd w:id="485"/>
    </w:p>
    <w:p w14:paraId="06D7BBE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杭州市萧山区中医院医共体总院</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浙江华夏工程管理有限公司</w:t>
      </w:r>
      <w:r>
        <w:rPr>
          <w:rFonts w:hint="eastAsia" w:ascii="仿宋" w:hAnsi="仿宋" w:eastAsia="仿宋" w:cs="仿宋"/>
          <w:color w:val="auto"/>
          <w:kern w:val="0"/>
          <w:sz w:val="24"/>
          <w:highlight w:val="none"/>
          <w:lang w:val="zh-CN"/>
        </w:rPr>
        <w:t>：</w:t>
      </w:r>
    </w:p>
    <w:p w14:paraId="61DF7C17">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按你方交易文件要求，我们，本响应文件签字方，谨此向你方发出要约如下：如你方接受本响应，我方承诺按照如下开标一览表（报价表）的价格完成</w:t>
      </w:r>
      <w:r>
        <w:rPr>
          <w:rFonts w:hint="eastAsia" w:ascii="仿宋" w:hAnsi="仿宋" w:eastAsia="仿宋" w:cs="仿宋"/>
          <w:color w:val="auto"/>
          <w:sz w:val="24"/>
          <w:highlight w:val="none"/>
          <w:lang w:eastAsia="zh-CN"/>
        </w:rPr>
        <w:t>萧山区中医院中心机房设备维保项目</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54D93B71">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B32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5D59A1B0">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992" w:type="dxa"/>
            <w:vAlign w:val="center"/>
          </w:tcPr>
          <w:p w14:paraId="52A3DF47">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268" w:type="dxa"/>
          </w:tcPr>
          <w:p w14:paraId="009B7E18">
            <w:pPr>
              <w:spacing w:line="360" w:lineRule="auto"/>
              <w:jc w:val="center"/>
              <w:rPr>
                <w:rFonts w:hint="eastAsia" w:ascii="仿宋" w:hAnsi="仿宋" w:eastAsia="仿宋" w:cs="仿宋"/>
                <w:b/>
                <w:sz w:val="24"/>
              </w:rPr>
            </w:pPr>
          </w:p>
          <w:p w14:paraId="0817D417">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2410" w:type="dxa"/>
            <w:vAlign w:val="center"/>
          </w:tcPr>
          <w:p w14:paraId="4E115758">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268" w:type="dxa"/>
            <w:vAlign w:val="center"/>
          </w:tcPr>
          <w:p w14:paraId="00B67310">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2126" w:type="dxa"/>
            <w:vAlign w:val="center"/>
          </w:tcPr>
          <w:p w14:paraId="4AB3AE05">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2127" w:type="dxa"/>
          </w:tcPr>
          <w:p w14:paraId="0873D5B0">
            <w:pPr>
              <w:spacing w:line="360" w:lineRule="auto"/>
              <w:jc w:val="center"/>
              <w:rPr>
                <w:rFonts w:hint="eastAsia" w:ascii="仿宋" w:hAnsi="仿宋" w:eastAsia="仿宋" w:cs="仿宋"/>
                <w:b/>
                <w:sz w:val="24"/>
              </w:rPr>
            </w:pPr>
          </w:p>
          <w:p w14:paraId="5E4703FA">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2126" w:type="dxa"/>
            <w:vAlign w:val="center"/>
          </w:tcPr>
          <w:p w14:paraId="6F2DEFA5">
            <w:pPr>
              <w:spacing w:line="360" w:lineRule="auto"/>
              <w:jc w:val="center"/>
              <w:rPr>
                <w:rFonts w:hint="eastAsia" w:ascii="仿宋" w:hAnsi="仿宋" w:eastAsia="仿宋" w:cs="仿宋"/>
                <w:b/>
                <w:sz w:val="24"/>
              </w:rPr>
            </w:pPr>
          </w:p>
          <w:p w14:paraId="15D9D33D">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097E1D46">
            <w:pPr>
              <w:spacing w:line="360" w:lineRule="auto"/>
              <w:jc w:val="center"/>
              <w:rPr>
                <w:rFonts w:hint="eastAsia" w:ascii="仿宋" w:hAnsi="仿宋" w:eastAsia="仿宋" w:cs="仿宋"/>
                <w:b/>
                <w:sz w:val="24"/>
              </w:rPr>
            </w:pPr>
          </w:p>
        </w:tc>
      </w:tr>
      <w:tr w14:paraId="4C93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6B0FC990">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992" w:type="dxa"/>
            <w:vAlign w:val="center"/>
          </w:tcPr>
          <w:p w14:paraId="20F17713">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14:paraId="583F82DD">
            <w:pPr>
              <w:snapToGrid w:val="0"/>
              <w:spacing w:line="360" w:lineRule="auto"/>
              <w:jc w:val="center"/>
              <w:rPr>
                <w:rFonts w:hint="eastAsia" w:ascii="仿宋" w:hAnsi="仿宋" w:eastAsia="仿宋" w:cs="仿宋"/>
                <w:sz w:val="24"/>
              </w:rPr>
            </w:pPr>
          </w:p>
        </w:tc>
        <w:tc>
          <w:tcPr>
            <w:tcW w:w="2410" w:type="dxa"/>
            <w:vAlign w:val="center"/>
          </w:tcPr>
          <w:p w14:paraId="61F4406F">
            <w:pPr>
              <w:snapToGrid w:val="0"/>
              <w:spacing w:line="360" w:lineRule="auto"/>
              <w:jc w:val="center"/>
              <w:rPr>
                <w:rFonts w:hint="eastAsia" w:ascii="仿宋" w:hAnsi="仿宋" w:eastAsia="仿宋" w:cs="仿宋"/>
                <w:sz w:val="24"/>
              </w:rPr>
            </w:pPr>
          </w:p>
        </w:tc>
        <w:tc>
          <w:tcPr>
            <w:tcW w:w="2268" w:type="dxa"/>
            <w:vAlign w:val="center"/>
          </w:tcPr>
          <w:p w14:paraId="59209B79">
            <w:pPr>
              <w:snapToGrid w:val="0"/>
              <w:spacing w:line="360" w:lineRule="auto"/>
              <w:jc w:val="center"/>
              <w:rPr>
                <w:rFonts w:hint="eastAsia" w:ascii="仿宋" w:hAnsi="仿宋" w:eastAsia="仿宋" w:cs="仿宋"/>
                <w:sz w:val="24"/>
              </w:rPr>
            </w:pPr>
          </w:p>
        </w:tc>
        <w:tc>
          <w:tcPr>
            <w:tcW w:w="2126" w:type="dxa"/>
            <w:vAlign w:val="center"/>
          </w:tcPr>
          <w:p w14:paraId="10F91692">
            <w:pPr>
              <w:spacing w:line="360" w:lineRule="auto"/>
              <w:jc w:val="center"/>
              <w:rPr>
                <w:rFonts w:hint="eastAsia" w:ascii="仿宋" w:hAnsi="仿宋" w:eastAsia="仿宋" w:cs="仿宋"/>
                <w:sz w:val="24"/>
              </w:rPr>
            </w:pPr>
          </w:p>
        </w:tc>
        <w:tc>
          <w:tcPr>
            <w:tcW w:w="2127" w:type="dxa"/>
          </w:tcPr>
          <w:p w14:paraId="5567D5BB">
            <w:pPr>
              <w:spacing w:line="360" w:lineRule="auto"/>
              <w:jc w:val="center"/>
              <w:rPr>
                <w:rFonts w:hint="eastAsia" w:ascii="仿宋" w:hAnsi="仿宋" w:eastAsia="仿宋" w:cs="仿宋"/>
                <w:sz w:val="24"/>
              </w:rPr>
            </w:pPr>
          </w:p>
        </w:tc>
        <w:tc>
          <w:tcPr>
            <w:tcW w:w="2126" w:type="dxa"/>
            <w:vAlign w:val="center"/>
          </w:tcPr>
          <w:p w14:paraId="192A5E98">
            <w:pPr>
              <w:spacing w:line="360" w:lineRule="auto"/>
              <w:jc w:val="center"/>
              <w:rPr>
                <w:rFonts w:hint="eastAsia" w:ascii="仿宋" w:hAnsi="仿宋" w:eastAsia="仿宋" w:cs="仿宋"/>
                <w:sz w:val="24"/>
              </w:rPr>
            </w:pPr>
          </w:p>
        </w:tc>
      </w:tr>
      <w:tr w14:paraId="3911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BB38F4B">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992" w:type="dxa"/>
            <w:vAlign w:val="center"/>
          </w:tcPr>
          <w:p w14:paraId="1AB0C274">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14:paraId="7C0024A4">
            <w:pPr>
              <w:snapToGrid w:val="0"/>
              <w:spacing w:line="360" w:lineRule="auto"/>
              <w:jc w:val="center"/>
              <w:rPr>
                <w:rFonts w:hint="eastAsia" w:ascii="仿宋" w:hAnsi="仿宋" w:eastAsia="仿宋" w:cs="仿宋"/>
                <w:sz w:val="24"/>
              </w:rPr>
            </w:pPr>
          </w:p>
        </w:tc>
        <w:tc>
          <w:tcPr>
            <w:tcW w:w="2410" w:type="dxa"/>
            <w:vAlign w:val="center"/>
          </w:tcPr>
          <w:p w14:paraId="3788BD75">
            <w:pPr>
              <w:snapToGrid w:val="0"/>
              <w:spacing w:line="360" w:lineRule="auto"/>
              <w:jc w:val="center"/>
              <w:rPr>
                <w:rFonts w:hint="eastAsia" w:ascii="仿宋" w:hAnsi="仿宋" w:eastAsia="仿宋" w:cs="仿宋"/>
                <w:sz w:val="24"/>
              </w:rPr>
            </w:pPr>
          </w:p>
        </w:tc>
        <w:tc>
          <w:tcPr>
            <w:tcW w:w="2268" w:type="dxa"/>
            <w:vAlign w:val="center"/>
          </w:tcPr>
          <w:p w14:paraId="688B80B9">
            <w:pPr>
              <w:snapToGrid w:val="0"/>
              <w:spacing w:line="360" w:lineRule="auto"/>
              <w:jc w:val="center"/>
              <w:rPr>
                <w:rFonts w:hint="eastAsia" w:ascii="仿宋" w:hAnsi="仿宋" w:eastAsia="仿宋" w:cs="仿宋"/>
                <w:sz w:val="24"/>
              </w:rPr>
            </w:pPr>
          </w:p>
        </w:tc>
        <w:tc>
          <w:tcPr>
            <w:tcW w:w="2126" w:type="dxa"/>
            <w:vAlign w:val="center"/>
          </w:tcPr>
          <w:p w14:paraId="4D1EDEAB">
            <w:pPr>
              <w:spacing w:line="360" w:lineRule="auto"/>
              <w:jc w:val="center"/>
              <w:rPr>
                <w:rFonts w:hint="eastAsia" w:ascii="仿宋" w:hAnsi="仿宋" w:eastAsia="仿宋" w:cs="仿宋"/>
                <w:sz w:val="24"/>
              </w:rPr>
            </w:pPr>
          </w:p>
        </w:tc>
        <w:tc>
          <w:tcPr>
            <w:tcW w:w="2127" w:type="dxa"/>
          </w:tcPr>
          <w:p w14:paraId="7B8FD7D3">
            <w:pPr>
              <w:spacing w:line="360" w:lineRule="auto"/>
              <w:jc w:val="center"/>
              <w:rPr>
                <w:rFonts w:hint="eastAsia" w:ascii="仿宋" w:hAnsi="仿宋" w:eastAsia="仿宋" w:cs="仿宋"/>
                <w:sz w:val="24"/>
              </w:rPr>
            </w:pPr>
          </w:p>
        </w:tc>
        <w:tc>
          <w:tcPr>
            <w:tcW w:w="2126" w:type="dxa"/>
            <w:vAlign w:val="center"/>
          </w:tcPr>
          <w:p w14:paraId="15D32EB9">
            <w:pPr>
              <w:spacing w:line="360" w:lineRule="auto"/>
              <w:jc w:val="center"/>
              <w:rPr>
                <w:rFonts w:hint="eastAsia" w:ascii="仿宋" w:hAnsi="仿宋" w:eastAsia="仿宋" w:cs="仿宋"/>
                <w:sz w:val="24"/>
              </w:rPr>
            </w:pPr>
          </w:p>
        </w:tc>
      </w:tr>
      <w:tr w14:paraId="07CD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7CA70037">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992" w:type="dxa"/>
            <w:vAlign w:val="center"/>
          </w:tcPr>
          <w:p w14:paraId="7D703CEC">
            <w:pPr>
              <w:snapToGrid w:val="0"/>
              <w:spacing w:line="360" w:lineRule="auto"/>
              <w:jc w:val="center"/>
              <w:rPr>
                <w:rFonts w:hint="eastAsia" w:ascii="仿宋" w:hAnsi="仿宋" w:eastAsia="仿宋" w:cs="仿宋"/>
                <w:sz w:val="24"/>
              </w:rPr>
            </w:pPr>
          </w:p>
        </w:tc>
        <w:tc>
          <w:tcPr>
            <w:tcW w:w="2268" w:type="dxa"/>
            <w:vAlign w:val="center"/>
          </w:tcPr>
          <w:p w14:paraId="120EAA9F">
            <w:pPr>
              <w:snapToGrid w:val="0"/>
              <w:spacing w:line="360" w:lineRule="auto"/>
              <w:jc w:val="center"/>
              <w:rPr>
                <w:rFonts w:hint="eastAsia" w:ascii="仿宋" w:hAnsi="仿宋" w:eastAsia="仿宋" w:cs="仿宋"/>
                <w:sz w:val="24"/>
              </w:rPr>
            </w:pPr>
          </w:p>
        </w:tc>
        <w:tc>
          <w:tcPr>
            <w:tcW w:w="2410" w:type="dxa"/>
            <w:vAlign w:val="center"/>
          </w:tcPr>
          <w:p w14:paraId="6BE150FA">
            <w:pPr>
              <w:snapToGrid w:val="0"/>
              <w:spacing w:line="360" w:lineRule="auto"/>
              <w:jc w:val="center"/>
              <w:rPr>
                <w:rFonts w:hint="eastAsia" w:ascii="仿宋" w:hAnsi="仿宋" w:eastAsia="仿宋" w:cs="仿宋"/>
                <w:sz w:val="24"/>
              </w:rPr>
            </w:pPr>
          </w:p>
        </w:tc>
        <w:tc>
          <w:tcPr>
            <w:tcW w:w="2268" w:type="dxa"/>
            <w:vAlign w:val="center"/>
          </w:tcPr>
          <w:p w14:paraId="71C161D3">
            <w:pPr>
              <w:snapToGrid w:val="0"/>
              <w:spacing w:line="360" w:lineRule="auto"/>
              <w:jc w:val="center"/>
              <w:rPr>
                <w:rFonts w:hint="eastAsia" w:ascii="仿宋" w:hAnsi="仿宋" w:eastAsia="仿宋" w:cs="仿宋"/>
                <w:sz w:val="24"/>
              </w:rPr>
            </w:pPr>
          </w:p>
        </w:tc>
        <w:tc>
          <w:tcPr>
            <w:tcW w:w="2126" w:type="dxa"/>
            <w:vAlign w:val="center"/>
          </w:tcPr>
          <w:p w14:paraId="35B8D20F">
            <w:pPr>
              <w:spacing w:line="360" w:lineRule="auto"/>
              <w:jc w:val="center"/>
              <w:rPr>
                <w:rFonts w:hint="eastAsia" w:ascii="仿宋" w:hAnsi="仿宋" w:eastAsia="仿宋" w:cs="仿宋"/>
                <w:sz w:val="24"/>
              </w:rPr>
            </w:pPr>
          </w:p>
        </w:tc>
        <w:tc>
          <w:tcPr>
            <w:tcW w:w="2127" w:type="dxa"/>
          </w:tcPr>
          <w:p w14:paraId="02BDE3C7">
            <w:pPr>
              <w:spacing w:line="360" w:lineRule="auto"/>
              <w:jc w:val="center"/>
              <w:rPr>
                <w:rFonts w:hint="eastAsia" w:ascii="仿宋" w:hAnsi="仿宋" w:eastAsia="仿宋" w:cs="仿宋"/>
                <w:sz w:val="24"/>
              </w:rPr>
            </w:pPr>
          </w:p>
        </w:tc>
        <w:tc>
          <w:tcPr>
            <w:tcW w:w="2126" w:type="dxa"/>
            <w:vAlign w:val="center"/>
          </w:tcPr>
          <w:p w14:paraId="59FB42D9">
            <w:pPr>
              <w:spacing w:line="360" w:lineRule="auto"/>
              <w:jc w:val="center"/>
              <w:rPr>
                <w:rFonts w:hint="eastAsia" w:ascii="仿宋" w:hAnsi="仿宋" w:eastAsia="仿宋" w:cs="仿宋"/>
                <w:sz w:val="24"/>
              </w:rPr>
            </w:pPr>
          </w:p>
        </w:tc>
      </w:tr>
      <w:tr w14:paraId="1750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1933462C">
            <w:pPr>
              <w:spacing w:line="360" w:lineRule="auto"/>
              <w:jc w:val="center"/>
              <w:rPr>
                <w:rFonts w:hint="eastAsia" w:ascii="仿宋" w:hAnsi="仿宋" w:eastAsia="仿宋" w:cs="仿宋"/>
                <w:sz w:val="24"/>
              </w:rPr>
            </w:pPr>
          </w:p>
        </w:tc>
        <w:tc>
          <w:tcPr>
            <w:tcW w:w="992" w:type="dxa"/>
            <w:vAlign w:val="center"/>
          </w:tcPr>
          <w:p w14:paraId="06104E91">
            <w:pPr>
              <w:snapToGrid w:val="0"/>
              <w:spacing w:line="360" w:lineRule="auto"/>
              <w:jc w:val="center"/>
              <w:rPr>
                <w:rFonts w:hint="eastAsia" w:ascii="仿宋" w:hAnsi="仿宋" w:eastAsia="仿宋" w:cs="仿宋"/>
                <w:sz w:val="24"/>
              </w:rPr>
            </w:pPr>
          </w:p>
        </w:tc>
        <w:tc>
          <w:tcPr>
            <w:tcW w:w="2268" w:type="dxa"/>
            <w:vAlign w:val="center"/>
          </w:tcPr>
          <w:p w14:paraId="703E1531">
            <w:pPr>
              <w:snapToGrid w:val="0"/>
              <w:spacing w:line="360" w:lineRule="auto"/>
              <w:jc w:val="center"/>
              <w:rPr>
                <w:rFonts w:hint="eastAsia" w:ascii="仿宋" w:hAnsi="仿宋" w:eastAsia="仿宋" w:cs="仿宋"/>
                <w:sz w:val="24"/>
              </w:rPr>
            </w:pPr>
          </w:p>
        </w:tc>
        <w:tc>
          <w:tcPr>
            <w:tcW w:w="2410" w:type="dxa"/>
            <w:vAlign w:val="center"/>
          </w:tcPr>
          <w:p w14:paraId="6680D388">
            <w:pPr>
              <w:snapToGrid w:val="0"/>
              <w:spacing w:line="360" w:lineRule="auto"/>
              <w:jc w:val="center"/>
              <w:rPr>
                <w:rFonts w:hint="eastAsia" w:ascii="仿宋" w:hAnsi="仿宋" w:eastAsia="仿宋" w:cs="仿宋"/>
                <w:sz w:val="24"/>
              </w:rPr>
            </w:pPr>
          </w:p>
        </w:tc>
        <w:tc>
          <w:tcPr>
            <w:tcW w:w="2268" w:type="dxa"/>
            <w:vAlign w:val="center"/>
          </w:tcPr>
          <w:p w14:paraId="0DF7ECC7">
            <w:pPr>
              <w:snapToGrid w:val="0"/>
              <w:spacing w:line="360" w:lineRule="auto"/>
              <w:jc w:val="center"/>
              <w:rPr>
                <w:rFonts w:hint="eastAsia" w:ascii="仿宋" w:hAnsi="仿宋" w:eastAsia="仿宋" w:cs="仿宋"/>
                <w:sz w:val="24"/>
              </w:rPr>
            </w:pPr>
          </w:p>
        </w:tc>
        <w:tc>
          <w:tcPr>
            <w:tcW w:w="2126" w:type="dxa"/>
            <w:vAlign w:val="center"/>
          </w:tcPr>
          <w:p w14:paraId="541220B3">
            <w:pPr>
              <w:spacing w:line="360" w:lineRule="auto"/>
              <w:jc w:val="center"/>
              <w:rPr>
                <w:rFonts w:hint="eastAsia" w:ascii="仿宋" w:hAnsi="仿宋" w:eastAsia="仿宋" w:cs="仿宋"/>
                <w:sz w:val="24"/>
              </w:rPr>
            </w:pPr>
          </w:p>
        </w:tc>
        <w:tc>
          <w:tcPr>
            <w:tcW w:w="2127" w:type="dxa"/>
          </w:tcPr>
          <w:p w14:paraId="3F7532D3">
            <w:pPr>
              <w:spacing w:line="360" w:lineRule="auto"/>
              <w:jc w:val="center"/>
              <w:rPr>
                <w:rFonts w:hint="eastAsia" w:ascii="仿宋" w:hAnsi="仿宋" w:eastAsia="仿宋" w:cs="仿宋"/>
                <w:sz w:val="24"/>
              </w:rPr>
            </w:pPr>
          </w:p>
        </w:tc>
        <w:tc>
          <w:tcPr>
            <w:tcW w:w="2126" w:type="dxa"/>
            <w:vAlign w:val="center"/>
          </w:tcPr>
          <w:p w14:paraId="632EFC74">
            <w:pPr>
              <w:spacing w:line="360" w:lineRule="auto"/>
              <w:jc w:val="center"/>
              <w:rPr>
                <w:rFonts w:hint="eastAsia" w:ascii="仿宋" w:hAnsi="仿宋" w:eastAsia="仿宋" w:cs="仿宋"/>
                <w:sz w:val="24"/>
              </w:rPr>
            </w:pPr>
          </w:p>
        </w:tc>
      </w:tr>
      <w:tr w14:paraId="021C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45DE573">
            <w:pPr>
              <w:spacing w:line="360" w:lineRule="auto"/>
              <w:jc w:val="center"/>
              <w:rPr>
                <w:rFonts w:hint="eastAsia" w:ascii="仿宋" w:hAnsi="仿宋" w:eastAsia="仿宋" w:cs="仿宋"/>
                <w:sz w:val="24"/>
              </w:rPr>
            </w:pPr>
          </w:p>
        </w:tc>
        <w:tc>
          <w:tcPr>
            <w:tcW w:w="992" w:type="dxa"/>
            <w:vAlign w:val="center"/>
          </w:tcPr>
          <w:p w14:paraId="44C08399">
            <w:pPr>
              <w:snapToGrid w:val="0"/>
              <w:spacing w:line="360" w:lineRule="auto"/>
              <w:jc w:val="center"/>
              <w:rPr>
                <w:rFonts w:hint="eastAsia" w:ascii="仿宋" w:hAnsi="仿宋" w:eastAsia="仿宋" w:cs="仿宋"/>
                <w:sz w:val="24"/>
              </w:rPr>
            </w:pPr>
          </w:p>
        </w:tc>
        <w:tc>
          <w:tcPr>
            <w:tcW w:w="2268" w:type="dxa"/>
            <w:vAlign w:val="center"/>
          </w:tcPr>
          <w:p w14:paraId="21DE198D">
            <w:pPr>
              <w:snapToGrid w:val="0"/>
              <w:spacing w:line="360" w:lineRule="auto"/>
              <w:jc w:val="center"/>
              <w:rPr>
                <w:rFonts w:hint="eastAsia" w:ascii="仿宋" w:hAnsi="仿宋" w:eastAsia="仿宋" w:cs="仿宋"/>
                <w:sz w:val="24"/>
              </w:rPr>
            </w:pPr>
          </w:p>
        </w:tc>
        <w:tc>
          <w:tcPr>
            <w:tcW w:w="2410" w:type="dxa"/>
            <w:vAlign w:val="center"/>
          </w:tcPr>
          <w:p w14:paraId="7903C1DA">
            <w:pPr>
              <w:snapToGrid w:val="0"/>
              <w:spacing w:line="360" w:lineRule="auto"/>
              <w:jc w:val="center"/>
              <w:rPr>
                <w:rFonts w:hint="eastAsia" w:ascii="仿宋" w:hAnsi="仿宋" w:eastAsia="仿宋" w:cs="仿宋"/>
                <w:sz w:val="24"/>
              </w:rPr>
            </w:pPr>
          </w:p>
        </w:tc>
        <w:tc>
          <w:tcPr>
            <w:tcW w:w="2268" w:type="dxa"/>
            <w:vAlign w:val="center"/>
          </w:tcPr>
          <w:p w14:paraId="57210DD8">
            <w:pPr>
              <w:snapToGrid w:val="0"/>
              <w:spacing w:line="360" w:lineRule="auto"/>
              <w:jc w:val="center"/>
              <w:rPr>
                <w:rFonts w:hint="eastAsia" w:ascii="仿宋" w:hAnsi="仿宋" w:eastAsia="仿宋" w:cs="仿宋"/>
                <w:sz w:val="24"/>
              </w:rPr>
            </w:pPr>
          </w:p>
        </w:tc>
        <w:tc>
          <w:tcPr>
            <w:tcW w:w="2126" w:type="dxa"/>
            <w:vAlign w:val="center"/>
          </w:tcPr>
          <w:p w14:paraId="57F82539">
            <w:pPr>
              <w:spacing w:line="360" w:lineRule="auto"/>
              <w:jc w:val="center"/>
              <w:rPr>
                <w:rFonts w:hint="eastAsia" w:ascii="仿宋" w:hAnsi="仿宋" w:eastAsia="仿宋" w:cs="仿宋"/>
                <w:sz w:val="24"/>
              </w:rPr>
            </w:pPr>
          </w:p>
        </w:tc>
        <w:tc>
          <w:tcPr>
            <w:tcW w:w="2127" w:type="dxa"/>
          </w:tcPr>
          <w:p w14:paraId="4A580695">
            <w:pPr>
              <w:spacing w:line="360" w:lineRule="auto"/>
              <w:jc w:val="center"/>
              <w:rPr>
                <w:rFonts w:hint="eastAsia" w:ascii="仿宋" w:hAnsi="仿宋" w:eastAsia="仿宋" w:cs="仿宋"/>
                <w:sz w:val="24"/>
              </w:rPr>
            </w:pPr>
          </w:p>
        </w:tc>
        <w:tc>
          <w:tcPr>
            <w:tcW w:w="2126" w:type="dxa"/>
            <w:vAlign w:val="center"/>
          </w:tcPr>
          <w:p w14:paraId="078AB632">
            <w:pPr>
              <w:spacing w:line="360" w:lineRule="auto"/>
              <w:jc w:val="center"/>
              <w:rPr>
                <w:rFonts w:hint="eastAsia" w:ascii="仿宋" w:hAnsi="仿宋" w:eastAsia="仿宋" w:cs="仿宋"/>
                <w:sz w:val="24"/>
              </w:rPr>
            </w:pPr>
          </w:p>
        </w:tc>
      </w:tr>
      <w:tr w14:paraId="6EBD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vAlign w:val="center"/>
          </w:tcPr>
          <w:p w14:paraId="4DE4B616">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8647" w:type="dxa"/>
            <w:gridSpan w:val="4"/>
          </w:tcPr>
          <w:p w14:paraId="65D577E3">
            <w:pPr>
              <w:spacing w:line="360" w:lineRule="auto"/>
              <w:jc w:val="center"/>
              <w:rPr>
                <w:rFonts w:hint="eastAsia" w:ascii="仿宋" w:hAnsi="仿宋" w:eastAsia="仿宋" w:cs="仿宋"/>
                <w:sz w:val="24"/>
              </w:rPr>
            </w:pPr>
          </w:p>
        </w:tc>
      </w:tr>
      <w:tr w14:paraId="6FC3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87" w:type="dxa"/>
            <w:gridSpan w:val="4"/>
            <w:vAlign w:val="center"/>
          </w:tcPr>
          <w:p w14:paraId="5FECFC81">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8647" w:type="dxa"/>
            <w:gridSpan w:val="4"/>
          </w:tcPr>
          <w:p w14:paraId="6D991B9C">
            <w:pPr>
              <w:spacing w:line="360" w:lineRule="auto"/>
              <w:jc w:val="center"/>
              <w:rPr>
                <w:rFonts w:hint="eastAsia" w:ascii="仿宋" w:hAnsi="仿宋" w:eastAsia="仿宋" w:cs="仿宋"/>
                <w:sz w:val="24"/>
              </w:rPr>
            </w:pPr>
          </w:p>
        </w:tc>
      </w:tr>
    </w:tbl>
    <w:p w14:paraId="433AF728">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05C35481">
      <w:pPr>
        <w:pStyle w:val="27"/>
        <w:numPr>
          <w:ilvl w:val="0"/>
          <w:numId w:val="6"/>
        </w:numPr>
        <w:ind w:left="120" w:firstLine="0"/>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响应人</w:t>
      </w:r>
      <w:r>
        <w:rPr>
          <w:rFonts w:hint="eastAsia" w:ascii="仿宋" w:hAnsi="仿宋" w:eastAsia="仿宋" w:cs="仿宋"/>
          <w:color w:val="auto"/>
          <w:highlight w:val="none"/>
          <w:lang w:val="en-US"/>
        </w:rPr>
        <w:t>需按本表格式填写，否则视为</w:t>
      </w:r>
      <w:r>
        <w:rPr>
          <w:rFonts w:hint="eastAsia" w:ascii="仿宋" w:hAnsi="仿宋" w:eastAsia="仿宋" w:cs="仿宋"/>
          <w:color w:val="auto"/>
          <w:highlight w:val="none"/>
          <w:lang w:val="en-US" w:eastAsia="zh-CN"/>
        </w:rPr>
        <w:t>响应文件</w:t>
      </w:r>
      <w:r>
        <w:rPr>
          <w:rFonts w:hint="eastAsia" w:ascii="仿宋" w:hAnsi="仿宋" w:eastAsia="仿宋" w:cs="仿宋"/>
          <w:color w:val="auto"/>
          <w:highlight w:val="none"/>
          <w:lang w:val="en-US"/>
        </w:rPr>
        <w:t>含有</w:t>
      </w:r>
      <w:r>
        <w:rPr>
          <w:rFonts w:hint="eastAsia" w:ascii="仿宋" w:hAnsi="仿宋" w:eastAsia="仿宋" w:cs="仿宋"/>
          <w:color w:val="auto"/>
          <w:highlight w:val="none"/>
          <w:lang w:val="en-US" w:eastAsia="zh-CN"/>
        </w:rPr>
        <w:t>交易发起人</w:t>
      </w:r>
      <w:r>
        <w:rPr>
          <w:rFonts w:hint="eastAsia" w:ascii="仿宋" w:hAnsi="仿宋" w:eastAsia="仿宋" w:cs="仿宋"/>
          <w:color w:val="auto"/>
          <w:highlight w:val="none"/>
          <w:lang w:val="en-US"/>
        </w:rPr>
        <w:t>不能接受的附加条件，投标无效；</w:t>
      </w:r>
    </w:p>
    <w:p w14:paraId="76A95F4C">
      <w:pPr>
        <w:pStyle w:val="27"/>
        <w:numPr>
          <w:ilvl w:val="0"/>
          <w:numId w:val="6"/>
        </w:numPr>
        <w:ind w:left="120" w:firstLine="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有关本项目实施所涉及的一切费用均计入报价。</w:t>
      </w:r>
      <w:r>
        <w:rPr>
          <w:rFonts w:hint="eastAsia" w:ascii="仿宋" w:hAnsi="仿宋" w:eastAsia="仿宋" w:cs="仿宋"/>
          <w:color w:val="auto"/>
          <w:highlight w:val="none"/>
          <w:lang w:val="en-US" w:eastAsia="zh-CN"/>
        </w:rPr>
        <w:t>交易发起人</w:t>
      </w:r>
      <w:r>
        <w:rPr>
          <w:rFonts w:hint="eastAsia" w:ascii="仿宋" w:hAnsi="仿宋" w:eastAsia="仿宋" w:cs="仿宋"/>
          <w:color w:val="auto"/>
          <w:highlight w:val="none"/>
          <w:lang w:val="en-US"/>
        </w:rPr>
        <w:t>将以合同形式有偿取得货物或服务，不接受</w:t>
      </w:r>
      <w:r>
        <w:rPr>
          <w:rFonts w:hint="eastAsia" w:ascii="仿宋" w:hAnsi="仿宋" w:eastAsia="仿宋" w:cs="仿宋"/>
          <w:color w:val="auto"/>
          <w:highlight w:val="none"/>
          <w:lang w:val="en-US" w:eastAsia="zh-CN"/>
        </w:rPr>
        <w:t>响应人</w:t>
      </w:r>
      <w:r>
        <w:rPr>
          <w:rFonts w:hint="eastAsia" w:ascii="仿宋" w:hAnsi="仿宋" w:eastAsia="仿宋" w:cs="仿宋"/>
          <w:color w:val="auto"/>
          <w:highlight w:val="none"/>
          <w:lang w:val="en-US"/>
        </w:rPr>
        <w:t>给予的赠品、回扣或者与采购无关的其他商品、服务；采购内容未包含在《开标一览表（报价表）》名称栏中，</w:t>
      </w:r>
      <w:r>
        <w:rPr>
          <w:rFonts w:hint="eastAsia" w:ascii="仿宋" w:hAnsi="仿宋" w:eastAsia="仿宋" w:cs="仿宋"/>
          <w:color w:val="auto"/>
          <w:highlight w:val="none"/>
          <w:lang w:val="en-US" w:eastAsia="zh-CN"/>
        </w:rPr>
        <w:t>响应人</w:t>
      </w:r>
      <w:r>
        <w:rPr>
          <w:rFonts w:hint="eastAsia" w:ascii="仿宋" w:hAnsi="仿宋" w:eastAsia="仿宋" w:cs="仿宋"/>
          <w:color w:val="auto"/>
          <w:highlight w:val="none"/>
          <w:lang w:val="en-US"/>
        </w:rPr>
        <w:t>不能作出合理解释的，视为</w:t>
      </w:r>
      <w:r>
        <w:rPr>
          <w:rFonts w:hint="eastAsia" w:ascii="仿宋" w:hAnsi="仿宋" w:eastAsia="仿宋" w:cs="仿宋"/>
          <w:color w:val="auto"/>
          <w:highlight w:val="none"/>
          <w:lang w:val="en-US" w:eastAsia="zh-CN"/>
        </w:rPr>
        <w:t>响应文件</w:t>
      </w:r>
      <w:r>
        <w:rPr>
          <w:rFonts w:hint="eastAsia" w:ascii="仿宋" w:hAnsi="仿宋" w:eastAsia="仿宋" w:cs="仿宋"/>
          <w:color w:val="auto"/>
          <w:highlight w:val="none"/>
          <w:lang w:val="en-US"/>
        </w:rPr>
        <w:t>含有</w:t>
      </w:r>
      <w:r>
        <w:rPr>
          <w:rFonts w:hint="eastAsia" w:ascii="仿宋" w:hAnsi="仿宋" w:eastAsia="仿宋" w:cs="仿宋"/>
          <w:color w:val="auto"/>
          <w:highlight w:val="none"/>
          <w:lang w:val="en-US" w:eastAsia="zh-CN"/>
        </w:rPr>
        <w:t>交易发起人</w:t>
      </w:r>
      <w:r>
        <w:rPr>
          <w:rFonts w:hint="eastAsia" w:ascii="仿宋" w:hAnsi="仿宋" w:eastAsia="仿宋" w:cs="仿宋"/>
          <w:color w:val="auto"/>
          <w:highlight w:val="none"/>
          <w:lang w:val="en-US"/>
        </w:rPr>
        <w:t>不能接受的附加条件的，投标无效。</w:t>
      </w:r>
    </w:p>
    <w:p w14:paraId="25607FC0">
      <w:pPr>
        <w:pStyle w:val="27"/>
        <w:numPr>
          <w:ilvl w:val="0"/>
          <w:numId w:val="6"/>
        </w:numPr>
        <w:ind w:left="120" w:firstLine="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特别说明：▲供应商报价低于项目预算50%的，应当在报价文件中详细阐述不影响产品质量或者诚信履约的具体原因，未做阐述说明的，投标无效。</w:t>
      </w:r>
    </w:p>
    <w:p w14:paraId="5D4A1130">
      <w:pPr>
        <w:pStyle w:val="27"/>
        <w:rPr>
          <w:rFonts w:hint="eastAsia" w:ascii="仿宋" w:hAnsi="仿宋" w:eastAsia="仿宋" w:cs="仿宋"/>
          <w:color w:val="auto"/>
          <w:highlight w:val="none"/>
          <w:lang w:val="en-US"/>
        </w:rPr>
      </w:pPr>
    </w:p>
    <w:p w14:paraId="51B9E895">
      <w:pPr>
        <w:rPr>
          <w:rFonts w:hint="eastAsia"/>
          <w:lang w:val="en-US"/>
        </w:rPr>
        <w:sectPr>
          <w:pgSz w:w="16838" w:h="11905" w:orient="landscape"/>
          <w:pgMar w:top="1417" w:right="1417" w:bottom="1417" w:left="1417" w:header="851" w:footer="850" w:gutter="0"/>
          <w:pgBorders>
            <w:top w:val="none" w:sz="0" w:space="0"/>
            <w:left w:val="none" w:sz="0" w:space="0"/>
            <w:bottom w:val="none" w:sz="0" w:space="0"/>
            <w:right w:val="none" w:sz="0" w:space="0"/>
          </w:pgBorders>
          <w:cols w:space="0" w:num="1"/>
          <w:docGrid w:linePitch="312" w:charSpace="0"/>
        </w:sectPr>
      </w:pPr>
    </w:p>
    <w:p w14:paraId="03AD2590">
      <w:pPr>
        <w:pStyle w:val="27"/>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附件</w:t>
      </w:r>
    </w:p>
    <w:p w14:paraId="15ACB9C1">
      <w:pPr>
        <w:snapToGrid w:val="0"/>
        <w:spacing w:line="360" w:lineRule="auto"/>
        <w:jc w:val="center"/>
        <w:outlineLvl w:val="0"/>
        <w:rPr>
          <w:rFonts w:hint="eastAsia" w:ascii="仿宋" w:hAnsi="仿宋" w:eastAsia="仿宋" w:cs="仿宋"/>
          <w:b/>
          <w:color w:val="auto"/>
          <w:kern w:val="0"/>
          <w:sz w:val="32"/>
          <w:szCs w:val="32"/>
          <w:highlight w:val="none"/>
          <w:lang w:val="zh-CN"/>
        </w:rPr>
      </w:pPr>
      <w:bookmarkStart w:id="486" w:name="_Toc23688"/>
      <w:bookmarkStart w:id="487" w:name="_Toc29723"/>
      <w:bookmarkStart w:id="488" w:name="_Toc31032"/>
      <w:r>
        <w:rPr>
          <w:rFonts w:hint="eastAsia" w:ascii="仿宋" w:hAnsi="仿宋" w:eastAsia="仿宋" w:cs="仿宋"/>
          <w:b/>
          <w:color w:val="auto"/>
          <w:kern w:val="0"/>
          <w:sz w:val="32"/>
          <w:szCs w:val="32"/>
          <w:highlight w:val="none"/>
          <w:lang w:val="zh-CN"/>
        </w:rPr>
        <w:t>附件</w:t>
      </w:r>
      <w:r>
        <w:rPr>
          <w:rFonts w:hint="eastAsia" w:ascii="仿宋" w:hAnsi="仿宋" w:eastAsia="仿宋" w:cs="仿宋"/>
          <w:b/>
          <w:color w:val="auto"/>
          <w:kern w:val="0"/>
          <w:sz w:val="32"/>
          <w:szCs w:val="32"/>
          <w:highlight w:val="none"/>
        </w:rPr>
        <w:t>1</w:t>
      </w:r>
      <w:r>
        <w:rPr>
          <w:rFonts w:hint="eastAsia" w:ascii="仿宋" w:hAnsi="仿宋" w:eastAsia="仿宋" w:cs="仿宋"/>
          <w:b/>
          <w:color w:val="auto"/>
          <w:kern w:val="0"/>
          <w:sz w:val="32"/>
          <w:szCs w:val="32"/>
          <w:highlight w:val="none"/>
          <w:lang w:val="zh-CN"/>
        </w:rPr>
        <w:t>：质疑函范本及制作说明</w:t>
      </w:r>
      <w:bookmarkEnd w:id="486"/>
      <w:bookmarkEnd w:id="487"/>
      <w:bookmarkEnd w:id="488"/>
    </w:p>
    <w:p w14:paraId="7703AE97">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FD30EF4">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A51277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0F544C7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CAECBC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8C22B8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61A3C49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32DC14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45CA6F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2F72CF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061D70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221AEA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交易人名称：</w:t>
      </w:r>
      <w:r>
        <w:rPr>
          <w:rFonts w:hint="eastAsia" w:ascii="仿宋" w:hAnsi="仿宋" w:eastAsia="仿宋" w:cs="仿宋"/>
          <w:color w:val="auto"/>
          <w:sz w:val="24"/>
          <w:highlight w:val="none"/>
          <w:u w:val="dotted"/>
        </w:rPr>
        <w:t xml:space="preserve">                                                                     </w:t>
      </w:r>
    </w:p>
    <w:p w14:paraId="0B107AD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交易文件获取日期：</w:t>
      </w:r>
      <w:r>
        <w:rPr>
          <w:rFonts w:hint="eastAsia" w:ascii="仿宋" w:hAnsi="仿宋" w:eastAsia="仿宋" w:cs="仿宋"/>
          <w:color w:val="auto"/>
          <w:sz w:val="24"/>
          <w:highlight w:val="none"/>
          <w:u w:val="dotted"/>
        </w:rPr>
        <w:t xml:space="preserve">                                                               </w:t>
      </w:r>
    </w:p>
    <w:p w14:paraId="258736C5">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4BFD30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4601D5F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3A2DFE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A2E625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229FDD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EF1954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D38664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F62953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648458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8116AE3">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43DB54A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070679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34C077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E1B8BD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B95FF8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5B448A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F6225E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12C1112">
      <w:pPr>
        <w:widowControl/>
        <w:spacing w:line="360" w:lineRule="auto"/>
        <w:ind w:firstLine="600" w:firstLineChars="200"/>
        <w:jc w:val="left"/>
        <w:rPr>
          <w:rFonts w:hint="eastAsia" w:ascii="仿宋" w:hAnsi="仿宋" w:eastAsia="仿宋" w:cs="仿宋"/>
          <w:color w:val="auto"/>
          <w:sz w:val="30"/>
          <w:szCs w:val="30"/>
          <w:highlight w:val="none"/>
        </w:rPr>
      </w:pPr>
    </w:p>
    <w:p w14:paraId="62DBFB2F">
      <w:pPr>
        <w:spacing w:line="360" w:lineRule="auto"/>
        <w:jc w:val="center"/>
        <w:rPr>
          <w:rFonts w:hint="eastAsia" w:ascii="仿宋" w:hAnsi="仿宋" w:eastAsia="仿宋" w:cs="仿宋"/>
          <w:b/>
          <w:color w:val="auto"/>
          <w:spacing w:val="6"/>
          <w:sz w:val="32"/>
          <w:szCs w:val="32"/>
          <w:highlight w:val="none"/>
        </w:rPr>
      </w:pPr>
    </w:p>
    <w:p w14:paraId="12D83DD9">
      <w:pPr>
        <w:spacing w:line="360" w:lineRule="auto"/>
        <w:jc w:val="center"/>
        <w:rPr>
          <w:rFonts w:hint="eastAsia" w:ascii="仿宋" w:hAnsi="仿宋" w:eastAsia="仿宋" w:cs="仿宋"/>
          <w:b/>
          <w:color w:val="auto"/>
          <w:spacing w:val="6"/>
          <w:sz w:val="32"/>
          <w:szCs w:val="32"/>
          <w:highlight w:val="none"/>
        </w:rPr>
      </w:pPr>
    </w:p>
    <w:p w14:paraId="3E6999D0">
      <w:pPr>
        <w:spacing w:line="360" w:lineRule="auto"/>
        <w:jc w:val="center"/>
        <w:rPr>
          <w:rFonts w:hint="eastAsia" w:ascii="仿宋" w:hAnsi="仿宋" w:eastAsia="仿宋" w:cs="仿宋"/>
          <w:b/>
          <w:color w:val="auto"/>
          <w:spacing w:val="6"/>
          <w:sz w:val="32"/>
          <w:szCs w:val="32"/>
          <w:highlight w:val="none"/>
        </w:rPr>
      </w:pPr>
    </w:p>
    <w:p w14:paraId="40AA025E">
      <w:pPr>
        <w:spacing w:line="360" w:lineRule="auto"/>
        <w:jc w:val="center"/>
        <w:rPr>
          <w:rFonts w:hint="eastAsia" w:ascii="仿宋" w:hAnsi="仿宋" w:eastAsia="仿宋" w:cs="仿宋"/>
          <w:b/>
          <w:color w:val="auto"/>
          <w:spacing w:val="6"/>
          <w:sz w:val="32"/>
          <w:szCs w:val="32"/>
          <w:highlight w:val="none"/>
        </w:rPr>
      </w:pPr>
    </w:p>
    <w:p w14:paraId="3B39709A">
      <w:pPr>
        <w:spacing w:line="360" w:lineRule="auto"/>
        <w:jc w:val="center"/>
        <w:rPr>
          <w:rFonts w:hint="eastAsia" w:ascii="仿宋" w:hAnsi="仿宋" w:eastAsia="仿宋" w:cs="仿宋"/>
          <w:b/>
          <w:color w:val="auto"/>
          <w:spacing w:val="6"/>
          <w:sz w:val="32"/>
          <w:szCs w:val="32"/>
          <w:highlight w:val="none"/>
        </w:rPr>
      </w:pPr>
    </w:p>
    <w:p w14:paraId="4468B641">
      <w:pPr>
        <w:spacing w:line="360" w:lineRule="auto"/>
        <w:jc w:val="center"/>
        <w:rPr>
          <w:rFonts w:hint="eastAsia" w:ascii="仿宋" w:hAnsi="仿宋" w:eastAsia="仿宋" w:cs="仿宋"/>
          <w:b/>
          <w:color w:val="auto"/>
          <w:spacing w:val="6"/>
          <w:sz w:val="32"/>
          <w:szCs w:val="32"/>
          <w:highlight w:val="none"/>
        </w:rPr>
      </w:pPr>
    </w:p>
    <w:p w14:paraId="789EB70A">
      <w:pPr>
        <w:spacing w:line="360" w:lineRule="auto"/>
        <w:jc w:val="center"/>
        <w:rPr>
          <w:rFonts w:hint="eastAsia" w:ascii="仿宋" w:hAnsi="仿宋" w:eastAsia="仿宋" w:cs="仿宋"/>
          <w:b/>
          <w:color w:val="auto"/>
          <w:spacing w:val="6"/>
          <w:sz w:val="32"/>
          <w:szCs w:val="32"/>
          <w:highlight w:val="none"/>
        </w:rPr>
      </w:pPr>
    </w:p>
    <w:p w14:paraId="40253C9A">
      <w:pPr>
        <w:spacing w:line="360" w:lineRule="auto"/>
        <w:jc w:val="center"/>
        <w:rPr>
          <w:rFonts w:hint="eastAsia" w:ascii="仿宋" w:hAnsi="仿宋" w:eastAsia="仿宋" w:cs="仿宋"/>
          <w:b/>
          <w:color w:val="auto"/>
          <w:spacing w:val="6"/>
          <w:sz w:val="32"/>
          <w:szCs w:val="32"/>
          <w:highlight w:val="none"/>
        </w:rPr>
      </w:pPr>
    </w:p>
    <w:p w14:paraId="16CB4398">
      <w:pPr>
        <w:spacing w:line="360" w:lineRule="auto"/>
        <w:jc w:val="center"/>
        <w:rPr>
          <w:rFonts w:hint="eastAsia" w:ascii="仿宋" w:hAnsi="仿宋" w:eastAsia="仿宋" w:cs="仿宋"/>
          <w:b/>
          <w:color w:val="auto"/>
          <w:spacing w:val="6"/>
          <w:sz w:val="32"/>
          <w:szCs w:val="32"/>
          <w:highlight w:val="none"/>
        </w:rPr>
      </w:pPr>
    </w:p>
    <w:p w14:paraId="562B5CD9">
      <w:pPr>
        <w:spacing w:line="360" w:lineRule="auto"/>
        <w:jc w:val="center"/>
        <w:rPr>
          <w:rFonts w:hint="eastAsia" w:ascii="仿宋" w:hAnsi="仿宋" w:eastAsia="仿宋" w:cs="仿宋"/>
          <w:b/>
          <w:color w:val="auto"/>
          <w:spacing w:val="6"/>
          <w:sz w:val="32"/>
          <w:szCs w:val="32"/>
          <w:highlight w:val="none"/>
        </w:rPr>
      </w:pPr>
    </w:p>
    <w:p w14:paraId="2866E0D8">
      <w:pPr>
        <w:spacing w:line="360" w:lineRule="auto"/>
        <w:jc w:val="center"/>
        <w:rPr>
          <w:rFonts w:hint="eastAsia" w:ascii="仿宋" w:hAnsi="仿宋" w:eastAsia="仿宋" w:cs="仿宋"/>
          <w:b/>
          <w:color w:val="auto"/>
          <w:spacing w:val="6"/>
          <w:sz w:val="32"/>
          <w:szCs w:val="32"/>
          <w:highlight w:val="none"/>
        </w:rPr>
      </w:pPr>
    </w:p>
    <w:p w14:paraId="392585B7">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1DD15D8A">
      <w:pPr>
        <w:snapToGrid w:val="0"/>
        <w:spacing w:line="360" w:lineRule="auto"/>
        <w:jc w:val="center"/>
        <w:outlineLvl w:val="0"/>
        <w:rPr>
          <w:rFonts w:hint="eastAsia" w:ascii="仿宋" w:hAnsi="仿宋" w:eastAsia="仿宋" w:cs="仿宋"/>
          <w:b/>
          <w:color w:val="auto"/>
          <w:kern w:val="0"/>
          <w:sz w:val="32"/>
          <w:szCs w:val="32"/>
          <w:highlight w:val="none"/>
          <w:lang w:val="zh-CN"/>
        </w:rPr>
      </w:pPr>
      <w:bookmarkStart w:id="489" w:name="_Toc13597"/>
      <w:bookmarkStart w:id="490" w:name="_Toc2681"/>
      <w:bookmarkStart w:id="491" w:name="_Toc30217"/>
      <w:r>
        <w:rPr>
          <w:rFonts w:hint="eastAsia" w:ascii="仿宋" w:hAnsi="仿宋" w:eastAsia="仿宋" w:cs="仿宋"/>
          <w:b/>
          <w:color w:val="auto"/>
          <w:kern w:val="0"/>
          <w:sz w:val="32"/>
          <w:szCs w:val="32"/>
          <w:highlight w:val="none"/>
          <w:lang w:val="zh-CN"/>
        </w:rPr>
        <w:t>附件</w:t>
      </w:r>
      <w:r>
        <w:rPr>
          <w:rFonts w:hint="eastAsia" w:ascii="仿宋" w:hAnsi="仿宋" w:eastAsia="仿宋" w:cs="仿宋"/>
          <w:b/>
          <w:color w:val="auto"/>
          <w:kern w:val="0"/>
          <w:sz w:val="32"/>
          <w:szCs w:val="32"/>
          <w:highlight w:val="none"/>
        </w:rPr>
        <w:t>2</w:t>
      </w:r>
      <w:r>
        <w:rPr>
          <w:rFonts w:hint="eastAsia" w:ascii="仿宋" w:hAnsi="仿宋" w:eastAsia="仿宋" w:cs="仿宋"/>
          <w:b/>
          <w:color w:val="auto"/>
          <w:kern w:val="0"/>
          <w:sz w:val="32"/>
          <w:szCs w:val="32"/>
          <w:highlight w:val="none"/>
          <w:lang w:val="zh-CN"/>
        </w:rPr>
        <w:t>：投诉书范本及制作说明</w:t>
      </w:r>
      <w:bookmarkEnd w:id="489"/>
      <w:bookmarkEnd w:id="490"/>
      <w:bookmarkEnd w:id="491"/>
    </w:p>
    <w:p w14:paraId="744309B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9CA01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1E5A1A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3BD547F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7F55E68">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DD324D7">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FA5AE4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EF152C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1F501CB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p>
    <w:p w14:paraId="104A4AE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921501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745946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3306DE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p>
    <w:p w14:paraId="4E2BEDD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A3C225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9745E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D54F40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80273F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2BB61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交易人名称：</w:t>
      </w:r>
      <w:r>
        <w:rPr>
          <w:rFonts w:hint="eastAsia" w:ascii="仿宋" w:hAnsi="仿宋" w:eastAsia="仿宋" w:cs="仿宋"/>
          <w:color w:val="auto"/>
          <w:sz w:val="24"/>
          <w:highlight w:val="none"/>
          <w:u w:val="dotted"/>
        </w:rPr>
        <w:t xml:space="preserve">                                                                  </w:t>
      </w:r>
    </w:p>
    <w:p w14:paraId="2DCA05F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5CF27D2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交易文件公告: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721AE2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D2C87C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59D2E8B">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3631C6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交易人/代理机构于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BD0BD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649D77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FA7D7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AB0E01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F111FF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BFF0AD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F2E67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686C32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A14B0E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446DB50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65EE7F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A75FDA0">
      <w:pPr>
        <w:spacing w:line="360" w:lineRule="auto"/>
        <w:rPr>
          <w:rFonts w:hint="eastAsia" w:ascii="仿宋" w:hAnsi="仿宋" w:eastAsia="仿宋" w:cs="仿宋"/>
          <w:b/>
          <w:color w:val="auto"/>
          <w:sz w:val="24"/>
          <w:highlight w:val="none"/>
        </w:rPr>
      </w:pPr>
    </w:p>
    <w:p w14:paraId="61B90E64">
      <w:pPr>
        <w:spacing w:line="360" w:lineRule="auto"/>
        <w:rPr>
          <w:rFonts w:hint="eastAsia" w:ascii="仿宋" w:hAnsi="仿宋" w:eastAsia="仿宋" w:cs="仿宋"/>
          <w:b/>
          <w:color w:val="auto"/>
          <w:sz w:val="24"/>
          <w:highlight w:val="none"/>
        </w:rPr>
      </w:pPr>
    </w:p>
    <w:p w14:paraId="3CC8065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1C908C0">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7CC667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4BF5BE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4CD6B2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61A521A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A864EF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17634D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67808663">
      <w:pPr>
        <w:spacing w:line="360" w:lineRule="auto"/>
        <w:rPr>
          <w:rFonts w:hint="eastAsia" w:ascii="仿宋" w:hAnsi="仿宋" w:eastAsia="仿宋" w:cs="仿宋"/>
          <w:b/>
          <w:color w:val="auto"/>
          <w:sz w:val="24"/>
          <w:highlight w:val="none"/>
        </w:rPr>
      </w:pPr>
    </w:p>
    <w:p w14:paraId="62976713">
      <w:pPr>
        <w:autoSpaceDE w:val="0"/>
        <w:autoSpaceDN w:val="0"/>
        <w:jc w:val="center"/>
        <w:rPr>
          <w:rFonts w:hint="eastAsia" w:ascii="仿宋" w:hAnsi="仿宋" w:eastAsia="仿宋" w:cs="仿宋"/>
          <w:b/>
          <w:color w:val="auto"/>
          <w:spacing w:val="6"/>
          <w:sz w:val="32"/>
          <w:szCs w:val="32"/>
          <w:highlight w:val="none"/>
        </w:rPr>
      </w:pPr>
    </w:p>
    <w:p w14:paraId="4EF9BC7E">
      <w:pPr>
        <w:autoSpaceDE w:val="0"/>
        <w:autoSpaceDN w:val="0"/>
        <w:jc w:val="center"/>
        <w:rPr>
          <w:rFonts w:hint="eastAsia" w:ascii="仿宋" w:hAnsi="仿宋" w:eastAsia="仿宋" w:cs="仿宋"/>
          <w:b/>
          <w:color w:val="auto"/>
          <w:spacing w:val="6"/>
          <w:sz w:val="32"/>
          <w:szCs w:val="32"/>
          <w:highlight w:val="none"/>
        </w:rPr>
      </w:pPr>
    </w:p>
    <w:p w14:paraId="7E52F517">
      <w:pPr>
        <w:snapToGrid w:val="0"/>
        <w:spacing w:line="360" w:lineRule="auto"/>
        <w:jc w:val="center"/>
        <w:outlineLvl w:val="0"/>
        <w:rPr>
          <w:rFonts w:hint="eastAsia" w:ascii="仿宋" w:hAnsi="仿宋" w:eastAsia="仿宋" w:cs="仿宋"/>
          <w:b/>
          <w:color w:val="auto"/>
          <w:kern w:val="0"/>
          <w:sz w:val="32"/>
          <w:szCs w:val="32"/>
          <w:highlight w:val="none"/>
          <w:lang w:val="zh-CN"/>
        </w:rPr>
        <w:sectPr>
          <w:pgSz w:w="11905" w:h="16838"/>
          <w:pgMar w:top="1417" w:right="1417" w:bottom="1417" w:left="1417" w:header="851" w:footer="850" w:gutter="0"/>
          <w:pgBorders>
            <w:top w:val="none" w:sz="0" w:space="0"/>
            <w:left w:val="none" w:sz="0" w:space="0"/>
            <w:bottom w:val="none" w:sz="0" w:space="0"/>
            <w:right w:val="none" w:sz="0" w:space="0"/>
          </w:pgBorders>
          <w:cols w:space="0" w:num="1"/>
          <w:docGrid w:linePitch="312" w:charSpace="0"/>
        </w:sectPr>
      </w:pPr>
      <w:bookmarkStart w:id="492" w:name="_Toc7658"/>
    </w:p>
    <w:p w14:paraId="429A2460">
      <w:pPr>
        <w:snapToGrid w:val="0"/>
        <w:spacing w:line="360" w:lineRule="auto"/>
        <w:jc w:val="center"/>
        <w:outlineLvl w:val="0"/>
        <w:rPr>
          <w:rFonts w:hint="eastAsia" w:ascii="仿宋" w:hAnsi="仿宋" w:eastAsia="仿宋" w:cs="仿宋"/>
          <w:b/>
          <w:color w:val="auto"/>
          <w:kern w:val="0"/>
          <w:sz w:val="32"/>
          <w:szCs w:val="32"/>
          <w:highlight w:val="none"/>
          <w:lang w:val="zh-CN"/>
        </w:rPr>
      </w:pPr>
      <w:bookmarkStart w:id="493" w:name="_Toc7535"/>
      <w:bookmarkStart w:id="494" w:name="_Toc27032"/>
      <w:r>
        <w:rPr>
          <w:rFonts w:hint="eastAsia" w:ascii="仿宋" w:hAnsi="仿宋" w:eastAsia="仿宋" w:cs="仿宋"/>
          <w:b/>
          <w:color w:val="auto"/>
          <w:kern w:val="0"/>
          <w:sz w:val="32"/>
          <w:szCs w:val="32"/>
          <w:highlight w:val="none"/>
          <w:lang w:val="zh-CN"/>
        </w:rPr>
        <w:t>附件</w:t>
      </w:r>
      <w:r>
        <w:rPr>
          <w:rFonts w:hint="eastAsia" w:ascii="仿宋" w:hAnsi="仿宋" w:eastAsia="仿宋" w:cs="仿宋"/>
          <w:b/>
          <w:color w:val="auto"/>
          <w:kern w:val="0"/>
          <w:sz w:val="32"/>
          <w:szCs w:val="32"/>
          <w:highlight w:val="none"/>
        </w:rPr>
        <w:t>3</w:t>
      </w:r>
      <w:r>
        <w:rPr>
          <w:rFonts w:hint="eastAsia" w:ascii="仿宋" w:hAnsi="仿宋" w:eastAsia="仿宋" w:cs="仿宋"/>
          <w:b/>
          <w:color w:val="auto"/>
          <w:kern w:val="0"/>
          <w:sz w:val="32"/>
          <w:szCs w:val="32"/>
          <w:highlight w:val="none"/>
          <w:lang w:val="zh-CN"/>
        </w:rPr>
        <w:t>：业务专用章使用说明函</w:t>
      </w:r>
      <w:bookmarkEnd w:id="492"/>
      <w:bookmarkEnd w:id="493"/>
      <w:bookmarkEnd w:id="494"/>
    </w:p>
    <w:p w14:paraId="234FD724">
      <w:pPr>
        <w:spacing w:line="360" w:lineRule="auto"/>
        <w:rPr>
          <w:rFonts w:hint="eastAsia" w:ascii="仿宋" w:hAnsi="仿宋" w:eastAsia="仿宋" w:cs="仿宋"/>
          <w:color w:val="auto"/>
          <w:sz w:val="24"/>
          <w:highlight w:val="none"/>
          <w:u w:val="single"/>
        </w:rPr>
      </w:pPr>
    </w:p>
    <w:p w14:paraId="0C7389D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杭州市萧山区中医院医共体总院</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浙江华夏工程管理有限公司</w:t>
      </w:r>
      <w:r>
        <w:rPr>
          <w:rFonts w:hint="eastAsia" w:ascii="仿宋" w:hAnsi="仿宋" w:eastAsia="仿宋" w:cs="仿宋"/>
          <w:color w:val="auto"/>
          <w:sz w:val="24"/>
          <w:highlight w:val="none"/>
          <w:u w:val="single"/>
        </w:rPr>
        <w:t>：</w:t>
      </w:r>
    </w:p>
    <w:p w14:paraId="7CB99A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u w:val="single"/>
        </w:rPr>
        <w:t>(供应商全称)</w:t>
      </w:r>
      <w:r>
        <w:rPr>
          <w:rFonts w:hint="eastAsia" w:ascii="仿宋" w:hAnsi="仿宋" w:eastAsia="仿宋" w:cs="仿宋"/>
          <w:color w:val="auto"/>
          <w:sz w:val="24"/>
          <w:highlight w:val="none"/>
        </w:rPr>
        <w:t>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萧山区中医院中心机房设备维保项目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响应活动中作如下说明：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002A6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BADBE94">
      <w:pPr>
        <w:spacing w:line="360" w:lineRule="auto"/>
        <w:ind w:firstLine="494"/>
        <w:rPr>
          <w:rFonts w:hint="eastAsia" w:ascii="仿宋" w:hAnsi="仿宋" w:eastAsia="仿宋" w:cs="仿宋"/>
          <w:color w:val="auto"/>
          <w:sz w:val="24"/>
          <w:highlight w:val="none"/>
        </w:rPr>
      </w:pPr>
    </w:p>
    <w:p w14:paraId="73F53F4F">
      <w:pPr>
        <w:spacing w:line="360" w:lineRule="auto"/>
        <w:ind w:firstLine="494"/>
        <w:rPr>
          <w:rFonts w:hint="eastAsia" w:ascii="仿宋" w:hAnsi="仿宋" w:eastAsia="仿宋" w:cs="仿宋"/>
          <w:color w:val="auto"/>
          <w:sz w:val="24"/>
          <w:highlight w:val="none"/>
        </w:rPr>
      </w:pPr>
    </w:p>
    <w:p w14:paraId="52480F63">
      <w:pPr>
        <w:spacing w:line="360" w:lineRule="auto"/>
        <w:ind w:firstLine="494"/>
        <w:rPr>
          <w:rFonts w:hint="eastAsia" w:ascii="仿宋" w:hAnsi="仿宋" w:eastAsia="仿宋" w:cs="仿宋"/>
          <w:color w:val="auto"/>
          <w:sz w:val="24"/>
          <w:highlight w:val="none"/>
        </w:rPr>
      </w:pPr>
    </w:p>
    <w:p w14:paraId="5001ED15">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响应单位（法定名称章）：</w:t>
      </w:r>
    </w:p>
    <w:p w14:paraId="73E132DB">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2F73AB6">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7EDB7882">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响应单位法定名称章（印模）                响应单位“XX专用章”（印模）</w:t>
      </w:r>
    </w:p>
    <w:p w14:paraId="77573B32">
      <w:pPr>
        <w:autoSpaceDE w:val="0"/>
        <w:autoSpaceDN w:val="0"/>
        <w:jc w:val="center"/>
        <w:rPr>
          <w:rFonts w:hint="eastAsia" w:ascii="仿宋" w:hAnsi="仿宋" w:eastAsia="仿宋" w:cs="仿宋"/>
          <w:b/>
          <w:color w:val="auto"/>
          <w:spacing w:val="6"/>
          <w:sz w:val="32"/>
          <w:szCs w:val="32"/>
          <w:highlight w:val="none"/>
        </w:rPr>
      </w:pPr>
    </w:p>
    <w:p w14:paraId="18100E1C">
      <w:pPr>
        <w:autoSpaceDE w:val="0"/>
        <w:autoSpaceDN w:val="0"/>
        <w:jc w:val="center"/>
        <w:rPr>
          <w:rFonts w:hint="eastAsia" w:ascii="仿宋" w:hAnsi="仿宋" w:eastAsia="仿宋" w:cs="仿宋"/>
          <w:b/>
          <w:color w:val="auto"/>
          <w:spacing w:val="6"/>
          <w:sz w:val="32"/>
          <w:szCs w:val="32"/>
          <w:highlight w:val="none"/>
        </w:rPr>
      </w:pPr>
    </w:p>
    <w:p w14:paraId="74BEE8A8">
      <w:pPr>
        <w:autoSpaceDE w:val="0"/>
        <w:autoSpaceDN w:val="0"/>
        <w:jc w:val="center"/>
        <w:rPr>
          <w:rFonts w:hint="eastAsia" w:ascii="仿宋" w:hAnsi="仿宋" w:eastAsia="仿宋" w:cs="仿宋"/>
          <w:b/>
          <w:color w:val="auto"/>
          <w:spacing w:val="6"/>
          <w:sz w:val="32"/>
          <w:szCs w:val="32"/>
          <w:highlight w:val="none"/>
        </w:rPr>
      </w:pPr>
    </w:p>
    <w:p w14:paraId="3BA2A7C7">
      <w:pPr>
        <w:autoSpaceDE w:val="0"/>
        <w:autoSpaceDN w:val="0"/>
        <w:jc w:val="center"/>
        <w:rPr>
          <w:rFonts w:hint="eastAsia" w:ascii="仿宋" w:hAnsi="仿宋" w:eastAsia="仿宋" w:cs="仿宋"/>
          <w:b/>
          <w:color w:val="auto"/>
          <w:spacing w:val="6"/>
          <w:sz w:val="32"/>
          <w:szCs w:val="32"/>
          <w:highlight w:val="none"/>
        </w:rPr>
      </w:pPr>
    </w:p>
    <w:p w14:paraId="71F5D475">
      <w:pPr>
        <w:autoSpaceDE w:val="0"/>
        <w:autoSpaceDN w:val="0"/>
        <w:jc w:val="center"/>
        <w:rPr>
          <w:rFonts w:hint="eastAsia" w:ascii="仿宋" w:hAnsi="仿宋" w:eastAsia="仿宋" w:cs="仿宋"/>
          <w:b/>
          <w:color w:val="auto"/>
          <w:spacing w:val="6"/>
          <w:sz w:val="32"/>
          <w:szCs w:val="32"/>
          <w:highlight w:val="none"/>
        </w:rPr>
      </w:pPr>
    </w:p>
    <w:p w14:paraId="3CCB638F">
      <w:pPr>
        <w:autoSpaceDE w:val="0"/>
        <w:autoSpaceDN w:val="0"/>
        <w:jc w:val="center"/>
        <w:rPr>
          <w:rFonts w:hint="eastAsia" w:ascii="仿宋" w:hAnsi="仿宋" w:eastAsia="仿宋" w:cs="仿宋"/>
          <w:b/>
          <w:color w:val="auto"/>
          <w:spacing w:val="6"/>
          <w:sz w:val="32"/>
          <w:szCs w:val="32"/>
          <w:highlight w:val="none"/>
        </w:rPr>
      </w:pPr>
    </w:p>
    <w:p w14:paraId="4D353B28">
      <w:pPr>
        <w:autoSpaceDE w:val="0"/>
        <w:autoSpaceDN w:val="0"/>
        <w:jc w:val="center"/>
        <w:rPr>
          <w:rFonts w:hint="eastAsia" w:ascii="仿宋" w:hAnsi="仿宋" w:eastAsia="仿宋" w:cs="仿宋"/>
          <w:b/>
          <w:color w:val="auto"/>
          <w:spacing w:val="6"/>
          <w:sz w:val="32"/>
          <w:szCs w:val="32"/>
          <w:highlight w:val="none"/>
        </w:rPr>
      </w:pPr>
    </w:p>
    <w:p w14:paraId="4231DFE1">
      <w:pPr>
        <w:autoSpaceDE w:val="0"/>
        <w:autoSpaceDN w:val="0"/>
        <w:jc w:val="center"/>
        <w:rPr>
          <w:rFonts w:hint="eastAsia" w:ascii="仿宋" w:hAnsi="仿宋" w:eastAsia="仿宋" w:cs="仿宋"/>
          <w:b/>
          <w:color w:val="auto"/>
          <w:spacing w:val="6"/>
          <w:sz w:val="32"/>
          <w:szCs w:val="32"/>
          <w:highlight w:val="none"/>
        </w:rPr>
      </w:pPr>
    </w:p>
    <w:p w14:paraId="343CAA41">
      <w:pPr>
        <w:autoSpaceDE w:val="0"/>
        <w:autoSpaceDN w:val="0"/>
        <w:jc w:val="center"/>
        <w:rPr>
          <w:rFonts w:hint="eastAsia" w:ascii="仿宋" w:hAnsi="仿宋" w:eastAsia="仿宋" w:cs="仿宋"/>
          <w:b/>
          <w:color w:val="auto"/>
          <w:spacing w:val="6"/>
          <w:sz w:val="32"/>
          <w:szCs w:val="32"/>
          <w:highlight w:val="none"/>
        </w:rPr>
      </w:pPr>
    </w:p>
    <w:p w14:paraId="2FDA6BFA">
      <w:pPr>
        <w:autoSpaceDE w:val="0"/>
        <w:autoSpaceDN w:val="0"/>
        <w:jc w:val="center"/>
        <w:rPr>
          <w:rFonts w:hint="eastAsia" w:ascii="仿宋" w:hAnsi="仿宋" w:eastAsia="仿宋" w:cs="仿宋"/>
          <w:b/>
          <w:color w:val="auto"/>
          <w:spacing w:val="6"/>
          <w:sz w:val="32"/>
          <w:szCs w:val="32"/>
          <w:highlight w:val="none"/>
        </w:rPr>
      </w:pPr>
    </w:p>
    <w:p w14:paraId="6696C682">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995DE07">
      <w:pPr>
        <w:pStyle w:val="6"/>
        <w:rPr>
          <w:rFonts w:hint="eastAsia" w:ascii="仿宋" w:hAnsi="仿宋" w:eastAsia="仿宋" w:cs="仿宋"/>
          <w:sz w:val="24"/>
        </w:rPr>
      </w:pPr>
      <w:r>
        <w:rPr>
          <w:rFonts w:hint="eastAsia" w:ascii="仿宋" w:eastAsia="仿宋" w:cs="仿宋"/>
          <w:lang w:val="en-US" w:eastAsia="zh-CN"/>
        </w:rPr>
        <w:t>附件4：</w:t>
      </w:r>
      <w:r>
        <w:rPr>
          <w:rFonts w:hint="eastAsia" w:ascii="仿宋" w:hAnsi="仿宋" w:eastAsia="仿宋" w:cs="仿宋"/>
        </w:rPr>
        <w:t>样品（演示）授权委托书</w:t>
      </w:r>
    </w:p>
    <w:p w14:paraId="564F1843">
      <w:pPr>
        <w:jc w:val="center"/>
        <w:rPr>
          <w:rFonts w:hint="eastAsia" w:ascii="仿宋" w:hAnsi="仿宋" w:eastAsia="仿宋" w:cs="仿宋"/>
          <w:sz w:val="40"/>
        </w:rPr>
      </w:pPr>
      <w:r>
        <w:rPr>
          <w:rFonts w:hint="eastAsia" w:ascii="仿宋" w:hAnsi="仿宋" w:eastAsia="仿宋" w:cs="仿宋"/>
          <w:sz w:val="40"/>
        </w:rPr>
        <w:t>样品（演示）授权委托书</w:t>
      </w:r>
    </w:p>
    <w:p w14:paraId="5CA3691B">
      <w:pPr>
        <w:jc w:val="center"/>
        <w:rPr>
          <w:rFonts w:hint="eastAsia" w:ascii="仿宋" w:hAnsi="仿宋" w:eastAsia="仿宋" w:cs="仿宋"/>
          <w:sz w:val="40"/>
        </w:rPr>
      </w:pPr>
    </w:p>
    <w:p w14:paraId="606A5120">
      <w:pPr>
        <w:snapToGrid w:val="0"/>
        <w:spacing w:line="360" w:lineRule="auto"/>
        <w:rPr>
          <w:rFonts w:hint="eastAsia" w:ascii="仿宋" w:hAnsi="仿宋" w:eastAsia="仿宋" w:cs="仿宋"/>
        </w:rPr>
      </w:pPr>
      <w:r>
        <w:rPr>
          <w:rFonts w:hint="eastAsia" w:ascii="仿宋" w:hAnsi="仿宋" w:eastAsia="仿宋" w:cs="仿宋"/>
        </w:rPr>
        <w:t>XXX（单位名称或采购机构名称）</w:t>
      </w:r>
      <w:r>
        <w:rPr>
          <w:rFonts w:hint="eastAsia" w:ascii="仿宋" w:hAnsi="仿宋" w:eastAsia="仿宋" w:cs="仿宋"/>
          <w:lang w:val="zh-CN"/>
        </w:rPr>
        <w:t>：</w:t>
      </w:r>
    </w:p>
    <w:p w14:paraId="53ADC656">
      <w:pPr>
        <w:snapToGrid w:val="0"/>
        <w:spacing w:line="360" w:lineRule="auto"/>
        <w:ind w:left="254" w:leftChars="121" w:firstLine="420" w:firstLineChars="200"/>
        <w:rPr>
          <w:rFonts w:hint="eastAsia" w:ascii="仿宋" w:hAnsi="仿宋" w:eastAsia="仿宋" w:cs="仿宋"/>
          <w:u w:val="single"/>
          <w:lang w:val="zh-CN"/>
        </w:rPr>
      </w:pPr>
      <w:r>
        <w:rPr>
          <w:rFonts w:hint="eastAsia" w:ascii="仿宋" w:hAnsi="仿宋" w:eastAsia="仿宋" w:cs="仿宋"/>
          <w:lang w:val="zh-CN"/>
        </w:rPr>
        <w:t>兹委派</w:t>
      </w:r>
      <w:r>
        <w:rPr>
          <w:rFonts w:hint="eastAsia" w:ascii="仿宋" w:hAnsi="仿宋" w:eastAsia="仿宋" w:cs="仿宋"/>
          <w:u w:val="single"/>
          <w:lang w:val="zh-CN"/>
        </w:rPr>
        <w:t xml:space="preserve">                </w:t>
      </w:r>
      <w:r>
        <w:rPr>
          <w:rFonts w:hint="eastAsia" w:ascii="仿宋" w:hAnsi="仿宋" w:eastAsia="仿宋" w:cs="仿宋"/>
          <w:lang w:val="zh-CN"/>
        </w:rPr>
        <w:t>先生/女士，身份证号：</w:t>
      </w:r>
      <w:r>
        <w:rPr>
          <w:rFonts w:hint="eastAsia" w:ascii="仿宋" w:hAnsi="仿宋" w:eastAsia="仿宋" w:cs="仿宋"/>
          <w:u w:val="single"/>
          <w:lang w:val="zh-CN"/>
        </w:rPr>
        <w:t xml:space="preserve">                   </w:t>
      </w:r>
    </w:p>
    <w:p w14:paraId="3096CFE4">
      <w:pPr>
        <w:snapToGrid w:val="0"/>
        <w:spacing w:line="360" w:lineRule="auto"/>
        <w:ind w:left="254" w:leftChars="121" w:firstLine="420" w:firstLineChars="200"/>
        <w:rPr>
          <w:rFonts w:hint="eastAsia" w:ascii="仿宋" w:hAnsi="仿宋" w:eastAsia="仿宋" w:cs="仿宋"/>
        </w:rPr>
      </w:pPr>
      <w:r>
        <w:rPr>
          <w:rFonts w:hint="eastAsia" w:ascii="仿宋" w:hAnsi="仿宋" w:eastAsia="仿宋" w:cs="仿宋"/>
          <w:lang w:val="zh-CN"/>
        </w:rPr>
        <w:t>手机：</w:t>
      </w:r>
      <w:r>
        <w:rPr>
          <w:rFonts w:hint="eastAsia" w:ascii="仿宋" w:hAnsi="仿宋" w:eastAsia="仿宋" w:cs="仿宋"/>
          <w:u w:val="single"/>
          <w:lang w:val="zh-CN"/>
        </w:rPr>
        <w:t xml:space="preserve">             </w:t>
      </w:r>
      <w:r>
        <w:rPr>
          <w:rFonts w:hint="eastAsia" w:ascii="仿宋" w:hAnsi="仿宋" w:eastAsia="仿宋" w:cs="仿宋"/>
          <w:lang w:val="zh-CN"/>
        </w:rPr>
        <w:t>，代表我公司前来递交</w:t>
      </w:r>
      <w:r>
        <w:rPr>
          <w:rFonts w:hint="eastAsia" w:ascii="仿宋" w:hAnsi="仿宋" w:eastAsia="仿宋" w:cs="仿宋"/>
          <w:u w:val="single"/>
          <w:lang w:val="zh-CN"/>
        </w:rPr>
        <w:t xml:space="preserve">                           采购项目</w:t>
      </w:r>
      <w:r>
        <w:rPr>
          <w:rFonts w:hint="eastAsia" w:ascii="仿宋" w:hAnsi="仿宋" w:eastAsia="仿宋" w:cs="仿宋"/>
          <w:lang w:val="zh-CN"/>
        </w:rPr>
        <w:t>【项目编号：              】（标项号：  ）投标样品或参加演示，并全权负责标后取回样品等其他处理事宜。</w:t>
      </w:r>
    </w:p>
    <w:p w14:paraId="495ACDB9">
      <w:pPr>
        <w:snapToGrid w:val="0"/>
        <w:spacing w:line="360" w:lineRule="auto"/>
        <w:rPr>
          <w:rFonts w:hint="eastAsia" w:ascii="仿宋" w:hAnsi="仿宋" w:eastAsia="仿宋" w:cs="仿宋"/>
          <w:lang w:val="zh-CN"/>
        </w:rPr>
      </w:pPr>
      <w:r>
        <w:rPr>
          <w:rFonts w:hint="eastAsia" w:ascii="仿宋" w:hAnsi="仿宋" w:eastAsia="仿宋" w:cs="仿宋"/>
          <w:lang w:val="zh-CN"/>
        </w:rPr>
        <w:t xml:space="preserve">  </w:t>
      </w:r>
    </w:p>
    <w:p w14:paraId="32511C35">
      <w:pPr>
        <w:snapToGrid w:val="0"/>
        <w:spacing w:line="360" w:lineRule="auto"/>
        <w:rPr>
          <w:rFonts w:hint="eastAsia" w:ascii="仿宋" w:hAnsi="仿宋" w:eastAsia="仿宋" w:cs="仿宋"/>
        </w:rPr>
      </w:pPr>
      <w:r>
        <w:rPr>
          <w:rFonts w:hint="eastAsia" w:ascii="仿宋" w:hAnsi="仿宋" w:eastAsia="仿宋" w:cs="仿宋"/>
          <w:lang w:val="zh-CN"/>
        </w:rPr>
        <w:t xml:space="preserve">    特此告知。</w:t>
      </w:r>
    </w:p>
    <w:p w14:paraId="049048A4">
      <w:pPr>
        <w:snapToGrid w:val="0"/>
        <w:spacing w:line="360" w:lineRule="auto"/>
        <w:rPr>
          <w:rFonts w:hint="eastAsia" w:ascii="仿宋" w:hAnsi="仿宋" w:eastAsia="仿宋" w:cs="仿宋"/>
        </w:rPr>
      </w:pPr>
      <w:r>
        <w:rPr>
          <w:rFonts w:hint="eastAsia" w:ascii="仿宋" w:hAnsi="仿宋" w:eastAsia="仿宋" w:cs="仿宋"/>
          <w:lang w:val="zh-CN"/>
        </w:rPr>
        <w:t xml:space="preserve">                                                  响应人名称(公章)：</w:t>
      </w:r>
    </w:p>
    <w:p w14:paraId="420103C1">
      <w:pPr>
        <w:snapToGrid w:val="0"/>
        <w:spacing w:line="360" w:lineRule="auto"/>
        <w:rPr>
          <w:rFonts w:hint="eastAsia" w:ascii="仿宋" w:hAnsi="仿宋" w:eastAsia="仿宋" w:cs="仿宋"/>
        </w:rPr>
      </w:pPr>
      <w:r>
        <w:rPr>
          <w:rFonts w:hint="eastAsia" w:ascii="仿宋" w:hAnsi="仿宋" w:eastAsia="仿宋" w:cs="仿宋"/>
          <w:lang w:val="zh-CN"/>
        </w:rPr>
        <w:t xml:space="preserve">                                                  </w:t>
      </w:r>
    </w:p>
    <w:p w14:paraId="2132BB2E">
      <w:pPr>
        <w:snapToGrid w:val="0"/>
        <w:spacing w:line="360" w:lineRule="auto"/>
        <w:ind w:right="240"/>
        <w:jc w:val="right"/>
        <w:rPr>
          <w:rFonts w:hint="eastAsia" w:ascii="仿宋" w:hAnsi="仿宋" w:eastAsia="仿宋" w:cs="仿宋"/>
          <w:lang w:val="zh-CN"/>
        </w:rPr>
      </w:pPr>
      <w:r>
        <w:rPr>
          <w:rFonts w:hint="eastAsia" w:ascii="仿宋" w:hAnsi="仿宋" w:eastAsia="仿宋" w:cs="仿宋"/>
          <w:lang w:val="zh-CN"/>
        </w:rPr>
        <w:t>签发日期：  年  月   日</w:t>
      </w:r>
    </w:p>
    <w:p w14:paraId="66B0D39D">
      <w:pPr>
        <w:snapToGrid w:val="0"/>
        <w:spacing w:line="360" w:lineRule="auto"/>
        <w:ind w:right="240"/>
        <w:jc w:val="right"/>
        <w:rPr>
          <w:rFonts w:hint="eastAsia" w:ascii="仿宋" w:hAnsi="仿宋" w:eastAsia="仿宋" w:cs="仿宋"/>
          <w:lang w:val="zh-CN"/>
        </w:rPr>
      </w:pPr>
    </w:p>
    <w:p w14:paraId="4998239C">
      <w:pPr>
        <w:snapToGrid w:val="0"/>
        <w:spacing w:line="360" w:lineRule="auto"/>
        <w:ind w:right="1920"/>
        <w:rPr>
          <w:rFonts w:hint="eastAsia" w:ascii="仿宋" w:hAnsi="仿宋" w:eastAsia="仿宋" w:cs="仿宋"/>
          <w:lang w:val="zh-CN"/>
        </w:rPr>
      </w:pPr>
    </w:p>
    <w:p w14:paraId="25D06E4A">
      <w:pPr>
        <w:snapToGrid w:val="0"/>
        <w:spacing w:line="360" w:lineRule="auto"/>
        <w:ind w:right="240"/>
        <w:jc w:val="right"/>
        <w:rPr>
          <w:rFonts w:hint="eastAsia" w:ascii="仿宋" w:hAnsi="仿宋" w:eastAsia="仿宋" w:cs="仿宋"/>
          <w:lang w:val="zh-CN"/>
        </w:rPr>
      </w:pPr>
    </w:p>
    <w:p w14:paraId="67FD351C">
      <w:pPr>
        <w:snapToGrid w:val="0"/>
        <w:spacing w:line="360" w:lineRule="auto"/>
        <w:ind w:right="240"/>
        <w:rPr>
          <w:rFonts w:hint="eastAsia" w:ascii="仿宋" w:hAnsi="仿宋" w:eastAsia="仿宋" w:cs="仿宋"/>
          <w:lang w:val="zh-CN"/>
        </w:rPr>
      </w:pPr>
      <w:r>
        <w:rPr>
          <w:rFonts w:hint="eastAsia" w:ascii="仿宋" w:hAnsi="仿宋" w:eastAsia="仿宋" w:cs="仿宋"/>
        </w:rPr>
        <w:t>受委托人</w:t>
      </w:r>
      <w:r>
        <w:rPr>
          <w:rFonts w:hint="eastAsia" w:ascii="仿宋" w:hAnsi="仿宋" w:eastAsia="仿宋" w:cs="仿宋"/>
          <w:lang w:val="zh-CN"/>
        </w:rPr>
        <w:t>身份证复印件：</w:t>
      </w:r>
    </w:p>
    <w:p w14:paraId="04AC411F">
      <w:pPr>
        <w:snapToGrid w:val="0"/>
        <w:spacing w:line="360" w:lineRule="auto"/>
        <w:ind w:right="240"/>
        <w:rPr>
          <w:rFonts w:hint="eastAsia" w:ascii="仿宋" w:hAnsi="仿宋" w:eastAsia="仿宋" w:cs="仿宋"/>
          <w:lang w:val="zh-CN"/>
        </w:rPr>
      </w:pPr>
    </w:p>
    <w:p w14:paraId="440AFDB6">
      <w:pPr>
        <w:snapToGrid w:val="0"/>
        <w:spacing w:line="360" w:lineRule="auto"/>
        <w:ind w:right="240"/>
        <w:rPr>
          <w:rFonts w:hint="eastAsia" w:ascii="仿宋" w:hAnsi="仿宋" w:eastAsia="仿宋" w:cs="仿宋"/>
          <w:lang w:val="zh-CN"/>
        </w:rPr>
      </w:pPr>
      <w:r>
        <w:rPr>
          <w:rFonts w:hint="eastAsia" w:ascii="仿宋" w:hAnsi="仿宋" w:eastAsia="仿宋" w:cs="仿宋"/>
          <w:lang w:val="zh-CN"/>
        </w:rPr>
        <w:t>说明：本委托书在有样品或演示时由受委托人携带至指定地点。</w:t>
      </w:r>
    </w:p>
    <w:p w14:paraId="7914C0A5">
      <w:pPr>
        <w:spacing w:line="360" w:lineRule="auto"/>
        <w:rPr>
          <w:rFonts w:hint="eastAsia" w:ascii="仿宋" w:hAnsi="仿宋" w:eastAsia="仿宋" w:cs="仿宋"/>
          <w:bCs/>
          <w:sz w:val="24"/>
        </w:rPr>
      </w:pPr>
      <w:r>
        <w:rPr>
          <w:rFonts w:hint="eastAsia" w:ascii="仿宋" w:hAnsi="仿宋" w:eastAsia="仿宋" w:cs="仿宋"/>
          <w:b/>
        </w:rPr>
        <w:t>同时有样品和演示的，可委托不同人员。</w:t>
      </w:r>
    </w:p>
    <w:p w14:paraId="2ABE5587">
      <w:pPr>
        <w:rPr>
          <w:rFonts w:hint="eastAsia"/>
        </w:rPr>
      </w:pPr>
    </w:p>
    <w:sectPr>
      <w:pgSz w:w="11905" w:h="16838"/>
      <w:pgMar w:top="1417" w:right="1417" w:bottom="1417" w:left="1417" w:header="851" w:footer="850" w:gutter="0"/>
      <w:pgBorders>
        <w:top w:val="none" w:sz="0" w:space="0"/>
        <w:left w:val="none" w:sz="0" w:space="0"/>
        <w:bottom w:val="none" w:sz="0" w:space="0"/>
        <w:right w:val="none" w:sz="0" w:space="0"/>
      </w:pgBorders>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DA1AF">
    <w:pPr>
      <w:pStyle w:val="4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9B7F79">
                          <w:pPr>
                            <w:pStyle w:val="42"/>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89B7F79">
                    <w:pPr>
                      <w:pStyle w:val="42"/>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47F97">
    <w:pPr>
      <w:pStyle w:val="42"/>
      <w:framePr w:wrap="around" w:vAnchor="text" w:hAnchor="margin" w:xAlign="right" w:y="1"/>
      <w:rPr>
        <w:rStyle w:val="73"/>
      </w:rPr>
    </w:pPr>
    <w:r>
      <w:fldChar w:fldCharType="begin"/>
    </w:r>
    <w:r>
      <w:rPr>
        <w:rStyle w:val="73"/>
      </w:rPr>
      <w:instrText xml:space="preserve">PAGE  </w:instrText>
    </w:r>
    <w:r>
      <w:fldChar w:fldCharType="end"/>
    </w:r>
  </w:p>
  <w:p w14:paraId="0E1A19F8">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CDD64">
    <w:pPr>
      <w:pStyle w:val="4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5A96C">
    <w:pPr>
      <w:pStyle w:val="4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2DA53">
                          <w:pPr>
                            <w:pStyle w:val="42"/>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E32DA53">
                    <w:pPr>
                      <w:pStyle w:val="42"/>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BF27E">
    <w:pPr>
      <w:pStyle w:val="42"/>
      <w:jc w:val="center"/>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w:instrText>
    </w:r>
    <w:r>
      <w:rPr>
        <w:rFonts w:hint="eastAsia" w:ascii="仿宋" w:hAnsi="仿宋" w:eastAsia="仿宋" w:cs="仿宋"/>
      </w:rPr>
      <w:fldChar w:fldCharType="separate"/>
    </w:r>
    <w:r>
      <w:rPr>
        <w:rFonts w:hint="eastAsia" w:ascii="仿宋" w:hAnsi="仿宋" w:eastAsia="仿宋" w:cs="仿宋"/>
      </w:rPr>
      <w:t>88</w:t>
    </w:r>
    <w:r>
      <w:rPr>
        <w:rFonts w:hint="eastAsia" w:ascii="仿宋" w:hAnsi="仿宋" w:eastAsia="仿宋" w:cs="仿宋"/>
      </w:rPr>
      <w:fldChar w:fldCharType="end"/>
    </w:r>
    <w:r>
      <w:rPr>
        <w:rFonts w:hint="eastAsia" w:ascii="仿宋" w:hAnsi="仿宋" w:eastAsia="仿宋" w:cs="仿宋"/>
      </w:rPr>
      <w:t xml:space="preserve"> 页</w:t>
    </w:r>
  </w:p>
  <w:p w14:paraId="5F4CCBD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5911A">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66A80">
                          <w:pPr>
                            <w:pStyle w:val="42"/>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7866A80">
                    <w:pPr>
                      <w:pStyle w:val="42"/>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24E56">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86DFC0">
                          <w:pPr>
                            <w:pStyle w:val="42"/>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F86DFC0">
                    <w:pPr>
                      <w:pStyle w:val="42"/>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B43D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B0D98">
    <w:pPr>
      <w:pStyle w:val="4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E72E2">
    <w:pPr>
      <w:pStyle w:val="4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076C2">
    <w:pPr>
      <w:pStyle w:val="4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D3B70">
    <w:pPr>
      <w:pStyle w:val="43"/>
      <w:jc w:val="right"/>
    </w:pPr>
    <w:r>
      <w:rPr>
        <w:rFonts w:hint="eastAsia"/>
      </w:rPr>
      <w:t xml:space="preserve">                                                                                                        </w:t>
    </w:r>
    <w:r>
      <w:t>杭州市政府采购公开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59FA1"/>
    <w:multiLevelType w:val="singleLevel"/>
    <w:tmpl w:val="9FE59FA1"/>
    <w:lvl w:ilvl="0" w:tentative="0">
      <w:start w:val="1"/>
      <w:numFmt w:val="decimal"/>
      <w:suff w:val="nothing"/>
      <w:lvlText w:val="%1．"/>
      <w:lvlJc w:val="left"/>
      <w:pPr>
        <w:ind w:left="0" w:firstLine="400"/>
      </w:pPr>
      <w:rPr>
        <w:rFonts w:hint="default"/>
      </w:rPr>
    </w:lvl>
  </w:abstractNum>
  <w:abstractNum w:abstractNumId="1">
    <w:nsid w:val="C49B0C28"/>
    <w:multiLevelType w:val="singleLevel"/>
    <w:tmpl w:val="C49B0C28"/>
    <w:lvl w:ilvl="0" w:tentative="0">
      <w:start w:val="1"/>
      <w:numFmt w:val="decimal"/>
      <w:suff w:val="nothing"/>
      <w:lvlText w:val="%1"/>
      <w:lvlJc w:val="left"/>
      <w:pPr>
        <w:tabs>
          <w:tab w:val="left" w:pos="0"/>
        </w:tabs>
        <w:ind w:left="0" w:firstLine="0"/>
      </w:pPr>
      <w:rPr>
        <w:rFonts w:hint="default" w:ascii="宋体" w:hAnsi="宋体" w:eastAsia="宋体" w:cs="宋体"/>
      </w:rPr>
    </w:lvl>
  </w:abstractNum>
  <w:abstractNum w:abstractNumId="2">
    <w:nsid w:val="04D894CF"/>
    <w:multiLevelType w:val="singleLevel"/>
    <w:tmpl w:val="04D894CF"/>
    <w:lvl w:ilvl="0" w:tentative="0">
      <w:start w:val="1"/>
      <w:numFmt w:val="decimal"/>
      <w:suff w:val="nothing"/>
      <w:lvlText w:val="%1、"/>
      <w:lvlJc w:val="left"/>
    </w:lvl>
  </w:abstractNum>
  <w:abstractNum w:abstractNumId="3">
    <w:nsid w:val="3B3B5A95"/>
    <w:multiLevelType w:val="singleLevel"/>
    <w:tmpl w:val="3B3B5A95"/>
    <w:lvl w:ilvl="0" w:tentative="0">
      <w:start w:val="1"/>
      <w:numFmt w:val="decimal"/>
      <w:suff w:val="nothing"/>
      <w:lvlText w:val="（%1）"/>
      <w:lvlJc w:val="left"/>
    </w:lvl>
  </w:abstractNum>
  <w:abstractNum w:abstractNumId="4">
    <w:nsid w:val="5789CC16"/>
    <w:multiLevelType w:val="singleLevel"/>
    <w:tmpl w:val="5789CC16"/>
    <w:lvl w:ilvl="0" w:tentative="0">
      <w:start w:val="1"/>
      <w:numFmt w:val="decimal"/>
      <w:suff w:val="nothing"/>
      <w:lvlText w:val="%1、"/>
      <w:lvlJc w:val="left"/>
      <w:pPr>
        <w:ind w:left="120" w:leftChars="0" w:firstLine="0" w:firstLineChars="0"/>
      </w:pPr>
    </w:lvl>
  </w:abstractNum>
  <w:abstractNum w:abstractNumId="5">
    <w:nsid w:val="7D9FC436"/>
    <w:multiLevelType w:val="singleLevel"/>
    <w:tmpl w:val="7D9FC436"/>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OGJmYjkxNTQzODM3M2Y0ZDFlMWYwYmM3ZWZlY2UifQ=="/>
    <w:docVar w:name="KSO_WPS_MARK_KEY" w:val="1a374ef4-9bf6-477e-8bf8-e72a6fc15a70"/>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0BC"/>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427"/>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D"/>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85B"/>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403"/>
    <w:rsid w:val="002527CC"/>
    <w:rsid w:val="00252F48"/>
    <w:rsid w:val="002530C0"/>
    <w:rsid w:val="00253586"/>
    <w:rsid w:val="002537FC"/>
    <w:rsid w:val="002542F8"/>
    <w:rsid w:val="002543EF"/>
    <w:rsid w:val="00254F2A"/>
    <w:rsid w:val="00255784"/>
    <w:rsid w:val="00255A29"/>
    <w:rsid w:val="0025631F"/>
    <w:rsid w:val="002564D5"/>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80C"/>
    <w:rsid w:val="00291CF1"/>
    <w:rsid w:val="00292AA1"/>
    <w:rsid w:val="00294012"/>
    <w:rsid w:val="002945B0"/>
    <w:rsid w:val="0029499D"/>
    <w:rsid w:val="00294A13"/>
    <w:rsid w:val="00294B10"/>
    <w:rsid w:val="00294DF9"/>
    <w:rsid w:val="00295073"/>
    <w:rsid w:val="00295468"/>
    <w:rsid w:val="00296C32"/>
    <w:rsid w:val="002977CE"/>
    <w:rsid w:val="00297AF5"/>
    <w:rsid w:val="002A00A3"/>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21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795"/>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1DF"/>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1F1E"/>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37F56"/>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28A"/>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4CD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024"/>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807"/>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C15"/>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AE4"/>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5EF"/>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2A4"/>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9A6"/>
    <w:rsid w:val="008D20CE"/>
    <w:rsid w:val="008D2259"/>
    <w:rsid w:val="008D2531"/>
    <w:rsid w:val="008D2833"/>
    <w:rsid w:val="008D2A5B"/>
    <w:rsid w:val="008D313A"/>
    <w:rsid w:val="008D3381"/>
    <w:rsid w:val="008D33FE"/>
    <w:rsid w:val="008D3B9F"/>
    <w:rsid w:val="008D3D02"/>
    <w:rsid w:val="008D3D5A"/>
    <w:rsid w:val="008D4226"/>
    <w:rsid w:val="008D4280"/>
    <w:rsid w:val="008D4D7C"/>
    <w:rsid w:val="008D5432"/>
    <w:rsid w:val="008D54C0"/>
    <w:rsid w:val="008D5558"/>
    <w:rsid w:val="008D57B9"/>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47A"/>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00D"/>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60"/>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858"/>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3D96"/>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529B"/>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C3C"/>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A42"/>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45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175B"/>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40B"/>
    <w:rsid w:val="00C415AC"/>
    <w:rsid w:val="00C4297A"/>
    <w:rsid w:val="00C4360C"/>
    <w:rsid w:val="00C439B8"/>
    <w:rsid w:val="00C43A0B"/>
    <w:rsid w:val="00C43EDA"/>
    <w:rsid w:val="00C43FEC"/>
    <w:rsid w:val="00C4414C"/>
    <w:rsid w:val="00C45512"/>
    <w:rsid w:val="00C4602B"/>
    <w:rsid w:val="00C46564"/>
    <w:rsid w:val="00C4698F"/>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243"/>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363"/>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AEA"/>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5C64"/>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14D"/>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B30"/>
    <w:rsid w:val="00E45A2C"/>
    <w:rsid w:val="00E46A6B"/>
    <w:rsid w:val="00E46A9C"/>
    <w:rsid w:val="00E47DB1"/>
    <w:rsid w:val="00E503F4"/>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09E"/>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CBD"/>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AD0"/>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C6F"/>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4BF"/>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C2519"/>
    <w:rsid w:val="019F7441"/>
    <w:rsid w:val="01B37585"/>
    <w:rsid w:val="01D55165"/>
    <w:rsid w:val="01DF6BF8"/>
    <w:rsid w:val="01EC2C57"/>
    <w:rsid w:val="025F0711"/>
    <w:rsid w:val="026B2E25"/>
    <w:rsid w:val="02824D4D"/>
    <w:rsid w:val="02DB3BBF"/>
    <w:rsid w:val="02DC4B10"/>
    <w:rsid w:val="02DD76CE"/>
    <w:rsid w:val="02E1151B"/>
    <w:rsid w:val="02F36323"/>
    <w:rsid w:val="02F5619C"/>
    <w:rsid w:val="030B2A3C"/>
    <w:rsid w:val="0326446A"/>
    <w:rsid w:val="032D5555"/>
    <w:rsid w:val="03492469"/>
    <w:rsid w:val="034A3564"/>
    <w:rsid w:val="036634D2"/>
    <w:rsid w:val="03953218"/>
    <w:rsid w:val="039753DF"/>
    <w:rsid w:val="03DD35E4"/>
    <w:rsid w:val="04076900"/>
    <w:rsid w:val="041011B9"/>
    <w:rsid w:val="041A5A3B"/>
    <w:rsid w:val="042311BA"/>
    <w:rsid w:val="042A0CA0"/>
    <w:rsid w:val="042B157A"/>
    <w:rsid w:val="04405814"/>
    <w:rsid w:val="048F763B"/>
    <w:rsid w:val="049F330E"/>
    <w:rsid w:val="04AA775C"/>
    <w:rsid w:val="04AF1889"/>
    <w:rsid w:val="04DC7F02"/>
    <w:rsid w:val="04F66F48"/>
    <w:rsid w:val="05251E14"/>
    <w:rsid w:val="059875E3"/>
    <w:rsid w:val="05A16594"/>
    <w:rsid w:val="05A7762D"/>
    <w:rsid w:val="05AA0002"/>
    <w:rsid w:val="05F70726"/>
    <w:rsid w:val="060E5941"/>
    <w:rsid w:val="06110FAF"/>
    <w:rsid w:val="06323D9F"/>
    <w:rsid w:val="06493CA7"/>
    <w:rsid w:val="065A6178"/>
    <w:rsid w:val="066F1CF3"/>
    <w:rsid w:val="06930BB8"/>
    <w:rsid w:val="06DD024B"/>
    <w:rsid w:val="0703647D"/>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73B75"/>
    <w:rsid w:val="0A5B7E63"/>
    <w:rsid w:val="0A71244C"/>
    <w:rsid w:val="0A712AD3"/>
    <w:rsid w:val="0AA374A5"/>
    <w:rsid w:val="0AAB7649"/>
    <w:rsid w:val="0ABC5606"/>
    <w:rsid w:val="0B30404E"/>
    <w:rsid w:val="0B4A4F70"/>
    <w:rsid w:val="0B4C6C14"/>
    <w:rsid w:val="0B547599"/>
    <w:rsid w:val="0B631A88"/>
    <w:rsid w:val="0B683D45"/>
    <w:rsid w:val="0B7F3F11"/>
    <w:rsid w:val="0B884417"/>
    <w:rsid w:val="0B9712B7"/>
    <w:rsid w:val="0BDA11F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C5454"/>
    <w:rsid w:val="0D827401"/>
    <w:rsid w:val="0D84094E"/>
    <w:rsid w:val="0D8A00E9"/>
    <w:rsid w:val="0D8D589E"/>
    <w:rsid w:val="0DA01C73"/>
    <w:rsid w:val="0DB00D69"/>
    <w:rsid w:val="0DD63300"/>
    <w:rsid w:val="0DF50604"/>
    <w:rsid w:val="0DF702FE"/>
    <w:rsid w:val="0E060E51"/>
    <w:rsid w:val="0E5604B2"/>
    <w:rsid w:val="0E6D5D79"/>
    <w:rsid w:val="0E9C0543"/>
    <w:rsid w:val="0E9D0089"/>
    <w:rsid w:val="0EB803EE"/>
    <w:rsid w:val="0EF94D4B"/>
    <w:rsid w:val="0F215C1F"/>
    <w:rsid w:val="0F3B6457"/>
    <w:rsid w:val="0F4958DC"/>
    <w:rsid w:val="0F515DF7"/>
    <w:rsid w:val="0F53554E"/>
    <w:rsid w:val="0F596BA8"/>
    <w:rsid w:val="0F6248D2"/>
    <w:rsid w:val="0F693536"/>
    <w:rsid w:val="0F7B0511"/>
    <w:rsid w:val="0F7B76D9"/>
    <w:rsid w:val="0F816ACD"/>
    <w:rsid w:val="0F9832DB"/>
    <w:rsid w:val="0FBF3FD2"/>
    <w:rsid w:val="0FBF7FF3"/>
    <w:rsid w:val="0FDF7425"/>
    <w:rsid w:val="10646583"/>
    <w:rsid w:val="107D4B15"/>
    <w:rsid w:val="108A3C80"/>
    <w:rsid w:val="10C26171"/>
    <w:rsid w:val="10F33360"/>
    <w:rsid w:val="10FC16EA"/>
    <w:rsid w:val="110F1D40"/>
    <w:rsid w:val="11250F2D"/>
    <w:rsid w:val="11266F33"/>
    <w:rsid w:val="118963A1"/>
    <w:rsid w:val="11C6522A"/>
    <w:rsid w:val="11E104CC"/>
    <w:rsid w:val="11E20309"/>
    <w:rsid w:val="11F1104F"/>
    <w:rsid w:val="12255233"/>
    <w:rsid w:val="12530213"/>
    <w:rsid w:val="127723A9"/>
    <w:rsid w:val="12862074"/>
    <w:rsid w:val="12883966"/>
    <w:rsid w:val="12964C36"/>
    <w:rsid w:val="129E45B4"/>
    <w:rsid w:val="12CA5B28"/>
    <w:rsid w:val="12D81596"/>
    <w:rsid w:val="12E827CA"/>
    <w:rsid w:val="13072A44"/>
    <w:rsid w:val="13160A9B"/>
    <w:rsid w:val="135F4BE2"/>
    <w:rsid w:val="139B1A0A"/>
    <w:rsid w:val="139D25C7"/>
    <w:rsid w:val="13BF3CE4"/>
    <w:rsid w:val="141008D8"/>
    <w:rsid w:val="14125FE6"/>
    <w:rsid w:val="14180A19"/>
    <w:rsid w:val="146D271E"/>
    <w:rsid w:val="146F4E4B"/>
    <w:rsid w:val="14982588"/>
    <w:rsid w:val="149A5AD9"/>
    <w:rsid w:val="14A7619D"/>
    <w:rsid w:val="150536C3"/>
    <w:rsid w:val="150C1963"/>
    <w:rsid w:val="151447A0"/>
    <w:rsid w:val="154A6454"/>
    <w:rsid w:val="15762120"/>
    <w:rsid w:val="15F228BD"/>
    <w:rsid w:val="15F333DA"/>
    <w:rsid w:val="15F928AA"/>
    <w:rsid w:val="15FD5F2E"/>
    <w:rsid w:val="16873D30"/>
    <w:rsid w:val="16970735"/>
    <w:rsid w:val="169D60DC"/>
    <w:rsid w:val="16A8729C"/>
    <w:rsid w:val="16B33777"/>
    <w:rsid w:val="16BC70A7"/>
    <w:rsid w:val="16C6339E"/>
    <w:rsid w:val="17163A31"/>
    <w:rsid w:val="172F2D79"/>
    <w:rsid w:val="17557BEF"/>
    <w:rsid w:val="17D349C1"/>
    <w:rsid w:val="182061EA"/>
    <w:rsid w:val="18244F26"/>
    <w:rsid w:val="1830729E"/>
    <w:rsid w:val="184864CA"/>
    <w:rsid w:val="1870062C"/>
    <w:rsid w:val="18817102"/>
    <w:rsid w:val="18830A15"/>
    <w:rsid w:val="18852B28"/>
    <w:rsid w:val="188B5321"/>
    <w:rsid w:val="189275F8"/>
    <w:rsid w:val="191311B8"/>
    <w:rsid w:val="195C7DDE"/>
    <w:rsid w:val="19932372"/>
    <w:rsid w:val="19995A93"/>
    <w:rsid w:val="19A20DD5"/>
    <w:rsid w:val="19AE03F1"/>
    <w:rsid w:val="1A071A03"/>
    <w:rsid w:val="1A1F16AE"/>
    <w:rsid w:val="1A3B5C77"/>
    <w:rsid w:val="1A6B5E42"/>
    <w:rsid w:val="1A6D72CF"/>
    <w:rsid w:val="1A984BAD"/>
    <w:rsid w:val="1AB8220E"/>
    <w:rsid w:val="1AD81E51"/>
    <w:rsid w:val="1AE4166C"/>
    <w:rsid w:val="1AF06347"/>
    <w:rsid w:val="1AF06CFB"/>
    <w:rsid w:val="1AF11B8D"/>
    <w:rsid w:val="1B11359C"/>
    <w:rsid w:val="1B2A271F"/>
    <w:rsid w:val="1B530544"/>
    <w:rsid w:val="1B713184"/>
    <w:rsid w:val="1B90229E"/>
    <w:rsid w:val="1BA209CF"/>
    <w:rsid w:val="1BB4777D"/>
    <w:rsid w:val="1BC51582"/>
    <w:rsid w:val="1BCB79CC"/>
    <w:rsid w:val="1BD75AB8"/>
    <w:rsid w:val="1C0459C2"/>
    <w:rsid w:val="1C1B3B4A"/>
    <w:rsid w:val="1C2564C4"/>
    <w:rsid w:val="1C5A08F5"/>
    <w:rsid w:val="1C88086E"/>
    <w:rsid w:val="1C96598B"/>
    <w:rsid w:val="1CFF6AA9"/>
    <w:rsid w:val="1D266CE1"/>
    <w:rsid w:val="1D3963AF"/>
    <w:rsid w:val="1D6A673C"/>
    <w:rsid w:val="1D9247AE"/>
    <w:rsid w:val="1DB567EC"/>
    <w:rsid w:val="1DF51A98"/>
    <w:rsid w:val="1E051CD9"/>
    <w:rsid w:val="1E3D060F"/>
    <w:rsid w:val="1E3F7D2E"/>
    <w:rsid w:val="1E4134E4"/>
    <w:rsid w:val="1E452991"/>
    <w:rsid w:val="1E470974"/>
    <w:rsid w:val="1E5062B3"/>
    <w:rsid w:val="1E523514"/>
    <w:rsid w:val="1E714A66"/>
    <w:rsid w:val="1E802593"/>
    <w:rsid w:val="1E8B6156"/>
    <w:rsid w:val="1EA703CC"/>
    <w:rsid w:val="1EB7330C"/>
    <w:rsid w:val="1EE209A7"/>
    <w:rsid w:val="1F0A0FF3"/>
    <w:rsid w:val="1F494278"/>
    <w:rsid w:val="1F5771FF"/>
    <w:rsid w:val="1FD52574"/>
    <w:rsid w:val="1FDB1D02"/>
    <w:rsid w:val="1FE868A9"/>
    <w:rsid w:val="1FED0843"/>
    <w:rsid w:val="20034907"/>
    <w:rsid w:val="20173E4B"/>
    <w:rsid w:val="204E48BC"/>
    <w:rsid w:val="208921B3"/>
    <w:rsid w:val="20973DEB"/>
    <w:rsid w:val="20B26522"/>
    <w:rsid w:val="20B44310"/>
    <w:rsid w:val="211116EB"/>
    <w:rsid w:val="212F563D"/>
    <w:rsid w:val="216133FC"/>
    <w:rsid w:val="21D56769"/>
    <w:rsid w:val="21E52EF3"/>
    <w:rsid w:val="21FB5D7B"/>
    <w:rsid w:val="22015E94"/>
    <w:rsid w:val="220B1C3D"/>
    <w:rsid w:val="221D1D20"/>
    <w:rsid w:val="22334A87"/>
    <w:rsid w:val="227B6E3E"/>
    <w:rsid w:val="22BD2FB3"/>
    <w:rsid w:val="22BD7457"/>
    <w:rsid w:val="22BE6801"/>
    <w:rsid w:val="22DA5AD7"/>
    <w:rsid w:val="233500BF"/>
    <w:rsid w:val="23377FF7"/>
    <w:rsid w:val="236B425F"/>
    <w:rsid w:val="237C4C1C"/>
    <w:rsid w:val="23836192"/>
    <w:rsid w:val="23901F29"/>
    <w:rsid w:val="239C0061"/>
    <w:rsid w:val="23B908A4"/>
    <w:rsid w:val="23E95BEF"/>
    <w:rsid w:val="23FD0064"/>
    <w:rsid w:val="245375B0"/>
    <w:rsid w:val="24642C0A"/>
    <w:rsid w:val="24705965"/>
    <w:rsid w:val="24B22173"/>
    <w:rsid w:val="24B95AD9"/>
    <w:rsid w:val="24BE24DA"/>
    <w:rsid w:val="24CF5825"/>
    <w:rsid w:val="24D663E6"/>
    <w:rsid w:val="24D77F2B"/>
    <w:rsid w:val="258B00E2"/>
    <w:rsid w:val="25A917A6"/>
    <w:rsid w:val="25BE27CC"/>
    <w:rsid w:val="25F74A5C"/>
    <w:rsid w:val="2628662C"/>
    <w:rsid w:val="262D45DE"/>
    <w:rsid w:val="262D4649"/>
    <w:rsid w:val="263B03FB"/>
    <w:rsid w:val="26871DC8"/>
    <w:rsid w:val="26A53EF9"/>
    <w:rsid w:val="26A94201"/>
    <w:rsid w:val="26AC274F"/>
    <w:rsid w:val="27044A29"/>
    <w:rsid w:val="271D34C8"/>
    <w:rsid w:val="276142BF"/>
    <w:rsid w:val="27783712"/>
    <w:rsid w:val="27907362"/>
    <w:rsid w:val="27FB4E5F"/>
    <w:rsid w:val="280A6C3A"/>
    <w:rsid w:val="28333E1D"/>
    <w:rsid w:val="28454BD6"/>
    <w:rsid w:val="28455253"/>
    <w:rsid w:val="28541CAB"/>
    <w:rsid w:val="28551971"/>
    <w:rsid w:val="285B1C53"/>
    <w:rsid w:val="289F7086"/>
    <w:rsid w:val="28C32028"/>
    <w:rsid w:val="28CC490F"/>
    <w:rsid w:val="28DE40AA"/>
    <w:rsid w:val="28F021E4"/>
    <w:rsid w:val="29030387"/>
    <w:rsid w:val="29345E77"/>
    <w:rsid w:val="294C65AD"/>
    <w:rsid w:val="29806583"/>
    <w:rsid w:val="298B3C4C"/>
    <w:rsid w:val="29DC002D"/>
    <w:rsid w:val="29F06054"/>
    <w:rsid w:val="29F26D24"/>
    <w:rsid w:val="29F306C6"/>
    <w:rsid w:val="2A15033F"/>
    <w:rsid w:val="2A1662C1"/>
    <w:rsid w:val="2A1C7367"/>
    <w:rsid w:val="2A2815FA"/>
    <w:rsid w:val="2A6D6092"/>
    <w:rsid w:val="2A7D76B4"/>
    <w:rsid w:val="2A971886"/>
    <w:rsid w:val="2B437463"/>
    <w:rsid w:val="2B7807EE"/>
    <w:rsid w:val="2BA50BF7"/>
    <w:rsid w:val="2BBF00EC"/>
    <w:rsid w:val="2BC37CFD"/>
    <w:rsid w:val="2BD5237F"/>
    <w:rsid w:val="2BD650E5"/>
    <w:rsid w:val="2BE536CE"/>
    <w:rsid w:val="2BE758D9"/>
    <w:rsid w:val="2BF346BB"/>
    <w:rsid w:val="2C09049E"/>
    <w:rsid w:val="2C0A653C"/>
    <w:rsid w:val="2C191F85"/>
    <w:rsid w:val="2CDF0749"/>
    <w:rsid w:val="2CE00C25"/>
    <w:rsid w:val="2CE82D6F"/>
    <w:rsid w:val="2D343236"/>
    <w:rsid w:val="2D4369FF"/>
    <w:rsid w:val="2D575011"/>
    <w:rsid w:val="2DC61256"/>
    <w:rsid w:val="2DCF0A74"/>
    <w:rsid w:val="2DD15014"/>
    <w:rsid w:val="2DE831B5"/>
    <w:rsid w:val="2DF126AA"/>
    <w:rsid w:val="2DF72DE4"/>
    <w:rsid w:val="2E0220AF"/>
    <w:rsid w:val="2E4B082A"/>
    <w:rsid w:val="2E5D4E86"/>
    <w:rsid w:val="2E5D790B"/>
    <w:rsid w:val="2E6764C9"/>
    <w:rsid w:val="2E9A3C18"/>
    <w:rsid w:val="2EBB0FEE"/>
    <w:rsid w:val="2EC63002"/>
    <w:rsid w:val="2F0A6B38"/>
    <w:rsid w:val="2F946CCB"/>
    <w:rsid w:val="2FD25781"/>
    <w:rsid w:val="2FDC745C"/>
    <w:rsid w:val="2FFD7934"/>
    <w:rsid w:val="301B4336"/>
    <w:rsid w:val="30733ACD"/>
    <w:rsid w:val="307A76CC"/>
    <w:rsid w:val="30843936"/>
    <w:rsid w:val="308C3862"/>
    <w:rsid w:val="309379D8"/>
    <w:rsid w:val="30A270F7"/>
    <w:rsid w:val="30DF1478"/>
    <w:rsid w:val="30EC586F"/>
    <w:rsid w:val="30F8356E"/>
    <w:rsid w:val="315C0C35"/>
    <w:rsid w:val="319C6071"/>
    <w:rsid w:val="31AC537E"/>
    <w:rsid w:val="31E3679B"/>
    <w:rsid w:val="31E732FD"/>
    <w:rsid w:val="32517576"/>
    <w:rsid w:val="32A71B77"/>
    <w:rsid w:val="32BE5C2C"/>
    <w:rsid w:val="32D63C1D"/>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0F36CE"/>
    <w:rsid w:val="363A3B40"/>
    <w:rsid w:val="365302AE"/>
    <w:rsid w:val="36607A0A"/>
    <w:rsid w:val="366E227C"/>
    <w:rsid w:val="366F2E0D"/>
    <w:rsid w:val="367B6A5C"/>
    <w:rsid w:val="36A74ADA"/>
    <w:rsid w:val="36AD60D5"/>
    <w:rsid w:val="36B224F9"/>
    <w:rsid w:val="36EC0CC9"/>
    <w:rsid w:val="373F410B"/>
    <w:rsid w:val="37461371"/>
    <w:rsid w:val="379951D2"/>
    <w:rsid w:val="37AF7B7F"/>
    <w:rsid w:val="37EE7094"/>
    <w:rsid w:val="38296C89"/>
    <w:rsid w:val="383002EB"/>
    <w:rsid w:val="38586797"/>
    <w:rsid w:val="385D15DF"/>
    <w:rsid w:val="38714062"/>
    <w:rsid w:val="38BC0149"/>
    <w:rsid w:val="38D87D1C"/>
    <w:rsid w:val="38F60E20"/>
    <w:rsid w:val="395B128E"/>
    <w:rsid w:val="39636459"/>
    <w:rsid w:val="396B7F6C"/>
    <w:rsid w:val="39B417A9"/>
    <w:rsid w:val="39FC5695"/>
    <w:rsid w:val="3A006D8E"/>
    <w:rsid w:val="3A3651E5"/>
    <w:rsid w:val="3A744481"/>
    <w:rsid w:val="3A8C7BEF"/>
    <w:rsid w:val="3A906246"/>
    <w:rsid w:val="3B2349B7"/>
    <w:rsid w:val="3B387931"/>
    <w:rsid w:val="3B616CFF"/>
    <w:rsid w:val="3B6259F6"/>
    <w:rsid w:val="3B976654"/>
    <w:rsid w:val="3B9C6B2B"/>
    <w:rsid w:val="3BC01EFC"/>
    <w:rsid w:val="3BCA786A"/>
    <w:rsid w:val="3BD31E2F"/>
    <w:rsid w:val="3BF15831"/>
    <w:rsid w:val="3C105946"/>
    <w:rsid w:val="3C275992"/>
    <w:rsid w:val="3C471448"/>
    <w:rsid w:val="3C5F759A"/>
    <w:rsid w:val="3C6C525A"/>
    <w:rsid w:val="3C7C70E1"/>
    <w:rsid w:val="3CA228E3"/>
    <w:rsid w:val="3CA60B04"/>
    <w:rsid w:val="3CC46E8F"/>
    <w:rsid w:val="3CCE23CB"/>
    <w:rsid w:val="3CD17D17"/>
    <w:rsid w:val="3CEC4769"/>
    <w:rsid w:val="3D3C7F39"/>
    <w:rsid w:val="3D440F09"/>
    <w:rsid w:val="3D4504A0"/>
    <w:rsid w:val="3D8734BB"/>
    <w:rsid w:val="3D9A11D4"/>
    <w:rsid w:val="3DA16D89"/>
    <w:rsid w:val="3DA364BE"/>
    <w:rsid w:val="3DCA1485"/>
    <w:rsid w:val="3DD96AFC"/>
    <w:rsid w:val="3DE041CB"/>
    <w:rsid w:val="3DF2596E"/>
    <w:rsid w:val="3E0D48F6"/>
    <w:rsid w:val="3E1868B4"/>
    <w:rsid w:val="3E377251"/>
    <w:rsid w:val="3E42664B"/>
    <w:rsid w:val="3E5A7334"/>
    <w:rsid w:val="3E6E52A4"/>
    <w:rsid w:val="3E7B5D6B"/>
    <w:rsid w:val="3E843E66"/>
    <w:rsid w:val="3E8F51FE"/>
    <w:rsid w:val="3E926F87"/>
    <w:rsid w:val="3E934AE8"/>
    <w:rsid w:val="3E9A59DE"/>
    <w:rsid w:val="3EAF4836"/>
    <w:rsid w:val="3EC33DFA"/>
    <w:rsid w:val="3EE75BFC"/>
    <w:rsid w:val="3F060E16"/>
    <w:rsid w:val="3F1D1096"/>
    <w:rsid w:val="3F2F0234"/>
    <w:rsid w:val="3F2F6431"/>
    <w:rsid w:val="3F6363FE"/>
    <w:rsid w:val="3F756B8F"/>
    <w:rsid w:val="3F95482B"/>
    <w:rsid w:val="3FA806EF"/>
    <w:rsid w:val="4019356B"/>
    <w:rsid w:val="40592157"/>
    <w:rsid w:val="406E1CAE"/>
    <w:rsid w:val="40A0133A"/>
    <w:rsid w:val="40C31A53"/>
    <w:rsid w:val="40FF545D"/>
    <w:rsid w:val="410067C8"/>
    <w:rsid w:val="418F0D2A"/>
    <w:rsid w:val="41D01505"/>
    <w:rsid w:val="423C41EF"/>
    <w:rsid w:val="42474939"/>
    <w:rsid w:val="424C3C57"/>
    <w:rsid w:val="42613FF3"/>
    <w:rsid w:val="42660D96"/>
    <w:rsid w:val="427E2BB0"/>
    <w:rsid w:val="428667D2"/>
    <w:rsid w:val="42C15F83"/>
    <w:rsid w:val="42CD1CE0"/>
    <w:rsid w:val="42E1381E"/>
    <w:rsid w:val="42ED6459"/>
    <w:rsid w:val="42FE58DD"/>
    <w:rsid w:val="43174B3D"/>
    <w:rsid w:val="434B790E"/>
    <w:rsid w:val="4360274F"/>
    <w:rsid w:val="438F404B"/>
    <w:rsid w:val="43977AB6"/>
    <w:rsid w:val="43A3342B"/>
    <w:rsid w:val="43C77C27"/>
    <w:rsid w:val="43DE09EE"/>
    <w:rsid w:val="44002FAD"/>
    <w:rsid w:val="44213AFF"/>
    <w:rsid w:val="448A7D62"/>
    <w:rsid w:val="449101DD"/>
    <w:rsid w:val="44DE1391"/>
    <w:rsid w:val="44E43808"/>
    <w:rsid w:val="450572AD"/>
    <w:rsid w:val="451B225C"/>
    <w:rsid w:val="452410C9"/>
    <w:rsid w:val="45317DFB"/>
    <w:rsid w:val="456D3CE4"/>
    <w:rsid w:val="45717543"/>
    <w:rsid w:val="4579042C"/>
    <w:rsid w:val="457F0571"/>
    <w:rsid w:val="45851176"/>
    <w:rsid w:val="45C63B94"/>
    <w:rsid w:val="460D74FE"/>
    <w:rsid w:val="460E7DA5"/>
    <w:rsid w:val="46422483"/>
    <w:rsid w:val="4659254A"/>
    <w:rsid w:val="465B0637"/>
    <w:rsid w:val="465E3F0D"/>
    <w:rsid w:val="466A16E6"/>
    <w:rsid w:val="46893F2B"/>
    <w:rsid w:val="46C4686E"/>
    <w:rsid w:val="46C96CF0"/>
    <w:rsid w:val="46CF3BBE"/>
    <w:rsid w:val="47444517"/>
    <w:rsid w:val="477B778F"/>
    <w:rsid w:val="478203EC"/>
    <w:rsid w:val="47841C0B"/>
    <w:rsid w:val="47B025FA"/>
    <w:rsid w:val="47F45217"/>
    <w:rsid w:val="4809698F"/>
    <w:rsid w:val="4811697D"/>
    <w:rsid w:val="484F72F8"/>
    <w:rsid w:val="487A3E25"/>
    <w:rsid w:val="488B5503"/>
    <w:rsid w:val="48937E21"/>
    <w:rsid w:val="489A0361"/>
    <w:rsid w:val="48B94FF3"/>
    <w:rsid w:val="48C240E8"/>
    <w:rsid w:val="48E37AAB"/>
    <w:rsid w:val="48F878F7"/>
    <w:rsid w:val="48FD4B4C"/>
    <w:rsid w:val="490A68E0"/>
    <w:rsid w:val="491055FE"/>
    <w:rsid w:val="495F5B3E"/>
    <w:rsid w:val="496F77D7"/>
    <w:rsid w:val="497654FD"/>
    <w:rsid w:val="49B64211"/>
    <w:rsid w:val="49F6167F"/>
    <w:rsid w:val="4A064FA0"/>
    <w:rsid w:val="4A16615C"/>
    <w:rsid w:val="4A4424D7"/>
    <w:rsid w:val="4AA04DE4"/>
    <w:rsid w:val="4AB82D0F"/>
    <w:rsid w:val="4AEB7664"/>
    <w:rsid w:val="4AFD7C19"/>
    <w:rsid w:val="4B0567D1"/>
    <w:rsid w:val="4B09427D"/>
    <w:rsid w:val="4B236AAE"/>
    <w:rsid w:val="4B707271"/>
    <w:rsid w:val="4B9739F7"/>
    <w:rsid w:val="4BEE2503"/>
    <w:rsid w:val="4C245A30"/>
    <w:rsid w:val="4CB6685F"/>
    <w:rsid w:val="4CC367FE"/>
    <w:rsid w:val="4CF7240E"/>
    <w:rsid w:val="4D01288D"/>
    <w:rsid w:val="4D077F3C"/>
    <w:rsid w:val="4D123355"/>
    <w:rsid w:val="4D185106"/>
    <w:rsid w:val="4D2A3B31"/>
    <w:rsid w:val="4D312C52"/>
    <w:rsid w:val="4D3D1CDC"/>
    <w:rsid w:val="4D905305"/>
    <w:rsid w:val="4D964A72"/>
    <w:rsid w:val="4D9C1254"/>
    <w:rsid w:val="4DE66FB2"/>
    <w:rsid w:val="4DF800D0"/>
    <w:rsid w:val="4E793892"/>
    <w:rsid w:val="4E800872"/>
    <w:rsid w:val="4EC569ED"/>
    <w:rsid w:val="4ED50EA1"/>
    <w:rsid w:val="4EEC050C"/>
    <w:rsid w:val="4F104EC3"/>
    <w:rsid w:val="4F2A54C1"/>
    <w:rsid w:val="4F306803"/>
    <w:rsid w:val="4F4421E2"/>
    <w:rsid w:val="4F47354A"/>
    <w:rsid w:val="4F576604"/>
    <w:rsid w:val="4F911C54"/>
    <w:rsid w:val="4FD04662"/>
    <w:rsid w:val="4FE625E0"/>
    <w:rsid w:val="5021480F"/>
    <w:rsid w:val="50436B6B"/>
    <w:rsid w:val="50812254"/>
    <w:rsid w:val="50962ECB"/>
    <w:rsid w:val="50A42E38"/>
    <w:rsid w:val="50A4577F"/>
    <w:rsid w:val="50B73D1F"/>
    <w:rsid w:val="50BD5BC9"/>
    <w:rsid w:val="50C11EEE"/>
    <w:rsid w:val="50D26C6E"/>
    <w:rsid w:val="50E97CFC"/>
    <w:rsid w:val="50FA4028"/>
    <w:rsid w:val="510D65B7"/>
    <w:rsid w:val="511157AB"/>
    <w:rsid w:val="5142540C"/>
    <w:rsid w:val="51590D9D"/>
    <w:rsid w:val="518832C8"/>
    <w:rsid w:val="518B234A"/>
    <w:rsid w:val="519D3C50"/>
    <w:rsid w:val="51A0432A"/>
    <w:rsid w:val="51A86090"/>
    <w:rsid w:val="51B7396D"/>
    <w:rsid w:val="522E4CC3"/>
    <w:rsid w:val="5244713B"/>
    <w:rsid w:val="52615633"/>
    <w:rsid w:val="526F4DE4"/>
    <w:rsid w:val="52977FD4"/>
    <w:rsid w:val="52A25790"/>
    <w:rsid w:val="52A96B6F"/>
    <w:rsid w:val="52AC3596"/>
    <w:rsid w:val="52B45975"/>
    <w:rsid w:val="52C841D4"/>
    <w:rsid w:val="52D94AA4"/>
    <w:rsid w:val="52DD6ACB"/>
    <w:rsid w:val="52EA3A62"/>
    <w:rsid w:val="52F50BB8"/>
    <w:rsid w:val="53097272"/>
    <w:rsid w:val="53125694"/>
    <w:rsid w:val="53544462"/>
    <w:rsid w:val="5397158E"/>
    <w:rsid w:val="54013861"/>
    <w:rsid w:val="54487265"/>
    <w:rsid w:val="544D6070"/>
    <w:rsid w:val="54605E1E"/>
    <w:rsid w:val="54B3506A"/>
    <w:rsid w:val="54CA0D16"/>
    <w:rsid w:val="54D6019F"/>
    <w:rsid w:val="54DD4057"/>
    <w:rsid w:val="54E7490F"/>
    <w:rsid w:val="550764A4"/>
    <w:rsid w:val="550B2BF6"/>
    <w:rsid w:val="55214EB5"/>
    <w:rsid w:val="55364EFD"/>
    <w:rsid w:val="555D4828"/>
    <w:rsid w:val="557A4C8B"/>
    <w:rsid w:val="55844A0A"/>
    <w:rsid w:val="558931E1"/>
    <w:rsid w:val="55923347"/>
    <w:rsid w:val="55925180"/>
    <w:rsid w:val="55983B1B"/>
    <w:rsid w:val="55A8376B"/>
    <w:rsid w:val="55DC29B6"/>
    <w:rsid w:val="55DD4241"/>
    <w:rsid w:val="5601181A"/>
    <w:rsid w:val="566B6D1E"/>
    <w:rsid w:val="57032A2C"/>
    <w:rsid w:val="570F5219"/>
    <w:rsid w:val="57440280"/>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7FC2C7E"/>
    <w:rsid w:val="587F7B16"/>
    <w:rsid w:val="588C69A8"/>
    <w:rsid w:val="58917D2F"/>
    <w:rsid w:val="5894085C"/>
    <w:rsid w:val="58AB5080"/>
    <w:rsid w:val="58AE4F0C"/>
    <w:rsid w:val="58B85899"/>
    <w:rsid w:val="58DC5B03"/>
    <w:rsid w:val="58E363A9"/>
    <w:rsid w:val="59166304"/>
    <w:rsid w:val="593A6404"/>
    <w:rsid w:val="59537501"/>
    <w:rsid w:val="595E1678"/>
    <w:rsid w:val="596D5BD4"/>
    <w:rsid w:val="597E3DD8"/>
    <w:rsid w:val="59EE7142"/>
    <w:rsid w:val="59F80043"/>
    <w:rsid w:val="5A09252F"/>
    <w:rsid w:val="5A0B2778"/>
    <w:rsid w:val="5A2A7C7B"/>
    <w:rsid w:val="5A3E2560"/>
    <w:rsid w:val="5A5D3B6E"/>
    <w:rsid w:val="5A637A76"/>
    <w:rsid w:val="5A6D33BA"/>
    <w:rsid w:val="5A792B1F"/>
    <w:rsid w:val="5A874767"/>
    <w:rsid w:val="5AA85BE2"/>
    <w:rsid w:val="5AAD6F28"/>
    <w:rsid w:val="5AD63A24"/>
    <w:rsid w:val="5AE02F23"/>
    <w:rsid w:val="5AF267D9"/>
    <w:rsid w:val="5B2E1A1D"/>
    <w:rsid w:val="5B5E305F"/>
    <w:rsid w:val="5B843A1C"/>
    <w:rsid w:val="5B873E3F"/>
    <w:rsid w:val="5BFE2350"/>
    <w:rsid w:val="5C02690E"/>
    <w:rsid w:val="5C196DA7"/>
    <w:rsid w:val="5C2A048C"/>
    <w:rsid w:val="5C2C64D8"/>
    <w:rsid w:val="5C473FFD"/>
    <w:rsid w:val="5C7F0CFE"/>
    <w:rsid w:val="5C80234E"/>
    <w:rsid w:val="5C8A680C"/>
    <w:rsid w:val="5CAA18E8"/>
    <w:rsid w:val="5CF96FBB"/>
    <w:rsid w:val="5D0C4701"/>
    <w:rsid w:val="5D0F0395"/>
    <w:rsid w:val="5D221076"/>
    <w:rsid w:val="5D397964"/>
    <w:rsid w:val="5D5A391C"/>
    <w:rsid w:val="5D5F10C0"/>
    <w:rsid w:val="5D891B7B"/>
    <w:rsid w:val="5DAD38EE"/>
    <w:rsid w:val="5DB93D9B"/>
    <w:rsid w:val="5DE7787B"/>
    <w:rsid w:val="5E006862"/>
    <w:rsid w:val="5E0207B9"/>
    <w:rsid w:val="5E1834A1"/>
    <w:rsid w:val="5E261785"/>
    <w:rsid w:val="5E267AAF"/>
    <w:rsid w:val="5E4A7017"/>
    <w:rsid w:val="5E552BBA"/>
    <w:rsid w:val="5E611C10"/>
    <w:rsid w:val="5E700DD8"/>
    <w:rsid w:val="5E7A0F3F"/>
    <w:rsid w:val="5EC8139C"/>
    <w:rsid w:val="5EFC7377"/>
    <w:rsid w:val="5F06174D"/>
    <w:rsid w:val="5F3A3602"/>
    <w:rsid w:val="5F45733B"/>
    <w:rsid w:val="5F6277C6"/>
    <w:rsid w:val="5F6D0B1D"/>
    <w:rsid w:val="5F8D0B82"/>
    <w:rsid w:val="5F99775A"/>
    <w:rsid w:val="5FCC5339"/>
    <w:rsid w:val="5FD16EC1"/>
    <w:rsid w:val="5FE34A5B"/>
    <w:rsid w:val="5FFE1E36"/>
    <w:rsid w:val="6017124D"/>
    <w:rsid w:val="60232584"/>
    <w:rsid w:val="607330CE"/>
    <w:rsid w:val="60825176"/>
    <w:rsid w:val="609F2AC4"/>
    <w:rsid w:val="60FA2EE8"/>
    <w:rsid w:val="61054A27"/>
    <w:rsid w:val="610A52BC"/>
    <w:rsid w:val="611D2366"/>
    <w:rsid w:val="61421856"/>
    <w:rsid w:val="61500EBB"/>
    <w:rsid w:val="615227C4"/>
    <w:rsid w:val="61654E3F"/>
    <w:rsid w:val="616C7377"/>
    <w:rsid w:val="6182292A"/>
    <w:rsid w:val="619F7F92"/>
    <w:rsid w:val="61F94C26"/>
    <w:rsid w:val="62000E56"/>
    <w:rsid w:val="624F3E49"/>
    <w:rsid w:val="625978FB"/>
    <w:rsid w:val="62632286"/>
    <w:rsid w:val="62885958"/>
    <w:rsid w:val="62E73159"/>
    <w:rsid w:val="62F40B65"/>
    <w:rsid w:val="62FC2CFE"/>
    <w:rsid w:val="63024505"/>
    <w:rsid w:val="635600A5"/>
    <w:rsid w:val="635B1DB5"/>
    <w:rsid w:val="63711FED"/>
    <w:rsid w:val="63880DDC"/>
    <w:rsid w:val="638D750D"/>
    <w:rsid w:val="639F4589"/>
    <w:rsid w:val="63AC6CC0"/>
    <w:rsid w:val="64055776"/>
    <w:rsid w:val="641206A9"/>
    <w:rsid w:val="64240056"/>
    <w:rsid w:val="643E143A"/>
    <w:rsid w:val="64491666"/>
    <w:rsid w:val="648B6EEF"/>
    <w:rsid w:val="64A045F3"/>
    <w:rsid w:val="64C158BF"/>
    <w:rsid w:val="64CE2EAA"/>
    <w:rsid w:val="650B0ABB"/>
    <w:rsid w:val="653C3090"/>
    <w:rsid w:val="65854376"/>
    <w:rsid w:val="658767BE"/>
    <w:rsid w:val="65892531"/>
    <w:rsid w:val="65A745DA"/>
    <w:rsid w:val="66195831"/>
    <w:rsid w:val="661A3845"/>
    <w:rsid w:val="662E75B1"/>
    <w:rsid w:val="66342C2E"/>
    <w:rsid w:val="663E784C"/>
    <w:rsid w:val="668B6A45"/>
    <w:rsid w:val="672F3F24"/>
    <w:rsid w:val="673E055F"/>
    <w:rsid w:val="67551CE3"/>
    <w:rsid w:val="67A22552"/>
    <w:rsid w:val="67B22DCC"/>
    <w:rsid w:val="67B61F9B"/>
    <w:rsid w:val="67BE71AA"/>
    <w:rsid w:val="67D90273"/>
    <w:rsid w:val="67DE5875"/>
    <w:rsid w:val="67E432DE"/>
    <w:rsid w:val="67E55852"/>
    <w:rsid w:val="67EA7456"/>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4454E8"/>
    <w:rsid w:val="6A5079C7"/>
    <w:rsid w:val="6ADE0BD1"/>
    <w:rsid w:val="6ADF6E0B"/>
    <w:rsid w:val="6AE96859"/>
    <w:rsid w:val="6B147746"/>
    <w:rsid w:val="6B24787C"/>
    <w:rsid w:val="6B2C2725"/>
    <w:rsid w:val="6B573233"/>
    <w:rsid w:val="6B5B6274"/>
    <w:rsid w:val="6B935D53"/>
    <w:rsid w:val="6BCD02EE"/>
    <w:rsid w:val="6BD149A6"/>
    <w:rsid w:val="6BEC73A0"/>
    <w:rsid w:val="6C147092"/>
    <w:rsid w:val="6C196F71"/>
    <w:rsid w:val="6C226FCB"/>
    <w:rsid w:val="6C31226F"/>
    <w:rsid w:val="6C552F0B"/>
    <w:rsid w:val="6C8C67B7"/>
    <w:rsid w:val="6C9D744C"/>
    <w:rsid w:val="6D0F1C2A"/>
    <w:rsid w:val="6D167928"/>
    <w:rsid w:val="6D26299B"/>
    <w:rsid w:val="6D3D5271"/>
    <w:rsid w:val="6D4772EC"/>
    <w:rsid w:val="6D9078AF"/>
    <w:rsid w:val="6DAA3FEF"/>
    <w:rsid w:val="6DC0172B"/>
    <w:rsid w:val="6DCB690C"/>
    <w:rsid w:val="6DD41A5B"/>
    <w:rsid w:val="6DE9408D"/>
    <w:rsid w:val="6DF43C2E"/>
    <w:rsid w:val="6DF51CA3"/>
    <w:rsid w:val="6E677844"/>
    <w:rsid w:val="6E8335BD"/>
    <w:rsid w:val="6E8E12EF"/>
    <w:rsid w:val="6E972936"/>
    <w:rsid w:val="6ED446C5"/>
    <w:rsid w:val="6F020A30"/>
    <w:rsid w:val="6F2A7D94"/>
    <w:rsid w:val="6F8331F1"/>
    <w:rsid w:val="6FAE1A09"/>
    <w:rsid w:val="6FC7059A"/>
    <w:rsid w:val="6FD75BF8"/>
    <w:rsid w:val="6FF869A5"/>
    <w:rsid w:val="70573495"/>
    <w:rsid w:val="707723D0"/>
    <w:rsid w:val="70F5661B"/>
    <w:rsid w:val="71360107"/>
    <w:rsid w:val="7136363E"/>
    <w:rsid w:val="713B688E"/>
    <w:rsid w:val="71B26DAA"/>
    <w:rsid w:val="71B8559C"/>
    <w:rsid w:val="71D43752"/>
    <w:rsid w:val="71F1796A"/>
    <w:rsid w:val="72154626"/>
    <w:rsid w:val="72262B5D"/>
    <w:rsid w:val="72283FF7"/>
    <w:rsid w:val="722E7212"/>
    <w:rsid w:val="723A0474"/>
    <w:rsid w:val="725923E4"/>
    <w:rsid w:val="72864BF7"/>
    <w:rsid w:val="729023FC"/>
    <w:rsid w:val="732E0930"/>
    <w:rsid w:val="7356747F"/>
    <w:rsid w:val="73B74BBB"/>
    <w:rsid w:val="73C0646E"/>
    <w:rsid w:val="742222F5"/>
    <w:rsid w:val="74476126"/>
    <w:rsid w:val="74581A23"/>
    <w:rsid w:val="74706664"/>
    <w:rsid w:val="747F3682"/>
    <w:rsid w:val="749C4185"/>
    <w:rsid w:val="74AF74D9"/>
    <w:rsid w:val="75067759"/>
    <w:rsid w:val="752E6DCD"/>
    <w:rsid w:val="75422471"/>
    <w:rsid w:val="7551380D"/>
    <w:rsid w:val="75600BE5"/>
    <w:rsid w:val="7564475C"/>
    <w:rsid w:val="7583797F"/>
    <w:rsid w:val="75D20F1D"/>
    <w:rsid w:val="75DA2C18"/>
    <w:rsid w:val="75DE3787"/>
    <w:rsid w:val="75F54412"/>
    <w:rsid w:val="761D08E0"/>
    <w:rsid w:val="765D347C"/>
    <w:rsid w:val="76826699"/>
    <w:rsid w:val="76C87133"/>
    <w:rsid w:val="76CD08D5"/>
    <w:rsid w:val="76DB4B92"/>
    <w:rsid w:val="76F66F18"/>
    <w:rsid w:val="77052AA4"/>
    <w:rsid w:val="77136511"/>
    <w:rsid w:val="7719204E"/>
    <w:rsid w:val="771E4E3B"/>
    <w:rsid w:val="77340A39"/>
    <w:rsid w:val="77351FD0"/>
    <w:rsid w:val="77472422"/>
    <w:rsid w:val="777F31F2"/>
    <w:rsid w:val="77D1700D"/>
    <w:rsid w:val="77EC04CC"/>
    <w:rsid w:val="77F43EF6"/>
    <w:rsid w:val="78775729"/>
    <w:rsid w:val="78A42DB0"/>
    <w:rsid w:val="78A656AB"/>
    <w:rsid w:val="78B2245C"/>
    <w:rsid w:val="78E172CC"/>
    <w:rsid w:val="78EA1D1F"/>
    <w:rsid w:val="78F37F8C"/>
    <w:rsid w:val="7904172F"/>
    <w:rsid w:val="790F7E27"/>
    <w:rsid w:val="792A231A"/>
    <w:rsid w:val="79316829"/>
    <w:rsid w:val="79406118"/>
    <w:rsid w:val="797E66A9"/>
    <w:rsid w:val="798518A4"/>
    <w:rsid w:val="79A97383"/>
    <w:rsid w:val="79E27E8B"/>
    <w:rsid w:val="79F850CE"/>
    <w:rsid w:val="79FD443C"/>
    <w:rsid w:val="7A1D1975"/>
    <w:rsid w:val="7A3E5150"/>
    <w:rsid w:val="7A431165"/>
    <w:rsid w:val="7A4670D6"/>
    <w:rsid w:val="7A534B63"/>
    <w:rsid w:val="7A615382"/>
    <w:rsid w:val="7A67303B"/>
    <w:rsid w:val="7A7E71CA"/>
    <w:rsid w:val="7AAB1D04"/>
    <w:rsid w:val="7ABA4368"/>
    <w:rsid w:val="7AD05746"/>
    <w:rsid w:val="7AF3424C"/>
    <w:rsid w:val="7B187EFC"/>
    <w:rsid w:val="7B257FFD"/>
    <w:rsid w:val="7B343476"/>
    <w:rsid w:val="7B422966"/>
    <w:rsid w:val="7B5A2978"/>
    <w:rsid w:val="7B5A7E4C"/>
    <w:rsid w:val="7B667AF9"/>
    <w:rsid w:val="7B7468F8"/>
    <w:rsid w:val="7B810F43"/>
    <w:rsid w:val="7BEE0103"/>
    <w:rsid w:val="7C0A0FE4"/>
    <w:rsid w:val="7C254906"/>
    <w:rsid w:val="7C4C2723"/>
    <w:rsid w:val="7C590818"/>
    <w:rsid w:val="7C7C10F6"/>
    <w:rsid w:val="7C853BEA"/>
    <w:rsid w:val="7C881368"/>
    <w:rsid w:val="7CE27788"/>
    <w:rsid w:val="7D0C32F1"/>
    <w:rsid w:val="7D0F408D"/>
    <w:rsid w:val="7D1E5C62"/>
    <w:rsid w:val="7D341239"/>
    <w:rsid w:val="7D491C6C"/>
    <w:rsid w:val="7D5429C0"/>
    <w:rsid w:val="7D667848"/>
    <w:rsid w:val="7D6E6D43"/>
    <w:rsid w:val="7DB57A34"/>
    <w:rsid w:val="7DE60973"/>
    <w:rsid w:val="7DEF0916"/>
    <w:rsid w:val="7DF87364"/>
    <w:rsid w:val="7E1E5218"/>
    <w:rsid w:val="7E9A4E1F"/>
    <w:rsid w:val="7EA7723A"/>
    <w:rsid w:val="7ED405DD"/>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4"/>
    <w:qFormat/>
    <w:uiPriority w:val="0"/>
    <w:pPr>
      <w:adjustRightInd/>
      <w:spacing w:after="120" w:line="240" w:lineRule="auto"/>
      <w:ind w:left="420" w:leftChars="200" w:firstLine="210"/>
    </w:pPr>
    <w:rPr>
      <w:sz w:val="21"/>
    </w:rPr>
  </w:style>
  <w:style w:type="paragraph" w:styleId="3">
    <w:name w:val="Body Text Indent"/>
    <w:basedOn w:val="1"/>
    <w:next w:val="4"/>
    <w:link w:val="268"/>
    <w:qFormat/>
    <w:uiPriority w:val="0"/>
    <w:pPr>
      <w:spacing w:line="480" w:lineRule="exact"/>
      <w:ind w:firstLine="480" w:firstLineChars="200"/>
    </w:pPr>
    <w:rPr>
      <w:rFonts w:ascii="宋体" w:hAnsi="宋体"/>
      <w:sz w:val="24"/>
    </w:rPr>
  </w:style>
  <w:style w:type="paragraph" w:styleId="4">
    <w:name w:val="envelope return"/>
    <w:basedOn w:val="1"/>
    <w:qFormat/>
    <w:uiPriority w:val="99"/>
    <w:pPr>
      <w:snapToGrid w:val="0"/>
    </w:pPr>
    <w:rPr>
      <w:rFonts w:ascii="Arial" w:hAnsi="Arial" w:cs="Arial"/>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2"/>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5"/>
    <w:qFormat/>
    <w:uiPriority w:val="0"/>
    <w:pPr>
      <w:shd w:val="clear" w:color="auto" w:fill="000080"/>
    </w:pPr>
  </w:style>
  <w:style w:type="paragraph" w:styleId="22">
    <w:name w:val="annotation text"/>
    <w:basedOn w:val="1"/>
    <w:link w:val="347"/>
    <w:qFormat/>
    <w:uiPriority w:val="99"/>
    <w:pPr>
      <w:jc w:val="left"/>
    </w:pPr>
  </w:style>
  <w:style w:type="paragraph" w:styleId="23">
    <w:name w:val="Salutation"/>
    <w:basedOn w:val="1"/>
    <w:next w:val="1"/>
    <w:link w:val="301"/>
    <w:qFormat/>
    <w:uiPriority w:val="0"/>
    <w:rPr>
      <w:rFonts w:ascii="仿宋_GB2312" w:eastAsia="仿宋_GB2312"/>
      <w:sz w:val="28"/>
      <w:szCs w:val="20"/>
    </w:rPr>
  </w:style>
  <w:style w:type="paragraph" w:styleId="24">
    <w:name w:val="Body Text 3"/>
    <w:basedOn w:val="1"/>
    <w:link w:val="333"/>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2"/>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324"/>
    <w:qFormat/>
    <w:uiPriority w:val="0"/>
    <w:pPr>
      <w:ind w:firstLine="420"/>
    </w:pPr>
    <w:rPr>
      <w:rFonts w:hAnsi="Calibri" w:cs="Times New Roman"/>
      <w:snapToGrid/>
      <w:szCs w:val="20"/>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36"/>
    <w:link w:val="128"/>
    <w:qFormat/>
    <w:uiPriority w:val="0"/>
    <w:rPr>
      <w:rFonts w:ascii="宋体" w:hAnsi="Courier New" w:cs="Arial"/>
      <w:snapToGrid w:val="0"/>
      <w:szCs w:val="21"/>
    </w:rPr>
  </w:style>
  <w:style w:type="paragraph" w:styleId="36">
    <w:name w:val="Date"/>
    <w:basedOn w:val="1"/>
    <w:next w:val="1"/>
    <w:link w:val="184"/>
    <w:qFormat/>
    <w:uiPriority w:val="0"/>
    <w:pPr>
      <w:ind w:left="100" w:leftChars="2500"/>
    </w:pPr>
    <w:rPr>
      <w:rFonts w:ascii="宋体"/>
      <w:sz w:val="24"/>
      <w:szCs w:val="21"/>
      <w:lang w:val="zh-CN"/>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91"/>
    <w:qFormat/>
    <w:uiPriority w:val="0"/>
    <w:rPr>
      <w:sz w:val="18"/>
      <w:szCs w:val="18"/>
    </w:rPr>
  </w:style>
  <w:style w:type="paragraph" w:styleId="42">
    <w:name w:val="footer"/>
    <w:basedOn w:val="1"/>
    <w:next w:val="26"/>
    <w:link w:val="386"/>
    <w:qFormat/>
    <w:uiPriority w:val="99"/>
    <w:pPr>
      <w:tabs>
        <w:tab w:val="center" w:pos="4153"/>
        <w:tab w:val="right" w:pos="8306"/>
      </w:tabs>
      <w:snapToGrid w:val="0"/>
      <w:jc w:val="left"/>
    </w:pPr>
    <w:rPr>
      <w:sz w:val="18"/>
      <w:szCs w:val="18"/>
    </w:rPr>
  </w:style>
  <w:style w:type="paragraph" w:styleId="43">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8"/>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8"/>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5"/>
    <w:qFormat/>
    <w:uiPriority w:val="0"/>
    <w:pPr>
      <w:spacing w:after="120" w:line="480" w:lineRule="auto"/>
    </w:pPr>
  </w:style>
  <w:style w:type="paragraph" w:styleId="59">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99"/>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_Style 3"/>
    <w:basedOn w:val="1"/>
    <w:qFormat/>
    <w:uiPriority w:val="0"/>
    <w:pPr>
      <w:adjustRightInd/>
      <w:ind w:firstLine="420" w:firstLineChars="200"/>
    </w:pPr>
    <w:rPr>
      <w:rFonts w:eastAsia="仿宋_GB2312"/>
      <w:sz w:val="28"/>
    </w:rPr>
  </w:style>
  <w:style w:type="paragraph" w:customStyle="1" w:styleId="81">
    <w:name w:val="Body Text First Indent 21"/>
    <w:basedOn w:val="82"/>
    <w:qFormat/>
    <w:uiPriority w:val="0"/>
    <w:pPr>
      <w:ind w:firstLine="420"/>
    </w:pPr>
  </w:style>
  <w:style w:type="paragraph" w:customStyle="1" w:styleId="82">
    <w:name w:val="Body Text Indent1"/>
    <w:basedOn w:val="1"/>
    <w:qFormat/>
    <w:uiPriority w:val="0"/>
    <w:pPr>
      <w:ind w:left="420" w:leftChars="200"/>
    </w:pPr>
  </w:style>
  <w:style w:type="paragraph" w:customStyle="1" w:styleId="83">
    <w:name w:val="样式2"/>
    <w:basedOn w:val="1"/>
    <w:next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character" w:customStyle="1" w:styleId="84">
    <w:name w:val="标题 1 字符"/>
    <w:qFormat/>
    <w:uiPriority w:val="0"/>
    <w:rPr>
      <w:rFonts w:ascii="Arial" w:hAnsi="Arial" w:eastAsia="黑体" w:cs="Arial"/>
      <w:b/>
      <w:bCs/>
      <w:snapToGrid w:val="0"/>
      <w:kern w:val="44"/>
      <w:sz w:val="44"/>
      <w:szCs w:val="44"/>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2"/>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字符"/>
    <w:link w:val="2"/>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0"/>
    <w:qFormat/>
    <w:uiPriority w:val="0"/>
    <w:rPr>
      <w:rFonts w:ascii="Arial" w:hAnsi="Arial" w:eastAsia="黑体" w:cs="Arial"/>
      <w:snapToGrid w:val="0"/>
      <w:kern w:val="0"/>
      <w:szCs w:val="21"/>
    </w:rPr>
  </w:style>
  <w:style w:type="character" w:customStyle="1" w:styleId="128">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49"/>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10"/>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6"/>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6"/>
    <w:qFormat/>
    <w:uiPriority w:val="0"/>
    <w:rPr>
      <w:rFonts w:ascii="宋体"/>
      <w:kern w:val="2"/>
      <w:sz w:val="24"/>
      <w:szCs w:val="21"/>
      <w:lang w:val="zh-CN"/>
    </w:rPr>
  </w:style>
  <w:style w:type="character" w:customStyle="1" w:styleId="185">
    <w:name w:val="标题 9 字符"/>
    <w:link w:val="13"/>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0"/>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41"/>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18"/>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21"/>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0"/>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2"/>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8"/>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9"/>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3"/>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5"/>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61"/>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9"/>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3"/>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9"/>
    <w:qFormat/>
    <w:uiPriority w:val="0"/>
    <w:rPr>
      <w:rFonts w:ascii="黑体" w:hAnsi="Courier New" w:eastAsia="黑体"/>
    </w:rPr>
  </w:style>
  <w:style w:type="character" w:customStyle="1" w:styleId="305">
    <w:name w:val="正文文本 2 字符1"/>
    <w:link w:val="58"/>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8"/>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11"/>
    <w:qFormat/>
    <w:uiPriority w:val="0"/>
    <w:rPr>
      <w:b/>
      <w:bCs/>
      <w:kern w:val="2"/>
      <w:sz w:val="24"/>
      <w:szCs w:val="24"/>
    </w:rPr>
  </w:style>
  <w:style w:type="character" w:customStyle="1" w:styleId="311">
    <w:name w:val="正文文本缩进 2 字符"/>
    <w:link w:val="39"/>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字符"/>
    <w:link w:val="27"/>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8"/>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4"/>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2"/>
    <w:qFormat/>
    <w:uiPriority w:val="0"/>
    <w:rPr>
      <w:kern w:val="2"/>
      <w:sz w:val="21"/>
      <w:szCs w:val="24"/>
    </w:rPr>
  </w:style>
  <w:style w:type="character" w:customStyle="1" w:styleId="348">
    <w:name w:val="签名 字符"/>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2"/>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5"/>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2"/>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8"/>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8"/>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83"/>
    <w:qFormat/>
    <w:uiPriority w:val="0"/>
    <w:pPr>
      <w:spacing w:before="312" w:beforeLines="100"/>
      <w:jc w:val="left"/>
    </w:p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6"/>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7"/>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7"/>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8"/>
    <w:next w:val="238"/>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8"/>
    <w:next w:val="238"/>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8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1"/>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5"/>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40"/>
    <w:qFormat/>
    <w:uiPriority w:val="0"/>
    <w:rPr>
      <w:kern w:val="2"/>
      <w:sz w:val="21"/>
      <w:szCs w:val="24"/>
      <w:lang w:val="zh-CN"/>
    </w:rPr>
  </w:style>
  <w:style w:type="character" w:customStyle="1" w:styleId="933">
    <w:name w:val="无间隔 字符"/>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1"/>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不明显强调1"/>
    <w:qFormat/>
    <w:uiPriority w:val="19"/>
    <w:rPr>
      <w:i/>
      <w:iCs/>
    </w:rPr>
  </w:style>
  <w:style w:type="character" w:customStyle="1" w:styleId="966">
    <w:name w:val="无"/>
    <w:qFormat/>
    <w:uiPriority w:val="0"/>
  </w:style>
  <w:style w:type="paragraph" w:customStyle="1" w:styleId="967">
    <w:name w:val="_Style 371"/>
    <w:basedOn w:val="1"/>
    <w:qFormat/>
    <w:uiPriority w:val="0"/>
    <w:pPr>
      <w:spacing w:line="360" w:lineRule="auto"/>
      <w:ind w:firstLine="420" w:firstLineChars="200"/>
    </w:pPr>
    <w:rPr>
      <w:szCs w:val="20"/>
    </w:rPr>
  </w:style>
  <w:style w:type="paragraph" w:customStyle="1" w:styleId="968">
    <w:name w:val="[Normal]"/>
    <w:qFormat/>
    <w:uiPriority w:val="0"/>
    <w:rPr>
      <w:rFonts w:ascii="宋体" w:hAnsi="宋体" w:eastAsia="宋体" w:cs="Times New Roman"/>
      <w:sz w:val="24"/>
      <w:szCs w:val="22"/>
      <w:lang w:val="zh-CN" w:eastAsia="zh-CN" w:bidi="ar-SA"/>
    </w:rPr>
  </w:style>
  <w:style w:type="paragraph" w:customStyle="1" w:styleId="96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58</Pages>
  <Words>10438</Words>
  <Characters>11363</Characters>
  <Lines>246</Lines>
  <Paragraphs>69</Paragraphs>
  <TotalTime>14</TotalTime>
  <ScaleCrop>false</ScaleCrop>
  <LinksUpToDate>false</LinksUpToDate>
  <CharactersWithSpaces>11603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莫小饼。</cp:lastModifiedBy>
  <cp:lastPrinted>2023-07-01T10:59:00Z</cp:lastPrinted>
  <dcterms:modified xsi:type="dcterms:W3CDTF">2024-12-02T09:05:32Z</dcterms:modified>
  <dc:title>杭州市市民卡扩大发卡工程</dc:title>
  <cp:revision>379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2DB5C7556C9640B28EC2FE2626B8156E_13</vt:lpwstr>
  </property>
</Properties>
</file>