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1EDCC">
      <w:pPr>
        <w:rPr>
          <w:rFonts w:hint="eastAsia" w:eastAsia="黑体"/>
          <w:b/>
          <w:color w:val="auto"/>
          <w:sz w:val="52"/>
          <w:szCs w:val="52"/>
          <w:highlight w:val="none"/>
        </w:rPr>
      </w:pPr>
      <w:bookmarkStart w:id="37" w:name="_GoBack"/>
      <w:bookmarkEnd w:id="37"/>
      <w:r>
        <w:rPr>
          <w:rFonts w:hint="eastAsia" w:ascii="黑体" w:eastAsia="黑体"/>
          <w:b/>
          <w:color w:val="auto"/>
          <w:sz w:val="28"/>
          <w:szCs w:val="28"/>
          <w:highlight w:val="none"/>
          <w:lang w:eastAsia="zh-CN"/>
        </w:rPr>
        <w:drawing>
          <wp:inline distT="0" distB="0" distL="114300" distR="114300">
            <wp:extent cx="6525895" cy="8448675"/>
            <wp:effectExtent l="0" t="0" r="8255" b="9525"/>
            <wp:docPr id="4" name="图片 4" descr="173615128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6151281153"/>
                    <pic:cNvPicPr>
                      <a:picLocks noChangeAspect="1"/>
                    </pic:cNvPicPr>
                  </pic:nvPicPr>
                  <pic:blipFill>
                    <a:blip r:embed="rId11"/>
                    <a:stretch>
                      <a:fillRect/>
                    </a:stretch>
                  </pic:blipFill>
                  <pic:spPr>
                    <a:xfrm>
                      <a:off x="0" y="0"/>
                      <a:ext cx="6525895" cy="8448675"/>
                    </a:xfrm>
                    <a:prstGeom prst="rect">
                      <a:avLst/>
                    </a:prstGeom>
                  </pic:spPr>
                </pic:pic>
              </a:graphicData>
            </a:graphic>
          </wp:inline>
        </w:drawing>
      </w:r>
    </w:p>
    <w:p w14:paraId="4A275647">
      <w:pPr>
        <w:tabs>
          <w:tab w:val="center" w:pos="4365"/>
        </w:tabs>
        <w:spacing w:line="480" w:lineRule="auto"/>
        <w:jc w:val="both"/>
        <w:rPr>
          <w:rFonts w:hint="eastAsia" w:eastAsia="黑体"/>
          <w:b/>
          <w:color w:val="auto"/>
          <w:sz w:val="52"/>
          <w:szCs w:val="52"/>
          <w:highlight w:val="none"/>
        </w:rPr>
      </w:pPr>
    </w:p>
    <w:p w14:paraId="5D13E304">
      <w:pPr>
        <w:tabs>
          <w:tab w:val="center" w:pos="4365"/>
        </w:tabs>
        <w:spacing w:line="480" w:lineRule="auto"/>
        <w:jc w:val="center"/>
        <w:rPr>
          <w:rFonts w:eastAsia="黑体"/>
          <w:b/>
          <w:color w:val="auto"/>
          <w:sz w:val="52"/>
          <w:szCs w:val="52"/>
          <w:highlight w:val="none"/>
        </w:rPr>
      </w:pPr>
      <w:r>
        <w:rPr>
          <w:rFonts w:hint="eastAsia" w:eastAsia="黑体"/>
          <w:b/>
          <w:color w:val="auto"/>
          <w:sz w:val="52"/>
          <w:szCs w:val="52"/>
          <w:highlight w:val="none"/>
        </w:rPr>
        <w:t>目   录</w:t>
      </w:r>
    </w:p>
    <w:p w14:paraId="3BFC85C7">
      <w:pPr>
        <w:pStyle w:val="28"/>
        <w:rPr>
          <w:rFonts w:ascii="Calibri" w:hAnsi="Calibri"/>
          <w:color w:val="auto"/>
          <w:sz w:val="21"/>
          <w:szCs w:val="22"/>
          <w:highlight w:val="none"/>
        </w:rPr>
      </w:pPr>
      <w:r>
        <w:rPr>
          <w:rFonts w:hint="eastAsia"/>
          <w:color w:val="auto"/>
          <w:highlight w:val="none"/>
        </w:rPr>
        <w:fldChar w:fldCharType="begin"/>
      </w:r>
      <w:r>
        <w:rPr>
          <w:rFonts w:hint="eastAsia"/>
          <w:color w:val="auto"/>
          <w:highlight w:val="none"/>
        </w:rPr>
        <w:instrText xml:space="preserve"> TOC \o "1-3" \h \z \u </w:instrText>
      </w:r>
      <w:r>
        <w:rPr>
          <w:rFonts w:hint="eastAsia"/>
          <w:color w:val="auto"/>
          <w:highlight w:val="none"/>
        </w:rPr>
        <w:fldChar w:fldCharType="separate"/>
      </w:r>
      <w:r>
        <w:rPr>
          <w:color w:val="auto"/>
          <w:highlight w:val="none"/>
        </w:rPr>
        <w:fldChar w:fldCharType="begin"/>
      </w:r>
      <w:r>
        <w:rPr>
          <w:color w:val="auto"/>
          <w:highlight w:val="none"/>
        </w:rPr>
        <w:instrText xml:space="preserve"> HYPERLINK \l "_Toc102053013" </w:instrText>
      </w:r>
      <w:r>
        <w:rPr>
          <w:color w:val="auto"/>
          <w:highlight w:val="none"/>
        </w:rPr>
        <w:fldChar w:fldCharType="separate"/>
      </w:r>
      <w:r>
        <w:rPr>
          <w:rStyle w:val="53"/>
          <w:rFonts w:hint="eastAsia"/>
          <w:b/>
          <w:color w:val="auto"/>
          <w:highlight w:val="none"/>
        </w:rPr>
        <w:t>第一章</w:t>
      </w:r>
      <w:r>
        <w:rPr>
          <w:rStyle w:val="53"/>
          <w:b/>
          <w:color w:val="auto"/>
          <w:highlight w:val="none"/>
        </w:rPr>
        <w:t xml:space="preserve">  </w:t>
      </w:r>
      <w:r>
        <w:rPr>
          <w:rStyle w:val="53"/>
          <w:rFonts w:hint="eastAsia"/>
          <w:b/>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_Toc102053013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5FF86C8B">
      <w:pPr>
        <w:pStyle w:val="28"/>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"_Toc102053014" </w:instrText>
      </w:r>
      <w:r>
        <w:rPr>
          <w:color w:val="auto"/>
          <w:highlight w:val="none"/>
        </w:rPr>
        <w:fldChar w:fldCharType="separate"/>
      </w:r>
      <w:r>
        <w:rPr>
          <w:rStyle w:val="53"/>
          <w:rFonts w:hint="eastAsia"/>
          <w:b/>
          <w:color w:val="auto"/>
          <w:highlight w:val="none"/>
        </w:rPr>
        <w:t>第二章</w:t>
      </w:r>
      <w:r>
        <w:rPr>
          <w:rStyle w:val="53"/>
          <w:b/>
          <w:color w:val="auto"/>
          <w:highlight w:val="none"/>
        </w:rPr>
        <w:t xml:space="preserve">  </w:t>
      </w:r>
      <w:r>
        <w:rPr>
          <w:rStyle w:val="53"/>
          <w:rFonts w:hint="eastAsia"/>
          <w:b/>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_Toc102053014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10153E7A">
      <w:pPr>
        <w:pStyle w:val="28"/>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"_Toc102053015" </w:instrText>
      </w:r>
      <w:r>
        <w:rPr>
          <w:color w:val="auto"/>
          <w:highlight w:val="none"/>
        </w:rPr>
        <w:fldChar w:fldCharType="separate"/>
      </w:r>
      <w:r>
        <w:rPr>
          <w:rStyle w:val="53"/>
          <w:rFonts w:hint="eastAsia"/>
          <w:b/>
          <w:color w:val="auto"/>
          <w:highlight w:val="none"/>
        </w:rPr>
        <w:t>第三章</w:t>
      </w:r>
      <w:r>
        <w:rPr>
          <w:rStyle w:val="53"/>
          <w:b/>
          <w:color w:val="auto"/>
          <w:highlight w:val="none"/>
        </w:rPr>
        <w:t xml:space="preserve">  </w:t>
      </w:r>
      <w:r>
        <w:rPr>
          <w:rStyle w:val="53"/>
          <w:rFonts w:hint="eastAsia"/>
          <w:b/>
          <w:color w:val="auto"/>
          <w:highlight w:val="none"/>
        </w:rPr>
        <w:t>评标办法及标准</w:t>
      </w:r>
      <w:r>
        <w:rPr>
          <w:color w:val="auto"/>
          <w:highlight w:val="none"/>
        </w:rPr>
        <w:tab/>
      </w:r>
      <w:r>
        <w:rPr>
          <w:color w:val="auto"/>
          <w:highlight w:val="none"/>
        </w:rPr>
        <w:fldChar w:fldCharType="begin"/>
      </w:r>
      <w:r>
        <w:rPr>
          <w:color w:val="auto"/>
          <w:highlight w:val="none"/>
        </w:rPr>
        <w:instrText xml:space="preserve"> PAGEREF _Toc102053015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56DBBB6A">
      <w:pPr>
        <w:pStyle w:val="28"/>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"_Toc102053016" </w:instrText>
      </w:r>
      <w:r>
        <w:rPr>
          <w:color w:val="auto"/>
          <w:highlight w:val="none"/>
        </w:rPr>
        <w:fldChar w:fldCharType="separate"/>
      </w:r>
      <w:r>
        <w:rPr>
          <w:rStyle w:val="53"/>
          <w:rFonts w:hint="eastAsia"/>
          <w:b/>
          <w:color w:val="auto"/>
          <w:highlight w:val="none"/>
        </w:rPr>
        <w:t>第四章</w:t>
      </w:r>
      <w:r>
        <w:rPr>
          <w:rStyle w:val="53"/>
          <w:b/>
          <w:color w:val="auto"/>
          <w:highlight w:val="none"/>
        </w:rPr>
        <w:t xml:space="preserve">  </w:t>
      </w:r>
      <w:r>
        <w:rPr>
          <w:rStyle w:val="53"/>
          <w:rFonts w:hint="eastAsia"/>
          <w:b/>
          <w:color w:val="auto"/>
          <w:highlight w:val="none"/>
        </w:rPr>
        <w:t>合同样本</w:t>
      </w:r>
      <w:r>
        <w:rPr>
          <w:color w:val="auto"/>
          <w:highlight w:val="none"/>
        </w:rPr>
        <w:tab/>
      </w:r>
      <w:r>
        <w:rPr>
          <w:color w:val="auto"/>
          <w:highlight w:val="none"/>
        </w:rPr>
        <w:fldChar w:fldCharType="begin"/>
      </w:r>
      <w:r>
        <w:rPr>
          <w:color w:val="auto"/>
          <w:highlight w:val="none"/>
        </w:rPr>
        <w:instrText xml:space="preserve"> PAGEREF _Toc102053016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604F5DD4">
      <w:pPr>
        <w:pStyle w:val="28"/>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"_Toc102053017" </w:instrText>
      </w:r>
      <w:r>
        <w:rPr>
          <w:color w:val="auto"/>
          <w:highlight w:val="none"/>
        </w:rPr>
        <w:fldChar w:fldCharType="separate"/>
      </w:r>
      <w:r>
        <w:rPr>
          <w:rStyle w:val="53"/>
          <w:rFonts w:hint="eastAsia"/>
          <w:b/>
          <w:color w:val="auto"/>
          <w:highlight w:val="none"/>
        </w:rPr>
        <w:t>第五章</w:t>
      </w:r>
      <w:r>
        <w:rPr>
          <w:rStyle w:val="53"/>
          <w:b/>
          <w:color w:val="auto"/>
          <w:highlight w:val="none"/>
        </w:rPr>
        <w:t xml:space="preserve">  </w:t>
      </w:r>
      <w:r>
        <w:rPr>
          <w:rStyle w:val="53"/>
          <w:rFonts w:hint="eastAsia"/>
          <w:b/>
          <w:color w:val="auto"/>
          <w:highlight w:val="none"/>
        </w:rPr>
        <w:t>招标需求</w:t>
      </w:r>
      <w:r>
        <w:rPr>
          <w:color w:val="auto"/>
          <w:highlight w:val="none"/>
        </w:rPr>
        <w:tab/>
      </w:r>
      <w:r>
        <w:rPr>
          <w:color w:val="auto"/>
          <w:highlight w:val="none"/>
        </w:rPr>
        <w:fldChar w:fldCharType="begin"/>
      </w:r>
      <w:r>
        <w:rPr>
          <w:color w:val="auto"/>
          <w:highlight w:val="none"/>
        </w:rPr>
        <w:instrText xml:space="preserve"> PAGEREF _Toc102053017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77870592">
      <w:pPr>
        <w:pStyle w:val="28"/>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"_Toc102053018" </w:instrText>
      </w:r>
      <w:r>
        <w:rPr>
          <w:color w:val="auto"/>
          <w:highlight w:val="none"/>
        </w:rPr>
        <w:fldChar w:fldCharType="separate"/>
      </w:r>
      <w:r>
        <w:rPr>
          <w:rStyle w:val="53"/>
          <w:rFonts w:hint="eastAsia"/>
          <w:b/>
          <w:color w:val="auto"/>
          <w:highlight w:val="none"/>
        </w:rPr>
        <w:t>第六章</w:t>
      </w:r>
      <w:r>
        <w:rPr>
          <w:rStyle w:val="53"/>
          <w:b/>
          <w:color w:val="auto"/>
          <w:highlight w:val="none"/>
        </w:rPr>
        <w:t xml:space="preserve">  </w:t>
      </w:r>
      <w:r>
        <w:rPr>
          <w:rStyle w:val="53"/>
          <w:rFonts w:hint="eastAsia"/>
          <w:b/>
          <w:color w:val="auto"/>
          <w:highlight w:val="none"/>
        </w:rPr>
        <w:t>商务条款</w:t>
      </w:r>
      <w:r>
        <w:rPr>
          <w:color w:val="auto"/>
          <w:highlight w:val="none"/>
        </w:rPr>
        <w:tab/>
      </w:r>
      <w:r>
        <w:rPr>
          <w:color w:val="auto"/>
          <w:highlight w:val="none"/>
        </w:rPr>
        <w:fldChar w:fldCharType="begin"/>
      </w:r>
      <w:r>
        <w:rPr>
          <w:color w:val="auto"/>
          <w:highlight w:val="none"/>
        </w:rPr>
        <w:instrText xml:space="preserve"> PAGEREF _Toc102053018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28AF46B0">
      <w:pPr>
        <w:pStyle w:val="28"/>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"_Toc102053019" </w:instrText>
      </w:r>
      <w:r>
        <w:rPr>
          <w:color w:val="auto"/>
          <w:highlight w:val="none"/>
        </w:rPr>
        <w:fldChar w:fldCharType="separate"/>
      </w:r>
      <w:r>
        <w:rPr>
          <w:rStyle w:val="53"/>
          <w:rFonts w:hint="eastAsia"/>
          <w:b/>
          <w:color w:val="auto"/>
          <w:highlight w:val="none"/>
        </w:rPr>
        <w:t>第七章</w:t>
      </w:r>
      <w:r>
        <w:rPr>
          <w:rStyle w:val="53"/>
          <w:b/>
          <w:color w:val="auto"/>
          <w:highlight w:val="none"/>
        </w:rPr>
        <w:t xml:space="preserve">  </w:t>
      </w:r>
      <w:r>
        <w:rPr>
          <w:rStyle w:val="53"/>
          <w:rFonts w:hint="eastAsia"/>
          <w:b/>
          <w:color w:val="auto"/>
          <w:highlight w:val="none"/>
        </w:rPr>
        <w:t>附</w:t>
      </w:r>
      <w:r>
        <w:rPr>
          <w:rStyle w:val="53"/>
          <w:b/>
          <w:color w:val="auto"/>
          <w:highlight w:val="none"/>
        </w:rPr>
        <w:t xml:space="preserve">  </w:t>
      </w:r>
      <w:r>
        <w:rPr>
          <w:rStyle w:val="53"/>
          <w:rFonts w:hint="eastAsia"/>
          <w:b/>
          <w:color w:val="auto"/>
          <w:highlight w:val="none"/>
        </w:rPr>
        <w:t>件</w:t>
      </w:r>
      <w:r>
        <w:rPr>
          <w:color w:val="auto"/>
          <w:highlight w:val="none"/>
        </w:rPr>
        <w:tab/>
      </w:r>
      <w:r>
        <w:rPr>
          <w:color w:val="auto"/>
          <w:highlight w:val="none"/>
        </w:rPr>
        <w:fldChar w:fldCharType="begin"/>
      </w:r>
      <w:r>
        <w:rPr>
          <w:color w:val="auto"/>
          <w:highlight w:val="none"/>
        </w:rPr>
        <w:instrText xml:space="preserve"> PAGEREF _Toc102053019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10679961">
      <w:pPr>
        <w:spacing w:line="1000" w:lineRule="exact"/>
        <w:jc w:val="center"/>
        <w:rPr>
          <w:rFonts w:eastAsia="黑体"/>
          <w:b/>
          <w:color w:val="auto"/>
          <w:sz w:val="32"/>
          <w:highlight w:val="none"/>
        </w:rPr>
      </w:pPr>
      <w:r>
        <w:rPr>
          <w:rFonts w:hint="eastAsia" w:ascii="宋体" w:hAnsi="宋体"/>
          <w:color w:val="auto"/>
          <w:sz w:val="32"/>
          <w:szCs w:val="32"/>
          <w:highlight w:val="none"/>
        </w:rPr>
        <w:fldChar w:fldCharType="end"/>
      </w:r>
    </w:p>
    <w:p w14:paraId="7A78EDDB">
      <w:pPr>
        <w:pageBreakBefore/>
        <w:spacing w:line="400" w:lineRule="exact"/>
        <w:jc w:val="center"/>
        <w:outlineLvl w:val="0"/>
        <w:rPr>
          <w:rFonts w:ascii="宋体" w:hAnsi="宋体"/>
          <w:b/>
          <w:color w:val="auto"/>
          <w:sz w:val="32"/>
          <w:highlight w:val="none"/>
        </w:rPr>
      </w:pPr>
      <w:bookmarkStart w:id="0" w:name="_Toc102053013"/>
      <w:r>
        <w:rPr>
          <w:rFonts w:hint="eastAsia" w:ascii="宋体" w:hAnsi="宋体"/>
          <w:b/>
          <w:color w:val="auto"/>
          <w:sz w:val="32"/>
          <w:highlight w:val="none"/>
        </w:rPr>
        <w:t>第一章  招标公告</w:t>
      </w:r>
      <w:bookmarkEnd w:id="0"/>
    </w:p>
    <w:p w14:paraId="46662989">
      <w:pPr>
        <w:spacing w:line="400" w:lineRule="exact"/>
        <w:ind w:firstLine="420" w:firstLineChars="200"/>
        <w:rPr>
          <w:rFonts w:ascii="宋体" w:hAnsi="宋体" w:cs="仿宋_GB2312"/>
          <w:bCs/>
          <w:color w:val="auto"/>
          <w:szCs w:val="21"/>
          <w:highlight w:val="none"/>
        </w:rPr>
      </w:pPr>
      <w:r>
        <w:rPr>
          <w:rFonts w:hint="eastAsia" w:ascii="宋体" w:hAnsi="宋体" w:cs="宋体"/>
          <w:color w:val="auto"/>
          <w:szCs w:val="21"/>
          <w:highlight w:val="none"/>
        </w:rPr>
        <w:t>根据《中华人民共和国招标投标法》、《关于规范国有企业货物和服务招标采购的指导意见（试行）》等有关法律法规规定，</w:t>
      </w:r>
      <w:r>
        <w:rPr>
          <w:rFonts w:hint="eastAsia" w:ascii="宋体" w:hAnsi="宋体" w:cs="宋体"/>
          <w:color w:val="auto"/>
          <w:szCs w:val="21"/>
          <w:highlight w:val="none"/>
          <w:lang w:eastAsia="zh-CN"/>
        </w:rPr>
        <w:t>宁波永敬工程造价咨询有限公司</w:t>
      </w:r>
      <w:r>
        <w:rPr>
          <w:rFonts w:hint="eastAsia" w:ascii="宋体" w:hAnsi="宋体" w:cs="宋体"/>
          <w:color w:val="auto"/>
          <w:szCs w:val="21"/>
          <w:highlight w:val="none"/>
        </w:rPr>
        <w:t>受</w:t>
      </w:r>
      <w:r>
        <w:rPr>
          <w:rFonts w:hint="eastAsia" w:ascii="宋体" w:hAnsi="宋体" w:cs="宋体"/>
          <w:color w:val="auto"/>
          <w:szCs w:val="21"/>
          <w:highlight w:val="none"/>
          <w:lang w:eastAsia="zh-CN"/>
        </w:rPr>
        <w:t>慈溪欣旅酒店管理有限公司</w:t>
      </w:r>
      <w:r>
        <w:rPr>
          <w:rFonts w:hint="eastAsia" w:ascii="宋体" w:hAnsi="宋体" w:cs="宋体"/>
          <w:color w:val="auto"/>
          <w:szCs w:val="21"/>
          <w:highlight w:val="none"/>
        </w:rPr>
        <w:t>的委托，就</w:t>
      </w:r>
      <w:r>
        <w:rPr>
          <w:rFonts w:hint="eastAsia" w:ascii="宋体" w:hAnsi="宋体" w:cs="宋体"/>
          <w:color w:val="auto"/>
          <w:szCs w:val="21"/>
          <w:highlight w:val="none"/>
          <w:lang w:eastAsia="zh-CN"/>
        </w:rPr>
        <w:t>慈溪市新城河07-D-01地块食堂食品原材料采购项目</w:t>
      </w:r>
      <w:r>
        <w:rPr>
          <w:rFonts w:hint="eastAsia" w:ascii="宋体" w:hAnsi="宋体" w:cs="宋体"/>
          <w:color w:val="auto"/>
          <w:szCs w:val="21"/>
          <w:highlight w:val="none"/>
        </w:rPr>
        <w:t>进行公开招标，欢迎符合要求的投标人前来投标。</w:t>
      </w:r>
    </w:p>
    <w:p w14:paraId="44064B86">
      <w:pPr>
        <w:widowControl/>
        <w:tabs>
          <w:tab w:val="left" w:pos="540"/>
        </w:tabs>
        <w:adjustRightInd w:val="0"/>
        <w:snapToGrid w:val="0"/>
        <w:spacing w:line="400" w:lineRule="exact"/>
        <w:ind w:firstLine="422" w:firstLineChars="200"/>
        <w:rPr>
          <w:rFonts w:ascii="宋体" w:hAnsi="宋体" w:cs="仿宋_GB2312"/>
          <w:color w:val="auto"/>
          <w:szCs w:val="21"/>
          <w:highlight w:val="none"/>
        </w:rPr>
      </w:pPr>
      <w:r>
        <w:rPr>
          <w:rFonts w:hint="eastAsia" w:ascii="宋体" w:hAnsi="宋体" w:cs="仿宋_GB2312"/>
          <w:b/>
          <w:color w:val="auto"/>
          <w:szCs w:val="21"/>
          <w:highlight w:val="none"/>
        </w:rPr>
        <w:t>一、项目编号：</w:t>
      </w:r>
      <w:r>
        <w:rPr>
          <w:rFonts w:hint="eastAsia" w:ascii="宋体" w:hAnsi="宋体" w:cs="仿宋_GB2312"/>
          <w:color w:val="auto"/>
          <w:szCs w:val="21"/>
          <w:highlight w:val="none"/>
          <w:lang w:eastAsia="zh-CN"/>
        </w:rPr>
        <w:t>QTGGZY2025001</w:t>
      </w:r>
      <w:r>
        <w:rPr>
          <w:rFonts w:hint="eastAsia" w:ascii="宋体" w:hAnsi="宋体" w:cs="仿宋_GB2312"/>
          <w:color w:val="auto"/>
          <w:szCs w:val="21"/>
          <w:highlight w:val="none"/>
        </w:rPr>
        <w:t xml:space="preserve"> </w:t>
      </w:r>
    </w:p>
    <w:p w14:paraId="67811ACD">
      <w:pPr>
        <w:widowControl/>
        <w:tabs>
          <w:tab w:val="left" w:pos="540"/>
        </w:tabs>
        <w:adjustRightInd w:val="0"/>
        <w:snapToGrid w:val="0"/>
        <w:spacing w:line="400" w:lineRule="exact"/>
        <w:ind w:firstLine="422" w:firstLineChars="200"/>
        <w:rPr>
          <w:rFonts w:hint="eastAsia" w:ascii="宋体" w:hAnsi="宋体" w:eastAsia="宋体" w:cs="仿宋_GB2312"/>
          <w:color w:val="auto"/>
          <w:szCs w:val="21"/>
          <w:highlight w:val="none"/>
          <w:lang w:eastAsia="zh-CN"/>
        </w:rPr>
      </w:pPr>
      <w:r>
        <w:rPr>
          <w:rFonts w:hint="eastAsia" w:ascii="宋体" w:hAnsi="宋体" w:cs="仿宋_GB2312"/>
          <w:b/>
          <w:color w:val="auto"/>
          <w:szCs w:val="21"/>
          <w:highlight w:val="none"/>
        </w:rPr>
        <w:t>二、项目名称：</w:t>
      </w:r>
      <w:r>
        <w:rPr>
          <w:rFonts w:hint="eastAsia" w:ascii="宋体" w:hAnsi="宋体" w:cs="仿宋_GB2312"/>
          <w:bCs/>
          <w:color w:val="auto"/>
          <w:szCs w:val="21"/>
          <w:highlight w:val="none"/>
          <w:lang w:eastAsia="zh-CN"/>
        </w:rPr>
        <w:t>慈溪市新城河07-D-01地块食堂食品原材料采购项目</w:t>
      </w:r>
    </w:p>
    <w:p w14:paraId="066B0CA0">
      <w:pPr>
        <w:widowControl/>
        <w:tabs>
          <w:tab w:val="left" w:pos="540"/>
        </w:tabs>
        <w:adjustRightInd w:val="0"/>
        <w:snapToGrid w:val="0"/>
        <w:spacing w:line="400" w:lineRule="exact"/>
        <w:ind w:firstLine="422" w:firstLineChars="200"/>
        <w:rPr>
          <w:rFonts w:ascii="宋体" w:hAnsi="宋体" w:cs="仿宋_GB2312"/>
          <w:color w:val="auto"/>
          <w:szCs w:val="21"/>
          <w:highlight w:val="none"/>
        </w:rPr>
      </w:pPr>
      <w:r>
        <w:rPr>
          <w:rFonts w:hint="eastAsia" w:ascii="宋体" w:hAnsi="宋体" w:cs="仿宋_GB2312"/>
          <w:b/>
          <w:color w:val="auto"/>
          <w:szCs w:val="21"/>
          <w:highlight w:val="none"/>
        </w:rPr>
        <w:t>三、招标方式：</w:t>
      </w:r>
      <w:r>
        <w:rPr>
          <w:rFonts w:hint="eastAsia" w:ascii="宋体" w:hAnsi="宋体" w:cs="仿宋_GB2312"/>
          <w:color w:val="auto"/>
          <w:szCs w:val="21"/>
          <w:highlight w:val="none"/>
        </w:rPr>
        <w:t>公开招标</w:t>
      </w:r>
    </w:p>
    <w:p w14:paraId="7C3B5629">
      <w:pPr>
        <w:widowControl/>
        <w:tabs>
          <w:tab w:val="left" w:pos="540"/>
        </w:tabs>
        <w:adjustRightInd w:val="0"/>
        <w:snapToGrid w:val="0"/>
        <w:spacing w:line="400" w:lineRule="exact"/>
        <w:ind w:firstLine="422" w:firstLineChars="200"/>
        <w:rPr>
          <w:rFonts w:ascii="宋体" w:hAnsi="宋体" w:cs="仿宋_GB2312"/>
          <w:b/>
          <w:color w:val="auto"/>
          <w:szCs w:val="21"/>
          <w:highlight w:val="none"/>
        </w:rPr>
      </w:pPr>
      <w:r>
        <w:rPr>
          <w:rFonts w:hint="eastAsia" w:ascii="宋体" w:hAnsi="宋体" w:cs="仿宋_GB2312"/>
          <w:b/>
          <w:color w:val="auto"/>
          <w:szCs w:val="21"/>
          <w:highlight w:val="none"/>
        </w:rPr>
        <w:t>四、招标内容：</w:t>
      </w:r>
    </w:p>
    <w:tbl>
      <w:tblPr>
        <w:tblStyle w:val="44"/>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3069"/>
        <w:gridCol w:w="2676"/>
        <w:gridCol w:w="2676"/>
      </w:tblGrid>
      <w:tr w14:paraId="407E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657" w:type="dxa"/>
            <w:vAlign w:val="center"/>
          </w:tcPr>
          <w:p w14:paraId="1451E10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069" w:type="dxa"/>
            <w:vAlign w:val="center"/>
          </w:tcPr>
          <w:p w14:paraId="543B1D6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2676" w:type="dxa"/>
            <w:vAlign w:val="center"/>
          </w:tcPr>
          <w:p w14:paraId="28A718E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主要内容</w:t>
            </w:r>
          </w:p>
        </w:tc>
        <w:tc>
          <w:tcPr>
            <w:tcW w:w="2676" w:type="dxa"/>
          </w:tcPr>
          <w:p w14:paraId="5F92A40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预算价</w:t>
            </w:r>
          </w:p>
        </w:tc>
      </w:tr>
      <w:tr w14:paraId="2DB2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57" w:type="dxa"/>
            <w:vAlign w:val="center"/>
          </w:tcPr>
          <w:p w14:paraId="1147420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3069" w:type="dxa"/>
            <w:vAlign w:val="center"/>
          </w:tcPr>
          <w:p w14:paraId="4ECFA4EE">
            <w:pPr>
              <w:spacing w:line="400" w:lineRule="exact"/>
              <w:jc w:val="center"/>
              <w:rPr>
                <w:rFonts w:hint="eastAsia" w:ascii="宋体" w:hAnsi="宋体" w:eastAsia="宋体" w:cs="宋体"/>
                <w:color w:val="auto"/>
                <w:szCs w:val="21"/>
                <w:highlight w:val="none"/>
                <w:lang w:eastAsia="zh-CN"/>
              </w:rPr>
            </w:pPr>
            <w:r>
              <w:rPr>
                <w:rFonts w:hint="eastAsia" w:ascii="宋体" w:hAnsi="宋体" w:cs="仿宋_GB2312"/>
                <w:bCs/>
                <w:color w:val="auto"/>
                <w:szCs w:val="21"/>
                <w:highlight w:val="none"/>
                <w:lang w:eastAsia="zh-CN"/>
              </w:rPr>
              <w:t>慈溪市新城河07-D-01地块食堂食品原材料采购项目</w:t>
            </w:r>
          </w:p>
        </w:tc>
        <w:tc>
          <w:tcPr>
            <w:tcW w:w="2676" w:type="dxa"/>
            <w:vAlign w:val="center"/>
          </w:tcPr>
          <w:p w14:paraId="628C36FD">
            <w:pPr>
              <w:spacing w:line="400" w:lineRule="exact"/>
              <w:jc w:val="center"/>
              <w:rPr>
                <w:rFonts w:ascii="宋体" w:hAnsi="宋体" w:cs="宋体"/>
                <w:color w:val="auto"/>
                <w:szCs w:val="21"/>
                <w:highlight w:val="none"/>
              </w:rPr>
            </w:pPr>
            <w:r>
              <w:rPr>
                <w:rFonts w:hint="eastAsia" w:hAnsi="宋体" w:cs="宋体"/>
                <w:color w:val="auto"/>
                <w:highlight w:val="none"/>
              </w:rPr>
              <w:t>非粮油类和</w:t>
            </w:r>
            <w:r>
              <w:rPr>
                <w:rFonts w:hAnsi="宋体" w:cs="宋体"/>
                <w:color w:val="auto"/>
                <w:highlight w:val="none"/>
              </w:rPr>
              <w:t>粮油类</w:t>
            </w:r>
          </w:p>
        </w:tc>
        <w:tc>
          <w:tcPr>
            <w:tcW w:w="2676" w:type="dxa"/>
            <w:vAlign w:val="center"/>
          </w:tcPr>
          <w:p w14:paraId="3239604F">
            <w:pPr>
              <w:spacing w:line="400" w:lineRule="exact"/>
              <w:jc w:val="center"/>
              <w:rPr>
                <w:rFonts w:hAnsi="宋体" w:cs="宋体"/>
                <w:color w:val="auto"/>
                <w:highlight w:val="none"/>
              </w:rPr>
            </w:pPr>
            <w:r>
              <w:rPr>
                <w:rFonts w:hint="eastAsia" w:ascii="宋体" w:hAnsi="宋体"/>
                <w:bCs/>
                <w:color w:val="auto"/>
                <w:szCs w:val="21"/>
                <w:highlight w:val="none"/>
                <w:lang w:eastAsia="zh-CN"/>
              </w:rPr>
              <w:t>800000</w:t>
            </w:r>
            <w:r>
              <w:rPr>
                <w:rFonts w:hint="eastAsia" w:ascii="宋体" w:hAnsi="宋体"/>
                <w:bCs/>
                <w:color w:val="auto"/>
                <w:szCs w:val="21"/>
                <w:highlight w:val="none"/>
              </w:rPr>
              <w:t>元/年</w:t>
            </w:r>
          </w:p>
        </w:tc>
      </w:tr>
    </w:tbl>
    <w:p w14:paraId="5314A0B7">
      <w:pPr>
        <w:tabs>
          <w:tab w:val="left" w:pos="1243"/>
        </w:tabs>
        <w:autoSpaceDE w:val="0"/>
        <w:autoSpaceDN w:val="0"/>
        <w:adjustRightInd w:val="0"/>
        <w:snapToGrid w:val="0"/>
        <w:spacing w:line="360" w:lineRule="exact"/>
        <w:ind w:firstLine="422" w:firstLineChars="200"/>
        <w:textAlignment w:val="bottom"/>
        <w:rPr>
          <w:rFonts w:ascii="仿宋_GB2312" w:hAnsi="仿宋_GB2312" w:eastAsia="仿宋_GB2312" w:cs="仿宋_GB2312"/>
          <w:b/>
          <w:color w:val="auto"/>
          <w:szCs w:val="21"/>
          <w:highlight w:val="none"/>
        </w:rPr>
      </w:pPr>
      <w:r>
        <w:rPr>
          <w:rFonts w:hint="eastAsia" w:ascii="宋体" w:hAnsi="宋体" w:cs="仿宋_GB2312"/>
          <w:b/>
          <w:color w:val="auto"/>
          <w:szCs w:val="21"/>
          <w:highlight w:val="none"/>
        </w:rPr>
        <w:t>注</w:t>
      </w:r>
      <w:r>
        <w:rPr>
          <w:rFonts w:ascii="宋体" w:hAnsi="宋体" w:cs="仿宋_GB2312"/>
          <w:b/>
          <w:color w:val="auto"/>
          <w:szCs w:val="21"/>
          <w:highlight w:val="none"/>
        </w:rPr>
        <w:t>：</w:t>
      </w:r>
      <w:r>
        <w:rPr>
          <w:rFonts w:hint="eastAsia" w:ascii="宋体" w:hAnsi="宋体"/>
          <w:color w:val="auto"/>
          <w:szCs w:val="21"/>
          <w:highlight w:val="none"/>
        </w:rPr>
        <w:t>本次采购服务期为一年。服务期满后，经招标人考核合格，报相关部门备案，合同可续签一年，最多续签两年(合同一年一签)。</w:t>
      </w:r>
    </w:p>
    <w:p w14:paraId="2008D3EE">
      <w:pPr>
        <w:tabs>
          <w:tab w:val="left" w:pos="1243"/>
        </w:tabs>
        <w:autoSpaceDE w:val="0"/>
        <w:autoSpaceDN w:val="0"/>
        <w:adjustRightInd w:val="0"/>
        <w:snapToGrid w:val="0"/>
        <w:spacing w:line="360" w:lineRule="exact"/>
        <w:ind w:firstLine="422" w:firstLineChars="200"/>
        <w:textAlignment w:val="bottom"/>
        <w:rPr>
          <w:rFonts w:ascii="宋体" w:hAnsi="宋体" w:cs="仿宋_GB2312"/>
          <w:b/>
          <w:color w:val="auto"/>
          <w:szCs w:val="21"/>
          <w:highlight w:val="none"/>
        </w:rPr>
      </w:pPr>
      <w:r>
        <w:rPr>
          <w:rFonts w:hint="eastAsia" w:ascii="宋体" w:hAnsi="宋体" w:cs="仿宋_GB2312"/>
          <w:b/>
          <w:color w:val="auto"/>
          <w:szCs w:val="21"/>
          <w:highlight w:val="none"/>
        </w:rPr>
        <w:t>五、投标人的资格要求</w:t>
      </w:r>
    </w:p>
    <w:p w14:paraId="00E67A6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1、投标方须具有合法有效的营业执照； </w:t>
      </w:r>
    </w:p>
    <w:p w14:paraId="58E057F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2、投标方未被信用中国网站（www.creditchina.gov.cn）列入失信被执行人、重大税收违法案件当事人名单，未被中国政府采购网（www.ccgp.gov.cn）列入政府采购严重违法失信行为记录名单；</w:t>
      </w:r>
    </w:p>
    <w:p w14:paraId="02EE7F1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3、本项目不接受联合体投标。</w:t>
      </w:r>
    </w:p>
    <w:p w14:paraId="767DD2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六、招标文件的获取：</w:t>
      </w:r>
    </w:p>
    <w:p w14:paraId="2825144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1、时间：自招标公告发布之日起至202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日止，每天上午00：00至12：00，下午12：00至23：59（北京时间）；</w:t>
      </w:r>
    </w:p>
    <w:p w14:paraId="6E53BCF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2、地点：乐采云平台（</w:t>
      </w:r>
      <w:r>
        <w:rPr>
          <w:rFonts w:ascii="宋体" w:hAnsi="宋体" w:cs="宋体"/>
          <w:color w:val="auto"/>
          <w:szCs w:val="21"/>
          <w:highlight w:val="none"/>
        </w:rPr>
        <w:t>www.lecaiyun.com</w:t>
      </w:r>
      <w:r>
        <w:rPr>
          <w:rFonts w:hint="eastAsia" w:ascii="宋体" w:hAnsi="宋体" w:cs="宋体"/>
          <w:color w:val="auto"/>
          <w:szCs w:val="21"/>
          <w:highlight w:val="none"/>
        </w:rPr>
        <w:t>）；</w:t>
      </w:r>
    </w:p>
    <w:p w14:paraId="0FEC9925">
      <w:pPr>
        <w:spacing w:line="400" w:lineRule="exact"/>
        <w:ind w:firstLine="420" w:firstLineChars="200"/>
        <w:rPr>
          <w:color w:val="auto"/>
          <w:szCs w:val="21"/>
          <w:highlight w:val="none"/>
        </w:rPr>
      </w:pPr>
      <w:r>
        <w:rPr>
          <w:rFonts w:hint="eastAsia" w:ascii="宋体" w:hAnsi="宋体" w:cs="宋体"/>
          <w:color w:val="auto"/>
          <w:szCs w:val="21"/>
          <w:highlight w:val="none"/>
        </w:rPr>
        <w:t>3、方式：</w:t>
      </w:r>
      <w:r>
        <w:rPr>
          <w:rFonts w:hint="eastAsia"/>
          <w:color w:val="auto"/>
          <w:szCs w:val="21"/>
          <w:highlight w:val="none"/>
        </w:rPr>
        <w:t>（1）投标人登录乐采云平台（www.lecaiyun.com）的注册账号后，进入乐采云系统“项目采购”模块“获取采购文件”菜单，进行网上获取招标文件；投标人只有在“乐采云系统”完成获取采购文件申请并下载了采购文件后才视作依法获取采购文件（法律法规所指的供应商获取采购文件时间以供应商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请投标人按上述要求获取采购文件，如未在“乐采云”系统内完成相关流程，引起的投标无效责任自负。</w:t>
      </w:r>
    </w:p>
    <w:p w14:paraId="01161F0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4、招标文件售价：免费。</w:t>
      </w:r>
    </w:p>
    <w:p w14:paraId="0A112815">
      <w:pPr>
        <w:widowControl/>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七、</w:t>
      </w:r>
      <w:r>
        <w:rPr>
          <w:rFonts w:hint="eastAsia" w:cs="宋体"/>
          <w:color w:val="auto"/>
          <w:kern w:val="0"/>
          <w:highlight w:val="none"/>
        </w:rPr>
        <w:t>提交投标文件截止时间、开标时间和地点</w:t>
      </w:r>
      <w:r>
        <w:rPr>
          <w:rFonts w:hint="eastAsia" w:ascii="宋体" w:hAnsi="宋体" w:cs="宋体"/>
          <w:bCs/>
          <w:color w:val="auto"/>
          <w:kern w:val="0"/>
          <w:szCs w:val="21"/>
          <w:highlight w:val="none"/>
        </w:rPr>
        <w:t>：</w:t>
      </w:r>
    </w:p>
    <w:p w14:paraId="5482A68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1、提交投标文件截止时间：202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点30分（北京时间）。</w:t>
      </w:r>
    </w:p>
    <w:p w14:paraId="06B5F7A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2、投标地点（网址）：乐采云 （https://www.lecaiyun.com）。</w:t>
      </w:r>
    </w:p>
    <w:p w14:paraId="2AB4494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3、开标时间：202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点30分（北京时间）。</w:t>
      </w:r>
    </w:p>
    <w:p w14:paraId="7E160F9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4、开标地点（网址）：乐采云平台开标大厅。</w:t>
      </w:r>
    </w:p>
    <w:p w14:paraId="496C41F5">
      <w:pPr>
        <w:spacing w:line="400" w:lineRule="exact"/>
        <w:ind w:firstLine="422" w:firstLineChars="200"/>
        <w:jc w:val="left"/>
        <w:rPr>
          <w:rFonts w:ascii="宋体" w:hAnsi="宋体" w:cs="仿宋_GB2312"/>
          <w:b/>
          <w:bCs/>
          <w:color w:val="auto"/>
          <w:szCs w:val="21"/>
          <w:highlight w:val="none"/>
          <w:lang w:bidi="ar"/>
        </w:rPr>
      </w:pPr>
      <w:r>
        <w:rPr>
          <w:rFonts w:hint="eastAsia" w:ascii="宋体" w:hAnsi="宋体" w:cs="仿宋_GB2312"/>
          <w:b/>
          <w:bCs/>
          <w:color w:val="auto"/>
          <w:szCs w:val="21"/>
          <w:highlight w:val="none"/>
          <w:lang w:bidi="ar"/>
        </w:rPr>
        <w:t>八、</w:t>
      </w:r>
      <w:r>
        <w:rPr>
          <w:rFonts w:hint="eastAsia"/>
          <w:b/>
          <w:bCs/>
          <w:color w:val="auto"/>
          <w:szCs w:val="21"/>
          <w:highlight w:val="none"/>
        </w:rPr>
        <w:t>投标与开标注意事项：</w:t>
      </w:r>
    </w:p>
    <w:p w14:paraId="26F921A3">
      <w:pPr>
        <w:wordWrap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1.投标形式：本项目实行网上投标，采用电子投标文件。若供应商参与投标，自行承担投标一切费用。</w:t>
      </w:r>
    </w:p>
    <w:p w14:paraId="56A6FE49">
      <w:pPr>
        <w:wordWrap w:val="0"/>
        <w:spacing w:line="400" w:lineRule="exact"/>
        <w:ind w:firstLine="420" w:firstLineChars="200"/>
        <w:rPr>
          <w:color w:val="auto"/>
          <w:highlight w:val="none"/>
        </w:rPr>
      </w:pPr>
      <w:r>
        <w:rPr>
          <w:rFonts w:hint="eastAsia" w:ascii="宋体" w:hAnsi="宋体" w:cs="宋体"/>
          <w:color w:val="auto"/>
          <w:szCs w:val="21"/>
          <w:highlight w:val="none"/>
        </w:rPr>
        <w:t>2.开标时间后半小时内投标人可以登录乐采云平台，用“项目采购-开标评标”功能进行解密投标文件。投标人按时在线解密投标文件的，以在线解密的投标文件作为评审依据，若投标人在规定时间内无法解密或解密失败，则以备份电子投标文件作为评审依据（若备份电子投标文件与乐采云平台上传的投标文件被识别为不一致，仍以备份电子投标文件作为评审依据）。若投标人在规定时间内无法解密或解密失败且未提供备份电子投标文件或所提供的备份电子投标文件无法读取的，视为投标文件撤回。</w:t>
      </w:r>
    </w:p>
    <w:p w14:paraId="6287B54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14:paraId="4C6113A8">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4.投标文件制作：</w:t>
      </w:r>
    </w:p>
    <w:p w14:paraId="4BB1C7CD">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04B88FD9">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2）供应商通过乐采云平台电子投标工具制作投标文件。电子投标工具请供应商自行前往浙江政府采购网下载并安装（下载专区-电子投标客户端）。</w:t>
      </w:r>
    </w:p>
    <w:p w14:paraId="17E960D8">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供应商投标文件制作及电子交易操作指南详见：政府采购云平台-服务中心-帮助文档-项目采购-操作流程-电子招投标。</w:t>
      </w:r>
    </w:p>
    <w:p w14:paraId="4AF4F0FA">
      <w:pPr>
        <w:snapToGrid w:val="0"/>
        <w:spacing w:line="400" w:lineRule="exact"/>
        <w:ind w:firstLine="422" w:firstLineChars="200"/>
        <w:rPr>
          <w:rFonts w:hint="eastAsia" w:ascii="宋体" w:hAnsi="宋体" w:cs="宋体"/>
          <w:color w:val="auto"/>
          <w:szCs w:val="21"/>
          <w:highlight w:val="none"/>
        </w:rPr>
      </w:pPr>
      <w:r>
        <w:rPr>
          <w:rFonts w:hint="eastAsia" w:ascii="宋体" w:hAnsi="宋体" w:cs="仿宋_GB2312"/>
          <w:b/>
          <w:color w:val="auto"/>
          <w:szCs w:val="21"/>
          <w:highlight w:val="none"/>
          <w:lang w:bidi="ar"/>
        </w:rPr>
        <w:t>九、投标保证金：</w:t>
      </w:r>
    </w:p>
    <w:p w14:paraId="7D890F4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1、投标保证金金额（人民币）：</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万元。</w:t>
      </w:r>
    </w:p>
    <w:p w14:paraId="68059522">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2、投标保证金形式可选择：银行转账或电汇形式</w:t>
      </w:r>
      <w:r>
        <w:rPr>
          <w:rFonts w:hint="eastAsia" w:ascii="宋体" w:hAnsi="宋体" w:cs="宋体"/>
          <w:b/>
          <w:color w:val="auto"/>
          <w:szCs w:val="21"/>
          <w:highlight w:val="none"/>
        </w:rPr>
        <w:t>（必须从投标人基本账户汇出）</w:t>
      </w:r>
      <w:r>
        <w:rPr>
          <w:rFonts w:hint="eastAsia" w:ascii="宋体" w:hAnsi="宋体" w:cs="宋体"/>
          <w:color w:val="auto"/>
          <w:szCs w:val="21"/>
          <w:highlight w:val="none"/>
        </w:rPr>
        <w:t>、支票、汇票、保函等。不接受现金交纳形式。</w:t>
      </w:r>
      <w:r>
        <w:rPr>
          <w:rFonts w:hint="eastAsia"/>
          <w:b/>
          <w:color w:val="auto"/>
          <w:szCs w:val="21"/>
          <w:highlight w:val="none"/>
        </w:rPr>
        <w:t>投标人名称应与递交保证金账户名称一致，否则不予认可。</w:t>
      </w:r>
    </w:p>
    <w:p w14:paraId="3EB08CBD">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3、投标保证金应于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10</w:t>
      </w:r>
      <w:r>
        <w:rPr>
          <w:rFonts w:hint="eastAsia" w:ascii="宋体" w:hAnsi="宋体" w:cs="宋体"/>
          <w:color w:val="auto"/>
          <w:szCs w:val="21"/>
          <w:highlight w:val="none"/>
          <w:u w:val="single"/>
        </w:rPr>
        <w:t>日16时00分</w:t>
      </w:r>
      <w:r>
        <w:rPr>
          <w:rFonts w:hint="eastAsia" w:ascii="宋体" w:hAnsi="宋体" w:cs="宋体"/>
          <w:color w:val="auto"/>
          <w:szCs w:val="21"/>
          <w:highlight w:val="none"/>
        </w:rPr>
        <w:t>之前交纳到以下账号并到账：</w:t>
      </w:r>
    </w:p>
    <w:p w14:paraId="1C3DBCF5">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收款单位：</w:t>
      </w:r>
      <w:r>
        <w:rPr>
          <w:rFonts w:hint="eastAsia" w:ascii="宋体" w:hAnsi="宋体" w:cs="宋体"/>
          <w:color w:val="auto"/>
          <w:szCs w:val="21"/>
          <w:highlight w:val="none"/>
          <w:lang w:eastAsia="zh-CN"/>
        </w:rPr>
        <w:t>宁波永敬工程造价咨询有限公司</w:t>
      </w:r>
    </w:p>
    <w:p w14:paraId="198FB4C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开户银行：中国农业银行股份有限公司慈溪分行</w:t>
      </w:r>
    </w:p>
    <w:p w14:paraId="484AFF1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帐号：39502001040010663</w:t>
      </w:r>
    </w:p>
    <w:p w14:paraId="6DCCAE39">
      <w:pPr>
        <w:spacing w:line="400" w:lineRule="exact"/>
        <w:ind w:firstLine="422" w:firstLineChars="200"/>
        <w:rPr>
          <w:color w:val="auto"/>
          <w:highlight w:val="none"/>
        </w:rPr>
      </w:pPr>
      <w:r>
        <w:rPr>
          <w:rFonts w:hint="eastAsia" w:ascii="宋体" w:hAnsi="宋体" w:cs="宋体"/>
          <w:b/>
          <w:color w:val="auto"/>
          <w:szCs w:val="21"/>
          <w:highlight w:val="none"/>
        </w:rPr>
        <w:t>特别提示：投标人交纳投标保证金时，应详细注明投标项目的项目编号，未详细注明或注明错误而导致无法认定投标保证金是否到账，由此产生的后果将由投标人自行负责。</w:t>
      </w:r>
    </w:p>
    <w:p w14:paraId="3ECCDB11">
      <w:pPr>
        <w:spacing w:line="38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lang w:eastAsia="zh-CN"/>
        </w:rPr>
        <w:t>十</w:t>
      </w:r>
      <w:r>
        <w:rPr>
          <w:rFonts w:hint="eastAsia" w:ascii="宋体" w:hAnsi="宋体" w:cs="宋体"/>
          <w:b/>
          <w:bCs/>
          <w:color w:val="auto"/>
          <w:szCs w:val="21"/>
          <w:highlight w:val="none"/>
        </w:rPr>
        <w:t>、其他事项：</w:t>
      </w:r>
    </w:p>
    <w:p w14:paraId="62F22139">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1、单位负责人为同一人或者存在直接控股、管理关系的不同投标人，不得参加同一合同项下的投标。</w:t>
      </w:r>
    </w:p>
    <w:p w14:paraId="0E4339DA">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2、与招标人存在利害关系可能影响招标公正性的法人、其他组织或者个人，不得参加投标。</w:t>
      </w:r>
    </w:p>
    <w:p w14:paraId="1924DFD5">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3、未获取招标文件者的投标将被拒绝。</w:t>
      </w:r>
    </w:p>
    <w:p w14:paraId="5186B289">
      <w:pPr>
        <w:spacing w:line="380" w:lineRule="exact"/>
        <w:ind w:firstLine="422" w:firstLineChars="200"/>
        <w:rPr>
          <w:rFonts w:ascii="宋体" w:hAnsi="宋体" w:cs="仿宋_GB2312"/>
          <w:b/>
          <w:color w:val="auto"/>
          <w:szCs w:val="21"/>
          <w:highlight w:val="none"/>
          <w:lang w:bidi="ar"/>
        </w:rPr>
      </w:pPr>
      <w:r>
        <w:rPr>
          <w:rFonts w:hint="eastAsia" w:ascii="宋体" w:hAnsi="宋体" w:cs="仿宋_GB2312"/>
          <w:b/>
          <w:color w:val="auto"/>
          <w:szCs w:val="21"/>
          <w:highlight w:val="none"/>
          <w:lang w:bidi="ar"/>
        </w:rPr>
        <w:t>十</w:t>
      </w:r>
      <w:r>
        <w:rPr>
          <w:rFonts w:hint="eastAsia" w:ascii="宋体" w:hAnsi="宋体" w:cs="仿宋_GB2312"/>
          <w:b/>
          <w:color w:val="auto"/>
          <w:szCs w:val="21"/>
          <w:highlight w:val="none"/>
          <w:lang w:eastAsia="zh-CN" w:bidi="ar"/>
        </w:rPr>
        <w:t>一</w:t>
      </w:r>
      <w:r>
        <w:rPr>
          <w:rFonts w:hint="eastAsia" w:ascii="宋体" w:hAnsi="宋体" w:cs="仿宋_GB2312"/>
          <w:b/>
          <w:color w:val="auto"/>
          <w:szCs w:val="21"/>
          <w:highlight w:val="none"/>
          <w:lang w:bidi="ar"/>
        </w:rPr>
        <w:t xml:space="preserve">、招标人及其委托代理机构联系方式： </w:t>
      </w:r>
    </w:p>
    <w:p w14:paraId="5546B79B">
      <w:pPr>
        <w:spacing w:line="380" w:lineRule="exact"/>
        <w:ind w:firstLine="420" w:firstLineChars="200"/>
        <w:jc w:val="left"/>
        <w:rPr>
          <w:rFonts w:ascii="宋体" w:hAnsi="宋体" w:cs="仿宋_GB2312"/>
          <w:bCs/>
          <w:color w:val="auto"/>
          <w:szCs w:val="21"/>
          <w:highlight w:val="none"/>
        </w:rPr>
      </w:pPr>
      <w:r>
        <w:rPr>
          <w:rFonts w:hint="eastAsia" w:ascii="宋体" w:hAnsi="宋体" w:cs="仿宋_GB2312"/>
          <w:bCs/>
          <w:color w:val="auto"/>
          <w:szCs w:val="21"/>
          <w:highlight w:val="none"/>
        </w:rPr>
        <w:t>1、招标人：</w:t>
      </w:r>
      <w:r>
        <w:rPr>
          <w:rFonts w:hint="eastAsia" w:ascii="宋体" w:hAnsi="宋体" w:cs="仿宋_GB2312"/>
          <w:bCs/>
          <w:color w:val="auto"/>
          <w:szCs w:val="21"/>
          <w:highlight w:val="none"/>
          <w:lang w:eastAsia="zh-CN"/>
        </w:rPr>
        <w:t>慈溪欣旅酒店管理有限公司</w:t>
      </w:r>
      <w:r>
        <w:rPr>
          <w:rFonts w:hint="eastAsia" w:ascii="宋体" w:hAnsi="宋体" w:cs="仿宋_GB2312"/>
          <w:bCs/>
          <w:color w:val="auto"/>
          <w:szCs w:val="21"/>
          <w:highlight w:val="none"/>
        </w:rPr>
        <w:t xml:space="preserve"> </w:t>
      </w:r>
    </w:p>
    <w:p w14:paraId="66280B5B">
      <w:pPr>
        <w:spacing w:line="380" w:lineRule="exact"/>
        <w:ind w:firstLine="735" w:firstLineChars="350"/>
        <w:jc w:val="left"/>
        <w:rPr>
          <w:rFonts w:hint="eastAsia" w:ascii="宋体" w:hAnsi="宋体" w:eastAsia="宋体" w:cs="仿宋_GB2312"/>
          <w:bCs/>
          <w:color w:val="auto"/>
          <w:szCs w:val="21"/>
          <w:highlight w:val="none"/>
          <w:lang w:eastAsia="zh-CN"/>
        </w:rPr>
      </w:pPr>
      <w:r>
        <w:rPr>
          <w:rFonts w:hint="eastAsia" w:ascii="宋体" w:hAnsi="宋体" w:cs="仿宋_GB2312"/>
          <w:bCs/>
          <w:color w:val="auto"/>
          <w:szCs w:val="21"/>
          <w:highlight w:val="none"/>
        </w:rPr>
        <w:t>地  址：</w:t>
      </w:r>
      <w:r>
        <w:rPr>
          <w:rFonts w:hint="eastAsia" w:ascii="宋体" w:hAnsi="宋体" w:cs="仿宋_GB2312"/>
          <w:bCs/>
          <w:color w:val="auto"/>
          <w:szCs w:val="21"/>
          <w:highlight w:val="none"/>
          <w:lang w:eastAsia="zh-CN"/>
        </w:rPr>
        <w:t>浙江省宁波市慈溪市坎墩街道坎墩西街70号</w:t>
      </w:r>
    </w:p>
    <w:p w14:paraId="3AC0044F">
      <w:pPr>
        <w:spacing w:line="380" w:lineRule="exact"/>
        <w:ind w:firstLine="735" w:firstLineChars="350"/>
        <w:jc w:val="left"/>
        <w:rPr>
          <w:rFonts w:hint="eastAsia" w:ascii="宋体" w:hAnsi="宋体" w:eastAsia="宋体" w:cs="仿宋_GB2312"/>
          <w:bCs/>
          <w:color w:val="auto"/>
          <w:szCs w:val="21"/>
          <w:highlight w:val="none"/>
          <w:lang w:eastAsia="zh-CN"/>
        </w:rPr>
      </w:pPr>
      <w:r>
        <w:rPr>
          <w:rFonts w:hint="eastAsia" w:ascii="宋体" w:hAnsi="宋体" w:cs="仿宋_GB2312"/>
          <w:bCs/>
          <w:color w:val="auto"/>
          <w:szCs w:val="21"/>
          <w:highlight w:val="none"/>
        </w:rPr>
        <w:t>联系人：</w:t>
      </w:r>
      <w:r>
        <w:rPr>
          <w:rFonts w:hint="eastAsia" w:ascii="宋体" w:hAnsi="宋体" w:cs="仿宋_GB2312"/>
          <w:bCs/>
          <w:color w:val="auto"/>
          <w:szCs w:val="21"/>
          <w:highlight w:val="none"/>
          <w:lang w:eastAsia="zh-CN"/>
        </w:rPr>
        <w:t>李老师</w:t>
      </w:r>
    </w:p>
    <w:p w14:paraId="2F729EAB">
      <w:pPr>
        <w:spacing w:line="380" w:lineRule="exact"/>
        <w:ind w:firstLine="735" w:firstLineChars="350"/>
        <w:jc w:val="left"/>
        <w:rPr>
          <w:rFonts w:ascii="宋体" w:hAnsi="宋体" w:cs="仿宋_GB2312"/>
          <w:bCs/>
          <w:color w:val="auto"/>
          <w:szCs w:val="21"/>
          <w:highlight w:val="none"/>
        </w:rPr>
      </w:pPr>
      <w:r>
        <w:rPr>
          <w:rFonts w:hint="eastAsia" w:ascii="宋体" w:hAnsi="宋体" w:cs="仿宋_GB2312"/>
          <w:bCs/>
          <w:color w:val="auto"/>
          <w:szCs w:val="21"/>
          <w:highlight w:val="none"/>
        </w:rPr>
        <w:t>联系电话：</w:t>
      </w:r>
      <w:r>
        <w:rPr>
          <w:rFonts w:hint="eastAsia" w:ascii="宋体" w:hAnsi="宋体"/>
          <w:color w:val="auto"/>
          <w:szCs w:val="21"/>
          <w:highlight w:val="none"/>
          <w:lang w:eastAsia="zh-CN"/>
        </w:rPr>
        <w:t>0574-63839765</w:t>
      </w:r>
      <w:r>
        <w:rPr>
          <w:rFonts w:ascii="宋体" w:hAnsi="宋体"/>
          <w:color w:val="auto"/>
          <w:szCs w:val="21"/>
          <w:highlight w:val="none"/>
        </w:rPr>
        <w:t xml:space="preserve"> </w:t>
      </w:r>
    </w:p>
    <w:p w14:paraId="545EEEF7">
      <w:pPr>
        <w:spacing w:line="380" w:lineRule="exact"/>
        <w:ind w:firstLine="420" w:firstLineChars="200"/>
        <w:jc w:val="left"/>
        <w:rPr>
          <w:rFonts w:hint="eastAsia" w:ascii="宋体" w:hAnsi="宋体" w:eastAsia="宋体" w:cs="仿宋_GB2312"/>
          <w:bCs/>
          <w:color w:val="auto"/>
          <w:szCs w:val="21"/>
          <w:highlight w:val="none"/>
          <w:lang w:eastAsia="zh-CN"/>
        </w:rPr>
      </w:pPr>
      <w:r>
        <w:rPr>
          <w:rFonts w:hint="eastAsia" w:ascii="宋体" w:hAnsi="宋体" w:cs="仿宋_GB2312"/>
          <w:bCs/>
          <w:color w:val="auto"/>
          <w:szCs w:val="21"/>
          <w:highlight w:val="none"/>
        </w:rPr>
        <w:t>2、招标代理机构：</w:t>
      </w:r>
      <w:r>
        <w:rPr>
          <w:rFonts w:hint="eastAsia" w:ascii="宋体" w:hAnsi="宋体" w:cs="仿宋_GB2312"/>
          <w:bCs/>
          <w:color w:val="auto"/>
          <w:szCs w:val="21"/>
          <w:highlight w:val="none"/>
          <w:lang w:eastAsia="zh-CN"/>
        </w:rPr>
        <w:t>宁波永敬工程造价咨询有限公司</w:t>
      </w:r>
    </w:p>
    <w:p w14:paraId="5B87F31A">
      <w:pPr>
        <w:spacing w:line="380" w:lineRule="exact"/>
        <w:ind w:firstLine="735" w:firstLineChars="350"/>
        <w:jc w:val="left"/>
        <w:rPr>
          <w:rFonts w:hint="eastAsia" w:ascii="宋体" w:hAnsi="宋体" w:eastAsia="宋体" w:cs="仿宋_GB2312"/>
          <w:bCs/>
          <w:color w:val="auto"/>
          <w:szCs w:val="21"/>
          <w:highlight w:val="none"/>
          <w:lang w:eastAsia="zh-CN"/>
        </w:rPr>
      </w:pPr>
      <w:r>
        <w:rPr>
          <w:rFonts w:hint="eastAsia" w:ascii="宋体" w:hAnsi="宋体" w:cs="仿宋_GB2312"/>
          <w:bCs/>
          <w:color w:val="auto"/>
          <w:szCs w:val="21"/>
          <w:highlight w:val="none"/>
        </w:rPr>
        <w:t>联系地址：</w:t>
      </w:r>
      <w:r>
        <w:rPr>
          <w:rFonts w:hint="eastAsia" w:ascii="宋体" w:hAnsi="宋体" w:cs="仿宋_GB2312"/>
          <w:bCs/>
          <w:color w:val="auto"/>
          <w:szCs w:val="21"/>
          <w:highlight w:val="none"/>
          <w:lang w:eastAsia="zh-CN"/>
        </w:rPr>
        <w:t>慈溪市孙塘南路4号永敬商务楼2楼205</w:t>
      </w:r>
    </w:p>
    <w:p w14:paraId="317F2CE8">
      <w:pPr>
        <w:spacing w:line="380" w:lineRule="exact"/>
        <w:ind w:firstLine="735" w:firstLineChars="350"/>
        <w:jc w:val="left"/>
        <w:rPr>
          <w:rFonts w:hint="eastAsia" w:ascii="宋体" w:hAnsi="宋体" w:eastAsia="宋体" w:cs="仿宋_GB2312"/>
          <w:bCs/>
          <w:color w:val="auto"/>
          <w:szCs w:val="21"/>
          <w:highlight w:val="none"/>
          <w:lang w:eastAsia="zh-CN"/>
        </w:rPr>
      </w:pPr>
      <w:r>
        <w:rPr>
          <w:rFonts w:hint="eastAsia" w:ascii="宋体" w:hAnsi="宋体" w:cs="仿宋_GB2312"/>
          <w:bCs/>
          <w:color w:val="auto"/>
          <w:szCs w:val="21"/>
          <w:highlight w:val="none"/>
        </w:rPr>
        <w:t>联 系 人：</w:t>
      </w:r>
      <w:r>
        <w:rPr>
          <w:rFonts w:hint="eastAsia" w:ascii="宋体" w:hAnsi="宋体" w:cs="仿宋_GB2312"/>
          <w:bCs/>
          <w:color w:val="auto"/>
          <w:szCs w:val="21"/>
          <w:highlight w:val="none"/>
          <w:lang w:eastAsia="zh-CN"/>
        </w:rPr>
        <w:t>陈工</w:t>
      </w:r>
    </w:p>
    <w:p w14:paraId="23C53068">
      <w:pPr>
        <w:spacing w:line="380" w:lineRule="exact"/>
        <w:ind w:firstLine="840" w:firstLineChars="400"/>
        <w:jc w:val="left"/>
        <w:rPr>
          <w:rFonts w:hint="eastAsia" w:ascii="宋体" w:hAnsi="宋体" w:eastAsia="宋体" w:cs="仿宋_GB2312"/>
          <w:bCs/>
          <w:color w:val="auto"/>
          <w:szCs w:val="21"/>
          <w:highlight w:val="none"/>
          <w:lang w:eastAsia="zh-CN"/>
        </w:rPr>
      </w:pPr>
      <w:r>
        <w:rPr>
          <w:rFonts w:hint="eastAsia" w:ascii="宋体" w:hAnsi="宋体" w:cs="仿宋_GB2312"/>
          <w:bCs/>
          <w:color w:val="auto"/>
          <w:szCs w:val="21"/>
          <w:highlight w:val="none"/>
        </w:rPr>
        <w:t>联系电话/传真：</w:t>
      </w:r>
      <w:r>
        <w:rPr>
          <w:rFonts w:hint="eastAsia" w:ascii="宋体" w:hAnsi="宋体" w:cs="仿宋_GB2312"/>
          <w:bCs/>
          <w:color w:val="auto"/>
          <w:szCs w:val="21"/>
          <w:highlight w:val="none"/>
          <w:lang w:eastAsia="zh-CN"/>
        </w:rPr>
        <w:t>0574-63899806</w:t>
      </w:r>
    </w:p>
    <w:p w14:paraId="0A220727">
      <w:pPr>
        <w:spacing w:line="380" w:lineRule="exact"/>
        <w:ind w:firstLine="315" w:firstLineChars="150"/>
        <w:jc w:val="left"/>
        <w:rPr>
          <w:rFonts w:hint="eastAsia" w:ascii="宋体" w:hAnsi="宋体" w:eastAsia="宋体" w:cs="仿宋_GB2312"/>
          <w:bCs/>
          <w:color w:val="auto"/>
          <w:szCs w:val="21"/>
          <w:highlight w:val="none"/>
          <w:lang w:eastAsia="zh-CN"/>
        </w:rPr>
      </w:pPr>
      <w:r>
        <w:rPr>
          <w:rFonts w:hint="eastAsia" w:ascii="宋体" w:hAnsi="宋体" w:cs="仿宋_GB2312"/>
          <w:bCs/>
          <w:color w:val="auto"/>
          <w:szCs w:val="21"/>
          <w:highlight w:val="none"/>
        </w:rPr>
        <w:t>3、投诉处理单位：</w:t>
      </w:r>
      <w:r>
        <w:rPr>
          <w:rFonts w:hint="eastAsia" w:ascii="宋体" w:hAnsi="宋体" w:cs="仿宋_GB2312"/>
          <w:bCs/>
          <w:color w:val="auto"/>
          <w:szCs w:val="21"/>
          <w:highlight w:val="none"/>
          <w:lang w:eastAsia="zh-CN"/>
        </w:rPr>
        <w:t>中共慈溪市委党校</w:t>
      </w:r>
    </w:p>
    <w:p w14:paraId="6FC870D7">
      <w:pPr>
        <w:spacing w:line="380" w:lineRule="exact"/>
        <w:ind w:firstLine="840" w:firstLineChars="400"/>
        <w:jc w:val="left"/>
        <w:rPr>
          <w:rFonts w:hint="eastAsia" w:ascii="宋体" w:hAnsi="宋体" w:eastAsia="宋体" w:cs="仿宋_GB2312"/>
          <w:bCs/>
          <w:color w:val="auto"/>
          <w:szCs w:val="21"/>
          <w:highlight w:val="none"/>
          <w:lang w:eastAsia="zh-CN"/>
        </w:rPr>
      </w:pPr>
      <w:r>
        <w:rPr>
          <w:rFonts w:hint="eastAsia" w:ascii="宋体" w:hAnsi="宋体" w:cs="仿宋_GB2312"/>
          <w:bCs/>
          <w:color w:val="auto"/>
          <w:szCs w:val="21"/>
          <w:highlight w:val="none"/>
        </w:rPr>
        <w:t xml:space="preserve">联系地址： </w:t>
      </w:r>
      <w:r>
        <w:rPr>
          <w:rFonts w:hint="eastAsia" w:ascii="宋体" w:hAnsi="宋体" w:cs="仿宋_GB2312"/>
          <w:bCs/>
          <w:color w:val="auto"/>
          <w:szCs w:val="21"/>
          <w:highlight w:val="none"/>
          <w:lang w:eastAsia="zh-CN"/>
        </w:rPr>
        <w:t>浙江省慈溪市白沙路街道文二路158号</w:t>
      </w:r>
    </w:p>
    <w:p w14:paraId="5EF27797">
      <w:pPr>
        <w:spacing w:line="380" w:lineRule="exact"/>
        <w:ind w:firstLine="840" w:firstLineChars="400"/>
        <w:jc w:val="left"/>
        <w:rPr>
          <w:rFonts w:hint="eastAsia" w:ascii="宋体" w:hAnsi="宋体" w:eastAsia="宋体" w:cs="仿宋_GB2312"/>
          <w:bCs/>
          <w:color w:val="auto"/>
          <w:szCs w:val="21"/>
          <w:highlight w:val="none"/>
          <w:lang w:eastAsia="zh-CN"/>
        </w:rPr>
      </w:pPr>
      <w:r>
        <w:rPr>
          <w:rFonts w:hint="eastAsia" w:ascii="宋体" w:hAnsi="宋体" w:cs="仿宋_GB2312"/>
          <w:bCs/>
          <w:color w:val="auto"/>
          <w:szCs w:val="21"/>
          <w:highlight w:val="none"/>
        </w:rPr>
        <w:t xml:space="preserve">联系人： </w:t>
      </w:r>
      <w:r>
        <w:rPr>
          <w:rFonts w:hint="eastAsia" w:ascii="宋体" w:hAnsi="宋体" w:cs="仿宋_GB2312"/>
          <w:bCs/>
          <w:color w:val="auto"/>
          <w:szCs w:val="21"/>
          <w:highlight w:val="none"/>
          <w:lang w:eastAsia="zh-CN"/>
        </w:rPr>
        <w:t>陈老师</w:t>
      </w:r>
    </w:p>
    <w:p w14:paraId="2B24760D">
      <w:pPr>
        <w:spacing w:line="380" w:lineRule="exact"/>
        <w:ind w:firstLine="840" w:firstLineChars="400"/>
        <w:jc w:val="left"/>
        <w:rPr>
          <w:rFonts w:ascii="宋体" w:hAnsi="宋体" w:cs="仿宋_GB2312"/>
          <w:bCs/>
          <w:color w:val="auto"/>
          <w:szCs w:val="21"/>
          <w:highlight w:val="none"/>
        </w:rPr>
      </w:pPr>
      <w:r>
        <w:rPr>
          <w:rFonts w:hint="eastAsia" w:ascii="宋体" w:hAnsi="宋体" w:cs="仿宋_GB2312"/>
          <w:bCs/>
          <w:color w:val="auto"/>
          <w:szCs w:val="21"/>
          <w:highlight w:val="none"/>
        </w:rPr>
        <w:t xml:space="preserve">联系电话： </w:t>
      </w:r>
      <w:r>
        <w:rPr>
          <w:rFonts w:hint="eastAsia" w:ascii="宋体" w:hAnsi="宋体" w:cs="仿宋_GB2312"/>
          <w:bCs/>
          <w:color w:val="auto"/>
          <w:szCs w:val="21"/>
          <w:highlight w:val="none"/>
          <w:lang w:eastAsia="zh-CN"/>
        </w:rPr>
        <w:t>0574-63837968</w:t>
      </w:r>
    </w:p>
    <w:p w14:paraId="78D013F1">
      <w:pPr>
        <w:pageBreakBefore/>
        <w:jc w:val="center"/>
        <w:outlineLvl w:val="0"/>
        <w:rPr>
          <w:rFonts w:ascii="宋体" w:hAnsi="宋体"/>
          <w:b/>
          <w:color w:val="auto"/>
          <w:sz w:val="32"/>
          <w:highlight w:val="none"/>
        </w:rPr>
      </w:pPr>
      <w:bookmarkStart w:id="1" w:name="_Toc102053014"/>
      <w:r>
        <w:rPr>
          <w:rFonts w:hint="eastAsia" w:ascii="宋体" w:hAnsi="宋体"/>
          <w:b/>
          <w:color w:val="auto"/>
          <w:sz w:val="32"/>
          <w:highlight w:val="none"/>
        </w:rPr>
        <w:t>第二章  投标须知</w:t>
      </w:r>
      <w:bookmarkEnd w:id="1"/>
    </w:p>
    <w:p w14:paraId="57382B52">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一、适用范围</w:t>
      </w:r>
    </w:p>
    <w:p w14:paraId="25348964">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本招标文件仅适用于本采购项目所叙述的货物和服务的招标、评标、定标、验收、合同履约、付款等（法律、法规另有规定的，从其规定）。</w:t>
      </w:r>
    </w:p>
    <w:p w14:paraId="5B462093">
      <w:pPr>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二、定义</w:t>
      </w:r>
    </w:p>
    <w:p w14:paraId="65291515">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1、“招标人”系指</w:t>
      </w:r>
      <w:r>
        <w:rPr>
          <w:rFonts w:hint="eastAsia" w:ascii="宋体" w:hAnsi="宋体" w:cs="仿宋_GB2312"/>
          <w:bCs/>
          <w:color w:val="auto"/>
          <w:szCs w:val="21"/>
          <w:highlight w:val="none"/>
          <w:lang w:eastAsia="zh-CN"/>
        </w:rPr>
        <w:t>慈溪欣旅酒店管理有限公司</w:t>
      </w:r>
      <w:r>
        <w:rPr>
          <w:rFonts w:hint="eastAsia" w:ascii="宋体" w:hAnsi="宋体"/>
          <w:color w:val="auto"/>
          <w:szCs w:val="21"/>
          <w:highlight w:val="none"/>
        </w:rPr>
        <w:t>。</w:t>
      </w:r>
    </w:p>
    <w:p w14:paraId="7DA95D50">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2、“代理机构”系指</w:t>
      </w:r>
      <w:r>
        <w:rPr>
          <w:rFonts w:hint="eastAsia" w:ascii="宋体" w:hAnsi="宋体"/>
          <w:color w:val="auto"/>
          <w:szCs w:val="21"/>
          <w:highlight w:val="none"/>
          <w:lang w:eastAsia="zh-CN"/>
        </w:rPr>
        <w:t>宁波永敬工程造价咨询有限公司</w:t>
      </w:r>
      <w:r>
        <w:rPr>
          <w:rFonts w:hint="eastAsia" w:ascii="宋体" w:hAnsi="宋体"/>
          <w:color w:val="auto"/>
          <w:szCs w:val="21"/>
          <w:highlight w:val="none"/>
        </w:rPr>
        <w:t>。</w:t>
      </w:r>
    </w:p>
    <w:p w14:paraId="4A63646C">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3、“投标人”系指向招标人提交投标文件的投标人。</w:t>
      </w:r>
    </w:p>
    <w:p w14:paraId="30905F55">
      <w:pPr>
        <w:spacing w:line="380" w:lineRule="exact"/>
        <w:ind w:firstLine="420" w:firstLineChars="200"/>
        <w:jc w:val="left"/>
        <w:rPr>
          <w:rFonts w:ascii="宋体" w:hAnsi="宋体"/>
          <w:color w:val="auto"/>
          <w:szCs w:val="21"/>
          <w:highlight w:val="none"/>
        </w:rPr>
      </w:pPr>
      <w:r>
        <w:rPr>
          <w:rFonts w:hint="eastAsia" w:ascii="宋体" w:hAnsi="宋体" w:cs="宋体"/>
          <w:color w:val="auto"/>
          <w:szCs w:val="21"/>
          <w:highlight w:val="none"/>
          <w:lang w:bidi="ar"/>
        </w:rPr>
        <w:t>4、“中标人”系指在本次招标中确定向招标人提供货物的投标人。</w:t>
      </w:r>
    </w:p>
    <w:p w14:paraId="674031DE">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5、“货物”系指招标文件规定投标人向招标人提供的</w:t>
      </w:r>
      <w:r>
        <w:rPr>
          <w:rFonts w:hint="eastAsia" w:ascii="宋体" w:hAnsi="宋体" w:cs="仿宋_GB2312"/>
          <w:bCs/>
          <w:color w:val="auto"/>
          <w:szCs w:val="21"/>
          <w:highlight w:val="none"/>
        </w:rPr>
        <w:t>食材</w:t>
      </w:r>
      <w:r>
        <w:rPr>
          <w:rFonts w:hint="eastAsia" w:ascii="宋体" w:hAnsi="宋体"/>
          <w:color w:val="auto"/>
          <w:szCs w:val="21"/>
          <w:highlight w:val="none"/>
        </w:rPr>
        <w:t>。</w:t>
      </w:r>
    </w:p>
    <w:p w14:paraId="74DEACDA">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“服务”系指</w:t>
      </w:r>
      <w:r>
        <w:rPr>
          <w:rFonts w:hint="eastAsia" w:ascii="宋体" w:hAnsi="宋体" w:cs="仿宋_GB2312"/>
          <w:bCs/>
          <w:color w:val="auto"/>
          <w:szCs w:val="21"/>
          <w:highlight w:val="none"/>
          <w:lang w:eastAsia="zh-CN"/>
        </w:rPr>
        <w:t>慈溪市新城河07-D-01地块食堂食品原材料采购项目</w:t>
      </w:r>
      <w:r>
        <w:rPr>
          <w:rFonts w:hint="eastAsia" w:ascii="宋体" w:hAnsi="宋体" w:cs="宋体"/>
          <w:color w:val="auto"/>
          <w:szCs w:val="21"/>
          <w:highlight w:val="none"/>
        </w:rPr>
        <w:t>要求的相关服务。</w:t>
      </w:r>
    </w:p>
    <w:p w14:paraId="515CE796">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7、“▲”系指实质性响应条款，未响应实质性条款要求的，作无效标处理。</w:t>
      </w:r>
    </w:p>
    <w:p w14:paraId="3830E6AA">
      <w:pPr>
        <w:spacing w:line="38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三、投标人的资格要求</w:t>
      </w:r>
    </w:p>
    <w:p w14:paraId="1EB4F071">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详见招标公告。</w:t>
      </w:r>
    </w:p>
    <w:p w14:paraId="53F94F31">
      <w:pPr>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四、投标费用</w:t>
      </w:r>
    </w:p>
    <w:p w14:paraId="5BA3B3B2">
      <w:pPr>
        <w:adjustRightInd w:val="0"/>
        <w:spacing w:line="3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1、无论投标过程和结果如何，投标方自行承担与投标有关的全部费用。</w:t>
      </w:r>
    </w:p>
    <w:p w14:paraId="652F3267">
      <w:pPr>
        <w:adjustRightInd w:val="0"/>
        <w:spacing w:line="3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2、投标人准备和参加投标活动发生的费用自理，本次采购中标服务费由中标人支付，中标人在发放</w:t>
      </w:r>
      <w:r>
        <w:rPr>
          <w:rFonts w:hint="eastAsia" w:ascii="宋体" w:hAnsi="宋体" w:cs="宋体"/>
          <w:b/>
          <w:color w:val="auto"/>
          <w:szCs w:val="21"/>
          <w:highlight w:val="none"/>
          <w:lang w:bidi="ar"/>
        </w:rPr>
        <w:t>中标通知书之前支付给代理机构</w:t>
      </w:r>
      <w:r>
        <w:rPr>
          <w:rFonts w:hint="eastAsia" w:ascii="宋体" w:hAnsi="宋体" w:cs="宋体"/>
          <w:b/>
          <w:color w:val="auto"/>
          <w:szCs w:val="21"/>
          <w:highlight w:val="none"/>
        </w:rPr>
        <w:t>代理。</w:t>
      </w:r>
      <w:r>
        <w:rPr>
          <w:rFonts w:hint="eastAsia" w:ascii="宋体" w:hAnsi="宋体" w:cs="宋体"/>
          <w:b/>
          <w:color w:val="auto"/>
          <w:szCs w:val="21"/>
          <w:highlight w:val="none"/>
          <w:lang w:bidi="ar"/>
        </w:rPr>
        <w:t>代理服务费不另列项目，但其费用在报价时综合考虑，投标总价中包含此项费用。</w:t>
      </w:r>
      <w:r>
        <w:rPr>
          <w:rFonts w:hint="eastAsia" w:ascii="宋体" w:hAnsi="宋体" w:cs="宋体"/>
          <w:b/>
          <w:color w:val="auto"/>
          <w:szCs w:val="21"/>
          <w:highlight w:val="none"/>
        </w:rPr>
        <w:t>招标代理服务费收取金额如下：</w:t>
      </w:r>
      <w:r>
        <w:rPr>
          <w:rFonts w:hint="eastAsia" w:ascii="宋体" w:hAnsi="宋体" w:cs="宋体"/>
          <w:b/>
          <w:color w:val="auto"/>
          <w:szCs w:val="21"/>
          <w:highlight w:val="none"/>
          <w:u w:val="single"/>
        </w:rPr>
        <w:t>人民币</w:t>
      </w:r>
      <w:r>
        <w:rPr>
          <w:rFonts w:ascii="宋体" w:hAnsi="宋体" w:cs="宋体"/>
          <w:b/>
          <w:color w:val="auto"/>
          <w:szCs w:val="21"/>
          <w:highlight w:val="none"/>
          <w:u w:val="single"/>
        </w:rPr>
        <w:t>11000</w:t>
      </w:r>
      <w:r>
        <w:rPr>
          <w:rFonts w:hint="eastAsia" w:ascii="宋体" w:hAnsi="宋体" w:cs="宋体"/>
          <w:b/>
          <w:color w:val="auto"/>
          <w:szCs w:val="21"/>
          <w:highlight w:val="none"/>
          <w:u w:val="single"/>
        </w:rPr>
        <w:t>元整</w:t>
      </w:r>
      <w:r>
        <w:rPr>
          <w:rFonts w:hint="eastAsia" w:ascii="宋体" w:hAnsi="宋体" w:cs="宋体"/>
          <w:b/>
          <w:color w:val="auto"/>
          <w:szCs w:val="21"/>
          <w:highlight w:val="none"/>
        </w:rPr>
        <w:t>，向中标人收取招标服务费。</w:t>
      </w:r>
    </w:p>
    <w:p w14:paraId="1FF23B50">
      <w:pPr>
        <w:adjustRightInd w:val="0"/>
        <w:spacing w:line="3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w:t>
      </w:r>
      <w:r>
        <w:rPr>
          <w:rFonts w:ascii="宋体" w:hAnsi="宋体" w:cs="宋体"/>
          <w:b/>
          <w:color w:val="auto"/>
          <w:szCs w:val="21"/>
          <w:highlight w:val="none"/>
        </w:rPr>
        <w:t>中标人需</w:t>
      </w:r>
      <w:r>
        <w:rPr>
          <w:rFonts w:hint="eastAsia" w:ascii="宋体" w:hAnsi="宋体" w:cs="宋体"/>
          <w:b/>
          <w:color w:val="auto"/>
          <w:szCs w:val="21"/>
          <w:highlight w:val="none"/>
        </w:rPr>
        <w:t>按慈溪市公共资源交易中心的规定，</w:t>
      </w:r>
      <w:r>
        <w:rPr>
          <w:rFonts w:ascii="宋体" w:hAnsi="宋体" w:cs="宋体"/>
          <w:b/>
          <w:color w:val="auto"/>
          <w:szCs w:val="21"/>
          <w:highlight w:val="none"/>
        </w:rPr>
        <w:t>缴纳中标金额0.</w:t>
      </w:r>
      <w:r>
        <w:rPr>
          <w:rFonts w:hint="eastAsia" w:ascii="宋体" w:hAnsi="宋体" w:cs="宋体"/>
          <w:b/>
          <w:color w:val="auto"/>
          <w:szCs w:val="21"/>
          <w:highlight w:val="none"/>
        </w:rPr>
        <w:t>15</w:t>
      </w:r>
      <w:r>
        <w:rPr>
          <w:rFonts w:ascii="宋体" w:hAnsi="宋体" w:cs="宋体"/>
          <w:b/>
          <w:color w:val="auto"/>
          <w:szCs w:val="21"/>
          <w:highlight w:val="none"/>
        </w:rPr>
        <w:t>‰的交易费。</w:t>
      </w:r>
    </w:p>
    <w:p w14:paraId="32507BC3">
      <w:pPr>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五、投标报价</w:t>
      </w:r>
    </w:p>
    <w:p w14:paraId="72EF3A6E">
      <w:pPr>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1、投标报价以人民币为结算货币。此费用包括货物价款，备件、专用工具、安装、调试、检验、技术培训及技术资料和包装、运输等全部费用及完成合同条件所需的一切本身和不可或缺的所有附带工作开支。</w:t>
      </w:r>
    </w:p>
    <w:p w14:paraId="5555F07F">
      <w:pPr>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2、投标人应按招标文件要求认真填写《开标一览表》。开标时，</w:t>
      </w:r>
      <w:r>
        <w:rPr>
          <w:rFonts w:hint="eastAsia" w:ascii="宋体" w:hAnsi="宋体" w:cs="宋体"/>
          <w:color w:val="auto"/>
          <w:szCs w:val="21"/>
          <w:highlight w:val="none"/>
          <w:lang w:val="zh-CN"/>
        </w:rPr>
        <w:t>投标文件中开标一览表（报价表）内容与投标文件中相应内容不一致的，以开标一览表（报价表）为准</w:t>
      </w:r>
      <w:r>
        <w:rPr>
          <w:rFonts w:hint="eastAsia" w:ascii="宋体" w:hAnsi="宋体" w:cs="宋体"/>
          <w:color w:val="auto"/>
          <w:szCs w:val="21"/>
          <w:highlight w:val="none"/>
        </w:rPr>
        <w:t>；</w:t>
      </w:r>
    </w:p>
    <w:p w14:paraId="7C0CF22E">
      <w:pPr>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3、投标文件的大写金额和小写金额不一致的，以大写金额为准；总价金额与按单价汇总金额不一致的，以单价金额计算结果为准；单价金额小数点有明显错位的，应以总价为准，并修改单价。</w:t>
      </w:r>
    </w:p>
    <w:p w14:paraId="5306BE9D">
      <w:pPr>
        <w:spacing w:line="3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六、投标保证金</w:t>
      </w:r>
    </w:p>
    <w:p w14:paraId="7B318F3A">
      <w:pPr>
        <w:adjustRightInd w:val="0"/>
        <w:spacing w:line="380" w:lineRule="exact"/>
        <w:ind w:firstLine="422" w:firstLineChars="200"/>
        <w:rPr>
          <w:rFonts w:hint="eastAsia" w:ascii="宋体" w:hAnsi="宋体" w:cs="宋体"/>
          <w:b/>
          <w:color w:val="auto"/>
          <w:szCs w:val="21"/>
          <w:highlight w:val="none"/>
        </w:rPr>
      </w:pPr>
      <w:r>
        <w:rPr>
          <w:rFonts w:hint="eastAsia" w:ascii="宋体" w:hAnsi="宋体" w:cs="宋体"/>
          <w:b/>
          <w:bCs/>
          <w:color w:val="auto"/>
          <w:szCs w:val="21"/>
          <w:highlight w:val="none"/>
        </w:rPr>
        <w:t>(一)</w:t>
      </w:r>
      <w:r>
        <w:rPr>
          <w:rFonts w:hint="eastAsia" w:ascii="宋体" w:hAnsi="宋体" w:cs="宋体"/>
          <w:b/>
          <w:color w:val="auto"/>
          <w:szCs w:val="21"/>
          <w:highlight w:val="none"/>
        </w:rPr>
        <w:t>交纳方式：详见公告。</w:t>
      </w:r>
    </w:p>
    <w:p w14:paraId="7E537288">
      <w:pPr>
        <w:adjustRightInd w:val="0"/>
        <w:spacing w:line="38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(二)</w:t>
      </w:r>
      <w:r>
        <w:rPr>
          <w:rFonts w:hint="eastAsia" w:ascii="宋体" w:hAnsi="宋体" w:cs="宋体"/>
          <w:b/>
          <w:color w:val="auto"/>
          <w:szCs w:val="21"/>
          <w:highlight w:val="none"/>
        </w:rPr>
        <w:t>未按规定提交投标保证金的投标，应视为无效。</w:t>
      </w:r>
    </w:p>
    <w:p w14:paraId="3BAA09C9">
      <w:pPr>
        <w:adjustRightIn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(三)有下列情况之一的，投标保证金将不予退还：</w:t>
      </w:r>
    </w:p>
    <w:p w14:paraId="774208E3">
      <w:pPr>
        <w:adjustRightIn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1.投标人在投标有效期内撤回投标文件的；</w:t>
      </w:r>
    </w:p>
    <w:p w14:paraId="75093422">
      <w:pPr>
        <w:adjustRightIn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2.履约保证金未按规定交纳或不足的；</w:t>
      </w:r>
    </w:p>
    <w:p w14:paraId="5A4366F0">
      <w:pPr>
        <w:adjustRightIn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3.投标人相互串通投标，或者投标人以他人名义投标或者以其他方式弄虚作假，或者在开评标过程中无理取闹恶意扰乱开评标秩序，或者违反国家或地方有关招投标法律、法规及规定的；</w:t>
      </w:r>
    </w:p>
    <w:p w14:paraId="6227539F">
      <w:pPr>
        <w:adjustRightIn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4.中标供应商未按规定的时间、地点与采购人签订合同的；</w:t>
      </w:r>
    </w:p>
    <w:p w14:paraId="52580D1E">
      <w:pPr>
        <w:adjustRightIn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（四）未中标的投标人的投标保证金的处理：中标通知发出后5个工作日内按规定无息退还。</w:t>
      </w:r>
    </w:p>
    <w:p w14:paraId="6E7F143E">
      <w:pPr>
        <w:adjustRightIn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（五）中标供应商的投标保证金的处理：合同签订后按规定无息退还。</w:t>
      </w:r>
    </w:p>
    <w:p w14:paraId="0A07B00A">
      <w:pPr>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七、投标有效期</w:t>
      </w:r>
    </w:p>
    <w:p w14:paraId="3887D8E5">
      <w:pPr>
        <w:spacing w:line="380" w:lineRule="exact"/>
        <w:ind w:firstLine="210" w:firstLineChars="100"/>
        <w:jc w:val="left"/>
        <w:rPr>
          <w:rFonts w:ascii="宋体" w:hAnsi="宋体"/>
          <w:b/>
          <w:color w:val="auto"/>
          <w:szCs w:val="21"/>
          <w:highlight w:val="none"/>
        </w:rPr>
      </w:pPr>
      <w:r>
        <w:rPr>
          <w:rFonts w:hint="eastAsia" w:ascii="宋体" w:hAnsi="宋体"/>
          <w:color w:val="auto"/>
          <w:szCs w:val="21"/>
          <w:highlight w:val="none"/>
        </w:rPr>
        <w:t>▲1、投标文件从开标之日起，投标有效期为90个日历天。投标有效期不能小于招标文件的要求。</w:t>
      </w:r>
    </w:p>
    <w:p w14:paraId="2AC7F77B">
      <w:pPr>
        <w:spacing w:line="38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特殊情况下，招标人可与投标人协商延缓投标文件的有效期，这种要求和答复均以书面形式进行。在这种情况下，投标保证金的有效期也相应延长。</w:t>
      </w:r>
    </w:p>
    <w:p w14:paraId="4476A7B3">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投标人可拒绝接受延期要求而不会导致投标保证金被没收。同意延长有效期的投标人不能修改投标文件。</w:t>
      </w:r>
    </w:p>
    <w:p w14:paraId="79600A5A">
      <w:pPr>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八、投标文件的组成</w:t>
      </w:r>
    </w:p>
    <w:p w14:paraId="1CFB061D">
      <w:pPr>
        <w:snapToGrid w:val="0"/>
        <w:spacing w:line="380" w:lineRule="exact"/>
        <w:ind w:firstLine="411" w:firstLineChars="196"/>
        <w:jc w:val="left"/>
        <w:rPr>
          <w:rFonts w:ascii="宋体" w:hAnsi="宋体"/>
          <w:b/>
          <w:color w:val="auto"/>
          <w:szCs w:val="21"/>
          <w:highlight w:val="none"/>
        </w:rPr>
      </w:pPr>
      <w:r>
        <w:rPr>
          <w:rFonts w:hint="eastAsia" w:ascii="宋体" w:hAnsi="宋体" w:cs="宋体"/>
          <w:color w:val="auto"/>
          <w:highlight w:val="none"/>
        </w:rPr>
        <w:t>（投标文件中电子公章均采用CA签章）：</w:t>
      </w:r>
    </w:p>
    <w:p w14:paraId="2CE4352B">
      <w:pPr>
        <w:spacing w:line="38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（一）资格审查文件：</w:t>
      </w:r>
    </w:p>
    <w:p w14:paraId="5E424625">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1、资格审查文件封面（格式见附件）；</w:t>
      </w:r>
    </w:p>
    <w:p w14:paraId="0A6B7E36">
      <w:pPr>
        <w:spacing w:line="380" w:lineRule="exact"/>
        <w:ind w:firstLine="420" w:firstLineChars="200"/>
        <w:jc w:val="left"/>
        <w:rPr>
          <w:rFonts w:ascii="宋体" w:hAnsi="宋体"/>
          <w:color w:val="auto"/>
          <w:szCs w:val="21"/>
          <w:highlight w:val="none"/>
        </w:rPr>
      </w:pPr>
      <w:r>
        <w:rPr>
          <w:rFonts w:hint="eastAsia" w:ascii="宋体" w:hAnsi="宋体" w:cs="仿宋_GB2312"/>
          <w:color w:val="auto"/>
          <w:szCs w:val="21"/>
          <w:highlight w:val="none"/>
        </w:rPr>
        <w:t>2、</w:t>
      </w:r>
      <w:r>
        <w:rPr>
          <w:rFonts w:hint="eastAsia" w:ascii="宋体" w:hAnsi="宋体"/>
          <w:color w:val="auto"/>
          <w:szCs w:val="21"/>
          <w:highlight w:val="none"/>
        </w:rPr>
        <w:t>关于资格的声明函（</w:t>
      </w:r>
      <w:r>
        <w:rPr>
          <w:rFonts w:hint="eastAsia" w:ascii="宋体" w:hAnsi="宋体" w:cs="宋体"/>
          <w:color w:val="auto"/>
          <w:szCs w:val="21"/>
          <w:highlight w:val="none"/>
        </w:rPr>
        <w:t>格式见附件</w:t>
      </w:r>
      <w:r>
        <w:rPr>
          <w:rFonts w:hint="eastAsia" w:ascii="宋体" w:hAnsi="宋体"/>
          <w:color w:val="auto"/>
          <w:szCs w:val="21"/>
          <w:highlight w:val="none"/>
        </w:rPr>
        <w:t>）；</w:t>
      </w:r>
    </w:p>
    <w:p w14:paraId="6CA6C17C">
      <w:pPr>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3、投标保证金缴纳证明扫描件（加盖投标人公章）；</w:t>
      </w:r>
    </w:p>
    <w:p w14:paraId="77ADE055">
      <w:pPr>
        <w:spacing w:line="380" w:lineRule="exact"/>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4、</w:t>
      </w:r>
      <w:r>
        <w:rPr>
          <w:rFonts w:hint="eastAsia" w:ascii="宋体" w:hAnsi="宋体" w:cs="宋体"/>
          <w:color w:val="auto"/>
          <w:szCs w:val="22"/>
          <w:highlight w:val="none"/>
        </w:rPr>
        <w:t>提供营业执照（或事业法人登记证或其他登记证明材料）扫描件或电子营业执照加盖供应商公章（供应商如果有名称变更的，应提供由行政主管部门出具的变更证明文件扫描件加盖供应商公章）</w:t>
      </w:r>
      <w:r>
        <w:rPr>
          <w:rFonts w:hint="eastAsia" w:ascii="宋体" w:hAnsi="宋体" w:cs="宋体"/>
          <w:color w:val="auto"/>
          <w:szCs w:val="22"/>
          <w:highlight w:val="none"/>
          <w:lang w:bidi="ar"/>
        </w:rPr>
        <w:t>；</w:t>
      </w:r>
    </w:p>
    <w:p w14:paraId="7DF0D71B">
      <w:pPr>
        <w:spacing w:line="380" w:lineRule="exact"/>
        <w:ind w:firstLine="420" w:firstLineChars="200"/>
        <w:jc w:val="left"/>
        <w:rPr>
          <w:rFonts w:ascii="宋体" w:hAnsi="宋体"/>
          <w:color w:val="auto"/>
          <w:szCs w:val="21"/>
          <w:highlight w:val="none"/>
        </w:rPr>
      </w:pPr>
      <w:r>
        <w:rPr>
          <w:rFonts w:hint="eastAsia" w:ascii="宋体" w:hAnsi="宋体" w:cs="仿宋_GB2312"/>
          <w:color w:val="auto"/>
          <w:szCs w:val="21"/>
          <w:highlight w:val="none"/>
        </w:rPr>
        <w:t>5、投标人一般情况（</w:t>
      </w:r>
      <w:r>
        <w:rPr>
          <w:rFonts w:hint="eastAsia" w:ascii="宋体" w:hAnsi="宋体" w:cs="宋体"/>
          <w:color w:val="auto"/>
          <w:szCs w:val="21"/>
          <w:highlight w:val="none"/>
        </w:rPr>
        <w:t>格式见附件</w:t>
      </w:r>
      <w:r>
        <w:rPr>
          <w:rFonts w:hint="eastAsia" w:ascii="宋体" w:hAnsi="宋体" w:cs="仿宋_GB2312"/>
          <w:color w:val="auto"/>
          <w:szCs w:val="21"/>
          <w:highlight w:val="none"/>
        </w:rPr>
        <w:t>）；</w:t>
      </w:r>
    </w:p>
    <w:p w14:paraId="3176402D">
      <w:pPr>
        <w:spacing w:line="380" w:lineRule="exact"/>
        <w:ind w:firstLine="420" w:firstLineChars="200"/>
        <w:jc w:val="left"/>
        <w:rPr>
          <w:rFonts w:ascii="宋体" w:hAnsi="宋体" w:cs="仿宋_GB2312"/>
          <w:color w:val="auto"/>
          <w:szCs w:val="21"/>
          <w:highlight w:val="none"/>
        </w:rPr>
      </w:pPr>
      <w:r>
        <w:rPr>
          <w:rFonts w:hint="eastAsia" w:ascii="宋体" w:hAnsi="宋体"/>
          <w:color w:val="auto"/>
          <w:szCs w:val="21"/>
          <w:highlight w:val="none"/>
          <w:lang w:val="zh-CN"/>
        </w:rPr>
        <w:t>6、诚信投标承诺书</w:t>
      </w:r>
      <w:r>
        <w:rPr>
          <w:rFonts w:hint="eastAsia" w:ascii="宋体" w:hAnsi="宋体"/>
          <w:color w:val="auto"/>
          <w:szCs w:val="21"/>
          <w:highlight w:val="none"/>
        </w:rPr>
        <w:t>（格式见附件）</w:t>
      </w:r>
      <w:r>
        <w:rPr>
          <w:rFonts w:hint="eastAsia" w:ascii="宋体" w:hAnsi="宋体" w:cs="仿宋_GB2312"/>
          <w:color w:val="auto"/>
          <w:szCs w:val="21"/>
          <w:highlight w:val="none"/>
        </w:rPr>
        <w:t>；</w:t>
      </w:r>
    </w:p>
    <w:p w14:paraId="2C290B47">
      <w:pPr>
        <w:adjustRightIn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s="仿宋_GB2312"/>
          <w:color w:val="auto"/>
          <w:szCs w:val="21"/>
          <w:highlight w:val="none"/>
        </w:rPr>
        <w:t>投标方认为</w:t>
      </w:r>
      <w:r>
        <w:rPr>
          <w:rFonts w:hint="eastAsia" w:ascii="宋体" w:hAnsi="宋体"/>
          <w:color w:val="auto"/>
          <w:szCs w:val="21"/>
          <w:highlight w:val="none"/>
        </w:rPr>
        <w:t>需要的其他资格证明文件资料。</w:t>
      </w:r>
    </w:p>
    <w:p w14:paraId="73D22DFE">
      <w:pPr>
        <w:snapToGrid w:val="0"/>
        <w:spacing w:line="380" w:lineRule="exact"/>
        <w:ind w:firstLine="422" w:firstLineChars="200"/>
        <w:jc w:val="left"/>
        <w:rPr>
          <w:rFonts w:ascii="宋体" w:hAnsi="宋体"/>
          <w:b/>
          <w:color w:val="auto"/>
          <w:szCs w:val="21"/>
          <w:highlight w:val="none"/>
        </w:rPr>
      </w:pPr>
      <w:r>
        <w:rPr>
          <w:rFonts w:hint="eastAsia" w:ascii="宋体" w:hAnsi="宋体" w:cs="宋体"/>
          <w:b/>
          <w:bCs/>
          <w:color w:val="auto"/>
          <w:szCs w:val="21"/>
          <w:highlight w:val="none"/>
        </w:rPr>
        <w:t>（二）</w:t>
      </w:r>
      <w:r>
        <w:rPr>
          <w:rFonts w:hint="eastAsia" w:ascii="宋体" w:hAnsi="宋体"/>
          <w:b/>
          <w:color w:val="auto"/>
          <w:szCs w:val="21"/>
          <w:highlight w:val="none"/>
        </w:rPr>
        <w:t>商务技术文件：</w:t>
      </w:r>
    </w:p>
    <w:p w14:paraId="0BEE2A4F">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1、封面（</w:t>
      </w:r>
      <w:r>
        <w:rPr>
          <w:rFonts w:hint="eastAsia" w:ascii="宋体" w:hAnsi="宋体" w:cs="宋体"/>
          <w:color w:val="auto"/>
          <w:szCs w:val="21"/>
          <w:highlight w:val="none"/>
          <w:lang w:bidi="ar"/>
        </w:rPr>
        <w:t>格式见附件</w:t>
      </w:r>
      <w:r>
        <w:rPr>
          <w:rFonts w:hint="eastAsia" w:ascii="宋体" w:hAnsi="宋体" w:cs="宋体"/>
          <w:color w:val="auto"/>
          <w:szCs w:val="21"/>
          <w:highlight w:val="none"/>
        </w:rPr>
        <w:t>）；</w:t>
      </w:r>
    </w:p>
    <w:p w14:paraId="41A36A78">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2、投标书（</w:t>
      </w:r>
      <w:r>
        <w:rPr>
          <w:rFonts w:hint="eastAsia" w:ascii="宋体" w:hAnsi="宋体" w:cs="宋体"/>
          <w:color w:val="auto"/>
          <w:szCs w:val="21"/>
          <w:highlight w:val="none"/>
          <w:lang w:bidi="ar"/>
        </w:rPr>
        <w:t>格式见附件</w:t>
      </w:r>
      <w:r>
        <w:rPr>
          <w:rFonts w:hint="eastAsia" w:ascii="宋体" w:hAnsi="宋体" w:cs="宋体"/>
          <w:color w:val="auto"/>
          <w:szCs w:val="21"/>
          <w:highlight w:val="none"/>
        </w:rPr>
        <w:t>）；</w:t>
      </w:r>
    </w:p>
    <w:p w14:paraId="3E4D81B7">
      <w:pPr>
        <w:spacing w:line="380" w:lineRule="exact"/>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rPr>
        <w:t>3、</w:t>
      </w:r>
      <w:r>
        <w:rPr>
          <w:rFonts w:hint="eastAsia" w:ascii="宋体" w:hAnsi="宋体" w:cs="宋体"/>
          <w:color w:val="auto"/>
          <w:szCs w:val="21"/>
          <w:highlight w:val="none"/>
          <w:lang w:bidi="ar"/>
        </w:rPr>
        <w:t>法定代表人身份证明、法定代表人授权书（格式见附件）</w:t>
      </w:r>
      <w:r>
        <w:rPr>
          <w:rFonts w:hint="eastAsia" w:ascii="宋体" w:hAnsi="宋体"/>
          <w:color w:val="auto"/>
          <w:szCs w:val="21"/>
          <w:highlight w:val="none"/>
        </w:rPr>
        <w:t>；</w:t>
      </w:r>
    </w:p>
    <w:p w14:paraId="60F62857">
      <w:pPr>
        <w:spacing w:line="38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rPr>
        <w:t>4</w:t>
      </w:r>
      <w:r>
        <w:rPr>
          <w:rFonts w:hint="eastAsia" w:ascii="宋体" w:hAnsi="宋体" w:cs="宋体"/>
          <w:color w:val="auto"/>
          <w:szCs w:val="21"/>
          <w:highlight w:val="none"/>
        </w:rPr>
        <w:t>、商务条款响应表（格式见附件）；</w:t>
      </w:r>
    </w:p>
    <w:p w14:paraId="760EB647">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5、技术条款响应表（格式见附件）；</w:t>
      </w:r>
    </w:p>
    <w:p w14:paraId="6318C179">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6、第三章评分标准要求提供的资料；</w:t>
      </w:r>
    </w:p>
    <w:p w14:paraId="29CF5C24">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7、投标方认为需要的其他文件资料。</w:t>
      </w:r>
    </w:p>
    <w:p w14:paraId="223F05C9">
      <w:pPr>
        <w:spacing w:line="380" w:lineRule="exact"/>
        <w:ind w:firstLine="420" w:firstLineChars="200"/>
        <w:jc w:val="left"/>
        <w:rPr>
          <w:rFonts w:ascii="宋体" w:hAnsi="宋体" w:cs="宋体"/>
          <w:b/>
          <w:bCs/>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“商务技术文件”中不得出现涉及投标价格的内容，否则作无效标处理。</w:t>
      </w:r>
    </w:p>
    <w:p w14:paraId="2FFC4831">
      <w:pPr>
        <w:spacing w:line="38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（三）</w:t>
      </w:r>
      <w:r>
        <w:rPr>
          <w:rFonts w:hint="eastAsia" w:ascii="宋体" w:hAnsi="宋体" w:cs="宋体"/>
          <w:b/>
          <w:color w:val="auto"/>
          <w:szCs w:val="21"/>
          <w:highlight w:val="none"/>
        </w:rPr>
        <w:t>报价文件：</w:t>
      </w:r>
    </w:p>
    <w:p w14:paraId="36F49E91">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1、封面（格式见附件）；</w:t>
      </w:r>
    </w:p>
    <w:p w14:paraId="6EA40C6A">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2、开标一览表（格式见附件）；</w:t>
      </w:r>
    </w:p>
    <w:p w14:paraId="4BEB0D51">
      <w:pPr>
        <w:spacing w:line="400" w:lineRule="exact"/>
        <w:ind w:firstLine="420" w:firstLineChars="200"/>
        <w:jc w:val="left"/>
        <w:rPr>
          <w:rFonts w:hint="eastAsia" w:ascii="宋体" w:hAnsi="宋体" w:eastAsia="宋体" w:cs="宋体"/>
          <w:color w:val="auto"/>
          <w:szCs w:val="21"/>
          <w:highlight w:val="none"/>
          <w:lang w:eastAsia="zh-CN" w:bidi="ar"/>
        </w:rPr>
      </w:pPr>
      <w:r>
        <w:rPr>
          <w:rFonts w:hint="eastAsia" w:ascii="宋体" w:hAnsi="宋体" w:cs="宋体"/>
          <w:color w:val="auto"/>
          <w:szCs w:val="21"/>
          <w:highlight w:val="none"/>
          <w:lang w:bidi="ar"/>
        </w:rPr>
        <w:t>3、中小企业声明函（</w:t>
      </w:r>
      <w:r>
        <w:rPr>
          <w:rFonts w:hint="eastAsia" w:ascii="宋体" w:hAnsi="宋体" w:cs="宋体"/>
          <w:color w:val="auto"/>
          <w:szCs w:val="21"/>
          <w:highlight w:val="none"/>
          <w:lang w:eastAsia="zh-CN" w:bidi="ar"/>
        </w:rPr>
        <w:t>若有，</w:t>
      </w:r>
      <w:r>
        <w:rPr>
          <w:rFonts w:hint="eastAsia" w:ascii="宋体" w:hAnsi="宋体" w:cs="宋体"/>
          <w:color w:val="auto"/>
          <w:szCs w:val="21"/>
          <w:highlight w:val="none"/>
          <w:lang w:bidi="ar"/>
        </w:rPr>
        <w:t>格式见附件）</w:t>
      </w:r>
      <w:r>
        <w:rPr>
          <w:rFonts w:hint="eastAsia" w:ascii="宋体" w:hAnsi="宋体" w:cs="宋体"/>
          <w:color w:val="auto"/>
          <w:szCs w:val="21"/>
          <w:highlight w:val="none"/>
          <w:lang w:eastAsia="zh-CN" w:bidi="ar"/>
        </w:rPr>
        <w:t>；</w:t>
      </w:r>
    </w:p>
    <w:p w14:paraId="1196A3F3">
      <w:pPr>
        <w:spacing w:line="400" w:lineRule="exact"/>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lang w:bidi="ar"/>
        </w:rPr>
        <w:t>4、残疾人福利性单位声明函（若有，格式见附件）；</w:t>
      </w:r>
    </w:p>
    <w:p w14:paraId="0F76D296">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5、供应商认为需要的其他资料。</w:t>
      </w:r>
    </w:p>
    <w:p w14:paraId="6DB0294F">
      <w:pPr>
        <w:snapToGrid w:val="0"/>
        <w:spacing w:line="48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九、投标文件的份数、密封、签署</w:t>
      </w:r>
    </w:p>
    <w:p w14:paraId="7994A7B9">
      <w:pPr>
        <w:widowControl/>
        <w:spacing w:line="36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1、投标人应按本采购文件规定的格式和顺序编制投标文件并标注页码，投标文件内容不完整、编排混乱导致投标文件被误读、漏读或者查找不到相关内容的，由投标人自行承担相关责任。</w:t>
      </w:r>
    </w:p>
    <w:p w14:paraId="7CE9409C">
      <w:pPr>
        <w:widowControl/>
        <w:spacing w:line="36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2、投标人于“乐采云”上提供电子投标文件（电子投标文件中所须加盖公章部分均采用CA签章），并根据“乐采云供应商项目采购-电子招投标操作指南”及本招标文件规定的格式和顺序编制电子投标文件并进行关联定位。未传输递交电子投标文件的，投标无效。</w:t>
      </w:r>
    </w:p>
    <w:p w14:paraId="37BE3DFD">
      <w:pPr>
        <w:spacing w:line="360" w:lineRule="exact"/>
        <w:ind w:firstLine="422" w:firstLineChars="200"/>
        <w:jc w:val="left"/>
        <w:rPr>
          <w:rFonts w:hint="eastAsia" w:ascii="宋体" w:hAnsi="宋体"/>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w:t>
      </w:r>
      <w:r>
        <w:rPr>
          <w:rFonts w:hint="eastAsia" w:ascii="宋体" w:hAnsi="宋体" w:cs="宋体"/>
          <w:b/>
          <w:bCs/>
          <w:color w:val="auto"/>
          <w:szCs w:val="21"/>
          <w:highlight w:val="none"/>
        </w:rPr>
        <w:t>备份电子投标文件：以U盘或DVD光盘等介质存储的数据电文形式提供的备份电子投标文件数量1份，</w:t>
      </w:r>
      <w:r>
        <w:rPr>
          <w:rFonts w:hint="eastAsia" w:ascii="宋体" w:hAnsi="宋体" w:cs="宋体"/>
          <w:color w:val="auto"/>
          <w:kern w:val="0"/>
          <w:szCs w:val="21"/>
          <w:highlight w:val="none"/>
        </w:rPr>
        <w:t>须在</w:t>
      </w:r>
      <w:r>
        <w:rPr>
          <w:rFonts w:hint="eastAsia" w:ascii="宋体" w:hAnsi="宋体"/>
          <w:color w:val="auto"/>
          <w:szCs w:val="21"/>
          <w:highlight w:val="none"/>
        </w:rPr>
        <w:t>封袋上分别注明：</w:t>
      </w:r>
    </w:p>
    <w:p w14:paraId="1D478923">
      <w:pPr>
        <w:tabs>
          <w:tab w:val="left" w:pos="900"/>
        </w:tabs>
        <w:spacing w:line="360" w:lineRule="exact"/>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    明：</w:t>
      </w:r>
      <w:r>
        <w:rPr>
          <w:rFonts w:hint="eastAsia" w:ascii="宋体" w:hAnsi="宋体"/>
          <w:color w:val="auto"/>
          <w:szCs w:val="21"/>
          <w:highlight w:val="none"/>
          <w:u w:val="single"/>
        </w:rPr>
        <w:t xml:space="preserve">           “电子备份投标文件”         </w:t>
      </w:r>
      <w:r>
        <w:rPr>
          <w:rFonts w:hint="eastAsia" w:ascii="宋体" w:hAnsi="宋体"/>
          <w:color w:val="auto"/>
          <w:szCs w:val="21"/>
          <w:highlight w:val="none"/>
        </w:rPr>
        <w:t>；</w:t>
      </w:r>
    </w:p>
    <w:p w14:paraId="7A09C668">
      <w:pPr>
        <w:tabs>
          <w:tab w:val="left" w:pos="900"/>
        </w:tabs>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（2）项目编号：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64801B2">
      <w:pPr>
        <w:tabs>
          <w:tab w:val="left" w:pos="900"/>
        </w:tabs>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（3）项目名称：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8EF4027">
      <w:pPr>
        <w:tabs>
          <w:tab w:val="left" w:pos="900"/>
        </w:tabs>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（4）所投标项：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0371B6F">
      <w:pPr>
        <w:tabs>
          <w:tab w:val="left" w:pos="900"/>
        </w:tabs>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（5）在</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2024</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日（规定的开标日期和时间）前不准启封；</w:t>
      </w:r>
    </w:p>
    <w:p w14:paraId="78401435">
      <w:pPr>
        <w:tabs>
          <w:tab w:val="left" w:pos="900"/>
        </w:tabs>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（6）投标人的名称：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7D7E5D2">
      <w:pPr>
        <w:spacing w:line="36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投标人须在包封上加盖投标人公章或由其法定代表人（或授权代表）签字或盖章。</w:t>
      </w:r>
    </w:p>
    <w:p w14:paraId="4D75A546">
      <w:pPr>
        <w:spacing w:line="360" w:lineRule="exact"/>
        <w:ind w:firstLine="420" w:firstLineChars="200"/>
        <w:jc w:val="left"/>
        <w:rPr>
          <w:rFonts w:hint="eastAsia"/>
          <w:color w:val="auto"/>
          <w:highlight w:val="none"/>
        </w:rPr>
      </w:pPr>
      <w:r>
        <w:rPr>
          <w:rFonts w:hint="eastAsia" w:ascii="宋体" w:hAnsi="宋体"/>
          <w:color w:val="auto"/>
          <w:szCs w:val="21"/>
          <w:highlight w:val="none"/>
        </w:rPr>
        <w:t>投标人未按上述要求标记的，招标人（代理机构）不承担错放或提前开封的责任。</w:t>
      </w:r>
    </w:p>
    <w:p w14:paraId="4E278A54">
      <w:pPr>
        <w:spacing w:line="360" w:lineRule="exact"/>
        <w:ind w:firstLine="420" w:firstLineChars="200"/>
        <w:jc w:val="left"/>
        <w:rPr>
          <w:rFonts w:ascii="宋体" w:hAnsi="宋体"/>
          <w:color w:val="auto"/>
          <w:szCs w:val="24"/>
          <w:highlight w:val="none"/>
        </w:rPr>
      </w:pPr>
      <w:r>
        <w:rPr>
          <w:rFonts w:hint="eastAsia" w:ascii="宋体" w:hAnsi="宋体"/>
          <w:color w:val="auto"/>
          <w:szCs w:val="21"/>
          <w:highlight w:val="none"/>
        </w:rPr>
        <w:t>4、投标文件字迹必须清楚、工整，对不同文字文本投标文件的解释发生异议的，以中文文本为准。</w:t>
      </w:r>
    </w:p>
    <w:p w14:paraId="28895B38">
      <w:pPr>
        <w:snapToGrid w:val="0"/>
        <w:spacing w:line="48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十、投标文件的形式、效力和递交</w:t>
      </w:r>
    </w:p>
    <w:p w14:paraId="4BE1E8D5">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1.投标文件分为电子投标文件和电子备份投标文件（若提交的）。</w:t>
      </w:r>
    </w:p>
    <w:p w14:paraId="7B1156A9">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2.电子投标文件，按“乐采云供应商项目采购-电子招投标操作指南”及本招标文件要求制作、加密并递交。</w:t>
      </w:r>
    </w:p>
    <w:p w14:paraId="2D8CD326">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3.电子备份投标文件，即电子投标文件按“乐采云供应商项目采购-电子招投标操作指南”制作的备份文件。</w:t>
      </w:r>
    </w:p>
    <w:p w14:paraId="6E3CF9D8">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4.投标文件的效力</w:t>
      </w:r>
    </w:p>
    <w:p w14:paraId="7E11BEFE">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4.1投标文件的启用，按先后顺位分别为电子投标文件、电子备份投标文件。在下一顺位的投标文件启用时，前一顺位的投标文件自动失效。</w:t>
      </w:r>
    </w:p>
    <w:p w14:paraId="31A2BA09">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4.2投标、响应文件未按时解密，供应商提供了备份投标、响应文件的，以备份投标、响应文件作为依据，否则视为投标、响应文件撤回。投标、响应文件已按时解密的，备份投标、响应文件自动失效。</w:t>
      </w:r>
    </w:p>
    <w:p w14:paraId="68B3255D">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5.投标文件的递交</w:t>
      </w:r>
    </w:p>
    <w:p w14:paraId="5C52FFD0">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供应商于投标截止时间（开标时间）之前将电子投标文件上传到“乐采云”平台。</w:t>
      </w:r>
    </w:p>
    <w:p w14:paraId="28183D7F">
      <w:pPr>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投标供应商可将U盘或DVD光盘等介质存储的电子备份投标文件密封并盖单位公章后邮寄至指定地址，邮寄地址：</w:t>
      </w:r>
      <w:r>
        <w:rPr>
          <w:rFonts w:hint="eastAsia" w:ascii="宋体" w:hAnsi="宋体" w:cs="宋体"/>
          <w:color w:val="auto"/>
          <w:szCs w:val="21"/>
          <w:highlight w:val="none"/>
          <w:lang w:eastAsia="zh-CN"/>
        </w:rPr>
        <w:t>宁波永敬工程造价咨询有限公司</w:t>
      </w:r>
      <w:r>
        <w:rPr>
          <w:rFonts w:hint="eastAsia" w:ascii="宋体" w:hAnsi="宋体" w:cs="宋体"/>
          <w:color w:val="auto"/>
          <w:szCs w:val="21"/>
          <w:highlight w:val="none"/>
        </w:rPr>
        <w:t>（</w:t>
      </w:r>
      <w:r>
        <w:rPr>
          <w:rFonts w:hint="eastAsia" w:ascii="宋体" w:hAnsi="宋体" w:cs="宋体"/>
          <w:color w:val="auto"/>
          <w:szCs w:val="21"/>
          <w:highlight w:val="none"/>
          <w:lang w:eastAsia="zh-CN"/>
        </w:rPr>
        <w:t>慈溪市孙塘南路4号永敬商务楼2楼205</w:t>
      </w: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陈工</w:t>
      </w: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0574-63899806</w:t>
      </w:r>
      <w:r>
        <w:rPr>
          <w:rFonts w:hint="eastAsia" w:ascii="宋体" w:hAnsi="宋体" w:cs="宋体"/>
          <w:color w:val="auto"/>
          <w:szCs w:val="21"/>
          <w:highlight w:val="none"/>
        </w:rPr>
        <w:t>，</w:t>
      </w:r>
      <w:r>
        <w:rPr>
          <w:rFonts w:hint="eastAsia" w:ascii="宋体" w:hAnsi="宋体" w:cs="宋体"/>
          <w:color w:val="auto"/>
          <w:szCs w:val="21"/>
          <w:highlight w:val="none"/>
          <w:lang w:eastAsia="zh-CN"/>
        </w:rPr>
        <w:t>17826892961</w:t>
      </w:r>
      <w:r>
        <w:rPr>
          <w:rFonts w:hint="eastAsia" w:ascii="宋体" w:hAnsi="宋体" w:cs="宋体"/>
          <w:color w:val="auto"/>
          <w:szCs w:val="21"/>
          <w:highlight w:val="none"/>
        </w:rPr>
        <w:t>。供应商邮寄后须将邮件单号发送至代理机构电子邮箱（电子邮箱：</w:t>
      </w:r>
      <w:r>
        <w:rPr>
          <w:rFonts w:hint="eastAsia" w:ascii="宋体" w:hAnsi="宋体" w:cs="宋体"/>
          <w:color w:val="auto"/>
          <w:szCs w:val="21"/>
          <w:highlight w:val="none"/>
          <w:lang w:eastAsia="zh-CN"/>
        </w:rPr>
        <w:t>442350333@qq.com</w:t>
      </w:r>
      <w:r>
        <w:rPr>
          <w:rFonts w:hint="eastAsia" w:ascii="宋体" w:hAnsi="宋体" w:cs="宋体"/>
          <w:color w:val="auto"/>
          <w:szCs w:val="21"/>
          <w:highlight w:val="none"/>
        </w:rPr>
        <w:t>），并致电采购代理机构，以便采购代理机构查询物流记录。各供应商应当确保电子备份投标文件的密封包装在邮寄过程保持完好，并在邮寄包裹上注明项目名称、采购编号，因邮寄造成电子备份投标文件密封破损而不符合招标文件对投标文件的密封要求、或邮寄过程中导致电子备份投标文件未在投标截止时间前送达的，代理机构将拒绝其电子备份投标文件。各供应商自行考虑邮寄在途时间，电子备份投标文件送达时间以代理机构工作人员实际签收时间为准。</w:t>
      </w:r>
    </w:p>
    <w:p w14:paraId="7F812CD6">
      <w:pPr>
        <w:spacing w:line="3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lang w:bidi="ar"/>
        </w:rPr>
        <w:t>十一、开评标程序</w:t>
      </w:r>
    </w:p>
    <w:p w14:paraId="297D3393">
      <w:pPr>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1.1采购人在招标文件规定的时间和地点公开开标，本项目为不见面开评标项目，供应商可通过浙江省“电子交易/不见面开评标”学习专题提前进行专题学习，熟悉操作，避免影响采购活动（https://edu.zcygov.cn/luban/e-biding）。</w:t>
      </w:r>
    </w:p>
    <w:p w14:paraId="65BB45F8">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1.2开标会由代理机构主持。开标时，招标（代理）人介绍参加开标会议的相关人员，如投标人认为相关人员中有需要回避的情形可以在此时要求其回避。</w:t>
      </w:r>
    </w:p>
    <w:p w14:paraId="4D304C01">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需要回避的情形：</w:t>
      </w:r>
    </w:p>
    <w:p w14:paraId="6900325D">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1、参加招标活动前3年内与投标人存在劳动关系；</w:t>
      </w:r>
    </w:p>
    <w:p w14:paraId="18E028A3">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2、参加招标活动前3年内担任投标人的董事、监事；</w:t>
      </w:r>
    </w:p>
    <w:p w14:paraId="63DA600B">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3、参加招标活动前3年内是投标人的控股股东或者实际控制人；</w:t>
      </w:r>
    </w:p>
    <w:p w14:paraId="632A5511">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4、与投标人的法定代表人或者负责人有夫妻、直系血亲、三代以内旁系血亲或者近姻亲关系；</w:t>
      </w:r>
    </w:p>
    <w:p w14:paraId="6B859386">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5、与投标人有其他可能影响招标活动公平、公正进行的关系。</w:t>
      </w:r>
    </w:p>
    <w:p w14:paraId="15DE39A5">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出现上述情形的，投标人法定代表人或其授权代表可以申请相关人员回避。</w:t>
      </w:r>
    </w:p>
    <w:p w14:paraId="38413F82">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供应商应书面提出对参加开标会对主持人、唱读人、记录人和监督人是否有回避的请求。</w:t>
      </w:r>
    </w:p>
    <w:p w14:paraId="31FB6248">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1.3电子招投标开标及评审程序</w:t>
      </w:r>
    </w:p>
    <w:p w14:paraId="6D7FB901">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1.3.1投标截止时间后，供应商登录乐采云平台，用“项目采购-开标评标”功能对电子投标文件进行在线解密。在线解密电子投标文件时间为开标时间起30分钟内。</w:t>
      </w:r>
    </w:p>
    <w:p w14:paraId="4B8F15D7">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1.3.2招标人或代理机构对供应商的资格进行审查；</w:t>
      </w:r>
    </w:p>
    <w:p w14:paraId="3B958838">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1.3.3评标委员会对商务技术响应文件进行评审；</w:t>
      </w:r>
    </w:p>
    <w:p w14:paraId="2B1FE41B">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1.3.4在系统上公开商务技术评审结果；</w:t>
      </w:r>
    </w:p>
    <w:p w14:paraId="00CB5722">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1.3.5在系统上公开报价开标情况；</w:t>
      </w:r>
    </w:p>
    <w:p w14:paraId="53B41933">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1.3.6评标委员会对报价情况进行评审；</w:t>
      </w:r>
    </w:p>
    <w:p w14:paraId="284589BE">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1.3.7在系统上公布评审结果。</w:t>
      </w:r>
    </w:p>
    <w:p w14:paraId="301127FC">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 xml:space="preserve">特别说明：乐采云公司如对电子化开标及评审程序有调整的，按调整后的程序操作。 </w:t>
      </w:r>
    </w:p>
    <w:p w14:paraId="07DEC470">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1.4本项目原则上采用乐采云电子招投标开标及评审程序，但有下情形之一的，按以下情况处理：</w:t>
      </w:r>
    </w:p>
    <w:p w14:paraId="2EEF6211">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1.4.1若供应商在规定时间内无法解密或解密失败，将开启该供应商递交的电子备份投标文件，上传至乐采云平台项目采购模块，以完成开标，其电子投标文件自动失效。</w:t>
      </w:r>
    </w:p>
    <w:p w14:paraId="67FF25CB">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1.4.2若因乐采云平台原因无法读取或电子开评标无法正常进行，招标人将中止电子交易活动。</w:t>
      </w:r>
    </w:p>
    <w:p w14:paraId="0E6C0ED0">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1.4.3招标过程中出现以下情形，导致电子交易平台无法正常运行，或者无法保证电子交易的公平、公正和安全时，招标组织机构可中止电子交易活动：</w:t>
      </w:r>
    </w:p>
    <w:p w14:paraId="0E5D2EEB">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 xml:space="preserve">1.4.3.1电子交易平台发生故障而无法登录访问的； </w:t>
      </w:r>
    </w:p>
    <w:p w14:paraId="52DB851F">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1.4.3.2电子交易平台应用或数据库出现错误，不能进行正常操作的；</w:t>
      </w:r>
    </w:p>
    <w:p w14:paraId="23E9ADEB">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1.4.3.3电子交易平台发现严重安全漏洞，有潜在泄密危险的；</w:t>
      </w:r>
    </w:p>
    <w:p w14:paraId="0ADDFFB3">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 xml:space="preserve">1.4.3.4电脑病毒导致不能进行正常操作的； </w:t>
      </w:r>
    </w:p>
    <w:p w14:paraId="2C51E4D3">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1.4.3.5其他无法保证电子交易的公平、公正和安全的情况。</w:t>
      </w:r>
    </w:p>
    <w:p w14:paraId="7F3FBFB8">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出现前款规定情形，不影响招标公平、公正性的，招标组织机构可以待上述情形消除后继续组织电子交易活动。</w:t>
      </w:r>
    </w:p>
    <w:p w14:paraId="294EFADE">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2、评标委员会</w:t>
      </w:r>
    </w:p>
    <w:p w14:paraId="250D5EC1">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2.1评标委员会依法由5人及以上奇数的人员组成，评标委员会对投标文件进行审查、质疑、评估和比较。</w:t>
      </w:r>
    </w:p>
    <w:p w14:paraId="6091F18F">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3、评标原则与方法</w:t>
      </w:r>
    </w:p>
    <w:p w14:paraId="042B2B21">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3.1评标委员会将遵循公开、公平、公正的原则，对供应商提供服务价格、提供的服务方案等进行综合分析考评，由评委按照招标文件规定的评分标准记名并独立打分，根据综合得分排名推荐中标候选人。</w:t>
      </w:r>
    </w:p>
    <w:p w14:paraId="141473B3">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3.2客观、公正的对待所有投标供应商，对所有投标评价，均采用相同的程序和标准。</w:t>
      </w:r>
    </w:p>
    <w:p w14:paraId="6C6C1880">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3.3在开标、投标期间，投标供应商不得向评标委员会成员询问评标情况，不得进行旨在影响评标结果的活动，否则将废除其投标资格。</w:t>
      </w:r>
    </w:p>
    <w:p w14:paraId="6318C6E2">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3.4在评标过程中，评标成员不得与投标供应商私下交换意见，在招标工作结束后，凡与评标情况有接触的人不得将评标情况扩散出评标成员之外。</w:t>
      </w:r>
    </w:p>
    <w:p w14:paraId="0BB28940">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3.5招标人不向落标方解释落标原因，不退还投标文件。</w:t>
      </w:r>
    </w:p>
    <w:p w14:paraId="25BC0A5C">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3.6资格性审查：招标人或招标代理机构依据法律法规和招标文件的规定，对供应商的基本资格条件、特定资格条件进行审查，供应商未按照招标文件要求提供与基本资格条件、特定资格条件相应的有效资格证明材料的，视为供应商不具备招标文件中规定的资格要求，其投标无效。对未通过资格性审查的供应商，招标人或招标代理机构告知其未通过的原因。合格供应商不足3家的，不再评标。</w:t>
      </w:r>
    </w:p>
    <w:p w14:paraId="521597E5">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3.7符合性审查：评标时，评标委员会将首先评定每份投标文件是否在实质上响应了招标文件要求。所谓实质上的响应，是指投标文件与招标文件的所有实质性条款、条件和要求相符，无显著差异或保留，或者对合同中约定的招标人的权利和供应商的义务方面造成重大的限制，纠正这些显著差异或保留将会对其他实质上响应招标文件要求的投标文件的供应商的竞争地位产生不公正的影响。评标委员会决定投标文件的响应性只根据投标文件本身的内容，而不寻求外部证据。如果投标文件实质不响应招标文件的各项要求，评标委员会将予以拒绝，并且不允许供应商通过修改或撤销其不符合要求的差异或保留，使之成为具有实质性响应的投标。</w:t>
      </w:r>
    </w:p>
    <w:p w14:paraId="7219D40E">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 xml:space="preserve">3.8商务评议：按照第六章商务条款的各项要求，对照投标文件的响应进行比较，判定其偏差性质和程度。 </w:t>
      </w:r>
    </w:p>
    <w:p w14:paraId="230CBE32">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3.9技术评议：按照第五章招标内容与</w:t>
      </w:r>
      <w:r>
        <w:rPr>
          <w:rFonts w:ascii="宋体" w:hAnsi="宋体" w:cs="宋体"/>
          <w:bCs/>
          <w:color w:val="auto"/>
          <w:szCs w:val="21"/>
          <w:highlight w:val="none"/>
          <w:lang w:bidi="ar"/>
        </w:rPr>
        <w:t>技术要求</w:t>
      </w:r>
      <w:r>
        <w:rPr>
          <w:rFonts w:hint="eastAsia" w:ascii="宋体" w:hAnsi="宋体" w:cs="宋体"/>
          <w:bCs/>
          <w:color w:val="auto"/>
          <w:szCs w:val="21"/>
          <w:highlight w:val="none"/>
          <w:lang w:bidi="ar"/>
        </w:rPr>
        <w:t>的各项要求，对照投标文件的响应进行比较，判定其偏差性质和程度。</w:t>
      </w:r>
    </w:p>
    <w:p w14:paraId="350E8667">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3.10综合评估：通过资格性审查、符合性审查、商务评议和技术评议的投标，评标委员会成员分别对其商务、技术和价格按第三章评标办法及标准的规定进行打分。</w:t>
      </w:r>
    </w:p>
    <w:p w14:paraId="282EEC60">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3.11评标委员会经过评审，认为所有投标都不符合招标文件要求的，可以否决所有投标。</w:t>
      </w:r>
    </w:p>
    <w:p w14:paraId="311EA33A">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3.12推荐预中标候选人</w:t>
      </w:r>
    </w:p>
    <w:p w14:paraId="4EA652A6">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3.12.1按评分结果由高到低排序并按排序推荐1名中标候选人。</w:t>
      </w:r>
      <w:r>
        <w:rPr>
          <w:rFonts w:hint="eastAsia" w:ascii="宋体" w:hAnsi="宋体" w:cs="宋体"/>
          <w:color w:val="auto"/>
          <w:szCs w:val="21"/>
          <w:highlight w:val="none"/>
          <w:lang w:bidi="ar"/>
        </w:rPr>
        <w:t>若供应商的综合得分相等，则投标报价低者列前。若投标报价也相同时，则技术得分高者列前。若技术得分也相同时，采取随机抽签的方式确定排序。</w:t>
      </w:r>
    </w:p>
    <w:p w14:paraId="1277144F">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3.13定标</w:t>
      </w:r>
      <w:r>
        <w:rPr>
          <w:rFonts w:hint="eastAsia" w:ascii="宋体" w:hAnsi="宋体" w:cs="宋体"/>
          <w:bCs/>
          <w:color w:val="auto"/>
          <w:szCs w:val="21"/>
          <w:highlight w:val="none"/>
          <w:lang w:bidi="ar"/>
        </w:rPr>
        <w:tab/>
      </w:r>
    </w:p>
    <w:p w14:paraId="7F7B6DA1">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本项目由招标人确定中标人。</w:t>
      </w:r>
    </w:p>
    <w:p w14:paraId="48854164">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招标代理机构在评标结束后2个工作日内将评标报告交招标人确认，招标人自收到评标报告之日起3个工作日内在评标报告推荐的中标候选人中按顺序确定中标人，并在发布招标公告的网站上对中标结果进行公示，公告期限为3日。</w:t>
      </w:r>
    </w:p>
    <w:p w14:paraId="24DE17B5">
      <w:pPr>
        <w:spacing w:line="380" w:lineRule="exact"/>
        <w:ind w:firstLine="420" w:firstLineChars="200"/>
        <w:jc w:val="left"/>
        <w:rPr>
          <w:rFonts w:ascii="宋体" w:hAnsi="宋体" w:cs="宋体"/>
          <w:bCs/>
          <w:color w:val="auto"/>
          <w:szCs w:val="21"/>
          <w:highlight w:val="none"/>
          <w:lang w:bidi="ar"/>
        </w:rPr>
      </w:pPr>
      <w:r>
        <w:rPr>
          <w:rFonts w:hint="eastAsia" w:ascii="宋体" w:hAnsi="宋体" w:cs="宋体"/>
          <w:bCs/>
          <w:color w:val="auto"/>
          <w:szCs w:val="21"/>
          <w:highlight w:val="none"/>
          <w:lang w:bidi="ar"/>
        </w:rPr>
        <w:t>若中标人放弃中标、或事后查询为失信被执行人的、或因不可抗力提出不能履行合同被依法撤销中标资格，则招标人可确定排名其次的中标候选人为中标人，或重新组织招标。</w:t>
      </w:r>
    </w:p>
    <w:p w14:paraId="2FBE5846">
      <w:pPr>
        <w:spacing w:line="380" w:lineRule="exact"/>
        <w:ind w:firstLine="422" w:firstLineChars="200"/>
        <w:jc w:val="left"/>
        <w:rPr>
          <w:rFonts w:ascii="宋体" w:hAnsi="宋体" w:cs="宋体"/>
          <w:b/>
          <w:color w:val="auto"/>
          <w:szCs w:val="21"/>
          <w:highlight w:val="none"/>
          <w:lang w:bidi="ar"/>
        </w:rPr>
      </w:pPr>
      <w:r>
        <w:rPr>
          <w:rFonts w:hint="eastAsia" w:ascii="宋体" w:hAnsi="宋体" w:cs="宋体"/>
          <w:b/>
          <w:color w:val="auto"/>
          <w:szCs w:val="21"/>
          <w:highlight w:val="none"/>
          <w:lang w:bidi="ar"/>
        </w:rPr>
        <w:t>4.评标过程的监控</w:t>
      </w:r>
    </w:p>
    <w:p w14:paraId="34044621">
      <w:pPr>
        <w:adjustRightInd w:val="0"/>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本项目评标过程实行全程录音、录像监控，供应商在评标过程中所进行的试图影响评标结果的不公正活动，可能导致其投标被拒绝。</w:t>
      </w:r>
    </w:p>
    <w:p w14:paraId="253B5896">
      <w:pPr>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▲十二、无效的投标文件</w:t>
      </w:r>
    </w:p>
    <w:p w14:paraId="71FFBB13">
      <w:pPr>
        <w:adjustRightInd w:val="0"/>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发生下列情况之一的投标文件被视为无效：</w:t>
      </w:r>
    </w:p>
    <w:p w14:paraId="25CBD847">
      <w:pPr>
        <w:adjustRightInd w:val="0"/>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1、投标文件未按招标文件要求签署或盖章的；</w:t>
      </w:r>
    </w:p>
    <w:p w14:paraId="1189632C">
      <w:pPr>
        <w:adjustRightInd w:val="0"/>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2、不具备招标文件中规定的资格要求的；</w:t>
      </w:r>
    </w:p>
    <w:p w14:paraId="49D88AAE">
      <w:pPr>
        <w:adjustRightInd w:val="0"/>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3、报价超过招标文件中规定的预算金额或者最高限价的；</w:t>
      </w:r>
    </w:p>
    <w:p w14:paraId="6679975B">
      <w:pPr>
        <w:adjustRightInd w:val="0"/>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4、投标文件含有招标人不能接受的附加条件的；</w:t>
      </w:r>
    </w:p>
    <w:p w14:paraId="7CE20F57">
      <w:pPr>
        <w:adjustRightInd w:val="0"/>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5、标项以赠送方式投标的，对一个标项提供两个投标方案的；</w:t>
      </w:r>
    </w:p>
    <w:p w14:paraId="14885D8B">
      <w:pPr>
        <w:adjustRightInd w:val="0"/>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6、带“▲”的条款不能满足采购文件要求；</w:t>
      </w:r>
    </w:p>
    <w:p w14:paraId="00FF2248">
      <w:pPr>
        <w:adjustRightInd w:val="0"/>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7、投标人在投标活动中提供任何虚假材料或从事其他违法活动的；</w:t>
      </w:r>
    </w:p>
    <w:p w14:paraId="259A9C28">
      <w:pPr>
        <w:adjustRightInd w:val="0"/>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8、评标委员会认为投标人的报价明显低于其他通过符合性审查投标人的报价，有可能影响产品质量或者不能诚信履约的，要求其在合理的时间内提供说明，必要时提供相关证明材料；且投标人不能证明其报价合理性的；</w:t>
      </w:r>
    </w:p>
    <w:p w14:paraId="3A01E375">
      <w:pPr>
        <w:adjustRightInd w:val="0"/>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9、违返公平竞争的原则或恶意串通或妨碍其他投标人的竞争行为或损害招标人或者其他投标人的合法权益的；</w:t>
      </w:r>
    </w:p>
    <w:p w14:paraId="7B7C575F">
      <w:pPr>
        <w:adjustRightInd w:val="0"/>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10、投标文件报价出现前后不一致，经按招标文件规定修正后，投标人对修正后的报价不确认的；</w:t>
      </w:r>
    </w:p>
    <w:p w14:paraId="79E0B9BD">
      <w:pPr>
        <w:adjustRightInd w:val="0"/>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11、投标人有下列情形之一的视为投标人串通投标，其投标无效：</w:t>
      </w:r>
    </w:p>
    <w:p w14:paraId="429B4E11">
      <w:pPr>
        <w:adjustRightInd w:val="0"/>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11.1、不同投标人的投标文件由同一单位或者个人编制；</w:t>
      </w:r>
    </w:p>
    <w:p w14:paraId="3FFB7950">
      <w:pPr>
        <w:adjustRightInd w:val="0"/>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11.2、不同投标人委托同一单位或者个人办理投标事宜；</w:t>
      </w:r>
    </w:p>
    <w:p w14:paraId="2D302BB2">
      <w:pPr>
        <w:adjustRightInd w:val="0"/>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11.3、不同投标人的投标文件载明的项目管理成员或者联系人员为同一人；</w:t>
      </w:r>
    </w:p>
    <w:p w14:paraId="7D2FC74B">
      <w:pPr>
        <w:adjustRightInd w:val="0"/>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11.4、不同投标人的投标文件异常一致或者投标报价呈规律性差异；</w:t>
      </w:r>
    </w:p>
    <w:p w14:paraId="5F502314">
      <w:pPr>
        <w:adjustRightInd w:val="0"/>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11.5、不同投标人的投标文件相互混装。</w:t>
      </w:r>
    </w:p>
    <w:p w14:paraId="5EEBC7EE">
      <w:pPr>
        <w:adjustRightInd w:val="0"/>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12、法律、法规和招标文件规定的其他无效情形；</w:t>
      </w:r>
    </w:p>
    <w:p w14:paraId="153E15D7">
      <w:pPr>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十三、</w:t>
      </w:r>
      <w:r>
        <w:rPr>
          <w:rFonts w:ascii="宋体" w:hAnsi="宋体"/>
          <w:b/>
          <w:color w:val="auto"/>
          <w:szCs w:val="21"/>
          <w:highlight w:val="none"/>
        </w:rPr>
        <w:t>招标文件的澄清与修改</w:t>
      </w:r>
    </w:p>
    <w:p w14:paraId="2CEA8F10">
      <w:pPr>
        <w:spacing w:line="380" w:lineRule="exact"/>
        <w:ind w:firstLine="420" w:firstLineChars="200"/>
        <w:jc w:val="left"/>
        <w:rPr>
          <w:rFonts w:ascii="宋体" w:hAnsi="宋体" w:cs="宋体"/>
          <w:color w:val="auto"/>
          <w:highlight w:val="none"/>
        </w:rPr>
      </w:pPr>
      <w:r>
        <w:rPr>
          <w:rFonts w:hint="eastAsia" w:ascii="宋体" w:hAnsi="宋体" w:cs="宋体"/>
          <w:color w:val="auto"/>
          <w:szCs w:val="21"/>
          <w:highlight w:val="none"/>
          <w:lang w:bidi="ar"/>
        </w:rPr>
        <w:t>1、</w:t>
      </w:r>
      <w:r>
        <w:rPr>
          <w:rFonts w:hint="eastAsia" w:ascii="宋体" w:hAnsi="宋体" w:cs="宋体"/>
          <w:color w:val="auto"/>
          <w:highlight w:val="none"/>
        </w:rPr>
        <w:t>投标人应认真阅读本招标文件，发现其中有误或有要求不合理的，投标人应在招标公告发出之日起10日内以书面形式向代理机构提出询问，代理机构在收到投标人依法提出的询问后3个工作日内作出答复。</w:t>
      </w:r>
    </w:p>
    <w:p w14:paraId="618380C9">
      <w:pPr>
        <w:spacing w:line="380" w:lineRule="exact"/>
        <w:ind w:firstLine="420" w:firstLineChars="200"/>
        <w:jc w:val="left"/>
        <w:rPr>
          <w:rFonts w:ascii="宋体" w:hAnsi="宋体" w:cs="Arial"/>
          <w:color w:val="auto"/>
          <w:szCs w:val="21"/>
          <w:highlight w:val="none"/>
        </w:rPr>
      </w:pPr>
      <w:r>
        <w:rPr>
          <w:rFonts w:hint="eastAsia" w:ascii="宋体" w:hAnsi="宋体" w:cs="宋体"/>
          <w:color w:val="auto"/>
          <w:szCs w:val="21"/>
          <w:highlight w:val="none"/>
          <w:lang w:bidi="ar"/>
        </w:rPr>
        <w:t>2、</w:t>
      </w:r>
      <w:r>
        <w:rPr>
          <w:rFonts w:hint="eastAsia" w:ascii="宋体" w:hAnsi="宋体" w:cs="宋体"/>
          <w:color w:val="auto"/>
          <w:highlight w:val="none"/>
        </w:rPr>
        <w:t>招标代理机构在原招标公告发布媒体上以公告形式发布关于招标文件修改的“更正公告”。这些修改、补充文件或通知是招标文件的组成部分，相同内容修改以最后发出的为准，对所有投标人具有约束力。另请潜在投标人注意招标项目发布媒体的相关公告并自行下载。</w:t>
      </w:r>
    </w:p>
    <w:p w14:paraId="255D56FA">
      <w:pPr>
        <w:spacing w:line="38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十四、异议和投诉</w:t>
      </w:r>
    </w:p>
    <w:p w14:paraId="6D07EBA5">
      <w:pPr>
        <w:spacing w:line="400" w:lineRule="exact"/>
        <w:ind w:firstLine="420" w:firstLineChars="200"/>
        <w:jc w:val="left"/>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、在招标投标过程中，投标人有权提出异议。对招标文件有异议的，应当在投标截止时间</w:t>
      </w:r>
      <w:r>
        <w:rPr>
          <w:rFonts w:ascii="宋体" w:hAnsi="宋体"/>
          <w:color w:val="auto"/>
          <w:szCs w:val="21"/>
          <w:highlight w:val="none"/>
        </w:rPr>
        <w:t>10</w:t>
      </w:r>
      <w:r>
        <w:rPr>
          <w:rFonts w:hint="eastAsia" w:ascii="宋体" w:hAnsi="宋体"/>
          <w:color w:val="auto"/>
          <w:szCs w:val="21"/>
          <w:highlight w:val="none"/>
        </w:rPr>
        <w:t>日前提出；对开标有异议的，应当在开标现场提出；对评标结果有异议的，应当在中标候选人公示期间提出。超过以上期限提出的异议，招标人不予受理。</w:t>
      </w:r>
    </w:p>
    <w:p w14:paraId="186AC998">
      <w:pPr>
        <w:spacing w:line="400" w:lineRule="exact"/>
        <w:ind w:firstLine="420" w:firstLineChars="200"/>
        <w:jc w:val="left"/>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、招标工作将公开接受社会监督。投标人或者其他利害关系人认为本次招标活动违反法律、法规和规章规定的，有权投诉，投诉处理程序依据《</w:t>
      </w:r>
      <w:r>
        <w:rPr>
          <w:rFonts w:hint="eastAsia" w:ascii="宋体" w:hAnsi="宋体" w:cs="宋体"/>
          <w:color w:val="auto"/>
          <w:szCs w:val="21"/>
          <w:highlight w:val="none"/>
        </w:rPr>
        <w:t>关于规范国有企业货物和服务招标采购的指导意见（试行）》（慈国资[2014]149号）</w:t>
      </w:r>
      <w:r>
        <w:rPr>
          <w:rFonts w:hint="eastAsia" w:ascii="宋体" w:hAnsi="宋体"/>
          <w:color w:val="auto"/>
          <w:szCs w:val="21"/>
          <w:highlight w:val="none"/>
        </w:rPr>
        <w:t>的有关规定执行。</w:t>
      </w:r>
    </w:p>
    <w:p w14:paraId="79C53A3B">
      <w:pPr>
        <w:spacing w:line="400" w:lineRule="exact"/>
        <w:ind w:firstLine="420" w:firstLineChars="200"/>
        <w:jc w:val="left"/>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14:paraId="1EE151C4">
      <w:pPr>
        <w:adjustRightInd w:val="0"/>
        <w:spacing w:line="38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、经核实，异议、投诉内容和相应证明材料与事实不符的，将被视为不良异议、投诉行为，且将有可能被限制参加后续项目的投标。</w:t>
      </w:r>
    </w:p>
    <w:p w14:paraId="48CC1806">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十五、预算价：</w:t>
      </w:r>
      <w:r>
        <w:rPr>
          <w:rFonts w:hint="eastAsia" w:ascii="宋体" w:hAnsi="宋体" w:cs="宋体"/>
          <w:b/>
          <w:color w:val="auto"/>
          <w:szCs w:val="21"/>
          <w:highlight w:val="none"/>
          <w:lang w:bidi="ar"/>
        </w:rPr>
        <w:t>本次公开招标设有</w:t>
      </w:r>
      <w:r>
        <w:rPr>
          <w:rFonts w:hint="eastAsia" w:ascii="宋体" w:hAnsi="宋体" w:cs="宋体"/>
          <w:b/>
          <w:color w:val="auto"/>
          <w:szCs w:val="21"/>
          <w:highlight w:val="none"/>
        </w:rPr>
        <w:t>最高</w:t>
      </w:r>
      <w:r>
        <w:rPr>
          <w:rFonts w:hint="eastAsia" w:ascii="宋体" w:hAnsi="宋体"/>
          <w:b/>
          <w:bCs/>
          <w:color w:val="auto"/>
          <w:kern w:val="0"/>
          <w:szCs w:val="21"/>
          <w:highlight w:val="none"/>
        </w:rPr>
        <w:t>综合折扣费率</w:t>
      </w:r>
      <w:r>
        <w:rPr>
          <w:rFonts w:hint="eastAsia" w:ascii="宋体" w:hAnsi="宋体" w:cs="宋体"/>
          <w:b/>
          <w:color w:val="auto"/>
          <w:szCs w:val="21"/>
          <w:highlight w:val="none"/>
          <w:lang w:bidi="ar"/>
        </w:rPr>
        <w:t>：</w:t>
      </w:r>
      <w:r>
        <w:rPr>
          <w:rFonts w:hint="eastAsia" w:ascii="宋体" w:hAnsi="宋体" w:cs="宋体"/>
          <w:b/>
          <w:color w:val="auto"/>
          <w:szCs w:val="21"/>
          <w:highlight w:val="none"/>
        </w:rPr>
        <w:t>本次招标</w:t>
      </w:r>
      <w:r>
        <w:rPr>
          <w:rFonts w:hint="eastAsia" w:ascii="宋体" w:hAnsi="宋体"/>
          <w:b/>
          <w:bCs/>
          <w:color w:val="auto"/>
          <w:kern w:val="0"/>
          <w:szCs w:val="21"/>
          <w:highlight w:val="none"/>
        </w:rPr>
        <w:t>综合折扣费率</w:t>
      </w:r>
      <w:r>
        <w:rPr>
          <w:rFonts w:hint="eastAsia" w:ascii="宋体" w:hAnsi="宋体" w:cs="宋体"/>
          <w:b/>
          <w:color w:val="auto"/>
          <w:szCs w:val="21"/>
          <w:highlight w:val="none"/>
        </w:rPr>
        <w:t>为90%，投标报价超出的投标无效（即</w:t>
      </w:r>
      <w:r>
        <w:rPr>
          <w:rFonts w:hint="eastAsia" w:ascii="宋体" w:hAnsi="宋体"/>
          <w:b/>
          <w:bCs/>
          <w:color w:val="auto"/>
          <w:kern w:val="0"/>
          <w:szCs w:val="21"/>
          <w:highlight w:val="none"/>
        </w:rPr>
        <w:t>综合折扣费率</w:t>
      </w:r>
      <w:r>
        <w:rPr>
          <w:rFonts w:hint="eastAsia" w:ascii="宋体" w:hAnsi="宋体" w:cs="宋体"/>
          <w:b/>
          <w:color w:val="auto"/>
          <w:szCs w:val="21"/>
          <w:highlight w:val="none"/>
        </w:rPr>
        <w:t>≤90%为有效报价）</w:t>
      </w:r>
    </w:p>
    <w:p w14:paraId="32A0544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十六、特别说明</w:t>
      </w:r>
    </w:p>
    <w:p w14:paraId="33037CCA">
      <w:pPr>
        <w:spacing w:line="400" w:lineRule="exact"/>
        <w:ind w:firstLine="420" w:firstLineChars="200"/>
        <w:outlineLvl w:val="0"/>
        <w:rPr>
          <w:rFonts w:ascii="宋体" w:hAnsi="宋体"/>
          <w:color w:val="auto"/>
          <w:szCs w:val="21"/>
          <w:highlight w:val="none"/>
        </w:rPr>
      </w:pPr>
      <w:bookmarkStart w:id="2" w:name="_Toc21541007"/>
      <w:bookmarkStart w:id="3" w:name="_Toc419729150"/>
      <w:bookmarkStart w:id="4" w:name="_Toc441316546"/>
      <w:bookmarkStart w:id="5" w:name="_Toc436408700"/>
      <w:r>
        <w:rPr>
          <w:rFonts w:ascii="宋体" w:hAnsi="宋体"/>
          <w:color w:val="auto"/>
          <w:szCs w:val="21"/>
          <w:highlight w:val="none"/>
        </w:rPr>
        <w:t>1</w:t>
      </w:r>
      <w:r>
        <w:rPr>
          <w:rFonts w:hint="eastAsia" w:ascii="宋体" w:hAnsi="宋体"/>
          <w:color w:val="auto"/>
          <w:szCs w:val="21"/>
          <w:highlight w:val="none"/>
        </w:rPr>
        <w:t>、执行财政部、工业和信息化部《政府采购促进中小企业发展管理办法》（财库〔2020〕46号）。政府采购活动中有关中小企业的相关规定如下：</w:t>
      </w:r>
      <w:bookmarkEnd w:id="2"/>
      <w:bookmarkEnd w:id="3"/>
      <w:bookmarkEnd w:id="4"/>
      <w:bookmarkEnd w:id="5"/>
    </w:p>
    <w:p w14:paraId="61AE91EB">
      <w:pPr>
        <w:spacing w:line="400" w:lineRule="exact"/>
        <w:ind w:firstLine="420" w:firstLineChars="200"/>
        <w:outlineLvl w:val="0"/>
        <w:rPr>
          <w:rFonts w:ascii="宋体" w:hAnsi="宋体"/>
          <w:color w:val="auto"/>
          <w:szCs w:val="21"/>
          <w:highlight w:val="none"/>
        </w:rPr>
      </w:pPr>
      <w:bookmarkStart w:id="6" w:name="_Toc21541008"/>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6"/>
      <w:r>
        <w:rPr>
          <w:rFonts w:hint="eastAsia" w:ascii="宋体" w:hAnsi="宋体"/>
          <w:color w:val="auto"/>
          <w:szCs w:val="21"/>
          <w:highlight w:val="none"/>
        </w:rPr>
        <w:t>。</w:t>
      </w:r>
    </w:p>
    <w:p w14:paraId="6528FA02">
      <w:pPr>
        <w:spacing w:line="40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6B303B5B">
      <w:pPr>
        <w:spacing w:line="40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（2）在政府采购活动中，供应商提供的货物、工程或者服务符合下列情形的，享受《政府采购促进中小企业发展管理办法》规定的中小企业扶持政策：</w:t>
      </w:r>
    </w:p>
    <w:p w14:paraId="541BD2E7">
      <w:pPr>
        <w:spacing w:line="400" w:lineRule="exact"/>
        <w:ind w:firstLine="420" w:firstLineChars="200"/>
        <w:outlineLvl w:val="0"/>
        <w:rPr>
          <w:rFonts w:ascii="宋体" w:hAnsi="宋体"/>
          <w:color w:val="auto"/>
          <w:szCs w:val="21"/>
          <w:highlight w:val="none"/>
        </w:rPr>
      </w:pPr>
      <w:bookmarkStart w:id="7" w:name="_Toc21541009"/>
      <w:r>
        <w:rPr>
          <w:rFonts w:hint="eastAsia" w:ascii="宋体" w:hAnsi="宋体"/>
          <w:color w:val="auto"/>
          <w:szCs w:val="21"/>
          <w:highlight w:val="none"/>
        </w:rPr>
        <w:t>①在货物采购项目中，货物由中小企业制造，即货物由中小企业生产且使用该中小企业商号或者注册商标；</w:t>
      </w:r>
      <w:bookmarkEnd w:id="7"/>
    </w:p>
    <w:p w14:paraId="380DFD56">
      <w:pPr>
        <w:spacing w:line="400" w:lineRule="exact"/>
        <w:ind w:firstLine="420" w:firstLineChars="200"/>
        <w:outlineLvl w:val="0"/>
        <w:rPr>
          <w:rFonts w:ascii="宋体" w:hAnsi="宋体"/>
          <w:color w:val="auto"/>
          <w:szCs w:val="21"/>
          <w:highlight w:val="none"/>
        </w:rPr>
      </w:pPr>
      <w:bookmarkStart w:id="8" w:name="_Toc21541010"/>
      <w:r>
        <w:rPr>
          <w:rFonts w:hint="eastAsia" w:ascii="宋体" w:hAnsi="宋体"/>
          <w:color w:val="auto"/>
          <w:szCs w:val="21"/>
          <w:highlight w:val="none"/>
        </w:rPr>
        <w:t>②在工程采购项目中，工程由中小企业承建，即工程施工单位为中小企业</w:t>
      </w:r>
      <w:bookmarkEnd w:id="8"/>
      <w:r>
        <w:rPr>
          <w:rFonts w:hint="eastAsia" w:ascii="宋体" w:hAnsi="宋体"/>
          <w:color w:val="auto"/>
          <w:szCs w:val="21"/>
          <w:highlight w:val="none"/>
        </w:rPr>
        <w:t>；</w:t>
      </w:r>
    </w:p>
    <w:p w14:paraId="3AF5AF06">
      <w:pPr>
        <w:spacing w:line="40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③在服务采购项目中，服务由中小企业承接，即提供服务的人员为中小企业依照《中华人民共和国劳动合同法》订立劳动合同的从业人员。</w:t>
      </w:r>
    </w:p>
    <w:p w14:paraId="3516E6A9">
      <w:pPr>
        <w:spacing w:line="40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14:paraId="6FCACA84">
      <w:pPr>
        <w:spacing w:line="40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388949AF">
      <w:pPr>
        <w:spacing w:line="40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（3）中小企业参加政府采购活动，应当出具《政府采购促进中小企业发展管理办法》规定的《中小企业声明函》（格式见附件），否则不得享受相关中小企业扶持政策。</w:t>
      </w:r>
    </w:p>
    <w:p w14:paraId="00E0AB2B">
      <w:pPr>
        <w:spacing w:line="40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16D90C21">
      <w:pPr>
        <w:spacing w:line="40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p>
    <w:p w14:paraId="10B70178">
      <w:pPr>
        <w:spacing w:line="40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适用招标投标法的政府采购工程建设项目，投标人提供声明函内容不实的，属于弄虚作假骗取中标，依照《中华人民共和国招标投标法》等国家有关规定追究相应责任。</w:t>
      </w:r>
    </w:p>
    <w:p w14:paraId="59443C9B">
      <w:pPr>
        <w:spacing w:line="400" w:lineRule="exact"/>
        <w:ind w:firstLine="420" w:firstLineChars="200"/>
        <w:outlineLvl w:val="0"/>
        <w:rPr>
          <w:rFonts w:ascii="宋体" w:hAnsi="宋体"/>
          <w:color w:val="auto"/>
          <w:szCs w:val="21"/>
          <w:highlight w:val="none"/>
        </w:rPr>
      </w:pPr>
      <w:r>
        <w:rPr>
          <w:rFonts w:hint="eastAsia" w:ascii="宋体" w:hAnsi="宋体"/>
          <w:color w:val="auto"/>
          <w:szCs w:val="21"/>
          <w:highlight w:val="none"/>
        </w:rPr>
        <w:t>（5）《中小企业声明函》由参加投标的供应商提交，如供应商为代理商，须自行采集制造商的中小企业划分类型信息填入相应栏目并对其真实性负责。</w:t>
      </w:r>
    </w:p>
    <w:p w14:paraId="7029346F">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bidi="ar"/>
        </w:rPr>
        <w:t>2</w:t>
      </w:r>
      <w:r>
        <w:rPr>
          <w:rFonts w:ascii="宋体" w:hAnsi="宋体"/>
          <w:color w:val="auto"/>
          <w:szCs w:val="21"/>
          <w:highlight w:val="none"/>
          <w:lang w:bidi="ar"/>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49CDD265">
      <w:pPr>
        <w:spacing w:line="380" w:lineRule="exact"/>
        <w:ind w:firstLine="420" w:firstLineChars="200"/>
        <w:rPr>
          <w:rFonts w:ascii="宋体" w:hAnsi="宋体"/>
          <w:color w:val="auto"/>
          <w:szCs w:val="21"/>
          <w:highlight w:val="none"/>
          <w:lang w:bidi="ar"/>
        </w:rPr>
      </w:pPr>
      <w:r>
        <w:rPr>
          <w:rFonts w:hint="eastAsia" w:ascii="宋体" w:hAnsi="宋体"/>
          <w:color w:val="auto"/>
          <w:szCs w:val="21"/>
          <w:highlight w:val="none"/>
          <w:lang w:bidi="ar"/>
        </w:rPr>
        <w:t>3</w:t>
      </w:r>
      <w:r>
        <w:rPr>
          <w:rFonts w:ascii="宋体" w:hAnsi="宋体"/>
          <w:color w:val="auto"/>
          <w:szCs w:val="21"/>
          <w:highlight w:val="none"/>
          <w:lang w:bidi="ar"/>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w:t>
      </w:r>
      <w:r>
        <w:rPr>
          <w:rFonts w:hint="eastAsia" w:ascii="宋体" w:hAnsi="宋体"/>
          <w:color w:val="auto"/>
          <w:szCs w:val="21"/>
          <w:highlight w:val="none"/>
          <w:lang w:bidi="ar"/>
        </w:rPr>
        <w:t>七</w:t>
      </w:r>
      <w:r>
        <w:rPr>
          <w:rFonts w:ascii="宋体" w:hAnsi="宋体"/>
          <w:color w:val="auto"/>
          <w:szCs w:val="21"/>
          <w:highlight w:val="none"/>
          <w:lang w:bidi="ar"/>
        </w:rPr>
        <w:t>章附件），并对声明的真实性负责，未能提供的不予认可。</w:t>
      </w:r>
    </w:p>
    <w:p w14:paraId="218B6F81">
      <w:pPr>
        <w:spacing w:line="400" w:lineRule="exact"/>
        <w:jc w:val="center"/>
        <w:outlineLvl w:val="0"/>
        <w:rPr>
          <w:rFonts w:eastAsia="黑体"/>
          <w:b/>
          <w:color w:val="auto"/>
          <w:sz w:val="32"/>
          <w:highlight w:val="none"/>
        </w:rPr>
        <w:sectPr>
          <w:headerReference r:id="rId3" w:type="default"/>
          <w:footerReference r:id="rId4" w:type="default"/>
          <w:pgSz w:w="11907" w:h="16840"/>
          <w:pgMar w:top="1418" w:right="1134" w:bottom="1418" w:left="1134" w:header="285" w:footer="989" w:gutter="0"/>
          <w:cols w:space="720" w:num="1"/>
          <w:docGrid w:linePitch="285" w:charSpace="0"/>
        </w:sectPr>
      </w:pPr>
    </w:p>
    <w:p w14:paraId="55BF32C2">
      <w:pPr>
        <w:jc w:val="center"/>
        <w:outlineLvl w:val="0"/>
        <w:rPr>
          <w:rFonts w:ascii="宋体" w:hAnsi="宋体"/>
          <w:b/>
          <w:color w:val="auto"/>
          <w:sz w:val="32"/>
          <w:highlight w:val="none"/>
        </w:rPr>
      </w:pPr>
      <w:bookmarkStart w:id="9" w:name="_Toc102053015"/>
      <w:bookmarkStart w:id="10" w:name="_Toc69459368"/>
      <w:r>
        <w:rPr>
          <w:rFonts w:hint="eastAsia" w:ascii="宋体" w:hAnsi="宋体"/>
          <w:b/>
          <w:color w:val="auto"/>
          <w:sz w:val="32"/>
          <w:highlight w:val="none"/>
        </w:rPr>
        <w:t>第三章  评标办法及标准</w:t>
      </w:r>
      <w:bookmarkEnd w:id="9"/>
      <w:bookmarkEnd w:id="10"/>
    </w:p>
    <w:p w14:paraId="2680379B">
      <w:pPr>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一、评标办法</w:t>
      </w:r>
    </w:p>
    <w:p w14:paraId="52008FF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本项目评标采用综合评分法。</w:t>
      </w:r>
    </w:p>
    <w:p w14:paraId="30E7952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综合评分法：采用百分制，总分</w:t>
      </w:r>
      <w:r>
        <w:rPr>
          <w:rFonts w:ascii="宋体" w:hAnsi="宋体"/>
          <w:color w:val="auto"/>
          <w:szCs w:val="21"/>
          <w:highlight w:val="none"/>
        </w:rPr>
        <w:t>100</w:t>
      </w:r>
      <w:r>
        <w:rPr>
          <w:rFonts w:hint="eastAsia" w:ascii="宋体" w:hAnsi="宋体"/>
          <w:color w:val="auto"/>
          <w:szCs w:val="21"/>
          <w:highlight w:val="none"/>
        </w:rPr>
        <w:t>分。供应商的综合得分为商务和技术得分与报价得分之和。按综合得分由高到低的排序，推荐中标候选人。若供应商的综合得分相等，则投标报价低者列前；若投标报价也相同时，采取随机抽签的方式确定排序。</w:t>
      </w:r>
    </w:p>
    <w:p w14:paraId="763F026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w:t>
      </w:r>
      <w:r>
        <w:rPr>
          <w:rFonts w:hint="eastAsia" w:ascii="宋体" w:hAnsi="宋体" w:cs="宋体"/>
          <w:color w:val="auto"/>
          <w:highlight w:val="none"/>
        </w:rPr>
        <w:t>本项目需要落实的政府采购政策：《关于促进残疾人就业政府采购政策的通知》（财库[2017]141号）、《政府采购促进中小企业发展管理办法》（财库〔2020〕46号）、《关于政府采购支持监狱企业发展有关问题的通知》（财库[2014]68号）。</w:t>
      </w:r>
    </w:p>
    <w:p w14:paraId="42662B2F">
      <w:pPr>
        <w:spacing w:line="400" w:lineRule="exact"/>
        <w:ind w:firstLine="420" w:firstLineChars="200"/>
        <w:jc w:val="left"/>
        <w:rPr>
          <w:rFonts w:ascii="宋体" w:hAnsi="宋体" w:cs="仿宋"/>
          <w:color w:val="auto"/>
          <w:szCs w:val="21"/>
          <w:highlight w:val="none"/>
        </w:rPr>
      </w:pPr>
      <w:r>
        <w:rPr>
          <w:rFonts w:ascii="宋体" w:hAnsi="宋体" w:cs="仿宋"/>
          <w:color w:val="auto"/>
          <w:szCs w:val="21"/>
          <w:highlight w:val="none"/>
        </w:rPr>
        <w:t>1.4</w:t>
      </w:r>
      <w:r>
        <w:rPr>
          <w:rFonts w:hint="eastAsia" w:ascii="宋体" w:hAnsi="宋体" w:cs="仿宋"/>
          <w:color w:val="auto"/>
          <w:szCs w:val="21"/>
          <w:highlight w:val="none"/>
        </w:rPr>
        <w:t>本次采购为非专门面向中小企业，采购标的对应的中小企业划分标准所属行业：</w:t>
      </w:r>
    </w:p>
    <w:p w14:paraId="54013F7A">
      <w:pPr>
        <w:spacing w:line="400" w:lineRule="exact"/>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标项1为</w:t>
      </w:r>
      <w:r>
        <w:rPr>
          <w:rFonts w:hint="eastAsia" w:ascii="宋体" w:hAnsi="宋体" w:cs="仿宋"/>
          <w:b/>
          <w:bCs/>
          <w:color w:val="auto"/>
          <w:szCs w:val="21"/>
          <w:highlight w:val="none"/>
          <w:u w:val="single"/>
        </w:rPr>
        <w:t>餐饮业</w:t>
      </w:r>
      <w:r>
        <w:rPr>
          <w:rFonts w:hint="eastAsia" w:ascii="宋体" w:hAnsi="宋体" w:cs="仿宋"/>
          <w:color w:val="auto"/>
          <w:szCs w:val="21"/>
          <w:highlight w:val="none"/>
        </w:rPr>
        <w:t>。本次评标将对中小企业声明函满足招标文件要求的服务承接企业为小微企业的价格给予</w:t>
      </w:r>
      <w:r>
        <w:rPr>
          <w:rFonts w:ascii="宋体" w:hAnsi="宋体" w:cs="仿宋"/>
          <w:color w:val="auto"/>
          <w:szCs w:val="21"/>
          <w:highlight w:val="none"/>
        </w:rPr>
        <w:t>10</w:t>
      </w:r>
      <w:r>
        <w:rPr>
          <w:rFonts w:hint="eastAsia" w:ascii="宋体" w:hAnsi="宋体" w:cs="仿宋"/>
          <w:color w:val="auto"/>
          <w:szCs w:val="21"/>
          <w:highlight w:val="none"/>
        </w:rPr>
        <w:t>%的扣除，用扣除后的价格参与评审。价格扣除只用于评审过程，如中标，中标价格仍按照其投标价格进行公示。</w:t>
      </w:r>
    </w:p>
    <w:p w14:paraId="23605953">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5评标委员会成员对需要共同认定的事项存在争议的，应当按照少数服从多数的原则作出结论。</w:t>
      </w:r>
    </w:p>
    <w:p w14:paraId="10194D34">
      <w:pPr>
        <w:spacing w:line="36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14:paraId="17A0F2A3">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2.1第一阶段评审</w:t>
      </w:r>
    </w:p>
    <w:p w14:paraId="615A7790">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2.1.1资格文件、商务和技术文件初步审查：包含资格性审查和符合性审查。资格性审查是指招标人或代理机构根据“附表1资格性审查表”的要求对投标文件逐一进行评审。符合性审查是指评标委员会根据“附表2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14:paraId="734B8F36">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2.1.2</w:t>
      </w:r>
      <w:r>
        <w:rPr>
          <w:rFonts w:hint="eastAsia" w:ascii="宋体" w:hAnsi="宋体"/>
          <w:color w:val="auto"/>
          <w:szCs w:val="21"/>
          <w:highlight w:val="none"/>
          <w:lang w:val="zh-CN"/>
        </w:rPr>
        <w:t>比较与评价：</w:t>
      </w:r>
      <w:r>
        <w:rPr>
          <w:rFonts w:hint="eastAsia" w:ascii="宋体" w:hAnsi="宋体"/>
          <w:color w:val="auto"/>
          <w:szCs w:val="21"/>
          <w:highlight w:val="none"/>
        </w:rPr>
        <w:t>评标委员会根据“附表3商务和技术评分表”的要求，</w:t>
      </w:r>
      <w:r>
        <w:rPr>
          <w:rFonts w:hint="eastAsia" w:ascii="宋体" w:hAnsi="宋体"/>
          <w:color w:val="auto"/>
          <w:szCs w:val="21"/>
          <w:highlight w:val="none"/>
          <w:lang w:val="zh-CN"/>
        </w:rPr>
        <w:t>对照投标文件的应答进行比较，判定其偏差性质和程度，</w:t>
      </w:r>
      <w:r>
        <w:rPr>
          <w:rFonts w:hint="eastAsia" w:ascii="宋体" w:hAnsi="宋体"/>
          <w:color w:val="auto"/>
          <w:szCs w:val="21"/>
          <w:highlight w:val="none"/>
        </w:rPr>
        <w:t>由评标委员会成员在分值范围内自行评分。投标人商务和技术得分为各评标委员会成员有效评分的算术平均值（小数点后保留二位数）。</w:t>
      </w:r>
    </w:p>
    <w:p w14:paraId="14B14276">
      <w:pPr>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2.2第二阶段评审</w:t>
      </w:r>
    </w:p>
    <w:p w14:paraId="45411596">
      <w:pPr>
        <w:spacing w:line="36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2.2.1报价文件初步审查：报价文件初步审查是指评标委员会根据“附表4报价文件初步审查表”的要求对投标文件逐一进行评审。</w:t>
      </w:r>
      <w:r>
        <w:rPr>
          <w:rFonts w:hint="eastAsia" w:ascii="宋体" w:hAnsi="宋体"/>
          <w:b/>
          <w:color w:val="auto"/>
          <w:szCs w:val="21"/>
          <w:highlight w:val="none"/>
        </w:rPr>
        <w:t>初步审查中，审查结论不合格的，作无效标处理。</w:t>
      </w:r>
    </w:p>
    <w:p w14:paraId="31008487">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2.2.2在评标过程中，发现的价格计算错误按下述原则修正：</w:t>
      </w:r>
    </w:p>
    <w:p w14:paraId="09B87689">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（1）投标文件中开标一览表内容与投标文件中分项报价表内容不一致的，以开标一览表为准；</w:t>
      </w:r>
    </w:p>
    <w:p w14:paraId="0724C5CF">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（2）投标文件的大写金额和小写金额不一致的，以大写金额为准；</w:t>
      </w:r>
    </w:p>
    <w:p w14:paraId="111DC45F">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（3）单价金额小数点有明显错位的，应以总价为准，并修改单价；</w:t>
      </w:r>
    </w:p>
    <w:p w14:paraId="5ABF5F92">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（4）总价金额与按单价汇总金额不一致的，以单价金额计算结果为准。</w:t>
      </w:r>
    </w:p>
    <w:p w14:paraId="7D3869A3">
      <w:pPr>
        <w:spacing w:line="360" w:lineRule="exact"/>
        <w:ind w:firstLine="420" w:firstLineChars="200"/>
        <w:jc w:val="left"/>
        <w:rPr>
          <w:rFonts w:ascii="宋体" w:hAnsi="宋体"/>
          <w:color w:val="auto"/>
          <w:highlight w:val="none"/>
        </w:rPr>
      </w:pPr>
      <w:r>
        <w:rPr>
          <w:rFonts w:hint="eastAsia" w:ascii="宋体" w:hAnsi="宋体"/>
          <w:color w:val="auto"/>
          <w:highlight w:val="none"/>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投标人不接受按以上规则确定的评标价和中标价，则其投标将被拒绝。</w:t>
      </w:r>
    </w:p>
    <w:p w14:paraId="72D7A61F">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2.2.3评标委员会根据“附表5价格评分表”的规定，计算投标人报价得分（小数点后保留二位数）。</w:t>
      </w:r>
    </w:p>
    <w:p w14:paraId="729B20EC">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2.2.4参加投标响应的投标人中，有两家或两家以上投标人的单位负责人为同一人或者存在直接控股、管理关系的，应当按一个投标人认定。评审时，取其中通过资格审查、符合性审查后的报价最低一家为有效投标人；当报价相同时，则以技术标最优一家为有效投标人；均相同时，由评标委员会集体决定，并以书面记录评标委员会的决定理由。</w:t>
      </w:r>
    </w:p>
    <w:p w14:paraId="3BA85E10">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2.2.5综合评估：投标人的综合得分为商务和技术得分与报价得分之和。</w:t>
      </w:r>
    </w:p>
    <w:p w14:paraId="248D5947">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2.2.6推荐中标候选人：按综合得分由高到低的排序，推荐中标候选人。若投标人的综合得分相等，则投标报价低者列前；若投标报价也相同时，采取随机抽签的方式确定排序。</w:t>
      </w:r>
    </w:p>
    <w:p w14:paraId="3D0593E2">
      <w:pPr>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2.3确定中标人</w:t>
      </w:r>
    </w:p>
    <w:p w14:paraId="733A19A8">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评标委员会按综合得分由高到低的排序，向招标人推荐中标候选人。代理机构应当自评审结束之日起2个工作日内将评审报告送交招标人。招标人应当自收到评审报告之日起5个工作日内在评审报告推荐的中标候选人中按顺序确定1名中标人，并在相关媒体上公示</w:t>
      </w:r>
      <w:r>
        <w:rPr>
          <w:rFonts w:ascii="宋体" w:hAnsi="宋体"/>
          <w:color w:val="auto"/>
          <w:szCs w:val="21"/>
          <w:highlight w:val="none"/>
        </w:rPr>
        <w:t>3</w:t>
      </w:r>
      <w:r>
        <w:rPr>
          <w:rFonts w:hint="eastAsia" w:ascii="宋体" w:hAnsi="宋体"/>
          <w:color w:val="auto"/>
          <w:szCs w:val="21"/>
          <w:highlight w:val="none"/>
        </w:rPr>
        <w:t>日。</w:t>
      </w:r>
    </w:p>
    <w:p w14:paraId="21F79FF7">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中标人因不可抗力或者自身原因不能签订合同的，招标人可以按照评审报告推荐的下一中标候选人为中标人或重新招标。</w:t>
      </w:r>
    </w:p>
    <w:p w14:paraId="42D2EFB6">
      <w:pPr>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三、投标的澄清</w:t>
      </w:r>
    </w:p>
    <w:p w14:paraId="1504AF5D">
      <w:pPr>
        <w:spacing w:line="360" w:lineRule="exact"/>
        <w:ind w:firstLine="420" w:firstLineChars="200"/>
        <w:rPr>
          <w:color w:val="auto"/>
          <w:sz w:val="20"/>
          <w:szCs w:val="18"/>
          <w:highlight w:val="none"/>
        </w:rPr>
      </w:pPr>
      <w:r>
        <w:rPr>
          <w:rFonts w:hint="eastAsia" w:ascii="宋体" w:hAnsi="宋体" w:cs="宋体"/>
          <w:color w:val="auto"/>
          <w:szCs w:val="21"/>
          <w:highlight w:val="none"/>
          <w:lang w:bidi="ar"/>
        </w:rPr>
        <w:t>3.1对投标文件审查中发现的投标文件表达含义不明确、同类问题表述不一致或者有明显文字和计算错误的内容，评标委员会应当书面形式要求供应商作出必要的澄清、说明或者补正；</w:t>
      </w:r>
      <w:r>
        <w:rPr>
          <w:rFonts w:hint="eastAsia" w:ascii="宋体" w:hAnsi="宋体" w:cs="宋体"/>
          <w:b/>
          <w:bCs/>
          <w:color w:val="auto"/>
          <w:szCs w:val="21"/>
          <w:highlight w:val="none"/>
          <w:lang w:bidi="ar"/>
        </w:rPr>
        <w:t>供应商代表未在开标现场的可以按规定以网上远程电子形式进行答复。</w:t>
      </w:r>
    </w:p>
    <w:p w14:paraId="2723882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3.2供应商的现场澄清、说明或者补正应当采用书面形式，并加盖公章，或者由法定代表人或其委托代理人的签字。供应商的澄清、说明或者补正不得超出投标文件的范围或者改变投标文件的实质性内容。</w:t>
      </w:r>
    </w:p>
    <w:p w14:paraId="21B0874A">
      <w:pPr>
        <w:spacing w:line="36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3.3若供应商未响应澄清安排的通知到场或网上电子形式进行答疑和澄清，将被视作自动放弃。</w:t>
      </w:r>
    </w:p>
    <w:p w14:paraId="53470B35">
      <w:pPr>
        <w:spacing w:line="36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3.4、网上电子澄清方式</w:t>
      </w:r>
    </w:p>
    <w:p w14:paraId="713CDCB5">
      <w:pPr>
        <w:spacing w:line="36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3.4.1、评标委员会对投标文件存在疑问的地方，可以进行询标，供应商代表未在开标现场的可以进行远程询标，要求投标人在合理时间内（至多30分钟，以开始网上接收时间为准）发送有关证明资料电子版，以便核验。</w:t>
      </w:r>
    </w:p>
    <w:p w14:paraId="76F35B05">
      <w:pPr>
        <w:spacing w:line="36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3.4.2、供应商在截止时间前，根据标项回复询标函。路径：用户中心—项目采购—询标澄清。</w:t>
      </w:r>
    </w:p>
    <w:p w14:paraId="636BE483">
      <w:pPr>
        <w:spacing w:line="36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（1）乐采云平台通过待办事项和短信提醒供应商在截止时间前完成澄清。</w:t>
      </w:r>
    </w:p>
    <w:p w14:paraId="2A84BC2C">
      <w:pPr>
        <w:spacing w:line="36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（2）供应商在“询标澄清-待办理”标签页下选择状态为“待澄清”的项目，点击操作栏【澄清】。</w:t>
      </w:r>
    </w:p>
    <w:p w14:paraId="61FFDDF1">
      <w:pPr>
        <w:spacing w:line="36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（3）查看询标函内容，在澄清截止时间前上传澄清文件并对澄清文件进行签章。（注：澄清文件必须以 PDF 格式上传，文件大小：50M。）</w:t>
      </w:r>
    </w:p>
    <w:p w14:paraId="4ED36654">
      <w:pPr>
        <w:spacing w:line="36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（4）签章完成，文件名称处显示“已签章”，供应商可“撤回签章”修改澄清函和“查看文件”。</w:t>
      </w:r>
    </w:p>
    <w:p w14:paraId="73A27C73">
      <w:pPr>
        <w:spacing w:line="36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（5）确认澄清文件内容后，点击右上角【提交】；（注：供应商未对澄清文件签章，提交时，弹框提醒“澄清文件未签章，请进行签章操作”，如遇 CA 突发情况无法签章，供应商可点击【放弃签章并提交】提交澄清文件；反之则签章后再提交。）</w:t>
      </w:r>
    </w:p>
    <w:p w14:paraId="5220E77C">
      <w:pPr>
        <w:spacing w:line="360" w:lineRule="exact"/>
        <w:ind w:firstLine="420" w:firstLineChars="200"/>
        <w:jc w:val="left"/>
        <w:rPr>
          <w:rFonts w:ascii="宋体" w:hAnsi="宋体"/>
          <w:color w:val="auto"/>
          <w:szCs w:val="21"/>
          <w:highlight w:val="none"/>
        </w:rPr>
      </w:pPr>
      <w:r>
        <w:rPr>
          <w:rFonts w:hint="eastAsia" w:ascii="宋体" w:hAnsi="宋体" w:cs="宋体"/>
          <w:color w:val="auto"/>
          <w:szCs w:val="21"/>
          <w:highlight w:val="none"/>
          <w:lang w:bidi="ar"/>
        </w:rPr>
        <w:t>完成状态：供应商澄清文件提交成功后，在“询标澄清-全部”标签页下显示状态为“已澄清”。</w:t>
      </w:r>
    </w:p>
    <w:p w14:paraId="117AC075">
      <w:pPr>
        <w:spacing w:line="36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14:paraId="773495CB">
      <w:pPr>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五、重新招标</w:t>
      </w:r>
    </w:p>
    <w:p w14:paraId="3DCA46C1">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有下列情形之一的，招标人将重新招标：</w:t>
      </w:r>
    </w:p>
    <w:p w14:paraId="353EBE16">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5.1投标截止时间止，投标人少于3个的；</w:t>
      </w:r>
    </w:p>
    <w:p w14:paraId="376E372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5.2评标委员会评标过程中，有效投标人少于3个的；</w:t>
      </w:r>
    </w:p>
    <w:p w14:paraId="3BA93546">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14:paraId="02BF794E">
      <w:pPr>
        <w:pageBreakBefore/>
        <w:spacing w:line="340" w:lineRule="exact"/>
        <w:jc w:val="left"/>
        <w:rPr>
          <w:rFonts w:ascii="宋体" w:hAnsi="宋体"/>
          <w:color w:val="auto"/>
          <w:szCs w:val="21"/>
          <w:highlight w:val="none"/>
        </w:rPr>
      </w:pPr>
    </w:p>
    <w:p w14:paraId="578113A1">
      <w:pPr>
        <w:spacing w:line="340" w:lineRule="exact"/>
        <w:jc w:val="left"/>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1</w:t>
      </w:r>
      <w:r>
        <w:rPr>
          <w:rFonts w:hint="eastAsia" w:ascii="宋体" w:hAnsi="宋体"/>
          <w:color w:val="auto"/>
          <w:szCs w:val="21"/>
          <w:highlight w:val="none"/>
        </w:rPr>
        <w:t>：</w:t>
      </w:r>
    </w:p>
    <w:p w14:paraId="7066BD1F">
      <w:pPr>
        <w:spacing w:line="340" w:lineRule="exact"/>
        <w:jc w:val="center"/>
        <w:rPr>
          <w:rFonts w:ascii="宋体" w:hAnsi="宋体"/>
          <w:color w:val="auto"/>
          <w:sz w:val="28"/>
          <w:szCs w:val="28"/>
          <w:highlight w:val="none"/>
        </w:rPr>
      </w:pPr>
      <w:r>
        <w:rPr>
          <w:rFonts w:hint="eastAsia" w:ascii="宋体" w:hAnsi="宋体"/>
          <w:b/>
          <w:color w:val="auto"/>
          <w:sz w:val="28"/>
          <w:szCs w:val="28"/>
          <w:highlight w:val="none"/>
        </w:rPr>
        <w:t>资格性审查表</w:t>
      </w:r>
    </w:p>
    <w:tbl>
      <w:tblPr>
        <w:tblStyle w:val="44"/>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760"/>
        <w:gridCol w:w="5083"/>
      </w:tblGrid>
      <w:tr w14:paraId="5A22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8" w:type="dxa"/>
          </w:tcPr>
          <w:p w14:paraId="3A0E6A7C">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3760" w:type="dxa"/>
          </w:tcPr>
          <w:p w14:paraId="0540D7DA">
            <w:pPr>
              <w:spacing w:line="400" w:lineRule="exact"/>
              <w:jc w:val="center"/>
              <w:rPr>
                <w:rFonts w:ascii="宋体" w:hAnsi="宋体"/>
                <w:b/>
                <w:color w:val="auto"/>
                <w:szCs w:val="21"/>
                <w:highlight w:val="none"/>
              </w:rPr>
            </w:pPr>
            <w:r>
              <w:rPr>
                <w:rFonts w:hint="eastAsia" w:ascii="宋体" w:hAnsi="宋体"/>
                <w:b/>
                <w:color w:val="auto"/>
                <w:szCs w:val="21"/>
                <w:highlight w:val="none"/>
              </w:rPr>
              <w:t>要求</w:t>
            </w:r>
          </w:p>
        </w:tc>
        <w:tc>
          <w:tcPr>
            <w:tcW w:w="5083" w:type="dxa"/>
          </w:tcPr>
          <w:p w14:paraId="5C3E23DF">
            <w:pPr>
              <w:spacing w:line="400" w:lineRule="exact"/>
              <w:jc w:val="center"/>
              <w:rPr>
                <w:rFonts w:ascii="宋体" w:hAnsi="宋体"/>
                <w:b/>
                <w:color w:val="auto"/>
                <w:szCs w:val="21"/>
                <w:highlight w:val="none"/>
              </w:rPr>
            </w:pPr>
            <w:r>
              <w:rPr>
                <w:rFonts w:hint="eastAsia" w:ascii="宋体" w:hAnsi="宋体"/>
                <w:b/>
                <w:color w:val="auto"/>
                <w:szCs w:val="21"/>
                <w:highlight w:val="none"/>
              </w:rPr>
              <w:t>审查项目</w:t>
            </w:r>
          </w:p>
        </w:tc>
      </w:tr>
      <w:tr w14:paraId="345B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8" w:type="dxa"/>
            <w:vAlign w:val="center"/>
          </w:tcPr>
          <w:p w14:paraId="05319818">
            <w:pPr>
              <w:spacing w:line="400" w:lineRule="exact"/>
              <w:jc w:val="center"/>
              <w:rPr>
                <w:rFonts w:ascii="宋体" w:hAnsi="宋体"/>
                <w:color w:val="auto"/>
                <w:szCs w:val="21"/>
                <w:highlight w:val="none"/>
              </w:rPr>
            </w:pPr>
            <w:r>
              <w:rPr>
                <w:rFonts w:hint="eastAsia" w:ascii="宋体" w:hAnsi="宋体"/>
                <w:color w:val="auto"/>
                <w:szCs w:val="21"/>
                <w:highlight w:val="none"/>
              </w:rPr>
              <w:t>一</w:t>
            </w:r>
          </w:p>
        </w:tc>
        <w:tc>
          <w:tcPr>
            <w:tcW w:w="3760" w:type="dxa"/>
            <w:vAlign w:val="center"/>
          </w:tcPr>
          <w:p w14:paraId="0BE48ABC">
            <w:pPr>
              <w:snapToGrid w:val="0"/>
              <w:spacing w:line="380" w:lineRule="exact"/>
              <w:rPr>
                <w:rFonts w:ascii="宋体" w:hAnsi="宋体"/>
                <w:color w:val="auto"/>
                <w:szCs w:val="21"/>
                <w:highlight w:val="none"/>
              </w:rPr>
            </w:pPr>
            <w:r>
              <w:rPr>
                <w:rFonts w:ascii="宋体" w:hAnsi="宋体"/>
                <w:color w:val="auto"/>
                <w:szCs w:val="21"/>
                <w:highlight w:val="none"/>
              </w:rPr>
              <w:t>符合《中华人民共和国招标投标法》投标人资质要求的相关规定。</w:t>
            </w:r>
            <w:r>
              <w:rPr>
                <w:rFonts w:hint="eastAsia" w:ascii="宋体" w:hAnsi="宋体"/>
                <w:color w:val="auto"/>
                <w:szCs w:val="21"/>
                <w:highlight w:val="none"/>
              </w:rPr>
              <w:t xml:space="preserve">单位负责人为同一人或者存在直接控股、管理关系的不同供应商，不得参加同一合同项下的招标活动。 </w:t>
            </w:r>
          </w:p>
        </w:tc>
        <w:tc>
          <w:tcPr>
            <w:tcW w:w="5083" w:type="dxa"/>
            <w:vAlign w:val="center"/>
          </w:tcPr>
          <w:p w14:paraId="493C386E">
            <w:pPr>
              <w:spacing w:line="400" w:lineRule="exact"/>
              <w:rPr>
                <w:rFonts w:ascii="宋体" w:hAnsi="宋体"/>
                <w:color w:val="auto"/>
                <w:szCs w:val="21"/>
                <w:highlight w:val="none"/>
              </w:rPr>
            </w:pPr>
            <w:r>
              <w:rPr>
                <w:rFonts w:hint="eastAsia" w:ascii="宋体" w:hAnsi="宋体"/>
                <w:color w:val="auto"/>
                <w:szCs w:val="21"/>
                <w:highlight w:val="none"/>
              </w:rPr>
              <w:t xml:space="preserve"> 关于资格的声明函 </w:t>
            </w:r>
          </w:p>
        </w:tc>
      </w:tr>
      <w:tr w14:paraId="036F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08" w:type="dxa"/>
            <w:vAlign w:val="center"/>
          </w:tcPr>
          <w:p w14:paraId="0A81A58E">
            <w:pPr>
              <w:spacing w:line="400" w:lineRule="exact"/>
              <w:jc w:val="center"/>
              <w:rPr>
                <w:rFonts w:ascii="宋体" w:hAnsi="宋体"/>
                <w:color w:val="auto"/>
                <w:szCs w:val="21"/>
                <w:highlight w:val="none"/>
              </w:rPr>
            </w:pPr>
            <w:r>
              <w:rPr>
                <w:rFonts w:hint="eastAsia" w:ascii="宋体" w:hAnsi="宋体"/>
                <w:color w:val="auto"/>
                <w:szCs w:val="21"/>
                <w:highlight w:val="none"/>
              </w:rPr>
              <w:t>二</w:t>
            </w:r>
          </w:p>
        </w:tc>
        <w:tc>
          <w:tcPr>
            <w:tcW w:w="3760" w:type="dxa"/>
            <w:vAlign w:val="center"/>
          </w:tcPr>
          <w:p w14:paraId="69A0EB16">
            <w:pPr>
              <w:spacing w:line="400" w:lineRule="exact"/>
              <w:rPr>
                <w:rFonts w:ascii="宋体" w:hAnsi="宋体"/>
                <w:color w:val="auto"/>
                <w:szCs w:val="21"/>
                <w:highlight w:val="none"/>
              </w:rPr>
            </w:pPr>
            <w:r>
              <w:rPr>
                <w:rFonts w:hint="eastAsia" w:ascii="宋体" w:hAnsi="宋体"/>
                <w:color w:val="auto"/>
                <w:szCs w:val="21"/>
                <w:highlight w:val="none"/>
              </w:rPr>
              <w:t>投标人具有有效的</w:t>
            </w:r>
            <w:r>
              <w:rPr>
                <w:rFonts w:ascii="宋体" w:hAnsi="宋体"/>
                <w:color w:val="auto"/>
                <w:szCs w:val="21"/>
                <w:highlight w:val="none"/>
              </w:rPr>
              <w:t>营业执照</w:t>
            </w:r>
          </w:p>
        </w:tc>
        <w:tc>
          <w:tcPr>
            <w:tcW w:w="5083" w:type="dxa"/>
            <w:vAlign w:val="center"/>
          </w:tcPr>
          <w:p w14:paraId="64446C1E">
            <w:pPr>
              <w:spacing w:line="400" w:lineRule="exact"/>
              <w:rPr>
                <w:rFonts w:ascii="宋体" w:hAnsi="宋体"/>
                <w:color w:val="auto"/>
                <w:szCs w:val="21"/>
                <w:highlight w:val="none"/>
              </w:rPr>
            </w:pPr>
            <w:r>
              <w:rPr>
                <w:rFonts w:hint="eastAsia" w:ascii="宋体" w:hAnsi="宋体"/>
                <w:color w:val="auto"/>
                <w:szCs w:val="21"/>
                <w:highlight w:val="none"/>
              </w:rPr>
              <w:t>提供营业执照（或事业法人登记证或其他登记证明材料）扫描件或电子营业执照加盖供应商公章（供应商如果有名称变更的，应提供由行政主管部门出具的变更证明文件扫描件加盖供应商公章）。</w:t>
            </w:r>
          </w:p>
        </w:tc>
      </w:tr>
      <w:tr w14:paraId="2B0C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08" w:type="dxa"/>
            <w:vAlign w:val="center"/>
          </w:tcPr>
          <w:p w14:paraId="7A9278F6">
            <w:pPr>
              <w:spacing w:line="400" w:lineRule="exact"/>
              <w:jc w:val="center"/>
              <w:rPr>
                <w:rFonts w:ascii="宋体" w:hAnsi="宋体"/>
                <w:color w:val="auto"/>
                <w:szCs w:val="21"/>
                <w:highlight w:val="none"/>
              </w:rPr>
            </w:pPr>
            <w:r>
              <w:rPr>
                <w:rFonts w:hint="eastAsia" w:ascii="宋体" w:hAnsi="宋体"/>
                <w:color w:val="auto"/>
                <w:szCs w:val="21"/>
                <w:highlight w:val="none"/>
              </w:rPr>
              <w:t>三</w:t>
            </w:r>
          </w:p>
        </w:tc>
        <w:tc>
          <w:tcPr>
            <w:tcW w:w="3760" w:type="dxa"/>
            <w:vAlign w:val="center"/>
          </w:tcPr>
          <w:p w14:paraId="60A985CD">
            <w:pPr>
              <w:spacing w:line="400" w:lineRule="exact"/>
              <w:rPr>
                <w:rFonts w:ascii="宋体" w:hAnsi="宋体"/>
                <w:color w:val="auto"/>
                <w:szCs w:val="21"/>
                <w:highlight w:val="none"/>
              </w:rPr>
            </w:pPr>
            <w:r>
              <w:rPr>
                <w:rFonts w:hint="eastAsia" w:ascii="宋体" w:hAnsi="宋体"/>
                <w:color w:val="auto"/>
                <w:szCs w:val="21"/>
                <w:highlight w:val="none"/>
              </w:rPr>
              <w:t>保证金</w:t>
            </w:r>
          </w:p>
        </w:tc>
        <w:tc>
          <w:tcPr>
            <w:tcW w:w="5083" w:type="dxa"/>
            <w:vAlign w:val="center"/>
          </w:tcPr>
          <w:p w14:paraId="46D22F4B">
            <w:pPr>
              <w:spacing w:line="400" w:lineRule="exact"/>
              <w:rPr>
                <w:rFonts w:ascii="宋体" w:hAnsi="宋体"/>
                <w:color w:val="auto"/>
                <w:szCs w:val="21"/>
                <w:highlight w:val="none"/>
              </w:rPr>
            </w:pPr>
            <w:r>
              <w:rPr>
                <w:rFonts w:hint="eastAsia"/>
                <w:color w:val="auto"/>
                <w:highlight w:val="none"/>
              </w:rPr>
              <w:t xml:space="preserve">投标保证金缴纳证明回执 </w:t>
            </w:r>
          </w:p>
        </w:tc>
      </w:tr>
      <w:tr w14:paraId="5B55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8" w:type="dxa"/>
            <w:vAlign w:val="center"/>
          </w:tcPr>
          <w:p w14:paraId="44631350">
            <w:pPr>
              <w:spacing w:line="400" w:lineRule="exact"/>
              <w:jc w:val="center"/>
              <w:rPr>
                <w:rFonts w:ascii="宋体" w:hAnsi="宋体"/>
                <w:color w:val="auto"/>
                <w:szCs w:val="21"/>
                <w:highlight w:val="none"/>
              </w:rPr>
            </w:pPr>
            <w:r>
              <w:rPr>
                <w:rFonts w:hint="eastAsia" w:ascii="宋体" w:hAnsi="宋体"/>
                <w:color w:val="auto"/>
                <w:szCs w:val="21"/>
                <w:highlight w:val="none"/>
              </w:rPr>
              <w:t>四</w:t>
            </w:r>
          </w:p>
        </w:tc>
        <w:tc>
          <w:tcPr>
            <w:tcW w:w="8843" w:type="dxa"/>
            <w:gridSpan w:val="2"/>
            <w:vAlign w:val="center"/>
          </w:tcPr>
          <w:p w14:paraId="0ED83BFF">
            <w:pPr>
              <w:adjustRightInd w:val="0"/>
              <w:snapToGrid w:val="0"/>
              <w:rPr>
                <w:rFonts w:ascii="宋体" w:hAnsi="宋体" w:cs="仿宋_GB2312"/>
                <w:b/>
                <w:bCs/>
                <w:color w:val="auto"/>
                <w:szCs w:val="21"/>
                <w:highlight w:val="none"/>
              </w:rPr>
            </w:pPr>
            <w:r>
              <w:rPr>
                <w:rFonts w:hint="eastAsia" w:ascii="宋体" w:hAnsi="宋体" w:cs="仿宋_GB2312"/>
                <w:b/>
                <w:bCs/>
                <w:color w:val="auto"/>
                <w:szCs w:val="21"/>
                <w:highlight w:val="none"/>
              </w:rPr>
              <w:t>采购代理机构在资格审查过程中，从“信用中国”网站(www.creditchina.gov.cn)关于供应商“失信被执行人、重大税收违法案件当事人和政府采购严重违法失信行为记录”的信息。此项由采购代理机构在资格审查时提供，投标文件中无须提供。</w:t>
            </w:r>
          </w:p>
        </w:tc>
      </w:tr>
      <w:tr w14:paraId="6A40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8" w:type="dxa"/>
            <w:vAlign w:val="center"/>
          </w:tcPr>
          <w:p w14:paraId="6F7A344E">
            <w:pPr>
              <w:spacing w:line="400" w:lineRule="exact"/>
              <w:jc w:val="center"/>
              <w:rPr>
                <w:rFonts w:ascii="宋体" w:hAnsi="宋体"/>
                <w:color w:val="auto"/>
                <w:szCs w:val="21"/>
                <w:highlight w:val="none"/>
              </w:rPr>
            </w:pPr>
            <w:r>
              <w:rPr>
                <w:rFonts w:hint="eastAsia" w:ascii="宋体" w:hAnsi="宋体"/>
                <w:color w:val="auto"/>
                <w:szCs w:val="21"/>
                <w:highlight w:val="none"/>
              </w:rPr>
              <w:t>五</w:t>
            </w:r>
          </w:p>
        </w:tc>
        <w:tc>
          <w:tcPr>
            <w:tcW w:w="3760" w:type="dxa"/>
            <w:vAlign w:val="center"/>
          </w:tcPr>
          <w:p w14:paraId="1ED8C8C9">
            <w:pPr>
              <w:spacing w:line="400" w:lineRule="exact"/>
              <w:rPr>
                <w:rFonts w:ascii="宋体" w:hAnsi="宋体"/>
                <w:color w:val="auto"/>
                <w:szCs w:val="21"/>
                <w:highlight w:val="none"/>
              </w:rPr>
            </w:pPr>
            <w:r>
              <w:rPr>
                <w:rFonts w:hint="eastAsia" w:ascii="宋体" w:hAnsi="宋体"/>
                <w:color w:val="auto"/>
                <w:szCs w:val="21"/>
                <w:highlight w:val="none"/>
              </w:rPr>
              <w:t>本项目不接受联合体投标。</w:t>
            </w:r>
          </w:p>
        </w:tc>
        <w:tc>
          <w:tcPr>
            <w:tcW w:w="5083" w:type="dxa"/>
            <w:vAlign w:val="center"/>
          </w:tcPr>
          <w:p w14:paraId="1889361C">
            <w:pPr>
              <w:spacing w:line="400" w:lineRule="exact"/>
              <w:rPr>
                <w:rFonts w:ascii="宋体" w:hAnsi="宋体"/>
                <w:color w:val="auto"/>
                <w:szCs w:val="21"/>
                <w:highlight w:val="none"/>
              </w:rPr>
            </w:pPr>
            <w:r>
              <w:rPr>
                <w:rFonts w:hint="eastAsia" w:ascii="宋体" w:hAnsi="宋体"/>
                <w:color w:val="auto"/>
                <w:szCs w:val="21"/>
                <w:highlight w:val="none"/>
              </w:rPr>
              <w:t>供应商是否为联合体</w:t>
            </w:r>
          </w:p>
        </w:tc>
      </w:tr>
      <w:tr w14:paraId="2C17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468" w:type="dxa"/>
            <w:gridSpan w:val="2"/>
            <w:vAlign w:val="center"/>
          </w:tcPr>
          <w:p w14:paraId="445A7960">
            <w:pPr>
              <w:spacing w:line="400" w:lineRule="exact"/>
              <w:jc w:val="center"/>
              <w:rPr>
                <w:rFonts w:ascii="宋体" w:hAnsi="宋体"/>
                <w:color w:val="auto"/>
                <w:szCs w:val="21"/>
                <w:highlight w:val="none"/>
              </w:rPr>
            </w:pPr>
            <w:r>
              <w:rPr>
                <w:rFonts w:hint="eastAsia" w:ascii="宋体" w:hAnsi="宋体"/>
                <w:b/>
                <w:color w:val="auto"/>
                <w:szCs w:val="21"/>
                <w:highlight w:val="none"/>
              </w:rPr>
              <w:t>资格性审查结论</w:t>
            </w:r>
          </w:p>
        </w:tc>
        <w:tc>
          <w:tcPr>
            <w:tcW w:w="5083" w:type="dxa"/>
          </w:tcPr>
          <w:p w14:paraId="1B404AE2">
            <w:pPr>
              <w:spacing w:line="400" w:lineRule="exact"/>
              <w:rPr>
                <w:rFonts w:ascii="宋体" w:hAnsi="宋体"/>
                <w:color w:val="auto"/>
                <w:szCs w:val="21"/>
                <w:highlight w:val="none"/>
              </w:rPr>
            </w:pPr>
          </w:p>
        </w:tc>
      </w:tr>
    </w:tbl>
    <w:p w14:paraId="3A94EE11">
      <w:pPr>
        <w:spacing w:line="400" w:lineRule="exact"/>
        <w:rPr>
          <w:rFonts w:ascii="宋体" w:hAnsi="宋体"/>
          <w:b/>
          <w:color w:val="auto"/>
          <w:szCs w:val="22"/>
          <w:highlight w:val="none"/>
        </w:rPr>
      </w:pPr>
      <w:r>
        <w:rPr>
          <w:rFonts w:hint="eastAsia" w:ascii="宋体" w:hAnsi="宋体"/>
          <w:b/>
          <w:color w:val="auto"/>
          <w:szCs w:val="22"/>
          <w:highlight w:val="none"/>
        </w:rPr>
        <w:t>注：</w:t>
      </w:r>
      <w:r>
        <w:rPr>
          <w:rFonts w:ascii="宋体" w:hAnsi="宋体"/>
          <w:b/>
          <w:color w:val="auto"/>
          <w:highlight w:val="none"/>
        </w:rPr>
        <w:t>1</w:t>
      </w:r>
      <w:r>
        <w:rPr>
          <w:rFonts w:hint="eastAsia" w:ascii="宋体" w:hAnsi="宋体"/>
          <w:b/>
          <w:color w:val="auto"/>
          <w:highlight w:val="none"/>
        </w:rPr>
        <w:t>、上述资格证明文件未按招标文件要求附入投标文件中的，资格性审查不合格。</w:t>
      </w:r>
    </w:p>
    <w:p w14:paraId="14F69F3C">
      <w:pPr>
        <w:adjustRightInd w:val="0"/>
        <w:snapToGrid w:val="0"/>
        <w:spacing w:line="340" w:lineRule="exact"/>
        <w:ind w:firstLine="422" w:firstLineChars="200"/>
        <w:jc w:val="left"/>
        <w:rPr>
          <w:rFonts w:ascii="宋体" w:hAnsi="宋体" w:cs="仿宋_GB2312"/>
          <w:b/>
          <w:color w:val="auto"/>
          <w:szCs w:val="21"/>
          <w:highlight w:val="none"/>
        </w:rPr>
      </w:pPr>
      <w:r>
        <w:rPr>
          <w:rFonts w:hint="eastAsia" w:ascii="宋体" w:hAnsi="宋体"/>
          <w:b/>
          <w:color w:val="auto"/>
          <w:szCs w:val="22"/>
          <w:highlight w:val="none"/>
        </w:rPr>
        <w:t>2、上述审查项目中，任意一项不符合的，资格性审查不合格。</w:t>
      </w:r>
    </w:p>
    <w:p w14:paraId="26D991C5">
      <w:pPr>
        <w:pageBreakBefore/>
        <w:spacing w:line="340" w:lineRule="exact"/>
        <w:jc w:val="left"/>
        <w:rPr>
          <w:rFonts w:ascii="宋体" w:hAnsi="宋体"/>
          <w:color w:val="auto"/>
          <w:szCs w:val="21"/>
          <w:highlight w:val="none"/>
        </w:rPr>
      </w:pPr>
      <w:r>
        <w:rPr>
          <w:rFonts w:hint="eastAsia" w:ascii="宋体" w:hAnsi="宋体"/>
          <w:color w:val="auto"/>
          <w:szCs w:val="21"/>
          <w:highlight w:val="none"/>
        </w:rPr>
        <w:t>附表2：</w:t>
      </w:r>
    </w:p>
    <w:p w14:paraId="6B5E446F">
      <w:pPr>
        <w:spacing w:line="340" w:lineRule="exact"/>
        <w:jc w:val="center"/>
        <w:rPr>
          <w:rFonts w:ascii="宋体" w:hAnsi="宋体"/>
          <w:b/>
          <w:color w:val="auto"/>
          <w:sz w:val="28"/>
          <w:szCs w:val="28"/>
          <w:highlight w:val="none"/>
        </w:rPr>
      </w:pPr>
      <w:r>
        <w:rPr>
          <w:rFonts w:hint="eastAsia" w:ascii="宋体" w:hAnsi="宋体"/>
          <w:b/>
          <w:color w:val="auto"/>
          <w:sz w:val="28"/>
          <w:szCs w:val="28"/>
          <w:highlight w:val="none"/>
        </w:rPr>
        <w:t>符合性审查表</w:t>
      </w:r>
    </w:p>
    <w:tbl>
      <w:tblPr>
        <w:tblStyle w:val="44"/>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5461"/>
        <w:gridCol w:w="4227"/>
      </w:tblGrid>
      <w:tr w14:paraId="62D6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tcPr>
          <w:p w14:paraId="0F8CAA8C">
            <w:pPr>
              <w:jc w:val="center"/>
              <w:rPr>
                <w:rFonts w:ascii="宋体" w:hAnsi="宋体"/>
                <w:b/>
                <w:color w:val="auto"/>
                <w:szCs w:val="21"/>
                <w:highlight w:val="none"/>
              </w:rPr>
            </w:pPr>
            <w:r>
              <w:rPr>
                <w:rFonts w:hint="eastAsia" w:ascii="宋体" w:hAnsi="宋体"/>
                <w:b/>
                <w:color w:val="auto"/>
                <w:szCs w:val="21"/>
                <w:highlight w:val="none"/>
              </w:rPr>
              <w:t>序号</w:t>
            </w:r>
          </w:p>
        </w:tc>
        <w:tc>
          <w:tcPr>
            <w:tcW w:w="5461" w:type="dxa"/>
            <w:tcBorders>
              <w:top w:val="single" w:color="auto" w:sz="4" w:space="0"/>
              <w:left w:val="single" w:color="auto" w:sz="4" w:space="0"/>
              <w:bottom w:val="single" w:color="auto" w:sz="4" w:space="0"/>
              <w:right w:val="single" w:color="auto" w:sz="4" w:space="0"/>
            </w:tcBorders>
            <w:vAlign w:val="center"/>
          </w:tcPr>
          <w:p w14:paraId="33C6E156">
            <w:pPr>
              <w:jc w:val="center"/>
              <w:rPr>
                <w:rFonts w:ascii="宋体" w:hAnsi="宋体"/>
                <w:b/>
                <w:color w:val="auto"/>
                <w:szCs w:val="21"/>
                <w:highlight w:val="none"/>
              </w:rPr>
            </w:pPr>
            <w:r>
              <w:rPr>
                <w:rFonts w:hint="eastAsia" w:ascii="宋体" w:hAnsi="宋体"/>
                <w:b/>
                <w:color w:val="auto"/>
                <w:szCs w:val="21"/>
                <w:highlight w:val="none"/>
              </w:rPr>
              <w:t>要求说明</w:t>
            </w:r>
          </w:p>
        </w:tc>
        <w:tc>
          <w:tcPr>
            <w:tcW w:w="4227" w:type="dxa"/>
            <w:tcBorders>
              <w:top w:val="single" w:color="auto" w:sz="4" w:space="0"/>
              <w:left w:val="single" w:color="auto" w:sz="4" w:space="0"/>
              <w:bottom w:val="single" w:color="auto" w:sz="4" w:space="0"/>
              <w:right w:val="single" w:color="auto" w:sz="4" w:space="0"/>
            </w:tcBorders>
            <w:vAlign w:val="center"/>
          </w:tcPr>
          <w:p w14:paraId="17331261">
            <w:pPr>
              <w:jc w:val="center"/>
              <w:rPr>
                <w:rFonts w:ascii="宋体" w:hAnsi="宋体"/>
                <w:b/>
                <w:color w:val="auto"/>
                <w:szCs w:val="21"/>
                <w:highlight w:val="none"/>
              </w:rPr>
            </w:pPr>
            <w:r>
              <w:rPr>
                <w:rFonts w:hint="eastAsia" w:ascii="宋体" w:hAnsi="宋体"/>
                <w:b/>
                <w:color w:val="auto"/>
                <w:szCs w:val="21"/>
                <w:highlight w:val="none"/>
              </w:rPr>
              <w:t>审查要求</w:t>
            </w:r>
          </w:p>
        </w:tc>
      </w:tr>
      <w:tr w14:paraId="7D07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1F6C1D7">
            <w:pPr>
              <w:jc w:val="center"/>
              <w:rPr>
                <w:rFonts w:ascii="宋体" w:hAnsi="宋体"/>
                <w:color w:val="auto"/>
                <w:szCs w:val="21"/>
                <w:highlight w:val="none"/>
              </w:rPr>
            </w:pPr>
            <w:r>
              <w:rPr>
                <w:rFonts w:hint="eastAsia" w:ascii="宋体" w:hAnsi="宋体"/>
                <w:color w:val="auto"/>
                <w:szCs w:val="21"/>
                <w:highlight w:val="none"/>
              </w:rPr>
              <w:t>1</w:t>
            </w:r>
          </w:p>
        </w:tc>
        <w:tc>
          <w:tcPr>
            <w:tcW w:w="5461" w:type="dxa"/>
            <w:tcBorders>
              <w:top w:val="single" w:color="auto" w:sz="4" w:space="0"/>
              <w:left w:val="single" w:color="auto" w:sz="4" w:space="0"/>
              <w:bottom w:val="single" w:color="auto" w:sz="4" w:space="0"/>
              <w:right w:val="single" w:color="auto" w:sz="4" w:space="0"/>
            </w:tcBorders>
            <w:vAlign w:val="center"/>
          </w:tcPr>
          <w:p w14:paraId="17DF6E2F">
            <w:pPr>
              <w:rPr>
                <w:rFonts w:ascii="宋体" w:hAnsi="宋体"/>
                <w:color w:val="auto"/>
                <w:szCs w:val="21"/>
                <w:highlight w:val="none"/>
              </w:rPr>
            </w:pPr>
            <w:r>
              <w:rPr>
                <w:rFonts w:hint="eastAsia" w:ascii="宋体" w:hAnsi="宋体"/>
                <w:color w:val="auto"/>
                <w:szCs w:val="21"/>
                <w:highlight w:val="none"/>
              </w:rPr>
              <w:t>投标有效期：符合第二章“投标须知”第七、1条的要求。</w:t>
            </w:r>
          </w:p>
        </w:tc>
        <w:tc>
          <w:tcPr>
            <w:tcW w:w="4227" w:type="dxa"/>
            <w:tcBorders>
              <w:top w:val="single" w:color="auto" w:sz="4" w:space="0"/>
              <w:left w:val="single" w:color="auto" w:sz="4" w:space="0"/>
              <w:bottom w:val="single" w:color="auto" w:sz="4" w:space="0"/>
              <w:right w:val="single" w:color="auto" w:sz="4" w:space="0"/>
            </w:tcBorders>
            <w:vAlign w:val="center"/>
          </w:tcPr>
          <w:p w14:paraId="18E604E8">
            <w:pPr>
              <w:rPr>
                <w:rFonts w:ascii="宋体" w:hAnsi="宋体"/>
                <w:color w:val="auto"/>
                <w:szCs w:val="21"/>
                <w:highlight w:val="none"/>
              </w:rPr>
            </w:pPr>
            <w:r>
              <w:rPr>
                <w:rFonts w:hint="eastAsia" w:ascii="宋体" w:hAnsi="宋体"/>
                <w:color w:val="auto"/>
                <w:szCs w:val="21"/>
                <w:highlight w:val="none"/>
              </w:rPr>
              <w:t>提供“投标书”</w:t>
            </w:r>
            <w:r>
              <w:rPr>
                <w:rFonts w:hint="eastAsia" w:ascii="宋体" w:hAnsi="宋体" w:cs="宋体"/>
                <w:color w:val="auto"/>
                <w:szCs w:val="21"/>
                <w:highlight w:val="none"/>
              </w:rPr>
              <w:t>。</w:t>
            </w:r>
          </w:p>
        </w:tc>
      </w:tr>
      <w:tr w14:paraId="4AAA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981EAF7">
            <w:pPr>
              <w:jc w:val="center"/>
              <w:rPr>
                <w:rFonts w:ascii="宋体" w:hAnsi="宋体"/>
                <w:color w:val="auto"/>
                <w:szCs w:val="21"/>
                <w:highlight w:val="none"/>
              </w:rPr>
            </w:pPr>
            <w:r>
              <w:rPr>
                <w:rFonts w:hint="eastAsia" w:ascii="宋体" w:hAnsi="宋体" w:cs="宋体"/>
                <w:color w:val="auto"/>
                <w:szCs w:val="21"/>
                <w:highlight w:val="none"/>
              </w:rPr>
              <w:t>2</w:t>
            </w:r>
          </w:p>
        </w:tc>
        <w:tc>
          <w:tcPr>
            <w:tcW w:w="5461" w:type="dxa"/>
            <w:tcBorders>
              <w:top w:val="single" w:color="auto" w:sz="4" w:space="0"/>
              <w:left w:val="single" w:color="auto" w:sz="4" w:space="0"/>
              <w:bottom w:val="single" w:color="auto" w:sz="4" w:space="0"/>
              <w:right w:val="single" w:color="auto" w:sz="4" w:space="0"/>
            </w:tcBorders>
            <w:vAlign w:val="center"/>
          </w:tcPr>
          <w:p w14:paraId="6521FD67">
            <w:pPr>
              <w:rPr>
                <w:rFonts w:ascii="宋体" w:hAnsi="宋体"/>
                <w:color w:val="auto"/>
                <w:szCs w:val="21"/>
                <w:highlight w:val="none"/>
              </w:rPr>
            </w:pPr>
            <w:r>
              <w:rPr>
                <w:rFonts w:hint="eastAsia" w:ascii="宋体" w:hAnsi="宋体" w:cs="宋体"/>
                <w:color w:val="auto"/>
                <w:szCs w:val="21"/>
                <w:highlight w:val="none"/>
              </w:rPr>
              <w:t>投标保证金</w:t>
            </w:r>
          </w:p>
        </w:tc>
        <w:tc>
          <w:tcPr>
            <w:tcW w:w="4227" w:type="dxa"/>
            <w:tcBorders>
              <w:top w:val="single" w:color="auto" w:sz="4" w:space="0"/>
              <w:left w:val="single" w:color="auto" w:sz="4" w:space="0"/>
              <w:bottom w:val="single" w:color="auto" w:sz="4" w:space="0"/>
              <w:right w:val="single" w:color="auto" w:sz="4" w:space="0"/>
            </w:tcBorders>
            <w:vAlign w:val="center"/>
          </w:tcPr>
          <w:p w14:paraId="708FB67F">
            <w:pPr>
              <w:rPr>
                <w:rFonts w:ascii="宋体" w:hAnsi="宋体"/>
                <w:color w:val="auto"/>
                <w:szCs w:val="21"/>
                <w:highlight w:val="none"/>
              </w:rPr>
            </w:pPr>
            <w:r>
              <w:rPr>
                <w:rFonts w:hint="eastAsia" w:ascii="宋体" w:hAnsi="宋体" w:cs="宋体"/>
                <w:color w:val="auto"/>
                <w:szCs w:val="21"/>
                <w:highlight w:val="none"/>
              </w:rPr>
              <w:t>符合“第二章投标须知”第六条的要求</w:t>
            </w:r>
          </w:p>
        </w:tc>
      </w:tr>
      <w:tr w14:paraId="4F71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52994BD">
            <w:pPr>
              <w:jc w:val="center"/>
              <w:rPr>
                <w:rFonts w:ascii="宋体" w:hAnsi="宋体"/>
                <w:color w:val="auto"/>
                <w:szCs w:val="21"/>
                <w:highlight w:val="none"/>
              </w:rPr>
            </w:pPr>
            <w:r>
              <w:rPr>
                <w:rFonts w:hint="eastAsia" w:ascii="宋体" w:hAnsi="宋体"/>
                <w:color w:val="auto"/>
                <w:szCs w:val="21"/>
                <w:highlight w:val="none"/>
              </w:rPr>
              <w:t>3</w:t>
            </w:r>
          </w:p>
        </w:tc>
        <w:tc>
          <w:tcPr>
            <w:tcW w:w="5461" w:type="dxa"/>
            <w:tcBorders>
              <w:top w:val="single" w:color="auto" w:sz="4" w:space="0"/>
              <w:left w:val="single" w:color="auto" w:sz="4" w:space="0"/>
              <w:bottom w:val="single" w:color="auto" w:sz="4" w:space="0"/>
              <w:right w:val="single" w:color="auto" w:sz="4" w:space="0"/>
            </w:tcBorders>
            <w:vAlign w:val="center"/>
          </w:tcPr>
          <w:p w14:paraId="32AB7188">
            <w:pPr>
              <w:rPr>
                <w:rFonts w:ascii="宋体" w:hAnsi="宋体"/>
                <w:color w:val="auto"/>
                <w:szCs w:val="21"/>
                <w:highlight w:val="none"/>
              </w:rPr>
            </w:pPr>
            <w:r>
              <w:rPr>
                <w:rFonts w:hint="eastAsia" w:ascii="宋体" w:hAnsi="宋体"/>
                <w:color w:val="auto"/>
                <w:szCs w:val="21"/>
                <w:highlight w:val="none"/>
              </w:rPr>
              <w:t>法定代表人身份证明、法定代表人授权书。</w:t>
            </w:r>
          </w:p>
        </w:tc>
        <w:tc>
          <w:tcPr>
            <w:tcW w:w="4227" w:type="dxa"/>
            <w:tcBorders>
              <w:top w:val="single" w:color="auto" w:sz="4" w:space="0"/>
              <w:left w:val="single" w:color="auto" w:sz="4" w:space="0"/>
              <w:bottom w:val="single" w:color="auto" w:sz="4" w:space="0"/>
              <w:right w:val="single" w:color="auto" w:sz="4" w:space="0"/>
            </w:tcBorders>
            <w:vAlign w:val="center"/>
          </w:tcPr>
          <w:p w14:paraId="7F38FC8A">
            <w:pPr>
              <w:rPr>
                <w:rFonts w:ascii="宋体" w:hAnsi="宋体"/>
                <w:color w:val="auto"/>
                <w:szCs w:val="21"/>
                <w:highlight w:val="none"/>
              </w:rPr>
            </w:pPr>
            <w:r>
              <w:rPr>
                <w:rFonts w:hint="eastAsia" w:ascii="宋体" w:hAnsi="宋体"/>
                <w:color w:val="auto"/>
                <w:szCs w:val="21"/>
                <w:highlight w:val="none"/>
              </w:rPr>
              <w:t>（1）投标文件由法定代表人签字的，提供“法定代表人身份证明”</w:t>
            </w:r>
            <w:r>
              <w:rPr>
                <w:rFonts w:hint="eastAsia" w:ascii="宋体" w:hAnsi="宋体" w:cs="宋体"/>
                <w:color w:val="auto"/>
                <w:szCs w:val="21"/>
                <w:highlight w:val="none"/>
              </w:rPr>
              <w:t>。</w:t>
            </w:r>
          </w:p>
          <w:p w14:paraId="6BEFC781">
            <w:pPr>
              <w:rPr>
                <w:rFonts w:ascii="宋体" w:hAnsi="宋体"/>
                <w:color w:val="auto"/>
                <w:szCs w:val="21"/>
                <w:highlight w:val="none"/>
              </w:rPr>
            </w:pPr>
            <w:r>
              <w:rPr>
                <w:rFonts w:hint="eastAsia" w:ascii="宋体" w:hAnsi="宋体"/>
                <w:color w:val="auto"/>
                <w:szCs w:val="21"/>
                <w:highlight w:val="none"/>
              </w:rPr>
              <w:t>（2）投标文件由授权代表签字的，提供“法定代表人身份证明”和“法定代表人授权书”。</w:t>
            </w:r>
          </w:p>
        </w:tc>
      </w:tr>
      <w:tr w14:paraId="0ADA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84124EA">
            <w:pPr>
              <w:jc w:val="center"/>
              <w:rPr>
                <w:rFonts w:ascii="宋体" w:hAnsi="宋体"/>
                <w:color w:val="auto"/>
                <w:szCs w:val="21"/>
                <w:highlight w:val="none"/>
              </w:rPr>
            </w:pPr>
            <w:r>
              <w:rPr>
                <w:rFonts w:hint="eastAsia" w:ascii="宋体" w:hAnsi="宋体"/>
                <w:color w:val="auto"/>
                <w:szCs w:val="21"/>
                <w:highlight w:val="none"/>
              </w:rPr>
              <w:t>4</w:t>
            </w:r>
          </w:p>
        </w:tc>
        <w:tc>
          <w:tcPr>
            <w:tcW w:w="5461" w:type="dxa"/>
            <w:tcBorders>
              <w:top w:val="single" w:color="auto" w:sz="4" w:space="0"/>
              <w:left w:val="single" w:color="auto" w:sz="4" w:space="0"/>
              <w:bottom w:val="single" w:color="auto" w:sz="4" w:space="0"/>
              <w:right w:val="single" w:color="auto" w:sz="4" w:space="0"/>
            </w:tcBorders>
            <w:vAlign w:val="center"/>
          </w:tcPr>
          <w:p w14:paraId="24603571">
            <w:pPr>
              <w:rPr>
                <w:rFonts w:ascii="宋体" w:hAnsi="宋体"/>
                <w:color w:val="auto"/>
                <w:szCs w:val="21"/>
                <w:highlight w:val="none"/>
              </w:rPr>
            </w:pPr>
            <w:r>
              <w:rPr>
                <w:rFonts w:hint="eastAsia" w:ascii="宋体" w:hAnsi="宋体"/>
                <w:color w:val="auto"/>
                <w:szCs w:val="21"/>
                <w:highlight w:val="none"/>
              </w:rPr>
              <w:t>按招标文件要求签署、盖章。</w:t>
            </w:r>
          </w:p>
        </w:tc>
        <w:tc>
          <w:tcPr>
            <w:tcW w:w="4227" w:type="dxa"/>
            <w:tcBorders>
              <w:top w:val="single" w:color="auto" w:sz="4" w:space="0"/>
              <w:left w:val="single" w:color="auto" w:sz="4" w:space="0"/>
              <w:bottom w:val="single" w:color="auto" w:sz="4" w:space="0"/>
              <w:right w:val="single" w:color="auto" w:sz="4" w:space="0"/>
            </w:tcBorders>
            <w:vAlign w:val="center"/>
          </w:tcPr>
          <w:p w14:paraId="278D59C5">
            <w:pPr>
              <w:rPr>
                <w:rFonts w:ascii="宋体" w:hAnsi="宋体"/>
                <w:color w:val="auto"/>
                <w:szCs w:val="21"/>
                <w:highlight w:val="none"/>
              </w:rPr>
            </w:pPr>
            <w:r>
              <w:rPr>
                <w:rFonts w:hint="eastAsia" w:ascii="宋体" w:hAnsi="宋体"/>
                <w:color w:val="auto"/>
                <w:szCs w:val="21"/>
                <w:highlight w:val="none"/>
              </w:rPr>
              <w:t>投标文件的签署盖章符合要求。</w:t>
            </w:r>
          </w:p>
        </w:tc>
      </w:tr>
      <w:tr w14:paraId="30A8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1C951A5">
            <w:pPr>
              <w:jc w:val="center"/>
              <w:rPr>
                <w:rFonts w:ascii="宋体" w:hAnsi="宋体"/>
                <w:color w:val="auto"/>
                <w:szCs w:val="21"/>
                <w:highlight w:val="none"/>
              </w:rPr>
            </w:pPr>
            <w:r>
              <w:rPr>
                <w:rFonts w:hint="eastAsia" w:ascii="宋体" w:hAnsi="宋体"/>
                <w:color w:val="auto"/>
                <w:szCs w:val="21"/>
                <w:highlight w:val="none"/>
              </w:rPr>
              <w:t>5</w:t>
            </w:r>
          </w:p>
        </w:tc>
        <w:tc>
          <w:tcPr>
            <w:tcW w:w="5461" w:type="dxa"/>
            <w:tcBorders>
              <w:top w:val="single" w:color="auto" w:sz="4" w:space="0"/>
              <w:left w:val="single" w:color="auto" w:sz="4" w:space="0"/>
              <w:bottom w:val="single" w:color="auto" w:sz="4" w:space="0"/>
              <w:right w:val="single" w:color="auto" w:sz="4" w:space="0"/>
            </w:tcBorders>
            <w:vAlign w:val="center"/>
          </w:tcPr>
          <w:p w14:paraId="02BBE070">
            <w:pPr>
              <w:rPr>
                <w:rFonts w:ascii="宋体" w:hAnsi="宋体"/>
                <w:color w:val="auto"/>
                <w:szCs w:val="21"/>
                <w:highlight w:val="none"/>
              </w:rPr>
            </w:pPr>
            <w:r>
              <w:rPr>
                <w:rFonts w:hint="eastAsia" w:ascii="宋体" w:hAnsi="宋体"/>
                <w:color w:val="auto"/>
                <w:szCs w:val="21"/>
                <w:highlight w:val="none"/>
              </w:rPr>
              <w:t>对同个标项不允许提供两个投标方案。</w:t>
            </w:r>
          </w:p>
        </w:tc>
        <w:tc>
          <w:tcPr>
            <w:tcW w:w="4227" w:type="dxa"/>
            <w:tcBorders>
              <w:top w:val="single" w:color="auto" w:sz="4" w:space="0"/>
              <w:left w:val="single" w:color="auto" w:sz="4" w:space="0"/>
              <w:bottom w:val="single" w:color="auto" w:sz="4" w:space="0"/>
              <w:right w:val="single" w:color="auto" w:sz="4" w:space="0"/>
            </w:tcBorders>
            <w:vAlign w:val="center"/>
          </w:tcPr>
          <w:p w14:paraId="66100B73">
            <w:pPr>
              <w:rPr>
                <w:rFonts w:ascii="宋体" w:hAnsi="宋体"/>
                <w:color w:val="auto"/>
                <w:szCs w:val="21"/>
                <w:highlight w:val="none"/>
              </w:rPr>
            </w:pPr>
            <w:r>
              <w:rPr>
                <w:rFonts w:hint="eastAsia" w:ascii="宋体" w:hAnsi="宋体"/>
                <w:color w:val="auto"/>
                <w:szCs w:val="21"/>
                <w:highlight w:val="none"/>
              </w:rPr>
              <w:t>是否有两个投标方案。</w:t>
            </w:r>
          </w:p>
        </w:tc>
      </w:tr>
      <w:tr w14:paraId="79AF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EE7F359">
            <w:pPr>
              <w:jc w:val="center"/>
              <w:rPr>
                <w:rFonts w:ascii="宋体" w:hAnsi="宋体"/>
                <w:color w:val="auto"/>
                <w:szCs w:val="21"/>
                <w:highlight w:val="none"/>
              </w:rPr>
            </w:pPr>
            <w:r>
              <w:rPr>
                <w:rFonts w:hint="eastAsia" w:ascii="宋体" w:hAnsi="宋体"/>
                <w:color w:val="auto"/>
                <w:szCs w:val="21"/>
                <w:highlight w:val="none"/>
              </w:rPr>
              <w:t>6</w:t>
            </w:r>
          </w:p>
        </w:tc>
        <w:tc>
          <w:tcPr>
            <w:tcW w:w="5461" w:type="dxa"/>
            <w:tcBorders>
              <w:top w:val="single" w:color="auto" w:sz="4" w:space="0"/>
              <w:left w:val="single" w:color="auto" w:sz="4" w:space="0"/>
              <w:bottom w:val="single" w:color="auto" w:sz="4" w:space="0"/>
              <w:right w:val="single" w:color="auto" w:sz="4" w:space="0"/>
            </w:tcBorders>
            <w:vAlign w:val="center"/>
          </w:tcPr>
          <w:p w14:paraId="0CEF4908">
            <w:pPr>
              <w:rPr>
                <w:rFonts w:ascii="宋体" w:hAnsi="宋体"/>
                <w:color w:val="auto"/>
                <w:szCs w:val="21"/>
                <w:highlight w:val="none"/>
              </w:rPr>
            </w:pPr>
            <w:r>
              <w:rPr>
                <w:rFonts w:hint="eastAsia" w:ascii="宋体" w:hAnsi="宋体"/>
                <w:color w:val="auto"/>
                <w:szCs w:val="21"/>
                <w:highlight w:val="none"/>
              </w:rPr>
              <w:t>投标人不得在投标活动中提供任何虚假材料或从事其他违法活动的。</w:t>
            </w:r>
          </w:p>
        </w:tc>
        <w:tc>
          <w:tcPr>
            <w:tcW w:w="4227" w:type="dxa"/>
            <w:tcBorders>
              <w:top w:val="single" w:color="auto" w:sz="4" w:space="0"/>
              <w:left w:val="single" w:color="auto" w:sz="4" w:space="0"/>
              <w:bottom w:val="single" w:color="auto" w:sz="4" w:space="0"/>
              <w:right w:val="single" w:color="auto" w:sz="4" w:space="0"/>
            </w:tcBorders>
            <w:vAlign w:val="center"/>
          </w:tcPr>
          <w:p w14:paraId="6955CF21">
            <w:pPr>
              <w:rPr>
                <w:rFonts w:ascii="宋体" w:hAnsi="宋体"/>
                <w:color w:val="auto"/>
                <w:szCs w:val="21"/>
                <w:highlight w:val="none"/>
              </w:rPr>
            </w:pPr>
            <w:r>
              <w:rPr>
                <w:rFonts w:hint="eastAsia" w:ascii="宋体" w:hAnsi="宋体"/>
                <w:color w:val="auto"/>
                <w:szCs w:val="21"/>
                <w:highlight w:val="none"/>
              </w:rPr>
              <w:t>不得提供任何虚假材料或从事其他违法活动。</w:t>
            </w:r>
          </w:p>
        </w:tc>
      </w:tr>
      <w:tr w14:paraId="4FF3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2400C49">
            <w:pPr>
              <w:jc w:val="center"/>
              <w:rPr>
                <w:rFonts w:ascii="宋体" w:hAnsi="宋体"/>
                <w:color w:val="auto"/>
                <w:szCs w:val="21"/>
                <w:highlight w:val="none"/>
              </w:rPr>
            </w:pPr>
            <w:r>
              <w:rPr>
                <w:rFonts w:hint="eastAsia" w:ascii="宋体" w:hAnsi="宋体"/>
                <w:color w:val="auto"/>
                <w:szCs w:val="21"/>
                <w:highlight w:val="none"/>
              </w:rPr>
              <w:t>7</w:t>
            </w:r>
          </w:p>
        </w:tc>
        <w:tc>
          <w:tcPr>
            <w:tcW w:w="5461" w:type="dxa"/>
            <w:tcBorders>
              <w:top w:val="single" w:color="auto" w:sz="4" w:space="0"/>
              <w:left w:val="single" w:color="auto" w:sz="4" w:space="0"/>
              <w:bottom w:val="single" w:color="auto" w:sz="4" w:space="0"/>
              <w:right w:val="single" w:color="auto" w:sz="4" w:space="0"/>
            </w:tcBorders>
            <w:vAlign w:val="center"/>
          </w:tcPr>
          <w:p w14:paraId="3EC2EC7E">
            <w:pPr>
              <w:widowControl/>
              <w:jc w:val="left"/>
              <w:rPr>
                <w:rFonts w:ascii="宋体" w:hAnsi="宋体"/>
                <w:color w:val="auto"/>
                <w:highlight w:val="none"/>
              </w:rPr>
            </w:pPr>
            <w:r>
              <w:rPr>
                <w:rFonts w:hint="eastAsia"/>
                <w:color w:val="auto"/>
                <w:highlight w:val="none"/>
              </w:rPr>
              <w:t>评标委员会经过审查，有下列情形之一的，视为投标人</w:t>
            </w:r>
            <w:r>
              <w:rPr>
                <w:rFonts w:hint="eastAsia" w:ascii="宋体" w:hAnsi="宋体"/>
                <w:color w:val="auto"/>
                <w:highlight w:val="none"/>
              </w:rPr>
              <w:t>串通投标，投标无效：</w:t>
            </w:r>
          </w:p>
          <w:p w14:paraId="74212CB1">
            <w:pPr>
              <w:widowControl/>
              <w:jc w:val="left"/>
              <w:rPr>
                <w:rFonts w:ascii="宋体" w:hAnsi="宋体"/>
                <w:color w:val="auto"/>
                <w:highlight w:val="none"/>
              </w:rPr>
            </w:pPr>
            <w:r>
              <w:rPr>
                <w:rFonts w:hint="eastAsia" w:ascii="宋体" w:hAnsi="宋体"/>
                <w:color w:val="auto"/>
                <w:highlight w:val="none"/>
              </w:rPr>
              <w:t>（1）不同投标人的投标文件由同一单位或者个人编制；</w:t>
            </w:r>
          </w:p>
          <w:p w14:paraId="51ED3D81">
            <w:pPr>
              <w:widowControl/>
              <w:jc w:val="left"/>
              <w:rPr>
                <w:rFonts w:ascii="宋体" w:hAnsi="宋体"/>
                <w:color w:val="auto"/>
                <w:highlight w:val="none"/>
              </w:rPr>
            </w:pPr>
            <w:r>
              <w:rPr>
                <w:rFonts w:hint="eastAsia" w:ascii="宋体" w:hAnsi="宋体"/>
                <w:color w:val="auto"/>
                <w:highlight w:val="none"/>
              </w:rPr>
              <w:t>（2）不同投标人委托同一单位或者个人办理投标事宜；</w:t>
            </w:r>
          </w:p>
          <w:p w14:paraId="11C4EFDE">
            <w:pPr>
              <w:widowControl/>
              <w:jc w:val="left"/>
              <w:rPr>
                <w:rFonts w:ascii="宋体" w:hAnsi="宋体"/>
                <w:color w:val="auto"/>
                <w:highlight w:val="none"/>
              </w:rPr>
            </w:pPr>
            <w:r>
              <w:rPr>
                <w:rFonts w:hint="eastAsia" w:ascii="宋体" w:hAnsi="宋体"/>
                <w:color w:val="auto"/>
                <w:highlight w:val="none"/>
              </w:rPr>
              <w:t>（3）不同投标人的投标文件载明的项目管理成员或者联系人员为同一人；</w:t>
            </w:r>
          </w:p>
          <w:p w14:paraId="286C4B3E">
            <w:pPr>
              <w:widowControl/>
              <w:jc w:val="left"/>
              <w:rPr>
                <w:rFonts w:ascii="宋体" w:hAnsi="宋体"/>
                <w:color w:val="auto"/>
                <w:highlight w:val="none"/>
              </w:rPr>
            </w:pPr>
            <w:r>
              <w:rPr>
                <w:rFonts w:hint="eastAsia" w:ascii="宋体" w:hAnsi="宋体"/>
                <w:color w:val="auto"/>
                <w:highlight w:val="none"/>
              </w:rPr>
              <w:t>（4）不同投标人的投标文件异常一致或者投标报价呈规律性差异；</w:t>
            </w:r>
          </w:p>
          <w:p w14:paraId="7A879D16">
            <w:pPr>
              <w:widowControl/>
              <w:jc w:val="left"/>
              <w:rPr>
                <w:rFonts w:ascii="宋体" w:hAnsi="宋体"/>
                <w:color w:val="auto"/>
                <w:highlight w:val="none"/>
              </w:rPr>
            </w:pPr>
            <w:r>
              <w:rPr>
                <w:rFonts w:hint="eastAsia" w:ascii="宋体" w:hAnsi="宋体"/>
                <w:color w:val="auto"/>
                <w:highlight w:val="none"/>
              </w:rPr>
              <w:t>（5）不同投标人的投标文件相互混装；</w:t>
            </w:r>
          </w:p>
          <w:p w14:paraId="5EB8D552">
            <w:pPr>
              <w:widowControl/>
              <w:jc w:val="left"/>
              <w:rPr>
                <w:color w:val="auto"/>
                <w:highlight w:val="none"/>
              </w:rPr>
            </w:pPr>
            <w:r>
              <w:rPr>
                <w:rFonts w:hint="eastAsia" w:ascii="宋体" w:hAnsi="宋体"/>
                <w:color w:val="auto"/>
                <w:highlight w:val="none"/>
              </w:rPr>
              <w:t>（6）不同投标人的投标保证金从同一单位或者个人的账户转出</w:t>
            </w:r>
          </w:p>
        </w:tc>
        <w:tc>
          <w:tcPr>
            <w:tcW w:w="4227" w:type="dxa"/>
            <w:tcBorders>
              <w:top w:val="single" w:color="auto" w:sz="4" w:space="0"/>
              <w:left w:val="single" w:color="auto" w:sz="4" w:space="0"/>
              <w:bottom w:val="single" w:color="auto" w:sz="4" w:space="0"/>
              <w:right w:val="single" w:color="auto" w:sz="4" w:space="0"/>
            </w:tcBorders>
            <w:vAlign w:val="center"/>
          </w:tcPr>
          <w:p w14:paraId="5C84CE51">
            <w:pPr>
              <w:rPr>
                <w:rFonts w:ascii="宋体" w:hAnsi="宋体"/>
                <w:color w:val="auto"/>
                <w:szCs w:val="21"/>
                <w:highlight w:val="none"/>
              </w:rPr>
            </w:pPr>
            <w:r>
              <w:rPr>
                <w:rFonts w:hint="eastAsia" w:ascii="宋体" w:hAnsi="宋体"/>
                <w:color w:val="auto"/>
                <w:szCs w:val="21"/>
                <w:highlight w:val="none"/>
              </w:rPr>
              <w:t>不得有所述情形。</w:t>
            </w:r>
          </w:p>
        </w:tc>
      </w:tr>
      <w:tr w14:paraId="4A36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77F96EE">
            <w:pPr>
              <w:jc w:val="center"/>
              <w:rPr>
                <w:rFonts w:ascii="宋体" w:hAnsi="宋体"/>
                <w:color w:val="auto"/>
                <w:szCs w:val="21"/>
                <w:highlight w:val="none"/>
              </w:rPr>
            </w:pPr>
            <w:r>
              <w:rPr>
                <w:rFonts w:hint="eastAsia" w:ascii="宋体" w:hAnsi="宋体"/>
                <w:color w:val="auto"/>
                <w:szCs w:val="21"/>
                <w:highlight w:val="none"/>
              </w:rPr>
              <w:t>8</w:t>
            </w:r>
          </w:p>
        </w:tc>
        <w:tc>
          <w:tcPr>
            <w:tcW w:w="5461" w:type="dxa"/>
            <w:tcBorders>
              <w:top w:val="single" w:color="auto" w:sz="4" w:space="0"/>
              <w:left w:val="single" w:color="auto" w:sz="4" w:space="0"/>
              <w:bottom w:val="single" w:color="auto" w:sz="4" w:space="0"/>
              <w:right w:val="single" w:color="auto" w:sz="4" w:space="0"/>
            </w:tcBorders>
            <w:vAlign w:val="center"/>
          </w:tcPr>
          <w:p w14:paraId="7150E9B4">
            <w:pPr>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p>
        </w:tc>
        <w:tc>
          <w:tcPr>
            <w:tcW w:w="4227" w:type="dxa"/>
            <w:tcBorders>
              <w:top w:val="single" w:color="auto" w:sz="4" w:space="0"/>
              <w:left w:val="single" w:color="auto" w:sz="4" w:space="0"/>
              <w:bottom w:val="single" w:color="auto" w:sz="4" w:space="0"/>
              <w:right w:val="single" w:color="auto" w:sz="4" w:space="0"/>
            </w:tcBorders>
            <w:vAlign w:val="center"/>
          </w:tcPr>
          <w:p w14:paraId="0E756637">
            <w:pPr>
              <w:rPr>
                <w:rFonts w:ascii="宋体" w:hAnsi="宋体"/>
                <w:color w:val="auto"/>
                <w:szCs w:val="21"/>
                <w:highlight w:val="none"/>
              </w:rPr>
            </w:pPr>
            <w:r>
              <w:rPr>
                <w:rFonts w:hint="eastAsia" w:ascii="宋体" w:hAnsi="宋体"/>
                <w:color w:val="auto"/>
                <w:szCs w:val="21"/>
                <w:highlight w:val="none"/>
              </w:rPr>
              <w:t>符合所述要求。</w:t>
            </w:r>
          </w:p>
        </w:tc>
      </w:tr>
      <w:tr w14:paraId="4469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4" w:type="dxa"/>
            <w:gridSpan w:val="2"/>
            <w:tcBorders>
              <w:top w:val="single" w:color="auto" w:sz="4" w:space="0"/>
              <w:left w:val="single" w:color="auto" w:sz="4" w:space="0"/>
              <w:bottom w:val="single" w:color="auto" w:sz="4" w:space="0"/>
              <w:right w:val="single" w:color="auto" w:sz="4" w:space="0"/>
            </w:tcBorders>
            <w:vAlign w:val="center"/>
          </w:tcPr>
          <w:p w14:paraId="0035569A">
            <w:pPr>
              <w:jc w:val="center"/>
              <w:rPr>
                <w:rFonts w:ascii="宋体" w:hAnsi="宋体"/>
                <w:color w:val="auto"/>
                <w:szCs w:val="21"/>
                <w:highlight w:val="none"/>
              </w:rPr>
            </w:pPr>
            <w:r>
              <w:rPr>
                <w:rFonts w:hint="eastAsia" w:ascii="宋体" w:hAnsi="宋体"/>
                <w:b/>
                <w:color w:val="auto"/>
                <w:szCs w:val="21"/>
                <w:highlight w:val="none"/>
              </w:rPr>
              <w:t>符合性审查结论</w:t>
            </w:r>
          </w:p>
        </w:tc>
        <w:tc>
          <w:tcPr>
            <w:tcW w:w="4227" w:type="dxa"/>
            <w:tcBorders>
              <w:top w:val="single" w:color="auto" w:sz="4" w:space="0"/>
              <w:left w:val="single" w:color="auto" w:sz="4" w:space="0"/>
              <w:bottom w:val="single" w:color="auto" w:sz="4" w:space="0"/>
              <w:right w:val="single" w:color="auto" w:sz="4" w:space="0"/>
            </w:tcBorders>
            <w:vAlign w:val="center"/>
          </w:tcPr>
          <w:p w14:paraId="432BF844">
            <w:pPr>
              <w:rPr>
                <w:rFonts w:ascii="宋体" w:hAnsi="宋体"/>
                <w:color w:val="auto"/>
                <w:szCs w:val="21"/>
                <w:highlight w:val="none"/>
              </w:rPr>
            </w:pPr>
          </w:p>
        </w:tc>
      </w:tr>
    </w:tbl>
    <w:p w14:paraId="77F1962B">
      <w:pPr>
        <w:spacing w:line="340" w:lineRule="exact"/>
        <w:rPr>
          <w:rFonts w:ascii="宋体" w:hAnsi="宋体"/>
          <w:color w:val="auto"/>
          <w:szCs w:val="21"/>
          <w:highlight w:val="none"/>
        </w:rPr>
      </w:pPr>
      <w:r>
        <w:rPr>
          <w:rFonts w:hint="eastAsia" w:ascii="宋体" w:hAnsi="宋体"/>
          <w:b/>
          <w:color w:val="auto"/>
          <w:highlight w:val="none"/>
        </w:rPr>
        <w:t>注：上述审查项目中，任意一项不符合的，符合性审查不合格。</w:t>
      </w:r>
    </w:p>
    <w:p w14:paraId="45A906F3">
      <w:pPr>
        <w:pageBreakBefore/>
        <w:widowControl/>
        <w:rPr>
          <w:rFonts w:ascii="宋体" w:hAnsi="宋体" w:cs="仿宋_GB2312"/>
          <w:b/>
          <w:bCs/>
          <w:color w:val="auto"/>
          <w:sz w:val="28"/>
          <w:szCs w:val="28"/>
          <w:highlight w:val="none"/>
        </w:rPr>
      </w:pPr>
      <w:r>
        <w:rPr>
          <w:rFonts w:hint="eastAsia" w:ascii="宋体" w:hAnsi="宋体" w:cs="仿宋_GB2312"/>
          <w:b/>
          <w:bCs/>
          <w:color w:val="auto"/>
          <w:sz w:val="28"/>
          <w:szCs w:val="28"/>
          <w:highlight w:val="none"/>
        </w:rPr>
        <w:t>附表3：</w:t>
      </w:r>
    </w:p>
    <w:p w14:paraId="3E5903B9">
      <w:pPr>
        <w:widowControl/>
        <w:jc w:val="center"/>
        <w:rPr>
          <w:rFonts w:ascii="宋体" w:hAnsi="宋体"/>
          <w:b/>
          <w:color w:val="auto"/>
          <w:sz w:val="30"/>
          <w:szCs w:val="30"/>
          <w:highlight w:val="none"/>
        </w:rPr>
      </w:pPr>
      <w:r>
        <w:rPr>
          <w:rFonts w:hint="eastAsia" w:ascii="宋体" w:hAnsi="宋体"/>
          <w:b/>
          <w:color w:val="auto"/>
          <w:sz w:val="30"/>
          <w:szCs w:val="30"/>
          <w:highlight w:val="none"/>
        </w:rPr>
        <w:t>商务和技术评分表</w:t>
      </w:r>
    </w:p>
    <w:p w14:paraId="65296697">
      <w:pPr>
        <w:jc w:val="left"/>
        <w:rPr>
          <w:rFonts w:ascii="Tahoma" w:hAnsi="Tahoma"/>
          <w:color w:val="auto"/>
          <w:sz w:val="24"/>
          <w:highlight w:val="none"/>
        </w:rPr>
      </w:pPr>
      <w:r>
        <w:rPr>
          <w:rFonts w:hint="eastAsia" w:ascii="宋体" w:hAnsi="宋体" w:cs="仿宋_GB2312"/>
          <w:color w:val="auto"/>
          <w:szCs w:val="21"/>
          <w:highlight w:val="none"/>
        </w:rPr>
        <w:t>项目名称：</w:t>
      </w:r>
      <w:r>
        <w:rPr>
          <w:rFonts w:hint="eastAsia" w:ascii="Tahoma" w:hAnsi="Tahoma"/>
          <w:color w:val="auto"/>
          <w:sz w:val="24"/>
          <w:highlight w:val="none"/>
        </w:rPr>
        <w:t xml:space="preserve"> </w:t>
      </w:r>
    </w:p>
    <w:tbl>
      <w:tblPr>
        <w:tblStyle w:val="44"/>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7037"/>
        <w:gridCol w:w="831"/>
      </w:tblGrid>
      <w:tr w14:paraId="517F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26" w:type="dxa"/>
            <w:noWrap w:val="0"/>
            <w:vAlign w:val="center"/>
          </w:tcPr>
          <w:p w14:paraId="073FDF40">
            <w:pPr>
              <w:widowControl/>
              <w:spacing w:line="400" w:lineRule="exact"/>
              <w:jc w:val="center"/>
              <w:rPr>
                <w:rFonts w:ascii="宋体" w:hAnsi="宋体" w:cs="Arial"/>
                <w:b/>
                <w:color w:val="auto"/>
                <w:kern w:val="0"/>
                <w:szCs w:val="21"/>
                <w:highlight w:val="none"/>
              </w:rPr>
            </w:pPr>
            <w:r>
              <w:rPr>
                <w:rFonts w:hint="eastAsia" w:ascii="宋体" w:hAnsi="宋体" w:cs="Arial"/>
                <w:b/>
                <w:color w:val="auto"/>
                <w:kern w:val="0"/>
                <w:szCs w:val="21"/>
                <w:highlight w:val="none"/>
              </w:rPr>
              <w:t>评审项目</w:t>
            </w:r>
          </w:p>
        </w:tc>
        <w:tc>
          <w:tcPr>
            <w:tcW w:w="7037" w:type="dxa"/>
            <w:noWrap w:val="0"/>
            <w:vAlign w:val="center"/>
          </w:tcPr>
          <w:p w14:paraId="72C59935">
            <w:pPr>
              <w:widowControl/>
              <w:spacing w:line="400" w:lineRule="exact"/>
              <w:jc w:val="center"/>
              <w:rPr>
                <w:rFonts w:ascii="宋体" w:hAnsi="宋体" w:cs="Arial"/>
                <w:b/>
                <w:color w:val="auto"/>
                <w:kern w:val="0"/>
                <w:szCs w:val="21"/>
                <w:highlight w:val="none"/>
              </w:rPr>
            </w:pPr>
            <w:r>
              <w:rPr>
                <w:rFonts w:ascii="宋体" w:hAnsi="宋体" w:cs="Arial"/>
                <w:b/>
                <w:color w:val="auto"/>
                <w:kern w:val="0"/>
                <w:szCs w:val="21"/>
                <w:highlight w:val="none"/>
              </w:rPr>
              <w:t>评分标准说明</w:t>
            </w:r>
          </w:p>
        </w:tc>
        <w:tc>
          <w:tcPr>
            <w:tcW w:w="831" w:type="dxa"/>
            <w:noWrap w:val="0"/>
            <w:vAlign w:val="center"/>
          </w:tcPr>
          <w:p w14:paraId="6D7C34BF">
            <w:pPr>
              <w:widowControl/>
              <w:spacing w:line="400" w:lineRule="exact"/>
              <w:jc w:val="center"/>
              <w:rPr>
                <w:rFonts w:ascii="宋体" w:hAnsi="宋体" w:cs="Arial"/>
                <w:b/>
                <w:color w:val="auto"/>
                <w:kern w:val="0"/>
                <w:szCs w:val="21"/>
                <w:highlight w:val="none"/>
              </w:rPr>
            </w:pPr>
            <w:r>
              <w:rPr>
                <w:rFonts w:ascii="宋体" w:hAnsi="宋体" w:cs="Arial"/>
                <w:b/>
                <w:color w:val="auto"/>
                <w:kern w:val="0"/>
                <w:szCs w:val="21"/>
                <w:highlight w:val="none"/>
              </w:rPr>
              <w:t>分值</w:t>
            </w:r>
            <w:r>
              <w:rPr>
                <w:rFonts w:hint="eastAsia" w:ascii="宋体" w:hAnsi="宋体" w:cs="Arial"/>
                <w:b/>
                <w:color w:val="auto"/>
                <w:kern w:val="0"/>
                <w:szCs w:val="21"/>
                <w:highlight w:val="none"/>
              </w:rPr>
              <w:t>（分）</w:t>
            </w:r>
          </w:p>
        </w:tc>
      </w:tr>
      <w:tr w14:paraId="2F90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726" w:type="dxa"/>
            <w:vMerge w:val="restart"/>
            <w:noWrap w:val="0"/>
            <w:vAlign w:val="center"/>
          </w:tcPr>
          <w:p w14:paraId="74F9C20D">
            <w:pPr>
              <w:spacing w:line="400" w:lineRule="exact"/>
              <w:jc w:val="center"/>
              <w:rPr>
                <w:rFonts w:ascii="宋体" w:hAnsi="宋体" w:cs="Arial"/>
                <w:b/>
                <w:color w:val="auto"/>
                <w:kern w:val="0"/>
                <w:szCs w:val="21"/>
                <w:highlight w:val="none"/>
              </w:rPr>
            </w:pPr>
            <w:r>
              <w:rPr>
                <w:rFonts w:hint="eastAsia" w:ascii="宋体" w:hAnsi="宋体" w:cs="Arial"/>
                <w:b/>
                <w:color w:val="auto"/>
                <w:kern w:val="0"/>
                <w:szCs w:val="21"/>
                <w:highlight w:val="none"/>
              </w:rPr>
              <w:t>商务技术得分</w:t>
            </w:r>
          </w:p>
          <w:p w14:paraId="04D11A7F">
            <w:pPr>
              <w:spacing w:line="400" w:lineRule="exact"/>
              <w:jc w:val="center"/>
              <w:rPr>
                <w:rFonts w:ascii="宋体" w:hAnsi="宋体" w:cs="Arial"/>
                <w:b/>
                <w:color w:val="auto"/>
                <w:kern w:val="0"/>
                <w:szCs w:val="21"/>
                <w:highlight w:val="none"/>
              </w:rPr>
            </w:pPr>
            <w:r>
              <w:rPr>
                <w:rFonts w:hint="eastAsia" w:ascii="宋体" w:hAnsi="宋体" w:cs="Arial"/>
                <w:b/>
                <w:color w:val="auto"/>
                <w:kern w:val="0"/>
                <w:szCs w:val="21"/>
                <w:highlight w:val="none"/>
              </w:rPr>
              <w:t>（8</w:t>
            </w:r>
            <w:r>
              <w:rPr>
                <w:rFonts w:hint="eastAsia" w:ascii="宋体" w:hAnsi="宋体" w:cs="Arial"/>
                <w:b/>
                <w:color w:val="auto"/>
                <w:kern w:val="0"/>
                <w:szCs w:val="21"/>
                <w:highlight w:val="none"/>
                <w:lang w:val="en-US" w:eastAsia="zh-CN"/>
              </w:rPr>
              <w:t>0</w:t>
            </w:r>
            <w:r>
              <w:rPr>
                <w:rFonts w:hint="eastAsia" w:ascii="宋体" w:hAnsi="宋体" w:cs="Arial"/>
                <w:b/>
                <w:color w:val="auto"/>
                <w:kern w:val="0"/>
                <w:szCs w:val="21"/>
                <w:highlight w:val="none"/>
              </w:rPr>
              <w:t>分）</w:t>
            </w:r>
          </w:p>
        </w:tc>
        <w:tc>
          <w:tcPr>
            <w:tcW w:w="7037" w:type="dxa"/>
            <w:noWrap w:val="0"/>
            <w:vAlign w:val="center"/>
          </w:tcPr>
          <w:p w14:paraId="79E87782">
            <w:pPr>
              <w:widowControl/>
              <w:rPr>
                <w:rFonts w:ascii="宋体" w:hAnsi="宋体"/>
                <w:color w:val="auto"/>
                <w:highlight w:val="none"/>
              </w:rPr>
            </w:pPr>
            <w:r>
              <w:rPr>
                <w:rFonts w:hint="eastAsia" w:ascii="宋体" w:hAnsi="宋体"/>
                <w:color w:val="auto"/>
                <w:highlight w:val="none"/>
              </w:rPr>
              <w:t>1、2021年</w:t>
            </w:r>
            <w:r>
              <w:rPr>
                <w:rFonts w:ascii="宋体" w:hAnsi="宋体"/>
                <w:color w:val="auto"/>
                <w:highlight w:val="none"/>
              </w:rPr>
              <w:t>7</w:t>
            </w:r>
            <w:r>
              <w:rPr>
                <w:rFonts w:hint="eastAsia" w:ascii="宋体" w:hAnsi="宋体"/>
                <w:color w:val="auto"/>
                <w:highlight w:val="none"/>
              </w:rPr>
              <w:t>月1日以来（以签订合同的日期为准），供应商承接过</w:t>
            </w:r>
            <w:r>
              <w:rPr>
                <w:rFonts w:hint="eastAsia" w:ascii="宋体" w:hAnsi="宋体"/>
                <w:color w:val="auto"/>
                <w:highlight w:val="none"/>
                <w:lang w:eastAsia="zh-CN"/>
              </w:rPr>
              <w:t>政府机关、事业单位、学校（党校）食堂食品原材料配送</w:t>
            </w:r>
            <w:r>
              <w:rPr>
                <w:rFonts w:hint="eastAsia" w:ascii="宋体" w:hAnsi="宋体"/>
                <w:color w:val="auto"/>
                <w:highlight w:val="none"/>
              </w:rPr>
              <w:t>项目业绩</w:t>
            </w:r>
            <w:r>
              <w:rPr>
                <w:rFonts w:hint="eastAsia" w:ascii="宋体" w:hAnsi="宋体"/>
                <w:color w:val="auto"/>
                <w:highlight w:val="none"/>
                <w:lang w:eastAsia="zh-CN"/>
              </w:rPr>
              <w:t>的</w:t>
            </w:r>
            <w:r>
              <w:rPr>
                <w:rFonts w:hint="eastAsia" w:ascii="宋体" w:hAnsi="宋体"/>
                <w:color w:val="auto"/>
                <w:highlight w:val="none"/>
              </w:rPr>
              <w:t>，每提供一个合同得</w:t>
            </w:r>
            <w:r>
              <w:rPr>
                <w:rFonts w:hint="eastAsia" w:ascii="宋体" w:hAnsi="宋体"/>
                <w:color w:val="auto"/>
                <w:highlight w:val="none"/>
                <w:lang w:val="en-US" w:eastAsia="zh-CN"/>
              </w:rPr>
              <w:t>1</w:t>
            </w:r>
            <w:r>
              <w:rPr>
                <w:rFonts w:hint="eastAsia" w:ascii="宋体" w:hAnsi="宋体"/>
                <w:color w:val="auto"/>
                <w:highlight w:val="none"/>
              </w:rPr>
              <w:t>分，本项最高得</w:t>
            </w:r>
            <w:r>
              <w:rPr>
                <w:rFonts w:hint="eastAsia" w:ascii="宋体" w:hAnsi="宋体"/>
                <w:color w:val="auto"/>
                <w:highlight w:val="none"/>
                <w:lang w:val="en-US" w:eastAsia="zh-CN"/>
              </w:rPr>
              <w:t>2</w:t>
            </w:r>
            <w:r>
              <w:rPr>
                <w:rFonts w:hint="eastAsia" w:ascii="宋体" w:hAnsi="宋体"/>
                <w:color w:val="auto"/>
                <w:highlight w:val="none"/>
              </w:rPr>
              <w:t>分。</w:t>
            </w:r>
          </w:p>
          <w:p w14:paraId="16088217">
            <w:pPr>
              <w:widowControl/>
              <w:rPr>
                <w:rFonts w:ascii="宋体" w:hAnsi="宋体"/>
                <w:color w:val="auto"/>
                <w:highlight w:val="none"/>
              </w:rPr>
            </w:pPr>
            <w:r>
              <w:rPr>
                <w:rFonts w:hint="eastAsia" w:ascii="宋体" w:hAnsi="宋体"/>
                <w:color w:val="auto"/>
                <w:highlight w:val="none"/>
              </w:rPr>
              <w:t>投标文件中须提供合同原件扫描件或复印件加盖公章。</w:t>
            </w:r>
          </w:p>
        </w:tc>
        <w:tc>
          <w:tcPr>
            <w:tcW w:w="831" w:type="dxa"/>
            <w:noWrap w:val="0"/>
            <w:vAlign w:val="center"/>
          </w:tcPr>
          <w:p w14:paraId="2DCC1281">
            <w:pPr>
              <w:spacing w:line="4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w:t>
            </w:r>
          </w:p>
        </w:tc>
      </w:tr>
      <w:tr w14:paraId="109C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26" w:type="dxa"/>
            <w:vMerge w:val="continue"/>
            <w:noWrap w:val="0"/>
            <w:vAlign w:val="center"/>
          </w:tcPr>
          <w:p w14:paraId="4D3A8F7A">
            <w:pPr>
              <w:spacing w:line="400" w:lineRule="exact"/>
              <w:jc w:val="center"/>
              <w:rPr>
                <w:rFonts w:ascii="宋体" w:hAnsi="宋体" w:cs="Arial"/>
                <w:color w:val="auto"/>
                <w:kern w:val="0"/>
                <w:szCs w:val="21"/>
                <w:highlight w:val="none"/>
              </w:rPr>
            </w:pPr>
          </w:p>
        </w:tc>
        <w:tc>
          <w:tcPr>
            <w:tcW w:w="7037" w:type="dxa"/>
            <w:noWrap w:val="0"/>
            <w:vAlign w:val="center"/>
          </w:tcPr>
          <w:p w14:paraId="7284FD07">
            <w:pPr>
              <w:widowControl/>
              <w:rPr>
                <w:rFonts w:ascii="宋体" w:hAnsi="宋体"/>
                <w:color w:val="auto"/>
                <w:highlight w:val="none"/>
              </w:rPr>
            </w:pPr>
            <w:r>
              <w:rPr>
                <w:rFonts w:hint="eastAsia" w:ascii="宋体" w:hAnsi="宋体"/>
                <w:color w:val="auto"/>
                <w:highlight w:val="none"/>
              </w:rPr>
              <w:t>2、供应商具有有效的质量管理体系、职业健康安全管理体系、</w:t>
            </w:r>
            <w:r>
              <w:rPr>
                <w:rFonts w:hint="eastAsia" w:ascii="宋体" w:hAnsi="宋体" w:cs="宋体"/>
                <w:color w:val="auto"/>
                <w:szCs w:val="21"/>
                <w:highlight w:val="none"/>
              </w:rPr>
              <w:t>食品安全管理体系认证、危害分析与关键控制点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HAPPC</w:t>
            </w:r>
            <w:r>
              <w:rPr>
                <w:rFonts w:hint="eastAsia" w:ascii="宋体" w:hAnsi="宋体" w:cs="宋体"/>
                <w:color w:val="auto"/>
                <w:szCs w:val="21"/>
                <w:highlight w:val="none"/>
                <w:lang w:eastAsia="zh-CN"/>
              </w:rPr>
              <w:t>）</w:t>
            </w:r>
            <w:r>
              <w:rPr>
                <w:rFonts w:hint="eastAsia" w:ascii="宋体" w:hAnsi="宋体" w:cs="宋体"/>
                <w:color w:val="auto"/>
                <w:szCs w:val="21"/>
                <w:highlight w:val="none"/>
              </w:rPr>
              <w:t>认证，每提供1个得1分</w:t>
            </w:r>
            <w:r>
              <w:rPr>
                <w:rFonts w:hint="eastAsia" w:ascii="宋体" w:hAnsi="宋体" w:cs="宋体"/>
                <w:color w:val="auto"/>
                <w:szCs w:val="21"/>
                <w:highlight w:val="none"/>
                <w:lang w:eastAsia="zh-CN"/>
              </w:rPr>
              <w:t>，</w:t>
            </w:r>
            <w:r>
              <w:rPr>
                <w:rFonts w:hint="eastAsia" w:ascii="宋体" w:hAnsi="宋体"/>
                <w:color w:val="auto"/>
                <w:highlight w:val="none"/>
              </w:rPr>
              <w:t>满分</w:t>
            </w:r>
            <w:r>
              <w:rPr>
                <w:rFonts w:hint="eastAsia" w:ascii="宋体" w:hAnsi="宋体"/>
                <w:color w:val="auto"/>
                <w:highlight w:val="none"/>
                <w:lang w:val="en-US" w:eastAsia="zh-CN"/>
              </w:rPr>
              <w:t>4</w:t>
            </w:r>
            <w:r>
              <w:rPr>
                <w:rFonts w:hint="eastAsia" w:ascii="宋体" w:hAnsi="宋体"/>
                <w:color w:val="auto"/>
                <w:highlight w:val="none"/>
              </w:rPr>
              <w:t>分。</w:t>
            </w:r>
          </w:p>
          <w:p w14:paraId="004FD87A">
            <w:pPr>
              <w:rPr>
                <w:rFonts w:ascii="宋体" w:hAnsi="宋体"/>
                <w:color w:val="auto"/>
                <w:highlight w:val="none"/>
              </w:rPr>
            </w:pPr>
            <w:r>
              <w:rPr>
                <w:rFonts w:hint="eastAsia" w:ascii="宋体" w:hAnsi="宋体"/>
                <w:color w:val="auto"/>
                <w:highlight w:val="none"/>
              </w:rPr>
              <w:t>（投标文件中提供证书原件扫描件加盖公章，且以上认证必须在开标当天经“全国认证认可信息公共服务平台http://cx.cnca.cn/”查询证书状态为“有效”）。</w:t>
            </w:r>
          </w:p>
        </w:tc>
        <w:tc>
          <w:tcPr>
            <w:tcW w:w="831" w:type="dxa"/>
            <w:noWrap w:val="0"/>
            <w:vAlign w:val="center"/>
          </w:tcPr>
          <w:p w14:paraId="323172DB">
            <w:pPr>
              <w:spacing w:line="40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4</w:t>
            </w:r>
          </w:p>
        </w:tc>
      </w:tr>
      <w:tr w14:paraId="31A7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726" w:type="dxa"/>
            <w:vMerge w:val="continue"/>
            <w:noWrap w:val="0"/>
            <w:vAlign w:val="center"/>
          </w:tcPr>
          <w:p w14:paraId="2A798311">
            <w:pPr>
              <w:spacing w:line="400" w:lineRule="exact"/>
              <w:jc w:val="center"/>
              <w:rPr>
                <w:rFonts w:ascii="宋体" w:hAnsi="宋体" w:cs="Arial"/>
                <w:color w:val="auto"/>
                <w:kern w:val="0"/>
                <w:szCs w:val="21"/>
                <w:highlight w:val="none"/>
              </w:rPr>
            </w:pPr>
          </w:p>
        </w:tc>
        <w:tc>
          <w:tcPr>
            <w:tcW w:w="7037" w:type="dxa"/>
            <w:noWrap w:val="0"/>
            <w:vAlign w:val="center"/>
          </w:tcPr>
          <w:p w14:paraId="7E53EE09">
            <w:pPr>
              <w:autoSpaceDE w:val="0"/>
              <w:autoSpaceDN w:val="0"/>
              <w:spacing w:line="320" w:lineRule="exact"/>
              <w:rPr>
                <w:rFonts w:hint="eastAsia" w:ascii="宋体" w:hAnsi="宋体" w:eastAsia="宋体" w:cs="宋体"/>
                <w:color w:val="auto"/>
                <w:spacing w:val="-6"/>
                <w:szCs w:val="21"/>
                <w:highlight w:val="none"/>
                <w:lang w:eastAsia="zh-CN"/>
              </w:rPr>
            </w:pPr>
            <w:r>
              <w:rPr>
                <w:rFonts w:hint="eastAsia" w:ascii="宋体" w:hAnsi="宋体" w:cs="宋体"/>
                <w:color w:val="auto"/>
                <w:spacing w:val="-6"/>
                <w:szCs w:val="21"/>
                <w:highlight w:val="none"/>
                <w:lang w:val="en-US" w:eastAsia="zh-CN"/>
              </w:rPr>
              <w:t>3、</w:t>
            </w:r>
            <w:r>
              <w:rPr>
                <w:rFonts w:hint="eastAsia" w:ascii="宋体" w:hAnsi="宋体" w:cs="宋体"/>
                <w:color w:val="auto"/>
                <w:spacing w:val="-6"/>
                <w:szCs w:val="21"/>
                <w:highlight w:val="none"/>
                <w:lang w:eastAsia="zh-CN"/>
              </w:rPr>
              <w:t>冷库设备：</w:t>
            </w:r>
          </w:p>
          <w:p w14:paraId="18ABD8D3">
            <w:pPr>
              <w:autoSpaceDE w:val="0"/>
              <w:autoSpaceDN w:val="0"/>
              <w:spacing w:line="320" w:lineRule="exac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pacing w:val="-6"/>
                <w:szCs w:val="21"/>
                <w:highlight w:val="none"/>
              </w:rPr>
              <w:t>投标人在服务范围内的经营场所里有冷藏库、冷冻库的各得</w:t>
            </w:r>
            <w:r>
              <w:rPr>
                <w:rFonts w:hint="eastAsia" w:ascii="宋体" w:hAnsi="宋体" w:cs="宋体"/>
                <w:color w:val="auto"/>
                <w:spacing w:val="-6"/>
                <w:szCs w:val="21"/>
                <w:highlight w:val="none"/>
                <w:lang w:val="en-US" w:eastAsia="zh-CN"/>
              </w:rPr>
              <w:t>4</w:t>
            </w:r>
            <w:r>
              <w:rPr>
                <w:rFonts w:hint="eastAsia" w:ascii="宋体" w:hAnsi="宋体" w:cs="宋体"/>
                <w:color w:val="auto"/>
                <w:spacing w:val="-6"/>
                <w:szCs w:val="21"/>
                <w:highlight w:val="none"/>
              </w:rPr>
              <w:t>分,冷藏库、冷冻库安装有温湿度记录设施并能联网监控的得</w:t>
            </w:r>
            <w:r>
              <w:rPr>
                <w:rFonts w:hint="eastAsia" w:ascii="宋体" w:hAnsi="宋体" w:cs="宋体"/>
                <w:color w:val="auto"/>
                <w:spacing w:val="-6"/>
                <w:szCs w:val="21"/>
                <w:highlight w:val="none"/>
                <w:lang w:val="en-US" w:eastAsia="zh-CN"/>
              </w:rPr>
              <w:t>4</w:t>
            </w:r>
            <w:r>
              <w:rPr>
                <w:rFonts w:hint="eastAsia" w:ascii="宋体" w:hAnsi="宋体" w:cs="宋体"/>
                <w:color w:val="auto"/>
                <w:spacing w:val="-6"/>
                <w:szCs w:val="21"/>
                <w:highlight w:val="none"/>
              </w:rPr>
              <w:t>分，满分</w:t>
            </w:r>
            <w:r>
              <w:rPr>
                <w:rFonts w:hint="eastAsia" w:ascii="宋体" w:hAnsi="宋体" w:cs="宋体"/>
                <w:color w:val="auto"/>
                <w:spacing w:val="-6"/>
                <w:szCs w:val="21"/>
                <w:highlight w:val="none"/>
                <w:lang w:val="en-US" w:eastAsia="zh-CN"/>
              </w:rPr>
              <w:t>12</w:t>
            </w:r>
            <w:r>
              <w:rPr>
                <w:rFonts w:hint="eastAsia" w:ascii="宋体" w:hAnsi="宋体" w:cs="宋体"/>
                <w:color w:val="auto"/>
                <w:spacing w:val="-6"/>
                <w:szCs w:val="21"/>
                <w:highlight w:val="none"/>
              </w:rPr>
              <w:t>分。冷库和经营场所不在同一地址的，该项不得分。（投标文件中同时提供平面图、实景照片、温湿度记录设施和监控平台照片，冷藏库购买合同及发票</w:t>
            </w:r>
            <w:r>
              <w:rPr>
                <w:rFonts w:hint="eastAsia" w:ascii="宋体" w:hAnsi="宋体" w:cs="宋体"/>
                <w:color w:val="auto"/>
                <w:spacing w:val="-6"/>
                <w:szCs w:val="21"/>
                <w:highlight w:val="none"/>
                <w:lang w:eastAsia="zh-CN"/>
              </w:rPr>
              <w:t>（或租赁合同及租赁发票）</w:t>
            </w:r>
            <w:r>
              <w:rPr>
                <w:rFonts w:hint="eastAsia" w:ascii="宋体" w:hAnsi="宋体" w:cs="宋体"/>
                <w:color w:val="auto"/>
                <w:spacing w:val="-6"/>
                <w:szCs w:val="21"/>
                <w:highlight w:val="none"/>
              </w:rPr>
              <w:t>复印件加盖公章）</w:t>
            </w:r>
          </w:p>
        </w:tc>
        <w:tc>
          <w:tcPr>
            <w:tcW w:w="831" w:type="dxa"/>
            <w:noWrap w:val="0"/>
            <w:vAlign w:val="center"/>
          </w:tcPr>
          <w:p w14:paraId="780CF196">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12</w:t>
            </w:r>
          </w:p>
        </w:tc>
      </w:tr>
      <w:tr w14:paraId="053B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726" w:type="dxa"/>
            <w:vMerge w:val="continue"/>
            <w:noWrap w:val="0"/>
            <w:vAlign w:val="center"/>
          </w:tcPr>
          <w:p w14:paraId="20AD12F2">
            <w:pPr>
              <w:spacing w:line="400" w:lineRule="exact"/>
              <w:jc w:val="center"/>
              <w:rPr>
                <w:rFonts w:ascii="宋体" w:hAnsi="宋体" w:cs="Arial"/>
                <w:color w:val="auto"/>
                <w:kern w:val="0"/>
                <w:szCs w:val="21"/>
                <w:highlight w:val="none"/>
              </w:rPr>
            </w:pPr>
          </w:p>
        </w:tc>
        <w:tc>
          <w:tcPr>
            <w:tcW w:w="7037" w:type="dxa"/>
            <w:noWrap w:val="0"/>
            <w:vAlign w:val="center"/>
          </w:tcPr>
          <w:p w14:paraId="5EDD1056">
            <w:pPr>
              <w:widowControl/>
              <w:rPr>
                <w:rFonts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w:t>
            </w:r>
            <w:r>
              <w:rPr>
                <w:rFonts w:hint="eastAsia" w:ascii="宋体" w:hAnsi="宋体"/>
                <w:color w:val="auto"/>
                <w:highlight w:val="none"/>
                <w:lang w:eastAsia="zh-CN"/>
              </w:rPr>
              <w:t>配送能力</w:t>
            </w:r>
            <w:r>
              <w:rPr>
                <w:rFonts w:hint="eastAsia" w:ascii="宋体" w:hAnsi="宋体"/>
                <w:color w:val="auto"/>
                <w:highlight w:val="none"/>
              </w:rPr>
              <w:t>：</w:t>
            </w:r>
          </w:p>
          <w:p w14:paraId="00780E1C">
            <w:pPr>
              <w:widowControl/>
              <w:rPr>
                <w:rFonts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rPr>
              <w:t>投标人自有专用配送车辆（不包括轿车、SUV、非机动车）且车辆配置运送轨迹监控设施（定位系统），每辆1分，满分</w:t>
            </w:r>
            <w:r>
              <w:rPr>
                <w:rFonts w:hint="eastAsia" w:ascii="宋体" w:hAnsi="宋体"/>
                <w:color w:val="auto"/>
                <w:highlight w:val="none"/>
                <w:lang w:val="en-US" w:eastAsia="zh-CN"/>
              </w:rPr>
              <w:t>4</w:t>
            </w:r>
            <w:r>
              <w:rPr>
                <w:rFonts w:hint="eastAsia" w:ascii="宋体" w:hAnsi="宋体"/>
                <w:color w:val="auto"/>
                <w:highlight w:val="none"/>
              </w:rPr>
              <w:t>分 。</w:t>
            </w:r>
          </w:p>
          <w:p w14:paraId="2027E7DE">
            <w:pPr>
              <w:widowControl/>
              <w:rPr>
                <w:rFonts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投标人自有冷链运输车的，且车辆配置运送轨迹（定位系统）及温湿度监控设施的每辆</w:t>
            </w:r>
            <w:r>
              <w:rPr>
                <w:rFonts w:hint="eastAsia" w:ascii="宋体" w:hAnsi="宋体"/>
                <w:color w:val="auto"/>
                <w:highlight w:val="none"/>
                <w:lang w:val="en-US" w:eastAsia="zh-CN"/>
              </w:rPr>
              <w:t>2</w:t>
            </w:r>
            <w:r>
              <w:rPr>
                <w:rFonts w:hint="eastAsia" w:ascii="宋体" w:hAnsi="宋体"/>
                <w:color w:val="auto"/>
                <w:highlight w:val="none"/>
              </w:rPr>
              <w:t>分，满分</w:t>
            </w:r>
            <w:r>
              <w:rPr>
                <w:rFonts w:hint="eastAsia" w:ascii="宋体" w:hAnsi="宋体"/>
                <w:color w:val="auto"/>
                <w:highlight w:val="none"/>
                <w:lang w:val="en-US" w:eastAsia="zh-CN"/>
              </w:rPr>
              <w:t>4</w:t>
            </w:r>
            <w:r>
              <w:rPr>
                <w:rFonts w:hint="eastAsia" w:ascii="宋体" w:hAnsi="宋体"/>
                <w:color w:val="auto"/>
                <w:highlight w:val="none"/>
              </w:rPr>
              <w:t>分 。</w:t>
            </w:r>
          </w:p>
          <w:p w14:paraId="07481D59">
            <w:pPr>
              <w:autoSpaceDE w:val="0"/>
              <w:autoSpaceDN w:val="0"/>
              <w:spacing w:line="320" w:lineRule="exact"/>
              <w:rPr>
                <w:rFonts w:hint="eastAsia" w:ascii="宋体" w:hAnsi="宋体" w:cs="宋体"/>
                <w:color w:val="auto"/>
                <w:spacing w:val="-6"/>
                <w:szCs w:val="21"/>
                <w:highlight w:val="none"/>
              </w:rPr>
            </w:pPr>
            <w:r>
              <w:rPr>
                <w:rFonts w:hint="eastAsia" w:ascii="宋体" w:hAnsi="宋体"/>
                <w:color w:val="auto"/>
                <w:highlight w:val="none"/>
              </w:rPr>
              <w:t>（投标文件中提供车辆照片、行驶证、车辆配送轨迹及冷链车温湿度监控设施照片，租赁的另行提供租赁合同及租赁发票复印件加盖投标人公章，未提供的不得分；</w:t>
            </w:r>
          </w:p>
        </w:tc>
        <w:tc>
          <w:tcPr>
            <w:tcW w:w="831" w:type="dxa"/>
            <w:noWrap w:val="0"/>
            <w:vAlign w:val="center"/>
          </w:tcPr>
          <w:p w14:paraId="3C24F18F">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8</w:t>
            </w:r>
          </w:p>
        </w:tc>
      </w:tr>
      <w:tr w14:paraId="4761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726" w:type="dxa"/>
            <w:vMerge w:val="continue"/>
            <w:noWrap w:val="0"/>
            <w:vAlign w:val="center"/>
          </w:tcPr>
          <w:p w14:paraId="0B1773F3">
            <w:pPr>
              <w:spacing w:line="400" w:lineRule="exact"/>
              <w:jc w:val="center"/>
              <w:rPr>
                <w:rFonts w:ascii="宋体" w:hAnsi="宋体" w:cs="Arial"/>
                <w:color w:val="auto"/>
                <w:kern w:val="0"/>
                <w:szCs w:val="21"/>
                <w:highlight w:val="none"/>
              </w:rPr>
            </w:pPr>
          </w:p>
        </w:tc>
        <w:tc>
          <w:tcPr>
            <w:tcW w:w="7037" w:type="dxa"/>
            <w:noWrap w:val="0"/>
            <w:vAlign w:val="center"/>
          </w:tcPr>
          <w:p w14:paraId="651EAAB5">
            <w:pPr>
              <w:rPr>
                <w:rFonts w:hint="eastAsia" w:ascii="Arial" w:hAnsi="Arial" w:cs="Arial"/>
                <w:color w:val="auto"/>
                <w:highlight w:val="none"/>
              </w:rPr>
            </w:pPr>
            <w:r>
              <w:rPr>
                <w:rFonts w:hint="eastAsia" w:ascii="Arial" w:hAnsi="Arial" w:cs="Arial"/>
                <w:color w:val="auto"/>
                <w:highlight w:val="none"/>
                <w:lang w:val="en-US" w:eastAsia="zh-CN"/>
              </w:rPr>
              <w:t>5</w:t>
            </w:r>
            <w:r>
              <w:rPr>
                <w:rFonts w:hint="eastAsia" w:ascii="Arial" w:hAnsi="Arial" w:cs="Arial"/>
                <w:color w:val="auto"/>
                <w:highlight w:val="none"/>
              </w:rPr>
              <w:t>、</w:t>
            </w:r>
            <w:r>
              <w:rPr>
                <w:rFonts w:ascii="Arial" w:hAnsi="Arial" w:cs="Arial"/>
                <w:color w:val="auto"/>
                <w:highlight w:val="none"/>
              </w:rPr>
              <w:t>食品安全保障</w:t>
            </w:r>
            <w:r>
              <w:rPr>
                <w:rFonts w:hint="eastAsia" w:ascii="Arial" w:hAnsi="Arial" w:cs="Arial"/>
                <w:color w:val="auto"/>
                <w:highlight w:val="none"/>
              </w:rPr>
              <w:t>能力：</w:t>
            </w:r>
          </w:p>
          <w:p w14:paraId="21305F27">
            <w:pPr>
              <w:rPr>
                <w:rFonts w:hint="eastAsia" w:ascii="Arial" w:hAnsi="Arial" w:cs="Arial"/>
                <w:color w:val="auto"/>
                <w:highlight w:val="none"/>
                <w:lang w:eastAsia="zh-CN"/>
              </w:rPr>
            </w:pPr>
            <w:r>
              <w:rPr>
                <w:rFonts w:hint="eastAsia" w:ascii="Arial" w:hAnsi="Arial" w:cs="Arial"/>
                <w:color w:val="auto"/>
                <w:szCs w:val="21"/>
                <w:highlight w:val="none"/>
              </w:rPr>
              <w:t>投标人</w:t>
            </w:r>
            <w:r>
              <w:rPr>
                <w:rFonts w:hint="eastAsia" w:ascii="Arial" w:hAnsi="Arial" w:cs="Arial"/>
                <w:color w:val="auto"/>
                <w:highlight w:val="none"/>
              </w:rPr>
              <w:t>投保食品安全责任险的且保险当中“累计赔偿限额”合计在</w:t>
            </w:r>
            <w:r>
              <w:rPr>
                <w:rFonts w:hint="eastAsia" w:ascii="Arial" w:hAnsi="Arial" w:cs="Arial"/>
                <w:color w:val="auto"/>
                <w:highlight w:val="none"/>
                <w:lang w:val="en-US" w:eastAsia="zh-CN"/>
              </w:rPr>
              <w:t>2</w:t>
            </w:r>
            <w:r>
              <w:rPr>
                <w:rFonts w:hint="eastAsia" w:ascii="Arial" w:hAnsi="Arial" w:cs="Arial"/>
                <w:color w:val="auto"/>
                <w:highlight w:val="none"/>
              </w:rPr>
              <w:t>000万元（含）以上的得</w:t>
            </w:r>
            <w:r>
              <w:rPr>
                <w:rFonts w:hint="eastAsia" w:ascii="Arial" w:hAnsi="Arial" w:cs="Arial"/>
                <w:color w:val="auto"/>
                <w:highlight w:val="none"/>
                <w:lang w:val="en-US" w:eastAsia="zh-CN"/>
              </w:rPr>
              <w:t>5</w:t>
            </w:r>
            <w:r>
              <w:rPr>
                <w:rFonts w:hint="eastAsia" w:ascii="Arial" w:hAnsi="Arial" w:cs="Arial"/>
                <w:color w:val="auto"/>
                <w:highlight w:val="none"/>
              </w:rPr>
              <w:t>分，“累计赔偿限额”合计在1000万元（含）以上的得</w:t>
            </w:r>
            <w:r>
              <w:rPr>
                <w:rFonts w:hint="eastAsia" w:ascii="Arial" w:hAnsi="Arial" w:cs="Arial"/>
                <w:color w:val="auto"/>
                <w:highlight w:val="none"/>
                <w:lang w:val="en-US" w:eastAsia="zh-CN"/>
              </w:rPr>
              <w:t>3</w:t>
            </w:r>
            <w:r>
              <w:rPr>
                <w:rFonts w:hint="eastAsia" w:ascii="Arial" w:hAnsi="Arial" w:cs="Arial"/>
                <w:color w:val="auto"/>
                <w:highlight w:val="none"/>
              </w:rPr>
              <w:t>分，否则不得分</w:t>
            </w:r>
            <w:r>
              <w:rPr>
                <w:rFonts w:hint="eastAsia" w:ascii="Arial" w:hAnsi="Arial" w:cs="Arial"/>
                <w:color w:val="auto"/>
                <w:highlight w:val="none"/>
                <w:lang w:eastAsia="zh-CN"/>
              </w:rPr>
              <w:t>。</w:t>
            </w:r>
          </w:p>
          <w:p w14:paraId="13761615">
            <w:pPr>
              <w:rPr>
                <w:rFonts w:hint="eastAsia" w:ascii="宋体" w:hAnsi="宋体" w:eastAsia="宋体" w:cs="宋体"/>
                <w:b w:val="0"/>
                <w:bCs w:val="0"/>
                <w:color w:val="auto"/>
                <w:sz w:val="21"/>
                <w:szCs w:val="21"/>
                <w:highlight w:val="none"/>
              </w:rPr>
            </w:pPr>
            <w:r>
              <w:rPr>
                <w:rFonts w:hint="eastAsia" w:ascii="Arial" w:hAnsi="Arial" w:cs="Arial"/>
                <w:color w:val="auto"/>
                <w:highlight w:val="none"/>
                <w:lang w:eastAsia="zh-CN"/>
              </w:rPr>
              <w:t>（投标文件中</w:t>
            </w:r>
            <w:r>
              <w:rPr>
                <w:rFonts w:hint="eastAsia" w:ascii="Arial" w:hAnsi="Arial" w:cs="Arial"/>
                <w:color w:val="auto"/>
                <w:highlight w:val="none"/>
              </w:rPr>
              <w:t>提供有效的保单复印件</w:t>
            </w:r>
            <w:r>
              <w:rPr>
                <w:rFonts w:hint="eastAsia" w:ascii="Arial" w:hAnsi="Arial" w:cs="Arial"/>
                <w:color w:val="auto"/>
                <w:highlight w:val="none"/>
                <w:lang w:eastAsia="zh-CN"/>
              </w:rPr>
              <w:t>加盖公章，未提供的不得分）</w:t>
            </w:r>
          </w:p>
        </w:tc>
        <w:tc>
          <w:tcPr>
            <w:tcW w:w="831" w:type="dxa"/>
            <w:noWrap w:val="0"/>
            <w:vAlign w:val="center"/>
          </w:tcPr>
          <w:p w14:paraId="222E921A">
            <w:pPr>
              <w:jc w:val="center"/>
              <w:rPr>
                <w:rFonts w:hint="default" w:ascii="宋体" w:hAnsi="宋体"/>
                <w:color w:val="auto"/>
                <w:highlight w:val="none"/>
                <w:lang w:val="en-US" w:eastAsia="zh-CN"/>
              </w:rPr>
            </w:pPr>
            <w:r>
              <w:rPr>
                <w:rFonts w:hint="eastAsia" w:ascii="宋体" w:hAnsi="宋体"/>
                <w:color w:val="auto"/>
                <w:highlight w:val="none"/>
                <w:lang w:val="en-US" w:eastAsia="zh-CN"/>
              </w:rPr>
              <w:t>5</w:t>
            </w:r>
          </w:p>
        </w:tc>
      </w:tr>
      <w:tr w14:paraId="2980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726" w:type="dxa"/>
            <w:vMerge w:val="continue"/>
            <w:noWrap w:val="0"/>
            <w:vAlign w:val="center"/>
          </w:tcPr>
          <w:p w14:paraId="463CF767">
            <w:pPr>
              <w:spacing w:line="400" w:lineRule="exact"/>
              <w:jc w:val="center"/>
              <w:rPr>
                <w:rFonts w:ascii="宋体" w:hAnsi="宋体" w:cs="Arial"/>
                <w:color w:val="auto"/>
                <w:kern w:val="0"/>
                <w:szCs w:val="21"/>
                <w:highlight w:val="none"/>
              </w:rPr>
            </w:pPr>
          </w:p>
        </w:tc>
        <w:tc>
          <w:tcPr>
            <w:tcW w:w="7037" w:type="dxa"/>
            <w:noWrap w:val="0"/>
            <w:vAlign w:val="center"/>
          </w:tcPr>
          <w:p w14:paraId="136783C3">
            <w:pPr>
              <w:autoSpaceDE w:val="0"/>
              <w:autoSpaceDN w:val="0"/>
              <w:spacing w:line="320" w:lineRule="exact"/>
              <w:rPr>
                <w:rFonts w:hint="eastAsia"/>
                <w:color w:val="auto"/>
                <w:highlight w:val="none"/>
                <w:lang w:val="en-US" w:eastAsia="zh-CN"/>
              </w:rPr>
            </w:pPr>
            <w:r>
              <w:rPr>
                <w:rFonts w:hint="eastAsia"/>
                <w:color w:val="auto"/>
                <w:highlight w:val="none"/>
                <w:lang w:val="en-US" w:eastAsia="zh-CN"/>
              </w:rPr>
              <w:t>6、质量把控：</w:t>
            </w:r>
          </w:p>
          <w:p w14:paraId="71694F2D">
            <w:pPr>
              <w:autoSpaceDE w:val="0"/>
              <w:autoSpaceDN w:val="0"/>
              <w:spacing w:line="320" w:lineRule="exact"/>
              <w:rPr>
                <w:rFonts w:hint="eastAsia"/>
                <w:color w:val="auto"/>
                <w:highlight w:val="none"/>
              </w:rPr>
            </w:pPr>
            <w:r>
              <w:rPr>
                <w:rFonts w:hint="eastAsia"/>
                <w:color w:val="auto"/>
                <w:highlight w:val="none"/>
                <w:lang w:val="en-US" w:eastAsia="zh-CN"/>
              </w:rPr>
              <w:t>（1）</w:t>
            </w:r>
            <w:r>
              <w:rPr>
                <w:rFonts w:hint="eastAsia"/>
                <w:color w:val="auto"/>
                <w:highlight w:val="none"/>
              </w:rPr>
              <w:t>评委根据投标人提供的针对本项目质量控制措施的科学性、合理性、可行性进行综合评议：</w:t>
            </w:r>
          </w:p>
          <w:p w14:paraId="6AEC19F3">
            <w:pPr>
              <w:autoSpaceDE w:val="0"/>
              <w:autoSpaceDN w:val="0"/>
              <w:spacing w:line="320" w:lineRule="exact"/>
              <w:rPr>
                <w:rFonts w:hint="eastAsia"/>
                <w:color w:val="auto"/>
                <w:highlight w:val="none"/>
                <w:lang w:eastAsia="zh-CN"/>
              </w:rPr>
            </w:pPr>
            <w:r>
              <w:rPr>
                <w:rFonts w:hint="eastAsia"/>
                <w:color w:val="auto"/>
                <w:highlight w:val="none"/>
                <w:lang w:eastAsia="zh-CN"/>
              </w:rPr>
              <w:t>质量控制措施科学、合理、可行的得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p>
          <w:p w14:paraId="369A47D7">
            <w:pPr>
              <w:autoSpaceDE w:val="0"/>
              <w:autoSpaceDN w:val="0"/>
              <w:spacing w:line="320" w:lineRule="exact"/>
              <w:rPr>
                <w:rFonts w:hint="eastAsia"/>
                <w:color w:val="auto"/>
                <w:highlight w:val="none"/>
                <w:lang w:eastAsia="zh-CN"/>
              </w:rPr>
            </w:pPr>
            <w:r>
              <w:rPr>
                <w:rFonts w:hint="eastAsia"/>
                <w:color w:val="auto"/>
                <w:highlight w:val="none"/>
                <w:lang w:eastAsia="zh-CN"/>
              </w:rPr>
              <w:t>质量控制措施较科学、较合理、较可行的得</w:t>
            </w:r>
            <w:r>
              <w:rPr>
                <w:rFonts w:hint="eastAsia"/>
                <w:color w:val="auto"/>
                <w:highlight w:val="none"/>
                <w:lang w:val="en-US" w:eastAsia="zh-CN"/>
              </w:rPr>
              <w:t>2</w:t>
            </w:r>
            <w:r>
              <w:rPr>
                <w:rFonts w:hint="eastAsia"/>
                <w:color w:val="auto"/>
                <w:highlight w:val="none"/>
              </w:rPr>
              <w:t>分</w:t>
            </w:r>
            <w:r>
              <w:rPr>
                <w:rFonts w:hint="eastAsia"/>
                <w:color w:val="auto"/>
                <w:highlight w:val="none"/>
                <w:lang w:eastAsia="zh-CN"/>
              </w:rPr>
              <w:t>；</w:t>
            </w:r>
          </w:p>
          <w:p w14:paraId="61BDA1E8">
            <w:pPr>
              <w:autoSpaceDE w:val="0"/>
              <w:autoSpaceDN w:val="0"/>
              <w:spacing w:line="320" w:lineRule="exact"/>
              <w:rPr>
                <w:rFonts w:hint="eastAsia"/>
                <w:color w:val="auto"/>
                <w:highlight w:val="none"/>
                <w:lang w:eastAsia="zh-CN"/>
              </w:rPr>
            </w:pPr>
            <w:r>
              <w:rPr>
                <w:rFonts w:hint="eastAsia"/>
                <w:color w:val="auto"/>
                <w:highlight w:val="none"/>
                <w:lang w:eastAsia="zh-CN"/>
              </w:rPr>
              <w:t>质量控制措施不够科学、不够合理、不够可行的得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p>
          <w:p w14:paraId="6973C20A">
            <w:pPr>
              <w:autoSpaceDE w:val="0"/>
              <w:autoSpaceDN w:val="0"/>
              <w:spacing w:line="320" w:lineRule="exact"/>
              <w:rPr>
                <w:rFonts w:hint="eastAsia" w:eastAsia="宋体"/>
                <w:color w:val="auto"/>
                <w:highlight w:val="none"/>
                <w:lang w:eastAsia="zh-CN"/>
              </w:rPr>
            </w:pPr>
            <w:r>
              <w:rPr>
                <w:rFonts w:hint="eastAsia"/>
                <w:color w:val="auto"/>
                <w:highlight w:val="none"/>
                <w:lang w:eastAsia="zh-CN"/>
              </w:rPr>
              <w:t>未提供的不得分。</w:t>
            </w:r>
          </w:p>
          <w:p w14:paraId="2078415E">
            <w:pPr>
              <w:numPr>
                <w:ilvl w:val="0"/>
                <w:numId w:val="5"/>
              </w:numPr>
              <w:autoSpaceDE w:val="0"/>
              <w:autoSpaceDN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评委根据投标人在服务范围内经营场所内的质检室面积，设备配备，检测设备，检测制度进行综合评议：</w:t>
            </w:r>
          </w:p>
          <w:p w14:paraId="568DDC6D">
            <w:pPr>
              <w:numPr>
                <w:ilvl w:val="0"/>
                <w:numId w:val="0"/>
              </w:numPr>
              <w:autoSpaceDE w:val="0"/>
              <w:autoSpaceDN w:val="0"/>
              <w:spacing w:line="320" w:lineRule="exact"/>
              <w:rPr>
                <w:rFonts w:hint="eastAsia"/>
                <w:color w:val="auto"/>
                <w:highlight w:val="none"/>
                <w:lang w:eastAsia="zh-CN"/>
              </w:rPr>
            </w:pPr>
            <w:r>
              <w:rPr>
                <w:rFonts w:hint="eastAsia"/>
                <w:color w:val="auto"/>
                <w:highlight w:val="none"/>
                <w:lang w:eastAsia="zh-CN"/>
              </w:rPr>
              <w:t>质检室面积完全满足服务，设备配备齐全，检测制度完善的得</w:t>
            </w:r>
            <w:r>
              <w:rPr>
                <w:rFonts w:hint="eastAsia"/>
                <w:color w:val="auto"/>
                <w:highlight w:val="none"/>
                <w:lang w:val="en-US" w:eastAsia="zh-CN"/>
              </w:rPr>
              <w:t>5</w:t>
            </w:r>
            <w:r>
              <w:rPr>
                <w:rFonts w:hint="eastAsia"/>
                <w:color w:val="auto"/>
                <w:highlight w:val="none"/>
              </w:rPr>
              <w:t>分</w:t>
            </w:r>
            <w:r>
              <w:rPr>
                <w:rFonts w:hint="eastAsia"/>
                <w:color w:val="auto"/>
                <w:highlight w:val="none"/>
                <w:lang w:eastAsia="zh-CN"/>
              </w:rPr>
              <w:t>；</w:t>
            </w:r>
          </w:p>
          <w:p w14:paraId="7F6DAAD8">
            <w:pPr>
              <w:numPr>
                <w:ilvl w:val="0"/>
                <w:numId w:val="0"/>
              </w:numPr>
              <w:autoSpaceDE w:val="0"/>
              <w:autoSpaceDN w:val="0"/>
              <w:spacing w:line="320" w:lineRule="exact"/>
              <w:rPr>
                <w:rFonts w:hint="eastAsia"/>
                <w:color w:val="auto"/>
                <w:highlight w:val="none"/>
                <w:lang w:eastAsia="zh-CN"/>
              </w:rPr>
            </w:pPr>
            <w:r>
              <w:rPr>
                <w:rFonts w:hint="eastAsia"/>
                <w:color w:val="auto"/>
                <w:highlight w:val="none"/>
                <w:lang w:eastAsia="zh-CN"/>
              </w:rPr>
              <w:t>质检室面积满足服务，设备配备较齐全，检测制度较完善的</w:t>
            </w:r>
            <w:r>
              <w:rPr>
                <w:rFonts w:hint="eastAsia"/>
                <w:color w:val="auto"/>
                <w:highlight w:val="none"/>
                <w:lang w:val="en-US" w:eastAsia="zh-CN"/>
              </w:rPr>
              <w:t>得3</w:t>
            </w:r>
            <w:r>
              <w:rPr>
                <w:rFonts w:hint="eastAsia"/>
                <w:color w:val="auto"/>
                <w:highlight w:val="none"/>
              </w:rPr>
              <w:t>分</w:t>
            </w:r>
            <w:r>
              <w:rPr>
                <w:rFonts w:hint="eastAsia"/>
                <w:color w:val="auto"/>
                <w:highlight w:val="none"/>
                <w:lang w:eastAsia="zh-CN"/>
              </w:rPr>
              <w:t>；</w:t>
            </w:r>
          </w:p>
          <w:p w14:paraId="759F5F89">
            <w:pPr>
              <w:numPr>
                <w:ilvl w:val="0"/>
                <w:numId w:val="0"/>
              </w:numPr>
              <w:autoSpaceDE w:val="0"/>
              <w:autoSpaceDN w:val="0"/>
              <w:spacing w:line="320" w:lineRule="exact"/>
              <w:rPr>
                <w:rFonts w:hint="eastAsia"/>
                <w:color w:val="auto"/>
                <w:highlight w:val="none"/>
              </w:rPr>
            </w:pPr>
            <w:r>
              <w:rPr>
                <w:rFonts w:hint="eastAsia"/>
                <w:color w:val="auto"/>
                <w:highlight w:val="none"/>
                <w:lang w:eastAsia="zh-CN"/>
              </w:rPr>
              <w:t>质检室面积不够满足服务，设备配备不够齐全，检测制度不够完善的得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；未提供的不得分</w:t>
            </w:r>
            <w:r>
              <w:rPr>
                <w:rFonts w:hint="eastAsia"/>
                <w:color w:val="auto"/>
                <w:highlight w:val="none"/>
              </w:rPr>
              <w:t>。</w:t>
            </w:r>
          </w:p>
          <w:p w14:paraId="62809806">
            <w:pPr>
              <w:spacing w:line="320" w:lineRule="exact"/>
              <w:jc w:val="left"/>
              <w:rPr>
                <w:rFonts w:hint="eastAsia"/>
                <w:color w:val="auto"/>
                <w:highlight w:val="none"/>
              </w:rPr>
            </w:pPr>
            <w:r>
              <w:rPr>
                <w:rFonts w:hint="eastAsia" w:ascii="宋体" w:hAnsi="宋体" w:eastAsia="宋体" w:cs="宋体"/>
                <w:b w:val="0"/>
                <w:bCs w:val="0"/>
                <w:color w:val="auto"/>
                <w:sz w:val="21"/>
                <w:szCs w:val="21"/>
                <w:highlight w:val="none"/>
              </w:rPr>
              <w:t>（投标文件中提供平面图、质检室内部照片、质检室设备清单、快速检测仪照片及参数说明、检测制度、设备购买发票（要求发票抬头和投标人名称一致）复印件加盖公章，未提供资料不得分）</w:t>
            </w:r>
          </w:p>
        </w:tc>
        <w:tc>
          <w:tcPr>
            <w:tcW w:w="831" w:type="dxa"/>
            <w:noWrap w:val="0"/>
            <w:vAlign w:val="center"/>
          </w:tcPr>
          <w:p w14:paraId="0F187CE6">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8</w:t>
            </w:r>
          </w:p>
        </w:tc>
      </w:tr>
      <w:tr w14:paraId="0878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26" w:type="dxa"/>
            <w:vMerge w:val="continue"/>
            <w:noWrap w:val="0"/>
            <w:vAlign w:val="center"/>
          </w:tcPr>
          <w:p w14:paraId="78FC72A7">
            <w:pPr>
              <w:spacing w:line="400" w:lineRule="exact"/>
              <w:jc w:val="center"/>
              <w:rPr>
                <w:rFonts w:ascii="宋体" w:hAnsi="宋体" w:cs="Arial"/>
                <w:color w:val="auto"/>
                <w:kern w:val="0"/>
                <w:szCs w:val="21"/>
                <w:highlight w:val="none"/>
              </w:rPr>
            </w:pPr>
          </w:p>
        </w:tc>
        <w:tc>
          <w:tcPr>
            <w:tcW w:w="7037" w:type="dxa"/>
            <w:noWrap w:val="0"/>
            <w:vAlign w:val="center"/>
          </w:tcPr>
          <w:p w14:paraId="7C5FB6EB">
            <w:pPr>
              <w:widowControl/>
              <w:rPr>
                <w:rFonts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、货源保证：</w:t>
            </w:r>
          </w:p>
          <w:p w14:paraId="2214F01A">
            <w:pPr>
              <w:widowControl/>
              <w:rPr>
                <w:rFonts w:hint="eastAsia" w:ascii="宋体" w:hAnsi="宋体"/>
                <w:color w:val="auto"/>
                <w:highlight w:val="none"/>
                <w:lang w:eastAsia="zh-CN"/>
              </w:rPr>
            </w:pPr>
            <w:r>
              <w:rPr>
                <w:rFonts w:hint="eastAsia" w:ascii="宋体" w:hAnsi="宋体"/>
                <w:color w:val="auto"/>
                <w:highlight w:val="none"/>
              </w:rPr>
              <w:t>评标委员会根据各供应商提供的生产基地或进货单位资质、物流运输及包装、食品质量安全承诺等方面进行评议</w:t>
            </w:r>
            <w:r>
              <w:rPr>
                <w:rFonts w:hint="eastAsia" w:ascii="宋体" w:hAnsi="宋体"/>
                <w:color w:val="auto"/>
                <w:highlight w:val="none"/>
                <w:lang w:eastAsia="zh-CN"/>
              </w:rPr>
              <w:t>：</w:t>
            </w:r>
          </w:p>
          <w:p w14:paraId="646A723F">
            <w:pPr>
              <w:widowControl/>
              <w:rPr>
                <w:rFonts w:hint="eastAsia" w:ascii="宋体" w:hAnsi="宋体"/>
                <w:color w:val="auto"/>
                <w:highlight w:val="none"/>
              </w:rPr>
            </w:pPr>
            <w:r>
              <w:rPr>
                <w:rFonts w:hint="eastAsia" w:ascii="宋体" w:hAnsi="宋体"/>
                <w:color w:val="auto"/>
                <w:highlight w:val="none"/>
              </w:rPr>
              <w:t>生产基地或进货单位资质</w:t>
            </w:r>
            <w:r>
              <w:rPr>
                <w:rFonts w:hint="eastAsia" w:ascii="宋体" w:hAnsi="宋体"/>
                <w:color w:val="auto"/>
                <w:highlight w:val="none"/>
                <w:lang w:eastAsia="zh-CN"/>
              </w:rPr>
              <w:t>完全满足服务，提供的</w:t>
            </w:r>
            <w:r>
              <w:rPr>
                <w:rFonts w:hint="eastAsia" w:ascii="宋体" w:hAnsi="宋体"/>
                <w:color w:val="auto"/>
                <w:highlight w:val="none"/>
              </w:rPr>
              <w:t>内容完整充实，科学合理、满足项目需求的得</w:t>
            </w:r>
            <w:r>
              <w:rPr>
                <w:rFonts w:hint="eastAsia" w:ascii="宋体" w:hAnsi="宋体"/>
                <w:color w:val="auto"/>
                <w:highlight w:val="none"/>
                <w:lang w:val="en-US" w:eastAsia="zh-CN"/>
              </w:rPr>
              <w:t>10</w:t>
            </w:r>
            <w:r>
              <w:rPr>
                <w:rFonts w:hint="eastAsia" w:ascii="宋体" w:hAnsi="宋体"/>
                <w:color w:val="auto"/>
                <w:highlight w:val="none"/>
              </w:rPr>
              <w:t>分；</w:t>
            </w:r>
          </w:p>
          <w:p w14:paraId="24679E2D">
            <w:pPr>
              <w:widowControl/>
              <w:rPr>
                <w:rFonts w:hint="eastAsia" w:ascii="宋体" w:hAnsi="宋体"/>
                <w:color w:val="auto"/>
                <w:highlight w:val="none"/>
              </w:rPr>
            </w:pPr>
            <w:r>
              <w:rPr>
                <w:rFonts w:hint="eastAsia" w:ascii="宋体" w:hAnsi="宋体"/>
                <w:color w:val="auto"/>
                <w:highlight w:val="none"/>
              </w:rPr>
              <w:t>生产基地或进货单位资质</w:t>
            </w:r>
            <w:r>
              <w:rPr>
                <w:rFonts w:hint="eastAsia" w:ascii="宋体" w:hAnsi="宋体"/>
                <w:color w:val="auto"/>
                <w:highlight w:val="none"/>
                <w:lang w:eastAsia="zh-CN"/>
              </w:rPr>
              <w:t>较满足服务，提供的</w:t>
            </w:r>
            <w:r>
              <w:rPr>
                <w:rFonts w:hint="eastAsia" w:ascii="宋体" w:hAnsi="宋体"/>
                <w:color w:val="auto"/>
                <w:highlight w:val="none"/>
              </w:rPr>
              <w:t>内容较为完整，较为合理、满足项目需求的得</w:t>
            </w:r>
            <w:r>
              <w:rPr>
                <w:rFonts w:hint="eastAsia" w:ascii="宋体" w:hAnsi="宋体"/>
                <w:color w:val="auto"/>
                <w:highlight w:val="none"/>
                <w:lang w:val="en-US" w:eastAsia="zh-CN"/>
              </w:rPr>
              <w:t>7</w:t>
            </w:r>
            <w:r>
              <w:rPr>
                <w:rFonts w:hint="eastAsia" w:ascii="宋体" w:hAnsi="宋体"/>
                <w:color w:val="auto"/>
                <w:highlight w:val="none"/>
              </w:rPr>
              <w:t>分；</w:t>
            </w:r>
          </w:p>
          <w:p w14:paraId="60AC64AA">
            <w:pPr>
              <w:widowControl/>
              <w:rPr>
                <w:rFonts w:hint="eastAsia" w:ascii="宋体" w:hAnsi="宋体"/>
                <w:color w:val="auto"/>
                <w:highlight w:val="none"/>
              </w:rPr>
            </w:pPr>
            <w:r>
              <w:rPr>
                <w:rFonts w:hint="eastAsia" w:ascii="宋体" w:hAnsi="宋体"/>
                <w:color w:val="auto"/>
                <w:highlight w:val="none"/>
              </w:rPr>
              <w:t>生产基地或进货单位资质</w:t>
            </w:r>
            <w:r>
              <w:rPr>
                <w:rFonts w:hint="eastAsia" w:ascii="宋体" w:hAnsi="宋体"/>
                <w:color w:val="auto"/>
                <w:highlight w:val="none"/>
                <w:lang w:eastAsia="zh-CN"/>
              </w:rPr>
              <w:t>基本满足服务，提供的</w:t>
            </w:r>
            <w:r>
              <w:rPr>
                <w:rFonts w:hint="eastAsia" w:ascii="宋体" w:hAnsi="宋体"/>
                <w:color w:val="auto"/>
                <w:highlight w:val="none"/>
              </w:rPr>
              <w:t>内容基本完整，基本满足项目需求的得</w:t>
            </w:r>
            <w:r>
              <w:rPr>
                <w:rFonts w:hint="eastAsia" w:ascii="宋体" w:hAnsi="宋体"/>
                <w:color w:val="auto"/>
                <w:highlight w:val="none"/>
                <w:lang w:val="en-US" w:eastAsia="zh-CN"/>
              </w:rPr>
              <w:t>3</w:t>
            </w:r>
            <w:r>
              <w:rPr>
                <w:rFonts w:hint="eastAsia" w:ascii="宋体" w:hAnsi="宋体"/>
                <w:color w:val="auto"/>
                <w:highlight w:val="none"/>
              </w:rPr>
              <w:t>分；</w:t>
            </w:r>
          </w:p>
          <w:p w14:paraId="75B6E1AB">
            <w:pPr>
              <w:widowControl/>
              <w:rPr>
                <w:rFonts w:hint="eastAsia" w:ascii="宋体" w:hAnsi="宋体"/>
                <w:color w:val="auto"/>
                <w:highlight w:val="none"/>
              </w:rPr>
            </w:pPr>
            <w:r>
              <w:rPr>
                <w:rFonts w:hint="eastAsia" w:ascii="宋体" w:hAnsi="宋体"/>
                <w:color w:val="auto"/>
                <w:highlight w:val="none"/>
              </w:rPr>
              <w:t>生产基地或进货单位资质</w:t>
            </w:r>
            <w:r>
              <w:rPr>
                <w:rFonts w:hint="eastAsia" w:ascii="宋体" w:hAnsi="宋体"/>
                <w:color w:val="auto"/>
                <w:highlight w:val="none"/>
                <w:lang w:eastAsia="zh-CN"/>
              </w:rPr>
              <w:t>不够满足服务，提供的</w:t>
            </w:r>
            <w:r>
              <w:rPr>
                <w:rFonts w:hint="eastAsia" w:ascii="宋体" w:hAnsi="宋体"/>
                <w:color w:val="auto"/>
                <w:highlight w:val="none"/>
              </w:rPr>
              <w:t>内容不</w:t>
            </w:r>
            <w:r>
              <w:rPr>
                <w:rFonts w:hint="eastAsia" w:ascii="宋体" w:hAnsi="宋体"/>
                <w:color w:val="auto"/>
                <w:highlight w:val="none"/>
                <w:lang w:eastAsia="zh-CN"/>
              </w:rPr>
              <w:t>够</w:t>
            </w:r>
            <w:r>
              <w:rPr>
                <w:rFonts w:hint="eastAsia" w:ascii="宋体" w:hAnsi="宋体"/>
                <w:color w:val="auto"/>
                <w:highlight w:val="none"/>
              </w:rPr>
              <w:t>完整，不能很好符合项目实际开展的的得</w:t>
            </w:r>
            <w:r>
              <w:rPr>
                <w:rFonts w:hint="eastAsia" w:ascii="宋体" w:hAnsi="宋体"/>
                <w:color w:val="auto"/>
                <w:highlight w:val="none"/>
                <w:lang w:val="en-US" w:eastAsia="zh-CN"/>
              </w:rPr>
              <w:t>1</w:t>
            </w:r>
            <w:r>
              <w:rPr>
                <w:rFonts w:hint="eastAsia" w:ascii="宋体" w:hAnsi="宋体"/>
                <w:color w:val="auto"/>
                <w:highlight w:val="none"/>
              </w:rPr>
              <w:t>分；</w:t>
            </w:r>
          </w:p>
          <w:p w14:paraId="4D80BBCC">
            <w:pPr>
              <w:widowControl/>
              <w:rPr>
                <w:rFonts w:hint="eastAsia" w:ascii="宋体" w:hAnsi="宋体"/>
                <w:color w:val="auto"/>
                <w:highlight w:val="none"/>
              </w:rPr>
            </w:pPr>
            <w:r>
              <w:rPr>
                <w:rFonts w:hint="eastAsia" w:ascii="宋体" w:hAnsi="宋体"/>
                <w:color w:val="auto"/>
                <w:highlight w:val="none"/>
              </w:rPr>
              <w:t>未提供不得分。</w:t>
            </w:r>
          </w:p>
          <w:p w14:paraId="060A6CC0">
            <w:pPr>
              <w:widowControl/>
              <w:rPr>
                <w:rFonts w:hint="eastAsia" w:ascii="宋体" w:hAnsi="宋体" w:eastAsia="宋体"/>
                <w:color w:val="auto"/>
                <w:highlight w:val="none"/>
                <w:lang w:eastAsia="zh-CN"/>
              </w:rPr>
            </w:pPr>
            <w:r>
              <w:rPr>
                <w:rFonts w:hint="eastAsia" w:ascii="宋体" w:hAnsi="宋体"/>
                <w:color w:val="auto"/>
                <w:highlight w:val="none"/>
                <w:lang w:eastAsia="zh-CN"/>
              </w:rPr>
              <w:t>注：提供生产基地相关证明材料或进货单位合作证明及资质相关证明材料。</w:t>
            </w:r>
          </w:p>
        </w:tc>
        <w:tc>
          <w:tcPr>
            <w:tcW w:w="831" w:type="dxa"/>
            <w:noWrap w:val="0"/>
            <w:vAlign w:val="center"/>
          </w:tcPr>
          <w:p w14:paraId="08B525A5">
            <w:pPr>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10</w:t>
            </w:r>
          </w:p>
        </w:tc>
      </w:tr>
      <w:tr w14:paraId="4FDC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726" w:type="dxa"/>
            <w:vMerge w:val="continue"/>
            <w:noWrap w:val="0"/>
            <w:vAlign w:val="center"/>
          </w:tcPr>
          <w:p w14:paraId="387A1AF7">
            <w:pPr>
              <w:spacing w:line="400" w:lineRule="exact"/>
              <w:jc w:val="center"/>
              <w:rPr>
                <w:rFonts w:ascii="宋体" w:hAnsi="宋体" w:cs="Arial"/>
                <w:color w:val="auto"/>
                <w:kern w:val="0"/>
                <w:szCs w:val="21"/>
                <w:highlight w:val="none"/>
              </w:rPr>
            </w:pPr>
          </w:p>
        </w:tc>
        <w:tc>
          <w:tcPr>
            <w:tcW w:w="7037" w:type="dxa"/>
            <w:noWrap w:val="0"/>
            <w:vAlign w:val="center"/>
          </w:tcPr>
          <w:p w14:paraId="0F0D040F">
            <w:pPr>
              <w:widowControl/>
              <w:rPr>
                <w:rFonts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、服务方案：</w:t>
            </w:r>
          </w:p>
          <w:p w14:paraId="75710192">
            <w:pPr>
              <w:widowControl/>
              <w:rPr>
                <w:rFonts w:hint="eastAsia" w:ascii="宋体" w:hAnsi="宋体"/>
                <w:color w:val="auto"/>
                <w:highlight w:val="none"/>
                <w:lang w:eastAsia="zh-CN"/>
              </w:rPr>
            </w:pPr>
            <w:r>
              <w:rPr>
                <w:rFonts w:hint="eastAsia" w:ascii="宋体" w:hAnsi="宋体"/>
                <w:color w:val="auto"/>
                <w:highlight w:val="none"/>
              </w:rPr>
              <w:t>评标委员会根据各供应商提供的服务方案（包括处理程序、响应及处理时间、质量保证措施及质量问题处罚措施等）进行评议</w:t>
            </w:r>
            <w:r>
              <w:rPr>
                <w:rFonts w:hint="eastAsia" w:ascii="宋体" w:hAnsi="宋体"/>
                <w:color w:val="auto"/>
                <w:highlight w:val="none"/>
                <w:lang w:eastAsia="zh-CN"/>
              </w:rPr>
              <w:t>：</w:t>
            </w:r>
          </w:p>
          <w:p w14:paraId="47CCD087">
            <w:pPr>
              <w:widowControl/>
              <w:rPr>
                <w:rFonts w:hint="eastAsia"/>
                <w:color w:val="auto"/>
                <w:highlight w:val="none"/>
              </w:rPr>
            </w:pPr>
            <w:r>
              <w:rPr>
                <w:rFonts w:hint="eastAsia" w:ascii="宋体" w:hAnsi="宋体"/>
                <w:color w:val="auto"/>
                <w:highlight w:val="none"/>
              </w:rPr>
              <w:t>服务方案</w:t>
            </w:r>
            <w:r>
              <w:rPr>
                <w:rFonts w:hint="eastAsia"/>
                <w:color w:val="auto"/>
                <w:highlight w:val="none"/>
              </w:rPr>
              <w:t>内容完整充实，科学合理、满足项目需求的得</w:t>
            </w:r>
            <w:r>
              <w:rPr>
                <w:rFonts w:hint="eastAsia"/>
                <w:color w:val="auto"/>
                <w:highlight w:val="none"/>
                <w:lang w:val="en-US" w:eastAsia="zh-CN"/>
              </w:rPr>
              <w:t>6</w:t>
            </w:r>
            <w:r>
              <w:rPr>
                <w:rFonts w:hint="eastAsia"/>
                <w:color w:val="auto"/>
                <w:highlight w:val="none"/>
              </w:rPr>
              <w:t>分；</w:t>
            </w:r>
          </w:p>
          <w:p w14:paraId="4CED3FA3">
            <w:pPr>
              <w:widowControl/>
              <w:rPr>
                <w:rFonts w:hint="eastAsia"/>
                <w:color w:val="auto"/>
                <w:highlight w:val="none"/>
              </w:rPr>
            </w:pPr>
            <w:r>
              <w:rPr>
                <w:rFonts w:hint="eastAsia"/>
                <w:color w:val="auto"/>
                <w:highlight w:val="none"/>
              </w:rPr>
              <w:t>内容较为完整，较为合理、满足项目需求的得</w:t>
            </w:r>
            <w:r>
              <w:rPr>
                <w:rFonts w:hint="eastAsia"/>
                <w:color w:val="auto"/>
                <w:highlight w:val="none"/>
                <w:lang w:val="en-US" w:eastAsia="zh-CN"/>
              </w:rPr>
              <w:t>4</w:t>
            </w:r>
            <w:r>
              <w:rPr>
                <w:rFonts w:hint="eastAsia"/>
                <w:color w:val="auto"/>
                <w:highlight w:val="none"/>
              </w:rPr>
              <w:t>分；</w:t>
            </w:r>
          </w:p>
          <w:p w14:paraId="665E9464">
            <w:pPr>
              <w:widowControl/>
              <w:rPr>
                <w:rFonts w:hint="eastAsia"/>
                <w:color w:val="auto"/>
                <w:highlight w:val="none"/>
              </w:rPr>
            </w:pPr>
            <w:r>
              <w:rPr>
                <w:rFonts w:hint="eastAsia"/>
                <w:color w:val="auto"/>
                <w:highlight w:val="none"/>
              </w:rPr>
              <w:t>内容基本完整，基本满足项目需求的得</w:t>
            </w:r>
            <w:r>
              <w:rPr>
                <w:rFonts w:hint="eastAsia"/>
                <w:color w:val="auto"/>
                <w:highlight w:val="none"/>
                <w:lang w:val="en-US" w:eastAsia="zh-CN"/>
              </w:rPr>
              <w:t>2</w:t>
            </w:r>
            <w:r>
              <w:rPr>
                <w:rFonts w:hint="eastAsia"/>
                <w:color w:val="auto"/>
                <w:highlight w:val="none"/>
              </w:rPr>
              <w:t>分；</w:t>
            </w:r>
          </w:p>
          <w:p w14:paraId="577412DC">
            <w:pPr>
              <w:widowControl/>
              <w:rPr>
                <w:rFonts w:hint="eastAsia"/>
                <w:color w:val="auto"/>
                <w:highlight w:val="none"/>
              </w:rPr>
            </w:pPr>
            <w:r>
              <w:rPr>
                <w:rFonts w:hint="eastAsia"/>
                <w:color w:val="auto"/>
                <w:highlight w:val="none"/>
              </w:rPr>
              <w:t>内容不</w:t>
            </w:r>
            <w:r>
              <w:rPr>
                <w:rFonts w:hint="eastAsia"/>
                <w:color w:val="auto"/>
                <w:highlight w:val="none"/>
                <w:lang w:eastAsia="zh-CN"/>
              </w:rPr>
              <w:t>够</w:t>
            </w:r>
            <w:r>
              <w:rPr>
                <w:rFonts w:hint="eastAsia"/>
                <w:color w:val="auto"/>
                <w:highlight w:val="none"/>
              </w:rPr>
              <w:t>完整，不能很好符合项目实际开展的的得</w:t>
            </w:r>
            <w:r>
              <w:rPr>
                <w:rFonts w:hint="eastAsia"/>
                <w:color w:val="auto"/>
                <w:highlight w:val="none"/>
                <w:lang w:val="en-US" w:eastAsia="zh-CN"/>
              </w:rPr>
              <w:t>1</w:t>
            </w:r>
            <w:r>
              <w:rPr>
                <w:rFonts w:hint="eastAsia"/>
                <w:color w:val="auto"/>
                <w:highlight w:val="none"/>
              </w:rPr>
              <w:t>分；</w:t>
            </w:r>
          </w:p>
          <w:p w14:paraId="568D5963">
            <w:pPr>
              <w:widowControl/>
              <w:rPr>
                <w:rFonts w:ascii="宋体" w:hAnsi="宋体"/>
                <w:color w:val="auto"/>
                <w:highlight w:val="none"/>
              </w:rPr>
            </w:pPr>
            <w:r>
              <w:rPr>
                <w:rFonts w:hint="eastAsia"/>
                <w:color w:val="auto"/>
                <w:highlight w:val="none"/>
              </w:rPr>
              <w:t>未提供不得分。</w:t>
            </w:r>
          </w:p>
        </w:tc>
        <w:tc>
          <w:tcPr>
            <w:tcW w:w="831" w:type="dxa"/>
            <w:noWrap w:val="0"/>
            <w:vAlign w:val="center"/>
          </w:tcPr>
          <w:p w14:paraId="3C7300BA">
            <w:pPr>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6</w:t>
            </w:r>
          </w:p>
        </w:tc>
      </w:tr>
      <w:tr w14:paraId="2DC3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726" w:type="dxa"/>
            <w:vMerge w:val="continue"/>
            <w:noWrap w:val="0"/>
            <w:vAlign w:val="center"/>
          </w:tcPr>
          <w:p w14:paraId="69BC7DD3">
            <w:pPr>
              <w:spacing w:line="400" w:lineRule="exact"/>
              <w:jc w:val="center"/>
              <w:rPr>
                <w:rFonts w:ascii="宋体" w:hAnsi="宋体" w:cs="Arial"/>
                <w:color w:val="auto"/>
                <w:kern w:val="0"/>
                <w:szCs w:val="21"/>
                <w:highlight w:val="none"/>
              </w:rPr>
            </w:pPr>
          </w:p>
        </w:tc>
        <w:tc>
          <w:tcPr>
            <w:tcW w:w="7037" w:type="dxa"/>
            <w:noWrap w:val="0"/>
            <w:vAlign w:val="center"/>
          </w:tcPr>
          <w:p w14:paraId="5180A4AE">
            <w:pPr>
              <w:widowControl/>
              <w:rPr>
                <w:rFonts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、人员配备：</w:t>
            </w:r>
          </w:p>
          <w:p w14:paraId="440234E6">
            <w:pPr>
              <w:widowControl/>
              <w:rPr>
                <w:rFonts w:ascii="宋体" w:hAnsi="宋体"/>
                <w:color w:val="auto"/>
                <w:highlight w:val="none"/>
              </w:rPr>
            </w:pPr>
            <w:r>
              <w:rPr>
                <w:rFonts w:hint="eastAsia" w:ascii="宋体" w:hAnsi="宋体"/>
                <w:color w:val="auto"/>
                <w:highlight w:val="none"/>
              </w:rPr>
              <w:t>（1）投标人在职的具有健康合格证书的员工：10人得1分，15人得2分，15人及以上得3分。</w:t>
            </w:r>
          </w:p>
          <w:p w14:paraId="39BE8F81">
            <w:pPr>
              <w:widowControl/>
              <w:rPr>
                <w:rFonts w:ascii="宋体" w:hAnsi="宋体"/>
                <w:color w:val="auto"/>
                <w:highlight w:val="none"/>
              </w:rPr>
            </w:pPr>
            <w:r>
              <w:rPr>
                <w:rFonts w:hint="eastAsia" w:ascii="宋体" w:hAnsi="宋体"/>
                <w:color w:val="auto"/>
                <w:highlight w:val="none"/>
              </w:rPr>
              <w:t>（2）投标人的检验员具有食品快速检验员培训资格证书的得</w:t>
            </w:r>
            <w:r>
              <w:rPr>
                <w:rFonts w:hint="eastAsia" w:ascii="宋体" w:hAnsi="宋体"/>
                <w:color w:val="auto"/>
                <w:highlight w:val="none"/>
                <w:lang w:val="en-US" w:eastAsia="zh-CN"/>
              </w:rPr>
              <w:t>3</w:t>
            </w:r>
            <w:r>
              <w:rPr>
                <w:rFonts w:hint="eastAsia" w:ascii="宋体" w:hAnsi="宋体"/>
                <w:color w:val="auto"/>
                <w:highlight w:val="none"/>
              </w:rPr>
              <w:t>分。</w:t>
            </w:r>
          </w:p>
          <w:p w14:paraId="5B35691F">
            <w:pPr>
              <w:widowControl/>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）评标委员会根据各供应商提供的针对本项目的管理人员及工作人员情况进行评议，考虑周全、可操作性强得</w:t>
            </w:r>
            <w:r>
              <w:rPr>
                <w:rFonts w:hint="eastAsia" w:ascii="宋体" w:hAnsi="宋体"/>
                <w:color w:val="auto"/>
                <w:highlight w:val="none"/>
                <w:lang w:val="en-US" w:eastAsia="zh-CN"/>
              </w:rPr>
              <w:t>4</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rPr>
              <w:t>可操作性一般得</w:t>
            </w:r>
            <w:r>
              <w:rPr>
                <w:rFonts w:hint="eastAsia" w:ascii="宋体" w:hAnsi="宋体"/>
                <w:color w:val="auto"/>
                <w:highlight w:val="none"/>
                <w:lang w:val="en-US" w:eastAsia="zh-CN"/>
              </w:rPr>
              <w:t>2</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rPr>
              <w:t>考虑不够周全、可操作性较差得</w:t>
            </w:r>
            <w:r>
              <w:rPr>
                <w:rFonts w:hint="eastAsia" w:ascii="宋体" w:hAnsi="宋体"/>
                <w:color w:val="auto"/>
                <w:highlight w:val="none"/>
                <w:lang w:val="en-US" w:eastAsia="zh-CN"/>
              </w:rPr>
              <w:t>1</w:t>
            </w:r>
            <w:r>
              <w:rPr>
                <w:rFonts w:hint="eastAsia" w:ascii="宋体" w:hAnsi="宋体"/>
                <w:color w:val="auto"/>
                <w:highlight w:val="none"/>
              </w:rPr>
              <w:t>分；未提供不得分。</w:t>
            </w:r>
          </w:p>
          <w:p w14:paraId="1721E67E">
            <w:pPr>
              <w:widowControl/>
              <w:rPr>
                <w:rFonts w:ascii="宋体" w:hAnsi="宋体"/>
                <w:color w:val="auto"/>
                <w:highlight w:val="none"/>
              </w:rPr>
            </w:pPr>
            <w:r>
              <w:rPr>
                <w:rFonts w:hint="eastAsia" w:ascii="宋体" w:hAnsi="宋体"/>
                <w:color w:val="auto"/>
                <w:highlight w:val="none"/>
              </w:rPr>
              <w:t>注：项目人员须提供健康合格证书、食品快速检验员培训资格证书和开标前三个月任意一个月投标单位为其缴纳的社保证明扫描件并加盖投标人公章，否则不得分。</w:t>
            </w:r>
          </w:p>
        </w:tc>
        <w:tc>
          <w:tcPr>
            <w:tcW w:w="831" w:type="dxa"/>
            <w:noWrap w:val="0"/>
            <w:vAlign w:val="center"/>
          </w:tcPr>
          <w:p w14:paraId="117DA96F">
            <w:pPr>
              <w:jc w:val="center"/>
              <w:rPr>
                <w:rFonts w:hint="eastAsia" w:ascii="宋体" w:hAnsi="宋体" w:eastAsia="宋体"/>
                <w:bCs/>
                <w:color w:val="auto"/>
                <w:highlight w:val="none"/>
                <w:lang w:val="en-US" w:eastAsia="zh-CN"/>
              </w:rPr>
            </w:pPr>
            <w:r>
              <w:rPr>
                <w:rFonts w:ascii="宋体" w:hAnsi="宋体"/>
                <w:color w:val="auto"/>
                <w:highlight w:val="none"/>
              </w:rPr>
              <w:t>1</w:t>
            </w:r>
            <w:r>
              <w:rPr>
                <w:rFonts w:hint="eastAsia" w:ascii="宋体" w:hAnsi="宋体"/>
                <w:color w:val="auto"/>
                <w:highlight w:val="none"/>
                <w:lang w:val="en-US" w:eastAsia="zh-CN"/>
              </w:rPr>
              <w:t>0</w:t>
            </w:r>
          </w:p>
        </w:tc>
      </w:tr>
      <w:tr w14:paraId="0EC6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726" w:type="dxa"/>
            <w:vMerge w:val="continue"/>
            <w:noWrap w:val="0"/>
            <w:vAlign w:val="center"/>
          </w:tcPr>
          <w:p w14:paraId="7B26CD44">
            <w:pPr>
              <w:spacing w:line="400" w:lineRule="exact"/>
              <w:jc w:val="center"/>
              <w:rPr>
                <w:rFonts w:ascii="宋体" w:hAnsi="宋体" w:cs="Arial"/>
                <w:color w:val="auto"/>
                <w:kern w:val="0"/>
                <w:szCs w:val="21"/>
                <w:highlight w:val="none"/>
              </w:rPr>
            </w:pPr>
          </w:p>
        </w:tc>
        <w:tc>
          <w:tcPr>
            <w:tcW w:w="7037" w:type="dxa"/>
            <w:noWrap w:val="0"/>
            <w:vAlign w:val="center"/>
          </w:tcPr>
          <w:p w14:paraId="691DCD79">
            <w:pPr>
              <w:spacing w:line="360" w:lineRule="exact"/>
              <w:rPr>
                <w:rFonts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、应急处置方案：</w:t>
            </w:r>
          </w:p>
          <w:p w14:paraId="6A524A4D">
            <w:pPr>
              <w:widowControl/>
              <w:rPr>
                <w:rFonts w:hint="eastAsia" w:ascii="宋体" w:hAnsi="宋体"/>
                <w:color w:val="auto"/>
                <w:highlight w:val="none"/>
                <w:lang w:eastAsia="zh-CN"/>
              </w:rPr>
            </w:pPr>
            <w:r>
              <w:rPr>
                <w:rFonts w:hint="eastAsia" w:ascii="宋体" w:hAnsi="宋体"/>
                <w:color w:val="auto"/>
                <w:highlight w:val="none"/>
              </w:rPr>
              <w:t>评标委员会根据各供应商提供的突发事件（包括食品安全、卫生安全、质量及天气、交通 等因素）应急处置方案（包括应急处理响应时间）进行评议</w:t>
            </w:r>
            <w:r>
              <w:rPr>
                <w:rFonts w:hint="eastAsia" w:ascii="宋体" w:hAnsi="宋体"/>
                <w:color w:val="auto"/>
                <w:highlight w:val="none"/>
                <w:lang w:eastAsia="zh-CN"/>
              </w:rPr>
              <w:t>：</w:t>
            </w:r>
          </w:p>
          <w:p w14:paraId="36A737DA">
            <w:pPr>
              <w:widowControl/>
              <w:rPr>
                <w:rFonts w:hint="eastAsia" w:ascii="宋体" w:hAnsi="宋体"/>
                <w:color w:val="auto"/>
                <w:highlight w:val="none"/>
                <w:lang w:eastAsia="zh-CN"/>
              </w:rPr>
            </w:pPr>
            <w:r>
              <w:rPr>
                <w:rFonts w:hint="eastAsia" w:ascii="宋体" w:hAnsi="宋体"/>
                <w:color w:val="auto"/>
                <w:highlight w:val="none"/>
              </w:rPr>
              <w:t>应急处置方案计划考虑周全、可操作性强得</w:t>
            </w:r>
            <w:r>
              <w:rPr>
                <w:rFonts w:hint="eastAsia" w:ascii="宋体" w:hAnsi="宋体"/>
                <w:color w:val="auto"/>
                <w:highlight w:val="none"/>
                <w:lang w:val="en-US" w:eastAsia="zh-CN"/>
              </w:rPr>
              <w:t>5</w:t>
            </w:r>
            <w:r>
              <w:rPr>
                <w:rFonts w:hint="eastAsia" w:ascii="宋体" w:hAnsi="宋体"/>
                <w:color w:val="auto"/>
                <w:highlight w:val="none"/>
              </w:rPr>
              <w:t>分</w:t>
            </w:r>
            <w:r>
              <w:rPr>
                <w:rFonts w:hint="eastAsia" w:ascii="宋体" w:hAnsi="宋体"/>
                <w:color w:val="auto"/>
                <w:highlight w:val="none"/>
                <w:lang w:eastAsia="zh-CN"/>
              </w:rPr>
              <w:t>；</w:t>
            </w:r>
          </w:p>
          <w:p w14:paraId="7306E83C">
            <w:pPr>
              <w:widowControl/>
              <w:rPr>
                <w:rFonts w:hint="eastAsia" w:ascii="宋体" w:hAnsi="宋体"/>
                <w:color w:val="auto"/>
                <w:highlight w:val="none"/>
                <w:lang w:eastAsia="zh-CN"/>
              </w:rPr>
            </w:pPr>
            <w:r>
              <w:rPr>
                <w:rFonts w:hint="eastAsia" w:ascii="宋体" w:hAnsi="宋体"/>
                <w:color w:val="auto"/>
                <w:highlight w:val="none"/>
              </w:rPr>
              <w:t>应急处置方案计划考虑及可操作性一般得</w:t>
            </w:r>
            <w:r>
              <w:rPr>
                <w:rFonts w:hint="eastAsia" w:ascii="宋体" w:hAnsi="宋体"/>
                <w:color w:val="auto"/>
                <w:highlight w:val="none"/>
                <w:lang w:val="en-US" w:eastAsia="zh-CN"/>
              </w:rPr>
              <w:t>3</w:t>
            </w:r>
            <w:r>
              <w:rPr>
                <w:rFonts w:hint="eastAsia" w:ascii="宋体" w:hAnsi="宋体"/>
                <w:color w:val="auto"/>
                <w:highlight w:val="none"/>
              </w:rPr>
              <w:t>分</w:t>
            </w:r>
            <w:r>
              <w:rPr>
                <w:rFonts w:hint="eastAsia" w:ascii="宋体" w:hAnsi="宋体"/>
                <w:color w:val="auto"/>
                <w:highlight w:val="none"/>
                <w:lang w:eastAsia="zh-CN"/>
              </w:rPr>
              <w:t>；</w:t>
            </w:r>
          </w:p>
          <w:p w14:paraId="41A5184D">
            <w:pPr>
              <w:widowControl/>
              <w:rPr>
                <w:rFonts w:hint="eastAsia" w:ascii="宋体" w:hAnsi="宋体"/>
                <w:color w:val="auto"/>
                <w:highlight w:val="none"/>
              </w:rPr>
            </w:pPr>
            <w:r>
              <w:rPr>
                <w:rFonts w:hint="eastAsia" w:ascii="宋体" w:hAnsi="宋体"/>
                <w:color w:val="auto"/>
                <w:highlight w:val="none"/>
              </w:rPr>
              <w:t>考虑欠缺，可操作性差得</w:t>
            </w:r>
            <w:r>
              <w:rPr>
                <w:rFonts w:hint="eastAsia" w:ascii="宋体" w:hAnsi="宋体"/>
                <w:color w:val="auto"/>
                <w:highlight w:val="none"/>
                <w:lang w:val="en-US" w:eastAsia="zh-CN"/>
              </w:rPr>
              <w:t>1</w:t>
            </w:r>
            <w:r>
              <w:rPr>
                <w:rFonts w:hint="eastAsia" w:ascii="宋体" w:hAnsi="宋体"/>
                <w:color w:val="auto"/>
                <w:highlight w:val="none"/>
              </w:rPr>
              <w:t>分；</w:t>
            </w:r>
          </w:p>
          <w:p w14:paraId="268F4025">
            <w:pPr>
              <w:widowControl/>
              <w:rPr>
                <w:rFonts w:hint="eastAsia" w:ascii="宋体" w:hAnsi="宋体" w:eastAsia="宋体" w:cs="Times New Roman"/>
                <w:color w:val="auto"/>
                <w:kern w:val="2"/>
                <w:sz w:val="21"/>
                <w:highlight w:val="none"/>
                <w:lang w:val="en-US" w:eastAsia="zh-CN" w:bidi="ar-SA"/>
              </w:rPr>
            </w:pPr>
            <w:r>
              <w:rPr>
                <w:rFonts w:hint="eastAsia" w:ascii="宋体" w:hAnsi="宋体"/>
                <w:color w:val="auto"/>
                <w:highlight w:val="none"/>
              </w:rPr>
              <w:t>未提供不得分。</w:t>
            </w:r>
          </w:p>
        </w:tc>
        <w:tc>
          <w:tcPr>
            <w:tcW w:w="831" w:type="dxa"/>
            <w:noWrap w:val="0"/>
            <w:vAlign w:val="center"/>
          </w:tcPr>
          <w:p w14:paraId="6D2BE3B1">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5</w:t>
            </w:r>
          </w:p>
        </w:tc>
      </w:tr>
      <w:tr w14:paraId="17FC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726" w:type="dxa"/>
            <w:vMerge w:val="continue"/>
            <w:noWrap w:val="0"/>
            <w:vAlign w:val="center"/>
          </w:tcPr>
          <w:p w14:paraId="77D32494">
            <w:pPr>
              <w:spacing w:line="400" w:lineRule="exact"/>
              <w:jc w:val="center"/>
              <w:rPr>
                <w:rFonts w:ascii="宋体" w:hAnsi="宋体" w:cs="Arial"/>
                <w:color w:val="auto"/>
                <w:kern w:val="0"/>
                <w:szCs w:val="21"/>
                <w:highlight w:val="none"/>
              </w:rPr>
            </w:pPr>
          </w:p>
        </w:tc>
        <w:tc>
          <w:tcPr>
            <w:tcW w:w="7037" w:type="dxa"/>
            <w:noWrap w:val="0"/>
            <w:vAlign w:val="center"/>
          </w:tcPr>
          <w:p w14:paraId="67BC07DA">
            <w:pPr>
              <w:numPr>
                <w:ilvl w:val="0"/>
                <w:numId w:val="0"/>
              </w:numPr>
              <w:spacing w:line="360" w:lineRule="exact"/>
              <w:rPr>
                <w:rFonts w:hint="eastAsia" w:ascii="宋体" w:hAnsi="宋体"/>
                <w:bCs/>
                <w:color w:val="auto"/>
                <w:highlight w:val="none"/>
              </w:rPr>
            </w:pPr>
            <w:r>
              <w:rPr>
                <w:rFonts w:hint="eastAsia" w:ascii="宋体" w:hAnsi="宋体"/>
                <w:bCs/>
                <w:color w:val="auto"/>
                <w:highlight w:val="none"/>
                <w:lang w:val="en-US" w:eastAsia="zh-CN"/>
              </w:rPr>
              <w:t>11、</w:t>
            </w:r>
            <w:r>
              <w:rPr>
                <w:rFonts w:hint="eastAsia" w:ascii="宋体" w:hAnsi="宋体"/>
                <w:bCs/>
                <w:color w:val="auto"/>
                <w:highlight w:val="none"/>
              </w:rPr>
              <w:t>食材送达响应承诺：</w:t>
            </w:r>
          </w:p>
          <w:p w14:paraId="7B7E7F05">
            <w:pPr>
              <w:numPr>
                <w:ilvl w:val="0"/>
                <w:numId w:val="0"/>
              </w:numPr>
              <w:spacing w:line="360" w:lineRule="exact"/>
              <w:rPr>
                <w:rFonts w:hint="eastAsia" w:ascii="宋体" w:hAnsi="宋体"/>
                <w:bCs/>
                <w:color w:val="auto"/>
                <w:highlight w:val="none"/>
              </w:rPr>
            </w:pPr>
            <w:r>
              <w:rPr>
                <w:rFonts w:hint="eastAsia" w:ascii="宋体" w:hAnsi="宋体"/>
                <w:bCs/>
                <w:color w:val="auto"/>
                <w:highlight w:val="none"/>
              </w:rPr>
              <w:t>食材送达服务计划及保证措施合理、可行性强得</w:t>
            </w:r>
            <w:r>
              <w:rPr>
                <w:rFonts w:hint="eastAsia" w:ascii="宋体" w:hAnsi="宋体"/>
                <w:bCs/>
                <w:color w:val="auto"/>
                <w:highlight w:val="none"/>
                <w:lang w:val="en-US" w:eastAsia="zh-CN"/>
              </w:rPr>
              <w:t>5</w:t>
            </w:r>
            <w:r>
              <w:rPr>
                <w:rFonts w:hint="eastAsia" w:ascii="宋体" w:hAnsi="宋体"/>
                <w:bCs/>
                <w:color w:val="auto"/>
                <w:highlight w:val="none"/>
              </w:rPr>
              <w:t>分；</w:t>
            </w:r>
          </w:p>
          <w:p w14:paraId="065979CC">
            <w:pPr>
              <w:numPr>
                <w:ilvl w:val="0"/>
                <w:numId w:val="0"/>
              </w:numPr>
              <w:spacing w:line="360" w:lineRule="exact"/>
              <w:rPr>
                <w:rFonts w:hint="eastAsia" w:ascii="宋体" w:hAnsi="宋体"/>
                <w:bCs/>
                <w:color w:val="auto"/>
                <w:highlight w:val="none"/>
              </w:rPr>
            </w:pPr>
            <w:r>
              <w:rPr>
                <w:rFonts w:hint="eastAsia" w:ascii="宋体" w:hAnsi="宋体"/>
                <w:bCs/>
                <w:color w:val="auto"/>
                <w:highlight w:val="none"/>
              </w:rPr>
              <w:t>服务计划及保证措施一般、可行性一般得</w:t>
            </w:r>
            <w:r>
              <w:rPr>
                <w:rFonts w:hint="eastAsia" w:ascii="宋体" w:hAnsi="宋体"/>
                <w:bCs/>
                <w:color w:val="auto"/>
                <w:highlight w:val="none"/>
                <w:lang w:val="en-US" w:eastAsia="zh-CN"/>
              </w:rPr>
              <w:t>3</w:t>
            </w:r>
            <w:r>
              <w:rPr>
                <w:rFonts w:hint="eastAsia" w:ascii="宋体" w:hAnsi="宋体"/>
                <w:bCs/>
                <w:color w:val="auto"/>
                <w:highlight w:val="none"/>
              </w:rPr>
              <w:t>分；</w:t>
            </w:r>
          </w:p>
          <w:p w14:paraId="12D5169D">
            <w:pPr>
              <w:numPr>
                <w:ilvl w:val="0"/>
                <w:numId w:val="0"/>
              </w:numPr>
              <w:spacing w:line="360" w:lineRule="exact"/>
              <w:rPr>
                <w:rFonts w:hint="eastAsia" w:ascii="宋体" w:hAnsi="宋体"/>
                <w:bCs/>
                <w:color w:val="auto"/>
                <w:highlight w:val="none"/>
              </w:rPr>
            </w:pPr>
            <w:r>
              <w:rPr>
                <w:rFonts w:hint="eastAsia" w:ascii="宋体" w:hAnsi="宋体"/>
                <w:bCs/>
                <w:color w:val="auto"/>
                <w:highlight w:val="none"/>
              </w:rPr>
              <w:t>服务计划及保证措施可行性较差得</w:t>
            </w:r>
            <w:r>
              <w:rPr>
                <w:rFonts w:hint="eastAsia" w:ascii="宋体" w:hAnsi="宋体"/>
                <w:bCs/>
                <w:color w:val="auto"/>
                <w:highlight w:val="none"/>
                <w:lang w:val="en-US" w:eastAsia="zh-CN"/>
              </w:rPr>
              <w:t>1</w:t>
            </w:r>
            <w:r>
              <w:rPr>
                <w:rFonts w:hint="eastAsia" w:ascii="宋体" w:hAnsi="宋体"/>
                <w:bCs/>
                <w:color w:val="auto"/>
                <w:highlight w:val="none"/>
              </w:rPr>
              <w:t>分；</w:t>
            </w:r>
          </w:p>
          <w:p w14:paraId="3A4BF752">
            <w:pPr>
              <w:numPr>
                <w:ilvl w:val="0"/>
                <w:numId w:val="0"/>
              </w:numPr>
              <w:spacing w:line="360" w:lineRule="exact"/>
              <w:rPr>
                <w:rFonts w:ascii="宋体" w:hAnsi="宋体"/>
                <w:bCs/>
                <w:color w:val="auto"/>
                <w:highlight w:val="none"/>
              </w:rPr>
            </w:pPr>
            <w:r>
              <w:rPr>
                <w:rFonts w:hint="eastAsia" w:ascii="宋体" w:hAnsi="宋体"/>
                <w:bCs/>
                <w:color w:val="auto"/>
                <w:highlight w:val="none"/>
              </w:rPr>
              <w:t>无此项内容或完全不符合要求的不得分。</w:t>
            </w:r>
          </w:p>
        </w:tc>
        <w:tc>
          <w:tcPr>
            <w:tcW w:w="831" w:type="dxa"/>
            <w:noWrap w:val="0"/>
            <w:vAlign w:val="center"/>
          </w:tcPr>
          <w:p w14:paraId="250A62C3">
            <w:pPr>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5</w:t>
            </w:r>
          </w:p>
        </w:tc>
      </w:tr>
      <w:tr w14:paraId="3B87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726" w:type="dxa"/>
            <w:vMerge w:val="continue"/>
            <w:noWrap w:val="0"/>
            <w:vAlign w:val="center"/>
          </w:tcPr>
          <w:p w14:paraId="5A53480C">
            <w:pPr>
              <w:spacing w:line="400" w:lineRule="exact"/>
              <w:jc w:val="center"/>
              <w:rPr>
                <w:rFonts w:ascii="宋体" w:hAnsi="宋体" w:cs="Arial"/>
                <w:color w:val="auto"/>
                <w:kern w:val="0"/>
                <w:szCs w:val="21"/>
                <w:highlight w:val="none"/>
              </w:rPr>
            </w:pPr>
          </w:p>
        </w:tc>
        <w:tc>
          <w:tcPr>
            <w:tcW w:w="7037" w:type="dxa"/>
            <w:noWrap w:val="0"/>
            <w:vAlign w:val="center"/>
          </w:tcPr>
          <w:p w14:paraId="094E5AA2">
            <w:pPr>
              <w:spacing w:line="360" w:lineRule="exact"/>
              <w:rPr>
                <w:rFonts w:ascii="宋体" w:hAnsi="宋体"/>
                <w:bCs/>
                <w:color w:val="auto"/>
                <w:highlight w:val="none"/>
              </w:rPr>
            </w:pPr>
            <w:r>
              <w:rPr>
                <w:rFonts w:hint="eastAsia" w:ascii="宋体" w:hAnsi="宋体"/>
                <w:color w:val="auto"/>
                <w:highlight w:val="none"/>
                <w:lang w:val="en-US" w:eastAsia="zh-CN"/>
              </w:rPr>
              <w:t>12、</w:t>
            </w:r>
            <w:r>
              <w:rPr>
                <w:rFonts w:hint="eastAsia" w:ascii="宋体" w:hAnsi="宋体"/>
                <w:color w:val="auto"/>
                <w:highlight w:val="none"/>
              </w:rPr>
              <w:t>合理化建议：</w:t>
            </w:r>
          </w:p>
          <w:p w14:paraId="2CBC6EA5">
            <w:pPr>
              <w:widowControl/>
              <w:rPr>
                <w:rFonts w:hint="eastAsia" w:ascii="宋体" w:hAnsi="宋体" w:eastAsia="宋体"/>
                <w:color w:val="auto"/>
                <w:highlight w:val="none"/>
                <w:lang w:eastAsia="zh-CN"/>
              </w:rPr>
            </w:pPr>
            <w:r>
              <w:rPr>
                <w:rFonts w:hint="eastAsia" w:ascii="宋体" w:hAnsi="宋体"/>
                <w:color w:val="auto"/>
                <w:highlight w:val="none"/>
              </w:rPr>
              <w:t>评标委员会根据投标方对本项目的合理化建议进行评议</w:t>
            </w:r>
            <w:r>
              <w:rPr>
                <w:rFonts w:hint="eastAsia" w:ascii="宋体" w:hAnsi="宋体"/>
                <w:color w:val="auto"/>
                <w:highlight w:val="none"/>
                <w:lang w:eastAsia="zh-CN"/>
              </w:rPr>
              <w:t>：</w:t>
            </w:r>
          </w:p>
          <w:p w14:paraId="2A60515E">
            <w:pPr>
              <w:widowControl/>
              <w:rPr>
                <w:rFonts w:hint="eastAsia" w:ascii="宋体" w:hAnsi="宋体"/>
                <w:color w:val="auto"/>
                <w:highlight w:val="none"/>
              </w:rPr>
            </w:pPr>
            <w:r>
              <w:rPr>
                <w:rFonts w:hint="eastAsia" w:ascii="宋体" w:hAnsi="宋体"/>
                <w:color w:val="auto"/>
                <w:highlight w:val="none"/>
              </w:rPr>
              <w:t>内容详细完整，科学合理，的得</w:t>
            </w:r>
            <w:r>
              <w:rPr>
                <w:rFonts w:hint="eastAsia" w:ascii="宋体" w:hAnsi="宋体"/>
                <w:color w:val="auto"/>
                <w:highlight w:val="none"/>
                <w:lang w:val="en-US" w:eastAsia="zh-CN"/>
              </w:rPr>
              <w:t>5</w:t>
            </w:r>
            <w:r>
              <w:rPr>
                <w:rFonts w:hint="eastAsia" w:ascii="宋体" w:hAnsi="宋体"/>
                <w:color w:val="auto"/>
                <w:highlight w:val="none"/>
              </w:rPr>
              <w:t>分；</w:t>
            </w:r>
          </w:p>
          <w:p w14:paraId="53C525A3">
            <w:pPr>
              <w:widowControl/>
              <w:rPr>
                <w:rFonts w:hint="eastAsia" w:ascii="宋体" w:hAnsi="宋体"/>
                <w:color w:val="auto"/>
                <w:highlight w:val="none"/>
                <w:lang w:eastAsia="zh-CN"/>
              </w:rPr>
            </w:pPr>
            <w:r>
              <w:rPr>
                <w:rFonts w:hint="eastAsia" w:ascii="宋体" w:hAnsi="宋体"/>
                <w:color w:val="auto"/>
                <w:highlight w:val="none"/>
              </w:rPr>
              <w:t>内容完整性、合理性一般的得</w:t>
            </w:r>
            <w:r>
              <w:rPr>
                <w:rFonts w:hint="eastAsia" w:ascii="宋体" w:hAnsi="宋体"/>
                <w:color w:val="auto"/>
                <w:highlight w:val="none"/>
                <w:lang w:val="en-US" w:eastAsia="zh-CN"/>
              </w:rPr>
              <w:t>3</w:t>
            </w:r>
            <w:r>
              <w:rPr>
                <w:rFonts w:hint="eastAsia" w:ascii="宋体" w:hAnsi="宋体"/>
                <w:color w:val="auto"/>
                <w:highlight w:val="none"/>
              </w:rPr>
              <w:t>分</w:t>
            </w:r>
            <w:r>
              <w:rPr>
                <w:rFonts w:hint="eastAsia" w:ascii="宋体" w:hAnsi="宋体"/>
                <w:color w:val="auto"/>
                <w:highlight w:val="none"/>
                <w:lang w:eastAsia="zh-CN"/>
              </w:rPr>
              <w:t>；</w:t>
            </w:r>
          </w:p>
          <w:p w14:paraId="292BFE7E">
            <w:pPr>
              <w:widowControl/>
              <w:rPr>
                <w:rFonts w:hint="eastAsia" w:ascii="宋体" w:hAnsi="宋体"/>
                <w:color w:val="auto"/>
                <w:highlight w:val="none"/>
              </w:rPr>
            </w:pPr>
            <w:r>
              <w:rPr>
                <w:rFonts w:hint="eastAsia" w:ascii="宋体" w:hAnsi="宋体"/>
                <w:color w:val="auto"/>
                <w:highlight w:val="none"/>
              </w:rPr>
              <w:t>内容混乱、缺少合理性的得</w:t>
            </w:r>
            <w:r>
              <w:rPr>
                <w:rFonts w:hint="eastAsia" w:ascii="宋体" w:hAnsi="宋体"/>
                <w:color w:val="auto"/>
                <w:highlight w:val="none"/>
                <w:lang w:val="en-US" w:eastAsia="zh-CN"/>
              </w:rPr>
              <w:t>1</w:t>
            </w:r>
            <w:r>
              <w:rPr>
                <w:rFonts w:hint="eastAsia" w:ascii="宋体" w:hAnsi="宋体"/>
                <w:color w:val="auto"/>
                <w:highlight w:val="none"/>
              </w:rPr>
              <w:t>分；</w:t>
            </w:r>
          </w:p>
          <w:p w14:paraId="1CF0AB02">
            <w:pPr>
              <w:widowControl/>
              <w:rPr>
                <w:rFonts w:ascii="宋体" w:hAnsi="宋体"/>
                <w:bCs/>
                <w:color w:val="auto"/>
                <w:highlight w:val="none"/>
              </w:rPr>
            </w:pPr>
            <w:r>
              <w:rPr>
                <w:rFonts w:hint="eastAsia" w:ascii="宋体" w:hAnsi="宋体"/>
                <w:color w:val="auto"/>
                <w:highlight w:val="none"/>
              </w:rPr>
              <w:t>未提供不得分。</w:t>
            </w:r>
          </w:p>
        </w:tc>
        <w:tc>
          <w:tcPr>
            <w:tcW w:w="831" w:type="dxa"/>
            <w:noWrap w:val="0"/>
            <w:vAlign w:val="center"/>
          </w:tcPr>
          <w:p w14:paraId="5C6409F9">
            <w:pPr>
              <w:jc w:val="center"/>
              <w:rPr>
                <w:rFonts w:hint="eastAsia" w:ascii="宋体" w:hAnsi="宋体" w:eastAsia="宋体"/>
                <w:bCs/>
                <w:color w:val="auto"/>
                <w:highlight w:val="none"/>
                <w:lang w:eastAsia="zh-CN"/>
              </w:rPr>
            </w:pPr>
            <w:r>
              <w:rPr>
                <w:rFonts w:hint="eastAsia" w:ascii="宋体" w:hAnsi="宋体"/>
                <w:bCs/>
                <w:color w:val="auto"/>
                <w:highlight w:val="none"/>
                <w:lang w:val="en-US" w:eastAsia="zh-CN"/>
              </w:rPr>
              <w:t>5</w:t>
            </w:r>
          </w:p>
        </w:tc>
      </w:tr>
    </w:tbl>
    <w:p w14:paraId="660BACCB">
      <w:pPr>
        <w:spacing w:line="320" w:lineRule="exact"/>
        <w:rPr>
          <w:rFonts w:ascii="宋体" w:hAnsi="宋体"/>
          <w:color w:val="auto"/>
          <w:szCs w:val="21"/>
          <w:highlight w:val="none"/>
        </w:rPr>
      </w:pPr>
      <w:r>
        <w:rPr>
          <w:rFonts w:hint="eastAsia"/>
          <w:color w:val="auto"/>
          <w:szCs w:val="21"/>
          <w:highlight w:val="none"/>
        </w:rPr>
        <w:t>注：</w:t>
      </w:r>
      <w:r>
        <w:rPr>
          <w:rFonts w:hint="eastAsia" w:ascii="宋体" w:hAnsi="宋体"/>
          <w:color w:val="auto"/>
          <w:szCs w:val="21"/>
          <w:highlight w:val="none"/>
        </w:rPr>
        <w:t>1、各评委成员自行按以上参考分值评分，评分小数点后保留一位数。</w:t>
      </w:r>
    </w:p>
    <w:p w14:paraId="0C4CDB7F">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2、重大事件由评委会集体讨论，须有三分之二或以上的评委签字认可。</w:t>
      </w:r>
    </w:p>
    <w:p w14:paraId="1A653B9B">
      <w:pPr>
        <w:pageBreakBefore/>
        <w:widowControl/>
        <w:spacing w:line="400" w:lineRule="exact"/>
        <w:rPr>
          <w:rFonts w:ascii="宋体" w:hAnsi="宋体"/>
          <w:color w:val="auto"/>
          <w:szCs w:val="21"/>
          <w:highlight w:val="none"/>
        </w:rPr>
      </w:pPr>
      <w:r>
        <w:rPr>
          <w:rFonts w:hint="eastAsia" w:ascii="宋体" w:hAnsi="宋体"/>
          <w:color w:val="auto"/>
          <w:szCs w:val="21"/>
          <w:highlight w:val="none"/>
        </w:rPr>
        <w:t>附表4</w:t>
      </w:r>
    </w:p>
    <w:p w14:paraId="027F7856">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报价文件初步审查表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8"/>
        <w:gridCol w:w="3292"/>
      </w:tblGrid>
      <w:tr w14:paraId="70E8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3DA8DEFD">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5408" w:type="dxa"/>
            <w:tcBorders>
              <w:top w:val="single" w:color="auto" w:sz="4" w:space="0"/>
              <w:left w:val="single" w:color="auto" w:sz="4" w:space="0"/>
              <w:bottom w:val="single" w:color="auto" w:sz="4" w:space="0"/>
              <w:right w:val="single" w:color="auto" w:sz="4" w:space="0"/>
            </w:tcBorders>
            <w:vAlign w:val="center"/>
          </w:tcPr>
          <w:p w14:paraId="65542A93">
            <w:pPr>
              <w:spacing w:line="36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3292" w:type="dxa"/>
            <w:tcBorders>
              <w:top w:val="single" w:color="auto" w:sz="4" w:space="0"/>
              <w:left w:val="single" w:color="auto" w:sz="4" w:space="0"/>
              <w:bottom w:val="single" w:color="auto" w:sz="4" w:space="0"/>
              <w:right w:val="single" w:color="auto" w:sz="4" w:space="0"/>
            </w:tcBorders>
            <w:vAlign w:val="center"/>
          </w:tcPr>
          <w:p w14:paraId="542C98F5">
            <w:pPr>
              <w:spacing w:line="36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14:paraId="0C21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EC53E07">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5408" w:type="dxa"/>
            <w:tcBorders>
              <w:top w:val="single" w:color="auto" w:sz="4" w:space="0"/>
              <w:left w:val="single" w:color="auto" w:sz="4" w:space="0"/>
              <w:bottom w:val="single" w:color="auto" w:sz="4" w:space="0"/>
              <w:right w:val="single" w:color="auto" w:sz="4" w:space="0"/>
            </w:tcBorders>
            <w:vAlign w:val="center"/>
          </w:tcPr>
          <w:p w14:paraId="184BD1E6">
            <w:pPr>
              <w:spacing w:line="360" w:lineRule="exact"/>
              <w:rPr>
                <w:rFonts w:ascii="宋体" w:hAnsi="宋体"/>
                <w:color w:val="auto"/>
                <w:szCs w:val="21"/>
                <w:highlight w:val="none"/>
              </w:rPr>
            </w:pPr>
            <w:r>
              <w:rPr>
                <w:rFonts w:hint="eastAsia" w:ascii="宋体" w:hAnsi="宋体" w:cs="宋体"/>
                <w:b/>
                <w:color w:val="auto"/>
                <w:szCs w:val="21"/>
                <w:highlight w:val="none"/>
                <w:lang w:bidi="ar"/>
              </w:rPr>
              <w:t>本次公开招标设有</w:t>
            </w:r>
            <w:r>
              <w:rPr>
                <w:rFonts w:hint="eastAsia" w:ascii="宋体" w:hAnsi="宋体" w:cs="宋体"/>
                <w:b/>
                <w:color w:val="auto"/>
                <w:szCs w:val="21"/>
                <w:highlight w:val="none"/>
              </w:rPr>
              <w:t>最高折扣费率</w:t>
            </w:r>
            <w:r>
              <w:rPr>
                <w:rFonts w:hint="eastAsia" w:ascii="宋体" w:hAnsi="宋体" w:cs="宋体"/>
                <w:b/>
                <w:color w:val="auto"/>
                <w:szCs w:val="21"/>
                <w:highlight w:val="none"/>
                <w:lang w:bidi="ar"/>
              </w:rPr>
              <w:t>：</w:t>
            </w:r>
            <w:r>
              <w:rPr>
                <w:rFonts w:hint="eastAsia" w:ascii="宋体" w:hAnsi="宋体" w:cs="宋体"/>
                <w:b/>
                <w:color w:val="auto"/>
                <w:szCs w:val="21"/>
                <w:highlight w:val="none"/>
              </w:rPr>
              <w:t>本次招标最高折扣费率为90%，投标报价超出最高折扣费率的投标无效（即折扣费率≤90%为有效报价）</w:t>
            </w:r>
          </w:p>
        </w:tc>
        <w:tc>
          <w:tcPr>
            <w:tcW w:w="3292" w:type="dxa"/>
            <w:tcBorders>
              <w:top w:val="single" w:color="auto" w:sz="4" w:space="0"/>
              <w:left w:val="single" w:color="auto" w:sz="4" w:space="0"/>
              <w:bottom w:val="single" w:color="auto" w:sz="4" w:space="0"/>
              <w:right w:val="single" w:color="auto" w:sz="4" w:space="0"/>
            </w:tcBorders>
            <w:vAlign w:val="center"/>
          </w:tcPr>
          <w:p w14:paraId="153D9457">
            <w:pPr>
              <w:pStyle w:val="21"/>
              <w:snapToGrid w:val="0"/>
              <w:spacing w:before="0" w:beforeAutospacing="0" w:after="0" w:afterAutospacing="0" w:line="360" w:lineRule="exact"/>
              <w:rPr>
                <w:color w:val="auto"/>
                <w:szCs w:val="21"/>
                <w:highlight w:val="none"/>
              </w:rPr>
            </w:pPr>
            <w:r>
              <w:rPr>
                <w:rFonts w:hint="eastAsia" w:cs="Times New Roman"/>
                <w:color w:val="auto"/>
                <w:sz w:val="21"/>
                <w:szCs w:val="21"/>
                <w:highlight w:val="none"/>
              </w:rPr>
              <w:t>提供“开标一览表”</w:t>
            </w:r>
          </w:p>
        </w:tc>
      </w:tr>
      <w:tr w14:paraId="02DF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7AF0106">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5408" w:type="dxa"/>
            <w:tcBorders>
              <w:top w:val="single" w:color="auto" w:sz="4" w:space="0"/>
              <w:left w:val="single" w:color="auto" w:sz="4" w:space="0"/>
              <w:bottom w:val="single" w:color="auto" w:sz="4" w:space="0"/>
              <w:right w:val="single" w:color="auto" w:sz="4" w:space="0"/>
            </w:tcBorders>
            <w:vAlign w:val="center"/>
          </w:tcPr>
          <w:p w14:paraId="6F8FED10">
            <w:pPr>
              <w:spacing w:line="400" w:lineRule="exact"/>
              <w:rPr>
                <w:rFonts w:ascii="宋体" w:hAnsi="宋体"/>
                <w:color w:val="auto"/>
                <w:szCs w:val="21"/>
                <w:highlight w:val="none"/>
              </w:rPr>
            </w:pPr>
            <w:r>
              <w:rPr>
                <w:rFonts w:hint="eastAsia" w:ascii="宋体" w:hAnsi="宋体"/>
                <w:color w:val="auto"/>
                <w:szCs w:val="21"/>
                <w:highlight w:val="none"/>
              </w:rPr>
              <w:t>按招标文件要求签署、盖章。</w:t>
            </w:r>
          </w:p>
        </w:tc>
        <w:tc>
          <w:tcPr>
            <w:tcW w:w="3292" w:type="dxa"/>
            <w:tcBorders>
              <w:top w:val="single" w:color="auto" w:sz="4" w:space="0"/>
              <w:left w:val="single" w:color="auto" w:sz="4" w:space="0"/>
              <w:bottom w:val="single" w:color="auto" w:sz="4" w:space="0"/>
              <w:right w:val="single" w:color="auto" w:sz="4" w:space="0"/>
            </w:tcBorders>
            <w:vAlign w:val="center"/>
          </w:tcPr>
          <w:p w14:paraId="477BBE1D">
            <w:pPr>
              <w:spacing w:line="400" w:lineRule="exact"/>
              <w:rPr>
                <w:rFonts w:ascii="宋体" w:hAnsi="宋体"/>
                <w:color w:val="auto"/>
                <w:szCs w:val="21"/>
                <w:highlight w:val="none"/>
              </w:rPr>
            </w:pPr>
            <w:r>
              <w:rPr>
                <w:rFonts w:hint="eastAsia" w:ascii="宋体" w:hAnsi="宋体"/>
                <w:color w:val="auto"/>
                <w:szCs w:val="21"/>
                <w:highlight w:val="none"/>
              </w:rPr>
              <w:t>投标文件的签署盖章符合要求。</w:t>
            </w:r>
          </w:p>
        </w:tc>
      </w:tr>
      <w:tr w14:paraId="26B4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A026B17">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5408" w:type="dxa"/>
            <w:tcBorders>
              <w:top w:val="single" w:color="auto" w:sz="4" w:space="0"/>
              <w:left w:val="single" w:color="auto" w:sz="4" w:space="0"/>
              <w:bottom w:val="single" w:color="auto" w:sz="4" w:space="0"/>
              <w:right w:val="single" w:color="auto" w:sz="4" w:space="0"/>
            </w:tcBorders>
            <w:vAlign w:val="center"/>
          </w:tcPr>
          <w:p w14:paraId="4756618A">
            <w:pPr>
              <w:spacing w:line="400" w:lineRule="exact"/>
              <w:rPr>
                <w:rFonts w:ascii="宋体" w:hAnsi="宋体"/>
                <w:color w:val="auto"/>
                <w:szCs w:val="21"/>
                <w:highlight w:val="none"/>
              </w:rPr>
            </w:pPr>
            <w:r>
              <w:rPr>
                <w:rFonts w:hint="eastAsia" w:ascii="宋体" w:hAnsi="宋体"/>
                <w:color w:val="auto"/>
                <w:szCs w:val="21"/>
                <w:highlight w:val="none"/>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292" w:type="dxa"/>
            <w:tcBorders>
              <w:top w:val="single" w:color="auto" w:sz="4" w:space="0"/>
              <w:left w:val="single" w:color="auto" w:sz="4" w:space="0"/>
              <w:bottom w:val="single" w:color="auto" w:sz="4" w:space="0"/>
              <w:right w:val="single" w:color="auto" w:sz="4" w:space="0"/>
            </w:tcBorders>
            <w:vAlign w:val="center"/>
          </w:tcPr>
          <w:p w14:paraId="3075BA83">
            <w:pPr>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14:paraId="0399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34AF248">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5408" w:type="dxa"/>
            <w:tcBorders>
              <w:top w:val="single" w:color="auto" w:sz="4" w:space="0"/>
              <w:left w:val="single" w:color="auto" w:sz="4" w:space="0"/>
              <w:bottom w:val="single" w:color="auto" w:sz="4" w:space="0"/>
              <w:right w:val="single" w:color="auto" w:sz="4" w:space="0"/>
            </w:tcBorders>
            <w:vAlign w:val="center"/>
          </w:tcPr>
          <w:p w14:paraId="09DBC516">
            <w:pPr>
              <w:spacing w:line="40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p>
        </w:tc>
        <w:tc>
          <w:tcPr>
            <w:tcW w:w="3292" w:type="dxa"/>
            <w:tcBorders>
              <w:top w:val="single" w:color="auto" w:sz="4" w:space="0"/>
              <w:left w:val="single" w:color="auto" w:sz="4" w:space="0"/>
              <w:bottom w:val="single" w:color="auto" w:sz="4" w:space="0"/>
              <w:right w:val="single" w:color="auto" w:sz="4" w:space="0"/>
            </w:tcBorders>
            <w:vAlign w:val="center"/>
          </w:tcPr>
          <w:p w14:paraId="4CEB062A">
            <w:pPr>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14:paraId="5986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8" w:type="dxa"/>
            <w:gridSpan w:val="2"/>
            <w:tcBorders>
              <w:top w:val="single" w:color="auto" w:sz="4" w:space="0"/>
              <w:left w:val="single" w:color="auto" w:sz="4" w:space="0"/>
              <w:bottom w:val="single" w:color="auto" w:sz="4" w:space="0"/>
              <w:right w:val="single" w:color="auto" w:sz="4" w:space="0"/>
            </w:tcBorders>
            <w:vAlign w:val="center"/>
          </w:tcPr>
          <w:p w14:paraId="100A4F95">
            <w:pPr>
              <w:spacing w:line="400" w:lineRule="exact"/>
              <w:jc w:val="center"/>
              <w:rPr>
                <w:rFonts w:ascii="宋体" w:hAnsi="宋体"/>
                <w:color w:val="auto"/>
                <w:szCs w:val="21"/>
                <w:highlight w:val="none"/>
              </w:rPr>
            </w:pPr>
            <w:r>
              <w:rPr>
                <w:rFonts w:hint="eastAsia" w:ascii="宋体" w:hAnsi="宋体"/>
                <w:b/>
                <w:color w:val="auto"/>
                <w:szCs w:val="21"/>
                <w:highlight w:val="none"/>
              </w:rPr>
              <w:t>初步审查结论</w:t>
            </w:r>
          </w:p>
        </w:tc>
        <w:tc>
          <w:tcPr>
            <w:tcW w:w="3292" w:type="dxa"/>
            <w:tcBorders>
              <w:top w:val="single" w:color="auto" w:sz="4" w:space="0"/>
              <w:left w:val="single" w:color="auto" w:sz="4" w:space="0"/>
              <w:bottom w:val="single" w:color="auto" w:sz="4" w:space="0"/>
              <w:right w:val="single" w:color="auto" w:sz="4" w:space="0"/>
            </w:tcBorders>
            <w:vAlign w:val="center"/>
          </w:tcPr>
          <w:p w14:paraId="2C8A16C2">
            <w:pPr>
              <w:spacing w:line="400" w:lineRule="exact"/>
              <w:rPr>
                <w:rFonts w:ascii="宋体" w:hAnsi="宋体"/>
                <w:color w:val="auto"/>
                <w:szCs w:val="21"/>
                <w:highlight w:val="none"/>
              </w:rPr>
            </w:pPr>
          </w:p>
        </w:tc>
      </w:tr>
    </w:tbl>
    <w:p w14:paraId="5E11F48F">
      <w:pPr>
        <w:spacing w:line="400" w:lineRule="exact"/>
        <w:rPr>
          <w:rFonts w:ascii="宋体" w:hAnsi="宋体"/>
          <w:color w:val="auto"/>
          <w:szCs w:val="21"/>
          <w:highlight w:val="none"/>
        </w:rPr>
      </w:pPr>
      <w:r>
        <w:rPr>
          <w:rFonts w:hint="eastAsia" w:ascii="宋体" w:hAnsi="宋体"/>
          <w:b/>
          <w:color w:val="auto"/>
          <w:highlight w:val="none"/>
        </w:rPr>
        <w:t>注：1、上述审查项目中，任意一项不符合的，报价文件初步审查不合格。</w:t>
      </w:r>
    </w:p>
    <w:p w14:paraId="158C0F80">
      <w:pPr>
        <w:rPr>
          <w:rFonts w:ascii="宋体" w:hAnsi="宋体"/>
          <w:color w:val="auto"/>
          <w:szCs w:val="21"/>
          <w:highlight w:val="none"/>
        </w:rPr>
      </w:pPr>
      <w:bookmarkStart w:id="11" w:name="_Toc69459369"/>
      <w:bookmarkStart w:id="12" w:name="_Toc13935"/>
    </w:p>
    <w:p w14:paraId="1884D1AF">
      <w:pPr>
        <w:rPr>
          <w:rFonts w:ascii="宋体" w:hAnsi="宋体"/>
          <w:color w:val="auto"/>
          <w:szCs w:val="21"/>
          <w:highlight w:val="none"/>
        </w:rPr>
      </w:pPr>
    </w:p>
    <w:p w14:paraId="660B2D08">
      <w:pPr>
        <w:rPr>
          <w:rFonts w:ascii="宋体" w:hAnsi="宋体"/>
          <w:color w:val="auto"/>
          <w:szCs w:val="21"/>
          <w:highlight w:val="none"/>
        </w:rPr>
      </w:pPr>
    </w:p>
    <w:p w14:paraId="6D2AAF32">
      <w:pPr>
        <w:rPr>
          <w:rFonts w:ascii="宋体" w:hAnsi="宋体"/>
          <w:color w:val="auto"/>
          <w:szCs w:val="21"/>
          <w:highlight w:val="none"/>
        </w:rPr>
      </w:pPr>
      <w:r>
        <w:rPr>
          <w:rFonts w:hint="eastAsia" w:ascii="宋体" w:hAnsi="宋体"/>
          <w:color w:val="auto"/>
          <w:szCs w:val="21"/>
          <w:highlight w:val="none"/>
        </w:rPr>
        <w:t>附表5</w:t>
      </w:r>
    </w:p>
    <w:p w14:paraId="4CEDC0FC">
      <w:pPr>
        <w:widowControl/>
        <w:snapToGrid w:val="0"/>
        <w:spacing w:line="560" w:lineRule="exact"/>
        <w:jc w:val="center"/>
        <w:rPr>
          <w:rFonts w:ascii="宋体" w:hAnsi="宋体"/>
          <w:b/>
          <w:color w:val="auto"/>
          <w:sz w:val="28"/>
          <w:szCs w:val="28"/>
          <w:highlight w:val="none"/>
        </w:rPr>
      </w:pPr>
      <w:r>
        <w:rPr>
          <w:rFonts w:hint="eastAsia" w:ascii="宋体" w:hAnsi="宋体"/>
          <w:b/>
          <w:color w:val="auto"/>
          <w:sz w:val="28"/>
          <w:szCs w:val="28"/>
          <w:highlight w:val="none"/>
        </w:rPr>
        <w:t>价格评分表</w:t>
      </w:r>
    </w:p>
    <w:p w14:paraId="056742DF">
      <w:pPr>
        <w:spacing w:line="320" w:lineRule="exact"/>
        <w:rPr>
          <w:rFonts w:ascii="宋体" w:hAnsi="宋体"/>
          <w:b/>
          <w:color w:val="auto"/>
          <w:szCs w:val="21"/>
          <w:highlight w:val="none"/>
        </w:rPr>
      </w:pPr>
    </w:p>
    <w:bookmarkEnd w:id="11"/>
    <w:bookmarkEnd w:id="12"/>
    <w:tbl>
      <w:tblPr>
        <w:tblStyle w:val="44"/>
        <w:tblpPr w:leftFromText="180" w:rightFromText="180" w:vertAnchor="text" w:horzAnchor="page" w:tblpX="1049" w:tblpY="50"/>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980"/>
        <w:gridCol w:w="856"/>
      </w:tblGrid>
      <w:tr w14:paraId="651B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000" w:type="dxa"/>
            <w:gridSpan w:val="2"/>
            <w:tcBorders>
              <w:top w:val="single" w:color="auto" w:sz="4" w:space="0"/>
              <w:left w:val="single" w:color="auto" w:sz="4" w:space="0"/>
              <w:bottom w:val="single" w:color="auto" w:sz="4" w:space="0"/>
              <w:right w:val="single" w:color="auto" w:sz="4" w:space="0"/>
              <w:tl2br w:val="single" w:color="000000" w:sz="4" w:space="0"/>
            </w:tcBorders>
          </w:tcPr>
          <w:p w14:paraId="0B67A775">
            <w:pPr>
              <w:spacing w:line="320" w:lineRule="exact"/>
              <w:ind w:right="420" w:firstLine="4410" w:firstLineChars="2100"/>
              <w:rPr>
                <w:rFonts w:ascii="宋体" w:hAnsi="宋体" w:cs="宋体"/>
                <w:color w:val="auto"/>
                <w:szCs w:val="21"/>
                <w:highlight w:val="none"/>
              </w:rPr>
            </w:pPr>
            <w:r>
              <w:rPr>
                <w:rFonts w:hint="eastAsia" w:ascii="宋体" w:hAnsi="宋体" w:cs="宋体"/>
                <w:color w:val="auto"/>
                <w:szCs w:val="21"/>
                <w:highlight w:val="none"/>
                <w:lang w:bidi="ar"/>
              </w:rPr>
              <w:t xml:space="preserve">                        供应商</w:t>
            </w:r>
          </w:p>
          <w:p w14:paraId="37488B26">
            <w:pPr>
              <w:spacing w:line="320" w:lineRule="exact"/>
              <w:ind w:firstLine="945" w:firstLineChars="450"/>
              <w:rPr>
                <w:rFonts w:ascii="宋体" w:hAnsi="宋体" w:cs="宋体"/>
                <w:color w:val="auto"/>
                <w:szCs w:val="21"/>
                <w:highlight w:val="none"/>
                <w:lang w:val="ru"/>
              </w:rPr>
            </w:pPr>
            <w:r>
              <w:rPr>
                <w:rFonts w:hint="eastAsia" w:ascii="宋体" w:hAnsi="宋体" w:cs="宋体"/>
                <w:color w:val="auto"/>
                <w:szCs w:val="21"/>
                <w:highlight w:val="none"/>
                <w:lang w:bidi="ar"/>
              </w:rPr>
              <w:t>分值</w:t>
            </w:r>
          </w:p>
        </w:tc>
        <w:tc>
          <w:tcPr>
            <w:tcW w:w="856" w:type="dxa"/>
            <w:tcBorders>
              <w:top w:val="single" w:color="auto" w:sz="4" w:space="0"/>
              <w:left w:val="single" w:color="auto" w:sz="4" w:space="0"/>
              <w:bottom w:val="single" w:color="auto" w:sz="4" w:space="0"/>
              <w:right w:val="single" w:color="auto" w:sz="4" w:space="0"/>
            </w:tcBorders>
            <w:vAlign w:val="center"/>
          </w:tcPr>
          <w:p w14:paraId="7B72D4F5">
            <w:pPr>
              <w:spacing w:line="320" w:lineRule="exact"/>
              <w:jc w:val="center"/>
              <w:rPr>
                <w:rFonts w:ascii="宋体" w:hAnsi="宋体" w:cs="宋体"/>
                <w:color w:val="auto"/>
                <w:szCs w:val="21"/>
                <w:highlight w:val="none"/>
                <w:lang w:val="ru"/>
              </w:rPr>
            </w:pPr>
            <w:r>
              <w:rPr>
                <w:rFonts w:hint="eastAsia" w:ascii="宋体" w:hAnsi="宋体" w:cs="宋体"/>
                <w:color w:val="auto"/>
                <w:szCs w:val="21"/>
                <w:highlight w:val="none"/>
                <w:lang w:val="ru"/>
              </w:rPr>
              <w:t>分值</w:t>
            </w:r>
          </w:p>
        </w:tc>
      </w:tr>
      <w:tr w14:paraId="03E8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5" w:hRule="atLeast"/>
        </w:trPr>
        <w:tc>
          <w:tcPr>
            <w:tcW w:w="1020" w:type="dxa"/>
            <w:tcBorders>
              <w:top w:val="single" w:color="auto" w:sz="4" w:space="0"/>
              <w:left w:val="single" w:color="auto" w:sz="4" w:space="0"/>
              <w:right w:val="single" w:color="auto" w:sz="4" w:space="0"/>
            </w:tcBorders>
            <w:vAlign w:val="center"/>
          </w:tcPr>
          <w:p w14:paraId="0D099ABE">
            <w:pPr>
              <w:snapToGrid w:val="0"/>
              <w:jc w:val="center"/>
              <w:rPr>
                <w:rFonts w:ascii="宋体" w:hAnsi="宋体" w:cs="宋体"/>
                <w:color w:val="auto"/>
                <w:spacing w:val="-4"/>
                <w:szCs w:val="21"/>
                <w:highlight w:val="none"/>
              </w:rPr>
            </w:pPr>
            <w:r>
              <w:rPr>
                <w:rFonts w:hint="eastAsia" w:ascii="宋体" w:hAnsi="宋体" w:cs="宋体"/>
                <w:color w:val="auto"/>
                <w:spacing w:val="-4"/>
                <w:szCs w:val="21"/>
                <w:highlight w:val="none"/>
              </w:rPr>
              <w:t>价格</w:t>
            </w:r>
          </w:p>
          <w:p w14:paraId="735142AB">
            <w:pPr>
              <w:snapToGrid w:val="0"/>
              <w:jc w:val="center"/>
              <w:rPr>
                <w:rFonts w:ascii="宋体" w:hAnsi="宋体" w:cs="宋体"/>
                <w:color w:val="auto"/>
                <w:szCs w:val="21"/>
                <w:highlight w:val="none"/>
              </w:rPr>
            </w:pPr>
            <w:r>
              <w:rPr>
                <w:rFonts w:hint="eastAsia" w:ascii="宋体" w:hAnsi="宋体" w:cs="宋体"/>
                <w:color w:val="auto"/>
                <w:spacing w:val="-4"/>
                <w:szCs w:val="21"/>
                <w:highlight w:val="none"/>
              </w:rPr>
              <w:t>（</w:t>
            </w:r>
            <w:r>
              <w:rPr>
                <w:rFonts w:hint="eastAsia" w:ascii="宋体" w:hAnsi="宋体" w:cs="宋体"/>
                <w:color w:val="auto"/>
                <w:spacing w:val="-4"/>
                <w:szCs w:val="21"/>
                <w:highlight w:val="none"/>
                <w:lang w:val="en-US" w:eastAsia="zh-CN"/>
              </w:rPr>
              <w:t>20</w:t>
            </w:r>
            <w:r>
              <w:rPr>
                <w:rFonts w:hint="eastAsia" w:ascii="宋体" w:hAnsi="宋体" w:cs="宋体"/>
                <w:color w:val="auto"/>
                <w:spacing w:val="-4"/>
                <w:szCs w:val="21"/>
                <w:highlight w:val="none"/>
              </w:rPr>
              <w:t>分）</w:t>
            </w:r>
          </w:p>
        </w:tc>
        <w:tc>
          <w:tcPr>
            <w:tcW w:w="7980" w:type="dxa"/>
            <w:tcBorders>
              <w:top w:val="single" w:color="auto" w:sz="4" w:space="0"/>
              <w:left w:val="single" w:color="auto" w:sz="4" w:space="0"/>
              <w:right w:val="single" w:color="auto" w:sz="4" w:space="0"/>
            </w:tcBorders>
            <w:vAlign w:val="center"/>
          </w:tcPr>
          <w:p w14:paraId="4EB09E25">
            <w:pPr>
              <w:widowControl/>
              <w:rPr>
                <w:rFonts w:ascii="宋体" w:hAnsi="宋体" w:cs="仿宋_GB2312"/>
                <w:bCs/>
                <w:color w:val="auto"/>
                <w:szCs w:val="21"/>
                <w:highlight w:val="none"/>
              </w:rPr>
            </w:pPr>
            <w:r>
              <w:rPr>
                <w:rFonts w:hint="eastAsia" w:ascii="宋体" w:hAnsi="宋体" w:cs="仿宋_GB2312"/>
                <w:bCs/>
                <w:color w:val="auto"/>
                <w:szCs w:val="21"/>
                <w:highlight w:val="none"/>
              </w:rPr>
              <w:t>参与评审的价格=投标报价-小微企业价格扣除优惠值</w:t>
            </w:r>
            <w:r>
              <w:rPr>
                <w:rFonts w:ascii="宋体" w:hAnsi="宋体" w:cs="仿宋_GB2312"/>
                <w:bCs/>
                <w:color w:val="auto"/>
                <w:szCs w:val="21"/>
                <w:highlight w:val="none"/>
              </w:rPr>
              <w:t>10</w:t>
            </w:r>
            <w:r>
              <w:rPr>
                <w:rFonts w:hint="eastAsia" w:ascii="宋体" w:hAnsi="宋体" w:cs="仿宋_GB2312"/>
                <w:bCs/>
                <w:color w:val="auto"/>
                <w:szCs w:val="21"/>
                <w:highlight w:val="none"/>
              </w:rPr>
              <w:t>%</w:t>
            </w:r>
          </w:p>
          <w:p w14:paraId="006BDDD8">
            <w:pPr>
              <w:widowControl/>
              <w:rPr>
                <w:rFonts w:ascii="宋体" w:hAnsi="宋体" w:cs="仿宋_GB2312"/>
                <w:bCs/>
                <w:color w:val="auto"/>
                <w:szCs w:val="21"/>
                <w:highlight w:val="none"/>
              </w:rPr>
            </w:pPr>
            <w:r>
              <w:rPr>
                <w:rFonts w:hint="eastAsia" w:ascii="宋体" w:hAnsi="宋体" w:cs="仿宋_GB2312"/>
                <w:bCs/>
                <w:color w:val="auto"/>
                <w:szCs w:val="21"/>
                <w:highlight w:val="none"/>
              </w:rPr>
              <w:t>满足招标文件要求且</w:t>
            </w:r>
            <w:r>
              <w:rPr>
                <w:rFonts w:hint="eastAsia" w:ascii="宋体" w:hAnsi="宋体"/>
                <w:color w:val="auto"/>
                <w:szCs w:val="21"/>
                <w:highlight w:val="none"/>
              </w:rPr>
              <w:t>“参与评审的价格”中</w:t>
            </w:r>
            <w:r>
              <w:rPr>
                <w:rFonts w:hint="eastAsia" w:ascii="宋体" w:hAnsi="宋体" w:cs="仿宋_GB2312"/>
                <w:bCs/>
                <w:color w:val="auto"/>
                <w:szCs w:val="21"/>
                <w:highlight w:val="none"/>
              </w:rPr>
              <w:t>最低的投标报价为评标基准价，等于基准价的得分为满分</w:t>
            </w:r>
            <w:r>
              <w:rPr>
                <w:rFonts w:hint="eastAsia" w:ascii="宋体" w:hAnsi="宋体" w:cs="仿宋_GB2312"/>
                <w:bCs/>
                <w:color w:val="auto"/>
                <w:szCs w:val="21"/>
                <w:highlight w:val="none"/>
                <w:lang w:val="en-US" w:eastAsia="zh-CN"/>
              </w:rPr>
              <w:t>20</w:t>
            </w:r>
            <w:r>
              <w:rPr>
                <w:rFonts w:hint="eastAsia" w:ascii="宋体" w:hAnsi="宋体" w:cs="仿宋_GB2312"/>
                <w:bCs/>
                <w:color w:val="auto"/>
                <w:szCs w:val="21"/>
                <w:highlight w:val="none"/>
              </w:rPr>
              <w:t>分。</w:t>
            </w:r>
          </w:p>
          <w:p w14:paraId="60F7ADCF">
            <w:pPr>
              <w:snapToGrid w:val="0"/>
              <w:jc w:val="left"/>
              <w:rPr>
                <w:rFonts w:ascii="宋体" w:hAnsi="宋体" w:cs="宋体"/>
                <w:color w:val="auto"/>
                <w:szCs w:val="21"/>
                <w:highlight w:val="none"/>
              </w:rPr>
            </w:pPr>
            <w:r>
              <w:rPr>
                <w:rFonts w:hint="eastAsia" w:ascii="宋体" w:hAnsi="宋体" w:cs="仿宋_GB2312"/>
                <w:bCs/>
                <w:color w:val="auto"/>
                <w:szCs w:val="21"/>
                <w:highlight w:val="none"/>
              </w:rPr>
              <w:t>其他投标供应商的价格分统一按照下列公式计算：投标报价得分=（评标基准价/</w:t>
            </w:r>
            <w:r>
              <w:rPr>
                <w:rFonts w:hint="eastAsia" w:ascii="宋体" w:hAnsi="宋体"/>
                <w:color w:val="auto"/>
                <w:szCs w:val="21"/>
                <w:highlight w:val="none"/>
              </w:rPr>
              <w:t>参与评审的价格</w:t>
            </w:r>
            <w:r>
              <w:rPr>
                <w:rFonts w:hint="eastAsia" w:ascii="宋体" w:hAnsi="宋体" w:cs="仿宋_GB2312"/>
                <w:bCs/>
                <w:color w:val="auto"/>
                <w:szCs w:val="21"/>
                <w:highlight w:val="none"/>
              </w:rPr>
              <w:t>）×</w:t>
            </w:r>
            <w:r>
              <w:rPr>
                <w:rFonts w:hint="eastAsia" w:ascii="宋体" w:hAnsi="宋体" w:cs="仿宋_GB2312"/>
                <w:bCs/>
                <w:color w:val="auto"/>
                <w:szCs w:val="21"/>
                <w:highlight w:val="none"/>
                <w:lang w:val="en-US" w:eastAsia="zh-CN"/>
              </w:rPr>
              <w:t>20</w:t>
            </w:r>
            <w:r>
              <w:rPr>
                <w:rFonts w:hint="eastAsia" w:ascii="宋体" w:hAnsi="宋体" w:cs="仿宋_GB2312"/>
                <w:bCs/>
                <w:color w:val="auto"/>
                <w:szCs w:val="21"/>
                <w:highlight w:val="none"/>
              </w:rPr>
              <w:t>。</w:t>
            </w:r>
            <w:r>
              <w:rPr>
                <w:rFonts w:hint="eastAsia" w:ascii="宋体" w:hAnsi="宋体"/>
                <w:color w:val="auto"/>
                <w:szCs w:val="21"/>
                <w:highlight w:val="none"/>
              </w:rPr>
              <w:t>保留小数点后2位。</w:t>
            </w:r>
          </w:p>
        </w:tc>
        <w:tc>
          <w:tcPr>
            <w:tcW w:w="856" w:type="dxa"/>
            <w:tcBorders>
              <w:top w:val="single" w:color="auto" w:sz="4" w:space="0"/>
              <w:left w:val="single" w:color="auto" w:sz="4" w:space="0"/>
              <w:bottom w:val="single" w:color="auto" w:sz="4" w:space="0"/>
              <w:right w:val="single" w:color="auto" w:sz="4" w:space="0"/>
            </w:tcBorders>
            <w:vAlign w:val="center"/>
          </w:tcPr>
          <w:p w14:paraId="11199CC0">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r>
      <w:tr w14:paraId="41B0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9000" w:type="dxa"/>
            <w:gridSpan w:val="2"/>
            <w:tcBorders>
              <w:top w:val="single" w:color="auto" w:sz="4" w:space="0"/>
              <w:left w:val="single" w:color="auto" w:sz="4" w:space="0"/>
              <w:bottom w:val="single" w:color="auto" w:sz="4" w:space="0"/>
              <w:right w:val="single" w:color="auto" w:sz="4" w:space="0"/>
            </w:tcBorders>
            <w:vAlign w:val="center"/>
          </w:tcPr>
          <w:p w14:paraId="580A2CFA">
            <w:pPr>
              <w:spacing w:line="320" w:lineRule="exact"/>
              <w:jc w:val="center"/>
              <w:rPr>
                <w:rFonts w:ascii="宋体" w:hAnsi="宋体" w:cs="宋体"/>
                <w:color w:val="auto"/>
                <w:szCs w:val="21"/>
                <w:highlight w:val="none"/>
              </w:rPr>
            </w:pPr>
            <w:r>
              <w:rPr>
                <w:rFonts w:hint="eastAsia" w:ascii="宋体" w:hAnsi="宋体" w:cs="宋体"/>
                <w:b/>
                <w:color w:val="auto"/>
                <w:sz w:val="22"/>
                <w:szCs w:val="18"/>
                <w:highlight w:val="none"/>
                <w:lang w:bidi="ar"/>
              </w:rPr>
              <w:t>报价得分（</w:t>
            </w:r>
            <w:r>
              <w:rPr>
                <w:rFonts w:hint="eastAsia" w:ascii="宋体" w:hAnsi="宋体" w:cs="宋体"/>
                <w:b/>
                <w:color w:val="auto"/>
                <w:sz w:val="22"/>
                <w:szCs w:val="18"/>
                <w:highlight w:val="none"/>
                <w:lang w:val="en-US" w:eastAsia="zh-CN" w:bidi="ar"/>
              </w:rPr>
              <w:t>20</w:t>
            </w:r>
            <w:r>
              <w:rPr>
                <w:rFonts w:hint="eastAsia" w:ascii="宋体" w:hAnsi="宋体" w:cs="宋体"/>
                <w:b/>
                <w:color w:val="auto"/>
                <w:sz w:val="22"/>
                <w:szCs w:val="18"/>
                <w:highlight w:val="none"/>
                <w:lang w:bidi="ar"/>
              </w:rPr>
              <w:t>分）</w:t>
            </w:r>
          </w:p>
        </w:tc>
        <w:tc>
          <w:tcPr>
            <w:tcW w:w="856" w:type="dxa"/>
            <w:tcBorders>
              <w:top w:val="single" w:color="auto" w:sz="4" w:space="0"/>
              <w:left w:val="single" w:color="auto" w:sz="4" w:space="0"/>
              <w:bottom w:val="single" w:color="auto" w:sz="4" w:space="0"/>
              <w:right w:val="single" w:color="auto" w:sz="4" w:space="0"/>
            </w:tcBorders>
            <w:vAlign w:val="center"/>
          </w:tcPr>
          <w:p w14:paraId="6A5E1E54">
            <w:pPr>
              <w:spacing w:line="320" w:lineRule="exact"/>
              <w:jc w:val="center"/>
              <w:rPr>
                <w:rFonts w:ascii="宋体" w:hAnsi="宋体" w:cs="宋体"/>
                <w:color w:val="auto"/>
                <w:szCs w:val="21"/>
                <w:highlight w:val="none"/>
              </w:rPr>
            </w:pPr>
          </w:p>
        </w:tc>
      </w:tr>
    </w:tbl>
    <w:p w14:paraId="5BDFB157">
      <w:pPr>
        <w:spacing w:line="400" w:lineRule="exact"/>
        <w:rPr>
          <w:rFonts w:ascii="宋体" w:hAnsi="宋体"/>
          <w:color w:val="auto"/>
          <w:szCs w:val="21"/>
          <w:highlight w:val="none"/>
        </w:rPr>
      </w:pPr>
    </w:p>
    <w:p w14:paraId="301357AE">
      <w:pPr>
        <w:spacing w:line="400" w:lineRule="exact"/>
        <w:rPr>
          <w:rFonts w:ascii="宋体" w:hAnsi="宋体"/>
          <w:color w:val="auto"/>
          <w:szCs w:val="21"/>
          <w:highlight w:val="none"/>
        </w:rPr>
      </w:pPr>
    </w:p>
    <w:p w14:paraId="34CD3B7F">
      <w:pPr>
        <w:pageBreakBefore/>
        <w:jc w:val="center"/>
        <w:outlineLvl w:val="0"/>
        <w:rPr>
          <w:rFonts w:ascii="宋体" w:hAnsi="宋体"/>
          <w:b/>
          <w:color w:val="auto"/>
          <w:sz w:val="32"/>
          <w:highlight w:val="none"/>
        </w:rPr>
      </w:pPr>
      <w:bookmarkStart w:id="13" w:name="_Toc102053016"/>
      <w:r>
        <w:rPr>
          <w:rFonts w:hint="eastAsia" w:ascii="宋体" w:hAnsi="宋体"/>
          <w:b/>
          <w:color w:val="auto"/>
          <w:sz w:val="32"/>
          <w:highlight w:val="none"/>
        </w:rPr>
        <w:t>第四章  合同样本</w:t>
      </w:r>
      <w:bookmarkEnd w:id="13"/>
    </w:p>
    <w:p w14:paraId="53DEEA8A">
      <w:pPr>
        <w:jc w:val="center"/>
        <w:rPr>
          <w:b/>
          <w:color w:val="auto"/>
          <w:sz w:val="24"/>
          <w:szCs w:val="24"/>
          <w:highlight w:val="none"/>
        </w:rPr>
      </w:pPr>
      <w:bookmarkStart w:id="14" w:name="_Toc460356672"/>
      <w:r>
        <w:rPr>
          <w:rFonts w:hint="eastAsia"/>
          <w:b/>
          <w:color w:val="auto"/>
          <w:sz w:val="24"/>
          <w:szCs w:val="24"/>
          <w:highlight w:val="none"/>
        </w:rPr>
        <w:t>（本合同为合同样稿，最终稿由甲乙双方协商后确定）</w:t>
      </w:r>
      <w:bookmarkEnd w:id="14"/>
    </w:p>
    <w:p w14:paraId="2C338C9D">
      <w:pPr>
        <w:snapToGrid w:val="0"/>
        <w:spacing w:line="340" w:lineRule="exact"/>
        <w:ind w:firstLine="6510" w:firstLineChars="3100"/>
        <w:rPr>
          <w:rFonts w:ascii="宋体" w:hAnsi="宋体" w:cs="宋体"/>
          <w:bCs/>
          <w:color w:val="auto"/>
          <w:szCs w:val="21"/>
          <w:highlight w:val="none"/>
          <w:u w:val="single"/>
        </w:rPr>
      </w:pPr>
      <w:r>
        <w:rPr>
          <w:rFonts w:hint="eastAsia" w:ascii="宋体" w:hAnsi="宋体" w:cs="宋体"/>
          <w:bCs/>
          <w:color w:val="auto"/>
          <w:szCs w:val="21"/>
          <w:highlight w:val="none"/>
        </w:rPr>
        <w:t>合同编号：</w:t>
      </w:r>
    </w:p>
    <w:p w14:paraId="5FAABAB5">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甲方：（买方）</w:t>
      </w:r>
    </w:p>
    <w:p w14:paraId="7F6D5A4A">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乙方：（卖方）</w:t>
      </w:r>
    </w:p>
    <w:p w14:paraId="7500B96D">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甲、乙双方根据       项目名称         的结果，签署本合同。</w:t>
      </w:r>
    </w:p>
    <w:p w14:paraId="0E391B3B">
      <w:pPr>
        <w:spacing w:line="440" w:lineRule="exact"/>
        <w:rPr>
          <w:rFonts w:asciiTheme="minorEastAsia" w:hAnsiTheme="minorEastAsia" w:eastAsiaTheme="minorEastAsia"/>
          <w:color w:val="auto"/>
          <w:szCs w:val="21"/>
          <w:highlight w:val="none"/>
        </w:rPr>
      </w:pPr>
      <w:bookmarkStart w:id="15" w:name="_Toc216662968"/>
      <w:r>
        <w:rPr>
          <w:rFonts w:hint="eastAsia" w:asciiTheme="minorEastAsia" w:hAnsiTheme="minorEastAsia" w:eastAsiaTheme="minorEastAsia"/>
          <w:color w:val="auto"/>
          <w:szCs w:val="21"/>
          <w:highlight w:val="none"/>
        </w:rPr>
        <w:t>一、</w:t>
      </w:r>
      <w:bookmarkEnd w:id="15"/>
      <w:r>
        <w:rPr>
          <w:rFonts w:hint="eastAsia" w:asciiTheme="minorEastAsia" w:hAnsiTheme="minorEastAsia" w:eastAsiaTheme="minorEastAsia"/>
          <w:color w:val="auto"/>
          <w:szCs w:val="21"/>
          <w:highlight w:val="none"/>
        </w:rPr>
        <w:t>合同期限</w:t>
      </w:r>
    </w:p>
    <w:p w14:paraId="76172580">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慈溪市新城河07-D-01地块食堂食品原材料采购项目</w:t>
      </w:r>
      <w:r>
        <w:rPr>
          <w:rFonts w:hint="eastAsia" w:asciiTheme="minorEastAsia" w:hAnsiTheme="minorEastAsia" w:eastAsiaTheme="minorEastAsia"/>
          <w:color w:val="auto"/>
          <w:szCs w:val="21"/>
          <w:highlight w:val="none"/>
        </w:rPr>
        <w:t xml:space="preserve">，本合同有效期限自 </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 xml:space="preserve"> 年   月   日至      年   月   日止。</w:t>
      </w:r>
    </w:p>
    <w:p w14:paraId="1C13C133">
      <w:pPr>
        <w:spacing w:line="440" w:lineRule="exact"/>
        <w:rPr>
          <w:rFonts w:asciiTheme="minorEastAsia" w:hAnsiTheme="minorEastAsia" w:eastAsiaTheme="minorEastAsia"/>
          <w:color w:val="auto"/>
          <w:szCs w:val="21"/>
          <w:highlight w:val="none"/>
        </w:rPr>
      </w:pPr>
      <w:bookmarkStart w:id="16" w:name="_Toc216662969"/>
      <w:r>
        <w:rPr>
          <w:rFonts w:hint="eastAsia" w:asciiTheme="minorEastAsia" w:hAnsiTheme="minorEastAsia" w:eastAsiaTheme="minorEastAsia"/>
          <w:color w:val="auto"/>
          <w:szCs w:val="21"/>
          <w:highlight w:val="none"/>
        </w:rPr>
        <w:t>二、合同金额</w:t>
      </w:r>
      <w:bookmarkEnd w:id="16"/>
    </w:p>
    <w:tbl>
      <w:tblPr>
        <w:tblStyle w:val="44"/>
        <w:tblW w:w="0" w:type="auto"/>
        <w:jc w:val="center"/>
        <w:tblLayout w:type="fixed"/>
        <w:tblCellMar>
          <w:top w:w="0" w:type="dxa"/>
          <w:left w:w="108" w:type="dxa"/>
          <w:bottom w:w="0" w:type="dxa"/>
          <w:right w:w="108" w:type="dxa"/>
        </w:tblCellMar>
      </w:tblPr>
      <w:tblGrid>
        <w:gridCol w:w="955"/>
        <w:gridCol w:w="3675"/>
        <w:gridCol w:w="4558"/>
      </w:tblGrid>
      <w:tr w14:paraId="305D4710">
        <w:tblPrEx>
          <w:tblCellMar>
            <w:top w:w="0" w:type="dxa"/>
            <w:left w:w="108" w:type="dxa"/>
            <w:bottom w:w="0" w:type="dxa"/>
            <w:right w:w="108" w:type="dxa"/>
          </w:tblCellMar>
        </w:tblPrEx>
        <w:trPr>
          <w:trHeight w:val="567"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408EB69D">
            <w:pPr>
              <w:spacing w:line="440" w:lineRule="exact"/>
              <w:rPr>
                <w:rFonts w:asciiTheme="minorEastAsia" w:hAnsiTheme="minorEastAsia" w:eastAsiaTheme="minorEastAsia"/>
                <w:color w:val="auto"/>
                <w:szCs w:val="21"/>
                <w:highlight w:val="none"/>
              </w:rPr>
            </w:pPr>
            <w:bookmarkStart w:id="17" w:name="_Toc216662970"/>
            <w:r>
              <w:rPr>
                <w:rFonts w:hint="eastAsia" w:asciiTheme="minorEastAsia" w:hAnsiTheme="minorEastAsia" w:eastAsiaTheme="minorEastAsia"/>
                <w:color w:val="auto"/>
                <w:szCs w:val="21"/>
                <w:highlight w:val="none"/>
              </w:rPr>
              <w:t>序号</w:t>
            </w:r>
          </w:p>
        </w:tc>
        <w:tc>
          <w:tcPr>
            <w:tcW w:w="3675" w:type="dxa"/>
            <w:tcBorders>
              <w:top w:val="single" w:color="auto" w:sz="4" w:space="0"/>
              <w:left w:val="nil"/>
              <w:bottom w:val="single" w:color="auto" w:sz="4" w:space="0"/>
              <w:right w:val="single" w:color="auto" w:sz="4" w:space="0"/>
            </w:tcBorders>
            <w:vAlign w:val="center"/>
          </w:tcPr>
          <w:p w14:paraId="113D25B0">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原材料类别</w:t>
            </w:r>
          </w:p>
        </w:tc>
        <w:tc>
          <w:tcPr>
            <w:tcW w:w="4558" w:type="dxa"/>
            <w:tcBorders>
              <w:top w:val="single" w:color="auto" w:sz="4" w:space="0"/>
              <w:left w:val="nil"/>
              <w:bottom w:val="single" w:color="auto" w:sz="4" w:space="0"/>
              <w:right w:val="single" w:color="auto" w:sz="4" w:space="0"/>
            </w:tcBorders>
            <w:vAlign w:val="center"/>
          </w:tcPr>
          <w:p w14:paraId="4D7B76B4">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折扣费率</w:t>
            </w:r>
          </w:p>
        </w:tc>
      </w:tr>
      <w:tr w14:paraId="311FE2D8">
        <w:tblPrEx>
          <w:tblCellMar>
            <w:top w:w="0" w:type="dxa"/>
            <w:left w:w="108" w:type="dxa"/>
            <w:bottom w:w="0" w:type="dxa"/>
            <w:right w:w="108" w:type="dxa"/>
          </w:tblCellMar>
        </w:tblPrEx>
        <w:trPr>
          <w:trHeight w:val="567" w:hRule="atLeast"/>
          <w:jc w:val="center"/>
        </w:trPr>
        <w:tc>
          <w:tcPr>
            <w:tcW w:w="955" w:type="dxa"/>
            <w:vMerge w:val="restart"/>
            <w:tcBorders>
              <w:top w:val="single" w:color="auto" w:sz="4" w:space="0"/>
              <w:left w:val="single" w:color="auto" w:sz="4" w:space="0"/>
              <w:right w:val="single" w:color="auto" w:sz="4" w:space="0"/>
            </w:tcBorders>
            <w:vAlign w:val="center"/>
          </w:tcPr>
          <w:p w14:paraId="55A8A018">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3675" w:type="dxa"/>
            <w:tcBorders>
              <w:top w:val="single" w:color="auto" w:sz="4" w:space="0"/>
              <w:left w:val="nil"/>
              <w:bottom w:val="single" w:color="auto" w:sz="4" w:space="0"/>
              <w:right w:val="single" w:color="auto" w:sz="4" w:space="0"/>
            </w:tcBorders>
            <w:vAlign w:val="center"/>
          </w:tcPr>
          <w:p w14:paraId="55D8B65F">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非粮油类</w:t>
            </w:r>
          </w:p>
        </w:tc>
        <w:tc>
          <w:tcPr>
            <w:tcW w:w="4558" w:type="dxa"/>
            <w:tcBorders>
              <w:top w:val="single" w:color="auto" w:sz="4" w:space="0"/>
              <w:left w:val="nil"/>
              <w:bottom w:val="single" w:color="auto" w:sz="4" w:space="0"/>
              <w:right w:val="single" w:color="auto" w:sz="4" w:space="0"/>
            </w:tcBorders>
            <w:vAlign w:val="center"/>
          </w:tcPr>
          <w:p w14:paraId="60DD0F0D">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小写：              %；大写：         。</w:t>
            </w:r>
          </w:p>
        </w:tc>
      </w:tr>
      <w:tr w14:paraId="41626734">
        <w:tblPrEx>
          <w:tblCellMar>
            <w:top w:w="0" w:type="dxa"/>
            <w:left w:w="108" w:type="dxa"/>
            <w:bottom w:w="0" w:type="dxa"/>
            <w:right w:w="108" w:type="dxa"/>
          </w:tblCellMar>
        </w:tblPrEx>
        <w:trPr>
          <w:trHeight w:val="567" w:hRule="atLeast"/>
          <w:jc w:val="center"/>
        </w:trPr>
        <w:tc>
          <w:tcPr>
            <w:tcW w:w="955" w:type="dxa"/>
            <w:vMerge w:val="continue"/>
            <w:tcBorders>
              <w:left w:val="single" w:color="auto" w:sz="4" w:space="0"/>
              <w:right w:val="single" w:color="auto" w:sz="4" w:space="0"/>
            </w:tcBorders>
            <w:vAlign w:val="center"/>
          </w:tcPr>
          <w:p w14:paraId="6C30E8EF">
            <w:pPr>
              <w:spacing w:line="440" w:lineRule="exact"/>
              <w:rPr>
                <w:rFonts w:asciiTheme="minorEastAsia" w:hAnsiTheme="minorEastAsia" w:eastAsiaTheme="minorEastAsia"/>
                <w:color w:val="auto"/>
                <w:szCs w:val="21"/>
                <w:highlight w:val="none"/>
              </w:rPr>
            </w:pPr>
          </w:p>
        </w:tc>
        <w:tc>
          <w:tcPr>
            <w:tcW w:w="3675" w:type="dxa"/>
            <w:tcBorders>
              <w:top w:val="single" w:color="auto" w:sz="4" w:space="0"/>
              <w:left w:val="nil"/>
              <w:bottom w:val="single" w:color="auto" w:sz="4" w:space="0"/>
              <w:right w:val="single" w:color="auto" w:sz="4" w:space="0"/>
            </w:tcBorders>
            <w:vAlign w:val="center"/>
          </w:tcPr>
          <w:p w14:paraId="34EF39A5">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粮油类</w:t>
            </w:r>
          </w:p>
        </w:tc>
        <w:tc>
          <w:tcPr>
            <w:tcW w:w="4558" w:type="dxa"/>
            <w:tcBorders>
              <w:top w:val="single" w:color="auto" w:sz="4" w:space="0"/>
              <w:left w:val="nil"/>
              <w:bottom w:val="single" w:color="auto" w:sz="4" w:space="0"/>
              <w:right w:val="single" w:color="auto" w:sz="4" w:space="0"/>
            </w:tcBorders>
            <w:vAlign w:val="center"/>
          </w:tcPr>
          <w:p w14:paraId="55F7CDEF">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小写：              %；大写：         。</w:t>
            </w:r>
          </w:p>
        </w:tc>
      </w:tr>
      <w:tr w14:paraId="285A7CC8">
        <w:tblPrEx>
          <w:tblCellMar>
            <w:top w:w="0" w:type="dxa"/>
            <w:left w:w="108" w:type="dxa"/>
            <w:bottom w:w="0" w:type="dxa"/>
            <w:right w:w="108" w:type="dxa"/>
          </w:tblCellMar>
        </w:tblPrEx>
        <w:trPr>
          <w:trHeight w:val="567" w:hRule="atLeast"/>
          <w:jc w:val="center"/>
        </w:trPr>
        <w:tc>
          <w:tcPr>
            <w:tcW w:w="4630" w:type="dxa"/>
            <w:gridSpan w:val="2"/>
            <w:tcBorders>
              <w:top w:val="single" w:color="auto" w:sz="4" w:space="0"/>
              <w:left w:val="single" w:color="auto" w:sz="4" w:space="0"/>
              <w:bottom w:val="single" w:color="auto" w:sz="4" w:space="0"/>
              <w:right w:val="single" w:color="auto" w:sz="4" w:space="0"/>
            </w:tcBorders>
            <w:vAlign w:val="center"/>
          </w:tcPr>
          <w:p w14:paraId="51503B9B">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综合折扣费率</w:t>
            </w:r>
          </w:p>
        </w:tc>
        <w:tc>
          <w:tcPr>
            <w:tcW w:w="4558" w:type="dxa"/>
            <w:tcBorders>
              <w:top w:val="single" w:color="auto" w:sz="4" w:space="0"/>
              <w:left w:val="single" w:color="auto" w:sz="4" w:space="0"/>
              <w:bottom w:val="single" w:color="auto" w:sz="4" w:space="0"/>
              <w:right w:val="single" w:color="auto" w:sz="4" w:space="0"/>
            </w:tcBorders>
            <w:vAlign w:val="center"/>
          </w:tcPr>
          <w:p w14:paraId="4538C0FE">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小写：              %；大写：         。</w:t>
            </w:r>
          </w:p>
        </w:tc>
      </w:tr>
      <w:tr w14:paraId="33E71638">
        <w:tblPrEx>
          <w:tblCellMar>
            <w:top w:w="0" w:type="dxa"/>
            <w:left w:w="108" w:type="dxa"/>
            <w:bottom w:w="0" w:type="dxa"/>
            <w:right w:w="108" w:type="dxa"/>
          </w:tblCellMar>
        </w:tblPrEx>
        <w:trPr>
          <w:trHeight w:val="567" w:hRule="atLeast"/>
          <w:jc w:val="center"/>
        </w:trPr>
        <w:tc>
          <w:tcPr>
            <w:tcW w:w="9188" w:type="dxa"/>
            <w:gridSpan w:val="3"/>
            <w:tcBorders>
              <w:top w:val="single" w:color="auto" w:sz="4" w:space="0"/>
              <w:left w:val="single" w:color="auto" w:sz="4" w:space="0"/>
              <w:bottom w:val="single" w:color="auto" w:sz="4" w:space="0"/>
              <w:right w:val="single" w:color="auto" w:sz="4" w:space="0"/>
            </w:tcBorders>
            <w:vAlign w:val="center"/>
          </w:tcPr>
          <w:p w14:paraId="0749ACAF">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 折扣费率*预算价（</w:t>
            </w:r>
            <w:r>
              <w:rPr>
                <w:rFonts w:hint="eastAsia" w:asciiTheme="minorEastAsia" w:hAnsiTheme="minorEastAsia" w:eastAsiaTheme="minorEastAsia"/>
                <w:color w:val="auto"/>
                <w:szCs w:val="21"/>
                <w:highlight w:val="none"/>
                <w:lang w:eastAsia="zh-CN"/>
              </w:rPr>
              <w:t>800000</w:t>
            </w:r>
            <w:r>
              <w:rPr>
                <w:rFonts w:hint="eastAsia" w:asciiTheme="minorEastAsia" w:hAnsiTheme="minorEastAsia" w:eastAsiaTheme="minorEastAsia"/>
                <w:color w:val="auto"/>
                <w:szCs w:val="21"/>
                <w:highlight w:val="none"/>
              </w:rPr>
              <w:t>元）=</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元</w:t>
            </w:r>
          </w:p>
        </w:tc>
      </w:tr>
    </w:tbl>
    <w:p w14:paraId="7881817F">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结算时，</w:t>
      </w:r>
      <w:r>
        <w:rPr>
          <w:rFonts w:asciiTheme="minorEastAsia" w:hAnsiTheme="minorEastAsia" w:eastAsiaTheme="minorEastAsia"/>
          <w:color w:val="auto"/>
          <w:szCs w:val="21"/>
          <w:highlight w:val="none"/>
        </w:rPr>
        <w:t>根据甲方要求的实际配送数量</w:t>
      </w:r>
      <w:r>
        <w:rPr>
          <w:rFonts w:hint="eastAsia" w:asciiTheme="minorEastAsia" w:hAnsiTheme="minorEastAsia" w:eastAsiaTheme="minorEastAsia"/>
          <w:color w:val="auto"/>
          <w:szCs w:val="21"/>
          <w:highlight w:val="none"/>
        </w:rPr>
        <w:t>*单价*中标</w:t>
      </w:r>
      <w:r>
        <w:rPr>
          <w:rFonts w:asciiTheme="minorEastAsia" w:hAnsiTheme="minorEastAsia" w:eastAsiaTheme="minorEastAsia"/>
          <w:color w:val="auto"/>
          <w:szCs w:val="21"/>
          <w:highlight w:val="none"/>
        </w:rPr>
        <w:t>折扣率。</w:t>
      </w:r>
      <w:r>
        <w:rPr>
          <w:rFonts w:hint="eastAsia" w:asciiTheme="minorEastAsia" w:hAnsiTheme="minorEastAsia" w:eastAsiaTheme="minorEastAsia"/>
          <w:color w:val="auto"/>
          <w:szCs w:val="21"/>
          <w:highlight w:val="none"/>
        </w:rPr>
        <w:t>单价为“在宁波市菜篮子网市场菜品均价的基准上，结合市场行情和自身情况，零售价均价（月均价）。</w:t>
      </w:r>
    </w:p>
    <w:p w14:paraId="79AAE896">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三、配送方式</w:t>
      </w:r>
    </w:p>
    <w:p w14:paraId="78DF1DF4">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乙方须按以下条款根据甲方的清单进行配送。</w:t>
      </w:r>
    </w:p>
    <w:p w14:paraId="4CAD5A16">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1.配送货物及时间</w:t>
      </w:r>
    </w:p>
    <w:p w14:paraId="47405810">
      <w:pPr>
        <w:spacing w:line="440" w:lineRule="exac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eastAsia="zh-CN"/>
        </w:rPr>
        <w:t>每个配送日</w:t>
      </w:r>
      <w:r>
        <w:rPr>
          <w:rFonts w:hint="eastAsia" w:asciiTheme="minorEastAsia" w:hAnsiTheme="minorEastAsia" w:eastAsiaTheme="minorEastAsia"/>
          <w:color w:val="auto"/>
          <w:szCs w:val="21"/>
          <w:highlight w:val="none"/>
        </w:rPr>
        <w:t>早上7点前送达，并提供货物每批次的检测报告。</w:t>
      </w:r>
      <w:r>
        <w:rPr>
          <w:rFonts w:hint="eastAsia" w:asciiTheme="minorEastAsia" w:hAnsiTheme="minorEastAsia" w:eastAsiaTheme="minorEastAsia"/>
          <w:color w:val="auto"/>
          <w:szCs w:val="21"/>
          <w:highlight w:val="none"/>
          <w:lang w:eastAsia="zh-CN"/>
        </w:rPr>
        <w:t>（具体配送时间按照甲方要求）</w:t>
      </w:r>
    </w:p>
    <w:p w14:paraId="2EEE8460">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（2）若甲方有特殊要求，乙方应无条件满足。</w:t>
      </w:r>
    </w:p>
    <w:p w14:paraId="2A3C85ED">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2.配送地点</w:t>
      </w:r>
    </w:p>
    <w:p w14:paraId="2893489F">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甲方指定地点</w:t>
      </w:r>
      <w:r>
        <w:rPr>
          <w:rFonts w:hint="eastAsia" w:asciiTheme="minorEastAsia" w:hAnsiTheme="minorEastAsia" w:eastAsiaTheme="minorEastAsia"/>
          <w:color w:val="auto"/>
          <w:szCs w:val="21"/>
          <w:highlight w:val="none"/>
        </w:rPr>
        <w:t>。</w:t>
      </w:r>
    </w:p>
    <w:p w14:paraId="6B1E8925">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3.配送方式</w:t>
      </w:r>
    </w:p>
    <w:p w14:paraId="61392FCA">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乙方应提供货物运至配送地点所需要的包装，以防止货物在转运中损坏或变质。乙方负责合同内所需货物的运输，并承担运费。        </w:t>
      </w:r>
    </w:p>
    <w:p w14:paraId="1990DA17">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4.配送保险</w:t>
      </w:r>
    </w:p>
    <w:p w14:paraId="650FBF27">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乙方应对在运输过程中的货物负责全面保险并承担保费，未负责全面保险的，若货物在运输及交货过程中丢失或损坏，甲方不承担任何责任并有权让乙方补全损失的货物。</w:t>
      </w:r>
    </w:p>
    <w:p w14:paraId="1CAF0CD3">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5.配送通知</w:t>
      </w:r>
    </w:p>
    <w:p w14:paraId="0ABA39EC">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（1）甲方根据需求，将配送货物的清单及数量提前通知乙方，乙方须按照其要求配送货物。</w:t>
      </w:r>
    </w:p>
    <w:p w14:paraId="0F9DC59C">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（2）乙方若发现甲方所需货物无货或发生其他情况时，必须及时告知甲方，由甲方作出变更，乙方不能擅自更改。</w:t>
      </w:r>
    </w:p>
    <w:p w14:paraId="73E8050D">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w:t>
      </w:r>
      <w:bookmarkEnd w:id="17"/>
      <w:r>
        <w:rPr>
          <w:rFonts w:hint="eastAsia" w:asciiTheme="minorEastAsia" w:hAnsiTheme="minorEastAsia" w:eastAsiaTheme="minorEastAsia"/>
          <w:color w:val="auto"/>
          <w:szCs w:val="21"/>
          <w:highlight w:val="none"/>
        </w:rPr>
        <w:t>合同不可分割的组成部分</w:t>
      </w:r>
    </w:p>
    <w:p w14:paraId="3D59BF76">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 招标文件</w:t>
      </w:r>
    </w:p>
    <w:p w14:paraId="69B29A40">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乙方的投标文件</w:t>
      </w:r>
    </w:p>
    <w:p w14:paraId="07A3BD77">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中标通知书</w:t>
      </w:r>
    </w:p>
    <w:p w14:paraId="0088B6E4">
      <w:pPr>
        <w:spacing w:line="440" w:lineRule="exact"/>
        <w:rPr>
          <w:rFonts w:asciiTheme="minorEastAsia" w:hAnsiTheme="minorEastAsia" w:eastAsiaTheme="minorEastAsia"/>
          <w:color w:val="auto"/>
          <w:szCs w:val="21"/>
          <w:highlight w:val="none"/>
        </w:rPr>
      </w:pPr>
      <w:bookmarkStart w:id="18" w:name="_Toc216662971"/>
      <w:r>
        <w:rPr>
          <w:rFonts w:hint="eastAsia" w:asciiTheme="minorEastAsia" w:hAnsiTheme="minorEastAsia" w:eastAsiaTheme="minorEastAsia"/>
          <w:color w:val="auto"/>
          <w:szCs w:val="21"/>
          <w:highlight w:val="none"/>
        </w:rPr>
        <w:t>五、</w:t>
      </w:r>
      <w:bookmarkEnd w:id="18"/>
      <w:bookmarkStart w:id="19" w:name="_Toc216662972"/>
      <w:r>
        <w:rPr>
          <w:rFonts w:hint="eastAsia" w:asciiTheme="minorEastAsia" w:hAnsiTheme="minorEastAsia" w:eastAsiaTheme="minorEastAsia"/>
          <w:color w:val="auto"/>
          <w:szCs w:val="21"/>
          <w:highlight w:val="none"/>
        </w:rPr>
        <w:t>履约保证金</w:t>
      </w:r>
      <w:bookmarkEnd w:id="19"/>
    </w:p>
    <w:p w14:paraId="50D1EDB9">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乙方交纳人民币  元作为本合同的履约保证金。合同期满经考核合格后五个工作日内无息退还。考核不合格按招标文件规定，招标人有权终止合同，并罚没其履约保证金。</w:t>
      </w:r>
    </w:p>
    <w:p w14:paraId="1BB3E105">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六、付款方式 </w:t>
      </w:r>
    </w:p>
    <w:p w14:paraId="75533FB3">
      <w:pPr>
        <w:spacing w:line="44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以乙方的中标折扣费率作为结算依据，单价为“在宁波市菜篮子网市场菜品均价基准上，结合市场行情和自身情况，零售价均价（月均价）*中标折扣费率。</w:t>
      </w:r>
    </w:p>
    <w:p w14:paraId="19CBE9E6">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b/>
          <w:bCs/>
          <w:color w:val="auto"/>
          <w:szCs w:val="21"/>
          <w:highlight w:val="none"/>
        </w:rPr>
        <w:t>货款每月一结，本月货款于次月初与</w:t>
      </w:r>
      <w:r>
        <w:rPr>
          <w:rFonts w:hint="eastAsia" w:asciiTheme="minorEastAsia" w:hAnsiTheme="minorEastAsia" w:eastAsiaTheme="minorEastAsia"/>
          <w:b/>
          <w:bCs/>
          <w:color w:val="auto"/>
          <w:szCs w:val="21"/>
          <w:highlight w:val="none"/>
          <w:lang w:eastAsia="zh-CN"/>
        </w:rPr>
        <w:t>甲方</w:t>
      </w:r>
      <w:r>
        <w:rPr>
          <w:rFonts w:hint="eastAsia" w:asciiTheme="minorEastAsia" w:hAnsiTheme="minorEastAsia" w:eastAsiaTheme="minorEastAsia"/>
          <w:b/>
          <w:bCs/>
          <w:color w:val="auto"/>
          <w:szCs w:val="21"/>
          <w:highlight w:val="none"/>
        </w:rPr>
        <w:t>结算，结算时</w:t>
      </w:r>
      <w:r>
        <w:rPr>
          <w:rFonts w:hint="eastAsia" w:asciiTheme="minorEastAsia" w:hAnsiTheme="minorEastAsia" w:eastAsiaTheme="minorEastAsia"/>
          <w:b/>
          <w:bCs/>
          <w:color w:val="auto"/>
          <w:szCs w:val="21"/>
          <w:highlight w:val="none"/>
          <w:lang w:eastAsia="zh-CN"/>
        </w:rPr>
        <w:t>乙方</w:t>
      </w:r>
      <w:r>
        <w:rPr>
          <w:rFonts w:hint="eastAsia" w:asciiTheme="minorEastAsia" w:hAnsiTheme="minorEastAsia" w:eastAsiaTheme="minorEastAsia"/>
          <w:b/>
          <w:bCs/>
          <w:color w:val="auto"/>
          <w:szCs w:val="21"/>
          <w:highlight w:val="none"/>
        </w:rPr>
        <w:t>须开具合法票据并提供汇总供货清单交</w:t>
      </w:r>
      <w:r>
        <w:rPr>
          <w:rFonts w:hint="eastAsia" w:asciiTheme="minorEastAsia" w:hAnsiTheme="minorEastAsia" w:eastAsiaTheme="minorEastAsia"/>
          <w:b/>
          <w:bCs/>
          <w:color w:val="auto"/>
          <w:szCs w:val="21"/>
          <w:highlight w:val="none"/>
          <w:lang w:eastAsia="zh-CN"/>
        </w:rPr>
        <w:t>甲方</w:t>
      </w: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eastAsia="zh-CN"/>
        </w:rPr>
        <w:t>甲方</w:t>
      </w:r>
      <w:r>
        <w:rPr>
          <w:rFonts w:hint="eastAsia" w:asciiTheme="minorEastAsia" w:hAnsiTheme="minorEastAsia" w:eastAsiaTheme="minorEastAsia"/>
          <w:b/>
          <w:bCs/>
          <w:color w:val="auto"/>
          <w:szCs w:val="21"/>
          <w:highlight w:val="none"/>
        </w:rPr>
        <w:t>审核后付款</w:t>
      </w:r>
      <w:r>
        <w:rPr>
          <w:rFonts w:asciiTheme="minorEastAsia" w:hAnsiTheme="minorEastAsia" w:eastAsiaTheme="minorEastAsia"/>
          <w:color w:val="auto"/>
          <w:szCs w:val="21"/>
          <w:highlight w:val="none"/>
        </w:rPr>
        <w:t>。</w:t>
      </w:r>
    </w:p>
    <w:p w14:paraId="29444D46">
      <w:pPr>
        <w:spacing w:line="400" w:lineRule="exact"/>
        <w:rPr>
          <w:rFonts w:hint="eastAsia" w:ascii="宋体" w:hAnsi="宋体" w:cs="宋体"/>
          <w:bCs/>
          <w:color w:val="auto"/>
          <w:szCs w:val="21"/>
          <w:highlight w:val="none"/>
          <w:lang w:bidi="ar"/>
        </w:rPr>
      </w:pPr>
      <w:r>
        <w:rPr>
          <w:rFonts w:hint="eastAsia" w:ascii="宋体" w:hAnsi="宋体" w:cs="宋体"/>
          <w:bCs/>
          <w:color w:val="auto"/>
          <w:szCs w:val="21"/>
          <w:highlight w:val="none"/>
          <w:lang w:val="en-US" w:eastAsia="zh-CN" w:bidi="ar"/>
        </w:rPr>
        <w:t>3</w:t>
      </w:r>
      <w:r>
        <w:rPr>
          <w:rFonts w:hint="eastAsia" w:ascii="宋体" w:hAnsi="宋体" w:cs="宋体"/>
          <w:bCs/>
          <w:color w:val="auto"/>
          <w:szCs w:val="21"/>
          <w:highlight w:val="none"/>
          <w:lang w:bidi="ar"/>
        </w:rPr>
        <w:t>、食材供货量的确定：</w:t>
      </w:r>
    </w:p>
    <w:p w14:paraId="29913B43">
      <w:pPr>
        <w:spacing w:line="40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甲方每周向乙方报送下周的定货清单，清单一式三份，甲方执两份，乙方执一份。乙方根据甲方的定货清单配送货物，在配送时提供当次货物的食品安全检测报告及配送单据(单据内容包括供货日期、食品名称、规格、数量、生产批号、保质期、供货者名称、联系方式等)。票据一式三联，每联在双方人员共同验收确认无误后由双方签字。该票据作为实际供货数量依据，甲方执两份，乙方执一份。</w:t>
      </w:r>
    </w:p>
    <w:p w14:paraId="07D2DA0E">
      <w:pPr>
        <w:numPr>
          <w:ilvl w:val="0"/>
          <w:numId w:val="6"/>
        </w:numPr>
        <w:spacing w:line="44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甲、乙双方在合同期内必须遵守国家法律、法规及保护甲、乙双方的合法权益。</w:t>
      </w:r>
    </w:p>
    <w:p w14:paraId="1B8C593F">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lang w:eastAsia="zh-CN" w:bidi="ar"/>
        </w:rPr>
        <w:t>八</w:t>
      </w:r>
      <w:r>
        <w:rPr>
          <w:rFonts w:hint="eastAsia" w:ascii="宋体" w:hAnsi="宋体" w:cs="宋体"/>
          <w:b/>
          <w:bCs/>
          <w:color w:val="auto"/>
          <w:szCs w:val="21"/>
          <w:highlight w:val="none"/>
          <w:lang w:bidi="ar"/>
        </w:rPr>
        <w:t>、人员</w:t>
      </w:r>
    </w:p>
    <w:p w14:paraId="28E3B3A1">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1、本项目甲方委派的联系人员为：</w:t>
      </w:r>
      <w:r>
        <w:rPr>
          <w:rFonts w:hint="eastAsia"/>
          <w:color w:val="auto"/>
          <w:kern w:val="2"/>
          <w:sz w:val="21"/>
          <w:szCs w:val="21"/>
          <w:highlight w:val="none"/>
          <w:u w:val="single"/>
          <w:lang w:bidi="ar"/>
        </w:rPr>
        <w:t xml:space="preserve">               </w:t>
      </w:r>
      <w:r>
        <w:rPr>
          <w:rFonts w:hint="eastAsia"/>
          <w:color w:val="auto"/>
          <w:kern w:val="2"/>
          <w:sz w:val="21"/>
          <w:szCs w:val="21"/>
          <w:highlight w:val="none"/>
          <w:lang w:bidi="ar"/>
        </w:rPr>
        <w:t>，联系方式：</w:t>
      </w:r>
      <w:r>
        <w:rPr>
          <w:rFonts w:hint="eastAsia"/>
          <w:color w:val="auto"/>
          <w:kern w:val="2"/>
          <w:sz w:val="21"/>
          <w:szCs w:val="21"/>
          <w:highlight w:val="none"/>
          <w:u w:val="single"/>
          <w:lang w:bidi="ar"/>
        </w:rPr>
        <w:t xml:space="preserve">               </w:t>
      </w:r>
      <w:r>
        <w:rPr>
          <w:rFonts w:hint="eastAsia"/>
          <w:color w:val="auto"/>
          <w:kern w:val="2"/>
          <w:sz w:val="21"/>
          <w:szCs w:val="21"/>
          <w:highlight w:val="none"/>
          <w:lang w:bidi="ar"/>
        </w:rPr>
        <w:t>。</w:t>
      </w:r>
    </w:p>
    <w:p w14:paraId="5975AE4A">
      <w:pPr>
        <w:pStyle w:val="39"/>
        <w:widowControl w:val="0"/>
        <w:spacing w:before="0" w:beforeAutospacing="0" w:after="0" w:afterAutospacing="0" w:line="400" w:lineRule="exact"/>
        <w:ind w:firstLine="420" w:firstLineChars="200"/>
        <w:jc w:val="both"/>
        <w:rPr>
          <w:rFonts w:hint="eastAsia" w:asciiTheme="minorEastAsia" w:hAnsiTheme="minorEastAsia" w:eastAsiaTheme="minorEastAsia"/>
          <w:color w:val="auto"/>
          <w:szCs w:val="21"/>
          <w:highlight w:val="none"/>
        </w:rPr>
      </w:pPr>
      <w:r>
        <w:rPr>
          <w:rFonts w:hint="eastAsia"/>
          <w:color w:val="auto"/>
          <w:kern w:val="2"/>
          <w:sz w:val="21"/>
          <w:szCs w:val="21"/>
          <w:highlight w:val="none"/>
          <w:lang w:bidi="ar"/>
        </w:rPr>
        <w:t>2、本项目乙方委派的联系人员为：</w:t>
      </w:r>
      <w:r>
        <w:rPr>
          <w:rFonts w:hint="eastAsia"/>
          <w:color w:val="auto"/>
          <w:kern w:val="2"/>
          <w:sz w:val="21"/>
          <w:szCs w:val="21"/>
          <w:highlight w:val="none"/>
          <w:u w:val="single"/>
          <w:lang w:bidi="ar"/>
        </w:rPr>
        <w:t xml:space="preserve">               </w:t>
      </w:r>
      <w:r>
        <w:rPr>
          <w:rFonts w:hint="eastAsia"/>
          <w:color w:val="auto"/>
          <w:kern w:val="2"/>
          <w:sz w:val="21"/>
          <w:szCs w:val="21"/>
          <w:highlight w:val="none"/>
          <w:lang w:bidi="ar"/>
        </w:rPr>
        <w:t>，联系方式：</w:t>
      </w:r>
      <w:r>
        <w:rPr>
          <w:rFonts w:hint="eastAsia"/>
          <w:color w:val="auto"/>
          <w:kern w:val="2"/>
          <w:sz w:val="21"/>
          <w:szCs w:val="21"/>
          <w:highlight w:val="none"/>
          <w:u w:val="single"/>
          <w:lang w:bidi="ar"/>
        </w:rPr>
        <w:t xml:space="preserve">               </w:t>
      </w:r>
      <w:r>
        <w:rPr>
          <w:rFonts w:hint="eastAsia"/>
          <w:color w:val="auto"/>
          <w:kern w:val="2"/>
          <w:sz w:val="21"/>
          <w:szCs w:val="21"/>
          <w:highlight w:val="none"/>
          <w:lang w:bidi="ar"/>
        </w:rPr>
        <w:t>。</w:t>
      </w:r>
    </w:p>
    <w:p w14:paraId="359E5C1E">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九、</w:t>
      </w:r>
      <w:r>
        <w:rPr>
          <w:rFonts w:hint="eastAsia" w:asciiTheme="minorEastAsia" w:hAnsiTheme="minorEastAsia" w:eastAsiaTheme="minorEastAsia"/>
          <w:color w:val="auto"/>
          <w:szCs w:val="21"/>
          <w:highlight w:val="none"/>
        </w:rPr>
        <w:t>违约责任：</w:t>
      </w:r>
    </w:p>
    <w:p w14:paraId="464F34FC">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1、乙方如不能按甲方规定时间配送的，每延期30分钟，扣除500元违约金。一个月内发生三次及以上</w:t>
      </w:r>
      <w:r>
        <w:rPr>
          <w:rFonts w:hint="eastAsia"/>
          <w:color w:val="auto"/>
          <w:kern w:val="2"/>
          <w:sz w:val="21"/>
          <w:szCs w:val="21"/>
          <w:highlight w:val="none"/>
          <w:lang w:eastAsia="zh-CN" w:bidi="ar"/>
        </w:rPr>
        <w:t>或者一年内累计发生五次及以上</w:t>
      </w:r>
      <w:r>
        <w:rPr>
          <w:rFonts w:hint="eastAsia"/>
          <w:color w:val="auto"/>
          <w:kern w:val="2"/>
          <w:sz w:val="21"/>
          <w:szCs w:val="21"/>
          <w:highlight w:val="none"/>
          <w:lang w:bidi="ar"/>
        </w:rPr>
        <w:t>的，甲方有权提前终止合同，并不予退还履约保证金。</w:t>
      </w:r>
    </w:p>
    <w:p w14:paraId="6F867B2F">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2、如食材在数量、质量、品种上出现问题时，乙方未在30分钟内及时退换货的，每延期30分钟，扣除500元违约金。乙方延期30分钟后仍未能退换货的，甲方有权选择其他方式自行进行采购，所发生的费用由乙方负责。一个月内发生三次及以上</w:t>
      </w:r>
      <w:r>
        <w:rPr>
          <w:rFonts w:hint="eastAsia"/>
          <w:color w:val="auto"/>
          <w:kern w:val="2"/>
          <w:sz w:val="21"/>
          <w:szCs w:val="21"/>
          <w:highlight w:val="none"/>
          <w:lang w:eastAsia="zh-CN" w:bidi="ar"/>
        </w:rPr>
        <w:t>或者一年内累计发生五次及以上</w:t>
      </w:r>
      <w:r>
        <w:rPr>
          <w:rFonts w:hint="eastAsia"/>
          <w:color w:val="auto"/>
          <w:kern w:val="2"/>
          <w:sz w:val="21"/>
          <w:szCs w:val="21"/>
          <w:highlight w:val="none"/>
          <w:lang w:bidi="ar"/>
        </w:rPr>
        <w:t>的，甲方有权提前终止合同，并不予退还履约保证金。</w:t>
      </w:r>
    </w:p>
    <w:p w14:paraId="28C815F6">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3、如出现因食品质量低劣及卫生不符合标准引起的事故，乙方承担因该食品导致的所有经济赔偿责任及其他法律责任，甲方有权提前终止合同，并不予退还履约保证金。</w:t>
      </w:r>
    </w:p>
    <w:p w14:paraId="382A86F8">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4、甲方对市场价格进行了解监督（每月不少于四次），若乙方恶意虚报价格，甲方将在款项支付中扣除虚报部分的价格，且每发生一次另扣除1000元违约金。发生三次及以上的，甲方有权提前终止合同，并不予退还履约保证金。</w:t>
      </w:r>
    </w:p>
    <w:p w14:paraId="5F217C83">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5、乙方提供的原材料在烹调后，发现有不新鲜、有杂质等情况，不宜食用的，甲方将视情况每次扣除1000-2000元违约金。一个月内发生三次及以上</w:t>
      </w:r>
      <w:r>
        <w:rPr>
          <w:rFonts w:hint="eastAsia"/>
          <w:color w:val="auto"/>
          <w:kern w:val="2"/>
          <w:sz w:val="21"/>
          <w:szCs w:val="21"/>
          <w:highlight w:val="none"/>
          <w:lang w:eastAsia="zh-CN" w:bidi="ar"/>
        </w:rPr>
        <w:t>或者一年内累计发生五次及以上</w:t>
      </w:r>
      <w:r>
        <w:rPr>
          <w:rFonts w:hint="eastAsia"/>
          <w:color w:val="auto"/>
          <w:kern w:val="2"/>
          <w:sz w:val="21"/>
          <w:szCs w:val="21"/>
          <w:highlight w:val="none"/>
          <w:lang w:bidi="ar"/>
        </w:rPr>
        <w:t>的，甲方有权提前终止合同，并不予退还履约保证金。</w:t>
      </w:r>
    </w:p>
    <w:p w14:paraId="55D2E12A">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6、乙方为本项目配备的项目负责人在合同履行期间除因实施管理原因发生重大质量安全事故不适合再任或因重大疾病住院治疗、部分或全部丧失劳动能力或民事行为能力的（需提供相关部门证明材料）等无法继续履行合同责任和义务，被责令停止执业、吊销资格、羁押或判刑外不允许更换；由于其他原因需要更换项目负责人时，须提前一个月知会甲方，未经甲方书面批准，乙方擅自更换的，每发生一次扣除10000元违约金。</w:t>
      </w:r>
    </w:p>
    <w:p w14:paraId="0B017D74">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7、乙方应随时无条件接受甲方对供货产品数量、质量，价格等的抽查和检查。如违反承诺，每发生一次另扣除1000元违约金；情节严重的，甲方有权提前终止合同，并不予退还履约保证金。</w:t>
      </w:r>
    </w:p>
    <w:p w14:paraId="5CAFAA7B">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8、合同履行过程中甲方发现乙方在投标活动中提供虚假材料的，甲方有权提前终止合同，没收全部履约保证金，并报监管部门处理。</w:t>
      </w:r>
    </w:p>
    <w:p w14:paraId="381B6BF7">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9、如合同履行期间，因国家政策调整问题，甲方不能继续与乙方履约的，不视作甲方违约，甲方不赔偿乙方任何损失。</w:t>
      </w:r>
    </w:p>
    <w:p w14:paraId="25833790">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十</w:t>
      </w:r>
      <w:r>
        <w:rPr>
          <w:rFonts w:hint="eastAsia" w:asciiTheme="minorEastAsia" w:hAnsiTheme="minorEastAsia" w:eastAsiaTheme="minorEastAsia"/>
          <w:color w:val="auto"/>
          <w:szCs w:val="21"/>
          <w:highlight w:val="none"/>
        </w:rPr>
        <w:t>、考核：考核表</w:t>
      </w:r>
      <w:r>
        <w:rPr>
          <w:rFonts w:asciiTheme="minorEastAsia" w:hAnsiTheme="minorEastAsia" w:eastAsiaTheme="minorEastAsia"/>
          <w:color w:val="auto"/>
          <w:szCs w:val="21"/>
          <w:highlight w:val="none"/>
        </w:rPr>
        <w:t>见附件</w:t>
      </w:r>
      <w:r>
        <w:rPr>
          <w:rFonts w:hint="eastAsia" w:asciiTheme="minorEastAsia" w:hAnsiTheme="minorEastAsia" w:eastAsiaTheme="minorEastAsia"/>
          <w:color w:val="auto"/>
          <w:szCs w:val="21"/>
          <w:highlight w:val="none"/>
        </w:rPr>
        <w:t>。</w:t>
      </w:r>
    </w:p>
    <w:p w14:paraId="6B1EE3B7">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lang w:eastAsia="zh-CN"/>
        </w:rPr>
        <w:t>一</w:t>
      </w:r>
      <w:r>
        <w:rPr>
          <w:rFonts w:hint="eastAsia" w:asciiTheme="minorEastAsia" w:hAnsiTheme="minorEastAsia" w:eastAsiaTheme="minorEastAsia"/>
          <w:color w:val="auto"/>
          <w:szCs w:val="21"/>
          <w:highlight w:val="none"/>
        </w:rPr>
        <w:t>、本合同一式五份，签字、盖章后有效，甲乙各持两份，一份代理机构存档，具有同等法律效力。</w:t>
      </w:r>
    </w:p>
    <w:p w14:paraId="06EDAF0E">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lang w:eastAsia="zh-CN"/>
        </w:rPr>
        <w:t>二</w:t>
      </w:r>
      <w:r>
        <w:rPr>
          <w:rFonts w:hint="eastAsia" w:asciiTheme="minorEastAsia" w:hAnsiTheme="minorEastAsia" w:eastAsiaTheme="minorEastAsia"/>
          <w:color w:val="auto"/>
          <w:szCs w:val="21"/>
          <w:highlight w:val="none"/>
        </w:rPr>
        <w:t>、争议的解决：</w:t>
      </w:r>
    </w:p>
    <w:p w14:paraId="59BAFAFC">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本合同在履行过程中发生争议时，当事人双方应及时协调解决。协商不成时，向当地人民法院起诉。</w:t>
      </w:r>
    </w:p>
    <w:p w14:paraId="644606EB">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lang w:eastAsia="zh-CN"/>
        </w:rPr>
        <w:t>三</w:t>
      </w:r>
      <w:r>
        <w:rPr>
          <w:rFonts w:hint="eastAsia" w:asciiTheme="minorEastAsia" w:hAnsiTheme="minorEastAsia" w:eastAsiaTheme="minorEastAsia"/>
          <w:color w:val="auto"/>
          <w:szCs w:val="21"/>
          <w:highlight w:val="none"/>
        </w:rPr>
        <w:t>、合同的生效</w:t>
      </w:r>
    </w:p>
    <w:p w14:paraId="0FF8F104">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1、本合同经甲乙双方法定代表人或其委托人签字并加盖公章后生效。</w:t>
      </w:r>
    </w:p>
    <w:p w14:paraId="478DB203">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2、本合同一式六 份，甲乙各执三 份。</w:t>
      </w:r>
    </w:p>
    <w:p w14:paraId="03D766C9">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3、相关招标文件、投标文件与本合同具有同等法律效力。</w:t>
      </w:r>
    </w:p>
    <w:p w14:paraId="50EB152E">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甲  方（盖章）：</w:t>
      </w:r>
      <w:r>
        <w:rPr>
          <w:rFonts w:hint="eastAsia" w:asciiTheme="minorEastAsia" w:hAnsiTheme="minorEastAsia" w:eastAsiaTheme="minorEastAsia"/>
          <w:color w:val="auto"/>
          <w:szCs w:val="21"/>
          <w:highlight w:val="none"/>
          <w:lang w:eastAsia="zh-CN"/>
        </w:rPr>
        <w:t>慈溪欣旅酒店管理有限公司</w:t>
      </w: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val="en-US" w:eastAsia="zh-CN"/>
        </w:rPr>
        <w:t xml:space="preserve"> </w:t>
      </w:r>
      <w:r>
        <w:rPr>
          <w:rFonts w:hint="eastAsia" w:asciiTheme="minorEastAsia" w:hAnsiTheme="minorEastAsia" w:eastAsiaTheme="minorEastAsia"/>
          <w:color w:val="auto"/>
          <w:szCs w:val="21"/>
          <w:highlight w:val="none"/>
        </w:rPr>
        <w:t xml:space="preserve">乙  方（盖章）： </w:t>
      </w:r>
    </w:p>
    <w:p w14:paraId="45AD5B4E">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法定代表人或受委托人（签字）：                </w:t>
      </w:r>
      <w:r>
        <w:rPr>
          <w:rFonts w:hint="eastAsia" w:asciiTheme="minorEastAsia" w:hAnsiTheme="minorEastAsia" w:eastAsiaTheme="minorEastAsia"/>
          <w:color w:val="auto"/>
          <w:szCs w:val="21"/>
          <w:highlight w:val="none"/>
          <w:lang w:val="en-US" w:eastAsia="zh-CN"/>
        </w:rPr>
        <w:t xml:space="preserve"> </w:t>
      </w:r>
      <w:r>
        <w:rPr>
          <w:rFonts w:hint="eastAsia" w:asciiTheme="minorEastAsia" w:hAnsiTheme="minorEastAsia" w:eastAsiaTheme="minorEastAsia"/>
          <w:color w:val="auto"/>
          <w:szCs w:val="21"/>
          <w:highlight w:val="none"/>
        </w:rPr>
        <w:t>法定代表人或受委托人（签字）：</w:t>
      </w:r>
    </w:p>
    <w:p w14:paraId="10366C57">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地  址：                                      地 址： </w:t>
      </w:r>
    </w:p>
    <w:p w14:paraId="05A9A180">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电  话：                                      电  话： </w:t>
      </w:r>
    </w:p>
    <w:p w14:paraId="64F9DD59">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传  真：                                      传  真： </w:t>
      </w:r>
    </w:p>
    <w:p w14:paraId="70BBF00F">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开户银行：                                    开户银行：</w:t>
      </w:r>
    </w:p>
    <w:p w14:paraId="1312ADD2">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帐  号：                                      帐  号：</w:t>
      </w:r>
    </w:p>
    <w:p w14:paraId="012D864F">
      <w:pPr>
        <w:spacing w:line="400" w:lineRule="exact"/>
        <w:jc w:val="center"/>
        <w:outlineLvl w:val="0"/>
        <w:rPr>
          <w:rFonts w:ascii="宋体" w:hAnsi="宋体"/>
          <w:b/>
          <w:color w:val="auto"/>
          <w:sz w:val="32"/>
          <w:highlight w:val="none"/>
        </w:rPr>
      </w:pPr>
      <w:r>
        <w:rPr>
          <w:rFonts w:hint="eastAsia"/>
          <w:b/>
          <w:color w:val="auto"/>
          <w:highlight w:val="none"/>
        </w:rPr>
        <w:br w:type="page"/>
      </w:r>
      <w:bookmarkStart w:id="20" w:name="_Toc102053017"/>
      <w:bookmarkStart w:id="21" w:name="_Toc216662965"/>
      <w:r>
        <w:rPr>
          <w:rFonts w:hint="eastAsia" w:ascii="宋体" w:hAnsi="宋体"/>
          <w:b/>
          <w:color w:val="auto"/>
          <w:sz w:val="32"/>
          <w:highlight w:val="none"/>
        </w:rPr>
        <w:t>第五章  招标需求</w:t>
      </w:r>
      <w:bookmarkEnd w:id="20"/>
    </w:p>
    <w:p w14:paraId="018619D6">
      <w:pPr>
        <w:widowControl/>
        <w:snapToGrid w:val="0"/>
        <w:spacing w:line="360" w:lineRule="exact"/>
        <w:rPr>
          <w:rFonts w:ascii="宋体" w:hAnsi="宋体" w:cs="宋体"/>
          <w:b/>
          <w:color w:val="auto"/>
          <w:szCs w:val="21"/>
          <w:highlight w:val="none"/>
        </w:rPr>
      </w:pPr>
    </w:p>
    <w:p w14:paraId="6BF6EE7D">
      <w:pPr>
        <w:spacing w:line="360" w:lineRule="exact"/>
        <w:outlineLvl w:val="0"/>
        <w:rPr>
          <w:rFonts w:ascii="宋体" w:hAnsi="宋体"/>
          <w:b/>
          <w:color w:val="auto"/>
          <w:szCs w:val="21"/>
          <w:highlight w:val="none"/>
        </w:rPr>
      </w:pPr>
      <w:r>
        <w:rPr>
          <w:rFonts w:hint="eastAsia" w:ascii="宋体" w:hAnsi="宋体"/>
          <w:b/>
          <w:color w:val="auto"/>
          <w:szCs w:val="21"/>
          <w:highlight w:val="none"/>
        </w:rPr>
        <w:t>一、项目概况</w:t>
      </w:r>
    </w:p>
    <w:p w14:paraId="29DEE221">
      <w:pPr>
        <w:spacing w:line="360" w:lineRule="exact"/>
        <w:ind w:firstLine="420" w:firstLineChars="200"/>
        <w:outlineLvl w:val="0"/>
        <w:rPr>
          <w:rFonts w:ascii="宋体" w:hAnsi="宋体"/>
          <w:bCs/>
          <w:color w:val="auto"/>
          <w:szCs w:val="21"/>
          <w:highlight w:val="none"/>
        </w:rPr>
      </w:pPr>
      <w:r>
        <w:rPr>
          <w:rFonts w:hint="eastAsia" w:ascii="宋体" w:hAnsi="宋体"/>
          <w:bCs/>
          <w:color w:val="auto"/>
          <w:szCs w:val="21"/>
          <w:highlight w:val="none"/>
        </w:rPr>
        <w:t>慈溪市新城河07-D-01地块，总占地面积88.9亩，建筑面积21127.08平方米</w:t>
      </w:r>
      <w:r>
        <w:rPr>
          <w:rFonts w:hint="eastAsia" w:ascii="宋体" w:hAnsi="宋体"/>
          <w:bCs/>
          <w:color w:val="auto"/>
          <w:szCs w:val="21"/>
          <w:highlight w:val="none"/>
          <w:lang w:eastAsia="zh-CN"/>
        </w:rPr>
        <w:t>，现有</w:t>
      </w:r>
      <w:r>
        <w:rPr>
          <w:rFonts w:hint="eastAsia" w:ascii="宋体" w:hAnsi="宋体"/>
          <w:bCs/>
          <w:color w:val="auto"/>
          <w:szCs w:val="21"/>
          <w:highlight w:val="none"/>
        </w:rPr>
        <w:t>学员餐厅1个（可同时容纳300人就餐）。为确保食堂用料保质保量、价格合理，决定对食堂食品原材料（副食品类、粮油类）进行公开采购。</w:t>
      </w:r>
    </w:p>
    <w:p w14:paraId="20EF408D">
      <w:pPr>
        <w:spacing w:line="360" w:lineRule="exact"/>
        <w:jc w:val="left"/>
        <w:outlineLvl w:val="0"/>
        <w:rPr>
          <w:rFonts w:ascii="宋体" w:hAnsi="宋体"/>
          <w:b/>
          <w:color w:val="auto"/>
          <w:szCs w:val="21"/>
          <w:highlight w:val="none"/>
        </w:rPr>
      </w:pPr>
      <w:r>
        <w:rPr>
          <w:rFonts w:hint="eastAsia" w:ascii="宋体" w:hAnsi="宋体"/>
          <w:b/>
          <w:color w:val="auto"/>
          <w:szCs w:val="21"/>
          <w:highlight w:val="none"/>
        </w:rPr>
        <w:t>二、定点采购内容：</w:t>
      </w:r>
    </w:p>
    <w:p w14:paraId="2C8BB24C">
      <w:pPr>
        <w:spacing w:line="360" w:lineRule="exact"/>
        <w:ind w:firstLine="420" w:firstLineChars="200"/>
        <w:rPr>
          <w:rFonts w:ascii="宋体" w:hAnsi="宋体"/>
          <w:bCs/>
          <w:color w:val="auto"/>
          <w:szCs w:val="21"/>
          <w:highlight w:val="none"/>
        </w:rPr>
      </w:pPr>
      <w:r>
        <w:rPr>
          <w:rFonts w:hint="eastAsia" w:ascii="宋体" w:hAnsi="宋体"/>
          <w:bCs/>
          <w:color w:val="auto"/>
          <w:szCs w:val="21"/>
          <w:highlight w:val="none"/>
        </w:rPr>
        <w:t>1、肉食类（排肉、精肉，牛肉等）。质量要求：排肉是指无骨腿肉和无骨夹心肉，其中腿肉要求剔除大股骨，夹心肉要求割除下懒肉，整方供应，并且每方肉上必须盖有屠宰场的检验检疫章。并提供《动物或动物产品分销信息凭证》或《动物检疫合格证》和《肉品品质检验合格证》。</w:t>
      </w:r>
    </w:p>
    <w:p w14:paraId="07491C35">
      <w:pPr>
        <w:spacing w:line="360" w:lineRule="exact"/>
        <w:rPr>
          <w:rFonts w:ascii="宋体" w:hAnsi="宋体"/>
          <w:bCs/>
          <w:color w:val="auto"/>
          <w:szCs w:val="21"/>
          <w:highlight w:val="none"/>
        </w:rPr>
      </w:pPr>
      <w:r>
        <w:rPr>
          <w:rFonts w:hint="eastAsia" w:ascii="宋体" w:hAnsi="宋体"/>
          <w:bCs/>
          <w:color w:val="auto"/>
          <w:szCs w:val="21"/>
          <w:highlight w:val="none"/>
        </w:rPr>
        <w:t xml:space="preserve">    2、蔬菜类（土豆、西红柿、青椒、青菜、大白菜、包菜、茭白、芋艿、豆芽等）。质量要求：投标人经营品种齐全，有一定规模，日销售量大。所提供的蔬菜必须保证新鲜、不腐烂变质，能提供蔬菜农药残留检测报告、产地合格证明，且符合《农产品质量安全法》要求。</w:t>
      </w:r>
    </w:p>
    <w:p w14:paraId="61B0E6EB">
      <w:pPr>
        <w:spacing w:line="360" w:lineRule="exact"/>
        <w:rPr>
          <w:rFonts w:ascii="宋体" w:hAnsi="宋体"/>
          <w:bCs/>
          <w:color w:val="auto"/>
          <w:szCs w:val="21"/>
          <w:highlight w:val="none"/>
        </w:rPr>
      </w:pPr>
      <w:r>
        <w:rPr>
          <w:rFonts w:hint="eastAsia" w:ascii="宋体" w:hAnsi="宋体"/>
          <w:bCs/>
          <w:color w:val="auto"/>
          <w:szCs w:val="21"/>
          <w:highlight w:val="none"/>
        </w:rPr>
        <w:t xml:space="preserve">    3、水产类（鱼、虾等）。质量要求：符合水产品定性检测要求。</w:t>
      </w:r>
    </w:p>
    <w:p w14:paraId="31109124">
      <w:pPr>
        <w:spacing w:line="360" w:lineRule="exact"/>
        <w:rPr>
          <w:rFonts w:ascii="宋体" w:hAnsi="宋体"/>
          <w:bCs/>
          <w:color w:val="auto"/>
          <w:szCs w:val="21"/>
          <w:highlight w:val="none"/>
        </w:rPr>
      </w:pPr>
      <w:r>
        <w:rPr>
          <w:rFonts w:hint="eastAsia" w:ascii="宋体" w:hAnsi="宋体"/>
          <w:bCs/>
          <w:color w:val="auto"/>
          <w:szCs w:val="21"/>
          <w:highlight w:val="none"/>
        </w:rPr>
        <w:t xml:space="preserve">    4、冰冻类（鸡腿、鸡翅、贡丸、香肠、青豆、玉米、毛豆仁等）。质量要求，投标人须提供产品合格证明文件，动物产品提供《动物或动物产品分销信息凭证》或《动物检疫合格证》。</w:t>
      </w:r>
    </w:p>
    <w:p w14:paraId="31656E8C">
      <w:pPr>
        <w:spacing w:line="360" w:lineRule="exact"/>
        <w:rPr>
          <w:rFonts w:ascii="宋体" w:hAnsi="宋体"/>
          <w:bCs/>
          <w:color w:val="auto"/>
          <w:szCs w:val="21"/>
          <w:highlight w:val="none"/>
        </w:rPr>
      </w:pPr>
      <w:r>
        <w:rPr>
          <w:rFonts w:hint="eastAsia" w:ascii="宋体" w:hAnsi="宋体"/>
          <w:bCs/>
          <w:color w:val="auto"/>
          <w:szCs w:val="21"/>
          <w:highlight w:val="none"/>
        </w:rPr>
        <w:t xml:space="preserve">    5、熟食类、豆制品类（豆腐、千张、香干、素鸡、大油豆腐、小油豆腐等）类。质量要求：成品必须具有“QS”食品质量安全认证，并提供产品合格证明文件。</w:t>
      </w:r>
    </w:p>
    <w:p w14:paraId="1AA0E991">
      <w:pPr>
        <w:spacing w:line="360" w:lineRule="exact"/>
        <w:rPr>
          <w:rFonts w:ascii="宋体" w:hAnsi="宋体"/>
          <w:bCs/>
          <w:color w:val="auto"/>
          <w:szCs w:val="21"/>
          <w:highlight w:val="none"/>
          <w:bdr w:val="single" w:color="auto" w:sz="4" w:space="0"/>
        </w:rPr>
      </w:pPr>
      <w:r>
        <w:rPr>
          <w:rFonts w:hint="eastAsia" w:ascii="宋体" w:hAnsi="宋体"/>
          <w:bCs/>
          <w:color w:val="auto"/>
          <w:szCs w:val="21"/>
          <w:highlight w:val="none"/>
        </w:rPr>
        <w:t xml:space="preserve">    6、家禽类（鲜活家禽）。质量要求：必须提供《动物或动物产品分销信息凭证》或《动物检疫合格证》，并提供养殖基地有效证件。</w:t>
      </w:r>
    </w:p>
    <w:p w14:paraId="68116345">
      <w:pPr>
        <w:spacing w:line="360" w:lineRule="exact"/>
        <w:rPr>
          <w:rFonts w:ascii="宋体" w:hAnsi="宋体"/>
          <w:bCs/>
          <w:color w:val="auto"/>
          <w:szCs w:val="21"/>
          <w:highlight w:val="none"/>
        </w:rPr>
      </w:pPr>
      <w:r>
        <w:rPr>
          <w:rFonts w:hint="eastAsia" w:ascii="宋体" w:hAnsi="宋体"/>
          <w:bCs/>
          <w:color w:val="auto"/>
          <w:szCs w:val="21"/>
          <w:highlight w:val="none"/>
        </w:rPr>
        <w:t xml:space="preserve">    7、酱腌菜类。质量要求：亚硝酸盐定期抽检合格，且符合《食品安全法》要求。</w:t>
      </w:r>
    </w:p>
    <w:p w14:paraId="45AC8F04">
      <w:pPr>
        <w:spacing w:line="360" w:lineRule="exact"/>
        <w:ind w:firstLine="420" w:firstLineChars="200"/>
        <w:rPr>
          <w:rFonts w:ascii="宋体" w:hAnsi="宋体"/>
          <w:bCs/>
          <w:color w:val="auto"/>
          <w:szCs w:val="21"/>
          <w:highlight w:val="none"/>
        </w:rPr>
      </w:pPr>
      <w:r>
        <w:rPr>
          <w:rFonts w:hint="eastAsia" w:ascii="宋体" w:hAnsi="宋体"/>
          <w:bCs/>
          <w:color w:val="auto"/>
          <w:szCs w:val="21"/>
          <w:highlight w:val="none"/>
        </w:rPr>
        <w:t>8、蛋类。质量要求：禽蛋必须保证新鲜，且符合《食品安全法》要求，并提供养殖基地有效证件。</w:t>
      </w:r>
    </w:p>
    <w:p w14:paraId="7A7F8732">
      <w:pPr>
        <w:spacing w:line="360" w:lineRule="exact"/>
        <w:rPr>
          <w:rFonts w:ascii="宋体" w:hAnsi="宋体"/>
          <w:bCs/>
          <w:color w:val="auto"/>
          <w:szCs w:val="21"/>
          <w:highlight w:val="none"/>
        </w:rPr>
      </w:pPr>
      <w:r>
        <w:rPr>
          <w:rFonts w:hint="eastAsia" w:ascii="宋体" w:hAnsi="宋体"/>
          <w:bCs/>
          <w:color w:val="auto"/>
          <w:szCs w:val="21"/>
          <w:highlight w:val="none"/>
        </w:rPr>
        <w:t xml:space="preserve">    9、水果类：所提供的水果必须保证新鲜、不腐烂变质，能提供水果农药残留检测报告，且符合《农产品质量安全法》要求。</w:t>
      </w:r>
    </w:p>
    <w:p w14:paraId="310380DE">
      <w:pPr>
        <w:widowControl/>
        <w:spacing w:line="36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10、佐料类（味精、酱油、干货、生粉、食品添加剂等）。质量要求：糖、味精、酱油、醋、生粉等必须具有“QS”食品质量安全认证。并提供进货商有效证件和产品合格证明文件。</w:t>
      </w:r>
    </w:p>
    <w:p w14:paraId="1387F027">
      <w:pPr>
        <w:widowControl/>
        <w:spacing w:line="36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11、大米（粳米）：必须符合《GB31354-2009》标准，并具有“QS”食品质量安全认证，级别：一级，一年内新米。投标投标人须能提供进货有效证件，投标文件中提供预供大米2018年中距本次采购最近批次的出厂《质量检验报告》复印件加盖公章，并承诺中标后每一批大米均能提供检测合格报告。</w:t>
      </w:r>
    </w:p>
    <w:p w14:paraId="3A839BBB">
      <w:pPr>
        <w:widowControl/>
        <w:spacing w:line="36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12、面粉：必须符合《GB1355-2005》标准，具有“QS”食品质量安全认证，级别：特一级，一个月内面粉。并能提供进货有效证件，投标文件中提供预供面粉2016年中距本次开标最近批次的出厂《质量检验报告》复印件加盖公章，并承诺中标后每一批食用油均能提供检测合格报告。</w:t>
      </w:r>
    </w:p>
    <w:p w14:paraId="03594EBC">
      <w:pPr>
        <w:widowControl/>
        <w:spacing w:line="36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13、食用油：必须符合《GB/T 1535-2017》标准，级别：一级，桶装油，并具有“QS”食品质量安全认证。并能提供进货有效证件，投标文件中提供预供食用油2018年中距本次开标最近批次的出厂《质量检验报告》复印件加盖公章，并承诺中标后每一批食用油均能提供检测合格报告。</w:t>
      </w:r>
    </w:p>
    <w:p w14:paraId="3C2DD68E">
      <w:pPr>
        <w:spacing w:line="360" w:lineRule="exact"/>
        <w:rPr>
          <w:rFonts w:ascii="宋体" w:hAnsi="宋体"/>
          <w:bCs/>
          <w:color w:val="auto"/>
          <w:szCs w:val="21"/>
          <w:highlight w:val="none"/>
        </w:rPr>
      </w:pPr>
      <w:r>
        <w:rPr>
          <w:rFonts w:hint="eastAsia" w:ascii="宋体" w:hAnsi="宋体"/>
          <w:bCs/>
          <w:color w:val="auto"/>
          <w:szCs w:val="21"/>
          <w:highlight w:val="none"/>
        </w:rPr>
        <w:t>三、</w:t>
      </w:r>
      <w:r>
        <w:rPr>
          <w:rFonts w:hint="eastAsia" w:ascii="Arial" w:hAnsi="Arial"/>
          <w:b/>
          <w:color w:val="auto"/>
          <w:szCs w:val="21"/>
          <w:highlight w:val="none"/>
        </w:rPr>
        <w:t>质量</w:t>
      </w:r>
      <w:r>
        <w:rPr>
          <w:rFonts w:hint="eastAsia" w:ascii="Arial" w:hAnsi="Arial"/>
          <w:b/>
          <w:color w:val="auto"/>
          <w:szCs w:val="21"/>
          <w:highlight w:val="none"/>
          <w:lang w:eastAsia="zh-CN"/>
        </w:rPr>
        <w:t>、安全</w:t>
      </w:r>
      <w:r>
        <w:rPr>
          <w:rFonts w:hint="eastAsia" w:ascii="Arial" w:hAnsi="Arial"/>
          <w:b/>
          <w:color w:val="auto"/>
          <w:szCs w:val="21"/>
          <w:highlight w:val="none"/>
        </w:rPr>
        <w:t>要求</w:t>
      </w:r>
    </w:p>
    <w:p w14:paraId="4D89F6BD">
      <w:pPr>
        <w:spacing w:line="360" w:lineRule="exact"/>
        <w:ind w:left="105" w:firstLine="344" w:firstLineChars="164"/>
        <w:rPr>
          <w:rFonts w:ascii="宋体" w:hAnsi="宋体" w:cs="宋体"/>
          <w:color w:val="auto"/>
          <w:szCs w:val="21"/>
          <w:highlight w:val="none"/>
          <w:lang w:bidi="ar"/>
        </w:rPr>
      </w:pPr>
      <w:r>
        <w:rPr>
          <w:rFonts w:hint="eastAsia" w:ascii="宋体" w:hAnsi="宋体"/>
          <w:bCs/>
          <w:color w:val="auto"/>
          <w:szCs w:val="21"/>
          <w:highlight w:val="none"/>
        </w:rPr>
        <w:t>1、投标人所提供的货物必须符合国家有关食品卫生、安全质量等方面的要求。所提供的货物数量、质量，须经采购单位及相关部门验收，验收合格后才能进入食堂。</w:t>
      </w:r>
      <w:r>
        <w:rPr>
          <w:rFonts w:hint="eastAsia" w:ascii="宋体" w:hAnsi="宋体" w:cs="宋体"/>
          <w:color w:val="auto"/>
          <w:szCs w:val="21"/>
          <w:highlight w:val="none"/>
          <w:lang w:bidi="ar"/>
        </w:rPr>
        <w:t>如验收达不到规定要求，采购人可退货，对采购人就餐造成一定影响的，投标人应承担一切责任，并赔偿由此所造成的一切损失。</w:t>
      </w:r>
      <w:r>
        <w:rPr>
          <w:rFonts w:hint="eastAsia" w:ascii="宋体" w:hAnsi="宋体"/>
          <w:bCs/>
          <w:color w:val="auto"/>
          <w:szCs w:val="21"/>
          <w:highlight w:val="none"/>
        </w:rPr>
        <w:t>若投标人不听劝告，一再坚持错误继续供货，采购人有权拒付货款，并有权终止与投标人的采购合同，由此造成的卫生、安全质量后果，全部由投标人承担。</w:t>
      </w:r>
    </w:p>
    <w:p w14:paraId="55288A5C">
      <w:pPr>
        <w:widowControl/>
        <w:spacing w:line="36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投标人提供的各类原料、货物食品必须符合卫生防疫部门检测标准，优质足量，根据采购单位通知要求按规定时间送到食堂并提供相应辅助服务，提供水果蔬菜类食品农药残留检测报告，由于货物质量问题或超过送货时间造成事故的，采购单位有权退货并追究责任，如不能提供要求的货物须提前向采购单位通报，经采购单位确认后，无质量问题方可提供。食品原料48小时留样备查。</w:t>
      </w:r>
    </w:p>
    <w:p w14:paraId="29E93663">
      <w:pPr>
        <w:widowControl/>
        <w:spacing w:line="360" w:lineRule="exact"/>
        <w:ind w:firstLine="392" w:firstLineChars="187"/>
        <w:jc w:val="left"/>
        <w:rPr>
          <w:rFonts w:hint="eastAsia" w:ascii="宋体" w:hAnsi="宋体"/>
          <w:bCs/>
          <w:color w:val="auto"/>
          <w:szCs w:val="21"/>
          <w:highlight w:val="none"/>
        </w:rPr>
      </w:pPr>
      <w:r>
        <w:rPr>
          <w:rFonts w:hint="eastAsia" w:ascii="宋体" w:hAnsi="宋体"/>
          <w:bCs/>
          <w:color w:val="auto"/>
          <w:szCs w:val="21"/>
          <w:highlight w:val="none"/>
        </w:rPr>
        <w:t>3、</w:t>
      </w:r>
      <w:r>
        <w:rPr>
          <w:rFonts w:hint="eastAsia" w:ascii="宋体" w:hAnsi="宋体" w:cs="宋体"/>
          <w:color w:val="auto"/>
          <w:szCs w:val="21"/>
          <w:highlight w:val="none"/>
        </w:rPr>
        <w:t>采购</w:t>
      </w:r>
      <w:r>
        <w:rPr>
          <w:rFonts w:hint="eastAsia" w:ascii="宋体" w:hAnsi="宋体"/>
          <w:bCs/>
          <w:color w:val="auto"/>
          <w:szCs w:val="21"/>
          <w:highlight w:val="none"/>
        </w:rPr>
        <w:t>服务提供保证的有关资料如货物来源证明（生产地、厂家销售授权证书）、物资储备条件、运输车辆等。</w:t>
      </w:r>
    </w:p>
    <w:p w14:paraId="367E0355">
      <w:pPr>
        <w:widowControl/>
        <w:spacing w:line="360" w:lineRule="exact"/>
        <w:jc w:val="left"/>
        <w:rPr>
          <w:rFonts w:hint="eastAsia" w:ascii="Arial" w:hAnsi="Arial" w:eastAsia="宋体"/>
          <w:bCs/>
          <w:color w:val="auto"/>
          <w:szCs w:val="21"/>
          <w:highlight w:val="none"/>
          <w:lang w:eastAsia="zh-CN"/>
        </w:rPr>
      </w:pPr>
      <w:r>
        <w:rPr>
          <w:rFonts w:hint="eastAsia" w:ascii="Arial" w:hAnsi="Arial"/>
          <w:b/>
          <w:color w:val="auto"/>
          <w:szCs w:val="21"/>
          <w:highlight w:val="none"/>
          <w:lang w:eastAsia="zh-CN"/>
        </w:rPr>
        <w:t>四</w:t>
      </w:r>
      <w:r>
        <w:rPr>
          <w:rFonts w:hint="eastAsia" w:ascii="Arial" w:hAnsi="Arial"/>
          <w:b/>
          <w:color w:val="auto"/>
          <w:szCs w:val="21"/>
          <w:highlight w:val="none"/>
        </w:rPr>
        <w:t>、服务</w:t>
      </w:r>
      <w:r>
        <w:rPr>
          <w:rFonts w:hint="eastAsia" w:ascii="Arial" w:hAnsi="Arial"/>
          <w:b/>
          <w:color w:val="auto"/>
          <w:szCs w:val="21"/>
          <w:highlight w:val="none"/>
          <w:lang w:eastAsia="zh-CN"/>
        </w:rPr>
        <w:t>要求</w:t>
      </w:r>
    </w:p>
    <w:p w14:paraId="198470D1">
      <w:pPr>
        <w:widowControl/>
        <w:spacing w:line="36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损失风险：服务中的一切风险由中标人承担。中标人应在保证服务质量和服务工期的前提下服务。中标人须严格按照采购单位规定，先送至采购人指定地点进行检查，双方确认配送货物质量、数量无误后，由中标人搬运至食堂指定位置。采购单位不保证中标人的销量或营业额。</w:t>
      </w:r>
    </w:p>
    <w:p w14:paraId="64AF5F8F">
      <w:pPr>
        <w:widowControl/>
        <w:spacing w:line="36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2、需指定一人为项目负责人，且有专业的配送人员。车辆配置：投标人提供专用车辆用于本项目配送。</w:t>
      </w:r>
    </w:p>
    <w:p w14:paraId="6AB1CDCD">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3、投标人根据采购人的菜单进行配送，每日早上7点前送至采购指定地点（</w:t>
      </w:r>
      <w:r>
        <w:rPr>
          <w:rFonts w:hint="eastAsia" w:ascii="宋体" w:hAnsi="宋体" w:cs="仿宋_GB2312"/>
          <w:color w:val="auto"/>
          <w:szCs w:val="21"/>
          <w:highlight w:val="none"/>
        </w:rPr>
        <w:t>一年365天每天需要供货，其中当日早餐所需副食品须提前一天送到采购人指定地点并经采购人验收合格</w:t>
      </w:r>
      <w:r>
        <w:rPr>
          <w:rFonts w:hint="eastAsia" w:ascii="宋体" w:hAnsi="宋体"/>
          <w:bCs/>
          <w:color w:val="auto"/>
          <w:szCs w:val="21"/>
          <w:highlight w:val="none"/>
        </w:rPr>
        <w:t>），全年无休，保证准时安全地送达，若出现延误，须及时与采购人沟通，保证食堂生产活动的正常进行。若带来不好的影响或者严重的后果，由中标人承担全部责任。</w:t>
      </w:r>
    </w:p>
    <w:p w14:paraId="51996CB3">
      <w:pPr>
        <w:spacing w:line="360" w:lineRule="exact"/>
        <w:ind w:firstLine="420" w:firstLineChars="200"/>
        <w:rPr>
          <w:rFonts w:ascii="宋体" w:hAnsi="宋体"/>
          <w:bCs/>
          <w:color w:val="auto"/>
          <w:szCs w:val="21"/>
          <w:highlight w:val="none"/>
        </w:rPr>
      </w:pPr>
      <w:r>
        <w:rPr>
          <w:rFonts w:hint="eastAsia" w:ascii="宋体" w:hAnsi="宋体"/>
          <w:bCs/>
          <w:color w:val="auto"/>
          <w:szCs w:val="21"/>
          <w:highlight w:val="none"/>
        </w:rPr>
        <w:t>4、采购人在第二天中晚餐所需食材原则上应在前一天16:00通知中标人，中标人须无条件满足，如缺货，投标人可与采购人协商更换品种，但更换品种不得低于原要求。</w:t>
      </w:r>
    </w:p>
    <w:p w14:paraId="44FED0BD">
      <w:pPr>
        <w:spacing w:line="360" w:lineRule="exact"/>
        <w:ind w:firstLine="420" w:firstLineChars="200"/>
        <w:rPr>
          <w:rFonts w:ascii="宋体" w:hAnsi="宋体"/>
          <w:bCs/>
          <w:color w:val="auto"/>
          <w:szCs w:val="21"/>
          <w:highlight w:val="none"/>
        </w:rPr>
      </w:pPr>
      <w:r>
        <w:rPr>
          <w:rFonts w:hint="eastAsia" w:ascii="宋体" w:hAnsi="宋体"/>
          <w:bCs/>
          <w:color w:val="auto"/>
          <w:szCs w:val="21"/>
          <w:highlight w:val="none"/>
        </w:rPr>
        <w:t>5、如采购人有要求，应提供初加工服务，如鱼类等宰杀、切段，蔬菜刨皮、切块等。</w:t>
      </w:r>
    </w:p>
    <w:p w14:paraId="1EB9998F">
      <w:pPr>
        <w:spacing w:line="36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6、采购人在收到食品后，如食品数量、品种、质量等存在问题，采购人有权提出退换货要求，中标人应在1个小时内及时予以退换货。若超出规定时间未处理的，由投标人承担全部责任。</w:t>
      </w:r>
    </w:p>
    <w:p w14:paraId="24577A17">
      <w:pPr>
        <w:spacing w:line="400" w:lineRule="exact"/>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val="en-US" w:eastAsia="zh-CN" w:bidi="ar"/>
        </w:rPr>
        <w:t>7</w:t>
      </w:r>
      <w:r>
        <w:rPr>
          <w:rFonts w:hint="eastAsia" w:ascii="宋体" w:hAnsi="宋体" w:cs="宋体"/>
          <w:bCs/>
          <w:color w:val="auto"/>
          <w:szCs w:val="21"/>
          <w:highlight w:val="none"/>
          <w:lang w:bidi="ar"/>
        </w:rPr>
        <w:t>、供应商应向采购人提供服务过程中必要的相关资料，如货物来源证明</w:t>
      </w:r>
      <w:r>
        <w:rPr>
          <w:rFonts w:ascii="宋体" w:hAnsi="宋体" w:cs="宋体"/>
          <w:bCs/>
          <w:color w:val="auto"/>
          <w:szCs w:val="21"/>
          <w:highlight w:val="none"/>
          <w:lang w:bidi="ar"/>
        </w:rPr>
        <w:t>(</w:t>
      </w:r>
      <w:r>
        <w:rPr>
          <w:rFonts w:hint="eastAsia" w:ascii="宋体" w:hAnsi="宋体" w:cs="宋体"/>
          <w:bCs/>
          <w:color w:val="auto"/>
          <w:szCs w:val="21"/>
          <w:highlight w:val="none"/>
          <w:lang w:bidi="ar"/>
        </w:rPr>
        <w:t>生产地、厂家销售授权证书</w:t>
      </w:r>
      <w:r>
        <w:rPr>
          <w:rFonts w:ascii="宋体" w:hAnsi="宋体" w:cs="宋体"/>
          <w:bCs/>
          <w:color w:val="auto"/>
          <w:szCs w:val="21"/>
          <w:highlight w:val="none"/>
          <w:lang w:bidi="ar"/>
        </w:rPr>
        <w:t>)</w:t>
      </w:r>
      <w:r>
        <w:rPr>
          <w:rFonts w:hint="eastAsia" w:ascii="宋体" w:hAnsi="宋体" w:cs="宋体"/>
          <w:bCs/>
          <w:color w:val="auto"/>
          <w:szCs w:val="21"/>
          <w:highlight w:val="none"/>
          <w:lang w:bidi="ar"/>
        </w:rPr>
        <w:t>、物资储备条件、运输车辆、职工人数等。</w:t>
      </w:r>
    </w:p>
    <w:p w14:paraId="43136A0B">
      <w:pPr>
        <w:spacing w:line="400" w:lineRule="exact"/>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val="en-US" w:eastAsia="zh-CN" w:bidi="ar"/>
        </w:rPr>
        <w:t>8</w:t>
      </w:r>
      <w:r>
        <w:rPr>
          <w:rFonts w:hint="eastAsia" w:ascii="宋体" w:hAnsi="宋体" w:cs="宋体"/>
          <w:bCs/>
          <w:color w:val="auto"/>
          <w:szCs w:val="21"/>
          <w:highlight w:val="none"/>
          <w:lang w:bidi="ar"/>
        </w:rPr>
        <w:t>、如采购人为响应扶贫政策文件在脱贫地区农副产品网络销售平台采购部分食材，供应商不得提出异议。</w:t>
      </w:r>
    </w:p>
    <w:p w14:paraId="1CE5515E">
      <w:pPr>
        <w:spacing w:line="400" w:lineRule="exact"/>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val="en-US" w:eastAsia="zh-CN" w:bidi="ar"/>
        </w:rPr>
        <w:t>9</w:t>
      </w:r>
      <w:r>
        <w:rPr>
          <w:rFonts w:hint="eastAsia" w:ascii="宋体" w:hAnsi="宋体" w:cs="宋体"/>
          <w:bCs/>
          <w:color w:val="auto"/>
          <w:szCs w:val="21"/>
          <w:highlight w:val="none"/>
          <w:lang w:bidi="ar"/>
        </w:rPr>
        <w:t>、如采购人对配送的各类原料、货物食品有储存要求的，供货商应积极配合采购人的需求。</w:t>
      </w:r>
    </w:p>
    <w:p w14:paraId="48FF9B7D">
      <w:pPr>
        <w:spacing w:line="400" w:lineRule="exact"/>
        <w:ind w:firstLine="420" w:firstLineChars="200"/>
        <w:rPr>
          <w:rFonts w:ascii="宋体" w:hAnsi="宋体" w:cs="宋体"/>
          <w:bCs/>
          <w:color w:val="auto"/>
          <w:szCs w:val="21"/>
          <w:highlight w:val="none"/>
          <w:lang w:bidi="ar"/>
        </w:rPr>
      </w:pPr>
      <w:r>
        <w:rPr>
          <w:rFonts w:ascii="宋体" w:hAnsi="宋体" w:cs="宋体"/>
          <w:bCs/>
          <w:color w:val="auto"/>
          <w:szCs w:val="21"/>
          <w:highlight w:val="none"/>
          <w:lang w:bidi="ar"/>
        </w:rPr>
        <w:t>1</w:t>
      </w:r>
      <w:r>
        <w:rPr>
          <w:rFonts w:hint="eastAsia" w:ascii="宋体" w:hAnsi="宋体" w:cs="宋体"/>
          <w:bCs/>
          <w:color w:val="auto"/>
          <w:szCs w:val="21"/>
          <w:highlight w:val="none"/>
          <w:lang w:val="en-US" w:eastAsia="zh-CN" w:bidi="ar"/>
        </w:rPr>
        <w:t>0</w:t>
      </w:r>
      <w:r>
        <w:rPr>
          <w:rFonts w:hint="eastAsia" w:ascii="宋体" w:hAnsi="宋体" w:cs="宋体"/>
          <w:bCs/>
          <w:color w:val="auto"/>
          <w:szCs w:val="21"/>
          <w:highlight w:val="none"/>
          <w:lang w:bidi="ar"/>
        </w:rPr>
        <w:t>、配送人员需持有健康证，着装整洁，服务态度良好。采购人要求配送人员必须持有有效的健康证明，并在工作中保持专业的着装和服务态度。</w:t>
      </w:r>
    </w:p>
    <w:p w14:paraId="5CACD660">
      <w:pPr>
        <w:spacing w:line="400" w:lineRule="exact"/>
        <w:ind w:firstLine="420" w:firstLineChars="200"/>
        <w:rPr>
          <w:rFonts w:ascii="宋体" w:hAnsi="宋体" w:cs="宋体"/>
          <w:bCs/>
          <w:color w:val="auto"/>
          <w:szCs w:val="21"/>
          <w:highlight w:val="none"/>
          <w:lang w:bidi="ar"/>
        </w:rPr>
      </w:pPr>
      <w:r>
        <w:rPr>
          <w:rFonts w:ascii="宋体" w:hAnsi="宋体" w:cs="宋体"/>
          <w:bCs/>
          <w:color w:val="auto"/>
          <w:szCs w:val="21"/>
          <w:highlight w:val="none"/>
          <w:lang w:bidi="ar"/>
        </w:rPr>
        <w:t>1</w:t>
      </w:r>
      <w:r>
        <w:rPr>
          <w:rFonts w:hint="eastAsia" w:ascii="宋体" w:hAnsi="宋体" w:cs="宋体"/>
          <w:bCs/>
          <w:color w:val="auto"/>
          <w:szCs w:val="21"/>
          <w:highlight w:val="none"/>
          <w:lang w:val="en-US" w:eastAsia="zh-CN" w:bidi="ar"/>
        </w:rPr>
        <w:t>1</w:t>
      </w:r>
      <w:r>
        <w:rPr>
          <w:rFonts w:hint="eastAsia" w:ascii="宋体" w:hAnsi="宋体" w:cs="宋体"/>
          <w:bCs/>
          <w:color w:val="auto"/>
          <w:szCs w:val="21"/>
          <w:highlight w:val="none"/>
          <w:lang w:bidi="ar"/>
        </w:rPr>
        <w:t>、供应商应提供</w:t>
      </w:r>
      <w:r>
        <w:rPr>
          <w:rFonts w:ascii="宋体" w:hAnsi="宋体" w:cs="宋体"/>
          <w:bCs/>
          <w:color w:val="auto"/>
          <w:szCs w:val="21"/>
          <w:highlight w:val="none"/>
          <w:lang w:bidi="ar"/>
        </w:rPr>
        <w:t>24</w:t>
      </w:r>
      <w:r>
        <w:rPr>
          <w:rFonts w:hint="eastAsia" w:ascii="宋体" w:hAnsi="宋体" w:cs="宋体"/>
          <w:bCs/>
          <w:color w:val="auto"/>
          <w:szCs w:val="21"/>
          <w:highlight w:val="none"/>
          <w:lang w:bidi="ar"/>
        </w:rPr>
        <w:t>小时客服热线，及时响应并解决服务过程中出现的各类问题。供应商应能够提供全天候的客服支持，以便在任何时间都能快速响应采购人提出的要求。</w:t>
      </w:r>
    </w:p>
    <w:p w14:paraId="5CDA3E61">
      <w:pPr>
        <w:spacing w:line="400" w:lineRule="exact"/>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bidi="ar"/>
        </w:rPr>
        <w:t>1</w:t>
      </w:r>
      <w:r>
        <w:rPr>
          <w:rFonts w:hint="eastAsia" w:ascii="宋体" w:hAnsi="宋体" w:cs="宋体"/>
          <w:bCs/>
          <w:color w:val="auto"/>
          <w:szCs w:val="21"/>
          <w:highlight w:val="none"/>
          <w:lang w:val="en-US" w:eastAsia="zh-CN" w:bidi="ar"/>
        </w:rPr>
        <w:t>2</w:t>
      </w:r>
      <w:r>
        <w:rPr>
          <w:rFonts w:hint="eastAsia" w:ascii="宋体" w:hAnsi="宋体" w:cs="宋体"/>
          <w:bCs/>
          <w:color w:val="auto"/>
          <w:szCs w:val="21"/>
          <w:highlight w:val="none"/>
          <w:lang w:bidi="ar"/>
        </w:rPr>
        <w:t>、对于因质量问题引起的退换货，供应商需无条件接受并快速处理。供应商应对任何因质量问题导致的退换货请求给予积极配合，并迅速处理，以减少对采购人食堂运营的影响。</w:t>
      </w:r>
    </w:p>
    <w:p w14:paraId="3E414F79">
      <w:pPr>
        <w:spacing w:line="400" w:lineRule="exact"/>
        <w:ind w:firstLine="420" w:firstLineChars="200"/>
        <w:rPr>
          <w:rFonts w:hint="eastAsia" w:ascii="宋体" w:hAnsi="宋体"/>
          <w:bCs/>
          <w:color w:val="auto"/>
          <w:szCs w:val="21"/>
          <w:highlight w:val="none"/>
        </w:rPr>
      </w:pPr>
      <w:r>
        <w:rPr>
          <w:rFonts w:hint="eastAsia" w:ascii="宋体" w:hAnsi="宋体" w:cs="宋体"/>
          <w:bCs/>
          <w:color w:val="auto"/>
          <w:szCs w:val="21"/>
          <w:highlight w:val="none"/>
          <w:lang w:bidi="ar"/>
        </w:rPr>
        <w:t>1</w:t>
      </w:r>
      <w:r>
        <w:rPr>
          <w:rFonts w:hint="eastAsia" w:ascii="宋体" w:hAnsi="宋体" w:cs="宋体"/>
          <w:bCs/>
          <w:color w:val="auto"/>
          <w:szCs w:val="21"/>
          <w:highlight w:val="none"/>
          <w:lang w:val="en-US" w:eastAsia="zh-CN" w:bidi="ar"/>
        </w:rPr>
        <w:t>3</w:t>
      </w:r>
      <w:r>
        <w:rPr>
          <w:rFonts w:hint="eastAsia" w:ascii="宋体" w:hAnsi="宋体" w:cs="宋体"/>
          <w:bCs/>
          <w:color w:val="auto"/>
          <w:szCs w:val="21"/>
          <w:highlight w:val="none"/>
          <w:lang w:bidi="ar"/>
        </w:rPr>
        <w:t>、供应商应设置项目经理一名，定期与采购人沟通，了解需求变化，优化配送方案，提升服务质量和效率，同时解决临时、应急性的菜品采购。</w:t>
      </w:r>
    </w:p>
    <w:p w14:paraId="15EE7A78">
      <w:pPr>
        <w:spacing w:line="360" w:lineRule="exact"/>
        <w:rPr>
          <w:rFonts w:ascii="宋体" w:hAnsi="宋体"/>
          <w:bCs/>
          <w:color w:val="auto"/>
          <w:szCs w:val="21"/>
          <w:highlight w:val="none"/>
        </w:rPr>
      </w:pPr>
      <w:r>
        <w:rPr>
          <w:rFonts w:hint="eastAsia" w:ascii="宋体" w:hAnsi="宋体"/>
          <w:b/>
          <w:bCs w:val="0"/>
          <w:color w:val="auto"/>
          <w:szCs w:val="21"/>
          <w:highlight w:val="none"/>
          <w:lang w:eastAsia="zh-CN"/>
        </w:rPr>
        <w:t>五</w:t>
      </w:r>
      <w:r>
        <w:rPr>
          <w:rFonts w:hint="eastAsia" w:ascii="宋体" w:hAnsi="宋体"/>
          <w:b/>
          <w:bCs w:val="0"/>
          <w:color w:val="auto"/>
          <w:szCs w:val="21"/>
          <w:highlight w:val="none"/>
        </w:rPr>
        <w:t>、</w:t>
      </w:r>
      <w:r>
        <w:rPr>
          <w:rFonts w:hint="eastAsia" w:ascii="Arial" w:hAnsi="Arial"/>
          <w:b/>
          <w:color w:val="auto"/>
          <w:szCs w:val="21"/>
          <w:highlight w:val="none"/>
        </w:rPr>
        <w:t>承包方式</w:t>
      </w:r>
    </w:p>
    <w:p w14:paraId="6A6B420D">
      <w:pPr>
        <w:spacing w:line="360" w:lineRule="exact"/>
        <w:ind w:firstLine="420" w:firstLineChars="200"/>
        <w:rPr>
          <w:rFonts w:ascii="宋体" w:hAnsi="宋体"/>
          <w:bCs/>
          <w:color w:val="auto"/>
          <w:szCs w:val="21"/>
          <w:highlight w:val="none"/>
        </w:rPr>
      </w:pPr>
      <w:r>
        <w:rPr>
          <w:rFonts w:hint="eastAsia" w:ascii="Arial" w:hAnsi="Arial"/>
          <w:bCs/>
          <w:color w:val="auto"/>
          <w:szCs w:val="21"/>
          <w:highlight w:val="none"/>
        </w:rPr>
        <w:t xml:space="preserve"> 包工包料、送货至采购单位指定地点。中标后未经采购单位书面同意不得转包。</w:t>
      </w:r>
    </w:p>
    <w:p w14:paraId="165539EC">
      <w:pPr>
        <w:widowControl/>
        <w:spacing w:line="360" w:lineRule="exact"/>
        <w:jc w:val="left"/>
        <w:rPr>
          <w:rFonts w:ascii="Arial" w:hAnsi="Arial"/>
          <w:b/>
          <w:color w:val="auto"/>
          <w:szCs w:val="21"/>
          <w:highlight w:val="none"/>
        </w:rPr>
      </w:pPr>
      <w:r>
        <w:rPr>
          <w:rFonts w:hint="eastAsia" w:ascii="Arial" w:hAnsi="Arial"/>
          <w:b/>
          <w:color w:val="auto"/>
          <w:szCs w:val="21"/>
          <w:highlight w:val="none"/>
        </w:rPr>
        <w:t>六、其他</w:t>
      </w:r>
    </w:p>
    <w:p w14:paraId="5F0BF3BA">
      <w:pPr>
        <w:spacing w:line="360" w:lineRule="exact"/>
        <w:rPr>
          <w:rFonts w:hint="eastAsia" w:ascii="宋体" w:hAnsi="宋体"/>
          <w:color w:val="auto"/>
          <w:sz w:val="28"/>
          <w:szCs w:val="28"/>
          <w:highlight w:val="none"/>
        </w:rPr>
      </w:pPr>
      <w:r>
        <w:rPr>
          <w:rFonts w:hint="eastAsia" w:ascii="宋体" w:hAnsi="宋体"/>
          <w:bCs/>
          <w:color w:val="auto"/>
          <w:szCs w:val="21"/>
          <w:highlight w:val="none"/>
        </w:rPr>
        <w:t>1、乙方必须在签订合同前具备食品经营许可证且投保食堂原材料配送的食品安全责任险，否则甲方有权拒绝签订合同。</w:t>
      </w:r>
    </w:p>
    <w:p w14:paraId="4800E983">
      <w:pPr>
        <w:rPr>
          <w:rFonts w:ascii="Arial" w:hAnsi="Arial" w:cs="Arial"/>
          <w:b/>
          <w:color w:val="auto"/>
          <w:szCs w:val="21"/>
          <w:highlight w:val="none"/>
        </w:rPr>
      </w:pPr>
    </w:p>
    <w:p w14:paraId="50BE7A81">
      <w:pPr>
        <w:numPr>
          <w:ilvl w:val="0"/>
          <w:numId w:val="7"/>
        </w:numPr>
        <w:rPr>
          <w:rFonts w:hint="eastAsia" w:ascii="Arial" w:hAnsi="Arial" w:cs="Arial"/>
          <w:b/>
          <w:color w:val="auto"/>
          <w:szCs w:val="21"/>
          <w:highlight w:val="none"/>
          <w:lang w:eastAsia="zh-CN"/>
        </w:rPr>
      </w:pPr>
      <w:r>
        <w:rPr>
          <w:rFonts w:hint="eastAsia" w:ascii="Arial" w:hAnsi="Arial" w:cs="Arial"/>
          <w:b/>
          <w:color w:val="auto"/>
          <w:szCs w:val="21"/>
          <w:highlight w:val="none"/>
          <w:lang w:eastAsia="zh-CN"/>
        </w:rPr>
        <w:t>验收标准</w:t>
      </w:r>
    </w:p>
    <w:p w14:paraId="6C563CD7">
      <w:pPr>
        <w:numPr>
          <w:ilvl w:val="0"/>
          <w:numId w:val="0"/>
        </w:numPr>
        <w:ind w:firstLine="630" w:firstLineChars="300"/>
        <w:rPr>
          <w:rFonts w:hint="eastAsia" w:ascii="宋体" w:hAnsi="宋体"/>
          <w:bCs/>
          <w:color w:val="auto"/>
          <w:szCs w:val="21"/>
          <w:highlight w:val="none"/>
          <w:lang w:val="en-US" w:eastAsia="zh-CN"/>
        </w:rPr>
      </w:pPr>
      <w:r>
        <w:rPr>
          <w:rFonts w:hint="eastAsia" w:ascii="宋体" w:hAnsi="宋体"/>
          <w:bCs/>
          <w:color w:val="auto"/>
          <w:szCs w:val="21"/>
          <w:highlight w:val="none"/>
          <w:lang w:eastAsia="zh-CN"/>
        </w:rPr>
        <w:t>详见附件</w:t>
      </w:r>
      <w:r>
        <w:rPr>
          <w:rFonts w:hint="eastAsia" w:ascii="宋体" w:hAnsi="宋体"/>
          <w:bCs/>
          <w:color w:val="auto"/>
          <w:szCs w:val="21"/>
          <w:highlight w:val="none"/>
          <w:lang w:val="en-US" w:eastAsia="zh-CN"/>
        </w:rPr>
        <w:t>1</w:t>
      </w:r>
    </w:p>
    <w:p w14:paraId="0B6AAD67">
      <w:pPr>
        <w:numPr>
          <w:ilvl w:val="0"/>
          <w:numId w:val="7"/>
        </w:numPr>
        <w:rPr>
          <w:rFonts w:hint="eastAsia" w:ascii="Arial" w:hAnsi="Arial" w:cs="Arial"/>
          <w:b/>
          <w:color w:val="auto"/>
          <w:szCs w:val="21"/>
          <w:highlight w:val="none"/>
          <w:lang w:eastAsia="zh-CN"/>
        </w:rPr>
      </w:pPr>
      <w:r>
        <w:rPr>
          <w:rFonts w:hint="eastAsia" w:ascii="Arial" w:hAnsi="Arial" w:cs="Arial"/>
          <w:b/>
          <w:color w:val="auto"/>
          <w:szCs w:val="21"/>
          <w:highlight w:val="none"/>
          <w:lang w:eastAsia="zh-CN"/>
        </w:rPr>
        <w:t>考核办法</w:t>
      </w:r>
    </w:p>
    <w:p w14:paraId="09DA14F8">
      <w:pPr>
        <w:tabs>
          <w:tab w:val="left" w:pos="1243"/>
        </w:tabs>
        <w:autoSpaceDE w:val="0"/>
        <w:autoSpaceDN w:val="0"/>
        <w:adjustRightInd w:val="0"/>
        <w:snapToGrid w:val="0"/>
        <w:spacing w:line="400" w:lineRule="exact"/>
        <w:ind w:firstLine="420" w:firstLineChars="200"/>
        <w:textAlignment w:val="bottom"/>
        <w:rPr>
          <w:rFonts w:ascii="宋体" w:hAnsi="宋体"/>
          <w:bCs/>
          <w:color w:val="auto"/>
          <w:szCs w:val="21"/>
          <w:highlight w:val="none"/>
        </w:rPr>
      </w:pPr>
      <w:r>
        <w:rPr>
          <w:rFonts w:ascii="宋体" w:hAnsi="宋体"/>
          <w:bCs/>
          <w:color w:val="auto"/>
          <w:szCs w:val="21"/>
          <w:highlight w:val="none"/>
        </w:rPr>
        <w:t>1.考核时间：每月定期或不定期考核</w:t>
      </w:r>
      <w:r>
        <w:rPr>
          <w:rFonts w:hint="eastAsia" w:ascii="宋体" w:hAnsi="宋体"/>
          <w:bCs/>
          <w:color w:val="auto"/>
          <w:szCs w:val="21"/>
          <w:highlight w:val="none"/>
        </w:rPr>
        <w:t>。</w:t>
      </w:r>
    </w:p>
    <w:p w14:paraId="55DEE24B">
      <w:pPr>
        <w:tabs>
          <w:tab w:val="left" w:pos="1243"/>
        </w:tabs>
        <w:autoSpaceDE w:val="0"/>
        <w:autoSpaceDN w:val="0"/>
        <w:adjustRightInd w:val="0"/>
        <w:snapToGrid w:val="0"/>
        <w:spacing w:line="400" w:lineRule="exact"/>
        <w:ind w:firstLine="420" w:firstLineChars="200"/>
        <w:textAlignment w:val="bottom"/>
        <w:rPr>
          <w:rFonts w:ascii="宋体" w:hAnsi="宋体"/>
          <w:bCs/>
          <w:color w:val="auto"/>
          <w:szCs w:val="21"/>
          <w:highlight w:val="none"/>
        </w:rPr>
      </w:pPr>
      <w:r>
        <w:rPr>
          <w:rFonts w:ascii="宋体" w:hAnsi="宋体"/>
          <w:bCs/>
          <w:color w:val="auto"/>
          <w:szCs w:val="21"/>
          <w:highlight w:val="none"/>
        </w:rPr>
        <w:t>2.考核细则</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1"/>
        <w:gridCol w:w="1623"/>
      </w:tblGrid>
      <w:tr w14:paraId="185C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Pr>
          <w:p w14:paraId="11683067">
            <w:pPr>
              <w:tabs>
                <w:tab w:val="left" w:pos="1243"/>
              </w:tabs>
              <w:autoSpaceDE w:val="0"/>
              <w:autoSpaceDN w:val="0"/>
              <w:adjustRightInd w:val="0"/>
              <w:snapToGrid w:val="0"/>
              <w:spacing w:line="400" w:lineRule="exact"/>
              <w:jc w:val="center"/>
              <w:textAlignment w:val="bottom"/>
              <w:rPr>
                <w:rFonts w:ascii="宋体" w:hAnsi="宋体"/>
                <w:bCs/>
                <w:color w:val="auto"/>
                <w:szCs w:val="21"/>
                <w:highlight w:val="none"/>
              </w:rPr>
            </w:pPr>
            <w:r>
              <w:rPr>
                <w:rFonts w:ascii="宋体" w:hAnsi="宋体"/>
                <w:bCs/>
                <w:color w:val="auto"/>
                <w:szCs w:val="21"/>
                <w:highlight w:val="none"/>
              </w:rPr>
              <w:t>考核内容</w:t>
            </w:r>
          </w:p>
        </w:tc>
        <w:tc>
          <w:tcPr>
            <w:tcW w:w="1623" w:type="dxa"/>
          </w:tcPr>
          <w:p w14:paraId="6BF5BDBB">
            <w:pPr>
              <w:tabs>
                <w:tab w:val="left" w:pos="1243"/>
              </w:tabs>
              <w:autoSpaceDE w:val="0"/>
              <w:autoSpaceDN w:val="0"/>
              <w:adjustRightInd w:val="0"/>
              <w:snapToGrid w:val="0"/>
              <w:spacing w:line="400" w:lineRule="exact"/>
              <w:jc w:val="center"/>
              <w:textAlignment w:val="bottom"/>
              <w:rPr>
                <w:rFonts w:ascii="宋体" w:hAnsi="宋体"/>
                <w:bCs/>
                <w:color w:val="auto"/>
                <w:szCs w:val="21"/>
                <w:highlight w:val="none"/>
              </w:rPr>
            </w:pPr>
            <w:r>
              <w:rPr>
                <w:rFonts w:ascii="宋体" w:hAnsi="宋体"/>
                <w:bCs/>
                <w:color w:val="auto"/>
                <w:szCs w:val="21"/>
                <w:highlight w:val="none"/>
              </w:rPr>
              <w:t>分值</w:t>
            </w:r>
          </w:p>
        </w:tc>
      </w:tr>
      <w:tr w14:paraId="1B8B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Pr>
          <w:p w14:paraId="27CB550B">
            <w:pPr>
              <w:tabs>
                <w:tab w:val="left" w:pos="1243"/>
              </w:tabs>
              <w:autoSpaceDE w:val="0"/>
              <w:autoSpaceDN w:val="0"/>
              <w:adjustRightInd w:val="0"/>
              <w:snapToGrid w:val="0"/>
              <w:spacing w:line="400" w:lineRule="exact"/>
              <w:jc w:val="left"/>
              <w:textAlignment w:val="bottom"/>
              <w:rPr>
                <w:rFonts w:ascii="宋体" w:hAnsi="宋体"/>
                <w:bCs/>
                <w:color w:val="auto"/>
                <w:szCs w:val="21"/>
                <w:highlight w:val="none"/>
              </w:rPr>
            </w:pPr>
            <w:r>
              <w:rPr>
                <w:rFonts w:ascii="宋体" w:hAnsi="宋体"/>
                <w:bCs/>
                <w:color w:val="auto"/>
                <w:szCs w:val="21"/>
                <w:highlight w:val="none"/>
              </w:rPr>
              <w:t>1、乙方未能按时、按量送货</w:t>
            </w:r>
          </w:p>
        </w:tc>
        <w:tc>
          <w:tcPr>
            <w:tcW w:w="1623" w:type="dxa"/>
            <w:vAlign w:val="center"/>
          </w:tcPr>
          <w:p w14:paraId="6F8C0F5D">
            <w:pPr>
              <w:tabs>
                <w:tab w:val="left" w:pos="1243"/>
              </w:tabs>
              <w:autoSpaceDE w:val="0"/>
              <w:autoSpaceDN w:val="0"/>
              <w:adjustRightInd w:val="0"/>
              <w:snapToGrid w:val="0"/>
              <w:spacing w:line="400" w:lineRule="exact"/>
              <w:jc w:val="center"/>
              <w:textAlignment w:val="bottom"/>
              <w:rPr>
                <w:rFonts w:ascii="宋体" w:hAnsi="宋体"/>
                <w:bCs/>
                <w:color w:val="auto"/>
                <w:szCs w:val="21"/>
                <w:highlight w:val="none"/>
              </w:rPr>
            </w:pPr>
            <w:r>
              <w:rPr>
                <w:rFonts w:hint="eastAsia" w:ascii="宋体" w:hAnsi="宋体"/>
                <w:bCs/>
                <w:color w:val="auto"/>
                <w:szCs w:val="21"/>
                <w:highlight w:val="none"/>
              </w:rPr>
              <w:t>扣</w:t>
            </w:r>
            <w:r>
              <w:rPr>
                <w:rFonts w:ascii="宋体" w:hAnsi="宋体"/>
                <w:bCs/>
                <w:color w:val="auto"/>
                <w:szCs w:val="21"/>
                <w:highlight w:val="none"/>
              </w:rPr>
              <w:t>2分</w:t>
            </w:r>
          </w:p>
        </w:tc>
      </w:tr>
      <w:tr w14:paraId="43D5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Pr>
          <w:p w14:paraId="38E50DCF">
            <w:pPr>
              <w:tabs>
                <w:tab w:val="left" w:pos="1243"/>
              </w:tabs>
              <w:autoSpaceDE w:val="0"/>
              <w:autoSpaceDN w:val="0"/>
              <w:adjustRightInd w:val="0"/>
              <w:snapToGrid w:val="0"/>
              <w:spacing w:line="400" w:lineRule="exact"/>
              <w:jc w:val="left"/>
              <w:textAlignment w:val="bottom"/>
              <w:rPr>
                <w:rFonts w:ascii="宋体" w:hAnsi="宋体"/>
                <w:bCs/>
                <w:color w:val="auto"/>
                <w:szCs w:val="21"/>
                <w:highlight w:val="none"/>
              </w:rPr>
            </w:pPr>
            <w:r>
              <w:rPr>
                <w:rFonts w:ascii="宋体" w:hAnsi="宋体"/>
                <w:bCs/>
                <w:color w:val="auto"/>
                <w:szCs w:val="21"/>
                <w:highlight w:val="none"/>
              </w:rPr>
              <w:t>2、乙方未按</w:t>
            </w:r>
            <w:r>
              <w:rPr>
                <w:rFonts w:hint="eastAsia" w:ascii="宋体" w:hAnsi="宋体"/>
                <w:bCs/>
                <w:color w:val="auto"/>
                <w:szCs w:val="21"/>
                <w:highlight w:val="none"/>
              </w:rPr>
              <w:t>甲方</w:t>
            </w:r>
            <w:r>
              <w:rPr>
                <w:rFonts w:ascii="宋体" w:hAnsi="宋体"/>
                <w:bCs/>
                <w:color w:val="auto"/>
                <w:szCs w:val="21"/>
                <w:highlight w:val="none"/>
              </w:rPr>
              <w:t>指定秩序卸货</w:t>
            </w:r>
          </w:p>
        </w:tc>
        <w:tc>
          <w:tcPr>
            <w:tcW w:w="1623" w:type="dxa"/>
            <w:vAlign w:val="center"/>
          </w:tcPr>
          <w:p w14:paraId="4BD3AC05">
            <w:pPr>
              <w:tabs>
                <w:tab w:val="left" w:pos="1243"/>
              </w:tabs>
              <w:autoSpaceDE w:val="0"/>
              <w:autoSpaceDN w:val="0"/>
              <w:adjustRightInd w:val="0"/>
              <w:snapToGrid w:val="0"/>
              <w:spacing w:line="400" w:lineRule="exact"/>
              <w:jc w:val="center"/>
              <w:textAlignment w:val="bottom"/>
              <w:rPr>
                <w:rFonts w:ascii="宋体" w:hAnsi="宋体"/>
                <w:bCs/>
                <w:color w:val="auto"/>
                <w:szCs w:val="21"/>
                <w:highlight w:val="none"/>
              </w:rPr>
            </w:pPr>
            <w:r>
              <w:rPr>
                <w:rFonts w:hint="eastAsia" w:ascii="宋体" w:hAnsi="宋体"/>
                <w:bCs/>
                <w:color w:val="auto"/>
                <w:szCs w:val="21"/>
                <w:highlight w:val="none"/>
              </w:rPr>
              <w:t>扣</w:t>
            </w:r>
            <w:r>
              <w:rPr>
                <w:rFonts w:ascii="宋体" w:hAnsi="宋体"/>
                <w:bCs/>
                <w:color w:val="auto"/>
                <w:szCs w:val="21"/>
                <w:highlight w:val="none"/>
              </w:rPr>
              <w:t>2分</w:t>
            </w:r>
          </w:p>
        </w:tc>
      </w:tr>
      <w:tr w14:paraId="5882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Pr>
          <w:p w14:paraId="7FE73445">
            <w:pPr>
              <w:tabs>
                <w:tab w:val="left" w:pos="1243"/>
              </w:tabs>
              <w:autoSpaceDE w:val="0"/>
              <w:autoSpaceDN w:val="0"/>
              <w:adjustRightInd w:val="0"/>
              <w:snapToGrid w:val="0"/>
              <w:spacing w:line="400" w:lineRule="exact"/>
              <w:jc w:val="left"/>
              <w:textAlignment w:val="bottom"/>
              <w:rPr>
                <w:rFonts w:ascii="宋体" w:hAnsi="宋体"/>
                <w:bCs/>
                <w:color w:val="auto"/>
                <w:szCs w:val="21"/>
                <w:highlight w:val="none"/>
              </w:rPr>
            </w:pPr>
            <w:r>
              <w:rPr>
                <w:rFonts w:ascii="宋体" w:hAnsi="宋体"/>
                <w:bCs/>
                <w:color w:val="auto"/>
                <w:szCs w:val="21"/>
                <w:highlight w:val="none"/>
              </w:rPr>
              <w:t>3、投标货物出现质量问题，乙方不积极配合查找原因，不及时反馈处理结果</w:t>
            </w:r>
          </w:p>
        </w:tc>
        <w:tc>
          <w:tcPr>
            <w:tcW w:w="1623" w:type="dxa"/>
            <w:vAlign w:val="center"/>
          </w:tcPr>
          <w:p w14:paraId="0171C5DD">
            <w:pPr>
              <w:tabs>
                <w:tab w:val="left" w:pos="1243"/>
              </w:tabs>
              <w:autoSpaceDE w:val="0"/>
              <w:autoSpaceDN w:val="0"/>
              <w:adjustRightInd w:val="0"/>
              <w:snapToGrid w:val="0"/>
              <w:spacing w:line="400" w:lineRule="exact"/>
              <w:jc w:val="center"/>
              <w:textAlignment w:val="bottom"/>
              <w:rPr>
                <w:rFonts w:ascii="宋体" w:hAnsi="宋体"/>
                <w:bCs/>
                <w:color w:val="auto"/>
                <w:szCs w:val="21"/>
                <w:highlight w:val="none"/>
              </w:rPr>
            </w:pPr>
            <w:r>
              <w:rPr>
                <w:rFonts w:hint="eastAsia" w:ascii="宋体" w:hAnsi="宋体"/>
                <w:bCs/>
                <w:color w:val="auto"/>
                <w:szCs w:val="21"/>
                <w:highlight w:val="none"/>
              </w:rPr>
              <w:t>扣6</w:t>
            </w:r>
            <w:r>
              <w:rPr>
                <w:rFonts w:ascii="宋体" w:hAnsi="宋体"/>
                <w:bCs/>
                <w:color w:val="auto"/>
                <w:szCs w:val="21"/>
                <w:highlight w:val="none"/>
              </w:rPr>
              <w:t>分</w:t>
            </w:r>
          </w:p>
        </w:tc>
      </w:tr>
      <w:tr w14:paraId="506C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Pr>
          <w:p w14:paraId="02FA1161">
            <w:pPr>
              <w:tabs>
                <w:tab w:val="left" w:pos="1243"/>
              </w:tabs>
              <w:autoSpaceDE w:val="0"/>
              <w:autoSpaceDN w:val="0"/>
              <w:adjustRightInd w:val="0"/>
              <w:snapToGrid w:val="0"/>
              <w:spacing w:line="400" w:lineRule="exact"/>
              <w:jc w:val="left"/>
              <w:textAlignment w:val="bottom"/>
              <w:rPr>
                <w:rFonts w:ascii="宋体" w:hAnsi="宋体"/>
                <w:bCs/>
                <w:color w:val="auto"/>
                <w:szCs w:val="21"/>
                <w:highlight w:val="none"/>
              </w:rPr>
            </w:pPr>
            <w:r>
              <w:rPr>
                <w:rFonts w:ascii="宋体" w:hAnsi="宋体"/>
                <w:bCs/>
                <w:color w:val="auto"/>
                <w:szCs w:val="21"/>
                <w:highlight w:val="none"/>
              </w:rPr>
              <w:t>4、组织机构发生调整，或经营场所、联系人、联系方式变更，未及时通知</w:t>
            </w:r>
            <w:r>
              <w:rPr>
                <w:rFonts w:hint="eastAsia" w:ascii="宋体" w:hAnsi="宋体"/>
                <w:bCs/>
                <w:color w:val="auto"/>
                <w:szCs w:val="21"/>
                <w:highlight w:val="none"/>
              </w:rPr>
              <w:t>采购人</w:t>
            </w:r>
            <w:r>
              <w:rPr>
                <w:rFonts w:ascii="宋体" w:hAnsi="宋体"/>
                <w:bCs/>
                <w:color w:val="auto"/>
                <w:szCs w:val="21"/>
                <w:highlight w:val="none"/>
              </w:rPr>
              <w:t>，造成无法及时联系</w:t>
            </w:r>
          </w:p>
        </w:tc>
        <w:tc>
          <w:tcPr>
            <w:tcW w:w="1623" w:type="dxa"/>
            <w:vAlign w:val="center"/>
          </w:tcPr>
          <w:p w14:paraId="2AE97F16">
            <w:pPr>
              <w:tabs>
                <w:tab w:val="left" w:pos="1243"/>
              </w:tabs>
              <w:autoSpaceDE w:val="0"/>
              <w:autoSpaceDN w:val="0"/>
              <w:adjustRightInd w:val="0"/>
              <w:snapToGrid w:val="0"/>
              <w:spacing w:line="400" w:lineRule="exact"/>
              <w:jc w:val="center"/>
              <w:textAlignment w:val="bottom"/>
              <w:rPr>
                <w:rFonts w:ascii="宋体" w:hAnsi="宋体"/>
                <w:bCs/>
                <w:color w:val="auto"/>
                <w:szCs w:val="21"/>
                <w:highlight w:val="none"/>
              </w:rPr>
            </w:pPr>
            <w:r>
              <w:rPr>
                <w:rFonts w:hint="eastAsia" w:ascii="宋体" w:hAnsi="宋体"/>
                <w:bCs/>
                <w:color w:val="auto"/>
                <w:szCs w:val="21"/>
                <w:highlight w:val="none"/>
              </w:rPr>
              <w:t>扣10</w:t>
            </w:r>
            <w:r>
              <w:rPr>
                <w:rFonts w:ascii="宋体" w:hAnsi="宋体"/>
                <w:bCs/>
                <w:color w:val="auto"/>
                <w:szCs w:val="21"/>
                <w:highlight w:val="none"/>
              </w:rPr>
              <w:t>分</w:t>
            </w:r>
          </w:p>
        </w:tc>
      </w:tr>
      <w:tr w14:paraId="4452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Pr>
          <w:p w14:paraId="0C550D77">
            <w:pPr>
              <w:tabs>
                <w:tab w:val="left" w:pos="1243"/>
              </w:tabs>
              <w:autoSpaceDE w:val="0"/>
              <w:autoSpaceDN w:val="0"/>
              <w:adjustRightInd w:val="0"/>
              <w:snapToGrid w:val="0"/>
              <w:spacing w:line="400" w:lineRule="exact"/>
              <w:jc w:val="left"/>
              <w:textAlignment w:val="bottom"/>
              <w:rPr>
                <w:rFonts w:ascii="宋体" w:hAnsi="宋体"/>
                <w:bCs/>
                <w:color w:val="auto"/>
                <w:szCs w:val="21"/>
                <w:highlight w:val="none"/>
              </w:rPr>
            </w:pPr>
            <w:r>
              <w:rPr>
                <w:rFonts w:hint="eastAsia" w:ascii="宋体" w:hAnsi="宋体"/>
                <w:bCs/>
                <w:color w:val="auto"/>
                <w:szCs w:val="21"/>
                <w:highlight w:val="none"/>
              </w:rPr>
              <w:t>5</w:t>
            </w:r>
            <w:r>
              <w:rPr>
                <w:rFonts w:ascii="宋体" w:hAnsi="宋体"/>
                <w:bCs/>
                <w:color w:val="auto"/>
                <w:szCs w:val="21"/>
                <w:highlight w:val="none"/>
              </w:rPr>
              <w:t>、经甲方查实</w:t>
            </w:r>
            <w:r>
              <w:rPr>
                <w:rFonts w:hint="eastAsia" w:ascii="宋体" w:hAnsi="宋体"/>
                <w:bCs/>
                <w:color w:val="auto"/>
                <w:szCs w:val="21"/>
                <w:highlight w:val="none"/>
              </w:rPr>
              <w:t>供应商</w:t>
            </w:r>
            <w:r>
              <w:rPr>
                <w:rFonts w:ascii="宋体" w:hAnsi="宋体"/>
                <w:bCs/>
                <w:color w:val="auto"/>
                <w:szCs w:val="21"/>
                <w:highlight w:val="none"/>
              </w:rPr>
              <w:t>提供的商品价格目录清单</w:t>
            </w:r>
            <w:r>
              <w:rPr>
                <w:rFonts w:hint="eastAsia" w:ascii="宋体" w:hAnsi="宋体"/>
                <w:bCs/>
                <w:color w:val="auto"/>
                <w:szCs w:val="21"/>
                <w:highlight w:val="none"/>
              </w:rPr>
              <w:t>中商品价格</w:t>
            </w:r>
            <w:r>
              <w:rPr>
                <w:rFonts w:ascii="宋体" w:hAnsi="宋体"/>
                <w:bCs/>
                <w:color w:val="auto"/>
                <w:szCs w:val="21"/>
                <w:highlight w:val="none"/>
              </w:rPr>
              <w:t>与</w:t>
            </w:r>
            <w:r>
              <w:rPr>
                <w:rFonts w:hint="eastAsia" w:ascii="宋体" w:hAnsi="宋体"/>
                <w:bCs/>
                <w:color w:val="auto"/>
                <w:szCs w:val="21"/>
                <w:highlight w:val="none"/>
              </w:rPr>
              <w:t>结算</w:t>
            </w:r>
            <w:r>
              <w:rPr>
                <w:rFonts w:ascii="宋体" w:hAnsi="宋体"/>
                <w:bCs/>
                <w:color w:val="auto"/>
                <w:szCs w:val="21"/>
                <w:highlight w:val="none"/>
              </w:rPr>
              <w:t>价不符的</w:t>
            </w:r>
          </w:p>
        </w:tc>
        <w:tc>
          <w:tcPr>
            <w:tcW w:w="1623" w:type="dxa"/>
            <w:vAlign w:val="center"/>
          </w:tcPr>
          <w:p w14:paraId="2409F65D">
            <w:pPr>
              <w:tabs>
                <w:tab w:val="left" w:pos="1243"/>
              </w:tabs>
              <w:autoSpaceDE w:val="0"/>
              <w:autoSpaceDN w:val="0"/>
              <w:adjustRightInd w:val="0"/>
              <w:snapToGrid w:val="0"/>
              <w:spacing w:line="400" w:lineRule="exact"/>
              <w:jc w:val="center"/>
              <w:textAlignment w:val="bottom"/>
              <w:rPr>
                <w:rFonts w:ascii="宋体" w:hAnsi="宋体"/>
                <w:bCs/>
                <w:color w:val="auto"/>
                <w:szCs w:val="21"/>
                <w:highlight w:val="none"/>
              </w:rPr>
            </w:pPr>
            <w:r>
              <w:rPr>
                <w:rFonts w:hint="eastAsia" w:ascii="宋体" w:hAnsi="宋体"/>
                <w:bCs/>
                <w:color w:val="auto"/>
                <w:szCs w:val="21"/>
                <w:highlight w:val="none"/>
              </w:rPr>
              <w:t>扣</w:t>
            </w:r>
            <w:r>
              <w:rPr>
                <w:rFonts w:ascii="宋体" w:hAnsi="宋体"/>
                <w:bCs/>
                <w:color w:val="auto"/>
                <w:szCs w:val="21"/>
                <w:highlight w:val="none"/>
              </w:rPr>
              <w:t>10分</w:t>
            </w:r>
          </w:p>
        </w:tc>
      </w:tr>
      <w:tr w14:paraId="48AC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Pr>
          <w:p w14:paraId="2A2FEEA1">
            <w:pPr>
              <w:tabs>
                <w:tab w:val="left" w:pos="1243"/>
              </w:tabs>
              <w:autoSpaceDE w:val="0"/>
              <w:autoSpaceDN w:val="0"/>
              <w:adjustRightInd w:val="0"/>
              <w:snapToGrid w:val="0"/>
              <w:spacing w:line="400" w:lineRule="exact"/>
              <w:jc w:val="left"/>
              <w:textAlignment w:val="bottom"/>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、提供的商品是假冒伪劣、“三无”</w:t>
            </w:r>
            <w:r>
              <w:rPr>
                <w:rFonts w:hint="eastAsia" w:ascii="宋体" w:hAnsi="宋体"/>
                <w:bCs/>
                <w:color w:val="auto"/>
                <w:szCs w:val="21"/>
                <w:highlight w:val="none"/>
              </w:rPr>
              <w:t>（无生产日期、无质量合格证以及无生产厂家）</w:t>
            </w:r>
            <w:r>
              <w:rPr>
                <w:rFonts w:ascii="宋体" w:hAnsi="宋体"/>
                <w:bCs/>
                <w:color w:val="auto"/>
                <w:szCs w:val="21"/>
                <w:highlight w:val="none"/>
              </w:rPr>
              <w:t>商品</w:t>
            </w:r>
          </w:p>
        </w:tc>
        <w:tc>
          <w:tcPr>
            <w:tcW w:w="1623" w:type="dxa"/>
            <w:vAlign w:val="center"/>
          </w:tcPr>
          <w:p w14:paraId="408474D7">
            <w:pPr>
              <w:tabs>
                <w:tab w:val="left" w:pos="1243"/>
              </w:tabs>
              <w:autoSpaceDE w:val="0"/>
              <w:autoSpaceDN w:val="0"/>
              <w:adjustRightInd w:val="0"/>
              <w:snapToGrid w:val="0"/>
              <w:spacing w:line="400" w:lineRule="exact"/>
              <w:jc w:val="center"/>
              <w:textAlignment w:val="bottom"/>
              <w:rPr>
                <w:rFonts w:ascii="宋体" w:hAnsi="宋体"/>
                <w:bCs/>
                <w:color w:val="auto"/>
                <w:szCs w:val="21"/>
                <w:highlight w:val="none"/>
              </w:rPr>
            </w:pPr>
            <w:r>
              <w:rPr>
                <w:rFonts w:hint="eastAsia" w:ascii="宋体" w:hAnsi="宋体"/>
                <w:bCs/>
                <w:color w:val="auto"/>
                <w:szCs w:val="21"/>
                <w:highlight w:val="none"/>
              </w:rPr>
              <w:t>扣</w:t>
            </w:r>
            <w:r>
              <w:rPr>
                <w:rFonts w:ascii="宋体" w:hAnsi="宋体"/>
                <w:bCs/>
                <w:color w:val="auto"/>
                <w:szCs w:val="21"/>
                <w:highlight w:val="none"/>
              </w:rPr>
              <w:t>10分</w:t>
            </w:r>
          </w:p>
        </w:tc>
      </w:tr>
      <w:tr w14:paraId="1AF1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Pr>
          <w:p w14:paraId="3DDC75D4">
            <w:pPr>
              <w:tabs>
                <w:tab w:val="left" w:pos="1243"/>
              </w:tabs>
              <w:autoSpaceDE w:val="0"/>
              <w:autoSpaceDN w:val="0"/>
              <w:adjustRightInd w:val="0"/>
              <w:snapToGrid w:val="0"/>
              <w:spacing w:line="400" w:lineRule="exact"/>
              <w:jc w:val="left"/>
              <w:textAlignment w:val="bottom"/>
              <w:rPr>
                <w:rFonts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、不符合食品安全标准、质量等级标准或者要求的</w:t>
            </w:r>
          </w:p>
        </w:tc>
        <w:tc>
          <w:tcPr>
            <w:tcW w:w="1623" w:type="dxa"/>
            <w:vAlign w:val="center"/>
          </w:tcPr>
          <w:p w14:paraId="35D6FEA1">
            <w:pPr>
              <w:tabs>
                <w:tab w:val="left" w:pos="1243"/>
              </w:tabs>
              <w:autoSpaceDE w:val="0"/>
              <w:autoSpaceDN w:val="0"/>
              <w:adjustRightInd w:val="0"/>
              <w:snapToGrid w:val="0"/>
              <w:spacing w:line="400" w:lineRule="exact"/>
              <w:jc w:val="center"/>
              <w:textAlignment w:val="bottom"/>
              <w:rPr>
                <w:rFonts w:ascii="宋体" w:hAnsi="宋体"/>
                <w:bCs/>
                <w:color w:val="auto"/>
                <w:szCs w:val="21"/>
                <w:highlight w:val="none"/>
              </w:rPr>
            </w:pPr>
            <w:r>
              <w:rPr>
                <w:rFonts w:hint="eastAsia" w:ascii="宋体" w:hAnsi="宋体"/>
                <w:bCs/>
                <w:color w:val="auto"/>
                <w:szCs w:val="21"/>
                <w:highlight w:val="none"/>
              </w:rPr>
              <w:t>扣</w:t>
            </w:r>
            <w:r>
              <w:rPr>
                <w:rFonts w:ascii="宋体" w:hAnsi="宋体"/>
                <w:bCs/>
                <w:color w:val="auto"/>
                <w:szCs w:val="21"/>
                <w:highlight w:val="none"/>
              </w:rPr>
              <w:t>10分</w:t>
            </w:r>
          </w:p>
        </w:tc>
      </w:tr>
      <w:tr w14:paraId="38DA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Pr>
          <w:p w14:paraId="5D04F347">
            <w:pPr>
              <w:tabs>
                <w:tab w:val="left" w:pos="1243"/>
              </w:tabs>
              <w:autoSpaceDE w:val="0"/>
              <w:autoSpaceDN w:val="0"/>
              <w:adjustRightInd w:val="0"/>
              <w:snapToGrid w:val="0"/>
              <w:spacing w:line="400" w:lineRule="exact"/>
              <w:jc w:val="left"/>
              <w:textAlignment w:val="bottom"/>
              <w:rPr>
                <w:rFonts w:ascii="宋体" w:hAnsi="宋体"/>
                <w:bCs/>
                <w:color w:val="auto"/>
                <w:szCs w:val="21"/>
                <w:highlight w:val="none"/>
              </w:rPr>
            </w:pPr>
            <w:r>
              <w:rPr>
                <w:rFonts w:hint="eastAsia" w:ascii="宋体" w:hAnsi="宋体"/>
                <w:bCs/>
                <w:color w:val="auto"/>
                <w:szCs w:val="21"/>
                <w:highlight w:val="none"/>
              </w:rPr>
              <w:t>8</w:t>
            </w:r>
            <w:r>
              <w:rPr>
                <w:rFonts w:ascii="宋体" w:hAnsi="宋体"/>
                <w:bCs/>
                <w:color w:val="auto"/>
                <w:szCs w:val="21"/>
                <w:highlight w:val="none"/>
              </w:rPr>
              <w:t>、超过保质期的</w:t>
            </w:r>
          </w:p>
        </w:tc>
        <w:tc>
          <w:tcPr>
            <w:tcW w:w="1623" w:type="dxa"/>
            <w:vAlign w:val="center"/>
          </w:tcPr>
          <w:p w14:paraId="4DF4DFFE">
            <w:pPr>
              <w:tabs>
                <w:tab w:val="left" w:pos="1243"/>
              </w:tabs>
              <w:autoSpaceDE w:val="0"/>
              <w:autoSpaceDN w:val="0"/>
              <w:adjustRightInd w:val="0"/>
              <w:snapToGrid w:val="0"/>
              <w:spacing w:line="400" w:lineRule="exact"/>
              <w:jc w:val="center"/>
              <w:textAlignment w:val="bottom"/>
              <w:rPr>
                <w:rFonts w:ascii="宋体" w:hAnsi="宋体"/>
                <w:bCs/>
                <w:color w:val="auto"/>
                <w:szCs w:val="21"/>
                <w:highlight w:val="none"/>
              </w:rPr>
            </w:pPr>
            <w:r>
              <w:rPr>
                <w:rFonts w:hint="eastAsia" w:ascii="宋体" w:hAnsi="宋体"/>
                <w:bCs/>
                <w:color w:val="auto"/>
                <w:szCs w:val="21"/>
                <w:highlight w:val="none"/>
              </w:rPr>
              <w:t>扣</w:t>
            </w:r>
            <w:r>
              <w:rPr>
                <w:rFonts w:ascii="宋体" w:hAnsi="宋体"/>
                <w:bCs/>
                <w:color w:val="auto"/>
                <w:szCs w:val="21"/>
                <w:highlight w:val="none"/>
              </w:rPr>
              <w:t>10分</w:t>
            </w:r>
          </w:p>
        </w:tc>
      </w:tr>
      <w:tr w14:paraId="3642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Pr>
          <w:p w14:paraId="71DA4574">
            <w:pPr>
              <w:tabs>
                <w:tab w:val="left" w:pos="1243"/>
              </w:tabs>
              <w:autoSpaceDE w:val="0"/>
              <w:autoSpaceDN w:val="0"/>
              <w:adjustRightInd w:val="0"/>
              <w:snapToGrid w:val="0"/>
              <w:spacing w:line="400" w:lineRule="exact"/>
              <w:jc w:val="left"/>
              <w:textAlignment w:val="bottom"/>
              <w:rPr>
                <w:rFonts w:ascii="宋体" w:hAnsi="宋体"/>
                <w:bCs/>
                <w:color w:val="auto"/>
                <w:szCs w:val="21"/>
                <w:highlight w:val="none"/>
              </w:rPr>
            </w:pPr>
            <w:r>
              <w:rPr>
                <w:rFonts w:hint="eastAsia" w:ascii="宋体" w:hAnsi="宋体"/>
                <w:bCs/>
                <w:color w:val="auto"/>
                <w:szCs w:val="21"/>
                <w:highlight w:val="none"/>
              </w:rPr>
              <w:t>9</w:t>
            </w:r>
            <w:r>
              <w:rPr>
                <w:rFonts w:ascii="宋体" w:hAnsi="宋体"/>
                <w:bCs/>
                <w:color w:val="auto"/>
                <w:szCs w:val="21"/>
                <w:highlight w:val="none"/>
              </w:rPr>
              <w:t>、提供虚假检验报告等相关票证</w:t>
            </w:r>
          </w:p>
        </w:tc>
        <w:tc>
          <w:tcPr>
            <w:tcW w:w="1623" w:type="dxa"/>
            <w:vAlign w:val="center"/>
          </w:tcPr>
          <w:p w14:paraId="4BD4D22D">
            <w:pPr>
              <w:tabs>
                <w:tab w:val="left" w:pos="1243"/>
              </w:tabs>
              <w:autoSpaceDE w:val="0"/>
              <w:autoSpaceDN w:val="0"/>
              <w:adjustRightInd w:val="0"/>
              <w:snapToGrid w:val="0"/>
              <w:spacing w:line="400" w:lineRule="exact"/>
              <w:jc w:val="center"/>
              <w:textAlignment w:val="bottom"/>
              <w:rPr>
                <w:rFonts w:ascii="宋体" w:hAnsi="宋体"/>
                <w:bCs/>
                <w:color w:val="auto"/>
                <w:szCs w:val="21"/>
                <w:highlight w:val="none"/>
              </w:rPr>
            </w:pPr>
            <w:r>
              <w:rPr>
                <w:rFonts w:hint="eastAsia" w:ascii="宋体" w:hAnsi="宋体"/>
                <w:bCs/>
                <w:color w:val="auto"/>
                <w:szCs w:val="21"/>
                <w:highlight w:val="none"/>
              </w:rPr>
              <w:t>扣</w:t>
            </w:r>
            <w:r>
              <w:rPr>
                <w:rFonts w:ascii="宋体" w:hAnsi="宋体"/>
                <w:bCs/>
                <w:color w:val="auto"/>
                <w:szCs w:val="21"/>
                <w:highlight w:val="none"/>
              </w:rPr>
              <w:t>10分</w:t>
            </w:r>
          </w:p>
        </w:tc>
      </w:tr>
      <w:tr w14:paraId="6A68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Pr>
          <w:p w14:paraId="20899102">
            <w:pPr>
              <w:tabs>
                <w:tab w:val="left" w:pos="1243"/>
              </w:tabs>
              <w:autoSpaceDE w:val="0"/>
              <w:autoSpaceDN w:val="0"/>
              <w:adjustRightInd w:val="0"/>
              <w:snapToGrid w:val="0"/>
              <w:spacing w:line="400" w:lineRule="exact"/>
              <w:jc w:val="left"/>
              <w:textAlignment w:val="bottom"/>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0</w:t>
            </w:r>
            <w:r>
              <w:rPr>
                <w:rFonts w:ascii="宋体" w:hAnsi="宋体"/>
                <w:bCs/>
                <w:color w:val="auto"/>
                <w:szCs w:val="21"/>
                <w:highlight w:val="none"/>
              </w:rPr>
              <w:t>、预包装无标签的</w:t>
            </w:r>
          </w:p>
        </w:tc>
        <w:tc>
          <w:tcPr>
            <w:tcW w:w="1623" w:type="dxa"/>
            <w:vAlign w:val="center"/>
          </w:tcPr>
          <w:p w14:paraId="324419A0">
            <w:pPr>
              <w:tabs>
                <w:tab w:val="left" w:pos="1243"/>
              </w:tabs>
              <w:autoSpaceDE w:val="0"/>
              <w:autoSpaceDN w:val="0"/>
              <w:adjustRightInd w:val="0"/>
              <w:snapToGrid w:val="0"/>
              <w:spacing w:line="400" w:lineRule="exact"/>
              <w:jc w:val="center"/>
              <w:textAlignment w:val="bottom"/>
              <w:rPr>
                <w:rFonts w:ascii="宋体" w:hAnsi="宋体"/>
                <w:bCs/>
                <w:color w:val="auto"/>
                <w:szCs w:val="21"/>
                <w:highlight w:val="none"/>
              </w:rPr>
            </w:pPr>
            <w:r>
              <w:rPr>
                <w:rFonts w:hint="eastAsia" w:ascii="宋体" w:hAnsi="宋体"/>
                <w:bCs/>
                <w:color w:val="auto"/>
                <w:szCs w:val="21"/>
                <w:highlight w:val="none"/>
              </w:rPr>
              <w:t>扣</w:t>
            </w:r>
            <w:r>
              <w:rPr>
                <w:rFonts w:ascii="宋体" w:hAnsi="宋体"/>
                <w:bCs/>
                <w:color w:val="auto"/>
                <w:szCs w:val="21"/>
                <w:highlight w:val="none"/>
              </w:rPr>
              <w:t>10分</w:t>
            </w:r>
          </w:p>
        </w:tc>
      </w:tr>
      <w:tr w14:paraId="52ED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Pr>
          <w:p w14:paraId="04730984">
            <w:pPr>
              <w:tabs>
                <w:tab w:val="left" w:pos="1243"/>
              </w:tabs>
              <w:autoSpaceDE w:val="0"/>
              <w:autoSpaceDN w:val="0"/>
              <w:adjustRightInd w:val="0"/>
              <w:snapToGrid w:val="0"/>
              <w:spacing w:line="400" w:lineRule="exact"/>
              <w:jc w:val="left"/>
              <w:textAlignment w:val="bottom"/>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1</w:t>
            </w:r>
            <w:r>
              <w:rPr>
                <w:rFonts w:ascii="宋体" w:hAnsi="宋体"/>
                <w:bCs/>
                <w:color w:val="auto"/>
                <w:szCs w:val="21"/>
                <w:highlight w:val="none"/>
              </w:rPr>
              <w:t>、乙方对突发状况的应对能力及解决问题的效率未达到甲方要求</w:t>
            </w:r>
          </w:p>
        </w:tc>
        <w:tc>
          <w:tcPr>
            <w:tcW w:w="1623" w:type="dxa"/>
            <w:vAlign w:val="center"/>
          </w:tcPr>
          <w:p w14:paraId="335C6C84">
            <w:pPr>
              <w:tabs>
                <w:tab w:val="left" w:pos="1243"/>
              </w:tabs>
              <w:autoSpaceDE w:val="0"/>
              <w:autoSpaceDN w:val="0"/>
              <w:adjustRightInd w:val="0"/>
              <w:snapToGrid w:val="0"/>
              <w:spacing w:line="400" w:lineRule="exact"/>
              <w:jc w:val="center"/>
              <w:textAlignment w:val="bottom"/>
              <w:rPr>
                <w:rFonts w:ascii="宋体" w:hAnsi="宋体"/>
                <w:bCs/>
                <w:color w:val="auto"/>
                <w:szCs w:val="21"/>
                <w:highlight w:val="none"/>
              </w:rPr>
            </w:pPr>
            <w:r>
              <w:rPr>
                <w:rFonts w:hint="eastAsia" w:ascii="宋体" w:hAnsi="宋体"/>
                <w:bCs/>
                <w:color w:val="auto"/>
                <w:szCs w:val="21"/>
                <w:highlight w:val="none"/>
              </w:rPr>
              <w:t>扣</w:t>
            </w:r>
            <w:r>
              <w:rPr>
                <w:rFonts w:ascii="宋体" w:hAnsi="宋体"/>
                <w:bCs/>
                <w:color w:val="auto"/>
                <w:szCs w:val="21"/>
                <w:highlight w:val="none"/>
              </w:rPr>
              <w:t>10分</w:t>
            </w:r>
          </w:p>
        </w:tc>
      </w:tr>
      <w:tr w14:paraId="5776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Pr>
          <w:p w14:paraId="1C2481CE">
            <w:pPr>
              <w:tabs>
                <w:tab w:val="left" w:pos="1243"/>
              </w:tabs>
              <w:autoSpaceDE w:val="0"/>
              <w:autoSpaceDN w:val="0"/>
              <w:adjustRightInd w:val="0"/>
              <w:snapToGrid w:val="0"/>
              <w:spacing w:line="400" w:lineRule="exact"/>
              <w:jc w:val="left"/>
              <w:textAlignment w:val="bottom"/>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2</w:t>
            </w:r>
            <w:r>
              <w:rPr>
                <w:rFonts w:ascii="宋体" w:hAnsi="宋体"/>
                <w:bCs/>
                <w:color w:val="auto"/>
                <w:szCs w:val="21"/>
                <w:highlight w:val="none"/>
              </w:rPr>
              <w:t>、乙方工作人员不遵守相关监所管理规定、不配合相关检查的</w:t>
            </w:r>
          </w:p>
        </w:tc>
        <w:tc>
          <w:tcPr>
            <w:tcW w:w="1623" w:type="dxa"/>
            <w:vAlign w:val="center"/>
          </w:tcPr>
          <w:p w14:paraId="7452AC37">
            <w:pPr>
              <w:tabs>
                <w:tab w:val="left" w:pos="1243"/>
              </w:tabs>
              <w:autoSpaceDE w:val="0"/>
              <w:autoSpaceDN w:val="0"/>
              <w:adjustRightInd w:val="0"/>
              <w:snapToGrid w:val="0"/>
              <w:spacing w:line="400" w:lineRule="exact"/>
              <w:jc w:val="center"/>
              <w:textAlignment w:val="bottom"/>
              <w:rPr>
                <w:rFonts w:ascii="宋体" w:hAnsi="宋体"/>
                <w:bCs/>
                <w:color w:val="auto"/>
                <w:szCs w:val="21"/>
                <w:highlight w:val="none"/>
              </w:rPr>
            </w:pPr>
            <w:r>
              <w:rPr>
                <w:rFonts w:hint="eastAsia" w:ascii="宋体" w:hAnsi="宋体"/>
                <w:bCs/>
                <w:color w:val="auto"/>
                <w:szCs w:val="21"/>
                <w:highlight w:val="none"/>
              </w:rPr>
              <w:t>扣</w:t>
            </w:r>
            <w:r>
              <w:rPr>
                <w:rFonts w:ascii="宋体" w:hAnsi="宋体"/>
                <w:bCs/>
                <w:color w:val="auto"/>
                <w:szCs w:val="21"/>
                <w:highlight w:val="none"/>
              </w:rPr>
              <w:t>10分</w:t>
            </w:r>
          </w:p>
        </w:tc>
      </w:tr>
      <w:tr w14:paraId="4A33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Pr>
          <w:p w14:paraId="39033476">
            <w:pPr>
              <w:tabs>
                <w:tab w:val="left" w:pos="1243"/>
              </w:tabs>
              <w:autoSpaceDE w:val="0"/>
              <w:autoSpaceDN w:val="0"/>
              <w:adjustRightInd w:val="0"/>
              <w:snapToGrid w:val="0"/>
              <w:spacing w:line="400" w:lineRule="exact"/>
              <w:jc w:val="left"/>
              <w:textAlignment w:val="bottom"/>
              <w:rPr>
                <w:rFonts w:ascii="宋体" w:hAnsi="宋体"/>
                <w:bCs/>
                <w:color w:val="auto"/>
                <w:szCs w:val="21"/>
                <w:highlight w:val="none"/>
              </w:rPr>
            </w:pPr>
            <w:r>
              <w:rPr>
                <w:rFonts w:hint="eastAsia" w:ascii="宋体" w:hAnsi="宋体"/>
                <w:bCs/>
                <w:color w:val="auto"/>
                <w:szCs w:val="21"/>
                <w:highlight w:val="none"/>
              </w:rPr>
              <w:t>13、</w:t>
            </w:r>
            <w:r>
              <w:rPr>
                <w:rFonts w:ascii="宋体" w:hAnsi="宋体"/>
                <w:bCs/>
                <w:color w:val="auto"/>
                <w:szCs w:val="21"/>
                <w:highlight w:val="none"/>
              </w:rPr>
              <w:t>因提供的食材</w:t>
            </w:r>
            <w:r>
              <w:rPr>
                <w:rFonts w:hint="eastAsia" w:ascii="宋体" w:hAnsi="宋体"/>
                <w:bCs/>
                <w:color w:val="auto"/>
                <w:szCs w:val="21"/>
                <w:highlight w:val="none"/>
              </w:rPr>
              <w:t>食用后</w:t>
            </w:r>
            <w:r>
              <w:rPr>
                <w:rFonts w:ascii="宋体" w:hAnsi="宋体"/>
                <w:bCs/>
                <w:color w:val="auto"/>
                <w:szCs w:val="21"/>
                <w:highlight w:val="none"/>
              </w:rPr>
              <w:t>出现群体食物中毒的</w:t>
            </w:r>
          </w:p>
        </w:tc>
        <w:tc>
          <w:tcPr>
            <w:tcW w:w="1623" w:type="dxa"/>
            <w:vAlign w:val="center"/>
          </w:tcPr>
          <w:p w14:paraId="5D94361E">
            <w:pPr>
              <w:tabs>
                <w:tab w:val="left" w:pos="1243"/>
              </w:tabs>
              <w:autoSpaceDE w:val="0"/>
              <w:autoSpaceDN w:val="0"/>
              <w:adjustRightInd w:val="0"/>
              <w:snapToGrid w:val="0"/>
              <w:spacing w:line="400" w:lineRule="exact"/>
              <w:jc w:val="center"/>
              <w:textAlignment w:val="bottom"/>
              <w:rPr>
                <w:rFonts w:ascii="宋体" w:hAnsi="宋体"/>
                <w:bCs/>
                <w:color w:val="auto"/>
                <w:szCs w:val="21"/>
                <w:highlight w:val="none"/>
              </w:rPr>
            </w:pPr>
            <w:r>
              <w:rPr>
                <w:rFonts w:hint="eastAsia" w:ascii="宋体" w:hAnsi="宋体"/>
                <w:bCs/>
                <w:color w:val="auto"/>
                <w:szCs w:val="21"/>
                <w:highlight w:val="none"/>
              </w:rPr>
              <w:t>扣10分</w:t>
            </w:r>
          </w:p>
        </w:tc>
      </w:tr>
    </w:tbl>
    <w:p w14:paraId="5FD75B4B">
      <w:pPr>
        <w:tabs>
          <w:tab w:val="left" w:pos="1243"/>
        </w:tabs>
        <w:autoSpaceDE w:val="0"/>
        <w:autoSpaceDN w:val="0"/>
        <w:adjustRightInd w:val="0"/>
        <w:snapToGrid w:val="0"/>
        <w:spacing w:line="400" w:lineRule="exact"/>
        <w:ind w:firstLine="420"/>
        <w:textAlignment w:val="bottom"/>
        <w:rPr>
          <w:rFonts w:ascii="宋体" w:cs="宋体"/>
          <w:color w:val="auto"/>
          <w:szCs w:val="21"/>
          <w:highlight w:val="none"/>
        </w:rPr>
      </w:pPr>
      <w:r>
        <w:rPr>
          <w:rFonts w:ascii="宋体" w:hAnsi="宋体"/>
          <w:bCs/>
          <w:color w:val="auto"/>
          <w:szCs w:val="21"/>
          <w:highlight w:val="none"/>
        </w:rPr>
        <w:t>乙方要无条件接受甲方定期或不定期检查监督，本考核细则每月月底进行打分考核，满分为100分。若考核总分高于85分，视为本月考核合格；低于85分（含）为不合格，</w:t>
      </w:r>
      <w:r>
        <w:rPr>
          <w:rFonts w:hint="eastAsia" w:ascii="宋体" w:hAnsi="宋体"/>
          <w:bCs/>
          <w:color w:val="auto"/>
          <w:szCs w:val="21"/>
          <w:highlight w:val="none"/>
        </w:rPr>
        <w:t>单月考核不合格的处罚5000元（从该月款项中扣除）。单月考核不合格累计2次的视为年度考核不合格，甲方有权</w:t>
      </w:r>
      <w:r>
        <w:rPr>
          <w:rFonts w:ascii="宋体" w:hAnsi="宋体"/>
          <w:bCs/>
          <w:color w:val="auto"/>
          <w:szCs w:val="21"/>
          <w:highlight w:val="none"/>
        </w:rPr>
        <w:t>罚没</w:t>
      </w:r>
      <w:r>
        <w:rPr>
          <w:rFonts w:hint="eastAsia" w:ascii="宋体" w:hAnsi="宋体"/>
          <w:bCs/>
          <w:color w:val="auto"/>
          <w:szCs w:val="21"/>
          <w:highlight w:val="none"/>
        </w:rPr>
        <w:t>乙方</w:t>
      </w:r>
      <w:r>
        <w:rPr>
          <w:rFonts w:ascii="宋体" w:hAnsi="宋体"/>
          <w:bCs/>
          <w:color w:val="auto"/>
          <w:szCs w:val="21"/>
          <w:highlight w:val="none"/>
        </w:rPr>
        <w:t>履约保证金，并解除合同</w:t>
      </w:r>
      <w:r>
        <w:rPr>
          <w:rFonts w:hint="eastAsia" w:ascii="宋体" w:hAnsi="宋体"/>
          <w:bCs/>
          <w:color w:val="auto"/>
          <w:szCs w:val="21"/>
          <w:highlight w:val="none"/>
        </w:rPr>
        <w:t>，</w:t>
      </w:r>
      <w:r>
        <w:rPr>
          <w:rFonts w:hint="eastAsia" w:ascii="宋体" w:cs="宋体"/>
          <w:color w:val="auto"/>
          <w:szCs w:val="21"/>
          <w:highlight w:val="none"/>
        </w:rPr>
        <w:t>由此造成的一切相关损失全部由乙方承担。</w:t>
      </w:r>
    </w:p>
    <w:p w14:paraId="71C4F0AB">
      <w:pPr>
        <w:tabs>
          <w:tab w:val="left" w:pos="1243"/>
        </w:tabs>
        <w:autoSpaceDE w:val="0"/>
        <w:autoSpaceDN w:val="0"/>
        <w:adjustRightInd w:val="0"/>
        <w:snapToGrid w:val="0"/>
        <w:spacing w:line="400" w:lineRule="exact"/>
        <w:ind w:firstLine="420"/>
        <w:textAlignment w:val="bottom"/>
        <w:rPr>
          <w:rFonts w:ascii="宋体" w:cs="宋体"/>
          <w:color w:val="auto"/>
          <w:szCs w:val="21"/>
          <w:highlight w:val="none"/>
        </w:rPr>
      </w:pPr>
      <w:r>
        <w:rPr>
          <w:rFonts w:hint="eastAsia" w:ascii="宋体" w:hAnsi="宋体"/>
          <w:bCs/>
          <w:color w:val="auto"/>
          <w:szCs w:val="21"/>
          <w:highlight w:val="none"/>
        </w:rPr>
        <w:t>一年度考核中（合同签订之日起）</w:t>
      </w:r>
      <w:r>
        <w:rPr>
          <w:rFonts w:ascii="宋体" w:hAnsi="宋体"/>
          <w:bCs/>
          <w:color w:val="auto"/>
          <w:szCs w:val="21"/>
          <w:highlight w:val="none"/>
        </w:rPr>
        <w:t>单月考核不合格</w:t>
      </w:r>
      <w:r>
        <w:rPr>
          <w:rFonts w:hint="eastAsia" w:ascii="宋体" w:hAnsi="宋体"/>
          <w:bCs/>
          <w:color w:val="auto"/>
          <w:szCs w:val="21"/>
          <w:highlight w:val="none"/>
        </w:rPr>
        <w:t>次数低于两次（不含）的，视为年度考核合格，</w:t>
      </w:r>
      <w:r>
        <w:rPr>
          <w:rFonts w:hint="eastAsia" w:ascii="宋体" w:hAnsi="宋体" w:cs="宋体"/>
          <w:color w:val="auto"/>
          <w:kern w:val="0"/>
          <w:szCs w:val="21"/>
          <w:highlight w:val="none"/>
        </w:rPr>
        <w:t>经采购人确认，双方协商一致，合同可续签一年，最多续签两年(合同一年一签)。</w:t>
      </w:r>
    </w:p>
    <w:p w14:paraId="6BADACB4">
      <w:pPr>
        <w:numPr>
          <w:ilvl w:val="0"/>
          <w:numId w:val="0"/>
        </w:numPr>
        <w:ind w:firstLine="632" w:firstLineChars="300"/>
        <w:rPr>
          <w:rFonts w:ascii="Arial" w:hAnsi="Arial" w:cs="Arial"/>
          <w:b/>
          <w:color w:val="auto"/>
          <w:szCs w:val="21"/>
          <w:highlight w:val="none"/>
        </w:rPr>
      </w:pPr>
      <w:r>
        <w:rPr>
          <w:rFonts w:ascii="Arial" w:hAnsi="Arial" w:cs="Arial"/>
          <w:b/>
          <w:color w:val="auto"/>
          <w:szCs w:val="21"/>
          <w:highlight w:val="none"/>
        </w:rPr>
        <w:br w:type="page"/>
      </w:r>
    </w:p>
    <w:p w14:paraId="36275D3C">
      <w:pPr>
        <w:tabs>
          <w:tab w:val="left" w:pos="0"/>
        </w:tabs>
        <w:spacing w:line="420" w:lineRule="exact"/>
        <w:rPr>
          <w:rFonts w:ascii="Arial" w:hAnsi="Arial" w:cs="Arial"/>
          <w:b/>
          <w:color w:val="auto"/>
          <w:szCs w:val="21"/>
          <w:highlight w:val="none"/>
        </w:rPr>
      </w:pPr>
      <w:r>
        <w:rPr>
          <w:rFonts w:ascii="Arial" w:hAnsi="Arial" w:cs="Arial"/>
          <w:b/>
          <w:color w:val="auto"/>
          <w:szCs w:val="21"/>
          <w:highlight w:val="none"/>
        </w:rPr>
        <w:t>附件1</w:t>
      </w:r>
    </w:p>
    <w:p w14:paraId="024DF718">
      <w:pPr>
        <w:tabs>
          <w:tab w:val="left" w:pos="0"/>
        </w:tabs>
        <w:spacing w:line="420" w:lineRule="exact"/>
        <w:ind w:firstLine="420"/>
        <w:jc w:val="center"/>
        <w:rPr>
          <w:rFonts w:ascii="Arial" w:hAnsi="Arial" w:cs="Arial"/>
          <w:b/>
          <w:color w:val="auto"/>
          <w:szCs w:val="21"/>
          <w:highlight w:val="none"/>
        </w:rPr>
      </w:pPr>
      <w:r>
        <w:rPr>
          <w:rFonts w:ascii="Arial" w:hAnsi="Arial" w:cs="Arial"/>
          <w:b/>
          <w:color w:val="auto"/>
          <w:szCs w:val="21"/>
          <w:highlight w:val="none"/>
        </w:rPr>
        <w:t>食材验收标准</w:t>
      </w:r>
    </w:p>
    <w:p w14:paraId="334436FC">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一、生鲜类商品验收标准</w:t>
      </w:r>
    </w:p>
    <w:p w14:paraId="4FACB1D3">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生鲜类产品均应当日配送，包装物需卫生、干净、无毒、无害、符合包装材料卫生要求。</w:t>
      </w:r>
    </w:p>
    <w:p w14:paraId="17D00911">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（一）畜禽类产品</w:t>
      </w:r>
    </w:p>
    <w:p w14:paraId="415C6C83">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（1）健康的猪、牛、羊肉：肌肉看上去光泽较好，且为红色或暗红色，脂肪必须是白色的，肌纤维比较有韧性，用手按下去，其凹陷部分容易恢复，味道闻起来正常，无异味。</w:t>
      </w:r>
    </w:p>
    <w:p w14:paraId="69C84628">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（2）优质白条鸡/乌鸡；眼睛明亮饱满，形态完整，表皮颜色因品种不同而呈现乳白、粉黄、粉红色或乌黑色，有光泽且皮肉结合紧密，肉质弹性好，按之可立即恢复，表面干湿度合适、不粘手，无异味。</w:t>
      </w:r>
    </w:p>
    <w:p w14:paraId="0804C376">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（3）米猪肉：病菌主要在瘦肉上生长，米粒的大小不一致，一般比小米粒大一些，象白色小泡一样，里面有一个白点，看起来比较亮。</w:t>
      </w:r>
    </w:p>
    <w:p w14:paraId="2716BC04">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（4）死猪肉：肌肉呈很深的暗红色或紫红色，脂肪为灰红色，血管内有凝块。</w:t>
      </w:r>
    </w:p>
    <w:p w14:paraId="13F4F322">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（5）注水肉：注水肉的颜色发淡，肌肉切面有水洗了的感觉，肌纤维变粗，用手按下去有坑，且不易恢复，用手心感觉肉比较滑且不粘手，识别注水肉的方法：</w:t>
      </w:r>
    </w:p>
    <w:p w14:paraId="72829E13">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①</w:t>
      </w:r>
      <w:r>
        <w:rPr>
          <w:rFonts w:ascii="Arial" w:hAnsi="Arial" w:cs="Arial"/>
          <w:color w:val="auto"/>
          <w:szCs w:val="21"/>
          <w:highlight w:val="none"/>
        </w:rPr>
        <w:t>用卷烟纸贴在瘦肉上过一会揭下，用火柴点燃卷烟纸，有明火的说明纸上有油，肉没有注水，反之为注水肉。</w:t>
      </w:r>
    </w:p>
    <w:p w14:paraId="77B241B5">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②</w:t>
      </w:r>
      <w:r>
        <w:rPr>
          <w:rFonts w:ascii="Arial" w:hAnsi="Arial" w:cs="Arial"/>
          <w:color w:val="auto"/>
          <w:szCs w:val="21"/>
          <w:highlight w:val="none"/>
        </w:rPr>
        <w:t>看色泽，放心肉肌肉有光泽，机械化屠宰因放血完全，色泽淡，脂肪洁白；而注水肌肉颜色较肿胀，切面可见血水渗出。</w:t>
      </w:r>
    </w:p>
    <w:p w14:paraId="52498FC6">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③</w:t>
      </w:r>
      <w:r>
        <w:rPr>
          <w:rFonts w:ascii="Arial" w:hAnsi="Arial" w:cs="Arial"/>
          <w:color w:val="auto"/>
          <w:szCs w:val="21"/>
          <w:highlight w:val="none"/>
        </w:rPr>
        <w:t>试粘度，放心肉外观微干或湿润，不粘手；而注水内手摸切面粘度降低，外观湿润并有血水渗出。</w:t>
      </w:r>
    </w:p>
    <w:p w14:paraId="3BDFDAC7">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④</w:t>
      </w:r>
      <w:r>
        <w:rPr>
          <w:rFonts w:ascii="Arial" w:hAnsi="Arial" w:cs="Arial"/>
          <w:color w:val="auto"/>
          <w:szCs w:val="21"/>
          <w:highlight w:val="none"/>
        </w:rPr>
        <w:t>闻气味，放心肉具有正常鲜肉味道，劣质肉带酸味或血腥味（因放血不全所致）</w:t>
      </w:r>
    </w:p>
    <w:p w14:paraId="4D8FC72E">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⑤</w:t>
      </w:r>
      <w:r>
        <w:rPr>
          <w:rFonts w:ascii="Arial" w:hAnsi="Arial" w:cs="Arial"/>
          <w:color w:val="auto"/>
          <w:szCs w:val="21"/>
          <w:highlight w:val="none"/>
        </w:rPr>
        <w:t>观肉汤，放心肉煮后透明澄清，脂肪均匀团聚，肉汤表面具有香味；注水肉汤混浊，缺少香味，有上浮血沫，有血腥味。</w:t>
      </w:r>
    </w:p>
    <w:p w14:paraId="37DEB7B6">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⑥</w:t>
      </w:r>
      <w:r>
        <w:rPr>
          <w:rFonts w:ascii="Arial" w:hAnsi="Arial" w:cs="Arial"/>
          <w:color w:val="auto"/>
          <w:szCs w:val="21"/>
          <w:highlight w:val="none"/>
        </w:rPr>
        <w:t>变质肉：颜色为灰黄色或黄色，且有种腐败的气味，手抹上去发粘。</w:t>
      </w:r>
    </w:p>
    <w:p w14:paraId="09D7256F">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（二）水产品</w:t>
      </w:r>
    </w:p>
    <w:p w14:paraId="7F01E73E">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（1）海参：主要看海参的肉质和含盐量，海参的外表以刺排列均匀为好。海参的肉质和含盐量，按档次等级不同来分。</w:t>
      </w:r>
    </w:p>
    <w:p w14:paraId="4ABE08F6">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（2）鱼翅：主要以淡黄色为主，且有少许的白色，发黑的应为次品，还要看翅丝的粗细，细为上品，反之为一级品或二级品。</w:t>
      </w:r>
    </w:p>
    <w:p w14:paraId="13F42C73">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（3）海米：分三个步骤：看、闻、摸。</w:t>
      </w:r>
    </w:p>
    <w:p w14:paraId="2D9CD186">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①</w:t>
      </w:r>
      <w:r>
        <w:rPr>
          <w:rFonts w:ascii="Arial" w:hAnsi="Arial" w:cs="Arial"/>
          <w:color w:val="auto"/>
          <w:szCs w:val="21"/>
          <w:highlight w:val="none"/>
        </w:rPr>
        <w:t>看：颜色以肉质发红为主，且头越大越好。</w:t>
      </w:r>
    </w:p>
    <w:p w14:paraId="3EE8348F">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②</w:t>
      </w:r>
      <w:r>
        <w:rPr>
          <w:rFonts w:ascii="Arial" w:hAnsi="Arial" w:cs="Arial"/>
          <w:color w:val="auto"/>
          <w:szCs w:val="21"/>
          <w:highlight w:val="none"/>
        </w:rPr>
        <w:t>闻：闻其气味辨别新鲜度，且不能有异味。</w:t>
      </w:r>
    </w:p>
    <w:p w14:paraId="656D31F5">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③</w:t>
      </w:r>
      <w:r>
        <w:rPr>
          <w:rFonts w:ascii="Arial" w:hAnsi="Arial" w:cs="Arial"/>
          <w:color w:val="auto"/>
          <w:szCs w:val="21"/>
          <w:highlight w:val="none"/>
        </w:rPr>
        <w:t>摸：摸起来不能很湿，越干越为一级品，其次为二级品，海米的头上带有一些黑，黑色物质是海米的“虾脑”，营养丰富，“虾脑”越多越为上品，但一级品的海米不能带有太多的外壳，否则为二级品。</w:t>
      </w:r>
    </w:p>
    <w:p w14:paraId="32D5F771">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（4）虾皮：分为三个步骤：看、闻、摸。</w:t>
      </w:r>
    </w:p>
    <w:p w14:paraId="43F34591">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①</w:t>
      </w:r>
      <w:r>
        <w:rPr>
          <w:rFonts w:ascii="Arial" w:hAnsi="Arial" w:cs="Arial"/>
          <w:color w:val="auto"/>
          <w:szCs w:val="21"/>
          <w:highlight w:val="none"/>
        </w:rPr>
        <w:t>看：虾皮的色泽以白色、淡黄色为最佳，略红色为二级品。</w:t>
      </w:r>
    </w:p>
    <w:p w14:paraId="282C6A5E">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②</w:t>
      </w:r>
      <w:r>
        <w:rPr>
          <w:rFonts w:ascii="Arial" w:hAnsi="Arial" w:cs="Arial"/>
          <w:color w:val="auto"/>
          <w:szCs w:val="21"/>
          <w:highlight w:val="none"/>
        </w:rPr>
        <w:t>闻：不能有异味</w:t>
      </w:r>
    </w:p>
    <w:p w14:paraId="69A4634A">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③</w:t>
      </w:r>
      <w:r>
        <w:rPr>
          <w:rFonts w:ascii="Arial" w:hAnsi="Arial" w:cs="Arial"/>
          <w:color w:val="auto"/>
          <w:szCs w:val="21"/>
          <w:highlight w:val="none"/>
        </w:rPr>
        <w:t>摸：摸皮是否有质感以及虾皮的湿度，如果虾皮特别湿或者很干为二级品，虾皮的外壳也不能太硬，若太硬则表明肉质不鲜。</w:t>
      </w:r>
    </w:p>
    <w:p w14:paraId="5478D138">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5）虾：（对虾等）对于冷冻虾或保鲜虾的鉴别质优劣的常识，鲜虾有着自然的腥香味，虾身光泽、丰满，摸起来不会软烂，虾身与虾头没有松脱。变质虾虾身暗淡，没有光泽，并且有氨臭味，虾头发红（但有的虾属于本身虾脑发红并不是变质）。</w:t>
      </w:r>
    </w:p>
    <w:p w14:paraId="000D0D51">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（6）蟹类：（梭子蟹等）新鲜的螃蟹一般颜色明亮，并有水亮的光泽度，对于冷冻变质的螃蟹有一股刺臭的氨臭味，并有汁水流出，颜色暗淡、无光泽，壳边发红，手敲击有较响声音，并且整蟹相对轻。</w:t>
      </w:r>
    </w:p>
    <w:p w14:paraId="41AB0D26">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（7）足类：（鱿鱼等）新鲜度为眼睛明亮，外皮鲜艳、挺直、有光泽、不掉皮，对于掉皮后发干、发粘有异味则属于变质。</w:t>
      </w:r>
    </w:p>
    <w:p w14:paraId="3859F683">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（8）鱼类：（鲈鱼等）由于各种鱼类品种颜色较多，所以鉴别时有时则根据以下来配合鉴别，通常鉴别鲜度。</w:t>
      </w:r>
    </w:p>
    <w:p w14:paraId="782AEC0F">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①</w:t>
      </w:r>
      <w:r>
        <w:rPr>
          <w:rFonts w:ascii="Arial" w:hAnsi="Arial" w:cs="Arial"/>
          <w:color w:val="auto"/>
          <w:szCs w:val="21"/>
          <w:highlight w:val="none"/>
        </w:rPr>
        <w:t>鱼身颜色光度好；</w:t>
      </w:r>
    </w:p>
    <w:p w14:paraId="26BA62D8">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②</w:t>
      </w:r>
      <w:r>
        <w:rPr>
          <w:rFonts w:ascii="Arial" w:hAnsi="Arial" w:cs="Arial"/>
          <w:color w:val="auto"/>
          <w:szCs w:val="21"/>
          <w:highlight w:val="none"/>
        </w:rPr>
        <w:t>眼睛发亮且有光泽</w:t>
      </w:r>
      <w:r>
        <w:rPr>
          <w:rFonts w:hint="eastAsia" w:ascii="Arial" w:hAnsi="Arial" w:cs="Arial"/>
          <w:color w:val="auto"/>
          <w:szCs w:val="21"/>
          <w:highlight w:val="none"/>
        </w:rPr>
        <w:t>；</w:t>
      </w:r>
    </w:p>
    <w:p w14:paraId="0FD062C2">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③</w:t>
      </w:r>
      <w:r>
        <w:rPr>
          <w:rFonts w:ascii="Arial" w:hAnsi="Arial" w:cs="Arial"/>
          <w:color w:val="auto"/>
          <w:szCs w:val="21"/>
          <w:highlight w:val="none"/>
        </w:rPr>
        <w:t>鱼鳞亮且有光泽</w:t>
      </w:r>
      <w:r>
        <w:rPr>
          <w:rFonts w:hint="eastAsia" w:ascii="Arial" w:hAnsi="Arial" w:cs="Arial"/>
          <w:color w:val="auto"/>
          <w:szCs w:val="21"/>
          <w:highlight w:val="none"/>
        </w:rPr>
        <w:t>；</w:t>
      </w:r>
    </w:p>
    <w:p w14:paraId="4C038FB9">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④</w:t>
      </w:r>
      <w:r>
        <w:rPr>
          <w:rFonts w:ascii="Arial" w:hAnsi="Arial" w:cs="Arial"/>
          <w:color w:val="auto"/>
          <w:szCs w:val="21"/>
          <w:highlight w:val="none"/>
        </w:rPr>
        <w:t>鱼腮颜色鲜红</w:t>
      </w:r>
      <w:r>
        <w:rPr>
          <w:rFonts w:hint="eastAsia" w:ascii="Arial" w:hAnsi="Arial" w:cs="Arial"/>
          <w:color w:val="auto"/>
          <w:szCs w:val="21"/>
          <w:highlight w:val="none"/>
        </w:rPr>
        <w:t>；</w:t>
      </w:r>
    </w:p>
    <w:p w14:paraId="5364D191">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⑤</w:t>
      </w:r>
      <w:r>
        <w:rPr>
          <w:rFonts w:ascii="Arial" w:hAnsi="Arial" w:cs="Arial"/>
          <w:color w:val="auto"/>
          <w:szCs w:val="21"/>
          <w:highlight w:val="none"/>
        </w:rPr>
        <w:t>鱼鳍坚硬</w:t>
      </w:r>
      <w:r>
        <w:rPr>
          <w:rFonts w:hint="eastAsia" w:ascii="Arial" w:hAnsi="Arial" w:cs="Arial"/>
          <w:color w:val="auto"/>
          <w:szCs w:val="21"/>
          <w:highlight w:val="none"/>
        </w:rPr>
        <w:t>；</w:t>
      </w:r>
    </w:p>
    <w:p w14:paraId="0AC5B186">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⑥</w:t>
      </w:r>
      <w:r>
        <w:rPr>
          <w:rFonts w:ascii="Arial" w:hAnsi="Arial" w:cs="Arial"/>
          <w:color w:val="auto"/>
          <w:szCs w:val="21"/>
          <w:highlight w:val="none"/>
        </w:rPr>
        <w:t>对于鱼眼浑浊，凹陷、鱼身没有弹性，并且发粘、有异味，且与鱼身有较大区别则属于变质的鱼。</w:t>
      </w:r>
    </w:p>
    <w:p w14:paraId="79CAA561">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（三）果蔬类产品</w:t>
      </w:r>
    </w:p>
    <w:p w14:paraId="6E4021E1">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1、蔬菜类</w:t>
      </w:r>
    </w:p>
    <w:p w14:paraId="7CF5A5A3">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（1）叶菜类：色泽鲜明，有润泽的光亮，叶身肥壮，饱满，不伤痕，质地脆嫩。</w:t>
      </w:r>
    </w:p>
    <w:p w14:paraId="2673A2FE">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（2）茎根类：以色泽鲜艳、壮大、无斑点，各有其清香气味者为好。</w:t>
      </w:r>
    </w:p>
    <w:p w14:paraId="7CFC5A82">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2、水果类</w:t>
      </w:r>
    </w:p>
    <w:p w14:paraId="4CAB3C7F">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（1）大小：果大说明发育正常，能体现出该品种的风味，果型越小风味越差。果子肉质较松，不易贮存。</w:t>
      </w:r>
    </w:p>
    <w:p w14:paraId="76D8EDFA">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2）颜色：水果成熟与否，颜色是重要标志。如柑桔，成熟后一般底色发黄，呈橙红或鲜红色。不成熟的则是全绿色或半绿色，这样的柑桔风味差。香蕉皮色青绿说明还不大熟，而香蕉皮上呈黑点多的“芝麻蕉”，则表明熟过了。黄香蕉苹果、鸭梨呈金黄色时口感最好。</w:t>
      </w:r>
    </w:p>
    <w:p w14:paraId="05CF6EE4">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（3）看水果表面：颜色鲜艳有光泽，外形端正，细腻光滑的为好。避免有挤压、磕碰的痕迹。</w:t>
      </w:r>
    </w:p>
    <w:p w14:paraId="0EAF01CF">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（4）闻香气：多数成熟的果品有较浓郁的芳香，是果实中含挥发油的原因，毫无香气说明水果不太成熟。</w:t>
      </w:r>
    </w:p>
    <w:p w14:paraId="4DDDA24B">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3、对于水果蔬菜超过15%损坏的，给予拒收。</w:t>
      </w:r>
    </w:p>
    <w:p w14:paraId="0A160F8C">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4、需称重商品：制定相应的去皮土标准，净菜类根据质量进行2%--5%的去皮。</w:t>
      </w:r>
    </w:p>
    <w:p w14:paraId="6EACA5D6">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二、日配类商品验收标准</w:t>
      </w:r>
    </w:p>
    <w:p w14:paraId="08CB3179">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散装熟食、凉拌菜、配菜、面食、鲜牛奶等产品均应当日配送，其余产品送货日期不得超过保质期的1/3（进口产品可适当延长1/2），日期超过保质期的2/3的，给予拒收。</w:t>
      </w:r>
    </w:p>
    <w:p w14:paraId="6ED5A18A">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日配类产品材料需卫生、干净、无毒、无害、符合材料卫生要求。包装必须整齐美观、不松散、无破损。</w:t>
      </w:r>
    </w:p>
    <w:p w14:paraId="6944823F">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（一）熟食品</w:t>
      </w:r>
    </w:p>
    <w:p w14:paraId="0EA81B43">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1、标识检查</w:t>
      </w:r>
    </w:p>
    <w:p w14:paraId="32069CDC">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食品名称、配料表、生产者和地址、生产日期、保质期、保存条件、食用方法、包装规格。同时应附有合格证明。</w:t>
      </w:r>
    </w:p>
    <w:p w14:paraId="19F86BCE">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2、外观检查：</w:t>
      </w:r>
    </w:p>
    <w:p w14:paraId="009E8BC6">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①</w:t>
      </w:r>
      <w:r>
        <w:rPr>
          <w:rFonts w:ascii="Arial" w:hAnsi="Arial" w:cs="Arial"/>
          <w:color w:val="auto"/>
          <w:szCs w:val="21"/>
          <w:highlight w:val="none"/>
        </w:rPr>
        <w:t>火腿颜色呈粉红色或玫瑰红色，有光泽。切片性能好，断面具有大理石花纹，弹性好。</w:t>
      </w:r>
    </w:p>
    <w:p w14:paraId="2E56ADD5">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②</w:t>
      </w:r>
      <w:r>
        <w:rPr>
          <w:rFonts w:ascii="Arial" w:hAnsi="Arial" w:cs="Arial"/>
          <w:color w:val="auto"/>
          <w:szCs w:val="21"/>
          <w:highlight w:val="none"/>
        </w:rPr>
        <w:t>酱卤肉制品外观要求干爽，色泽新鲜，有光泽。</w:t>
      </w:r>
    </w:p>
    <w:p w14:paraId="1B6389C2">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③</w:t>
      </w:r>
      <w:r>
        <w:rPr>
          <w:rFonts w:ascii="Arial" w:hAnsi="Arial" w:cs="Arial"/>
          <w:color w:val="auto"/>
          <w:szCs w:val="21"/>
          <w:highlight w:val="none"/>
        </w:rPr>
        <w:t>腊肠要求外表干爽，肌肉呈红色，脂肪呈白色，红白分明，有光泽，特点具有糖香、醇香和腊香。</w:t>
      </w:r>
    </w:p>
    <w:p w14:paraId="33771BE4">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④</w:t>
      </w:r>
      <w:r>
        <w:rPr>
          <w:rFonts w:ascii="Arial" w:hAnsi="Arial" w:cs="Arial"/>
          <w:color w:val="auto"/>
          <w:szCs w:val="21"/>
          <w:highlight w:val="none"/>
        </w:rPr>
        <w:t>香肠肠衣干燥完整，并与内容物密切结合，坚实而有弹力，无黏液和霉斑。切面坚实而湿润，肉呈均匀蔷薇红色。无腐臭，无酸败。</w:t>
      </w:r>
    </w:p>
    <w:p w14:paraId="2C60AFEB">
      <w:pPr>
        <w:tabs>
          <w:tab w:val="left" w:pos="0"/>
        </w:tabs>
        <w:spacing w:line="420" w:lineRule="exact"/>
        <w:ind w:firstLine="420"/>
        <w:rPr>
          <w:rFonts w:ascii="Arial" w:hAnsi="Arial" w:cs="Arial"/>
          <w:color w:val="auto"/>
          <w:szCs w:val="21"/>
          <w:highlight w:val="none"/>
        </w:rPr>
      </w:pPr>
      <w:r>
        <w:rPr>
          <w:rFonts w:hint="eastAsia" w:ascii="宋体" w:hAnsi="宋体" w:cs="宋体"/>
          <w:color w:val="auto"/>
          <w:szCs w:val="21"/>
          <w:highlight w:val="none"/>
        </w:rPr>
        <w:t>⑤</w:t>
      </w:r>
      <w:r>
        <w:rPr>
          <w:rFonts w:ascii="Arial" w:hAnsi="Arial" w:cs="Arial"/>
          <w:color w:val="auto"/>
          <w:szCs w:val="21"/>
          <w:highlight w:val="none"/>
        </w:rPr>
        <w:t>肉干外表干净，产品较干，无杂质、无异味。</w:t>
      </w:r>
    </w:p>
    <w:p w14:paraId="4B06BA0D">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（二）日配品</w:t>
      </w:r>
    </w:p>
    <w:p w14:paraId="5CDF0481">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（1）产品标识应当标注以下内容：</w:t>
      </w:r>
    </w:p>
    <w:p w14:paraId="22BA4D90">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产品名称：生产厂名及地址：净含量；生产日期；配料表；食用方法；保存条件；保质期；同时应附有检验合格证明。</w:t>
      </w:r>
    </w:p>
    <w:p w14:paraId="6EB4E573">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（2）感官检查：其色泽具有该产品的颜色，均匀一致，具有产品应有的气味、无酸味、霉味及其它异味；口感纯正，具备该产品特点应有的味道。</w:t>
      </w:r>
    </w:p>
    <w:p w14:paraId="6AE7968F">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（三）冷冻品</w:t>
      </w:r>
    </w:p>
    <w:p w14:paraId="188E1736">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冷冻品应用专用低温冷藏（冻）车运输，对冷冻类产品制定5%---10%的去水去冰标准。</w:t>
      </w:r>
    </w:p>
    <w:p w14:paraId="556CD92A">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1、外观检查</w:t>
      </w:r>
    </w:p>
    <w:p w14:paraId="15EE9258">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单件包装完整，无破损，封口严密。产品色泽均匀，形态完整，冻结坚实，无明显粗糙的冰晶，无气孔，不变形，不软塌，不收缩。具有该品种应有的滋味和气味，无异味，无可见杂质。</w:t>
      </w:r>
    </w:p>
    <w:p w14:paraId="5E3B9FC3">
      <w:pPr>
        <w:tabs>
          <w:tab w:val="left" w:pos="0"/>
        </w:tabs>
        <w:spacing w:line="420" w:lineRule="exact"/>
        <w:ind w:firstLine="420"/>
        <w:rPr>
          <w:rFonts w:ascii="Arial" w:hAnsi="Arial" w:cs="Arial"/>
          <w:color w:val="auto"/>
          <w:szCs w:val="21"/>
          <w:highlight w:val="none"/>
        </w:rPr>
      </w:pPr>
      <w:r>
        <w:rPr>
          <w:rFonts w:ascii="Arial" w:hAnsi="Arial" w:cs="Arial"/>
          <w:color w:val="auto"/>
          <w:szCs w:val="21"/>
          <w:highlight w:val="none"/>
        </w:rPr>
        <w:t>2、标识检查</w:t>
      </w:r>
    </w:p>
    <w:p w14:paraId="17DE202B">
      <w:pPr>
        <w:tabs>
          <w:tab w:val="left" w:pos="0"/>
        </w:tabs>
        <w:spacing w:line="420" w:lineRule="exact"/>
        <w:rPr>
          <w:rFonts w:ascii="Arial" w:hAnsi="Arial" w:cs="Arial"/>
          <w:b/>
          <w:color w:val="auto"/>
          <w:szCs w:val="21"/>
          <w:highlight w:val="none"/>
        </w:rPr>
      </w:pPr>
      <w:r>
        <w:rPr>
          <w:rFonts w:ascii="Arial" w:hAnsi="Arial" w:cs="Arial"/>
          <w:color w:val="auto"/>
          <w:szCs w:val="21"/>
          <w:highlight w:val="none"/>
        </w:rPr>
        <w:t>产品名称；生产厂名及地址；净含量；生产日期；配料表；保存条件；保质期；食用方法；同时应附有检验合格证明。</w:t>
      </w:r>
    </w:p>
    <w:p w14:paraId="31F14C43">
      <w:pPr>
        <w:rPr>
          <w:rFonts w:eastAsia="黑体"/>
          <w:b/>
          <w:color w:val="auto"/>
          <w:sz w:val="32"/>
          <w:highlight w:val="none"/>
        </w:rPr>
      </w:pPr>
      <w:r>
        <w:rPr>
          <w:rFonts w:eastAsia="黑体"/>
          <w:b/>
          <w:color w:val="auto"/>
          <w:sz w:val="32"/>
          <w:highlight w:val="none"/>
        </w:rPr>
        <w:br w:type="page"/>
      </w:r>
    </w:p>
    <w:p w14:paraId="5279DC7C">
      <w:pPr>
        <w:spacing w:line="400" w:lineRule="exact"/>
        <w:jc w:val="both"/>
        <w:outlineLvl w:val="0"/>
        <w:rPr>
          <w:rFonts w:eastAsia="黑体"/>
          <w:b/>
          <w:color w:val="auto"/>
          <w:sz w:val="32"/>
          <w:highlight w:val="none"/>
        </w:rPr>
        <w:sectPr>
          <w:headerReference r:id="rId5" w:type="default"/>
          <w:type w:val="nextColumn"/>
          <w:pgSz w:w="11907" w:h="16840"/>
          <w:pgMar w:top="1418" w:right="1134" w:bottom="1418" w:left="1134" w:header="285" w:footer="418" w:gutter="0"/>
          <w:cols w:space="720" w:num="1"/>
          <w:docGrid w:linePitch="285" w:charSpace="0"/>
        </w:sectPr>
      </w:pPr>
    </w:p>
    <w:p w14:paraId="40E129D4">
      <w:pPr>
        <w:spacing w:line="400" w:lineRule="exact"/>
        <w:jc w:val="center"/>
        <w:outlineLvl w:val="0"/>
        <w:rPr>
          <w:color w:val="auto"/>
          <w:highlight w:val="none"/>
        </w:rPr>
      </w:pPr>
      <w:bookmarkStart w:id="22" w:name="_Toc102053018"/>
      <w:r>
        <w:rPr>
          <w:rFonts w:hint="eastAsia" w:ascii="宋体" w:hAnsi="宋体"/>
          <w:b/>
          <w:color w:val="auto"/>
          <w:sz w:val="32"/>
          <w:highlight w:val="none"/>
        </w:rPr>
        <w:t>第六章  商务条款</w:t>
      </w:r>
      <w:bookmarkEnd w:id="22"/>
    </w:p>
    <w:p w14:paraId="6E6BE8A3">
      <w:pPr>
        <w:spacing w:line="40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一、履约保证金：金额</w:t>
      </w:r>
      <w:r>
        <w:rPr>
          <w:rFonts w:asciiTheme="minorEastAsia" w:hAnsiTheme="minorEastAsia" w:eastAsiaTheme="minorEastAsia"/>
          <w:color w:val="auto"/>
          <w:highlight w:val="none"/>
        </w:rPr>
        <w:t>为</w:t>
      </w:r>
      <w:r>
        <w:rPr>
          <w:rFonts w:hint="eastAsia" w:asciiTheme="minorEastAsia" w:hAnsiTheme="minorEastAsia" w:eastAsiaTheme="minorEastAsia"/>
          <w:color w:val="auto"/>
          <w:highlight w:val="none"/>
          <w:lang w:val="en-US" w:eastAsia="zh-CN"/>
        </w:rPr>
        <w:t>8000</w:t>
      </w:r>
      <w:r>
        <w:rPr>
          <w:rFonts w:hint="eastAsia" w:asciiTheme="minorEastAsia" w:hAnsiTheme="minorEastAsia" w:eastAsiaTheme="minorEastAsia"/>
          <w:color w:val="auto"/>
          <w:highlight w:val="none"/>
        </w:rPr>
        <w:t>元；合同期满经考核合格后五个工作日内无息退还。</w:t>
      </w:r>
    </w:p>
    <w:p w14:paraId="4497A588">
      <w:pPr>
        <w:spacing w:line="40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二、服务期限：本次采购服务期为一年。服务期满后，经招标人考核合格，报相关部门备案，合同可续签一年，最多续签两年(合同一年一签)。</w:t>
      </w:r>
    </w:p>
    <w:p w14:paraId="1E1E2BAD">
      <w:pPr>
        <w:spacing w:line="400" w:lineRule="exac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三、付款方式：1、</w:t>
      </w:r>
      <w:r>
        <w:rPr>
          <w:rFonts w:asciiTheme="minorEastAsia" w:hAnsiTheme="minorEastAsia" w:eastAsiaTheme="minorEastAsia"/>
          <w:color w:val="auto"/>
          <w:highlight w:val="none"/>
        </w:rPr>
        <w:t>以</w:t>
      </w:r>
      <w:r>
        <w:rPr>
          <w:rFonts w:hint="eastAsia" w:asciiTheme="minorEastAsia" w:hAnsiTheme="minorEastAsia" w:eastAsiaTheme="minorEastAsia"/>
          <w:color w:val="auto"/>
          <w:highlight w:val="none"/>
        </w:rPr>
        <w:t>中标方的中标折扣费率作为结算依据，单价为“在宁波市菜篮子网市场菜品均价基准上，结合市场行情和自身情况，零售价均价（月均价）*中标折扣费率。</w:t>
      </w:r>
    </w:p>
    <w:p w14:paraId="4E80E870">
      <w:pPr>
        <w:spacing w:line="400" w:lineRule="exact"/>
        <w:rPr>
          <w:rFonts w:hint="eastAsia" w:asciiTheme="minorEastAsia" w:hAnsiTheme="minorEastAsia" w:eastAsiaTheme="minorEastAsia"/>
          <w:b w:val="0"/>
          <w:bCs w:val="0"/>
          <w:color w:val="auto"/>
          <w:szCs w:val="21"/>
          <w:highlight w:val="none"/>
          <w:lang w:eastAsia="zh-CN"/>
        </w:rPr>
      </w:pPr>
      <w:r>
        <w:rPr>
          <w:rFonts w:hint="eastAsia" w:asciiTheme="minorEastAsia" w:hAnsiTheme="minorEastAsia" w:eastAsiaTheme="minorEastAsia"/>
          <w:b w:val="0"/>
          <w:bCs w:val="0"/>
          <w:color w:val="auto"/>
          <w:szCs w:val="21"/>
          <w:highlight w:val="none"/>
          <w:lang w:val="en-US" w:eastAsia="zh-CN"/>
        </w:rPr>
        <w:t>2.</w:t>
      </w:r>
      <w:r>
        <w:rPr>
          <w:rFonts w:hint="eastAsia" w:asciiTheme="minorEastAsia" w:hAnsiTheme="minorEastAsia" w:eastAsiaTheme="minorEastAsia"/>
          <w:b w:val="0"/>
          <w:bCs w:val="0"/>
          <w:color w:val="auto"/>
          <w:szCs w:val="21"/>
          <w:highlight w:val="none"/>
        </w:rPr>
        <w:t>货款每月一结，本月货款于次月初与</w:t>
      </w:r>
      <w:r>
        <w:rPr>
          <w:rFonts w:hint="eastAsia" w:asciiTheme="minorEastAsia" w:hAnsiTheme="minorEastAsia" w:eastAsiaTheme="minorEastAsia"/>
          <w:b w:val="0"/>
          <w:bCs w:val="0"/>
          <w:color w:val="auto"/>
          <w:szCs w:val="21"/>
          <w:highlight w:val="none"/>
          <w:lang w:eastAsia="zh-CN"/>
        </w:rPr>
        <w:t>采购人</w:t>
      </w:r>
      <w:r>
        <w:rPr>
          <w:rFonts w:hint="eastAsia" w:asciiTheme="minorEastAsia" w:hAnsiTheme="minorEastAsia" w:eastAsiaTheme="minorEastAsia"/>
          <w:b w:val="0"/>
          <w:bCs w:val="0"/>
          <w:color w:val="auto"/>
          <w:szCs w:val="21"/>
          <w:highlight w:val="none"/>
        </w:rPr>
        <w:t>结算，结算时</w:t>
      </w:r>
      <w:r>
        <w:rPr>
          <w:rFonts w:hint="eastAsia" w:asciiTheme="minorEastAsia" w:hAnsiTheme="minorEastAsia" w:eastAsiaTheme="minorEastAsia"/>
          <w:b w:val="0"/>
          <w:bCs w:val="0"/>
          <w:color w:val="auto"/>
          <w:szCs w:val="21"/>
          <w:highlight w:val="none"/>
          <w:lang w:eastAsia="zh-CN"/>
        </w:rPr>
        <w:t>供应商</w:t>
      </w:r>
      <w:r>
        <w:rPr>
          <w:rFonts w:hint="eastAsia" w:asciiTheme="minorEastAsia" w:hAnsiTheme="minorEastAsia" w:eastAsiaTheme="minorEastAsia"/>
          <w:b w:val="0"/>
          <w:bCs w:val="0"/>
          <w:color w:val="auto"/>
          <w:szCs w:val="21"/>
          <w:highlight w:val="none"/>
        </w:rPr>
        <w:t>须开具合法票据并提供汇总供货清单交</w:t>
      </w:r>
      <w:r>
        <w:rPr>
          <w:rFonts w:hint="eastAsia" w:asciiTheme="minorEastAsia" w:hAnsiTheme="minorEastAsia" w:eastAsiaTheme="minorEastAsia"/>
          <w:b w:val="0"/>
          <w:bCs w:val="0"/>
          <w:color w:val="auto"/>
          <w:szCs w:val="21"/>
          <w:highlight w:val="none"/>
          <w:lang w:eastAsia="zh-CN"/>
        </w:rPr>
        <w:t>采购人</w:t>
      </w:r>
      <w:r>
        <w:rPr>
          <w:rFonts w:hint="eastAsia" w:asciiTheme="minorEastAsia" w:hAnsiTheme="minorEastAsia" w:eastAsiaTheme="minorEastAsia"/>
          <w:b w:val="0"/>
          <w:bCs w:val="0"/>
          <w:color w:val="auto"/>
          <w:szCs w:val="21"/>
          <w:highlight w:val="none"/>
        </w:rPr>
        <w:t>，</w:t>
      </w:r>
      <w:r>
        <w:rPr>
          <w:rFonts w:hint="eastAsia" w:asciiTheme="minorEastAsia" w:hAnsiTheme="minorEastAsia" w:eastAsiaTheme="minorEastAsia"/>
          <w:b w:val="0"/>
          <w:bCs w:val="0"/>
          <w:color w:val="auto"/>
          <w:szCs w:val="21"/>
          <w:highlight w:val="none"/>
          <w:lang w:eastAsia="zh-CN"/>
        </w:rPr>
        <w:t>采购人</w:t>
      </w:r>
      <w:r>
        <w:rPr>
          <w:rFonts w:hint="eastAsia" w:asciiTheme="minorEastAsia" w:hAnsiTheme="minorEastAsia" w:eastAsiaTheme="minorEastAsia"/>
          <w:b w:val="0"/>
          <w:bCs w:val="0"/>
          <w:color w:val="auto"/>
          <w:szCs w:val="21"/>
          <w:highlight w:val="none"/>
        </w:rPr>
        <w:t>审核后付款</w:t>
      </w:r>
      <w:r>
        <w:rPr>
          <w:rFonts w:hint="eastAsia" w:asciiTheme="minorEastAsia" w:hAnsiTheme="minorEastAsia" w:eastAsiaTheme="minorEastAsia"/>
          <w:b w:val="0"/>
          <w:bCs w:val="0"/>
          <w:color w:val="auto"/>
          <w:szCs w:val="21"/>
          <w:highlight w:val="none"/>
          <w:lang w:eastAsia="zh-CN"/>
        </w:rPr>
        <w:t>。</w:t>
      </w:r>
    </w:p>
    <w:p w14:paraId="2AFFA5BA">
      <w:pPr>
        <w:spacing w:line="400" w:lineRule="exact"/>
        <w:rPr>
          <w:rFonts w:hint="eastAsia" w:ascii="宋体" w:hAnsi="宋体" w:cs="宋体"/>
          <w:bCs/>
          <w:color w:val="auto"/>
          <w:szCs w:val="21"/>
          <w:highlight w:val="none"/>
          <w:lang w:bidi="ar"/>
        </w:rPr>
      </w:pPr>
      <w:r>
        <w:rPr>
          <w:rFonts w:hint="eastAsia" w:ascii="宋体" w:hAnsi="宋体" w:cs="宋体"/>
          <w:bCs/>
          <w:color w:val="auto"/>
          <w:szCs w:val="21"/>
          <w:highlight w:val="none"/>
          <w:lang w:val="en-US" w:eastAsia="zh-CN" w:bidi="ar"/>
        </w:rPr>
        <w:t>3</w:t>
      </w:r>
      <w:r>
        <w:rPr>
          <w:rFonts w:hint="eastAsia" w:ascii="宋体" w:hAnsi="宋体" w:cs="宋体"/>
          <w:bCs/>
          <w:color w:val="auto"/>
          <w:szCs w:val="21"/>
          <w:highlight w:val="none"/>
          <w:lang w:bidi="ar"/>
        </w:rPr>
        <w:t>、食材供货量的确定：</w:t>
      </w:r>
    </w:p>
    <w:p w14:paraId="65753FF5">
      <w:pPr>
        <w:spacing w:line="400" w:lineRule="exact"/>
        <w:rPr>
          <w:rFonts w:hint="eastAsia" w:asciiTheme="minorEastAsia" w:hAnsiTheme="minorEastAsia" w:eastAsiaTheme="minorEastAsia"/>
          <w:b w:val="0"/>
          <w:bCs w:val="0"/>
          <w:color w:val="auto"/>
          <w:szCs w:val="21"/>
          <w:highlight w:val="none"/>
          <w:lang w:eastAsia="zh-CN"/>
        </w:rPr>
      </w:pPr>
      <w:r>
        <w:rPr>
          <w:rFonts w:hint="eastAsia" w:ascii="宋体" w:hAnsi="宋体" w:cs="宋体"/>
          <w:bCs/>
          <w:color w:val="auto"/>
          <w:szCs w:val="21"/>
          <w:highlight w:val="none"/>
          <w:lang w:eastAsia="zh-CN" w:bidi="ar"/>
        </w:rPr>
        <w:t>采购人</w:t>
      </w:r>
      <w:r>
        <w:rPr>
          <w:rFonts w:hint="eastAsia" w:ascii="宋体" w:hAnsi="宋体" w:cs="宋体"/>
          <w:bCs/>
          <w:color w:val="auto"/>
          <w:szCs w:val="21"/>
          <w:highlight w:val="none"/>
          <w:lang w:bidi="ar"/>
        </w:rPr>
        <w:t>每周向</w:t>
      </w:r>
      <w:r>
        <w:rPr>
          <w:rFonts w:hint="eastAsia" w:ascii="宋体" w:hAnsi="宋体" w:cs="宋体"/>
          <w:bCs/>
          <w:color w:val="auto"/>
          <w:szCs w:val="21"/>
          <w:highlight w:val="none"/>
          <w:lang w:eastAsia="zh-CN" w:bidi="ar"/>
        </w:rPr>
        <w:t>供应商</w:t>
      </w:r>
      <w:r>
        <w:rPr>
          <w:rFonts w:hint="eastAsia" w:ascii="宋体" w:hAnsi="宋体" w:cs="宋体"/>
          <w:bCs/>
          <w:color w:val="auto"/>
          <w:szCs w:val="21"/>
          <w:highlight w:val="none"/>
          <w:lang w:bidi="ar"/>
        </w:rPr>
        <w:t>报送下周的定货清单，清单一式三份，</w:t>
      </w:r>
      <w:r>
        <w:rPr>
          <w:rFonts w:hint="eastAsia" w:ascii="宋体" w:hAnsi="宋体" w:cs="宋体"/>
          <w:bCs/>
          <w:color w:val="auto"/>
          <w:szCs w:val="21"/>
          <w:highlight w:val="none"/>
          <w:lang w:eastAsia="zh-CN" w:bidi="ar"/>
        </w:rPr>
        <w:t>采购人</w:t>
      </w:r>
      <w:r>
        <w:rPr>
          <w:rFonts w:hint="eastAsia" w:ascii="宋体" w:hAnsi="宋体" w:cs="宋体"/>
          <w:bCs/>
          <w:color w:val="auto"/>
          <w:szCs w:val="21"/>
          <w:highlight w:val="none"/>
          <w:lang w:bidi="ar"/>
        </w:rPr>
        <w:t>执两份，</w:t>
      </w:r>
      <w:r>
        <w:rPr>
          <w:rFonts w:hint="eastAsia" w:ascii="宋体" w:hAnsi="宋体" w:cs="宋体"/>
          <w:bCs/>
          <w:color w:val="auto"/>
          <w:szCs w:val="21"/>
          <w:highlight w:val="none"/>
          <w:lang w:eastAsia="zh-CN" w:bidi="ar"/>
        </w:rPr>
        <w:t>供应商</w:t>
      </w:r>
      <w:r>
        <w:rPr>
          <w:rFonts w:hint="eastAsia" w:ascii="宋体" w:hAnsi="宋体" w:cs="宋体"/>
          <w:bCs/>
          <w:color w:val="auto"/>
          <w:szCs w:val="21"/>
          <w:highlight w:val="none"/>
          <w:lang w:bidi="ar"/>
        </w:rPr>
        <w:t>执一份。</w:t>
      </w:r>
      <w:r>
        <w:rPr>
          <w:rFonts w:hint="eastAsia" w:ascii="宋体" w:hAnsi="宋体" w:cs="宋体"/>
          <w:bCs/>
          <w:color w:val="auto"/>
          <w:szCs w:val="21"/>
          <w:highlight w:val="none"/>
          <w:lang w:eastAsia="zh-CN" w:bidi="ar"/>
        </w:rPr>
        <w:t>供应商</w:t>
      </w:r>
      <w:r>
        <w:rPr>
          <w:rFonts w:hint="eastAsia" w:ascii="宋体" w:hAnsi="宋体" w:cs="宋体"/>
          <w:bCs/>
          <w:color w:val="auto"/>
          <w:szCs w:val="21"/>
          <w:highlight w:val="none"/>
          <w:lang w:bidi="ar"/>
        </w:rPr>
        <w:t>根据</w:t>
      </w:r>
      <w:r>
        <w:rPr>
          <w:rFonts w:hint="eastAsia" w:ascii="宋体" w:hAnsi="宋体" w:cs="宋体"/>
          <w:bCs/>
          <w:color w:val="auto"/>
          <w:szCs w:val="21"/>
          <w:highlight w:val="none"/>
          <w:lang w:eastAsia="zh-CN" w:bidi="ar"/>
        </w:rPr>
        <w:t>采购人</w:t>
      </w:r>
      <w:r>
        <w:rPr>
          <w:rFonts w:hint="eastAsia" w:ascii="宋体" w:hAnsi="宋体" w:cs="宋体"/>
          <w:bCs/>
          <w:color w:val="auto"/>
          <w:szCs w:val="21"/>
          <w:highlight w:val="none"/>
          <w:lang w:bidi="ar"/>
        </w:rPr>
        <w:t>的定货清单配送货物，在配送时提供当次货物的食品安全检测报告及配送单据(单据内容包括供货日期、食品名称、规格、数量、生产批号、保质期、供货者名称、联系方式等)。票据一式三联，每联在双方人员共同验收确认无误后由双方签字。该票据作为实际供货数量依据，</w:t>
      </w:r>
      <w:r>
        <w:rPr>
          <w:rFonts w:hint="eastAsia" w:ascii="宋体" w:hAnsi="宋体" w:cs="宋体"/>
          <w:bCs/>
          <w:color w:val="auto"/>
          <w:szCs w:val="21"/>
          <w:highlight w:val="none"/>
          <w:lang w:eastAsia="zh-CN" w:bidi="ar"/>
        </w:rPr>
        <w:t>采购人</w:t>
      </w:r>
      <w:r>
        <w:rPr>
          <w:rFonts w:hint="eastAsia" w:ascii="宋体" w:hAnsi="宋体" w:cs="宋体"/>
          <w:bCs/>
          <w:color w:val="auto"/>
          <w:szCs w:val="21"/>
          <w:highlight w:val="none"/>
          <w:lang w:bidi="ar"/>
        </w:rPr>
        <w:t>执两份，</w:t>
      </w:r>
      <w:r>
        <w:rPr>
          <w:rFonts w:hint="eastAsia" w:ascii="宋体" w:hAnsi="宋体" w:cs="宋体"/>
          <w:bCs/>
          <w:color w:val="auto"/>
          <w:szCs w:val="21"/>
          <w:highlight w:val="none"/>
          <w:lang w:eastAsia="zh-CN" w:bidi="ar"/>
        </w:rPr>
        <w:t>供应商</w:t>
      </w:r>
      <w:r>
        <w:rPr>
          <w:rFonts w:hint="eastAsia" w:ascii="宋体" w:hAnsi="宋体" w:cs="宋体"/>
          <w:bCs/>
          <w:color w:val="auto"/>
          <w:szCs w:val="21"/>
          <w:highlight w:val="none"/>
          <w:lang w:bidi="ar"/>
        </w:rPr>
        <w:t>执一份。</w:t>
      </w:r>
    </w:p>
    <w:p w14:paraId="6805ADE8">
      <w:pPr>
        <w:autoSpaceDE w:val="0"/>
        <w:autoSpaceDN w:val="0"/>
        <w:adjustRightInd w:val="0"/>
        <w:spacing w:line="400" w:lineRule="exact"/>
        <w:rPr>
          <w:rFonts w:ascii="宋体" w:hAnsi="宋体"/>
          <w:color w:val="auto"/>
          <w:szCs w:val="21"/>
          <w:highlight w:val="none"/>
          <w:lang w:val="zh-CN"/>
        </w:rPr>
      </w:pPr>
      <w:r>
        <w:rPr>
          <w:rFonts w:hint="eastAsia" w:ascii="宋体" w:hAnsi="宋体"/>
          <w:color w:val="auto"/>
          <w:szCs w:val="21"/>
          <w:highlight w:val="none"/>
          <w:lang w:val="zh-CN"/>
        </w:rPr>
        <w:t>四、授予合同：</w:t>
      </w:r>
    </w:p>
    <w:p w14:paraId="208D2060">
      <w:pPr>
        <w:spacing w:line="400" w:lineRule="exact"/>
        <w:rPr>
          <w:rFonts w:hint="eastAsia" w:ascii="宋体" w:hAnsi="宋体" w:cs="宋体"/>
          <w:bCs/>
          <w:color w:val="auto"/>
          <w:szCs w:val="21"/>
          <w:highlight w:val="none"/>
          <w:lang w:val="zh-CN" w:eastAsia="zh-CN" w:bidi="ar"/>
        </w:rPr>
      </w:pPr>
      <w:r>
        <w:rPr>
          <w:rFonts w:hint="eastAsia" w:ascii="宋体" w:hAnsi="宋体" w:cs="宋体"/>
          <w:bCs/>
          <w:color w:val="auto"/>
          <w:szCs w:val="21"/>
          <w:highlight w:val="none"/>
          <w:lang w:val="zh-CN" w:eastAsia="zh-CN" w:bidi="ar"/>
        </w:rPr>
        <w:t>①中标通知书发出之日起30天内，中标供应商应按照招标文件的规定、中标供应商的投标响应及中标通知书确定的金额签订合同。</w:t>
      </w:r>
    </w:p>
    <w:p w14:paraId="73CCF883">
      <w:pPr>
        <w:spacing w:line="400" w:lineRule="exact"/>
        <w:rPr>
          <w:rFonts w:hint="eastAsia" w:ascii="宋体" w:hAnsi="宋体" w:cs="宋体"/>
          <w:bCs/>
          <w:color w:val="auto"/>
          <w:szCs w:val="21"/>
          <w:highlight w:val="none"/>
          <w:lang w:eastAsia="zh-CN" w:bidi="ar"/>
        </w:rPr>
      </w:pPr>
      <w:r>
        <w:rPr>
          <w:rFonts w:hint="eastAsia" w:ascii="宋体" w:hAnsi="宋体" w:cs="宋体"/>
          <w:bCs/>
          <w:color w:val="auto"/>
          <w:szCs w:val="21"/>
          <w:highlight w:val="none"/>
          <w:lang w:val="zh-CN" w:eastAsia="zh-CN" w:bidi="ar"/>
        </w:rPr>
        <w:t>②中标供应商如不遵守招标文件或投标文件各项条款的邀约与要约，或在接到中标通知书后借故拖延，拒签合同的，给采购人造成的损失的还应当予以赔偿。</w:t>
      </w:r>
    </w:p>
    <w:p w14:paraId="73EECEE4">
      <w:pPr>
        <w:pStyle w:val="21"/>
        <w:rPr>
          <w:rFonts w:ascii="Tahoma" w:hAnsi="Tahoma"/>
          <w:color w:val="auto"/>
          <w:highlight w:val="none"/>
        </w:rPr>
      </w:pPr>
    </w:p>
    <w:p w14:paraId="2B443A7D">
      <w:pPr>
        <w:pStyle w:val="21"/>
        <w:rPr>
          <w:rFonts w:ascii="Tahoma" w:hAnsi="Tahoma"/>
          <w:color w:val="auto"/>
          <w:highlight w:val="none"/>
        </w:rPr>
        <w:sectPr>
          <w:type w:val="nextColumn"/>
          <w:pgSz w:w="11907" w:h="16840"/>
          <w:pgMar w:top="1418" w:right="1134" w:bottom="1418" w:left="1134" w:header="567" w:footer="850" w:gutter="0"/>
          <w:cols w:space="720" w:num="1"/>
          <w:docGrid w:linePitch="286" w:charSpace="0"/>
        </w:sectPr>
      </w:pPr>
    </w:p>
    <w:bookmarkEnd w:id="21"/>
    <w:p w14:paraId="00B1C5D0">
      <w:pPr>
        <w:spacing w:line="400" w:lineRule="exact"/>
        <w:jc w:val="center"/>
        <w:outlineLvl w:val="0"/>
        <w:rPr>
          <w:rFonts w:ascii="宋体" w:hAnsi="宋体"/>
          <w:b/>
          <w:color w:val="auto"/>
          <w:sz w:val="32"/>
          <w:highlight w:val="none"/>
        </w:rPr>
      </w:pPr>
      <w:bookmarkStart w:id="23" w:name="_Toc102053019"/>
      <w:r>
        <w:rPr>
          <w:rFonts w:hint="eastAsia" w:ascii="宋体" w:hAnsi="宋体"/>
          <w:b/>
          <w:color w:val="auto"/>
          <w:sz w:val="32"/>
          <w:highlight w:val="none"/>
        </w:rPr>
        <w:t>第七章  附  件</w:t>
      </w:r>
      <w:bookmarkEnd w:id="23"/>
    </w:p>
    <w:p w14:paraId="04EEA31A">
      <w:pPr>
        <w:spacing w:line="360" w:lineRule="auto"/>
        <w:rPr>
          <w:rFonts w:ascii="宋体" w:hAnsi="宋体"/>
          <w:b/>
          <w:color w:val="auto"/>
          <w:sz w:val="32"/>
          <w:szCs w:val="32"/>
          <w:highlight w:val="none"/>
        </w:rPr>
      </w:pPr>
      <w:r>
        <w:rPr>
          <w:rFonts w:hint="eastAsia" w:ascii="宋体" w:hAnsi="宋体" w:cs="宋体"/>
          <w:color w:val="auto"/>
          <w:sz w:val="28"/>
          <w:szCs w:val="28"/>
          <w:highlight w:val="none"/>
        </w:rPr>
        <w:t>附件一：</w:t>
      </w:r>
    </w:p>
    <w:p w14:paraId="6450B97E">
      <w:pPr>
        <w:spacing w:line="360" w:lineRule="auto"/>
        <w:rPr>
          <w:rFonts w:ascii="宋体" w:hAnsi="宋体"/>
          <w:b/>
          <w:color w:val="auto"/>
          <w:sz w:val="32"/>
          <w:szCs w:val="32"/>
          <w:highlight w:val="none"/>
        </w:rPr>
      </w:pPr>
      <w:r>
        <w:rPr>
          <w:rFonts w:hint="eastAsia" w:ascii="宋体" w:hAnsi="宋体"/>
          <w:b/>
          <w:color w:val="auto"/>
          <w:sz w:val="32"/>
          <w:szCs w:val="32"/>
          <w:highlight w:val="none"/>
        </w:rPr>
        <w:t xml:space="preserve">封面                                       </w:t>
      </w:r>
    </w:p>
    <w:p w14:paraId="436F1772">
      <w:pPr>
        <w:spacing w:line="360" w:lineRule="auto"/>
        <w:jc w:val="right"/>
        <w:rPr>
          <w:rFonts w:ascii="宋体" w:hAnsi="宋体"/>
          <w:b/>
          <w:color w:val="auto"/>
          <w:sz w:val="32"/>
          <w:szCs w:val="32"/>
          <w:highlight w:val="none"/>
        </w:rPr>
      </w:pPr>
      <w:r>
        <w:rPr>
          <w:rFonts w:hint="eastAsia" w:ascii="宋体" w:hAnsi="宋体"/>
          <w:b/>
          <w:color w:val="auto"/>
          <w:sz w:val="32"/>
          <w:szCs w:val="32"/>
          <w:highlight w:val="none"/>
        </w:rPr>
        <w:t>正（副）本</w:t>
      </w:r>
    </w:p>
    <w:p w14:paraId="20B27556">
      <w:pPr>
        <w:spacing w:line="360" w:lineRule="auto"/>
        <w:jc w:val="lef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慈溪市新城河07-D-01地块食堂食品原材料采购项目</w:t>
      </w:r>
    </w:p>
    <w:p w14:paraId="74FB0CE4">
      <w:pPr>
        <w:spacing w:line="360" w:lineRule="auto"/>
        <w:jc w:val="lef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QTGGZY2025001</w:t>
      </w:r>
    </w:p>
    <w:p w14:paraId="07177077">
      <w:pPr>
        <w:rPr>
          <w:rFonts w:ascii="宋体" w:hAnsi="宋体" w:cs="宋体"/>
          <w:color w:val="auto"/>
          <w:sz w:val="28"/>
          <w:szCs w:val="28"/>
          <w:highlight w:val="none"/>
        </w:rPr>
      </w:pPr>
    </w:p>
    <w:p w14:paraId="30546BD3">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（资格审查文件）</w:t>
      </w:r>
    </w:p>
    <w:p w14:paraId="08E31D3E">
      <w:pPr>
        <w:pStyle w:val="21"/>
        <w:rPr>
          <w:rFonts w:ascii="Tahoma" w:hAnsi="Tahoma"/>
          <w:color w:val="auto"/>
          <w:highlight w:val="none"/>
        </w:rPr>
      </w:pPr>
    </w:p>
    <w:p w14:paraId="0E703348">
      <w:pPr>
        <w:pStyle w:val="21"/>
        <w:rPr>
          <w:rFonts w:ascii="Tahoma" w:hAnsi="Tahoma"/>
          <w:color w:val="auto"/>
          <w:highlight w:val="none"/>
        </w:rPr>
      </w:pPr>
    </w:p>
    <w:p w14:paraId="18C52812">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投</w:t>
      </w:r>
    </w:p>
    <w:p w14:paraId="3F93259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标</w:t>
      </w:r>
    </w:p>
    <w:p w14:paraId="48ABA50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文</w:t>
      </w:r>
    </w:p>
    <w:p w14:paraId="6458DDA4">
      <w:pPr>
        <w:spacing w:line="360" w:lineRule="auto"/>
        <w:jc w:val="center"/>
        <w:rPr>
          <w:rFonts w:ascii="宋体" w:hAnsi="宋体" w:cs="宋体"/>
          <w:b/>
          <w:color w:val="auto"/>
          <w:sz w:val="36"/>
          <w:szCs w:val="36"/>
          <w:highlight w:val="none"/>
        </w:rPr>
      </w:pPr>
      <w:r>
        <w:rPr>
          <w:rFonts w:hint="eastAsia" w:ascii="宋体" w:hAnsi="宋体" w:cs="宋体"/>
          <w:b/>
          <w:color w:val="auto"/>
          <w:sz w:val="44"/>
          <w:szCs w:val="44"/>
          <w:highlight w:val="none"/>
        </w:rPr>
        <w:t>件</w:t>
      </w:r>
    </w:p>
    <w:p w14:paraId="01423A0D">
      <w:pPr>
        <w:spacing w:line="360" w:lineRule="auto"/>
        <w:jc w:val="center"/>
        <w:rPr>
          <w:rFonts w:ascii="宋体" w:hAnsi="宋体" w:cs="宋体"/>
          <w:color w:val="auto"/>
          <w:sz w:val="28"/>
          <w:szCs w:val="28"/>
          <w:highlight w:val="none"/>
        </w:rPr>
      </w:pPr>
    </w:p>
    <w:p w14:paraId="772F9E41">
      <w:pPr>
        <w:spacing w:line="360" w:lineRule="auto"/>
        <w:jc w:val="center"/>
        <w:rPr>
          <w:rFonts w:ascii="宋体" w:hAnsi="宋体" w:cs="宋体"/>
          <w:color w:val="auto"/>
          <w:sz w:val="28"/>
          <w:szCs w:val="28"/>
          <w:highlight w:val="none"/>
        </w:rPr>
      </w:pPr>
    </w:p>
    <w:p w14:paraId="5CB1C7A8">
      <w:pPr>
        <w:pStyle w:val="21"/>
        <w:rPr>
          <w:rFonts w:ascii="Tahoma" w:hAnsi="Tahoma"/>
          <w:color w:val="auto"/>
          <w:highlight w:val="none"/>
        </w:rPr>
      </w:pPr>
    </w:p>
    <w:p w14:paraId="21903990">
      <w:pPr>
        <w:pStyle w:val="21"/>
        <w:rPr>
          <w:rFonts w:ascii="Tahoma" w:hAnsi="Tahoma"/>
          <w:color w:val="auto"/>
          <w:highlight w:val="none"/>
        </w:rPr>
      </w:pPr>
    </w:p>
    <w:p w14:paraId="675DA04F">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投标人全称：（加盖单位公章）</w:t>
      </w:r>
    </w:p>
    <w:p w14:paraId="336998D1">
      <w:pPr>
        <w:pStyle w:val="23"/>
        <w:ind w:firstLine="1920" w:firstLineChars="800"/>
        <w:jc w:val="left"/>
        <w:rPr>
          <w:rFonts w:hAnsi="宋体" w:cs="宋体"/>
          <w:color w:val="auto"/>
          <w:szCs w:val="28"/>
          <w:highlight w:val="none"/>
          <w:u w:val="single"/>
        </w:rPr>
      </w:pPr>
    </w:p>
    <w:p w14:paraId="62317DB7">
      <w:pPr>
        <w:pStyle w:val="23"/>
        <w:spacing w:line="360" w:lineRule="auto"/>
        <w:jc w:val="center"/>
        <w:rPr>
          <w:rFonts w:hAnsi="宋体" w:cs="宋体"/>
          <w:color w:val="auto"/>
          <w:szCs w:val="28"/>
          <w:highlight w:val="none"/>
        </w:rPr>
      </w:pPr>
      <w:r>
        <w:rPr>
          <w:rFonts w:hint="eastAsia" w:hAnsi="宋体" w:cs="宋体"/>
          <w:color w:val="auto"/>
          <w:szCs w:val="28"/>
          <w:highlight w:val="none"/>
        </w:rPr>
        <w:t>年   月   日</w:t>
      </w:r>
    </w:p>
    <w:p w14:paraId="6946A62F">
      <w:pPr>
        <w:spacing w:line="360" w:lineRule="auto"/>
        <w:jc w:val="left"/>
        <w:rPr>
          <w:rFonts w:ascii="宋体" w:hAnsi="宋体" w:cs="宋体"/>
          <w:b/>
          <w:color w:val="auto"/>
          <w:sz w:val="28"/>
          <w:szCs w:val="28"/>
          <w:highlight w:val="none"/>
        </w:rPr>
      </w:pPr>
    </w:p>
    <w:p w14:paraId="5316836E">
      <w:pPr>
        <w:spacing w:line="360" w:lineRule="auto"/>
        <w:rPr>
          <w:rStyle w:val="74"/>
          <w:bCs/>
          <w:color w:val="auto"/>
          <w:highlight w:val="none"/>
        </w:rPr>
      </w:pPr>
      <w:r>
        <w:rPr>
          <w:rStyle w:val="74"/>
          <w:rFonts w:ascii="宋体" w:hAnsi="宋体"/>
          <w:color w:val="auto"/>
          <w:szCs w:val="21"/>
          <w:highlight w:val="none"/>
        </w:rPr>
        <w:br w:type="page"/>
      </w:r>
      <w:bookmarkStart w:id="24" w:name="_Toc28784"/>
      <w:r>
        <w:rPr>
          <w:rStyle w:val="74"/>
          <w:rFonts w:hint="eastAsia"/>
          <w:bCs/>
          <w:color w:val="auto"/>
          <w:highlight w:val="none"/>
        </w:rPr>
        <w:t>附件二：</w:t>
      </w:r>
      <w:bookmarkEnd w:id="24"/>
    </w:p>
    <w:p w14:paraId="13D0710A">
      <w:pPr>
        <w:spacing w:line="360" w:lineRule="auto"/>
        <w:jc w:val="center"/>
        <w:rPr>
          <w:rFonts w:ascii="宋体" w:hAnsi="宋体" w:cs="宋体"/>
          <w:b/>
          <w:color w:val="auto"/>
          <w:szCs w:val="21"/>
          <w:highlight w:val="none"/>
        </w:rPr>
      </w:pPr>
      <w:bookmarkStart w:id="25" w:name="_Toc435"/>
      <w:r>
        <w:rPr>
          <w:rFonts w:hint="eastAsia" w:ascii="宋体" w:hAnsi="宋体" w:cs="宋体"/>
          <w:b/>
          <w:color w:val="auto"/>
          <w:szCs w:val="21"/>
          <w:highlight w:val="none"/>
        </w:rPr>
        <w:t>关于资格的声明函</w:t>
      </w:r>
      <w:bookmarkEnd w:id="25"/>
    </w:p>
    <w:p w14:paraId="00CB9BF2">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致：</w:t>
      </w:r>
      <w:r>
        <w:rPr>
          <w:rFonts w:hint="eastAsia" w:ascii="宋体" w:hAnsi="宋体"/>
          <w:color w:val="auto"/>
          <w:szCs w:val="21"/>
          <w:highlight w:val="none"/>
          <w:lang w:eastAsia="zh-CN"/>
        </w:rPr>
        <w:t>慈溪欣旅酒店管理有限公司</w:t>
      </w:r>
    </w:p>
    <w:p w14:paraId="2D57062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关于</w:t>
      </w:r>
      <w:r>
        <w:rPr>
          <w:rFonts w:hint="eastAsia" w:ascii="宋体" w:hAnsi="宋体"/>
          <w:color w:val="auto"/>
          <w:kern w:val="10"/>
          <w:szCs w:val="21"/>
          <w:highlight w:val="none"/>
          <w:u w:val="single"/>
          <w:lang w:eastAsia="zh-CN"/>
        </w:rPr>
        <w:t>慈溪市新城河07-D-01地块食堂食品原材料采购项目</w:t>
      </w:r>
      <w:r>
        <w:rPr>
          <w:rFonts w:hint="eastAsia" w:ascii="宋体" w:hAnsi="宋体" w:cs="宋体"/>
          <w:color w:val="auto"/>
          <w:szCs w:val="21"/>
          <w:highlight w:val="none"/>
        </w:rPr>
        <w:t>（项目编号：</w:t>
      </w:r>
      <w:r>
        <w:rPr>
          <w:rFonts w:hint="eastAsia" w:ascii="宋体" w:hAnsi="宋体"/>
          <w:color w:val="auto"/>
          <w:kern w:val="10"/>
          <w:szCs w:val="21"/>
          <w:highlight w:val="none"/>
          <w:u w:val="single"/>
          <w:lang w:eastAsia="zh-CN"/>
        </w:rPr>
        <w:t>QTGGZY2025001</w:t>
      </w:r>
      <w:r>
        <w:rPr>
          <w:rFonts w:ascii="宋体" w:hAnsi="宋体"/>
          <w:color w:val="auto"/>
          <w:kern w:val="10"/>
          <w:szCs w:val="21"/>
          <w:highlight w:val="none"/>
          <w:u w:val="single"/>
        </w:rPr>
        <w:t xml:space="preserve"> </w:t>
      </w:r>
      <w:r>
        <w:rPr>
          <w:rFonts w:hint="eastAsia" w:ascii="宋体" w:hAnsi="宋体" w:cs="宋体"/>
          <w:color w:val="auto"/>
          <w:szCs w:val="21"/>
          <w:highlight w:val="none"/>
        </w:rPr>
        <w:t xml:space="preserve">），本单位申明如下： </w:t>
      </w:r>
    </w:p>
    <w:p w14:paraId="3AF293E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一、我单位</w:t>
      </w:r>
      <w:r>
        <w:rPr>
          <w:rFonts w:hint="eastAsia" w:ascii="宋体" w:hAnsi="宋体"/>
          <w:color w:val="auto"/>
          <w:szCs w:val="21"/>
          <w:highlight w:val="none"/>
        </w:rPr>
        <w:t>符合《中华人民共和国招标投标法》投标人资质要求的相关规定。</w:t>
      </w:r>
    </w:p>
    <w:p w14:paraId="05710E4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53"/>
          <w:rFonts w:hint="eastAsia" w:ascii="宋体" w:hAnsi="宋体"/>
          <w:color w:val="auto"/>
          <w:szCs w:val="21"/>
          <w:highlight w:val="none"/>
        </w:rPr>
        <w:t>www.creditchina.gov.cn</w:t>
      </w:r>
      <w:r>
        <w:rPr>
          <w:rStyle w:val="53"/>
          <w:rFonts w:hint="eastAsia" w:ascii="宋体" w:hAnsi="宋体"/>
          <w:color w:val="auto"/>
          <w:szCs w:val="21"/>
          <w:highlight w:val="none"/>
        </w:rPr>
        <w:fldChar w:fldCharType="end"/>
      </w:r>
      <w:r>
        <w:rPr>
          <w:rFonts w:hint="eastAsia" w:ascii="宋体" w:hAnsi="宋体"/>
          <w:color w:val="auto"/>
          <w:szCs w:val="21"/>
          <w:highlight w:val="none"/>
        </w:rPr>
        <w:t>）列入失信被执行人、重大税收违法案件当事人名单，未被中国政府采购网（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53"/>
          <w:rFonts w:hint="eastAsia" w:ascii="宋体" w:hAnsi="宋体"/>
          <w:color w:val="auto"/>
          <w:szCs w:val="21"/>
          <w:highlight w:val="none"/>
        </w:rPr>
        <w:t>www.ccgp.gov.cn</w:t>
      </w:r>
      <w:r>
        <w:rPr>
          <w:rStyle w:val="53"/>
          <w:rFonts w:hint="eastAsia" w:ascii="宋体" w:hAnsi="宋体"/>
          <w:color w:val="auto"/>
          <w:szCs w:val="21"/>
          <w:highlight w:val="none"/>
        </w:rPr>
        <w:fldChar w:fldCharType="end"/>
      </w:r>
      <w:r>
        <w:rPr>
          <w:rFonts w:hint="eastAsia" w:ascii="宋体" w:hAnsi="宋体"/>
          <w:color w:val="auto"/>
          <w:szCs w:val="21"/>
          <w:highlight w:val="none"/>
        </w:rPr>
        <w:t>）列入政府采购严重违法失信行为记录名单。</w:t>
      </w:r>
    </w:p>
    <w:p w14:paraId="4D0AA36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三、不属于联合体投标。</w:t>
      </w:r>
    </w:p>
    <w:p w14:paraId="26DE9552">
      <w:pPr>
        <w:spacing w:line="400" w:lineRule="exact"/>
        <w:ind w:firstLine="420" w:firstLineChars="200"/>
        <w:rPr>
          <w:rFonts w:ascii="宋体" w:hAnsi="宋体" w:cs="宋体"/>
          <w:color w:val="auto"/>
          <w:szCs w:val="21"/>
          <w:highlight w:val="none"/>
        </w:rPr>
      </w:pPr>
    </w:p>
    <w:p w14:paraId="2217438E">
      <w:pPr>
        <w:spacing w:line="400" w:lineRule="exact"/>
        <w:ind w:firstLine="420" w:firstLineChars="200"/>
        <w:rPr>
          <w:rFonts w:ascii="宋体" w:hAnsi="宋体" w:cs="宋体"/>
          <w:color w:val="auto"/>
          <w:szCs w:val="21"/>
          <w:highlight w:val="none"/>
        </w:rPr>
      </w:pPr>
    </w:p>
    <w:p w14:paraId="4FCBE063">
      <w:pPr>
        <w:spacing w:line="400" w:lineRule="exact"/>
        <w:ind w:firstLine="420" w:firstLineChars="200"/>
        <w:rPr>
          <w:rFonts w:ascii="宋体" w:hAnsi="宋体" w:cs="宋体"/>
          <w:color w:val="auto"/>
          <w:szCs w:val="21"/>
          <w:highlight w:val="none"/>
        </w:rPr>
      </w:pPr>
    </w:p>
    <w:p w14:paraId="3927704B">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6B69934A">
      <w:pPr>
        <w:spacing w:line="400" w:lineRule="atLeast"/>
        <w:rPr>
          <w:rFonts w:ascii="宋体" w:hAnsi="宋体"/>
          <w:color w:val="auto"/>
          <w:szCs w:val="21"/>
          <w:highlight w:val="none"/>
          <w:u w:val="singl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6264D291">
      <w:pPr>
        <w:spacing w:line="400" w:lineRule="atLeast"/>
        <w:rPr>
          <w:rFonts w:ascii="宋体" w:hAnsi="宋体" w:cs="宋体"/>
          <w:color w:val="auto"/>
          <w:szCs w:val="21"/>
          <w:highlight w:val="none"/>
          <w:u w:val="single"/>
        </w:rPr>
      </w:pPr>
    </w:p>
    <w:p w14:paraId="74E6601E">
      <w:pPr>
        <w:rPr>
          <w:color w:val="auto"/>
          <w:highlight w:val="none"/>
        </w:rPr>
      </w:pPr>
    </w:p>
    <w:p w14:paraId="188D94B7">
      <w:pPr>
        <w:rPr>
          <w:color w:val="auto"/>
          <w:highlight w:val="none"/>
        </w:rPr>
      </w:pPr>
    </w:p>
    <w:p w14:paraId="01D37E58">
      <w:pPr>
        <w:pageBreakBefore/>
        <w:spacing w:line="360" w:lineRule="auto"/>
        <w:rPr>
          <w:rStyle w:val="74"/>
          <w:bCs/>
          <w:color w:val="auto"/>
          <w:highlight w:val="none"/>
        </w:rPr>
      </w:pPr>
      <w:r>
        <w:rPr>
          <w:rStyle w:val="74"/>
          <w:rFonts w:hint="eastAsia"/>
          <w:bCs/>
          <w:color w:val="auto"/>
          <w:highlight w:val="none"/>
        </w:rPr>
        <w:t>附件三：</w:t>
      </w:r>
    </w:p>
    <w:p w14:paraId="4986C10F">
      <w:pPr>
        <w:spacing w:line="360" w:lineRule="auto"/>
        <w:rPr>
          <w:rFonts w:ascii="宋体" w:hAnsi="宋体"/>
          <w:color w:val="auto"/>
          <w:szCs w:val="21"/>
          <w:highlight w:val="none"/>
          <w:u w:val="single"/>
        </w:rPr>
      </w:pPr>
    </w:p>
    <w:p w14:paraId="3785E1FF">
      <w:pPr>
        <w:spacing w:line="440" w:lineRule="exact"/>
        <w:jc w:val="center"/>
        <w:rPr>
          <w:rFonts w:ascii="宋体" w:hAnsi="宋体"/>
          <w:b/>
          <w:color w:val="auto"/>
          <w:sz w:val="28"/>
          <w:szCs w:val="28"/>
          <w:highlight w:val="none"/>
        </w:rPr>
      </w:pPr>
      <w:r>
        <w:rPr>
          <w:rFonts w:hint="eastAsia" w:ascii="宋体" w:hAnsi="宋体"/>
          <w:b/>
          <w:color w:val="auto"/>
          <w:sz w:val="28"/>
          <w:szCs w:val="28"/>
          <w:highlight w:val="none"/>
        </w:rPr>
        <w:t>投标人一般情况</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6E09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18BD281A">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693B33F6">
            <w:pPr>
              <w:spacing w:line="400" w:lineRule="exact"/>
              <w:rPr>
                <w:rFonts w:ascii="宋体" w:hAnsi="宋体"/>
                <w:color w:val="auto"/>
                <w:szCs w:val="21"/>
                <w:highlight w:val="none"/>
              </w:rPr>
            </w:pPr>
            <w:r>
              <w:rPr>
                <w:rFonts w:hint="eastAsia" w:ascii="宋体" w:hAnsi="宋体"/>
                <w:color w:val="auto"/>
                <w:szCs w:val="21"/>
                <w:highlight w:val="none"/>
              </w:rPr>
              <w:t>单位名称：</w:t>
            </w:r>
          </w:p>
        </w:tc>
      </w:tr>
      <w:tr w14:paraId="1318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5A5B70B8">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12830CC9">
            <w:pPr>
              <w:spacing w:line="400" w:lineRule="exact"/>
              <w:rPr>
                <w:rFonts w:ascii="宋体" w:hAnsi="宋体"/>
                <w:color w:val="auto"/>
                <w:szCs w:val="21"/>
                <w:highlight w:val="none"/>
              </w:rPr>
            </w:pPr>
            <w:r>
              <w:rPr>
                <w:rFonts w:hint="eastAsia" w:ascii="宋体" w:hAnsi="宋体"/>
                <w:color w:val="auto"/>
                <w:szCs w:val="21"/>
                <w:highlight w:val="none"/>
              </w:rPr>
              <w:t>总部地址：</w:t>
            </w:r>
          </w:p>
        </w:tc>
      </w:tr>
      <w:tr w14:paraId="03D3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0F6D5347">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7C0603C0">
            <w:pPr>
              <w:spacing w:line="400" w:lineRule="exact"/>
              <w:rPr>
                <w:rFonts w:ascii="宋体" w:hAnsi="宋体"/>
                <w:color w:val="auto"/>
                <w:szCs w:val="21"/>
                <w:highlight w:val="none"/>
              </w:rPr>
            </w:pPr>
            <w:r>
              <w:rPr>
                <w:rFonts w:hint="eastAsia" w:ascii="宋体" w:hAnsi="宋体"/>
                <w:color w:val="auto"/>
                <w:szCs w:val="21"/>
                <w:highlight w:val="none"/>
              </w:rPr>
              <w:t>当地代表处地址：</w:t>
            </w:r>
          </w:p>
        </w:tc>
      </w:tr>
      <w:tr w14:paraId="7DCC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6CE3B756">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4305" w:type="dxa"/>
            <w:tcBorders>
              <w:top w:val="single" w:color="auto" w:sz="4" w:space="0"/>
              <w:left w:val="single" w:color="auto" w:sz="4" w:space="0"/>
              <w:bottom w:val="single" w:color="auto" w:sz="4" w:space="0"/>
              <w:right w:val="single" w:color="auto" w:sz="4" w:space="0"/>
            </w:tcBorders>
            <w:vAlign w:val="center"/>
          </w:tcPr>
          <w:p w14:paraId="132BD4B9">
            <w:pPr>
              <w:spacing w:line="400" w:lineRule="exact"/>
              <w:rPr>
                <w:rFonts w:ascii="宋体" w:hAnsi="宋体"/>
                <w:color w:val="auto"/>
                <w:szCs w:val="21"/>
                <w:highlight w:val="none"/>
              </w:rPr>
            </w:pPr>
            <w:r>
              <w:rPr>
                <w:rFonts w:hint="eastAsia" w:ascii="宋体" w:hAnsi="宋体"/>
                <w:color w:val="auto"/>
                <w:szCs w:val="21"/>
                <w:highlight w:val="none"/>
              </w:rPr>
              <w:t>电  话：</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19272A56">
            <w:pPr>
              <w:spacing w:line="400" w:lineRule="exact"/>
              <w:rPr>
                <w:rFonts w:ascii="宋体" w:hAnsi="宋体"/>
                <w:color w:val="auto"/>
                <w:szCs w:val="21"/>
                <w:highlight w:val="none"/>
              </w:rPr>
            </w:pPr>
            <w:r>
              <w:rPr>
                <w:rFonts w:hint="eastAsia" w:ascii="宋体" w:hAnsi="宋体"/>
                <w:color w:val="auto"/>
                <w:szCs w:val="21"/>
                <w:highlight w:val="none"/>
              </w:rPr>
              <w:t>联 系 人：</w:t>
            </w:r>
          </w:p>
        </w:tc>
      </w:tr>
      <w:tr w14:paraId="31C7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6B7DBEA0">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4305" w:type="dxa"/>
            <w:tcBorders>
              <w:top w:val="single" w:color="auto" w:sz="4" w:space="0"/>
              <w:left w:val="single" w:color="auto" w:sz="4" w:space="0"/>
              <w:bottom w:val="single" w:color="auto" w:sz="4" w:space="0"/>
              <w:right w:val="single" w:color="auto" w:sz="4" w:space="0"/>
            </w:tcBorders>
            <w:vAlign w:val="center"/>
          </w:tcPr>
          <w:p w14:paraId="6587A4FE">
            <w:pPr>
              <w:spacing w:line="400" w:lineRule="exact"/>
              <w:rPr>
                <w:rFonts w:ascii="宋体" w:hAnsi="宋体"/>
                <w:color w:val="auto"/>
                <w:szCs w:val="21"/>
                <w:highlight w:val="none"/>
              </w:rPr>
            </w:pPr>
            <w:r>
              <w:rPr>
                <w:rFonts w:hint="eastAsia" w:ascii="宋体" w:hAnsi="宋体"/>
                <w:color w:val="auto"/>
                <w:szCs w:val="21"/>
                <w:highlight w:val="none"/>
              </w:rPr>
              <w:t>传  真：</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0D60BA71">
            <w:pPr>
              <w:spacing w:line="400" w:lineRule="exact"/>
              <w:rPr>
                <w:rFonts w:ascii="宋体" w:hAnsi="宋体"/>
                <w:color w:val="auto"/>
                <w:szCs w:val="21"/>
                <w:highlight w:val="none"/>
              </w:rPr>
            </w:pPr>
            <w:r>
              <w:rPr>
                <w:rFonts w:hint="eastAsia" w:ascii="宋体" w:hAnsi="宋体"/>
                <w:color w:val="auto"/>
                <w:szCs w:val="21"/>
                <w:highlight w:val="none"/>
              </w:rPr>
              <w:t>电子信箱：</w:t>
            </w:r>
          </w:p>
        </w:tc>
      </w:tr>
      <w:tr w14:paraId="07D8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69115D28">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4305" w:type="dxa"/>
            <w:tcBorders>
              <w:top w:val="single" w:color="auto" w:sz="4" w:space="0"/>
              <w:left w:val="single" w:color="auto" w:sz="4" w:space="0"/>
              <w:bottom w:val="single" w:color="auto" w:sz="4" w:space="0"/>
              <w:right w:val="single" w:color="auto" w:sz="4" w:space="0"/>
            </w:tcBorders>
            <w:vAlign w:val="center"/>
          </w:tcPr>
          <w:p w14:paraId="7439F22A">
            <w:pPr>
              <w:spacing w:line="400" w:lineRule="exact"/>
              <w:rPr>
                <w:rFonts w:ascii="宋体" w:hAnsi="宋体"/>
                <w:color w:val="auto"/>
                <w:szCs w:val="21"/>
                <w:highlight w:val="none"/>
              </w:rPr>
            </w:pPr>
            <w:r>
              <w:rPr>
                <w:rFonts w:hint="eastAsia" w:ascii="宋体" w:hAnsi="宋体"/>
                <w:color w:val="auto"/>
                <w:szCs w:val="21"/>
                <w:highlight w:val="none"/>
              </w:rPr>
              <w:t>注册地：</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3D7FEA5E">
            <w:pPr>
              <w:spacing w:line="400" w:lineRule="exact"/>
              <w:rPr>
                <w:rFonts w:ascii="宋体" w:hAnsi="宋体"/>
                <w:color w:val="auto"/>
                <w:szCs w:val="21"/>
                <w:highlight w:val="none"/>
              </w:rPr>
            </w:pPr>
            <w:r>
              <w:rPr>
                <w:rFonts w:hint="eastAsia" w:ascii="宋体" w:hAnsi="宋体"/>
                <w:color w:val="auto"/>
                <w:szCs w:val="21"/>
                <w:highlight w:val="none"/>
              </w:rPr>
              <w:t>注册年份：</w:t>
            </w:r>
          </w:p>
        </w:tc>
      </w:tr>
      <w:tr w14:paraId="4CA5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78FD514F">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7FDBEA2C">
            <w:pPr>
              <w:spacing w:line="400" w:lineRule="exact"/>
              <w:rPr>
                <w:rFonts w:ascii="宋体" w:hAnsi="宋体"/>
                <w:color w:val="auto"/>
                <w:szCs w:val="21"/>
                <w:highlight w:val="none"/>
              </w:rPr>
            </w:pPr>
            <w:r>
              <w:rPr>
                <w:rFonts w:hint="eastAsia" w:ascii="宋体" w:hAnsi="宋体" w:cs="宋体"/>
                <w:color w:val="auto"/>
                <w:szCs w:val="21"/>
                <w:highlight w:val="none"/>
                <w:lang w:bidi="ar"/>
              </w:rPr>
              <w:t>公司的经营范围：</w:t>
            </w:r>
          </w:p>
        </w:tc>
      </w:tr>
      <w:tr w14:paraId="2167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45B48694">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0523C0B7">
            <w:pPr>
              <w:spacing w:line="400" w:lineRule="exact"/>
              <w:rPr>
                <w:rFonts w:ascii="宋体" w:hAnsi="宋体"/>
                <w:color w:val="auto"/>
                <w:szCs w:val="21"/>
                <w:highlight w:val="none"/>
              </w:rPr>
            </w:pPr>
            <w:r>
              <w:rPr>
                <w:rFonts w:hint="eastAsia" w:ascii="宋体" w:hAnsi="宋体"/>
                <w:color w:val="auto"/>
                <w:szCs w:val="21"/>
                <w:highlight w:val="none"/>
              </w:rPr>
              <w:t>从业人员数量</w:t>
            </w:r>
          </w:p>
        </w:tc>
        <w:tc>
          <w:tcPr>
            <w:tcW w:w="3833" w:type="dxa"/>
            <w:tcBorders>
              <w:top w:val="single" w:color="auto" w:sz="4" w:space="0"/>
              <w:left w:val="single" w:color="auto" w:sz="4" w:space="0"/>
              <w:bottom w:val="single" w:color="auto" w:sz="4" w:space="0"/>
              <w:right w:val="single" w:color="auto" w:sz="4" w:space="0"/>
            </w:tcBorders>
            <w:vAlign w:val="center"/>
          </w:tcPr>
          <w:p w14:paraId="2617A81B">
            <w:pPr>
              <w:spacing w:line="400" w:lineRule="exact"/>
              <w:rPr>
                <w:rFonts w:ascii="宋体" w:hAnsi="宋体"/>
                <w:color w:val="auto"/>
                <w:szCs w:val="21"/>
                <w:highlight w:val="none"/>
              </w:rPr>
            </w:pPr>
          </w:p>
        </w:tc>
      </w:tr>
      <w:tr w14:paraId="71F3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7CD90786">
            <w:pPr>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3F05771E">
            <w:pPr>
              <w:spacing w:line="400" w:lineRule="exact"/>
              <w:rPr>
                <w:rFonts w:ascii="宋体" w:hAnsi="宋体"/>
                <w:color w:val="auto"/>
                <w:szCs w:val="21"/>
                <w:highlight w:val="none"/>
              </w:rPr>
            </w:pPr>
            <w:r>
              <w:rPr>
                <w:rFonts w:hint="eastAsia" w:ascii="宋体" w:hAnsi="宋体"/>
                <w:color w:val="auto"/>
                <w:szCs w:val="21"/>
                <w:highlight w:val="none"/>
              </w:rPr>
              <w:t>营业收入</w:t>
            </w:r>
          </w:p>
        </w:tc>
        <w:tc>
          <w:tcPr>
            <w:tcW w:w="3833" w:type="dxa"/>
            <w:tcBorders>
              <w:top w:val="single" w:color="auto" w:sz="4" w:space="0"/>
              <w:left w:val="single" w:color="auto" w:sz="4" w:space="0"/>
              <w:bottom w:val="single" w:color="auto" w:sz="4" w:space="0"/>
              <w:right w:val="single" w:color="auto" w:sz="4" w:space="0"/>
            </w:tcBorders>
            <w:vAlign w:val="center"/>
          </w:tcPr>
          <w:p w14:paraId="20E5CA96">
            <w:pPr>
              <w:spacing w:line="400" w:lineRule="exact"/>
              <w:rPr>
                <w:rFonts w:ascii="宋体" w:hAnsi="宋体"/>
                <w:color w:val="auto"/>
                <w:szCs w:val="21"/>
                <w:highlight w:val="none"/>
              </w:rPr>
            </w:pPr>
          </w:p>
        </w:tc>
      </w:tr>
      <w:tr w14:paraId="2AE3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4C6E9541">
            <w:pPr>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7A42683F">
            <w:pPr>
              <w:spacing w:line="400" w:lineRule="exact"/>
              <w:rPr>
                <w:rFonts w:ascii="宋体" w:hAnsi="宋体"/>
                <w:color w:val="auto"/>
                <w:szCs w:val="21"/>
                <w:highlight w:val="none"/>
              </w:rPr>
            </w:pPr>
            <w:r>
              <w:rPr>
                <w:rFonts w:hint="eastAsia" w:ascii="宋体" w:hAnsi="宋体"/>
                <w:color w:val="auto"/>
                <w:szCs w:val="21"/>
                <w:highlight w:val="none"/>
              </w:rPr>
              <w:t>其他需要说明的情况</w:t>
            </w:r>
          </w:p>
        </w:tc>
        <w:tc>
          <w:tcPr>
            <w:tcW w:w="3833" w:type="dxa"/>
            <w:tcBorders>
              <w:top w:val="single" w:color="auto" w:sz="4" w:space="0"/>
              <w:left w:val="single" w:color="auto" w:sz="4" w:space="0"/>
              <w:bottom w:val="single" w:color="auto" w:sz="4" w:space="0"/>
              <w:right w:val="single" w:color="auto" w:sz="4" w:space="0"/>
            </w:tcBorders>
            <w:vAlign w:val="center"/>
          </w:tcPr>
          <w:p w14:paraId="55575114">
            <w:pPr>
              <w:spacing w:line="400" w:lineRule="exact"/>
              <w:rPr>
                <w:rFonts w:ascii="宋体" w:hAnsi="宋体"/>
                <w:color w:val="auto"/>
                <w:szCs w:val="21"/>
                <w:highlight w:val="none"/>
              </w:rPr>
            </w:pPr>
          </w:p>
        </w:tc>
      </w:tr>
    </w:tbl>
    <w:p w14:paraId="28548E2D">
      <w:pPr>
        <w:spacing w:line="360" w:lineRule="auto"/>
        <w:jc w:val="center"/>
        <w:rPr>
          <w:rFonts w:ascii="宋体" w:hAnsi="宋体"/>
          <w:color w:val="auto"/>
          <w:szCs w:val="21"/>
          <w:highlight w:val="none"/>
        </w:rPr>
      </w:pPr>
    </w:p>
    <w:p w14:paraId="145DD9A9">
      <w:pPr>
        <w:spacing w:line="400" w:lineRule="atLeast"/>
        <w:jc w:val="left"/>
        <w:rPr>
          <w:rFonts w:ascii="宋体" w:hAnsi="宋体"/>
          <w:color w:val="auto"/>
          <w:szCs w:val="21"/>
          <w:highlight w:val="none"/>
        </w:rPr>
      </w:pPr>
    </w:p>
    <w:p w14:paraId="09CDAA38">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6D18BD4D">
      <w:pPr>
        <w:spacing w:line="400" w:lineRule="atLeast"/>
        <w:rPr>
          <w:rFonts w:ascii="宋体" w:hAnsi="宋体"/>
          <w:color w:val="auto"/>
          <w:szCs w:val="21"/>
          <w:highlight w:val="none"/>
          <w:u w:val="singl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2FD9D8C8">
      <w:pPr>
        <w:spacing w:line="400" w:lineRule="atLeast"/>
        <w:rPr>
          <w:rFonts w:ascii="宋体" w:hAnsi="宋体"/>
          <w:color w:val="auto"/>
          <w:szCs w:val="21"/>
          <w:highlight w:val="none"/>
          <w:u w:val="single"/>
        </w:rPr>
      </w:pPr>
    </w:p>
    <w:p w14:paraId="177B55E4">
      <w:pPr>
        <w:spacing w:line="360" w:lineRule="auto"/>
        <w:ind w:firstLine="4200" w:firstLineChars="2000"/>
        <w:jc w:val="left"/>
        <w:rPr>
          <w:rFonts w:ascii="宋体" w:hAnsi="宋体"/>
          <w:color w:val="auto"/>
          <w:szCs w:val="21"/>
          <w:highlight w:val="none"/>
        </w:rPr>
      </w:pPr>
    </w:p>
    <w:p w14:paraId="77632C21">
      <w:pPr>
        <w:spacing w:line="360" w:lineRule="auto"/>
        <w:jc w:val="center"/>
        <w:rPr>
          <w:rFonts w:ascii="宋体" w:hAnsi="宋体"/>
          <w:b/>
          <w:color w:val="auto"/>
          <w:spacing w:val="20"/>
          <w:szCs w:val="21"/>
          <w:highlight w:val="none"/>
          <w:lang w:val="zh-CN"/>
        </w:rPr>
      </w:pPr>
    </w:p>
    <w:p w14:paraId="5B03C517">
      <w:pPr>
        <w:pageBreakBefore/>
        <w:spacing w:line="360" w:lineRule="auto"/>
        <w:rPr>
          <w:rStyle w:val="74"/>
          <w:bCs/>
          <w:color w:val="auto"/>
          <w:highlight w:val="none"/>
        </w:rPr>
      </w:pPr>
      <w:r>
        <w:rPr>
          <w:rStyle w:val="74"/>
          <w:rFonts w:hint="eastAsia"/>
          <w:bCs/>
          <w:color w:val="auto"/>
          <w:highlight w:val="none"/>
        </w:rPr>
        <w:t>附件四：</w:t>
      </w:r>
    </w:p>
    <w:p w14:paraId="67D94295">
      <w:pPr>
        <w:spacing w:line="360" w:lineRule="auto"/>
        <w:jc w:val="center"/>
        <w:rPr>
          <w:rFonts w:ascii="宋体" w:hAnsi="宋体"/>
          <w:b/>
          <w:color w:val="auto"/>
          <w:spacing w:val="20"/>
          <w:sz w:val="28"/>
          <w:szCs w:val="28"/>
          <w:highlight w:val="none"/>
          <w:lang w:val="zh-CN"/>
        </w:rPr>
      </w:pPr>
      <w:r>
        <w:rPr>
          <w:rFonts w:hint="eastAsia" w:ascii="宋体" w:hAnsi="宋体"/>
          <w:b/>
          <w:color w:val="auto"/>
          <w:spacing w:val="20"/>
          <w:sz w:val="28"/>
          <w:szCs w:val="28"/>
          <w:highlight w:val="none"/>
          <w:lang w:val="zh-CN"/>
        </w:rPr>
        <w:t>诚信投标承诺书</w:t>
      </w:r>
    </w:p>
    <w:p w14:paraId="7BD5BA23">
      <w:pPr>
        <w:spacing w:line="460" w:lineRule="atLeast"/>
        <w:jc w:val="left"/>
        <w:rPr>
          <w:rFonts w:ascii="宋体"/>
          <w:color w:val="auto"/>
          <w:szCs w:val="21"/>
          <w:highlight w:val="none"/>
        </w:rPr>
      </w:pPr>
      <w:r>
        <w:rPr>
          <w:rFonts w:hint="eastAsia" w:ascii="宋体"/>
          <w:color w:val="auto"/>
          <w:szCs w:val="21"/>
          <w:highlight w:val="none"/>
        </w:rPr>
        <w:t>本人以企业法定代表人的身份郑重承诺：</w:t>
      </w:r>
    </w:p>
    <w:p w14:paraId="43FD44E3">
      <w:pPr>
        <w:spacing w:line="460" w:lineRule="atLeast"/>
        <w:ind w:firstLine="420" w:firstLineChars="200"/>
        <w:jc w:val="left"/>
        <w:rPr>
          <w:rFonts w:ascii="宋体"/>
          <w:color w:val="auto"/>
          <w:szCs w:val="21"/>
          <w:highlight w:val="none"/>
        </w:rPr>
      </w:pPr>
      <w:r>
        <w:rPr>
          <w:rFonts w:hint="eastAsia" w:ascii="宋体"/>
          <w:color w:val="auto"/>
          <w:szCs w:val="21"/>
          <w:highlight w:val="none"/>
        </w:rPr>
        <w:t>将遵循公开、公平、公正和诚信信用的原则参加</w:t>
      </w:r>
      <w:r>
        <w:rPr>
          <w:rFonts w:hint="eastAsia" w:ascii="宋体" w:hAnsi="宋体"/>
          <w:color w:val="auto"/>
          <w:szCs w:val="21"/>
          <w:highlight w:val="none"/>
          <w:u w:val="single"/>
        </w:rPr>
        <w:t xml:space="preserve"> </w:t>
      </w:r>
      <w:r>
        <w:rPr>
          <w:rFonts w:hint="eastAsia" w:ascii="宋体" w:hAnsi="宋体" w:cs="仿宋_GB2312"/>
          <w:bCs/>
          <w:color w:val="auto"/>
          <w:szCs w:val="21"/>
          <w:highlight w:val="none"/>
          <w:u w:val="single"/>
          <w:lang w:eastAsia="zh-CN"/>
        </w:rPr>
        <w:t>慈溪市新城河07-D-01地块食堂食品原材料采购项目</w:t>
      </w:r>
      <w:r>
        <w:rPr>
          <w:rFonts w:hint="eastAsia" w:ascii="宋体" w:cs="楷体_GB2312"/>
          <w:color w:val="auto"/>
          <w:szCs w:val="21"/>
          <w:highlight w:val="none"/>
          <w:u w:val="single"/>
        </w:rPr>
        <w:t>（项目编号：</w:t>
      </w:r>
      <w:r>
        <w:rPr>
          <w:rFonts w:hint="eastAsia" w:ascii="宋体" w:hAnsi="宋体" w:cs="仿宋_GB2312"/>
          <w:bCs/>
          <w:color w:val="auto"/>
          <w:szCs w:val="21"/>
          <w:highlight w:val="none"/>
          <w:u w:val="single"/>
          <w:lang w:eastAsia="zh-CN"/>
        </w:rPr>
        <w:t>QTGGZY2025001</w:t>
      </w:r>
      <w:r>
        <w:rPr>
          <w:rFonts w:hint="eastAsia" w:ascii="宋体" w:cs="楷体_GB2312"/>
          <w:color w:val="auto"/>
          <w:szCs w:val="21"/>
          <w:highlight w:val="none"/>
          <w:u w:val="single"/>
        </w:rPr>
        <w:t>）</w:t>
      </w:r>
      <w:r>
        <w:rPr>
          <w:rFonts w:hint="eastAsia" w:ascii="宋体"/>
          <w:color w:val="auto"/>
          <w:szCs w:val="21"/>
          <w:highlight w:val="none"/>
        </w:rPr>
        <w:t>的投标。</w:t>
      </w:r>
    </w:p>
    <w:p w14:paraId="2FDFD8B4">
      <w:pPr>
        <w:spacing w:line="460" w:lineRule="atLeast"/>
        <w:ind w:firstLine="420" w:firstLineChars="200"/>
        <w:jc w:val="left"/>
        <w:rPr>
          <w:rFonts w:ascii="宋体"/>
          <w:color w:val="auto"/>
          <w:szCs w:val="21"/>
          <w:highlight w:val="none"/>
          <w:u w:val="single"/>
        </w:rPr>
      </w:pPr>
      <w:r>
        <w:rPr>
          <w:rFonts w:hint="eastAsia" w:ascii="宋体"/>
          <w:color w:val="auto"/>
          <w:szCs w:val="21"/>
          <w:highlight w:val="none"/>
        </w:rPr>
        <w:t>一、</w:t>
      </w:r>
      <w:r>
        <w:rPr>
          <w:rFonts w:hint="eastAsia" w:ascii="宋体" w:hAnsi="宋体" w:cs="宋体"/>
          <w:color w:val="auto"/>
          <w:highlight w:val="none"/>
        </w:rPr>
        <w:t>我公司具备</w:t>
      </w:r>
      <w:r>
        <w:rPr>
          <w:rFonts w:hint="eastAsia" w:ascii="宋体" w:hAnsi="宋体" w:cs="宋体"/>
          <w:bCs/>
          <w:color w:val="auto"/>
          <w:szCs w:val="21"/>
          <w:highlight w:val="none"/>
        </w:rPr>
        <w:t>《中华人民共和国招标投标法》第二十六条规定的投标人资格条件，</w:t>
      </w:r>
      <w:r>
        <w:rPr>
          <w:rFonts w:hint="eastAsia" w:ascii="宋体" w:hAnsi="宋体" w:cs="宋体"/>
          <w:color w:val="auto"/>
          <w:highlight w:val="none"/>
        </w:rPr>
        <w:t>并已清楚招标文件的要求及有关文件规定。</w:t>
      </w:r>
    </w:p>
    <w:p w14:paraId="1D0D3755">
      <w:pPr>
        <w:spacing w:line="460" w:lineRule="atLeast"/>
        <w:ind w:firstLine="420" w:firstLineChars="200"/>
        <w:jc w:val="left"/>
        <w:rPr>
          <w:rFonts w:ascii="宋体"/>
          <w:color w:val="auto"/>
          <w:szCs w:val="21"/>
          <w:highlight w:val="none"/>
        </w:rPr>
      </w:pPr>
      <w:r>
        <w:rPr>
          <w:rFonts w:hint="eastAsia" w:ascii="宋体"/>
          <w:color w:val="auto"/>
          <w:szCs w:val="21"/>
          <w:highlight w:val="none"/>
        </w:rPr>
        <w:t>二、投标文件所提供的一切材料都是真实、有效、合法的。</w:t>
      </w:r>
    </w:p>
    <w:p w14:paraId="430A4071">
      <w:pPr>
        <w:spacing w:line="460" w:lineRule="atLeast"/>
        <w:ind w:firstLine="420" w:firstLineChars="200"/>
        <w:jc w:val="left"/>
        <w:rPr>
          <w:rFonts w:ascii="宋体"/>
          <w:color w:val="auto"/>
          <w:szCs w:val="21"/>
          <w:highlight w:val="none"/>
        </w:rPr>
      </w:pPr>
      <w:r>
        <w:rPr>
          <w:rFonts w:hint="eastAsia" w:ascii="宋体"/>
          <w:color w:val="auto"/>
          <w:szCs w:val="21"/>
          <w:highlight w:val="none"/>
        </w:rPr>
        <w:t>三、不与其他投标人相互串通投标报价，不排挤其他投标人的公平竞争，不损害招标人或其他投标人的合法权益。</w:t>
      </w:r>
    </w:p>
    <w:p w14:paraId="5CE6A0CE">
      <w:pPr>
        <w:spacing w:line="460" w:lineRule="atLeast"/>
        <w:ind w:firstLine="420" w:firstLineChars="200"/>
        <w:jc w:val="left"/>
        <w:rPr>
          <w:rFonts w:ascii="宋体"/>
          <w:color w:val="auto"/>
          <w:szCs w:val="21"/>
          <w:highlight w:val="none"/>
        </w:rPr>
      </w:pPr>
      <w:r>
        <w:rPr>
          <w:rFonts w:hint="eastAsia" w:ascii="宋体"/>
          <w:color w:val="auto"/>
          <w:szCs w:val="21"/>
          <w:highlight w:val="none"/>
        </w:rPr>
        <w:t>四、不与招标人或招标代理机构串通投标，不损害国家利益，社会公共利益或其他人的合法权益。</w:t>
      </w:r>
    </w:p>
    <w:p w14:paraId="0EFCAA86">
      <w:pPr>
        <w:spacing w:line="460" w:lineRule="atLeast"/>
        <w:ind w:firstLine="420" w:firstLineChars="200"/>
        <w:jc w:val="left"/>
        <w:rPr>
          <w:rFonts w:ascii="宋体"/>
          <w:color w:val="auto"/>
          <w:szCs w:val="21"/>
          <w:highlight w:val="none"/>
        </w:rPr>
      </w:pPr>
      <w:r>
        <w:rPr>
          <w:rFonts w:hint="eastAsia" w:ascii="宋体"/>
          <w:color w:val="auto"/>
          <w:szCs w:val="21"/>
          <w:highlight w:val="none"/>
        </w:rPr>
        <w:t>五、不向招标人或者评标委员会成员行贿以牟取中标。</w:t>
      </w:r>
    </w:p>
    <w:p w14:paraId="5544E577">
      <w:pPr>
        <w:spacing w:line="460" w:lineRule="atLeast"/>
        <w:ind w:firstLine="420" w:firstLineChars="200"/>
        <w:jc w:val="left"/>
        <w:rPr>
          <w:rFonts w:ascii="宋体"/>
          <w:color w:val="auto"/>
          <w:szCs w:val="21"/>
          <w:highlight w:val="none"/>
        </w:rPr>
      </w:pPr>
      <w:r>
        <w:rPr>
          <w:rFonts w:hint="eastAsia" w:ascii="宋体"/>
          <w:color w:val="auto"/>
          <w:szCs w:val="21"/>
          <w:highlight w:val="none"/>
        </w:rPr>
        <w:t>六、不以其他人名义投标或者以其他方式弄虚作假，骗取中标。</w:t>
      </w:r>
    </w:p>
    <w:p w14:paraId="766CF4A7">
      <w:pPr>
        <w:spacing w:line="460" w:lineRule="atLeast"/>
        <w:ind w:firstLine="420" w:firstLineChars="200"/>
        <w:jc w:val="left"/>
        <w:rPr>
          <w:rFonts w:ascii="宋体"/>
          <w:color w:val="auto"/>
          <w:szCs w:val="21"/>
          <w:highlight w:val="none"/>
        </w:rPr>
      </w:pPr>
      <w:r>
        <w:rPr>
          <w:rFonts w:hint="eastAsia" w:ascii="宋体"/>
          <w:color w:val="auto"/>
          <w:szCs w:val="21"/>
          <w:highlight w:val="none"/>
        </w:rPr>
        <w:t>七、不在开标后进行虚假恶意投诉。</w:t>
      </w:r>
    </w:p>
    <w:p w14:paraId="14A59518">
      <w:pPr>
        <w:spacing w:line="460" w:lineRule="atLeast"/>
        <w:ind w:firstLine="420" w:firstLineChars="200"/>
        <w:jc w:val="left"/>
        <w:rPr>
          <w:rFonts w:ascii="宋体"/>
          <w:color w:val="auto"/>
          <w:szCs w:val="21"/>
          <w:highlight w:val="none"/>
        </w:rPr>
      </w:pPr>
      <w:r>
        <w:rPr>
          <w:rFonts w:hint="eastAsia" w:ascii="宋体"/>
          <w:color w:val="auto"/>
          <w:szCs w:val="21"/>
          <w:highlight w:val="none"/>
        </w:rPr>
        <w:t>八、我单位没有被政府机关</w:t>
      </w:r>
      <w:r>
        <w:rPr>
          <w:rFonts w:ascii="宋体"/>
          <w:color w:val="auto"/>
          <w:szCs w:val="21"/>
          <w:highlight w:val="none"/>
        </w:rPr>
        <w:t>列入失信被执行人</w:t>
      </w:r>
      <w:r>
        <w:rPr>
          <w:rFonts w:hint="eastAsia" w:ascii="宋体"/>
          <w:color w:val="auto"/>
          <w:szCs w:val="21"/>
          <w:highlight w:val="none"/>
        </w:rPr>
        <w:t>名单</w:t>
      </w:r>
      <w:r>
        <w:rPr>
          <w:rFonts w:ascii="宋体"/>
          <w:color w:val="auto"/>
          <w:szCs w:val="21"/>
          <w:highlight w:val="none"/>
        </w:rPr>
        <w:t>、重大税收违法案件当事人名单、政府采购严重违法失信行为记录名单及其他不符合</w:t>
      </w:r>
      <w:r>
        <w:rPr>
          <w:rFonts w:hint="eastAsia" w:ascii="宋体"/>
          <w:color w:val="auto"/>
          <w:szCs w:val="21"/>
          <w:highlight w:val="none"/>
        </w:rPr>
        <w:t>有关</w:t>
      </w:r>
      <w:r>
        <w:rPr>
          <w:rFonts w:ascii="宋体"/>
          <w:color w:val="auto"/>
          <w:szCs w:val="21"/>
          <w:highlight w:val="none"/>
        </w:rPr>
        <w:t>规定条件</w:t>
      </w:r>
      <w:r>
        <w:rPr>
          <w:rFonts w:hint="eastAsia" w:ascii="宋体"/>
          <w:color w:val="auto"/>
          <w:szCs w:val="21"/>
          <w:highlight w:val="none"/>
        </w:rPr>
        <w:t>的情形。</w:t>
      </w:r>
    </w:p>
    <w:p w14:paraId="2D55581A">
      <w:pPr>
        <w:spacing w:line="460" w:lineRule="atLeast"/>
        <w:ind w:firstLine="420" w:firstLineChars="200"/>
        <w:jc w:val="left"/>
        <w:rPr>
          <w:rFonts w:ascii="宋体"/>
          <w:color w:val="auto"/>
          <w:szCs w:val="21"/>
          <w:highlight w:val="none"/>
        </w:rPr>
      </w:pPr>
      <w:r>
        <w:rPr>
          <w:rFonts w:hint="eastAsia" w:ascii="宋体"/>
          <w:color w:val="auto"/>
          <w:szCs w:val="21"/>
          <w:highlight w:val="none"/>
        </w:rPr>
        <w:t>九、没有</w:t>
      </w:r>
      <w:r>
        <w:rPr>
          <w:rFonts w:ascii="宋体"/>
          <w:color w:val="auto"/>
          <w:szCs w:val="21"/>
          <w:highlight w:val="none"/>
        </w:rPr>
        <w:t>被</w:t>
      </w:r>
      <w:r>
        <w:rPr>
          <w:rFonts w:hint="eastAsia" w:ascii="宋体"/>
          <w:color w:val="auto"/>
          <w:szCs w:val="21"/>
          <w:highlight w:val="none"/>
        </w:rPr>
        <w:t>各地、</w:t>
      </w:r>
      <w:r>
        <w:rPr>
          <w:rFonts w:ascii="宋体"/>
          <w:color w:val="auto"/>
          <w:szCs w:val="21"/>
          <w:highlight w:val="none"/>
        </w:rPr>
        <w:t>各级财政部门禁止参加</w:t>
      </w:r>
      <w:r>
        <w:rPr>
          <w:rFonts w:hint="eastAsia" w:ascii="宋体"/>
          <w:color w:val="auto"/>
          <w:szCs w:val="21"/>
          <w:highlight w:val="none"/>
        </w:rPr>
        <w:t>招标</w:t>
      </w:r>
      <w:r>
        <w:rPr>
          <w:rFonts w:ascii="宋体"/>
          <w:color w:val="auto"/>
          <w:szCs w:val="21"/>
          <w:highlight w:val="none"/>
        </w:rPr>
        <w:t>采购</w:t>
      </w:r>
      <w:r>
        <w:rPr>
          <w:rFonts w:hint="eastAsia" w:ascii="宋体"/>
          <w:color w:val="auto"/>
          <w:szCs w:val="21"/>
          <w:highlight w:val="none"/>
        </w:rPr>
        <w:t xml:space="preserve">活动。    </w:t>
      </w:r>
    </w:p>
    <w:p w14:paraId="74F01A71">
      <w:pPr>
        <w:spacing w:line="460" w:lineRule="atLeast"/>
        <w:ind w:firstLine="420" w:firstLineChars="200"/>
        <w:jc w:val="left"/>
        <w:rPr>
          <w:rFonts w:ascii="宋体"/>
          <w:color w:val="auto"/>
          <w:szCs w:val="21"/>
          <w:highlight w:val="none"/>
        </w:rPr>
      </w:pPr>
      <w:r>
        <w:rPr>
          <w:rFonts w:hint="eastAsia" w:ascii="宋体"/>
          <w:color w:val="auto"/>
          <w:szCs w:val="21"/>
          <w:highlight w:val="none"/>
        </w:rPr>
        <w:t>十、参与本项目招标采购活动3年内没有重大违法记录情况。</w:t>
      </w:r>
    </w:p>
    <w:p w14:paraId="5913395C">
      <w:pPr>
        <w:spacing w:line="460" w:lineRule="atLeast"/>
        <w:ind w:firstLine="420" w:firstLineChars="200"/>
        <w:rPr>
          <w:rFonts w:ascii="宋体"/>
          <w:color w:val="auto"/>
          <w:szCs w:val="21"/>
          <w:highlight w:val="none"/>
        </w:rPr>
      </w:pPr>
      <w:r>
        <w:rPr>
          <w:rFonts w:hint="eastAsia" w:ascii="宋体"/>
          <w:color w:val="auto"/>
          <w:szCs w:val="21"/>
          <w:highlight w:val="none"/>
        </w:rPr>
        <w:t>本公司若有违反本承诺内容的行为，愿意承担法律责任，包括不限于：愿意接受相关行政主管部门作出的处罚；给招标人造成损失的，依法承担相应的赔偿责任。</w:t>
      </w:r>
    </w:p>
    <w:p w14:paraId="3F0C18AB">
      <w:pPr>
        <w:spacing w:line="460" w:lineRule="atLeast"/>
        <w:ind w:right="1120"/>
        <w:rPr>
          <w:rFonts w:ascii="宋体"/>
          <w:color w:val="auto"/>
          <w:sz w:val="22"/>
          <w:highlight w:val="none"/>
        </w:rPr>
      </w:pPr>
    </w:p>
    <w:p w14:paraId="104CD7A2">
      <w:pPr>
        <w:spacing w:line="460" w:lineRule="atLeast"/>
        <w:ind w:right="1120"/>
        <w:rPr>
          <w:rFonts w:ascii="宋体"/>
          <w:color w:val="auto"/>
          <w:sz w:val="22"/>
          <w:highlight w:val="none"/>
        </w:rPr>
      </w:pPr>
    </w:p>
    <w:p w14:paraId="11D067AA">
      <w:pPr>
        <w:spacing w:line="460" w:lineRule="atLeast"/>
        <w:ind w:right="1120"/>
        <w:rPr>
          <w:rFonts w:ascii="宋体"/>
          <w:color w:val="auto"/>
          <w:sz w:val="22"/>
          <w:highlight w:val="none"/>
        </w:rPr>
      </w:pPr>
      <w:r>
        <w:rPr>
          <w:rFonts w:hint="eastAsia" w:ascii="宋体"/>
          <w:color w:val="auto"/>
          <w:sz w:val="22"/>
          <w:highlight w:val="none"/>
        </w:rPr>
        <w:t>投标人（盖章）：</w:t>
      </w:r>
    </w:p>
    <w:p w14:paraId="68E4A506">
      <w:pPr>
        <w:snapToGrid w:val="0"/>
        <w:spacing w:line="500" w:lineRule="atLeast"/>
        <w:rPr>
          <w:rFonts w:ascii="宋体"/>
          <w:color w:val="auto"/>
          <w:sz w:val="30"/>
          <w:szCs w:val="30"/>
          <w:highlight w:val="none"/>
        </w:rPr>
      </w:pPr>
      <w:r>
        <w:rPr>
          <w:rFonts w:hint="eastAsia" w:ascii="宋体"/>
          <w:color w:val="auto"/>
          <w:sz w:val="22"/>
          <w:highlight w:val="none"/>
        </w:rPr>
        <w:t xml:space="preserve">承诺书签署日期：  </w:t>
      </w:r>
    </w:p>
    <w:p w14:paraId="0CB4803E">
      <w:pPr>
        <w:spacing w:line="460" w:lineRule="atLeast"/>
        <w:ind w:right="1120"/>
        <w:rPr>
          <w:rFonts w:ascii="宋体"/>
          <w:color w:val="auto"/>
          <w:sz w:val="22"/>
          <w:highlight w:val="none"/>
        </w:rPr>
      </w:pPr>
    </w:p>
    <w:p w14:paraId="4DA9E236">
      <w:pPr>
        <w:spacing w:line="460" w:lineRule="atLeast"/>
        <w:ind w:right="1120"/>
        <w:rPr>
          <w:rFonts w:ascii="宋体"/>
          <w:color w:val="auto"/>
          <w:sz w:val="22"/>
          <w:highlight w:val="none"/>
        </w:rPr>
      </w:pPr>
    </w:p>
    <w:p w14:paraId="722C4D1E">
      <w:pPr>
        <w:spacing w:line="460" w:lineRule="atLeast"/>
        <w:ind w:right="1120"/>
        <w:rPr>
          <w:rFonts w:ascii="宋体"/>
          <w:color w:val="auto"/>
          <w:sz w:val="22"/>
          <w:highlight w:val="none"/>
        </w:rPr>
      </w:pPr>
    </w:p>
    <w:p w14:paraId="70844559">
      <w:pPr>
        <w:pageBreakBefore/>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附件五</w:t>
      </w:r>
    </w:p>
    <w:p w14:paraId="5D17EB2C">
      <w:pPr>
        <w:spacing w:line="360" w:lineRule="auto"/>
        <w:jc w:val="left"/>
        <w:rPr>
          <w:rFonts w:ascii="宋体" w:hAnsi="宋体" w:cs="宋体"/>
          <w:color w:val="auto"/>
          <w:sz w:val="28"/>
          <w:szCs w:val="28"/>
          <w:highlight w:val="none"/>
        </w:rPr>
      </w:pPr>
      <w:r>
        <w:rPr>
          <w:rFonts w:hint="eastAsia" w:ascii="宋体" w:hAnsi="宋体"/>
          <w:b/>
          <w:color w:val="auto"/>
          <w:sz w:val="32"/>
          <w:szCs w:val="32"/>
          <w:highlight w:val="none"/>
        </w:rPr>
        <w:t>封面</w:t>
      </w:r>
    </w:p>
    <w:p w14:paraId="51CA57D4">
      <w:pPr>
        <w:spacing w:line="360" w:lineRule="auto"/>
        <w:jc w:val="right"/>
        <w:rPr>
          <w:rFonts w:ascii="宋体" w:hAnsi="宋体" w:cs="宋体"/>
          <w:b/>
          <w:color w:val="auto"/>
          <w:sz w:val="28"/>
          <w:szCs w:val="28"/>
          <w:highlight w:val="none"/>
        </w:rPr>
      </w:pPr>
      <w:r>
        <w:rPr>
          <w:rFonts w:hint="eastAsia" w:ascii="宋体" w:hAnsi="宋体" w:cs="宋体"/>
          <w:b/>
          <w:color w:val="auto"/>
          <w:sz w:val="28"/>
          <w:szCs w:val="28"/>
          <w:highlight w:val="none"/>
        </w:rPr>
        <w:t>正（副）本</w:t>
      </w:r>
    </w:p>
    <w:p w14:paraId="07DC782A">
      <w:pPr>
        <w:spacing w:line="360" w:lineRule="auto"/>
        <w:rPr>
          <w:rFonts w:ascii="宋体" w:hAnsi="宋体" w:cs="宋体"/>
          <w:color w:val="auto"/>
          <w:sz w:val="28"/>
          <w:szCs w:val="28"/>
          <w:highlight w:val="none"/>
        </w:rPr>
      </w:pPr>
    </w:p>
    <w:p w14:paraId="0EDFD66E">
      <w:pPr>
        <w:spacing w:line="360" w:lineRule="auto"/>
        <w:jc w:val="lef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慈溪市新城河07-D-01地块食堂食品原材料采购项目</w:t>
      </w:r>
    </w:p>
    <w:p w14:paraId="0AE8FC3B">
      <w:pPr>
        <w:spacing w:line="360" w:lineRule="auto"/>
        <w:jc w:val="lef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QTGGZY2025001</w:t>
      </w:r>
    </w:p>
    <w:p w14:paraId="7559A231">
      <w:pPr>
        <w:rPr>
          <w:rFonts w:ascii="宋体" w:hAnsi="宋体" w:cs="宋体"/>
          <w:color w:val="auto"/>
          <w:sz w:val="28"/>
          <w:szCs w:val="28"/>
          <w:highlight w:val="none"/>
        </w:rPr>
      </w:pPr>
    </w:p>
    <w:p w14:paraId="69855F30">
      <w:pPr>
        <w:spacing w:line="360" w:lineRule="auto"/>
        <w:jc w:val="center"/>
        <w:rPr>
          <w:rFonts w:ascii="宋体" w:hAnsi="宋体" w:cs="宋体"/>
          <w:color w:val="auto"/>
          <w:sz w:val="44"/>
          <w:szCs w:val="44"/>
          <w:highlight w:val="none"/>
        </w:rPr>
      </w:pPr>
      <w:bookmarkStart w:id="26" w:name="_Toc21530"/>
      <w:r>
        <w:rPr>
          <w:rFonts w:hint="eastAsia" w:ascii="宋体" w:hAnsi="宋体" w:cs="宋体"/>
          <w:color w:val="auto"/>
          <w:sz w:val="44"/>
          <w:szCs w:val="44"/>
          <w:highlight w:val="none"/>
        </w:rPr>
        <w:t>（商务技术文件）</w:t>
      </w:r>
      <w:bookmarkEnd w:id="26"/>
    </w:p>
    <w:p w14:paraId="0FE7BAE8">
      <w:pPr>
        <w:pStyle w:val="21"/>
        <w:rPr>
          <w:rFonts w:ascii="Tahoma" w:hAnsi="Tahoma"/>
          <w:color w:val="auto"/>
          <w:highlight w:val="none"/>
        </w:rPr>
      </w:pPr>
    </w:p>
    <w:p w14:paraId="00F9C066">
      <w:pPr>
        <w:pStyle w:val="21"/>
        <w:rPr>
          <w:rFonts w:ascii="Tahoma" w:hAnsi="Tahoma"/>
          <w:color w:val="auto"/>
          <w:highlight w:val="none"/>
        </w:rPr>
      </w:pPr>
    </w:p>
    <w:p w14:paraId="7240F59C">
      <w:pPr>
        <w:spacing w:line="360" w:lineRule="auto"/>
        <w:jc w:val="center"/>
        <w:rPr>
          <w:rFonts w:ascii="宋体" w:hAnsi="宋体" w:cs="宋体"/>
          <w:b/>
          <w:color w:val="auto"/>
          <w:sz w:val="44"/>
          <w:szCs w:val="44"/>
          <w:highlight w:val="none"/>
        </w:rPr>
      </w:pPr>
      <w:bookmarkStart w:id="27" w:name="_Toc1074"/>
      <w:r>
        <w:rPr>
          <w:rFonts w:hint="eastAsia" w:ascii="宋体" w:hAnsi="宋体" w:cs="宋体"/>
          <w:b/>
          <w:color w:val="auto"/>
          <w:sz w:val="44"/>
          <w:szCs w:val="44"/>
          <w:highlight w:val="none"/>
        </w:rPr>
        <w:t>投</w:t>
      </w:r>
      <w:bookmarkEnd w:id="27"/>
    </w:p>
    <w:p w14:paraId="526EBCC8">
      <w:pPr>
        <w:spacing w:line="360" w:lineRule="auto"/>
        <w:jc w:val="center"/>
        <w:rPr>
          <w:rFonts w:ascii="宋体" w:hAnsi="宋体" w:cs="宋体"/>
          <w:b/>
          <w:color w:val="auto"/>
          <w:sz w:val="44"/>
          <w:szCs w:val="44"/>
          <w:highlight w:val="none"/>
        </w:rPr>
      </w:pPr>
      <w:bookmarkStart w:id="28" w:name="_Toc14917"/>
      <w:r>
        <w:rPr>
          <w:rFonts w:hint="eastAsia" w:ascii="宋体" w:hAnsi="宋体" w:cs="宋体"/>
          <w:b/>
          <w:color w:val="auto"/>
          <w:sz w:val="44"/>
          <w:szCs w:val="44"/>
          <w:highlight w:val="none"/>
        </w:rPr>
        <w:t>标</w:t>
      </w:r>
      <w:bookmarkEnd w:id="28"/>
    </w:p>
    <w:p w14:paraId="0825EED7">
      <w:pPr>
        <w:spacing w:line="360" w:lineRule="auto"/>
        <w:jc w:val="center"/>
        <w:rPr>
          <w:rFonts w:ascii="宋体" w:hAnsi="宋体" w:cs="宋体"/>
          <w:b/>
          <w:color w:val="auto"/>
          <w:sz w:val="44"/>
          <w:szCs w:val="44"/>
          <w:highlight w:val="none"/>
        </w:rPr>
      </w:pPr>
      <w:bookmarkStart w:id="29" w:name="_Toc18919"/>
      <w:r>
        <w:rPr>
          <w:rFonts w:hint="eastAsia" w:ascii="宋体" w:hAnsi="宋体" w:cs="宋体"/>
          <w:b/>
          <w:color w:val="auto"/>
          <w:sz w:val="44"/>
          <w:szCs w:val="44"/>
          <w:highlight w:val="none"/>
        </w:rPr>
        <w:t>文</w:t>
      </w:r>
      <w:bookmarkEnd w:id="29"/>
    </w:p>
    <w:p w14:paraId="3EBED0C3">
      <w:pPr>
        <w:spacing w:line="360" w:lineRule="auto"/>
        <w:jc w:val="center"/>
        <w:rPr>
          <w:rFonts w:ascii="宋体" w:hAnsi="宋体" w:cs="宋体"/>
          <w:b/>
          <w:color w:val="auto"/>
          <w:sz w:val="36"/>
          <w:szCs w:val="36"/>
          <w:highlight w:val="none"/>
        </w:rPr>
      </w:pPr>
      <w:bookmarkStart w:id="30" w:name="_Toc13985"/>
      <w:r>
        <w:rPr>
          <w:rFonts w:hint="eastAsia" w:ascii="宋体" w:hAnsi="宋体" w:cs="宋体"/>
          <w:b/>
          <w:color w:val="auto"/>
          <w:sz w:val="44"/>
          <w:szCs w:val="44"/>
          <w:highlight w:val="none"/>
        </w:rPr>
        <w:t>件</w:t>
      </w:r>
      <w:bookmarkEnd w:id="30"/>
    </w:p>
    <w:p w14:paraId="180A8799">
      <w:pPr>
        <w:spacing w:line="360" w:lineRule="auto"/>
        <w:jc w:val="center"/>
        <w:rPr>
          <w:rFonts w:ascii="宋体" w:hAnsi="宋体" w:cs="宋体"/>
          <w:color w:val="auto"/>
          <w:sz w:val="28"/>
          <w:szCs w:val="28"/>
          <w:highlight w:val="none"/>
        </w:rPr>
      </w:pPr>
    </w:p>
    <w:p w14:paraId="5A7131C7">
      <w:pPr>
        <w:spacing w:line="360" w:lineRule="auto"/>
        <w:jc w:val="center"/>
        <w:rPr>
          <w:rFonts w:ascii="宋体" w:hAnsi="宋体" w:cs="宋体"/>
          <w:color w:val="auto"/>
          <w:sz w:val="28"/>
          <w:szCs w:val="28"/>
          <w:highlight w:val="none"/>
        </w:rPr>
      </w:pPr>
    </w:p>
    <w:p w14:paraId="54E21067">
      <w:pPr>
        <w:pStyle w:val="21"/>
        <w:rPr>
          <w:rFonts w:ascii="Tahoma" w:hAnsi="Tahoma"/>
          <w:color w:val="auto"/>
          <w:highlight w:val="none"/>
        </w:rPr>
      </w:pPr>
    </w:p>
    <w:p w14:paraId="41CCFD10">
      <w:pPr>
        <w:pStyle w:val="21"/>
        <w:rPr>
          <w:rFonts w:ascii="Tahoma" w:hAnsi="Tahoma"/>
          <w:color w:val="auto"/>
          <w:highlight w:val="none"/>
        </w:rPr>
      </w:pPr>
    </w:p>
    <w:p w14:paraId="2A4A74C1">
      <w:pPr>
        <w:spacing w:line="360" w:lineRule="auto"/>
        <w:jc w:val="center"/>
        <w:rPr>
          <w:rFonts w:ascii="宋体" w:hAnsi="宋体" w:cs="宋体"/>
          <w:color w:val="auto"/>
          <w:sz w:val="28"/>
          <w:szCs w:val="28"/>
          <w:highlight w:val="none"/>
        </w:rPr>
      </w:pPr>
      <w:bookmarkStart w:id="31" w:name="_Toc18947"/>
      <w:r>
        <w:rPr>
          <w:rFonts w:hint="eastAsia" w:ascii="宋体" w:hAnsi="宋体" w:cs="宋体"/>
          <w:color w:val="auto"/>
          <w:sz w:val="28"/>
          <w:szCs w:val="28"/>
          <w:highlight w:val="none"/>
        </w:rPr>
        <w:t>投标人全称：（加盖单位公章）</w:t>
      </w:r>
      <w:bookmarkEnd w:id="31"/>
    </w:p>
    <w:p w14:paraId="702345D0">
      <w:pPr>
        <w:pStyle w:val="23"/>
        <w:ind w:firstLine="1920" w:firstLineChars="800"/>
        <w:jc w:val="left"/>
        <w:rPr>
          <w:rFonts w:hAnsi="宋体" w:cs="宋体"/>
          <w:color w:val="auto"/>
          <w:szCs w:val="28"/>
          <w:highlight w:val="none"/>
          <w:u w:val="single"/>
        </w:rPr>
      </w:pPr>
    </w:p>
    <w:p w14:paraId="5245F4BB">
      <w:pPr>
        <w:pStyle w:val="23"/>
        <w:spacing w:line="360" w:lineRule="auto"/>
        <w:jc w:val="center"/>
        <w:rPr>
          <w:rFonts w:hAnsi="宋体" w:cs="宋体"/>
          <w:color w:val="auto"/>
          <w:szCs w:val="28"/>
          <w:highlight w:val="none"/>
        </w:rPr>
      </w:pPr>
      <w:r>
        <w:rPr>
          <w:rFonts w:hint="eastAsia" w:hAnsi="宋体" w:cs="宋体"/>
          <w:color w:val="auto"/>
          <w:szCs w:val="28"/>
          <w:highlight w:val="none"/>
        </w:rPr>
        <w:t>年   月   日</w:t>
      </w:r>
    </w:p>
    <w:p w14:paraId="101E0BB2">
      <w:pPr>
        <w:spacing w:line="360" w:lineRule="auto"/>
        <w:jc w:val="left"/>
        <w:rPr>
          <w:rFonts w:ascii="宋体" w:hAnsi="宋体" w:cs="宋体"/>
          <w:b/>
          <w:color w:val="auto"/>
          <w:sz w:val="28"/>
          <w:szCs w:val="28"/>
          <w:highlight w:val="none"/>
        </w:rPr>
      </w:pPr>
    </w:p>
    <w:p w14:paraId="76DD8A9C">
      <w:pPr>
        <w:pageBreakBefore/>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附件六</w:t>
      </w:r>
    </w:p>
    <w:p w14:paraId="3DA7509D">
      <w:pPr>
        <w:spacing w:line="360" w:lineRule="auto"/>
        <w:jc w:val="center"/>
        <w:rPr>
          <w:rFonts w:ascii="宋体" w:hAnsi="宋体" w:cs="宋体"/>
          <w:b/>
          <w:color w:val="auto"/>
          <w:sz w:val="28"/>
          <w:szCs w:val="28"/>
          <w:highlight w:val="none"/>
        </w:rPr>
      </w:pPr>
      <w:bookmarkStart w:id="32" w:name="_Toc15838"/>
      <w:r>
        <w:rPr>
          <w:rFonts w:hint="eastAsia" w:ascii="宋体" w:hAnsi="宋体" w:cs="宋体"/>
          <w:b/>
          <w:color w:val="auto"/>
          <w:sz w:val="28"/>
          <w:szCs w:val="28"/>
          <w:highlight w:val="none"/>
        </w:rPr>
        <w:t>投 标 书</w:t>
      </w:r>
      <w:bookmarkEnd w:id="32"/>
    </w:p>
    <w:p w14:paraId="7EC49A3A">
      <w:pPr>
        <w:spacing w:line="360" w:lineRule="auto"/>
        <w:rPr>
          <w:rFonts w:ascii="宋体" w:hAnsi="宋体" w:cs="宋体"/>
          <w:color w:val="auto"/>
          <w:szCs w:val="21"/>
          <w:highlight w:val="none"/>
        </w:rPr>
      </w:pPr>
      <w:r>
        <w:rPr>
          <w:rFonts w:hint="eastAsia" w:ascii="宋体" w:hAnsi="宋体" w:cs="宋体"/>
          <w:color w:val="auto"/>
          <w:szCs w:val="21"/>
          <w:highlight w:val="none"/>
        </w:rPr>
        <w:t>致：（招标人）</w:t>
      </w:r>
    </w:p>
    <w:p w14:paraId="0F24DC9C">
      <w:pPr>
        <w:spacing w:line="360" w:lineRule="auto"/>
        <w:ind w:firstLine="525" w:firstLineChars="250"/>
        <w:rPr>
          <w:rFonts w:ascii="宋体" w:hAnsi="宋体" w:cs="宋体"/>
          <w:b/>
          <w:color w:val="auto"/>
          <w:szCs w:val="21"/>
          <w:highlight w:val="none"/>
        </w:rPr>
      </w:pPr>
      <w:r>
        <w:rPr>
          <w:rFonts w:hint="eastAsia" w:ascii="宋体" w:hAnsi="宋体" w:cs="宋体"/>
          <w:color w:val="auto"/>
          <w:szCs w:val="21"/>
          <w:highlight w:val="none"/>
          <w:u w:val="single"/>
        </w:rPr>
        <w:t>（投标人全称）　</w:t>
      </w:r>
      <w:r>
        <w:rPr>
          <w:rFonts w:hint="eastAsia" w:ascii="宋体" w:hAnsi="宋体" w:cs="宋体"/>
          <w:color w:val="auto"/>
          <w:szCs w:val="21"/>
          <w:highlight w:val="none"/>
        </w:rPr>
        <w:t>授权</w:t>
      </w:r>
      <w:r>
        <w:rPr>
          <w:rFonts w:hint="eastAsia" w:ascii="宋体" w:hAnsi="宋体" w:cs="宋体"/>
          <w:color w:val="auto"/>
          <w:szCs w:val="21"/>
          <w:highlight w:val="none"/>
          <w:u w:val="single"/>
        </w:rPr>
        <w:t xml:space="preserve">  （全名、职务）  </w:t>
      </w:r>
      <w:r>
        <w:rPr>
          <w:rFonts w:hint="eastAsia" w:ascii="宋体" w:hAnsi="宋体" w:cs="宋体"/>
          <w:color w:val="auto"/>
          <w:szCs w:val="21"/>
          <w:highlight w:val="none"/>
        </w:rPr>
        <w:t>为全权代表，参加贵方组织的</w:t>
      </w:r>
      <w:r>
        <w:rPr>
          <w:rFonts w:hint="eastAsia" w:ascii="宋体" w:hAnsi="宋体" w:cs="宋体"/>
          <w:color w:val="auto"/>
          <w:kern w:val="0"/>
          <w:szCs w:val="21"/>
          <w:highlight w:val="none"/>
          <w:u w:val="single"/>
          <w:lang w:eastAsia="zh-CN"/>
        </w:rPr>
        <w:t>慈溪市新城河07-D-01地块食堂食品原材料采购项目</w:t>
      </w:r>
      <w:r>
        <w:rPr>
          <w:rFonts w:hint="eastAsia" w:ascii="宋体" w:hAnsi="宋体" w:cs="宋体"/>
          <w:color w:val="auto"/>
          <w:szCs w:val="21"/>
          <w:highlight w:val="none"/>
        </w:rPr>
        <w:t>（项目编号：</w:t>
      </w:r>
      <w:r>
        <w:rPr>
          <w:rFonts w:hint="eastAsia" w:ascii="宋体" w:hAnsi="宋体" w:cs="宋体"/>
          <w:color w:val="auto"/>
          <w:kern w:val="0"/>
          <w:szCs w:val="21"/>
          <w:highlight w:val="none"/>
          <w:u w:val="single"/>
          <w:lang w:eastAsia="zh-CN"/>
        </w:rPr>
        <w:t>QTGGZY2025001</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rPr>
        <w:t>）招标活动并投标，为便于贵方公正、择优地确定中标投标人及其投标产品和服务，我方就本次投标有关事项郑重声明如下：</w:t>
      </w:r>
    </w:p>
    <w:p w14:paraId="6E7F2BF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1、我方向贵方提交的所有投标文件、资料都是准确的和真实的。</w:t>
      </w:r>
    </w:p>
    <w:p w14:paraId="2666958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2、若中标，投标人将按招标文件规定履行合同责任和义务。</w:t>
      </w:r>
    </w:p>
    <w:p w14:paraId="1BD5C60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3、我方不是招标人的附属机构；在获知本项目采购信息后，与招标人聘请的为此项目提供咨询服务的公司及其附属机构没有任何联系。</w:t>
      </w:r>
    </w:p>
    <w:p w14:paraId="3E00870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4、我方符合招标人提出的资格要求。</w:t>
      </w:r>
    </w:p>
    <w:p w14:paraId="18411EF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5、投标文件自有效期为开标之日起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个日历日。</w:t>
      </w:r>
    </w:p>
    <w:p w14:paraId="11CD1D1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6、以上事项如有虚假或隐瞒，我方愿意承担一切后果，并不再寻求任何旨在减轻或免除法律责任的辩解。</w:t>
      </w:r>
    </w:p>
    <w:p w14:paraId="45E37DD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7、我方与本投标有关的一切正式来往通讯请寄：</w:t>
      </w:r>
    </w:p>
    <w:p w14:paraId="44E5DF4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p>
    <w:p w14:paraId="0E60E67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24408A4">
      <w:pPr>
        <w:spacing w:line="360" w:lineRule="auto"/>
        <w:ind w:firstLine="30"/>
        <w:jc w:val="left"/>
        <w:rPr>
          <w:rFonts w:ascii="宋体" w:hAnsi="宋体" w:cs="宋体"/>
          <w:color w:val="auto"/>
          <w:szCs w:val="21"/>
          <w:highlight w:val="none"/>
        </w:rPr>
      </w:pPr>
    </w:p>
    <w:p w14:paraId="5B8F6207">
      <w:pPr>
        <w:spacing w:line="360" w:lineRule="auto"/>
        <w:ind w:firstLine="30"/>
        <w:jc w:val="left"/>
        <w:rPr>
          <w:rFonts w:ascii="宋体" w:hAnsi="宋体" w:cs="宋体"/>
          <w:color w:val="auto"/>
          <w:szCs w:val="21"/>
          <w:highlight w:val="none"/>
        </w:rPr>
      </w:pPr>
    </w:p>
    <w:p w14:paraId="22654252">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投标人盖章：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（单位公章）</w:t>
      </w:r>
    </w:p>
    <w:p w14:paraId="71518F4E">
      <w:pPr>
        <w:spacing w:line="360" w:lineRule="auto"/>
        <w:jc w:val="right"/>
        <w:rPr>
          <w:rFonts w:ascii="宋体" w:hAnsi="宋体" w:cs="宋体"/>
          <w:color w:val="auto"/>
          <w:szCs w:val="21"/>
          <w:highlight w:val="none"/>
        </w:rPr>
      </w:pPr>
    </w:p>
    <w:p w14:paraId="46663BFD">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83B0298">
      <w:pPr>
        <w:spacing w:line="360" w:lineRule="auto"/>
        <w:jc w:val="left"/>
        <w:rPr>
          <w:rFonts w:ascii="宋体" w:hAnsi="宋体" w:cs="宋体"/>
          <w:bCs/>
          <w:iCs/>
          <w:color w:val="auto"/>
          <w:szCs w:val="21"/>
          <w:highlight w:val="none"/>
        </w:rPr>
      </w:pPr>
    </w:p>
    <w:p w14:paraId="0DC99E10">
      <w:pPr>
        <w:pageBreakBefore/>
        <w:spacing w:line="400" w:lineRule="atLeast"/>
        <w:rPr>
          <w:rStyle w:val="74"/>
          <w:rFonts w:ascii="宋体" w:hAnsi="宋体"/>
          <w:color w:val="auto"/>
          <w:szCs w:val="21"/>
          <w:highlight w:val="none"/>
        </w:rPr>
      </w:pPr>
      <w:r>
        <w:rPr>
          <w:rStyle w:val="74"/>
          <w:rFonts w:hint="eastAsia" w:ascii="宋体" w:hAnsi="宋体"/>
          <w:color w:val="auto"/>
          <w:szCs w:val="21"/>
          <w:highlight w:val="none"/>
        </w:rPr>
        <w:t>附件七</w:t>
      </w:r>
    </w:p>
    <w:p w14:paraId="40AA10B8">
      <w:pPr>
        <w:spacing w:line="360" w:lineRule="auto"/>
        <w:jc w:val="center"/>
        <w:rPr>
          <w:rFonts w:ascii="宋体" w:hAnsi="宋体"/>
          <w:b/>
          <w:color w:val="auto"/>
          <w:szCs w:val="21"/>
          <w:highlight w:val="none"/>
        </w:rPr>
      </w:pPr>
    </w:p>
    <w:p w14:paraId="310343A0">
      <w:pPr>
        <w:spacing w:line="360" w:lineRule="auto"/>
        <w:jc w:val="center"/>
        <w:rPr>
          <w:rFonts w:ascii="宋体" w:hAnsi="宋体"/>
          <w:b/>
          <w:color w:val="auto"/>
          <w:sz w:val="28"/>
          <w:szCs w:val="28"/>
          <w:highlight w:val="none"/>
        </w:rPr>
      </w:pPr>
      <w:r>
        <w:rPr>
          <w:rFonts w:ascii="宋体" w:hAnsi="宋体"/>
          <w:b/>
          <w:color w:val="auto"/>
          <w:sz w:val="28"/>
          <w:szCs w:val="28"/>
          <w:highlight w:val="none"/>
        </w:rPr>
        <w:t>法定代表人身份证明</w:t>
      </w:r>
    </w:p>
    <w:p w14:paraId="3EECF33B">
      <w:pPr>
        <w:spacing w:after="120" w:afterLines="50" w:line="400" w:lineRule="exact"/>
        <w:rPr>
          <w:rFonts w:ascii="宋体" w:hAnsi="宋体"/>
          <w:color w:val="auto"/>
          <w:szCs w:val="21"/>
          <w:highlight w:val="none"/>
        </w:rPr>
      </w:pPr>
    </w:p>
    <w:p w14:paraId="58235ABC">
      <w:pPr>
        <w:spacing w:after="120" w:afterLines="50" w:line="400" w:lineRule="exact"/>
        <w:rPr>
          <w:rFonts w:ascii="宋体" w:hAnsi="宋体"/>
          <w:color w:val="auto"/>
          <w:szCs w:val="21"/>
          <w:highlight w:val="none"/>
          <w:u w:val="single"/>
        </w:rPr>
      </w:pPr>
      <w:r>
        <w:rPr>
          <w:rFonts w:ascii="宋体" w:hAnsi="宋体"/>
          <w:color w:val="auto"/>
          <w:szCs w:val="21"/>
          <w:highlight w:val="none"/>
        </w:rPr>
        <w:t>投标人名称：</w:t>
      </w:r>
      <w:r>
        <w:rPr>
          <w:rFonts w:ascii="宋体" w:hAnsi="宋体"/>
          <w:color w:val="auto"/>
          <w:szCs w:val="21"/>
          <w:highlight w:val="none"/>
          <w:u w:val="single"/>
        </w:rPr>
        <w:t xml:space="preserve">                                  </w:t>
      </w:r>
    </w:p>
    <w:p w14:paraId="0B628555">
      <w:pPr>
        <w:spacing w:after="120" w:afterLines="50" w:line="400" w:lineRule="exact"/>
        <w:rPr>
          <w:rFonts w:ascii="宋体" w:hAnsi="宋体"/>
          <w:color w:val="auto"/>
          <w:szCs w:val="21"/>
          <w:highlight w:val="none"/>
          <w:u w:val="single"/>
        </w:rPr>
      </w:pPr>
      <w:r>
        <w:rPr>
          <w:rFonts w:ascii="宋体" w:hAnsi="宋体"/>
          <w:color w:val="auto"/>
          <w:szCs w:val="21"/>
          <w:highlight w:val="none"/>
        </w:rPr>
        <w:t>单位性质：</w:t>
      </w:r>
      <w:r>
        <w:rPr>
          <w:rFonts w:ascii="宋体" w:hAnsi="宋体"/>
          <w:color w:val="auto"/>
          <w:szCs w:val="21"/>
          <w:highlight w:val="none"/>
          <w:u w:val="single"/>
        </w:rPr>
        <w:t xml:space="preserve">                                    </w:t>
      </w:r>
    </w:p>
    <w:p w14:paraId="3171694F">
      <w:pPr>
        <w:spacing w:after="120" w:afterLines="50" w:line="400" w:lineRule="exact"/>
        <w:rPr>
          <w:rFonts w:ascii="宋体" w:hAnsi="宋体"/>
          <w:color w:val="auto"/>
          <w:szCs w:val="21"/>
          <w:highlight w:val="none"/>
          <w:u w:val="single"/>
        </w:rPr>
      </w:pPr>
      <w:r>
        <w:rPr>
          <w:rFonts w:ascii="宋体" w:hAnsi="宋体"/>
          <w:color w:val="auto"/>
          <w:szCs w:val="21"/>
          <w:highlight w:val="none"/>
        </w:rPr>
        <w:t>地址：</w:t>
      </w:r>
      <w:r>
        <w:rPr>
          <w:rFonts w:ascii="宋体" w:hAnsi="宋体"/>
          <w:color w:val="auto"/>
          <w:szCs w:val="21"/>
          <w:highlight w:val="none"/>
          <w:u w:val="single"/>
        </w:rPr>
        <w:t xml:space="preserve">                                        </w:t>
      </w:r>
    </w:p>
    <w:p w14:paraId="63CC1000">
      <w:pPr>
        <w:spacing w:after="120" w:afterLines="50" w:line="400" w:lineRule="exact"/>
        <w:rPr>
          <w:rFonts w:ascii="宋体" w:hAnsi="宋体"/>
          <w:color w:val="auto"/>
          <w:szCs w:val="21"/>
          <w:highlight w:val="none"/>
          <w:u w:val="single"/>
        </w:rPr>
      </w:pPr>
      <w:r>
        <w:rPr>
          <w:rFonts w:ascii="宋体" w:hAnsi="宋体"/>
          <w:color w:val="auto"/>
          <w:szCs w:val="21"/>
          <w:highlight w:val="none"/>
        </w:rPr>
        <w:t>成立时间：</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14:paraId="73C08434">
      <w:pPr>
        <w:spacing w:after="120" w:afterLines="50" w:line="400" w:lineRule="exact"/>
        <w:rPr>
          <w:rFonts w:ascii="宋体" w:hAnsi="宋体"/>
          <w:color w:val="auto"/>
          <w:szCs w:val="21"/>
          <w:highlight w:val="none"/>
          <w:u w:val="single"/>
        </w:rPr>
      </w:pPr>
      <w:r>
        <w:rPr>
          <w:rFonts w:ascii="宋体" w:hAnsi="宋体"/>
          <w:color w:val="auto"/>
          <w:szCs w:val="21"/>
          <w:highlight w:val="none"/>
        </w:rPr>
        <w:t>经营期限：</w:t>
      </w:r>
      <w:r>
        <w:rPr>
          <w:rFonts w:ascii="宋体" w:hAnsi="宋体"/>
          <w:color w:val="auto"/>
          <w:szCs w:val="21"/>
          <w:highlight w:val="none"/>
          <w:u w:val="single"/>
        </w:rPr>
        <w:t xml:space="preserve">                                     </w:t>
      </w:r>
    </w:p>
    <w:p w14:paraId="2B6BBB5E">
      <w:pPr>
        <w:spacing w:after="120" w:afterLines="50" w:line="400" w:lineRule="exact"/>
        <w:rPr>
          <w:rFonts w:ascii="宋体" w:hAnsi="宋体"/>
          <w:color w:val="auto"/>
          <w:szCs w:val="21"/>
          <w:highlight w:val="none"/>
          <w:u w:val="single"/>
        </w:rPr>
      </w:pPr>
      <w:r>
        <w:rPr>
          <w:rFonts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 xml:space="preserve">  职务：</w:t>
      </w:r>
      <w:r>
        <w:rPr>
          <w:rFonts w:ascii="宋体" w:hAnsi="宋体"/>
          <w:color w:val="auto"/>
          <w:szCs w:val="21"/>
          <w:highlight w:val="none"/>
          <w:u w:val="single"/>
        </w:rPr>
        <w:t xml:space="preserve">         </w:t>
      </w:r>
      <w:r>
        <w:rPr>
          <w:rFonts w:ascii="宋体" w:hAnsi="宋体"/>
          <w:color w:val="auto"/>
          <w:szCs w:val="21"/>
          <w:highlight w:val="none"/>
        </w:rPr>
        <w:t xml:space="preserve">  </w:t>
      </w:r>
    </w:p>
    <w:p w14:paraId="2D0BFCBA">
      <w:pPr>
        <w:spacing w:after="120" w:afterLines="50" w:line="400" w:lineRule="exact"/>
        <w:rPr>
          <w:rFonts w:ascii="宋体" w:hAnsi="宋体"/>
          <w:color w:val="auto"/>
          <w:szCs w:val="21"/>
          <w:highlight w:val="none"/>
          <w:u w:val="single"/>
        </w:rPr>
      </w:pPr>
      <w:r>
        <w:rPr>
          <w:rFonts w:ascii="宋体" w:hAnsi="宋体"/>
          <w:color w:val="auto"/>
          <w:szCs w:val="21"/>
          <w:highlight w:val="none"/>
        </w:rPr>
        <w:t>身份证号码：</w:t>
      </w:r>
      <w:r>
        <w:rPr>
          <w:rFonts w:ascii="宋体" w:hAnsi="宋体"/>
          <w:color w:val="auto"/>
          <w:szCs w:val="21"/>
          <w:highlight w:val="none"/>
          <w:u w:val="single"/>
        </w:rPr>
        <w:t xml:space="preserve">                           </w:t>
      </w:r>
    </w:p>
    <w:p w14:paraId="539DE64C">
      <w:pPr>
        <w:spacing w:line="400" w:lineRule="exact"/>
        <w:ind w:firstLine="560"/>
        <w:rPr>
          <w:rFonts w:ascii="宋体" w:hAnsi="宋体"/>
          <w:color w:val="auto"/>
          <w:szCs w:val="21"/>
          <w:highlight w:val="none"/>
        </w:rPr>
      </w:pPr>
    </w:p>
    <w:p w14:paraId="7C0262C1">
      <w:pPr>
        <w:spacing w:line="400" w:lineRule="exact"/>
        <w:ind w:firstLine="420"/>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（投标人名称）的法定代表人。</w:t>
      </w:r>
    </w:p>
    <w:p w14:paraId="59A50B91">
      <w:pPr>
        <w:spacing w:line="400" w:lineRule="exact"/>
        <w:ind w:firstLine="560"/>
        <w:rPr>
          <w:rFonts w:ascii="宋体" w:hAnsi="宋体"/>
          <w:color w:val="auto"/>
          <w:szCs w:val="21"/>
          <w:highlight w:val="none"/>
        </w:rPr>
      </w:pPr>
    </w:p>
    <w:p w14:paraId="382D146C">
      <w:pPr>
        <w:spacing w:line="400" w:lineRule="exact"/>
        <w:rPr>
          <w:rFonts w:ascii="宋体" w:hAnsi="宋体"/>
          <w:color w:val="auto"/>
          <w:szCs w:val="21"/>
          <w:highlight w:val="none"/>
        </w:rPr>
      </w:pPr>
      <w:r>
        <w:rPr>
          <w:rFonts w:ascii="宋体" w:hAnsi="宋体"/>
          <w:color w:val="auto"/>
          <w:szCs w:val="21"/>
          <w:highlight w:val="none"/>
        </w:rPr>
        <w:t>特此证明。</w:t>
      </w:r>
    </w:p>
    <w:p w14:paraId="32D923E2">
      <w:pPr>
        <w:spacing w:line="400" w:lineRule="exact"/>
        <w:rPr>
          <w:rFonts w:ascii="宋体" w:hAnsi="宋体"/>
          <w:color w:val="auto"/>
          <w:szCs w:val="21"/>
          <w:highlight w:val="none"/>
        </w:rPr>
      </w:pPr>
    </w:p>
    <w:p w14:paraId="7F2047E7">
      <w:pPr>
        <w:spacing w:line="400" w:lineRule="exact"/>
        <w:rPr>
          <w:rFonts w:ascii="宋体" w:hAnsi="宋体"/>
          <w:color w:val="auto"/>
          <w:szCs w:val="21"/>
          <w:highlight w:val="none"/>
        </w:rPr>
      </w:pPr>
      <w:r>
        <w:rPr>
          <w:rFonts w:hint="eastAsia" w:ascii="宋体" w:hAnsi="宋体"/>
          <w:color w:val="auto"/>
          <w:szCs w:val="21"/>
          <w:highlight w:val="none"/>
        </w:rPr>
        <w:t>投标人（盖章）：</w:t>
      </w:r>
    </w:p>
    <w:p w14:paraId="0461AB15">
      <w:pPr>
        <w:spacing w:line="400" w:lineRule="exact"/>
        <w:ind w:right="560"/>
        <w:rPr>
          <w:rFonts w:ascii="宋体" w:hAnsi="宋体"/>
          <w:color w:val="auto"/>
          <w:szCs w:val="21"/>
          <w:highlight w:val="none"/>
        </w:rPr>
      </w:pPr>
      <w:r>
        <w:rPr>
          <w:rFonts w:ascii="宋体" w:hAnsi="宋体"/>
          <w:color w:val="auto"/>
          <w:szCs w:val="21"/>
          <w:highlight w:val="none"/>
        </w:rPr>
        <w:t>日期：   年    月    日</w:t>
      </w:r>
    </w:p>
    <w:p w14:paraId="51A80574">
      <w:pPr>
        <w:spacing w:line="400" w:lineRule="atLeast"/>
        <w:rPr>
          <w:rFonts w:ascii="宋体" w:hAnsi="宋体"/>
          <w:color w:val="auto"/>
          <w:szCs w:val="21"/>
          <w:highlight w:val="none"/>
          <w:u w:val="single"/>
        </w:rPr>
      </w:pPr>
    </w:p>
    <w:p w14:paraId="5822B604">
      <w:pPr>
        <w:rPr>
          <w:color w:val="auto"/>
          <w:highlight w:val="none"/>
        </w:rPr>
      </w:pPr>
    </w:p>
    <w:p w14:paraId="1A087C52">
      <w:pPr>
        <w:pStyle w:val="3"/>
        <w:spacing w:before="120" w:after="120"/>
        <w:rPr>
          <w:color w:val="auto"/>
          <w:highlight w:val="none"/>
        </w:rPr>
      </w:pPr>
    </w:p>
    <w:p w14:paraId="27743C2B">
      <w:pPr>
        <w:rPr>
          <w:color w:val="auto"/>
          <w:highlight w:val="none"/>
        </w:rPr>
      </w:pPr>
    </w:p>
    <w:p w14:paraId="170E450A">
      <w:pPr>
        <w:pStyle w:val="3"/>
        <w:spacing w:before="120" w:after="120"/>
        <w:rPr>
          <w:color w:val="auto"/>
          <w:highlight w:val="none"/>
        </w:rPr>
      </w:pPr>
    </w:p>
    <w:p w14:paraId="2D549741">
      <w:pPr>
        <w:rPr>
          <w:color w:val="auto"/>
          <w:highlight w:val="none"/>
        </w:rPr>
      </w:pPr>
    </w:p>
    <w:p w14:paraId="78713F12">
      <w:pPr>
        <w:pStyle w:val="3"/>
        <w:spacing w:before="120" w:after="120"/>
        <w:rPr>
          <w:color w:val="auto"/>
          <w:highlight w:val="none"/>
        </w:rPr>
      </w:pPr>
    </w:p>
    <w:p w14:paraId="0AB348B8">
      <w:pPr>
        <w:rPr>
          <w:color w:val="auto"/>
          <w:highlight w:val="none"/>
        </w:rPr>
      </w:pPr>
    </w:p>
    <w:p w14:paraId="11F6C8C1">
      <w:pPr>
        <w:pStyle w:val="3"/>
        <w:spacing w:before="120" w:after="120"/>
        <w:rPr>
          <w:color w:val="auto"/>
          <w:highlight w:val="none"/>
        </w:rPr>
      </w:pPr>
    </w:p>
    <w:p w14:paraId="5EE6258C">
      <w:pPr>
        <w:rPr>
          <w:color w:val="auto"/>
          <w:highlight w:val="none"/>
        </w:rPr>
      </w:pPr>
    </w:p>
    <w:p w14:paraId="7E4E9BAF">
      <w:pPr>
        <w:pStyle w:val="3"/>
        <w:spacing w:before="120" w:after="120"/>
        <w:rPr>
          <w:color w:val="auto"/>
          <w:highlight w:val="none"/>
        </w:rPr>
      </w:pPr>
    </w:p>
    <w:p w14:paraId="01732901">
      <w:pPr>
        <w:rPr>
          <w:b/>
          <w:color w:val="auto"/>
          <w:sz w:val="24"/>
          <w:szCs w:val="24"/>
          <w:highlight w:val="none"/>
        </w:rPr>
      </w:pPr>
      <w:r>
        <w:rPr>
          <w:rFonts w:hint="eastAsia"/>
          <w:b/>
          <w:color w:val="auto"/>
          <w:sz w:val="24"/>
          <w:szCs w:val="24"/>
          <w:highlight w:val="none"/>
        </w:rPr>
        <w:t xml:space="preserve"> </w:t>
      </w:r>
    </w:p>
    <w:p w14:paraId="576ED632">
      <w:pPr>
        <w:spacing w:line="400" w:lineRule="exact"/>
        <w:jc w:val="center"/>
        <w:rPr>
          <w:rFonts w:ascii="宋体" w:hAnsi="宋体"/>
          <w:b/>
          <w:color w:val="auto"/>
          <w:szCs w:val="21"/>
          <w:highlight w:val="none"/>
        </w:rPr>
      </w:pPr>
      <w:r>
        <w:rPr>
          <w:rFonts w:hint="eastAsia" w:ascii="宋体" w:hAnsi="宋体"/>
          <w:b/>
          <w:color w:val="auto"/>
          <w:szCs w:val="21"/>
          <w:highlight w:val="none"/>
        </w:rPr>
        <w:t>法定代表人授权书</w:t>
      </w:r>
    </w:p>
    <w:p w14:paraId="0678B0E6">
      <w:pPr>
        <w:spacing w:line="400" w:lineRule="exact"/>
        <w:jc w:val="center"/>
        <w:rPr>
          <w:rFonts w:ascii="宋体" w:hAnsi="宋体"/>
          <w:b/>
          <w:color w:val="auto"/>
          <w:szCs w:val="21"/>
          <w:highlight w:val="none"/>
        </w:rPr>
      </w:pPr>
      <w:r>
        <w:rPr>
          <w:rFonts w:hint="eastAsia" w:ascii="宋体" w:hAnsi="宋体"/>
          <w:color w:val="auto"/>
          <w:szCs w:val="21"/>
          <w:highlight w:val="none"/>
        </w:rPr>
        <w:t>（投标文件由授权代表签字的）</w:t>
      </w:r>
    </w:p>
    <w:p w14:paraId="2B16BD18">
      <w:pPr>
        <w:spacing w:line="400" w:lineRule="exact"/>
        <w:rPr>
          <w:rFonts w:ascii="宋体" w:hAnsi="宋体"/>
          <w:color w:val="auto"/>
          <w:szCs w:val="21"/>
          <w:highlight w:val="none"/>
        </w:rPr>
      </w:pPr>
      <w:r>
        <w:rPr>
          <w:rFonts w:hint="eastAsia" w:ascii="宋体" w:hAnsi="宋体"/>
          <w:color w:val="auto"/>
          <w:szCs w:val="21"/>
          <w:highlight w:val="none"/>
        </w:rPr>
        <w:t>致：采购人</w:t>
      </w:r>
    </w:p>
    <w:p w14:paraId="3679D23D">
      <w:pPr>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（供应商全称）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 xml:space="preserve"> （授权代表姓名）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，采购编号为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，其在招投标活动中的一切活动本公司均予承认。</w:t>
      </w:r>
    </w:p>
    <w:p w14:paraId="133C728D">
      <w:pPr>
        <w:spacing w:line="400" w:lineRule="exact"/>
        <w:jc w:val="left"/>
        <w:rPr>
          <w:rFonts w:ascii="宋体" w:hAnsi="宋体"/>
          <w:color w:val="auto"/>
          <w:szCs w:val="21"/>
          <w:highlight w:val="none"/>
        </w:rPr>
      </w:pPr>
    </w:p>
    <w:p w14:paraId="3F68EBBC">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25B30B0E">
      <w:pPr>
        <w:spacing w:line="400" w:lineRule="exact"/>
        <w:jc w:val="left"/>
        <w:rPr>
          <w:rFonts w:ascii="宋体" w:hAnsi="宋体"/>
          <w:color w:val="auto"/>
          <w:szCs w:val="21"/>
          <w:highlight w:val="none"/>
        </w:rPr>
      </w:pPr>
      <w:r>
        <w:rPr>
          <w:rFonts w:hint="eastAsia" w:ascii="宋体" w:hAnsi="宋体"/>
          <w:color w:val="auto"/>
          <w:szCs w:val="21"/>
          <w:highlight w:val="none"/>
        </w:rPr>
        <w:t>法定代表人（签字或盖章）：</w:t>
      </w:r>
      <w:r>
        <w:rPr>
          <w:rFonts w:ascii="宋体" w:hAnsi="宋体"/>
          <w:color w:val="auto"/>
          <w:szCs w:val="21"/>
          <w:highlight w:val="none"/>
          <w:u w:val="single"/>
        </w:rPr>
        <w:t xml:space="preserve">                  </w:t>
      </w:r>
    </w:p>
    <w:p w14:paraId="3FE4B93C">
      <w:pPr>
        <w:spacing w:line="400" w:lineRule="exact"/>
        <w:rPr>
          <w:rFonts w:ascii="宋体" w:hAnsi="宋体"/>
          <w:color w:val="auto"/>
          <w:szCs w:val="21"/>
          <w:highlight w:val="none"/>
          <w:u w:val="singl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1F668213">
      <w:pPr>
        <w:spacing w:line="400" w:lineRule="exact"/>
        <w:rPr>
          <w:rFonts w:ascii="宋体" w:hAnsi="宋体"/>
          <w:color w:val="auto"/>
          <w:szCs w:val="21"/>
          <w:highlight w:val="none"/>
        </w:rPr>
      </w:pPr>
    </w:p>
    <w:p w14:paraId="727A992B">
      <w:pPr>
        <w:spacing w:line="400" w:lineRule="exact"/>
        <w:rPr>
          <w:rFonts w:ascii="宋体" w:hAnsi="宋体"/>
          <w:color w:val="auto"/>
          <w:szCs w:val="21"/>
          <w:highlight w:val="none"/>
        </w:rPr>
      </w:pPr>
    </w:p>
    <w:p w14:paraId="271F5A2E">
      <w:pPr>
        <w:spacing w:line="400" w:lineRule="exact"/>
        <w:rPr>
          <w:rFonts w:ascii="宋体" w:hAnsi="宋体"/>
          <w:color w:val="auto"/>
          <w:szCs w:val="21"/>
          <w:highlight w:val="none"/>
        </w:rPr>
      </w:pPr>
      <w:r>
        <w:rPr>
          <w:rFonts w:hint="eastAsia" w:ascii="宋体" w:hAnsi="宋体"/>
          <w:color w:val="auto"/>
          <w:szCs w:val="21"/>
          <w:highlight w:val="none"/>
        </w:rPr>
        <w:t>附：</w:t>
      </w:r>
    </w:p>
    <w:p w14:paraId="7E2C107B">
      <w:pPr>
        <w:spacing w:line="400" w:lineRule="exact"/>
        <w:ind w:firstLine="555"/>
        <w:rPr>
          <w:rFonts w:ascii="宋体" w:hAnsi="宋体"/>
          <w:color w:val="auto"/>
          <w:szCs w:val="21"/>
          <w:highlight w:val="none"/>
          <w:u w:val="single"/>
        </w:rPr>
      </w:pPr>
      <w:r>
        <w:rPr>
          <w:rFonts w:hint="eastAsia" w:ascii="宋体" w:hAnsi="宋体"/>
          <w:color w:val="auto"/>
          <w:szCs w:val="21"/>
          <w:highlight w:val="none"/>
        </w:rPr>
        <w:t>授权代表姓名：</w:t>
      </w:r>
      <w:r>
        <w:rPr>
          <w:rFonts w:hint="eastAsia" w:ascii="宋体" w:hAnsi="宋体"/>
          <w:color w:val="auto"/>
          <w:szCs w:val="21"/>
          <w:highlight w:val="none"/>
          <w:u w:val="single"/>
        </w:rPr>
        <w:t xml:space="preserve">                 </w:t>
      </w:r>
    </w:p>
    <w:p w14:paraId="5B5CF858">
      <w:pPr>
        <w:spacing w:line="400" w:lineRule="exact"/>
        <w:ind w:firstLine="555"/>
        <w:rPr>
          <w:rFonts w:ascii="宋体" w:hAnsi="宋体"/>
          <w:color w:val="auto"/>
          <w:szCs w:val="21"/>
          <w:highlight w:val="none"/>
          <w:u w:val="single"/>
        </w:rPr>
      </w:pPr>
      <w:r>
        <w:rPr>
          <w:rFonts w:hint="eastAsia" w:ascii="宋体" w:hAnsi="宋体"/>
          <w:color w:val="auto"/>
          <w:szCs w:val="21"/>
          <w:highlight w:val="none"/>
        </w:rPr>
        <w:t>授权代表身份证号码：</w:t>
      </w:r>
      <w:r>
        <w:rPr>
          <w:rFonts w:hint="eastAsia" w:ascii="宋体" w:hAnsi="宋体"/>
          <w:color w:val="auto"/>
          <w:szCs w:val="21"/>
          <w:highlight w:val="none"/>
          <w:u w:val="single"/>
        </w:rPr>
        <w:t xml:space="preserve">           </w:t>
      </w:r>
    </w:p>
    <w:p w14:paraId="65E88179">
      <w:pPr>
        <w:spacing w:line="400" w:lineRule="exact"/>
        <w:rPr>
          <w:rFonts w:ascii="宋体" w:hAnsi="宋体"/>
          <w:color w:val="auto"/>
          <w:szCs w:val="21"/>
          <w:highlight w:val="none"/>
          <w:u w:val="single"/>
        </w:rPr>
      </w:pP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14:paraId="3B35EC97">
      <w:pPr>
        <w:spacing w:line="400" w:lineRule="exact"/>
        <w:rPr>
          <w:rFonts w:ascii="宋体" w:hAnsi="宋体"/>
          <w:color w:val="auto"/>
          <w:szCs w:val="21"/>
          <w:highlight w:val="none"/>
          <w:u w:val="single"/>
        </w:rPr>
      </w:pPr>
      <w:r>
        <w:rPr>
          <w:rFonts w:hint="eastAsia" w:ascii="宋体" w:hAnsi="宋体"/>
          <w:color w:val="auto"/>
          <w:szCs w:val="21"/>
          <w:highlight w:val="none"/>
        </w:rPr>
        <w:t xml:space="preserve">     详细通讯地址：</w:t>
      </w:r>
      <w:r>
        <w:rPr>
          <w:rFonts w:hint="eastAsia" w:ascii="宋体" w:hAnsi="宋体"/>
          <w:color w:val="auto"/>
          <w:szCs w:val="21"/>
          <w:highlight w:val="none"/>
          <w:u w:val="single"/>
        </w:rPr>
        <w:t xml:space="preserve">                                  </w:t>
      </w:r>
    </w:p>
    <w:p w14:paraId="2F4158B3">
      <w:pPr>
        <w:spacing w:line="400" w:lineRule="exact"/>
        <w:ind w:firstLine="525" w:firstLineChars="250"/>
        <w:rPr>
          <w:rFonts w:ascii="宋体" w:hAnsi="宋体"/>
          <w:color w:val="auto"/>
          <w:szCs w:val="21"/>
          <w:highlight w:val="none"/>
          <w:u w:val="singl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邮编：</w:t>
      </w:r>
      <w:r>
        <w:rPr>
          <w:rFonts w:hint="eastAsia" w:ascii="宋体" w:hAnsi="宋体"/>
          <w:color w:val="auto"/>
          <w:szCs w:val="21"/>
          <w:highlight w:val="none"/>
          <w:u w:val="single"/>
        </w:rPr>
        <w:t xml:space="preserve">          </w:t>
      </w:r>
    </w:p>
    <w:p w14:paraId="0D12F5EE">
      <w:pPr>
        <w:spacing w:line="400" w:lineRule="exact"/>
        <w:ind w:firstLine="592" w:firstLineChars="250"/>
        <w:jc w:val="center"/>
        <w:rPr>
          <w:rStyle w:val="74"/>
          <w:rFonts w:ascii="宋体" w:hAnsi="宋体"/>
          <w:color w:val="auto"/>
          <w:szCs w:val="21"/>
          <w:highlight w:val="none"/>
        </w:rPr>
      </w:pPr>
    </w:p>
    <w:p w14:paraId="44352EC3">
      <w:pPr>
        <w:spacing w:line="400" w:lineRule="exact"/>
        <w:ind w:firstLine="592" w:firstLineChars="250"/>
        <w:jc w:val="center"/>
        <w:rPr>
          <w:rStyle w:val="74"/>
          <w:rFonts w:ascii="宋体" w:hAnsi="宋体"/>
          <w:color w:val="auto"/>
          <w:szCs w:val="21"/>
          <w:highlight w:val="none"/>
        </w:rPr>
      </w:pPr>
    </w:p>
    <w:p w14:paraId="48F99EE6">
      <w:pPr>
        <w:spacing w:line="400" w:lineRule="exact"/>
        <w:jc w:val="left"/>
        <w:rPr>
          <w:rFonts w:ascii="宋体" w:hAnsi="宋体"/>
          <w:color w:val="auto"/>
          <w:szCs w:val="21"/>
          <w:highlight w:val="none"/>
        </w:rPr>
      </w:pPr>
    </w:p>
    <w:p w14:paraId="5DFD9F73">
      <w:pPr>
        <w:spacing w:line="400" w:lineRule="exact"/>
        <w:jc w:val="left"/>
        <w:rPr>
          <w:rFonts w:ascii="宋体" w:hAnsi="宋体"/>
          <w:color w:val="auto"/>
          <w:szCs w:val="21"/>
          <w:highlight w:val="none"/>
        </w:rPr>
      </w:pPr>
      <w:r>
        <w:rPr>
          <w:rFonts w:hint="eastAsia" w:ascii="宋体" w:hAnsi="宋体"/>
          <w:color w:val="auto"/>
          <w:szCs w:val="21"/>
          <w:highlight w:val="none"/>
        </w:rPr>
        <w:t xml:space="preserve"> </w:t>
      </w:r>
    </w:p>
    <w:p w14:paraId="42BE1159">
      <w:pPr>
        <w:rPr>
          <w:color w:val="auto"/>
          <w:highlight w:val="none"/>
        </w:rPr>
      </w:pPr>
    </w:p>
    <w:p w14:paraId="0FEE72BF">
      <w:pPr>
        <w:rPr>
          <w:color w:val="auto"/>
          <w:highlight w:val="none"/>
        </w:rPr>
      </w:pPr>
    </w:p>
    <w:p w14:paraId="701A52EE">
      <w:pPr>
        <w:spacing w:line="360" w:lineRule="auto"/>
        <w:rPr>
          <w:rFonts w:ascii="宋体" w:hAnsi="宋体"/>
          <w:color w:val="auto"/>
          <w:szCs w:val="21"/>
          <w:highlight w:val="none"/>
        </w:rPr>
      </w:pPr>
    </w:p>
    <w:p w14:paraId="08192907">
      <w:pPr>
        <w:pageBreakBefore/>
        <w:spacing w:line="360" w:lineRule="auto"/>
        <w:rPr>
          <w:rFonts w:ascii="宋体" w:hAnsi="宋体"/>
          <w:b/>
          <w:color w:val="auto"/>
          <w:szCs w:val="21"/>
          <w:highlight w:val="none"/>
        </w:rPr>
      </w:pPr>
      <w:r>
        <w:rPr>
          <w:rFonts w:hint="eastAsia" w:ascii="宋体" w:hAnsi="宋体"/>
          <w:b/>
          <w:color w:val="auto"/>
          <w:szCs w:val="21"/>
          <w:highlight w:val="none"/>
        </w:rPr>
        <w:t>附件八</w:t>
      </w:r>
    </w:p>
    <w:p w14:paraId="1BA228D5">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商务条款响应表</w:t>
      </w:r>
    </w:p>
    <w:p w14:paraId="05E6B2CD">
      <w:pPr>
        <w:spacing w:line="360" w:lineRule="auto"/>
        <w:ind w:left="540"/>
        <w:jc w:val="center"/>
        <w:rPr>
          <w:rFonts w:ascii="宋体" w:hAnsi="宋体"/>
          <w:b/>
          <w:color w:val="auto"/>
          <w:szCs w:val="21"/>
          <w:highlight w:val="none"/>
        </w:rPr>
      </w:pPr>
    </w:p>
    <w:p w14:paraId="4B508F6D">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s="仿宋_GB2312"/>
          <w:bCs/>
          <w:color w:val="auto"/>
          <w:szCs w:val="21"/>
          <w:highlight w:val="none"/>
          <w:u w:val="single"/>
          <w:lang w:eastAsia="zh-CN"/>
        </w:rPr>
        <w:t>慈溪市新城河07-D-01地块食堂食品原材料采购项目</w:t>
      </w:r>
      <w:r>
        <w:rPr>
          <w:rFonts w:hint="eastAsia" w:ascii="宋体" w:hAnsi="宋体"/>
          <w:color w:val="auto"/>
          <w:szCs w:val="21"/>
          <w:highlight w:val="none"/>
        </w:rPr>
        <w:t xml:space="preserve">           </w:t>
      </w:r>
    </w:p>
    <w:p w14:paraId="673D81BF">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项目编号：</w:t>
      </w:r>
      <w:r>
        <w:rPr>
          <w:rFonts w:hint="eastAsia" w:ascii="宋体" w:hAnsi="宋体" w:cs="仿宋_GB2312"/>
          <w:bCs/>
          <w:color w:val="auto"/>
          <w:szCs w:val="21"/>
          <w:highlight w:val="none"/>
          <w:u w:val="single"/>
        </w:rPr>
        <w:t xml:space="preserve"> </w:t>
      </w:r>
      <w:r>
        <w:rPr>
          <w:rFonts w:hint="eastAsia" w:ascii="宋体" w:hAnsi="宋体" w:cs="仿宋_GB2312"/>
          <w:bCs/>
          <w:color w:val="auto"/>
          <w:szCs w:val="21"/>
          <w:highlight w:val="none"/>
          <w:u w:val="single"/>
          <w:lang w:eastAsia="zh-CN"/>
        </w:rPr>
        <w:t>QTGGZY2025001</w:t>
      </w:r>
      <w:r>
        <w:rPr>
          <w:rFonts w:hint="eastAsia" w:ascii="宋体" w:hAnsi="宋体" w:cs="仿宋_GB2312"/>
          <w:bCs/>
          <w:color w:val="auto"/>
          <w:szCs w:val="21"/>
          <w:highlight w:val="none"/>
          <w:u w:val="single"/>
        </w:rPr>
        <w:t xml:space="preserve">  </w:t>
      </w:r>
    </w:p>
    <w:p w14:paraId="47F2792E">
      <w:pPr>
        <w:adjustRightInd w:val="0"/>
        <w:snapToGrid w:val="0"/>
        <w:spacing w:line="360" w:lineRule="auto"/>
        <w:rPr>
          <w:rFonts w:ascii="宋体" w:hAnsi="宋体"/>
          <w:color w:val="auto"/>
          <w:szCs w:val="21"/>
          <w:highlight w:val="none"/>
        </w:rPr>
      </w:pP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50B9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6DC7F56E">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vAlign w:val="center"/>
          </w:tcPr>
          <w:p w14:paraId="5AA36E79">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14:paraId="076AC44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vAlign w:val="center"/>
          </w:tcPr>
          <w:p w14:paraId="1AAB89E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1DB0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4E9A52C4">
            <w:pPr>
              <w:adjustRightInd w:val="0"/>
              <w:snapToGrid w:val="0"/>
              <w:spacing w:line="400" w:lineRule="exact"/>
              <w:jc w:val="center"/>
              <w:rPr>
                <w:rFonts w:ascii="宋体" w:hAnsi="宋体"/>
                <w:color w:val="auto"/>
                <w:szCs w:val="21"/>
                <w:highlight w:val="none"/>
              </w:rPr>
            </w:pPr>
          </w:p>
        </w:tc>
        <w:tc>
          <w:tcPr>
            <w:tcW w:w="2824" w:type="dxa"/>
            <w:vAlign w:val="center"/>
          </w:tcPr>
          <w:p w14:paraId="2EA033F4">
            <w:pPr>
              <w:adjustRightInd w:val="0"/>
              <w:snapToGrid w:val="0"/>
              <w:spacing w:line="400" w:lineRule="exact"/>
              <w:jc w:val="center"/>
              <w:rPr>
                <w:rFonts w:ascii="宋体" w:hAnsi="宋体"/>
                <w:color w:val="auto"/>
                <w:szCs w:val="21"/>
                <w:highlight w:val="none"/>
              </w:rPr>
            </w:pPr>
          </w:p>
        </w:tc>
        <w:tc>
          <w:tcPr>
            <w:tcW w:w="2835" w:type="dxa"/>
            <w:vAlign w:val="center"/>
          </w:tcPr>
          <w:p w14:paraId="428459F8">
            <w:pPr>
              <w:adjustRightInd w:val="0"/>
              <w:snapToGrid w:val="0"/>
              <w:spacing w:line="400" w:lineRule="exact"/>
              <w:jc w:val="center"/>
              <w:rPr>
                <w:rFonts w:ascii="宋体" w:hAnsi="宋体"/>
                <w:color w:val="auto"/>
                <w:szCs w:val="21"/>
                <w:highlight w:val="none"/>
              </w:rPr>
            </w:pPr>
          </w:p>
        </w:tc>
        <w:tc>
          <w:tcPr>
            <w:tcW w:w="2369" w:type="dxa"/>
            <w:vAlign w:val="center"/>
          </w:tcPr>
          <w:p w14:paraId="7BE6BDDA">
            <w:pPr>
              <w:adjustRightInd w:val="0"/>
              <w:snapToGrid w:val="0"/>
              <w:spacing w:line="400" w:lineRule="exact"/>
              <w:jc w:val="center"/>
              <w:rPr>
                <w:rFonts w:ascii="宋体" w:hAnsi="宋体"/>
                <w:color w:val="auto"/>
                <w:szCs w:val="21"/>
                <w:highlight w:val="none"/>
              </w:rPr>
            </w:pPr>
          </w:p>
        </w:tc>
      </w:tr>
      <w:tr w14:paraId="3F64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24D6A971">
            <w:pPr>
              <w:adjustRightInd w:val="0"/>
              <w:snapToGrid w:val="0"/>
              <w:spacing w:line="400" w:lineRule="exact"/>
              <w:jc w:val="center"/>
              <w:rPr>
                <w:rFonts w:ascii="宋体" w:hAnsi="宋体"/>
                <w:color w:val="auto"/>
                <w:szCs w:val="21"/>
                <w:highlight w:val="none"/>
              </w:rPr>
            </w:pPr>
          </w:p>
        </w:tc>
        <w:tc>
          <w:tcPr>
            <w:tcW w:w="2824" w:type="dxa"/>
            <w:vAlign w:val="center"/>
          </w:tcPr>
          <w:p w14:paraId="671278F2">
            <w:pPr>
              <w:adjustRightInd w:val="0"/>
              <w:snapToGrid w:val="0"/>
              <w:spacing w:line="400" w:lineRule="exact"/>
              <w:jc w:val="center"/>
              <w:rPr>
                <w:rFonts w:ascii="宋体" w:hAnsi="宋体"/>
                <w:color w:val="auto"/>
                <w:szCs w:val="21"/>
                <w:highlight w:val="none"/>
              </w:rPr>
            </w:pPr>
          </w:p>
        </w:tc>
        <w:tc>
          <w:tcPr>
            <w:tcW w:w="2835" w:type="dxa"/>
            <w:vAlign w:val="center"/>
          </w:tcPr>
          <w:p w14:paraId="69DF2686">
            <w:pPr>
              <w:adjustRightInd w:val="0"/>
              <w:snapToGrid w:val="0"/>
              <w:spacing w:line="400" w:lineRule="exact"/>
              <w:jc w:val="center"/>
              <w:rPr>
                <w:rFonts w:ascii="宋体" w:hAnsi="宋体"/>
                <w:color w:val="auto"/>
                <w:szCs w:val="21"/>
                <w:highlight w:val="none"/>
              </w:rPr>
            </w:pPr>
          </w:p>
        </w:tc>
        <w:tc>
          <w:tcPr>
            <w:tcW w:w="2369" w:type="dxa"/>
            <w:vAlign w:val="center"/>
          </w:tcPr>
          <w:p w14:paraId="3CA89A80">
            <w:pPr>
              <w:adjustRightInd w:val="0"/>
              <w:snapToGrid w:val="0"/>
              <w:spacing w:line="400" w:lineRule="exact"/>
              <w:jc w:val="center"/>
              <w:rPr>
                <w:rFonts w:ascii="宋体" w:hAnsi="宋体"/>
                <w:color w:val="auto"/>
                <w:szCs w:val="21"/>
                <w:highlight w:val="none"/>
              </w:rPr>
            </w:pPr>
          </w:p>
        </w:tc>
      </w:tr>
      <w:tr w14:paraId="6606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6800AA92">
            <w:pPr>
              <w:adjustRightInd w:val="0"/>
              <w:snapToGrid w:val="0"/>
              <w:spacing w:line="400" w:lineRule="exact"/>
              <w:jc w:val="center"/>
              <w:rPr>
                <w:rFonts w:ascii="宋体" w:hAnsi="宋体"/>
                <w:color w:val="auto"/>
                <w:szCs w:val="21"/>
                <w:highlight w:val="none"/>
              </w:rPr>
            </w:pPr>
          </w:p>
        </w:tc>
        <w:tc>
          <w:tcPr>
            <w:tcW w:w="2824" w:type="dxa"/>
            <w:vAlign w:val="center"/>
          </w:tcPr>
          <w:p w14:paraId="48CFF635">
            <w:pPr>
              <w:adjustRightInd w:val="0"/>
              <w:snapToGrid w:val="0"/>
              <w:spacing w:line="400" w:lineRule="exact"/>
              <w:jc w:val="center"/>
              <w:rPr>
                <w:rFonts w:ascii="宋体" w:hAnsi="宋体"/>
                <w:color w:val="auto"/>
                <w:szCs w:val="21"/>
                <w:highlight w:val="none"/>
              </w:rPr>
            </w:pPr>
          </w:p>
        </w:tc>
        <w:tc>
          <w:tcPr>
            <w:tcW w:w="2835" w:type="dxa"/>
            <w:vAlign w:val="center"/>
          </w:tcPr>
          <w:p w14:paraId="4354D2BD">
            <w:pPr>
              <w:adjustRightInd w:val="0"/>
              <w:snapToGrid w:val="0"/>
              <w:spacing w:line="400" w:lineRule="exact"/>
              <w:jc w:val="center"/>
              <w:rPr>
                <w:rFonts w:ascii="宋体" w:hAnsi="宋体"/>
                <w:color w:val="auto"/>
                <w:szCs w:val="21"/>
                <w:highlight w:val="none"/>
              </w:rPr>
            </w:pPr>
          </w:p>
        </w:tc>
        <w:tc>
          <w:tcPr>
            <w:tcW w:w="2369" w:type="dxa"/>
            <w:vAlign w:val="center"/>
          </w:tcPr>
          <w:p w14:paraId="286601B9">
            <w:pPr>
              <w:adjustRightInd w:val="0"/>
              <w:snapToGrid w:val="0"/>
              <w:spacing w:line="400" w:lineRule="exact"/>
              <w:jc w:val="center"/>
              <w:rPr>
                <w:rFonts w:ascii="宋体" w:hAnsi="宋体"/>
                <w:color w:val="auto"/>
                <w:szCs w:val="21"/>
                <w:highlight w:val="none"/>
              </w:rPr>
            </w:pPr>
          </w:p>
        </w:tc>
      </w:tr>
      <w:tr w14:paraId="4802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5B13FF4B">
            <w:pPr>
              <w:adjustRightInd w:val="0"/>
              <w:snapToGrid w:val="0"/>
              <w:spacing w:line="400" w:lineRule="exact"/>
              <w:jc w:val="center"/>
              <w:rPr>
                <w:rFonts w:ascii="宋体" w:hAnsi="宋体"/>
                <w:color w:val="auto"/>
                <w:szCs w:val="21"/>
                <w:highlight w:val="none"/>
              </w:rPr>
            </w:pPr>
          </w:p>
        </w:tc>
        <w:tc>
          <w:tcPr>
            <w:tcW w:w="2824" w:type="dxa"/>
            <w:vAlign w:val="center"/>
          </w:tcPr>
          <w:p w14:paraId="2230506F">
            <w:pPr>
              <w:adjustRightInd w:val="0"/>
              <w:snapToGrid w:val="0"/>
              <w:spacing w:line="400" w:lineRule="exact"/>
              <w:jc w:val="center"/>
              <w:rPr>
                <w:rFonts w:ascii="宋体" w:hAnsi="宋体"/>
                <w:color w:val="auto"/>
                <w:szCs w:val="21"/>
                <w:highlight w:val="none"/>
              </w:rPr>
            </w:pPr>
          </w:p>
        </w:tc>
        <w:tc>
          <w:tcPr>
            <w:tcW w:w="2835" w:type="dxa"/>
            <w:vAlign w:val="center"/>
          </w:tcPr>
          <w:p w14:paraId="7E3C2682">
            <w:pPr>
              <w:adjustRightInd w:val="0"/>
              <w:snapToGrid w:val="0"/>
              <w:spacing w:line="400" w:lineRule="exact"/>
              <w:jc w:val="center"/>
              <w:rPr>
                <w:rFonts w:ascii="宋体" w:hAnsi="宋体"/>
                <w:color w:val="auto"/>
                <w:szCs w:val="21"/>
                <w:highlight w:val="none"/>
              </w:rPr>
            </w:pPr>
          </w:p>
        </w:tc>
        <w:tc>
          <w:tcPr>
            <w:tcW w:w="2369" w:type="dxa"/>
            <w:vAlign w:val="center"/>
          </w:tcPr>
          <w:p w14:paraId="51387401">
            <w:pPr>
              <w:adjustRightInd w:val="0"/>
              <w:snapToGrid w:val="0"/>
              <w:spacing w:line="400" w:lineRule="exact"/>
              <w:jc w:val="center"/>
              <w:rPr>
                <w:rFonts w:ascii="宋体" w:hAnsi="宋体"/>
                <w:color w:val="auto"/>
                <w:szCs w:val="21"/>
                <w:highlight w:val="none"/>
              </w:rPr>
            </w:pPr>
          </w:p>
        </w:tc>
      </w:tr>
      <w:tr w14:paraId="43A4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42017099">
            <w:pPr>
              <w:adjustRightInd w:val="0"/>
              <w:snapToGrid w:val="0"/>
              <w:spacing w:line="400" w:lineRule="exact"/>
              <w:jc w:val="center"/>
              <w:rPr>
                <w:rFonts w:ascii="宋体" w:hAnsi="宋体"/>
                <w:color w:val="auto"/>
                <w:szCs w:val="21"/>
                <w:highlight w:val="none"/>
              </w:rPr>
            </w:pPr>
          </w:p>
        </w:tc>
        <w:tc>
          <w:tcPr>
            <w:tcW w:w="2824" w:type="dxa"/>
            <w:vAlign w:val="center"/>
          </w:tcPr>
          <w:p w14:paraId="263E2DA1">
            <w:pPr>
              <w:adjustRightInd w:val="0"/>
              <w:snapToGrid w:val="0"/>
              <w:spacing w:line="400" w:lineRule="exact"/>
              <w:jc w:val="center"/>
              <w:rPr>
                <w:rFonts w:ascii="宋体" w:hAnsi="宋体"/>
                <w:color w:val="auto"/>
                <w:szCs w:val="21"/>
                <w:highlight w:val="none"/>
              </w:rPr>
            </w:pPr>
          </w:p>
        </w:tc>
        <w:tc>
          <w:tcPr>
            <w:tcW w:w="2835" w:type="dxa"/>
            <w:vAlign w:val="center"/>
          </w:tcPr>
          <w:p w14:paraId="3A83A6D1">
            <w:pPr>
              <w:adjustRightInd w:val="0"/>
              <w:snapToGrid w:val="0"/>
              <w:spacing w:line="400" w:lineRule="exact"/>
              <w:jc w:val="center"/>
              <w:rPr>
                <w:rFonts w:ascii="宋体" w:hAnsi="宋体"/>
                <w:color w:val="auto"/>
                <w:szCs w:val="21"/>
                <w:highlight w:val="none"/>
              </w:rPr>
            </w:pPr>
          </w:p>
        </w:tc>
        <w:tc>
          <w:tcPr>
            <w:tcW w:w="2369" w:type="dxa"/>
            <w:vAlign w:val="center"/>
          </w:tcPr>
          <w:p w14:paraId="3164E4A1">
            <w:pPr>
              <w:adjustRightInd w:val="0"/>
              <w:snapToGrid w:val="0"/>
              <w:spacing w:line="400" w:lineRule="exact"/>
              <w:jc w:val="center"/>
              <w:rPr>
                <w:rFonts w:ascii="宋体" w:hAnsi="宋体"/>
                <w:color w:val="auto"/>
                <w:szCs w:val="21"/>
                <w:highlight w:val="none"/>
              </w:rPr>
            </w:pPr>
          </w:p>
        </w:tc>
      </w:tr>
    </w:tbl>
    <w:p w14:paraId="65526C39">
      <w:pPr>
        <w:adjustRightInd w:val="0"/>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注：1、须与相应子包的商务条款逐项比较填写。</w:t>
      </w:r>
    </w:p>
    <w:p w14:paraId="2FA20215">
      <w:pPr>
        <w:adjustRightInd w:val="0"/>
        <w:snapToGrid w:val="0"/>
        <w:spacing w:line="360" w:lineRule="auto"/>
        <w:rPr>
          <w:rFonts w:ascii="宋体" w:hAnsi="宋体"/>
          <w:color w:val="auto"/>
          <w:szCs w:val="21"/>
          <w:highlight w:val="none"/>
        </w:rPr>
      </w:pPr>
    </w:p>
    <w:p w14:paraId="234C70DD">
      <w:pPr>
        <w:adjustRightInd w:val="0"/>
        <w:snapToGrid w:val="0"/>
        <w:spacing w:line="360" w:lineRule="auto"/>
        <w:rPr>
          <w:rFonts w:ascii="宋体" w:hAnsi="宋体"/>
          <w:color w:val="auto"/>
          <w:szCs w:val="21"/>
          <w:highlight w:val="none"/>
        </w:rPr>
      </w:pPr>
    </w:p>
    <w:p w14:paraId="748A10C7">
      <w:pPr>
        <w:spacing w:line="400" w:lineRule="atLeast"/>
        <w:jc w:val="left"/>
        <w:rPr>
          <w:rFonts w:ascii="宋体" w:hAnsi="宋体"/>
          <w:color w:val="auto"/>
          <w:szCs w:val="21"/>
          <w:highlight w:val="none"/>
        </w:rPr>
      </w:pPr>
      <w:bookmarkStart w:id="33" w:name="_Toc436408720"/>
      <w:bookmarkStart w:id="34" w:name="_Toc441316563"/>
      <w:r>
        <w:rPr>
          <w:rFonts w:hint="eastAsia" w:ascii="宋体" w:hAnsi="宋体"/>
          <w:color w:val="auto"/>
          <w:szCs w:val="21"/>
          <w:highlight w:val="none"/>
        </w:rPr>
        <w:t>投标人（盖章）：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25E9A00C">
      <w:pPr>
        <w:spacing w:line="400" w:lineRule="atLeast"/>
        <w:rPr>
          <w:rFonts w:ascii="宋体" w:hAnsi="宋体"/>
          <w:color w:val="auto"/>
          <w:szCs w:val="21"/>
          <w:highlight w:val="none"/>
          <w:u w:val="singl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1B83EFDA">
      <w:pPr>
        <w:spacing w:line="400" w:lineRule="atLeast"/>
        <w:rPr>
          <w:rFonts w:ascii="宋体" w:hAnsi="宋体"/>
          <w:color w:val="auto"/>
          <w:szCs w:val="21"/>
          <w:highlight w:val="none"/>
          <w:u w:val="single"/>
        </w:rPr>
      </w:pPr>
    </w:p>
    <w:p w14:paraId="7672BD06">
      <w:pPr>
        <w:spacing w:line="360" w:lineRule="auto"/>
        <w:jc w:val="left"/>
        <w:rPr>
          <w:rFonts w:ascii="宋体" w:hAnsi="宋体"/>
          <w:color w:val="auto"/>
          <w:szCs w:val="21"/>
          <w:highlight w:val="none"/>
          <w:u w:val="single"/>
        </w:rPr>
      </w:pPr>
    </w:p>
    <w:p w14:paraId="1633D775">
      <w:pPr>
        <w:spacing w:line="360" w:lineRule="auto"/>
        <w:rPr>
          <w:rFonts w:ascii="宋体" w:hAnsi="宋体"/>
          <w:b/>
          <w:color w:val="auto"/>
          <w:szCs w:val="21"/>
          <w:highlight w:val="none"/>
        </w:rPr>
      </w:pPr>
      <w:r>
        <w:rPr>
          <w:rStyle w:val="74"/>
          <w:rFonts w:ascii="宋体" w:hAnsi="宋体"/>
          <w:color w:val="auto"/>
          <w:szCs w:val="21"/>
          <w:highlight w:val="none"/>
        </w:rPr>
        <w:br w:type="page"/>
      </w:r>
      <w:bookmarkEnd w:id="33"/>
      <w:bookmarkStart w:id="35" w:name="_Toc441316564"/>
      <w:r>
        <w:rPr>
          <w:rFonts w:hint="eastAsia" w:ascii="宋体" w:hAnsi="宋体"/>
          <w:b/>
          <w:color w:val="auto"/>
          <w:szCs w:val="21"/>
          <w:highlight w:val="none"/>
        </w:rPr>
        <w:t>附件九</w:t>
      </w:r>
    </w:p>
    <w:p w14:paraId="09FECF23">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技术条款响应表</w:t>
      </w:r>
    </w:p>
    <w:p w14:paraId="349A160C">
      <w:pPr>
        <w:adjustRightInd w:val="0"/>
        <w:snapToGrid w:val="0"/>
        <w:spacing w:line="360" w:lineRule="auto"/>
        <w:jc w:val="center"/>
        <w:rPr>
          <w:rFonts w:ascii="宋体" w:hAnsi="宋体"/>
          <w:iCs/>
          <w:color w:val="auto"/>
          <w:szCs w:val="21"/>
          <w:highlight w:val="none"/>
        </w:rPr>
      </w:pPr>
    </w:p>
    <w:p w14:paraId="64E9ACE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s="仿宋_GB2312"/>
          <w:bCs/>
          <w:color w:val="auto"/>
          <w:szCs w:val="21"/>
          <w:highlight w:val="none"/>
          <w:u w:val="single"/>
          <w:lang w:eastAsia="zh-CN"/>
        </w:rPr>
        <w:t>慈溪市新城河07-D-01地块食堂食品原材料采购项目</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0822FE0B">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ascii="宋体" w:hAnsi="宋体" w:cs="仿宋_GB2312"/>
          <w:bCs/>
          <w:color w:val="auto"/>
          <w:szCs w:val="21"/>
          <w:highlight w:val="none"/>
          <w:u w:val="single"/>
        </w:rPr>
        <w:t xml:space="preserve">   </w:t>
      </w:r>
      <w:r>
        <w:rPr>
          <w:rFonts w:hint="eastAsia" w:ascii="宋体" w:hAnsi="宋体" w:cs="仿宋_GB2312"/>
          <w:bCs/>
          <w:color w:val="auto"/>
          <w:szCs w:val="21"/>
          <w:highlight w:val="none"/>
          <w:u w:val="single"/>
        </w:rPr>
        <w:t xml:space="preserve">   </w:t>
      </w:r>
    </w:p>
    <w:p w14:paraId="23DD15F5">
      <w:pPr>
        <w:adjustRightInd w:val="0"/>
        <w:snapToGrid w:val="0"/>
        <w:spacing w:line="360" w:lineRule="auto"/>
        <w:rPr>
          <w:rFonts w:ascii="宋体" w:hAnsi="宋体"/>
          <w:color w:val="auto"/>
          <w:szCs w:val="21"/>
          <w:highlight w:val="non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2824"/>
        <w:gridCol w:w="2835"/>
        <w:gridCol w:w="2369"/>
      </w:tblGrid>
      <w:tr w14:paraId="4684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0FF8D6D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vAlign w:val="center"/>
          </w:tcPr>
          <w:p w14:paraId="6AA432D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14:paraId="576D07DF">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vAlign w:val="center"/>
          </w:tcPr>
          <w:p w14:paraId="46F1BEE4">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2F9E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68C58477">
            <w:pPr>
              <w:adjustRightInd w:val="0"/>
              <w:snapToGrid w:val="0"/>
              <w:spacing w:line="400" w:lineRule="exact"/>
              <w:jc w:val="center"/>
              <w:rPr>
                <w:rFonts w:ascii="宋体" w:hAnsi="宋体"/>
                <w:color w:val="auto"/>
                <w:szCs w:val="21"/>
                <w:highlight w:val="none"/>
              </w:rPr>
            </w:pPr>
          </w:p>
        </w:tc>
        <w:tc>
          <w:tcPr>
            <w:tcW w:w="2824" w:type="dxa"/>
            <w:vAlign w:val="center"/>
          </w:tcPr>
          <w:p w14:paraId="4A2369A1">
            <w:pPr>
              <w:adjustRightInd w:val="0"/>
              <w:snapToGrid w:val="0"/>
              <w:spacing w:line="400" w:lineRule="exact"/>
              <w:jc w:val="center"/>
              <w:rPr>
                <w:rFonts w:ascii="宋体" w:hAnsi="宋体"/>
                <w:color w:val="auto"/>
                <w:szCs w:val="21"/>
                <w:highlight w:val="none"/>
              </w:rPr>
            </w:pPr>
          </w:p>
        </w:tc>
        <w:tc>
          <w:tcPr>
            <w:tcW w:w="2835" w:type="dxa"/>
            <w:vAlign w:val="center"/>
          </w:tcPr>
          <w:p w14:paraId="616B3EC2">
            <w:pPr>
              <w:adjustRightInd w:val="0"/>
              <w:snapToGrid w:val="0"/>
              <w:spacing w:line="400" w:lineRule="exact"/>
              <w:jc w:val="center"/>
              <w:rPr>
                <w:rFonts w:ascii="宋体" w:hAnsi="宋体"/>
                <w:color w:val="auto"/>
                <w:szCs w:val="21"/>
                <w:highlight w:val="none"/>
              </w:rPr>
            </w:pPr>
          </w:p>
        </w:tc>
        <w:tc>
          <w:tcPr>
            <w:tcW w:w="2369" w:type="dxa"/>
            <w:vAlign w:val="center"/>
          </w:tcPr>
          <w:p w14:paraId="6F0DC0A3">
            <w:pPr>
              <w:adjustRightInd w:val="0"/>
              <w:snapToGrid w:val="0"/>
              <w:spacing w:line="400" w:lineRule="exact"/>
              <w:jc w:val="center"/>
              <w:rPr>
                <w:rFonts w:ascii="宋体" w:hAnsi="宋体"/>
                <w:color w:val="auto"/>
                <w:szCs w:val="21"/>
                <w:highlight w:val="none"/>
              </w:rPr>
            </w:pPr>
          </w:p>
        </w:tc>
      </w:tr>
      <w:tr w14:paraId="3C94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52B21146">
            <w:pPr>
              <w:adjustRightInd w:val="0"/>
              <w:snapToGrid w:val="0"/>
              <w:spacing w:line="400" w:lineRule="exact"/>
              <w:jc w:val="center"/>
              <w:rPr>
                <w:rFonts w:ascii="宋体" w:hAnsi="宋体"/>
                <w:color w:val="auto"/>
                <w:szCs w:val="21"/>
                <w:highlight w:val="none"/>
              </w:rPr>
            </w:pPr>
          </w:p>
        </w:tc>
        <w:tc>
          <w:tcPr>
            <w:tcW w:w="2824" w:type="dxa"/>
            <w:vAlign w:val="center"/>
          </w:tcPr>
          <w:p w14:paraId="577AFF7A">
            <w:pPr>
              <w:adjustRightInd w:val="0"/>
              <w:snapToGrid w:val="0"/>
              <w:spacing w:line="400" w:lineRule="exact"/>
              <w:jc w:val="center"/>
              <w:rPr>
                <w:rFonts w:ascii="宋体" w:hAnsi="宋体"/>
                <w:color w:val="auto"/>
                <w:szCs w:val="21"/>
                <w:highlight w:val="none"/>
              </w:rPr>
            </w:pPr>
          </w:p>
        </w:tc>
        <w:tc>
          <w:tcPr>
            <w:tcW w:w="2835" w:type="dxa"/>
            <w:vAlign w:val="center"/>
          </w:tcPr>
          <w:p w14:paraId="76FEE52D">
            <w:pPr>
              <w:adjustRightInd w:val="0"/>
              <w:snapToGrid w:val="0"/>
              <w:spacing w:line="400" w:lineRule="exact"/>
              <w:jc w:val="center"/>
              <w:rPr>
                <w:rFonts w:ascii="宋体" w:hAnsi="宋体"/>
                <w:color w:val="auto"/>
                <w:szCs w:val="21"/>
                <w:highlight w:val="none"/>
              </w:rPr>
            </w:pPr>
          </w:p>
        </w:tc>
        <w:tc>
          <w:tcPr>
            <w:tcW w:w="2369" w:type="dxa"/>
            <w:vAlign w:val="center"/>
          </w:tcPr>
          <w:p w14:paraId="41C67102">
            <w:pPr>
              <w:adjustRightInd w:val="0"/>
              <w:snapToGrid w:val="0"/>
              <w:spacing w:line="400" w:lineRule="exact"/>
              <w:jc w:val="center"/>
              <w:rPr>
                <w:rFonts w:ascii="宋体" w:hAnsi="宋体"/>
                <w:color w:val="auto"/>
                <w:szCs w:val="21"/>
                <w:highlight w:val="none"/>
              </w:rPr>
            </w:pPr>
          </w:p>
        </w:tc>
      </w:tr>
      <w:tr w14:paraId="3905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58760420">
            <w:pPr>
              <w:adjustRightInd w:val="0"/>
              <w:snapToGrid w:val="0"/>
              <w:spacing w:line="400" w:lineRule="exact"/>
              <w:jc w:val="center"/>
              <w:rPr>
                <w:rFonts w:ascii="宋体" w:hAnsi="宋体"/>
                <w:color w:val="auto"/>
                <w:szCs w:val="21"/>
                <w:highlight w:val="none"/>
              </w:rPr>
            </w:pPr>
          </w:p>
        </w:tc>
        <w:tc>
          <w:tcPr>
            <w:tcW w:w="2824" w:type="dxa"/>
            <w:vAlign w:val="center"/>
          </w:tcPr>
          <w:p w14:paraId="478043DB">
            <w:pPr>
              <w:adjustRightInd w:val="0"/>
              <w:snapToGrid w:val="0"/>
              <w:spacing w:line="400" w:lineRule="exact"/>
              <w:jc w:val="center"/>
              <w:rPr>
                <w:rFonts w:ascii="宋体" w:hAnsi="宋体"/>
                <w:color w:val="auto"/>
                <w:szCs w:val="21"/>
                <w:highlight w:val="none"/>
              </w:rPr>
            </w:pPr>
          </w:p>
        </w:tc>
        <w:tc>
          <w:tcPr>
            <w:tcW w:w="2835" w:type="dxa"/>
            <w:vAlign w:val="center"/>
          </w:tcPr>
          <w:p w14:paraId="35ED7A27">
            <w:pPr>
              <w:adjustRightInd w:val="0"/>
              <w:snapToGrid w:val="0"/>
              <w:spacing w:line="400" w:lineRule="exact"/>
              <w:jc w:val="center"/>
              <w:rPr>
                <w:rFonts w:ascii="宋体" w:hAnsi="宋体"/>
                <w:color w:val="auto"/>
                <w:szCs w:val="21"/>
                <w:highlight w:val="none"/>
              </w:rPr>
            </w:pPr>
          </w:p>
        </w:tc>
        <w:tc>
          <w:tcPr>
            <w:tcW w:w="2369" w:type="dxa"/>
            <w:vAlign w:val="center"/>
          </w:tcPr>
          <w:p w14:paraId="48FBDDD7">
            <w:pPr>
              <w:adjustRightInd w:val="0"/>
              <w:snapToGrid w:val="0"/>
              <w:spacing w:line="400" w:lineRule="exact"/>
              <w:jc w:val="center"/>
              <w:rPr>
                <w:rFonts w:ascii="宋体" w:hAnsi="宋体"/>
                <w:color w:val="auto"/>
                <w:szCs w:val="21"/>
                <w:highlight w:val="none"/>
              </w:rPr>
            </w:pPr>
          </w:p>
        </w:tc>
      </w:tr>
      <w:tr w14:paraId="726C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38EDBB92">
            <w:pPr>
              <w:adjustRightInd w:val="0"/>
              <w:snapToGrid w:val="0"/>
              <w:spacing w:line="400" w:lineRule="exact"/>
              <w:jc w:val="center"/>
              <w:rPr>
                <w:rFonts w:ascii="宋体" w:hAnsi="宋体"/>
                <w:color w:val="auto"/>
                <w:szCs w:val="21"/>
                <w:highlight w:val="none"/>
              </w:rPr>
            </w:pPr>
          </w:p>
        </w:tc>
        <w:tc>
          <w:tcPr>
            <w:tcW w:w="2824" w:type="dxa"/>
            <w:vAlign w:val="center"/>
          </w:tcPr>
          <w:p w14:paraId="5E5AD199">
            <w:pPr>
              <w:adjustRightInd w:val="0"/>
              <w:snapToGrid w:val="0"/>
              <w:spacing w:line="400" w:lineRule="exact"/>
              <w:jc w:val="center"/>
              <w:rPr>
                <w:rFonts w:ascii="宋体" w:hAnsi="宋体"/>
                <w:color w:val="auto"/>
                <w:szCs w:val="21"/>
                <w:highlight w:val="none"/>
              </w:rPr>
            </w:pPr>
          </w:p>
        </w:tc>
        <w:tc>
          <w:tcPr>
            <w:tcW w:w="2835" w:type="dxa"/>
            <w:vAlign w:val="center"/>
          </w:tcPr>
          <w:p w14:paraId="2CCA57F7">
            <w:pPr>
              <w:adjustRightInd w:val="0"/>
              <w:snapToGrid w:val="0"/>
              <w:spacing w:line="400" w:lineRule="exact"/>
              <w:jc w:val="center"/>
              <w:rPr>
                <w:rFonts w:ascii="宋体" w:hAnsi="宋体"/>
                <w:color w:val="auto"/>
                <w:szCs w:val="21"/>
                <w:highlight w:val="none"/>
              </w:rPr>
            </w:pPr>
          </w:p>
        </w:tc>
        <w:tc>
          <w:tcPr>
            <w:tcW w:w="2369" w:type="dxa"/>
            <w:vAlign w:val="center"/>
          </w:tcPr>
          <w:p w14:paraId="3C1C083B">
            <w:pPr>
              <w:adjustRightInd w:val="0"/>
              <w:snapToGrid w:val="0"/>
              <w:spacing w:line="400" w:lineRule="exact"/>
              <w:jc w:val="center"/>
              <w:rPr>
                <w:rFonts w:ascii="宋体" w:hAnsi="宋体"/>
                <w:color w:val="auto"/>
                <w:szCs w:val="21"/>
                <w:highlight w:val="none"/>
              </w:rPr>
            </w:pPr>
          </w:p>
        </w:tc>
      </w:tr>
      <w:tr w14:paraId="6E51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3D047B7F">
            <w:pPr>
              <w:adjustRightInd w:val="0"/>
              <w:snapToGrid w:val="0"/>
              <w:spacing w:line="400" w:lineRule="exact"/>
              <w:jc w:val="center"/>
              <w:rPr>
                <w:rFonts w:ascii="宋体" w:hAnsi="宋体"/>
                <w:color w:val="auto"/>
                <w:szCs w:val="21"/>
                <w:highlight w:val="none"/>
              </w:rPr>
            </w:pPr>
          </w:p>
        </w:tc>
        <w:tc>
          <w:tcPr>
            <w:tcW w:w="2824" w:type="dxa"/>
            <w:vAlign w:val="center"/>
          </w:tcPr>
          <w:p w14:paraId="5853E540">
            <w:pPr>
              <w:adjustRightInd w:val="0"/>
              <w:snapToGrid w:val="0"/>
              <w:spacing w:line="400" w:lineRule="exact"/>
              <w:jc w:val="center"/>
              <w:rPr>
                <w:rFonts w:ascii="宋体" w:hAnsi="宋体"/>
                <w:color w:val="auto"/>
                <w:szCs w:val="21"/>
                <w:highlight w:val="none"/>
              </w:rPr>
            </w:pPr>
          </w:p>
        </w:tc>
        <w:tc>
          <w:tcPr>
            <w:tcW w:w="2835" w:type="dxa"/>
            <w:vAlign w:val="center"/>
          </w:tcPr>
          <w:p w14:paraId="6CAAF5FB">
            <w:pPr>
              <w:adjustRightInd w:val="0"/>
              <w:snapToGrid w:val="0"/>
              <w:spacing w:line="400" w:lineRule="exact"/>
              <w:jc w:val="center"/>
              <w:rPr>
                <w:rFonts w:ascii="宋体" w:hAnsi="宋体"/>
                <w:color w:val="auto"/>
                <w:szCs w:val="21"/>
                <w:highlight w:val="none"/>
              </w:rPr>
            </w:pPr>
          </w:p>
        </w:tc>
        <w:tc>
          <w:tcPr>
            <w:tcW w:w="2369" w:type="dxa"/>
            <w:vAlign w:val="center"/>
          </w:tcPr>
          <w:p w14:paraId="3AFE3FCA">
            <w:pPr>
              <w:adjustRightInd w:val="0"/>
              <w:snapToGrid w:val="0"/>
              <w:spacing w:line="400" w:lineRule="exact"/>
              <w:jc w:val="center"/>
              <w:rPr>
                <w:rFonts w:ascii="宋体" w:hAnsi="宋体"/>
                <w:color w:val="auto"/>
                <w:szCs w:val="21"/>
                <w:highlight w:val="none"/>
              </w:rPr>
            </w:pPr>
          </w:p>
        </w:tc>
      </w:tr>
    </w:tbl>
    <w:p w14:paraId="17B5EE0A">
      <w:pPr>
        <w:spacing w:line="400" w:lineRule="exact"/>
        <w:rPr>
          <w:rFonts w:ascii="宋体" w:hAnsi="宋体"/>
          <w:color w:val="auto"/>
          <w:szCs w:val="21"/>
          <w:highlight w:val="none"/>
        </w:rPr>
      </w:pPr>
      <w:r>
        <w:rPr>
          <w:rFonts w:hint="eastAsia" w:ascii="宋体" w:hAnsi="宋体"/>
          <w:color w:val="auto"/>
          <w:szCs w:val="21"/>
          <w:highlight w:val="none"/>
        </w:rPr>
        <w:t>注：1、投标人须完整填写此表。如果未完整填写此表的各项内容则视作投标人已经对招标文件相关要求和内容完全理解并同意，其投标报价为在此基础上的完全价格。</w:t>
      </w:r>
    </w:p>
    <w:p w14:paraId="0E0E97EB">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在招标人与中标投标人签订合同期间，中标投标人未在此表中列出偏离说明，即使其在投标文件的其他部分说明与招标文件要求有所不同或回避不答，亦均视为完全符合招标文件中所要求的最佳值并写入合同。若中标投标人在定标后及合同签订前，以上述事项为借口而不履行合同签订手续及执行合同，则视作放弃中标资格。</w:t>
      </w:r>
    </w:p>
    <w:p w14:paraId="6B1A14A6">
      <w:pPr>
        <w:adjustRightInd w:val="0"/>
        <w:snapToGrid w:val="0"/>
        <w:spacing w:line="360" w:lineRule="auto"/>
        <w:ind w:firstLine="420" w:firstLineChars="200"/>
        <w:rPr>
          <w:rFonts w:ascii="宋体" w:hAnsi="宋体"/>
          <w:color w:val="auto"/>
          <w:szCs w:val="21"/>
          <w:highlight w:val="none"/>
        </w:rPr>
      </w:pPr>
    </w:p>
    <w:p w14:paraId="415265EB">
      <w:pPr>
        <w:adjustRightInd w:val="0"/>
        <w:snapToGrid w:val="0"/>
        <w:spacing w:line="360" w:lineRule="auto"/>
        <w:rPr>
          <w:rFonts w:ascii="宋体" w:hAnsi="宋体"/>
          <w:color w:val="auto"/>
          <w:szCs w:val="21"/>
          <w:highlight w:val="none"/>
        </w:rPr>
      </w:pPr>
    </w:p>
    <w:p w14:paraId="013F89CD">
      <w:pPr>
        <w:adjustRightInd w:val="0"/>
        <w:snapToGrid w:val="0"/>
        <w:spacing w:line="360" w:lineRule="auto"/>
        <w:rPr>
          <w:rFonts w:ascii="宋体" w:hAnsi="宋体"/>
          <w:color w:val="auto"/>
          <w:szCs w:val="21"/>
          <w:highlight w:val="none"/>
        </w:rPr>
      </w:pPr>
    </w:p>
    <w:p w14:paraId="66F0D35C">
      <w:pPr>
        <w:adjustRightInd w:val="0"/>
        <w:snapToGrid w:val="0"/>
        <w:spacing w:line="360" w:lineRule="auto"/>
        <w:rPr>
          <w:rFonts w:ascii="宋体" w:hAnsi="宋体"/>
          <w:color w:val="auto"/>
          <w:szCs w:val="21"/>
          <w:highlight w:val="none"/>
        </w:rPr>
      </w:pPr>
    </w:p>
    <w:p w14:paraId="5E0977C0">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2C0A0670">
      <w:pPr>
        <w:spacing w:line="400" w:lineRule="atLeast"/>
        <w:rPr>
          <w:rFonts w:ascii="宋体" w:hAnsi="宋体"/>
          <w:color w:val="auto"/>
          <w:szCs w:val="21"/>
          <w:highlight w:val="none"/>
          <w:u w:val="singl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01E87433">
      <w:pPr>
        <w:spacing w:line="400" w:lineRule="atLeast"/>
        <w:jc w:val="left"/>
        <w:rPr>
          <w:rFonts w:ascii="宋体" w:hAnsi="宋体"/>
          <w:color w:val="auto"/>
          <w:szCs w:val="21"/>
          <w:highlight w:val="none"/>
        </w:rPr>
      </w:pPr>
    </w:p>
    <w:p w14:paraId="49F125BE">
      <w:pPr>
        <w:pageBreakBefore/>
        <w:spacing w:line="400" w:lineRule="exact"/>
        <w:jc w:val="left"/>
        <w:rPr>
          <w:rFonts w:ascii="宋体" w:hAnsi="宋体"/>
          <w:b/>
          <w:bCs/>
          <w:color w:val="auto"/>
          <w:szCs w:val="21"/>
          <w:highlight w:val="none"/>
        </w:rPr>
      </w:pPr>
      <w:r>
        <w:rPr>
          <w:rFonts w:hint="eastAsia" w:ascii="宋体" w:hAnsi="宋体"/>
          <w:b/>
          <w:bCs/>
          <w:color w:val="auto"/>
          <w:szCs w:val="21"/>
          <w:highlight w:val="none"/>
        </w:rPr>
        <w:t>附件十</w:t>
      </w:r>
    </w:p>
    <w:p w14:paraId="5FAA9183">
      <w:pPr>
        <w:spacing w:line="360" w:lineRule="auto"/>
        <w:jc w:val="left"/>
        <w:rPr>
          <w:rFonts w:ascii="宋体" w:hAnsi="宋体"/>
          <w:b/>
          <w:color w:val="auto"/>
          <w:sz w:val="32"/>
          <w:szCs w:val="32"/>
          <w:highlight w:val="none"/>
        </w:rPr>
      </w:pPr>
    </w:p>
    <w:p w14:paraId="5C3F5923">
      <w:pPr>
        <w:spacing w:line="360" w:lineRule="auto"/>
        <w:jc w:val="left"/>
        <w:rPr>
          <w:rFonts w:ascii="宋体" w:hAnsi="宋体" w:cs="宋体"/>
          <w:color w:val="auto"/>
          <w:sz w:val="28"/>
          <w:szCs w:val="28"/>
          <w:highlight w:val="none"/>
        </w:rPr>
      </w:pPr>
      <w:r>
        <w:rPr>
          <w:rFonts w:hint="eastAsia" w:ascii="宋体" w:hAnsi="宋体"/>
          <w:b/>
          <w:color w:val="auto"/>
          <w:sz w:val="32"/>
          <w:szCs w:val="32"/>
          <w:highlight w:val="none"/>
        </w:rPr>
        <w:t>封面</w:t>
      </w:r>
    </w:p>
    <w:p w14:paraId="206DDFF3">
      <w:pPr>
        <w:spacing w:line="360" w:lineRule="auto"/>
        <w:jc w:val="right"/>
        <w:rPr>
          <w:rFonts w:ascii="宋体" w:hAnsi="宋体" w:cs="宋体"/>
          <w:b/>
          <w:color w:val="auto"/>
          <w:sz w:val="28"/>
          <w:szCs w:val="28"/>
          <w:highlight w:val="none"/>
        </w:rPr>
      </w:pPr>
      <w:r>
        <w:rPr>
          <w:rFonts w:hint="eastAsia" w:ascii="宋体" w:hAnsi="宋体" w:cs="宋体"/>
          <w:b/>
          <w:color w:val="auto"/>
          <w:sz w:val="28"/>
          <w:szCs w:val="28"/>
          <w:highlight w:val="none"/>
        </w:rPr>
        <w:t>正（副）本</w:t>
      </w:r>
    </w:p>
    <w:p w14:paraId="7817828A">
      <w:pPr>
        <w:spacing w:line="360" w:lineRule="auto"/>
        <w:rPr>
          <w:rFonts w:ascii="宋体" w:hAnsi="宋体" w:cs="宋体"/>
          <w:color w:val="auto"/>
          <w:sz w:val="28"/>
          <w:szCs w:val="28"/>
          <w:highlight w:val="none"/>
        </w:rPr>
      </w:pPr>
    </w:p>
    <w:p w14:paraId="0D97C458">
      <w:pPr>
        <w:spacing w:line="360" w:lineRule="auto"/>
        <w:jc w:val="lef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慈溪市新城河07-D-01地块食堂食品原材料采购项目</w:t>
      </w:r>
    </w:p>
    <w:p w14:paraId="614FACBB">
      <w:pPr>
        <w:spacing w:line="360" w:lineRule="auto"/>
        <w:jc w:val="left"/>
        <w:rPr>
          <w:rFonts w:ascii="宋体" w:hAnsi="宋体" w:cs="宋体"/>
          <w:color w:val="auto"/>
          <w:sz w:val="30"/>
          <w:szCs w:val="30"/>
          <w:highlight w:val="none"/>
        </w:rPr>
      </w:pPr>
      <w:r>
        <w:rPr>
          <w:rFonts w:hint="eastAsia" w:ascii="宋体" w:hAnsi="宋体" w:cs="宋体"/>
          <w:color w:val="auto"/>
          <w:sz w:val="30"/>
          <w:szCs w:val="30"/>
          <w:highlight w:val="none"/>
        </w:rPr>
        <w:t>项目编号：</w:t>
      </w:r>
      <w:r>
        <w:rPr>
          <w:rFonts w:ascii="宋体" w:hAnsi="宋体" w:cs="宋体"/>
          <w:color w:val="auto"/>
          <w:sz w:val="30"/>
          <w:szCs w:val="30"/>
          <w:highlight w:val="none"/>
        </w:rPr>
        <w:t xml:space="preserve"> </w:t>
      </w:r>
    </w:p>
    <w:p w14:paraId="42818FC9">
      <w:pPr>
        <w:rPr>
          <w:rFonts w:ascii="宋体" w:hAnsi="宋体" w:cs="宋体"/>
          <w:color w:val="auto"/>
          <w:sz w:val="28"/>
          <w:szCs w:val="28"/>
          <w:highlight w:val="none"/>
        </w:rPr>
      </w:pPr>
    </w:p>
    <w:p w14:paraId="260E22F3">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（报价文件）</w:t>
      </w:r>
    </w:p>
    <w:p w14:paraId="04DC4132">
      <w:pPr>
        <w:pStyle w:val="21"/>
        <w:rPr>
          <w:rFonts w:ascii="Tahoma" w:hAnsi="Tahoma"/>
          <w:color w:val="auto"/>
          <w:highlight w:val="none"/>
        </w:rPr>
      </w:pPr>
    </w:p>
    <w:p w14:paraId="60C0D353">
      <w:pPr>
        <w:pStyle w:val="21"/>
        <w:rPr>
          <w:rFonts w:ascii="Tahoma" w:hAnsi="Tahoma"/>
          <w:color w:val="auto"/>
          <w:highlight w:val="none"/>
        </w:rPr>
      </w:pPr>
    </w:p>
    <w:p w14:paraId="04983CCF">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投</w:t>
      </w:r>
    </w:p>
    <w:p w14:paraId="6CF07E1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标</w:t>
      </w:r>
    </w:p>
    <w:p w14:paraId="4E3AC35A">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文</w:t>
      </w:r>
    </w:p>
    <w:p w14:paraId="1C2A0A02">
      <w:pPr>
        <w:spacing w:line="360" w:lineRule="auto"/>
        <w:jc w:val="center"/>
        <w:rPr>
          <w:rFonts w:ascii="宋体" w:hAnsi="宋体" w:cs="宋体"/>
          <w:b/>
          <w:color w:val="auto"/>
          <w:sz w:val="36"/>
          <w:szCs w:val="36"/>
          <w:highlight w:val="none"/>
        </w:rPr>
      </w:pPr>
      <w:r>
        <w:rPr>
          <w:rFonts w:hint="eastAsia" w:ascii="宋体" w:hAnsi="宋体" w:cs="宋体"/>
          <w:b/>
          <w:color w:val="auto"/>
          <w:sz w:val="44"/>
          <w:szCs w:val="44"/>
          <w:highlight w:val="none"/>
        </w:rPr>
        <w:t>件</w:t>
      </w:r>
    </w:p>
    <w:p w14:paraId="031B217B">
      <w:pPr>
        <w:spacing w:line="360" w:lineRule="auto"/>
        <w:jc w:val="center"/>
        <w:rPr>
          <w:rFonts w:ascii="宋体" w:hAnsi="宋体" w:cs="宋体"/>
          <w:color w:val="auto"/>
          <w:sz w:val="28"/>
          <w:szCs w:val="28"/>
          <w:highlight w:val="none"/>
        </w:rPr>
      </w:pPr>
    </w:p>
    <w:p w14:paraId="2E1F5011">
      <w:pPr>
        <w:spacing w:line="360" w:lineRule="auto"/>
        <w:jc w:val="center"/>
        <w:rPr>
          <w:rFonts w:ascii="宋体" w:hAnsi="宋体" w:cs="宋体"/>
          <w:color w:val="auto"/>
          <w:sz w:val="28"/>
          <w:szCs w:val="28"/>
          <w:highlight w:val="none"/>
        </w:rPr>
      </w:pPr>
    </w:p>
    <w:p w14:paraId="7F1B7D4C">
      <w:pPr>
        <w:pStyle w:val="21"/>
        <w:rPr>
          <w:rFonts w:ascii="Tahoma" w:hAnsi="Tahoma"/>
          <w:color w:val="auto"/>
          <w:highlight w:val="none"/>
        </w:rPr>
      </w:pPr>
    </w:p>
    <w:p w14:paraId="5BAFD4A0">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投标人全称：（加盖单位公章）</w:t>
      </w:r>
    </w:p>
    <w:p w14:paraId="5888E66B">
      <w:pPr>
        <w:pStyle w:val="23"/>
        <w:ind w:firstLine="1920" w:firstLineChars="800"/>
        <w:jc w:val="left"/>
        <w:rPr>
          <w:rFonts w:hAnsi="宋体" w:cs="宋体"/>
          <w:color w:val="auto"/>
          <w:szCs w:val="28"/>
          <w:highlight w:val="none"/>
          <w:u w:val="single"/>
        </w:rPr>
      </w:pPr>
    </w:p>
    <w:p w14:paraId="502B28D9">
      <w:pPr>
        <w:pStyle w:val="23"/>
        <w:spacing w:line="360" w:lineRule="auto"/>
        <w:jc w:val="center"/>
        <w:rPr>
          <w:rFonts w:hAnsi="宋体" w:cs="宋体"/>
          <w:color w:val="auto"/>
          <w:szCs w:val="28"/>
          <w:highlight w:val="none"/>
        </w:rPr>
      </w:pPr>
      <w:r>
        <w:rPr>
          <w:rFonts w:hint="eastAsia" w:hAnsi="宋体" w:cs="宋体"/>
          <w:color w:val="auto"/>
          <w:szCs w:val="28"/>
          <w:highlight w:val="none"/>
        </w:rPr>
        <w:t>年   月   日</w:t>
      </w:r>
    </w:p>
    <w:p w14:paraId="78E2511B">
      <w:pPr>
        <w:spacing w:line="360" w:lineRule="auto"/>
        <w:jc w:val="left"/>
        <w:rPr>
          <w:rFonts w:ascii="宋体" w:hAnsi="宋体" w:cs="宋体"/>
          <w:b/>
          <w:color w:val="auto"/>
          <w:sz w:val="28"/>
          <w:szCs w:val="28"/>
          <w:highlight w:val="none"/>
        </w:rPr>
      </w:pPr>
    </w:p>
    <w:p w14:paraId="4FA80160">
      <w:pPr>
        <w:autoSpaceDE w:val="0"/>
        <w:autoSpaceDN w:val="0"/>
        <w:adjustRightInd w:val="0"/>
        <w:spacing w:line="400" w:lineRule="exact"/>
        <w:jc w:val="center"/>
        <w:outlineLvl w:val="0"/>
        <w:rPr>
          <w:rStyle w:val="74"/>
          <w:rFonts w:ascii="宋体" w:hAnsi="宋体"/>
          <w:color w:val="auto"/>
          <w:sz w:val="28"/>
          <w:szCs w:val="28"/>
          <w:highlight w:val="none"/>
        </w:rPr>
        <w:sectPr>
          <w:headerReference r:id="rId6" w:type="default"/>
          <w:footerReference r:id="rId7" w:type="default"/>
          <w:type w:val="nextColumn"/>
          <w:pgSz w:w="11907" w:h="16840"/>
          <w:pgMar w:top="1418" w:right="1134" w:bottom="1418" w:left="1134" w:header="285" w:footer="990" w:gutter="0"/>
          <w:cols w:space="720" w:num="1"/>
          <w:docGrid w:linePitch="285" w:charSpace="0"/>
        </w:sectPr>
      </w:pPr>
    </w:p>
    <w:bookmarkEnd w:id="34"/>
    <w:bookmarkEnd w:id="35"/>
    <w:p w14:paraId="49729A44">
      <w:pPr>
        <w:spacing w:line="400" w:lineRule="exact"/>
        <w:jc w:val="left"/>
        <w:rPr>
          <w:rFonts w:ascii="宋体" w:hAnsi="宋体"/>
          <w:b/>
          <w:bCs/>
          <w:color w:val="auto"/>
          <w:szCs w:val="21"/>
          <w:highlight w:val="none"/>
        </w:rPr>
      </w:pPr>
      <w:bookmarkStart w:id="36" w:name="_Toc443468295"/>
      <w:r>
        <w:rPr>
          <w:rFonts w:hint="eastAsia" w:ascii="宋体" w:hAnsi="宋体"/>
          <w:b/>
          <w:bCs/>
          <w:color w:val="auto"/>
          <w:szCs w:val="21"/>
          <w:highlight w:val="none"/>
        </w:rPr>
        <w:t>附件十一</w:t>
      </w:r>
    </w:p>
    <w:p w14:paraId="0C5DBD1D">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开标一览表</w:t>
      </w:r>
      <w:bookmarkEnd w:id="36"/>
    </w:p>
    <w:p w14:paraId="7FD79FE7">
      <w:pPr>
        <w:pStyle w:val="17"/>
        <w:spacing w:line="400" w:lineRule="exact"/>
        <w:ind w:firstLine="0"/>
        <w:rPr>
          <w:rFonts w:ascii="宋体" w:hAnsi="宋体" w:eastAsia="宋体"/>
          <w:color w:val="auto"/>
          <w:sz w:val="21"/>
          <w:szCs w:val="21"/>
          <w:highlight w:val="none"/>
        </w:rPr>
      </w:pPr>
    </w:p>
    <w:p w14:paraId="7EED7A5D">
      <w:pPr>
        <w:pStyle w:val="17"/>
        <w:spacing w:line="400" w:lineRule="exact"/>
        <w:ind w:firstLine="0"/>
        <w:rPr>
          <w:rFonts w:ascii="宋体" w:hAnsi="宋体" w:eastAsia="宋体"/>
          <w:color w:val="auto"/>
          <w:szCs w:val="24"/>
          <w:highlight w:val="none"/>
        </w:rPr>
      </w:pPr>
      <w:r>
        <w:rPr>
          <w:rFonts w:hint="eastAsia" w:ascii="宋体" w:hAnsi="宋体" w:eastAsia="宋体"/>
          <w:color w:val="auto"/>
          <w:szCs w:val="24"/>
          <w:highlight w:val="none"/>
        </w:rPr>
        <w:t>项目名称：</w:t>
      </w:r>
      <w:r>
        <w:rPr>
          <w:rFonts w:hint="eastAsia" w:ascii="宋体" w:hAnsi="宋体" w:eastAsia="宋体" w:cs="仿宋_GB2312"/>
          <w:bCs/>
          <w:color w:val="auto"/>
          <w:szCs w:val="24"/>
          <w:highlight w:val="none"/>
          <w:u w:val="single"/>
          <w:lang w:eastAsia="zh-CN"/>
        </w:rPr>
        <w:t>慈溪市新城河07-D-01地块食堂食品原材料采购项目</w:t>
      </w:r>
      <w:r>
        <w:rPr>
          <w:rFonts w:hint="eastAsia" w:ascii="宋体" w:hAnsi="宋体" w:eastAsia="宋体"/>
          <w:color w:val="auto"/>
          <w:szCs w:val="24"/>
          <w:highlight w:val="none"/>
        </w:rPr>
        <w:t xml:space="preserve"> </w:t>
      </w:r>
    </w:p>
    <w:p w14:paraId="4E9A260F">
      <w:pPr>
        <w:pStyle w:val="17"/>
        <w:spacing w:line="400" w:lineRule="exact"/>
        <w:ind w:firstLine="0"/>
        <w:rPr>
          <w:rFonts w:ascii="宋体" w:hAnsi="宋体" w:eastAsia="宋体" w:cs="仿宋_GB2312"/>
          <w:bCs/>
          <w:color w:val="auto"/>
          <w:szCs w:val="24"/>
          <w:highlight w:val="none"/>
          <w:u w:val="single"/>
        </w:rPr>
      </w:pPr>
      <w:r>
        <w:rPr>
          <w:rFonts w:hint="eastAsia" w:ascii="宋体" w:hAnsi="宋体" w:eastAsia="宋体"/>
          <w:color w:val="auto"/>
          <w:szCs w:val="24"/>
          <w:highlight w:val="none"/>
        </w:rPr>
        <w:t>项目编号：</w:t>
      </w:r>
      <w:r>
        <w:rPr>
          <w:rFonts w:ascii="宋体" w:hAnsi="宋体" w:eastAsia="宋体" w:cs="仿宋_GB2312"/>
          <w:bCs/>
          <w:color w:val="auto"/>
          <w:szCs w:val="24"/>
          <w:highlight w:val="none"/>
          <w:u w:val="single"/>
        </w:rPr>
        <w:t xml:space="preserve">  </w:t>
      </w:r>
    </w:p>
    <w:p w14:paraId="129B739F">
      <w:pPr>
        <w:pStyle w:val="17"/>
        <w:spacing w:line="400" w:lineRule="exact"/>
        <w:ind w:firstLine="0"/>
        <w:rPr>
          <w:rFonts w:ascii="宋体" w:hAnsi="宋体" w:eastAsia="宋体"/>
          <w:color w:val="auto"/>
          <w:szCs w:val="24"/>
          <w:highlight w:val="none"/>
          <w:u w:val="single"/>
        </w:rPr>
      </w:pPr>
    </w:p>
    <w:p w14:paraId="17F3E953">
      <w:pPr>
        <w:jc w:val="center"/>
        <w:rPr>
          <w:rFonts w:ascii="宋体" w:hAnsi="宋体" w:cs="宋体"/>
          <w:b/>
          <w:color w:val="auto"/>
          <w:sz w:val="30"/>
          <w:szCs w:val="30"/>
          <w:highlight w:val="none"/>
        </w:rPr>
      </w:pPr>
    </w:p>
    <w:tbl>
      <w:tblPr>
        <w:tblStyle w:val="44"/>
        <w:tblW w:w="0" w:type="auto"/>
        <w:jc w:val="center"/>
        <w:tblLayout w:type="fixed"/>
        <w:tblCellMar>
          <w:top w:w="0" w:type="dxa"/>
          <w:left w:w="108" w:type="dxa"/>
          <w:bottom w:w="0" w:type="dxa"/>
          <w:right w:w="108" w:type="dxa"/>
        </w:tblCellMar>
      </w:tblPr>
      <w:tblGrid>
        <w:gridCol w:w="955"/>
        <w:gridCol w:w="3675"/>
        <w:gridCol w:w="4558"/>
      </w:tblGrid>
      <w:tr w14:paraId="517D7F20">
        <w:tblPrEx>
          <w:tblCellMar>
            <w:top w:w="0" w:type="dxa"/>
            <w:left w:w="108" w:type="dxa"/>
            <w:bottom w:w="0" w:type="dxa"/>
            <w:right w:w="108" w:type="dxa"/>
          </w:tblCellMar>
        </w:tblPrEx>
        <w:trPr>
          <w:trHeight w:val="567"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0A2F815C">
            <w:pPr>
              <w:snapToGrid w:val="0"/>
              <w:spacing w:line="400" w:lineRule="exact"/>
              <w:jc w:val="center"/>
              <w:rPr>
                <w:rFonts w:ascii="宋体" w:hAnsi="宋体"/>
                <w:b/>
                <w:color w:val="auto"/>
                <w:szCs w:val="21"/>
                <w:highlight w:val="none"/>
              </w:rPr>
            </w:pPr>
            <w:r>
              <w:rPr>
                <w:rFonts w:hint="eastAsia" w:ascii="宋体" w:hAnsi="宋体" w:cs="宋体"/>
                <w:color w:val="auto"/>
                <w:szCs w:val="21"/>
                <w:highlight w:val="none"/>
              </w:rPr>
              <w:t xml:space="preserve"> </w:t>
            </w:r>
            <w:r>
              <w:rPr>
                <w:rFonts w:hint="eastAsia" w:ascii="宋体" w:hAnsi="宋体"/>
                <w:b/>
                <w:color w:val="auto"/>
                <w:szCs w:val="21"/>
                <w:highlight w:val="none"/>
              </w:rPr>
              <w:t>序号</w:t>
            </w:r>
          </w:p>
        </w:tc>
        <w:tc>
          <w:tcPr>
            <w:tcW w:w="3675" w:type="dxa"/>
            <w:tcBorders>
              <w:top w:val="single" w:color="auto" w:sz="4" w:space="0"/>
              <w:left w:val="nil"/>
              <w:bottom w:val="single" w:color="auto" w:sz="4" w:space="0"/>
              <w:right w:val="single" w:color="auto" w:sz="4" w:space="0"/>
            </w:tcBorders>
            <w:vAlign w:val="center"/>
          </w:tcPr>
          <w:p w14:paraId="5131DAB7">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原材料类别</w:t>
            </w:r>
          </w:p>
        </w:tc>
        <w:tc>
          <w:tcPr>
            <w:tcW w:w="4558" w:type="dxa"/>
            <w:tcBorders>
              <w:top w:val="single" w:color="auto" w:sz="4" w:space="0"/>
              <w:left w:val="nil"/>
              <w:bottom w:val="single" w:color="auto" w:sz="4" w:space="0"/>
              <w:right w:val="single" w:color="auto" w:sz="4" w:space="0"/>
            </w:tcBorders>
            <w:vAlign w:val="center"/>
          </w:tcPr>
          <w:p w14:paraId="14D00323">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折扣费率</w:t>
            </w:r>
          </w:p>
        </w:tc>
      </w:tr>
      <w:tr w14:paraId="2994FD6E">
        <w:tblPrEx>
          <w:tblCellMar>
            <w:top w:w="0" w:type="dxa"/>
            <w:left w:w="108" w:type="dxa"/>
            <w:bottom w:w="0" w:type="dxa"/>
            <w:right w:w="108" w:type="dxa"/>
          </w:tblCellMar>
        </w:tblPrEx>
        <w:trPr>
          <w:trHeight w:val="567" w:hRule="atLeast"/>
          <w:jc w:val="center"/>
        </w:trPr>
        <w:tc>
          <w:tcPr>
            <w:tcW w:w="955" w:type="dxa"/>
            <w:vMerge w:val="restart"/>
            <w:tcBorders>
              <w:top w:val="single" w:color="auto" w:sz="4" w:space="0"/>
              <w:left w:val="single" w:color="auto" w:sz="4" w:space="0"/>
              <w:right w:val="single" w:color="auto" w:sz="4" w:space="0"/>
            </w:tcBorders>
            <w:vAlign w:val="center"/>
          </w:tcPr>
          <w:p w14:paraId="6DE91614">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3675" w:type="dxa"/>
            <w:tcBorders>
              <w:top w:val="single" w:color="auto" w:sz="4" w:space="0"/>
              <w:left w:val="nil"/>
              <w:bottom w:val="single" w:color="auto" w:sz="4" w:space="0"/>
              <w:right w:val="single" w:color="auto" w:sz="4" w:space="0"/>
            </w:tcBorders>
            <w:vAlign w:val="center"/>
          </w:tcPr>
          <w:p w14:paraId="03F0FDF0">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非粮油类</w:t>
            </w:r>
          </w:p>
        </w:tc>
        <w:tc>
          <w:tcPr>
            <w:tcW w:w="4558" w:type="dxa"/>
            <w:tcBorders>
              <w:top w:val="single" w:color="auto" w:sz="4" w:space="0"/>
              <w:left w:val="nil"/>
              <w:bottom w:val="single" w:color="auto" w:sz="4" w:space="0"/>
              <w:right w:val="single" w:color="auto" w:sz="4" w:space="0"/>
            </w:tcBorders>
            <w:vAlign w:val="center"/>
          </w:tcPr>
          <w:p w14:paraId="0F6C4BEA">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r>
      <w:tr w14:paraId="149FFE98">
        <w:tblPrEx>
          <w:tblCellMar>
            <w:top w:w="0" w:type="dxa"/>
            <w:left w:w="108" w:type="dxa"/>
            <w:bottom w:w="0" w:type="dxa"/>
            <w:right w:w="108" w:type="dxa"/>
          </w:tblCellMar>
        </w:tblPrEx>
        <w:trPr>
          <w:trHeight w:val="567" w:hRule="atLeast"/>
          <w:jc w:val="center"/>
        </w:trPr>
        <w:tc>
          <w:tcPr>
            <w:tcW w:w="955" w:type="dxa"/>
            <w:vMerge w:val="continue"/>
            <w:tcBorders>
              <w:left w:val="single" w:color="auto" w:sz="4" w:space="0"/>
              <w:right w:val="single" w:color="auto" w:sz="4" w:space="0"/>
            </w:tcBorders>
            <w:vAlign w:val="center"/>
          </w:tcPr>
          <w:p w14:paraId="63D3D2F1">
            <w:pPr>
              <w:snapToGrid w:val="0"/>
              <w:spacing w:line="400" w:lineRule="exact"/>
              <w:jc w:val="center"/>
              <w:rPr>
                <w:rFonts w:ascii="宋体" w:hAnsi="宋体"/>
                <w:color w:val="auto"/>
                <w:szCs w:val="21"/>
                <w:highlight w:val="none"/>
              </w:rPr>
            </w:pPr>
          </w:p>
        </w:tc>
        <w:tc>
          <w:tcPr>
            <w:tcW w:w="3675" w:type="dxa"/>
            <w:tcBorders>
              <w:top w:val="single" w:color="auto" w:sz="4" w:space="0"/>
              <w:left w:val="nil"/>
              <w:bottom w:val="single" w:color="auto" w:sz="4" w:space="0"/>
              <w:right w:val="single" w:color="auto" w:sz="4" w:space="0"/>
            </w:tcBorders>
            <w:vAlign w:val="center"/>
          </w:tcPr>
          <w:p w14:paraId="7F89BC48">
            <w:pPr>
              <w:snapToGrid w:val="0"/>
              <w:spacing w:line="400" w:lineRule="exact"/>
              <w:jc w:val="center"/>
              <w:rPr>
                <w:rFonts w:ascii="宋体" w:hAnsi="宋体"/>
                <w:b/>
                <w:bCs/>
                <w:color w:val="auto"/>
                <w:szCs w:val="21"/>
                <w:highlight w:val="none"/>
              </w:rPr>
            </w:pPr>
            <w:r>
              <w:rPr>
                <w:rFonts w:hint="eastAsia" w:ascii="宋体" w:hAnsi="宋体"/>
                <w:color w:val="auto"/>
                <w:szCs w:val="21"/>
                <w:highlight w:val="none"/>
              </w:rPr>
              <w:t>粮油类</w:t>
            </w:r>
          </w:p>
        </w:tc>
        <w:tc>
          <w:tcPr>
            <w:tcW w:w="4558" w:type="dxa"/>
            <w:tcBorders>
              <w:top w:val="single" w:color="auto" w:sz="4" w:space="0"/>
              <w:left w:val="nil"/>
              <w:bottom w:val="single" w:color="auto" w:sz="4" w:space="0"/>
              <w:right w:val="single" w:color="auto" w:sz="4" w:space="0"/>
            </w:tcBorders>
            <w:vAlign w:val="center"/>
          </w:tcPr>
          <w:p w14:paraId="0ACC776C">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r>
      <w:tr w14:paraId="4F2E5BAB">
        <w:tblPrEx>
          <w:tblCellMar>
            <w:top w:w="0" w:type="dxa"/>
            <w:left w:w="108" w:type="dxa"/>
            <w:bottom w:w="0" w:type="dxa"/>
            <w:right w:w="108" w:type="dxa"/>
          </w:tblCellMar>
        </w:tblPrEx>
        <w:trPr>
          <w:trHeight w:val="567" w:hRule="atLeast"/>
          <w:jc w:val="center"/>
        </w:trPr>
        <w:tc>
          <w:tcPr>
            <w:tcW w:w="4630" w:type="dxa"/>
            <w:gridSpan w:val="2"/>
            <w:tcBorders>
              <w:top w:val="single" w:color="auto" w:sz="4" w:space="0"/>
              <w:left w:val="single" w:color="auto" w:sz="4" w:space="0"/>
              <w:bottom w:val="single" w:color="auto" w:sz="4" w:space="0"/>
              <w:right w:val="single" w:color="auto" w:sz="4" w:space="0"/>
            </w:tcBorders>
            <w:vAlign w:val="center"/>
          </w:tcPr>
          <w:p w14:paraId="35A7FB46">
            <w:pPr>
              <w:snapToGrid w:val="0"/>
              <w:spacing w:line="400" w:lineRule="exact"/>
              <w:jc w:val="center"/>
              <w:rPr>
                <w:rFonts w:ascii="宋体" w:hAnsi="宋体"/>
                <w:b/>
                <w:bCs/>
                <w:color w:val="auto"/>
                <w:szCs w:val="21"/>
                <w:highlight w:val="none"/>
              </w:rPr>
            </w:pPr>
            <w:r>
              <w:rPr>
                <w:rFonts w:hint="eastAsia" w:ascii="宋体" w:hAnsi="宋体"/>
                <w:b/>
                <w:bCs/>
                <w:color w:val="auto"/>
                <w:szCs w:val="21"/>
                <w:highlight w:val="none"/>
              </w:rPr>
              <w:t>综合折扣费率</w:t>
            </w:r>
          </w:p>
        </w:tc>
        <w:tc>
          <w:tcPr>
            <w:tcW w:w="4558" w:type="dxa"/>
            <w:tcBorders>
              <w:top w:val="single" w:color="auto" w:sz="4" w:space="0"/>
              <w:left w:val="single" w:color="auto" w:sz="4" w:space="0"/>
              <w:bottom w:val="single" w:color="auto" w:sz="4" w:space="0"/>
              <w:right w:val="single" w:color="auto" w:sz="4" w:space="0"/>
            </w:tcBorders>
            <w:vAlign w:val="center"/>
          </w:tcPr>
          <w:p w14:paraId="3E47142C">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r>
      <w:tr w14:paraId="58022182">
        <w:tblPrEx>
          <w:tblCellMar>
            <w:top w:w="0" w:type="dxa"/>
            <w:left w:w="108" w:type="dxa"/>
            <w:bottom w:w="0" w:type="dxa"/>
            <w:right w:w="108" w:type="dxa"/>
          </w:tblCellMar>
        </w:tblPrEx>
        <w:trPr>
          <w:trHeight w:val="567" w:hRule="atLeast"/>
          <w:jc w:val="center"/>
        </w:trPr>
        <w:tc>
          <w:tcPr>
            <w:tcW w:w="9188" w:type="dxa"/>
            <w:gridSpan w:val="3"/>
            <w:tcBorders>
              <w:top w:val="single" w:color="auto" w:sz="4" w:space="0"/>
              <w:left w:val="single" w:color="auto" w:sz="4" w:space="0"/>
              <w:bottom w:val="single" w:color="auto" w:sz="4" w:space="0"/>
              <w:right w:val="single" w:color="auto" w:sz="4" w:space="0"/>
            </w:tcBorders>
            <w:vAlign w:val="center"/>
          </w:tcPr>
          <w:p w14:paraId="7964A081">
            <w:pPr>
              <w:snapToGrid w:val="0"/>
              <w:spacing w:line="400" w:lineRule="exact"/>
              <w:ind w:firstLine="1581" w:firstLineChars="750"/>
              <w:rPr>
                <w:rFonts w:ascii="宋体" w:hAnsi="宋体"/>
                <w:color w:val="auto"/>
                <w:szCs w:val="21"/>
                <w:highlight w:val="none"/>
              </w:rPr>
            </w:pPr>
            <w:r>
              <w:rPr>
                <w:rFonts w:hint="eastAsia" w:ascii="宋体" w:hAnsi="宋体"/>
                <w:b/>
                <w:bCs/>
                <w:color w:val="auto"/>
                <w:szCs w:val="21"/>
                <w:highlight w:val="none"/>
              </w:rPr>
              <w:t>投标报价：</w:t>
            </w:r>
            <w:r>
              <w:rPr>
                <w:rFonts w:hint="eastAsia" w:ascii="宋体" w:hAnsi="宋体"/>
                <w:b/>
                <w:bCs/>
                <w:color w:val="auto"/>
                <w:kern w:val="0"/>
                <w:szCs w:val="21"/>
                <w:highlight w:val="none"/>
              </w:rPr>
              <w:t>综合折扣费率</w:t>
            </w:r>
            <w:r>
              <w:rPr>
                <w:rFonts w:hint="eastAsia" w:ascii="宋体" w:hAnsi="宋体"/>
                <w:b/>
                <w:bCs/>
                <w:color w:val="auto"/>
                <w:szCs w:val="21"/>
                <w:highlight w:val="none"/>
              </w:rPr>
              <w:t>*预算价（</w:t>
            </w:r>
            <w:r>
              <w:rPr>
                <w:rFonts w:hint="eastAsia" w:ascii="宋体" w:hAnsi="宋体"/>
                <w:b/>
                <w:bCs/>
                <w:color w:val="auto"/>
                <w:szCs w:val="21"/>
                <w:highlight w:val="none"/>
                <w:lang w:eastAsia="zh-CN"/>
              </w:rPr>
              <w:t>800000</w:t>
            </w:r>
            <w:r>
              <w:rPr>
                <w:rFonts w:hint="eastAsia" w:ascii="宋体" w:hAnsi="宋体"/>
                <w:b/>
                <w:bCs/>
                <w:color w:val="auto"/>
                <w:szCs w:val="21"/>
                <w:highlight w:val="none"/>
              </w:rPr>
              <w:t>元）=</w:t>
            </w:r>
            <w:r>
              <w:rPr>
                <w:rFonts w:ascii="宋体" w:hAnsi="宋体"/>
                <w:b/>
                <w:bCs/>
                <w:color w:val="auto"/>
                <w:szCs w:val="21"/>
                <w:highlight w:val="none"/>
              </w:rPr>
              <w:t xml:space="preserve">             </w:t>
            </w:r>
            <w:r>
              <w:rPr>
                <w:rFonts w:hint="eastAsia" w:ascii="宋体" w:hAnsi="宋体"/>
                <w:b/>
                <w:bCs/>
                <w:color w:val="auto"/>
                <w:szCs w:val="21"/>
                <w:highlight w:val="none"/>
              </w:rPr>
              <w:t>元</w:t>
            </w:r>
          </w:p>
        </w:tc>
      </w:tr>
      <w:tr w14:paraId="66E86DD0">
        <w:tblPrEx>
          <w:tblCellMar>
            <w:top w:w="0" w:type="dxa"/>
            <w:left w:w="108" w:type="dxa"/>
            <w:bottom w:w="0" w:type="dxa"/>
            <w:right w:w="108" w:type="dxa"/>
          </w:tblCellMar>
        </w:tblPrEx>
        <w:trPr>
          <w:trHeight w:val="567" w:hRule="atLeast"/>
          <w:jc w:val="center"/>
        </w:trPr>
        <w:tc>
          <w:tcPr>
            <w:tcW w:w="9188" w:type="dxa"/>
            <w:gridSpan w:val="3"/>
            <w:tcBorders>
              <w:top w:val="single" w:color="auto" w:sz="4" w:space="0"/>
              <w:left w:val="single" w:color="auto" w:sz="4" w:space="0"/>
              <w:bottom w:val="single" w:color="auto" w:sz="4" w:space="0"/>
              <w:right w:val="single" w:color="auto" w:sz="4" w:space="0"/>
            </w:tcBorders>
            <w:vAlign w:val="center"/>
          </w:tcPr>
          <w:p w14:paraId="524B6FAD">
            <w:pPr>
              <w:snapToGrid w:val="0"/>
              <w:spacing w:line="400" w:lineRule="exact"/>
              <w:jc w:val="center"/>
              <w:rPr>
                <w:rFonts w:ascii="宋体" w:hAnsi="宋体"/>
                <w:b/>
                <w:bCs/>
                <w:color w:val="auto"/>
                <w:szCs w:val="21"/>
                <w:highlight w:val="none"/>
              </w:rPr>
            </w:pPr>
          </w:p>
        </w:tc>
      </w:tr>
    </w:tbl>
    <w:p w14:paraId="001C7922">
      <w:pPr>
        <w:spacing w:line="400" w:lineRule="exact"/>
        <w:jc w:val="left"/>
        <w:rPr>
          <w:rFonts w:ascii="宋体" w:hAnsi="宋体"/>
          <w:color w:val="auto"/>
          <w:szCs w:val="21"/>
          <w:highlight w:val="none"/>
        </w:rPr>
      </w:pPr>
      <w:r>
        <w:rPr>
          <w:rFonts w:hint="eastAsia" w:ascii="宋体" w:hAnsi="宋体"/>
          <w:color w:val="auto"/>
          <w:szCs w:val="21"/>
          <w:highlight w:val="none"/>
        </w:rPr>
        <w:t>注：1、投标人应</w:t>
      </w:r>
      <w:r>
        <w:rPr>
          <w:rFonts w:hint="eastAsia" w:ascii="宋体" w:hAnsi="宋体"/>
          <w:bCs/>
          <w:color w:val="auto"/>
          <w:szCs w:val="21"/>
          <w:highlight w:val="none"/>
        </w:rPr>
        <w:t>在宁波市菜篮子网市场菜品均价的基准上</w:t>
      </w:r>
      <w:r>
        <w:rPr>
          <w:rFonts w:hint="eastAsia" w:ascii="宋体" w:hAnsi="宋体"/>
          <w:color w:val="auto"/>
          <w:szCs w:val="21"/>
          <w:highlight w:val="none"/>
        </w:rPr>
        <w:t>，</w:t>
      </w:r>
      <w:r>
        <w:rPr>
          <w:rFonts w:hint="eastAsia" w:ascii="宋体" w:hAnsi="宋体"/>
          <w:color w:val="auto"/>
          <w:kern w:val="0"/>
          <w:szCs w:val="21"/>
          <w:highlight w:val="none"/>
        </w:rPr>
        <w:t>结合市场行情和自身情况，自行报出各类原材料的投标报价（即折扣费率</w:t>
      </w:r>
      <w:r>
        <w:rPr>
          <w:rFonts w:hint="eastAsia" w:ascii="宋体" w:hAnsi="宋体"/>
          <w:color w:val="auto"/>
          <w:szCs w:val="21"/>
          <w:highlight w:val="none"/>
        </w:rPr>
        <w:t>）。</w:t>
      </w:r>
    </w:p>
    <w:p w14:paraId="0DF28E05">
      <w:pPr>
        <w:spacing w:line="400" w:lineRule="exact"/>
        <w:ind w:firstLine="422" w:firstLineChars="200"/>
        <w:jc w:val="left"/>
        <w:rPr>
          <w:rFonts w:ascii="宋体" w:hAnsi="宋体"/>
          <w:b/>
          <w:bCs/>
          <w:color w:val="auto"/>
          <w:kern w:val="0"/>
          <w:szCs w:val="21"/>
          <w:highlight w:val="none"/>
        </w:rPr>
      </w:pPr>
      <w:r>
        <w:rPr>
          <w:rFonts w:hint="eastAsia" w:ascii="宋体" w:hAnsi="宋体"/>
          <w:b/>
          <w:bCs/>
          <w:color w:val="auto"/>
          <w:szCs w:val="21"/>
          <w:highlight w:val="none"/>
        </w:rPr>
        <w:t>2、投标人需按照非粮油和</w:t>
      </w:r>
      <w:r>
        <w:rPr>
          <w:rFonts w:ascii="宋体" w:hAnsi="宋体"/>
          <w:b/>
          <w:bCs/>
          <w:color w:val="auto"/>
          <w:szCs w:val="21"/>
          <w:highlight w:val="none"/>
        </w:rPr>
        <w:t>粮油类</w:t>
      </w:r>
      <w:r>
        <w:rPr>
          <w:rFonts w:hint="eastAsia" w:ascii="宋体" w:hAnsi="宋体"/>
          <w:b/>
          <w:bCs/>
          <w:color w:val="auto"/>
          <w:szCs w:val="21"/>
          <w:highlight w:val="none"/>
        </w:rPr>
        <w:t>分别报出各类的</w:t>
      </w:r>
      <w:r>
        <w:rPr>
          <w:rFonts w:hint="eastAsia" w:ascii="宋体" w:hAnsi="宋体"/>
          <w:b/>
          <w:bCs/>
          <w:color w:val="auto"/>
          <w:kern w:val="0"/>
          <w:szCs w:val="21"/>
          <w:highlight w:val="none"/>
        </w:rPr>
        <w:t>折扣费率。综合折扣费率</w:t>
      </w:r>
      <w:r>
        <w:rPr>
          <w:rFonts w:hint="eastAsia" w:ascii="宋体" w:hAnsi="宋体"/>
          <w:b/>
          <w:bCs/>
          <w:color w:val="auto"/>
          <w:szCs w:val="21"/>
          <w:highlight w:val="none"/>
        </w:rPr>
        <w:t>=</w:t>
      </w:r>
      <w:r>
        <w:rPr>
          <w:rFonts w:hint="eastAsia" w:ascii="宋体" w:hAnsi="宋体"/>
          <w:b/>
          <w:bCs/>
          <w:color w:val="auto"/>
          <w:kern w:val="0"/>
          <w:szCs w:val="21"/>
          <w:highlight w:val="none"/>
        </w:rPr>
        <w:t>非粮油类的折扣费率×0.</w:t>
      </w:r>
      <w:r>
        <w:rPr>
          <w:rFonts w:ascii="宋体" w:hAnsi="宋体"/>
          <w:b/>
          <w:bCs/>
          <w:color w:val="auto"/>
          <w:kern w:val="0"/>
          <w:szCs w:val="21"/>
          <w:highlight w:val="none"/>
        </w:rPr>
        <w:t>8</w:t>
      </w:r>
      <w:r>
        <w:rPr>
          <w:rFonts w:hint="eastAsia" w:ascii="宋体" w:hAnsi="宋体"/>
          <w:b/>
          <w:bCs/>
          <w:color w:val="auto"/>
          <w:kern w:val="0"/>
          <w:szCs w:val="21"/>
          <w:highlight w:val="none"/>
        </w:rPr>
        <w:t>+粮油类的折扣费率×0</w:t>
      </w:r>
      <w:r>
        <w:rPr>
          <w:rFonts w:ascii="宋体" w:hAnsi="宋体"/>
          <w:b/>
          <w:bCs/>
          <w:color w:val="auto"/>
          <w:kern w:val="0"/>
          <w:szCs w:val="21"/>
          <w:highlight w:val="none"/>
        </w:rPr>
        <w:t>.2</w:t>
      </w:r>
      <w:r>
        <w:rPr>
          <w:rFonts w:hint="eastAsia" w:ascii="宋体" w:hAnsi="宋体"/>
          <w:b/>
          <w:bCs/>
          <w:color w:val="auto"/>
          <w:kern w:val="0"/>
          <w:szCs w:val="21"/>
          <w:highlight w:val="none"/>
        </w:rPr>
        <w:t>。若投标人的综合折扣费率计算有误，评标时可进行修正。</w:t>
      </w:r>
    </w:p>
    <w:p w14:paraId="705F6E59">
      <w:pPr>
        <w:spacing w:line="400" w:lineRule="exact"/>
        <w:ind w:firstLine="422" w:firstLineChars="200"/>
        <w:jc w:val="left"/>
        <w:rPr>
          <w:rFonts w:ascii="宋体" w:hAnsi="宋体"/>
          <w:b/>
          <w:bCs/>
          <w:color w:val="auto"/>
          <w:szCs w:val="21"/>
          <w:highlight w:val="none"/>
        </w:rPr>
      </w:pPr>
      <w:r>
        <w:rPr>
          <w:rFonts w:ascii="宋体" w:hAnsi="宋体"/>
          <w:b/>
          <w:bCs/>
          <w:color w:val="auto"/>
          <w:szCs w:val="21"/>
          <w:highlight w:val="none"/>
        </w:rPr>
        <w:t>3</w:t>
      </w:r>
      <w:r>
        <w:rPr>
          <w:rFonts w:hint="eastAsia" w:ascii="宋体" w:hAnsi="宋体"/>
          <w:b/>
          <w:bCs/>
          <w:color w:val="auto"/>
          <w:szCs w:val="21"/>
          <w:highlight w:val="none"/>
        </w:rPr>
        <w:t>、本次招标最高</w:t>
      </w:r>
      <w:r>
        <w:rPr>
          <w:rFonts w:hint="eastAsia" w:ascii="宋体" w:hAnsi="宋体"/>
          <w:b/>
          <w:bCs/>
          <w:color w:val="auto"/>
          <w:kern w:val="0"/>
          <w:szCs w:val="21"/>
          <w:highlight w:val="none"/>
        </w:rPr>
        <w:t>综合折扣费</w:t>
      </w:r>
      <w:r>
        <w:rPr>
          <w:rFonts w:hint="eastAsia" w:ascii="宋体" w:hAnsi="宋体"/>
          <w:b/>
          <w:bCs/>
          <w:color w:val="auto"/>
          <w:szCs w:val="21"/>
          <w:highlight w:val="none"/>
        </w:rPr>
        <w:t>率为90%，投标报价超出最高折</w:t>
      </w:r>
      <w:r>
        <w:rPr>
          <w:rFonts w:hint="eastAsia" w:ascii="宋体" w:hAnsi="宋体"/>
          <w:b/>
          <w:bCs/>
          <w:color w:val="auto"/>
          <w:kern w:val="0"/>
          <w:szCs w:val="21"/>
          <w:highlight w:val="none"/>
        </w:rPr>
        <w:t>综合折扣</w:t>
      </w:r>
      <w:r>
        <w:rPr>
          <w:rFonts w:hint="eastAsia" w:ascii="宋体" w:hAnsi="宋体"/>
          <w:b/>
          <w:bCs/>
          <w:color w:val="auto"/>
          <w:szCs w:val="21"/>
          <w:highlight w:val="none"/>
        </w:rPr>
        <w:t>费率的，投标无效。</w:t>
      </w:r>
    </w:p>
    <w:p w14:paraId="242CB6A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、本次报价包括项目所需的货物、人工费、服务费、运输费、验收费、损耗费、保险费、购买及制作标书费、税费、招标代理服务费及其他一切费用。</w:t>
      </w:r>
    </w:p>
    <w:p w14:paraId="76F2D45B">
      <w:pPr>
        <w:spacing w:line="500" w:lineRule="exact"/>
        <w:ind w:firstLine="422" w:firstLineChars="200"/>
        <w:jc w:val="left"/>
        <w:rPr>
          <w:rFonts w:ascii="宋体" w:hAnsi="宋体" w:cs="宋体"/>
          <w:color w:val="auto"/>
          <w:szCs w:val="21"/>
          <w:highlight w:val="none"/>
        </w:rPr>
      </w:pPr>
      <w:r>
        <w:rPr>
          <w:rFonts w:hint="eastAsia" w:ascii="宋体" w:hAnsi="宋体"/>
          <w:b/>
          <w:bCs/>
          <w:color w:val="auto"/>
          <w:kern w:val="0"/>
          <w:szCs w:val="21"/>
          <w:highlight w:val="none"/>
        </w:rPr>
        <w:t>5、结算时，根据甲方要求的实际配送数量*单价*中标折扣率。单价为“在宁波市菜篮子网市场菜品均价的基准上，结合市场行情和自身情况，零售价均价（月均价）。</w:t>
      </w:r>
    </w:p>
    <w:p w14:paraId="4CF4F8DD">
      <w:pPr>
        <w:spacing w:line="400" w:lineRule="atLeast"/>
        <w:jc w:val="left"/>
        <w:rPr>
          <w:rFonts w:ascii="宋体" w:hAnsi="宋体"/>
          <w:color w:val="auto"/>
          <w:sz w:val="24"/>
          <w:szCs w:val="24"/>
          <w:highlight w:val="none"/>
        </w:rPr>
      </w:pPr>
    </w:p>
    <w:p w14:paraId="34017901">
      <w:pPr>
        <w:pStyle w:val="21"/>
        <w:snapToGrid w:val="0"/>
        <w:spacing w:line="360" w:lineRule="auto"/>
        <w:jc w:val="center"/>
        <w:rPr>
          <w:color w:val="auto"/>
          <w:szCs w:val="21"/>
          <w:highlight w:val="none"/>
        </w:rPr>
      </w:pPr>
      <w:r>
        <w:rPr>
          <w:rFonts w:hint="eastAsia"/>
          <w:color w:val="auto"/>
          <w:szCs w:val="21"/>
          <w:highlight w:val="none"/>
        </w:rPr>
        <w:t xml:space="preserve"> </w:t>
      </w:r>
    </w:p>
    <w:p w14:paraId="6A5F863E">
      <w:pPr>
        <w:pStyle w:val="21"/>
        <w:snapToGrid w:val="0"/>
        <w:spacing w:line="360" w:lineRule="auto"/>
        <w:jc w:val="center"/>
        <w:rPr>
          <w:color w:val="auto"/>
          <w:szCs w:val="21"/>
          <w:highlight w:val="none"/>
        </w:rPr>
      </w:pPr>
    </w:p>
    <w:p w14:paraId="4A88CB36">
      <w:pPr>
        <w:pStyle w:val="21"/>
        <w:snapToGrid w:val="0"/>
        <w:spacing w:line="360" w:lineRule="auto"/>
        <w:jc w:val="center"/>
        <w:rPr>
          <w:color w:val="auto"/>
          <w:szCs w:val="21"/>
          <w:highlight w:val="none"/>
        </w:rPr>
      </w:pPr>
    </w:p>
    <w:p w14:paraId="7C24BB16">
      <w:pPr>
        <w:pStyle w:val="21"/>
        <w:snapToGrid w:val="0"/>
        <w:spacing w:line="360" w:lineRule="auto"/>
        <w:jc w:val="center"/>
        <w:rPr>
          <w:color w:val="auto"/>
          <w:szCs w:val="21"/>
          <w:highlight w:val="none"/>
        </w:rPr>
      </w:pPr>
    </w:p>
    <w:p w14:paraId="6CB76558">
      <w:pPr>
        <w:spacing w:line="400" w:lineRule="exact"/>
        <w:jc w:val="left"/>
        <w:rPr>
          <w:rStyle w:val="74"/>
          <w:rFonts w:ascii="宋体" w:hAnsi="宋体" w:cs="宋体"/>
          <w:color w:val="auto"/>
          <w:szCs w:val="24"/>
          <w:highlight w:val="none"/>
        </w:rPr>
      </w:pPr>
      <w:r>
        <w:rPr>
          <w:rStyle w:val="74"/>
          <w:rFonts w:hint="eastAsia" w:ascii="宋体" w:hAnsi="宋体" w:cs="宋体"/>
          <w:color w:val="auto"/>
          <w:szCs w:val="24"/>
          <w:highlight w:val="none"/>
        </w:rPr>
        <w:t>附件</w:t>
      </w:r>
    </w:p>
    <w:p w14:paraId="7535685A">
      <w:pPr>
        <w:jc w:val="center"/>
        <w:rPr>
          <w:rStyle w:val="74"/>
          <w:rFonts w:ascii="宋体" w:hAnsi="宋体" w:cs="宋体"/>
          <w:color w:val="auto"/>
          <w:sz w:val="32"/>
          <w:szCs w:val="32"/>
          <w:highlight w:val="none"/>
        </w:rPr>
      </w:pPr>
    </w:p>
    <w:p w14:paraId="627B5F17">
      <w:pPr>
        <w:jc w:val="center"/>
        <w:rPr>
          <w:rFonts w:ascii="宋体" w:hAnsi="宋体" w:cs="宋体"/>
          <w:b/>
          <w:color w:val="auto"/>
          <w:sz w:val="30"/>
          <w:szCs w:val="30"/>
          <w:highlight w:val="none"/>
        </w:rPr>
      </w:pPr>
      <w:r>
        <w:rPr>
          <w:rFonts w:hint="eastAsia" w:ascii="宋体" w:hAnsi="宋体" w:cs="宋体"/>
          <w:b/>
          <w:color w:val="auto"/>
          <w:sz w:val="30"/>
          <w:szCs w:val="30"/>
          <w:highlight w:val="none"/>
        </w:rPr>
        <w:t>中小企业声明函</w:t>
      </w:r>
    </w:p>
    <w:p w14:paraId="3669FD2D">
      <w:pPr>
        <w:pStyle w:val="39"/>
        <w:spacing w:before="0" w:beforeAutospacing="0" w:after="0" w:afterAutospacing="0"/>
        <w:ind w:firstLine="420"/>
        <w:jc w:val="both"/>
        <w:rPr>
          <w:color w:val="auto"/>
          <w:kern w:val="2"/>
          <w:sz w:val="21"/>
          <w:szCs w:val="21"/>
          <w:highlight w:val="none"/>
        </w:rPr>
      </w:pPr>
    </w:p>
    <w:p w14:paraId="38119328">
      <w:pPr>
        <w:pStyle w:val="16"/>
        <w:spacing w:line="400" w:lineRule="exact"/>
        <w:ind w:firstLine="420" w:firstLineChars="200"/>
        <w:jc w:val="left"/>
        <w:rPr>
          <w:rFonts w:cs="宋体"/>
          <w:i w:val="0"/>
          <w:color w:val="auto"/>
          <w:sz w:val="21"/>
          <w:szCs w:val="21"/>
          <w:highlight w:val="none"/>
        </w:rPr>
      </w:pPr>
      <w:r>
        <w:rPr>
          <w:rFonts w:hint="eastAsia" w:cs="宋体"/>
          <w:i w:val="0"/>
          <w:color w:val="auto"/>
          <w:sz w:val="21"/>
          <w:szCs w:val="21"/>
          <w:highlight w:val="none"/>
        </w:rPr>
        <w:t>本公司（联合体）郑重声明，根据《政府采购促进中小企业发展管理办法》（财库﹝2020﹞46 号）的规定，本公司（联合体）参加</w:t>
      </w:r>
      <w:r>
        <w:rPr>
          <w:rFonts w:hint="eastAsia" w:cs="宋体"/>
          <w:i w:val="0"/>
          <w:color w:val="auto"/>
          <w:sz w:val="21"/>
          <w:szCs w:val="21"/>
          <w:highlight w:val="none"/>
          <w:u w:val="single"/>
        </w:rPr>
        <w:t>（单位名称）</w:t>
      </w:r>
      <w:r>
        <w:rPr>
          <w:rFonts w:hint="eastAsia" w:cs="宋体"/>
          <w:i w:val="0"/>
          <w:color w:val="auto"/>
          <w:sz w:val="21"/>
          <w:szCs w:val="21"/>
          <w:highlight w:val="none"/>
        </w:rPr>
        <w:t>的</w:t>
      </w:r>
      <w:r>
        <w:rPr>
          <w:rFonts w:hint="eastAsia" w:cs="宋体"/>
          <w:i w:val="0"/>
          <w:color w:val="auto"/>
          <w:sz w:val="21"/>
          <w:szCs w:val="21"/>
          <w:highlight w:val="none"/>
          <w:u w:val="single"/>
        </w:rPr>
        <w:t>（项目名称）</w:t>
      </w:r>
      <w:r>
        <w:rPr>
          <w:rFonts w:hint="eastAsia" w:cs="宋体"/>
          <w:i w:val="0"/>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3C61365">
      <w:pPr>
        <w:pStyle w:val="16"/>
        <w:spacing w:line="400" w:lineRule="exact"/>
        <w:ind w:firstLine="420" w:firstLineChars="200"/>
        <w:rPr>
          <w:rFonts w:cs="宋体"/>
          <w:i w:val="0"/>
          <w:color w:val="auto"/>
          <w:sz w:val="21"/>
          <w:szCs w:val="21"/>
          <w:highlight w:val="none"/>
        </w:rPr>
      </w:pPr>
      <w:r>
        <w:rPr>
          <w:rFonts w:hint="eastAsia" w:cs="宋体"/>
          <w:i w:val="0"/>
          <w:color w:val="auto"/>
          <w:sz w:val="21"/>
          <w:szCs w:val="21"/>
          <w:highlight w:val="none"/>
        </w:rPr>
        <w:t>1.</w:t>
      </w:r>
      <w:r>
        <w:rPr>
          <w:rFonts w:hint="eastAsia" w:cs="宋体"/>
          <w:i w:val="0"/>
          <w:color w:val="auto"/>
          <w:sz w:val="21"/>
          <w:szCs w:val="21"/>
          <w:highlight w:val="none"/>
          <w:u w:val="single"/>
        </w:rPr>
        <w:t>（标的名称）</w:t>
      </w:r>
      <w:r>
        <w:rPr>
          <w:rFonts w:hint="eastAsia" w:cs="宋体"/>
          <w:i w:val="0"/>
          <w:color w:val="auto"/>
          <w:sz w:val="21"/>
          <w:szCs w:val="21"/>
          <w:highlight w:val="none"/>
        </w:rPr>
        <w:t>，属于</w:t>
      </w:r>
      <w:r>
        <w:rPr>
          <w:rFonts w:hint="eastAsia" w:cs="宋体"/>
          <w:i w:val="0"/>
          <w:color w:val="auto"/>
          <w:sz w:val="21"/>
          <w:szCs w:val="21"/>
          <w:highlight w:val="none"/>
          <w:u w:val="single"/>
        </w:rPr>
        <w:t>（采购文件中明确的所属行业）</w:t>
      </w:r>
      <w:r>
        <w:rPr>
          <w:rFonts w:hint="eastAsia" w:cs="宋体"/>
          <w:i w:val="0"/>
          <w:color w:val="auto"/>
          <w:sz w:val="21"/>
          <w:szCs w:val="21"/>
          <w:highlight w:val="none"/>
        </w:rPr>
        <w:t>；承建（承接）企业为</w:t>
      </w:r>
      <w:r>
        <w:rPr>
          <w:rFonts w:hint="eastAsia" w:cs="宋体"/>
          <w:i w:val="0"/>
          <w:color w:val="auto"/>
          <w:sz w:val="21"/>
          <w:szCs w:val="21"/>
          <w:highlight w:val="none"/>
          <w:u w:val="single"/>
        </w:rPr>
        <w:t>（企业名称）</w:t>
      </w:r>
      <w:r>
        <w:rPr>
          <w:rFonts w:hint="eastAsia" w:cs="宋体"/>
          <w:i w:val="0"/>
          <w:color w:val="auto"/>
          <w:sz w:val="21"/>
          <w:szCs w:val="21"/>
          <w:highlight w:val="none"/>
        </w:rPr>
        <w:t>，从业人员</w:t>
      </w:r>
      <w:r>
        <w:rPr>
          <w:rFonts w:hint="eastAsia" w:cs="宋体"/>
          <w:i w:val="0"/>
          <w:color w:val="auto"/>
          <w:sz w:val="21"/>
          <w:szCs w:val="21"/>
          <w:highlight w:val="none"/>
          <w:u w:val="single"/>
        </w:rPr>
        <w:t xml:space="preserve">   </w:t>
      </w:r>
      <w:r>
        <w:rPr>
          <w:rFonts w:hint="eastAsia" w:cs="宋体"/>
          <w:i w:val="0"/>
          <w:color w:val="auto"/>
          <w:sz w:val="21"/>
          <w:szCs w:val="21"/>
          <w:highlight w:val="none"/>
        </w:rPr>
        <w:t>人，营业收入为</w:t>
      </w:r>
      <w:r>
        <w:rPr>
          <w:rFonts w:hint="eastAsia" w:cs="宋体"/>
          <w:i w:val="0"/>
          <w:color w:val="auto"/>
          <w:sz w:val="21"/>
          <w:szCs w:val="21"/>
          <w:highlight w:val="none"/>
          <w:u w:val="single"/>
        </w:rPr>
        <w:t xml:space="preserve">   </w:t>
      </w:r>
      <w:r>
        <w:rPr>
          <w:rFonts w:hint="eastAsia" w:cs="宋体"/>
          <w:i w:val="0"/>
          <w:color w:val="auto"/>
          <w:sz w:val="21"/>
          <w:szCs w:val="21"/>
          <w:highlight w:val="none"/>
        </w:rPr>
        <w:t>万元，资产总额为</w:t>
      </w:r>
      <w:r>
        <w:rPr>
          <w:rFonts w:hint="eastAsia" w:cs="宋体"/>
          <w:i w:val="0"/>
          <w:color w:val="auto"/>
          <w:sz w:val="21"/>
          <w:szCs w:val="21"/>
          <w:highlight w:val="none"/>
          <w:u w:val="single"/>
        </w:rPr>
        <w:t xml:space="preserve">   </w:t>
      </w:r>
      <w:r>
        <w:rPr>
          <w:rFonts w:hint="eastAsia" w:cs="宋体"/>
          <w:i w:val="0"/>
          <w:color w:val="auto"/>
          <w:sz w:val="21"/>
          <w:szCs w:val="21"/>
          <w:highlight w:val="none"/>
        </w:rPr>
        <w:t>万元</w:t>
      </w:r>
      <w:r>
        <w:rPr>
          <w:rFonts w:hint="eastAsia" w:cs="宋体"/>
          <w:i w:val="0"/>
          <w:color w:val="auto"/>
          <w:sz w:val="21"/>
          <w:szCs w:val="21"/>
          <w:highlight w:val="none"/>
          <w:vertAlign w:val="superscript"/>
        </w:rPr>
        <w:t>1</w:t>
      </w:r>
      <w:r>
        <w:rPr>
          <w:rFonts w:hint="eastAsia" w:cs="宋体"/>
          <w:i w:val="0"/>
          <w:color w:val="auto"/>
          <w:sz w:val="21"/>
          <w:szCs w:val="21"/>
          <w:highlight w:val="none"/>
        </w:rPr>
        <w:t>，属于</w:t>
      </w:r>
      <w:r>
        <w:rPr>
          <w:rFonts w:hint="eastAsia" w:cs="宋体"/>
          <w:i w:val="0"/>
          <w:color w:val="auto"/>
          <w:sz w:val="21"/>
          <w:szCs w:val="21"/>
          <w:highlight w:val="none"/>
          <w:u w:val="single"/>
        </w:rPr>
        <w:t>（中型企业、小型企业、微型企业）</w:t>
      </w:r>
      <w:r>
        <w:rPr>
          <w:rFonts w:hint="eastAsia" w:cs="宋体"/>
          <w:i w:val="0"/>
          <w:color w:val="auto"/>
          <w:sz w:val="21"/>
          <w:szCs w:val="21"/>
          <w:highlight w:val="none"/>
        </w:rPr>
        <w:t>；</w:t>
      </w:r>
    </w:p>
    <w:p w14:paraId="587FFD4B">
      <w:pPr>
        <w:pStyle w:val="16"/>
        <w:spacing w:line="400" w:lineRule="exact"/>
        <w:ind w:firstLine="420" w:firstLineChars="200"/>
        <w:rPr>
          <w:rFonts w:cs="宋体"/>
          <w:i w:val="0"/>
          <w:color w:val="auto"/>
          <w:sz w:val="21"/>
          <w:szCs w:val="21"/>
          <w:highlight w:val="none"/>
        </w:rPr>
      </w:pPr>
      <w:r>
        <w:rPr>
          <w:rFonts w:hint="eastAsia" w:cs="宋体"/>
          <w:i w:val="0"/>
          <w:color w:val="auto"/>
          <w:sz w:val="21"/>
          <w:szCs w:val="21"/>
          <w:highlight w:val="none"/>
        </w:rPr>
        <w:t>2.</w:t>
      </w:r>
      <w:r>
        <w:rPr>
          <w:rFonts w:hint="eastAsia" w:cs="宋体"/>
          <w:i w:val="0"/>
          <w:color w:val="auto"/>
          <w:sz w:val="21"/>
          <w:szCs w:val="21"/>
          <w:highlight w:val="none"/>
          <w:u w:val="single"/>
        </w:rPr>
        <w:t>（标的名称）</w:t>
      </w:r>
      <w:r>
        <w:rPr>
          <w:rFonts w:hint="eastAsia" w:cs="宋体"/>
          <w:i w:val="0"/>
          <w:color w:val="auto"/>
          <w:sz w:val="21"/>
          <w:szCs w:val="21"/>
          <w:highlight w:val="none"/>
        </w:rPr>
        <w:t>，属于</w:t>
      </w:r>
      <w:r>
        <w:rPr>
          <w:rFonts w:hint="eastAsia" w:cs="宋体"/>
          <w:i w:val="0"/>
          <w:color w:val="auto"/>
          <w:sz w:val="21"/>
          <w:szCs w:val="21"/>
          <w:highlight w:val="none"/>
          <w:u w:val="single"/>
        </w:rPr>
        <w:t>（采购文件中明确的所属行业）</w:t>
      </w:r>
      <w:r>
        <w:rPr>
          <w:rFonts w:hint="eastAsia" w:cs="宋体"/>
          <w:i w:val="0"/>
          <w:color w:val="auto"/>
          <w:sz w:val="21"/>
          <w:szCs w:val="21"/>
          <w:highlight w:val="none"/>
        </w:rPr>
        <w:t>；承建（承接）企业为</w:t>
      </w:r>
      <w:r>
        <w:rPr>
          <w:rFonts w:hint="eastAsia" w:cs="宋体"/>
          <w:i w:val="0"/>
          <w:color w:val="auto"/>
          <w:sz w:val="21"/>
          <w:szCs w:val="21"/>
          <w:highlight w:val="none"/>
          <w:u w:val="single"/>
        </w:rPr>
        <w:t>（企业名称）</w:t>
      </w:r>
      <w:r>
        <w:rPr>
          <w:rFonts w:hint="eastAsia" w:cs="宋体"/>
          <w:i w:val="0"/>
          <w:color w:val="auto"/>
          <w:sz w:val="21"/>
          <w:szCs w:val="21"/>
          <w:highlight w:val="none"/>
        </w:rPr>
        <w:t>，从业人员</w:t>
      </w:r>
      <w:r>
        <w:rPr>
          <w:rFonts w:hint="eastAsia" w:cs="宋体"/>
          <w:i w:val="0"/>
          <w:color w:val="auto"/>
          <w:sz w:val="21"/>
          <w:szCs w:val="21"/>
          <w:highlight w:val="none"/>
          <w:u w:val="single"/>
        </w:rPr>
        <w:t xml:space="preserve">   </w:t>
      </w:r>
      <w:r>
        <w:rPr>
          <w:rFonts w:hint="eastAsia" w:cs="宋体"/>
          <w:i w:val="0"/>
          <w:color w:val="auto"/>
          <w:sz w:val="21"/>
          <w:szCs w:val="21"/>
          <w:highlight w:val="none"/>
        </w:rPr>
        <w:t>人，营业收入为</w:t>
      </w:r>
      <w:r>
        <w:rPr>
          <w:rFonts w:hint="eastAsia" w:cs="宋体"/>
          <w:i w:val="0"/>
          <w:color w:val="auto"/>
          <w:sz w:val="21"/>
          <w:szCs w:val="21"/>
          <w:highlight w:val="none"/>
          <w:u w:val="single"/>
        </w:rPr>
        <w:t xml:space="preserve">   </w:t>
      </w:r>
      <w:r>
        <w:rPr>
          <w:rFonts w:hint="eastAsia" w:cs="宋体"/>
          <w:i w:val="0"/>
          <w:color w:val="auto"/>
          <w:sz w:val="21"/>
          <w:szCs w:val="21"/>
          <w:highlight w:val="none"/>
        </w:rPr>
        <w:t>万元，资产总额为</w:t>
      </w:r>
      <w:r>
        <w:rPr>
          <w:rFonts w:hint="eastAsia" w:cs="宋体"/>
          <w:i w:val="0"/>
          <w:color w:val="auto"/>
          <w:sz w:val="21"/>
          <w:szCs w:val="21"/>
          <w:highlight w:val="none"/>
          <w:u w:val="single"/>
        </w:rPr>
        <w:t xml:space="preserve">   </w:t>
      </w:r>
      <w:r>
        <w:rPr>
          <w:rFonts w:hint="eastAsia" w:cs="宋体"/>
          <w:i w:val="0"/>
          <w:color w:val="auto"/>
          <w:sz w:val="21"/>
          <w:szCs w:val="21"/>
          <w:highlight w:val="none"/>
        </w:rPr>
        <w:t>万元，属于</w:t>
      </w:r>
      <w:r>
        <w:rPr>
          <w:rFonts w:hint="eastAsia" w:cs="宋体"/>
          <w:i w:val="0"/>
          <w:color w:val="auto"/>
          <w:sz w:val="21"/>
          <w:szCs w:val="21"/>
          <w:highlight w:val="none"/>
          <w:u w:val="single"/>
        </w:rPr>
        <w:t>（中型企业、小型企业、微型企业）</w:t>
      </w:r>
      <w:r>
        <w:rPr>
          <w:rFonts w:hint="eastAsia" w:cs="宋体"/>
          <w:i w:val="0"/>
          <w:color w:val="auto"/>
          <w:sz w:val="21"/>
          <w:szCs w:val="21"/>
          <w:highlight w:val="none"/>
        </w:rPr>
        <w:t>；</w:t>
      </w:r>
    </w:p>
    <w:p w14:paraId="63E7E7B5">
      <w:pPr>
        <w:pStyle w:val="16"/>
        <w:spacing w:line="400" w:lineRule="exact"/>
        <w:ind w:firstLine="420" w:firstLineChars="200"/>
        <w:rPr>
          <w:rFonts w:cs="宋体"/>
          <w:i w:val="0"/>
          <w:color w:val="auto"/>
          <w:sz w:val="21"/>
          <w:szCs w:val="21"/>
          <w:highlight w:val="none"/>
        </w:rPr>
      </w:pPr>
      <w:r>
        <w:rPr>
          <w:rFonts w:hint="eastAsia" w:cs="宋体"/>
          <w:i w:val="0"/>
          <w:color w:val="auto"/>
          <w:sz w:val="21"/>
          <w:szCs w:val="21"/>
          <w:highlight w:val="none"/>
        </w:rPr>
        <w:t xml:space="preserve">…… </w:t>
      </w:r>
    </w:p>
    <w:p w14:paraId="4066BF02">
      <w:pPr>
        <w:pStyle w:val="16"/>
        <w:spacing w:line="400" w:lineRule="exact"/>
        <w:ind w:firstLine="420" w:firstLineChars="200"/>
        <w:jc w:val="left"/>
        <w:rPr>
          <w:rFonts w:cs="宋体"/>
          <w:i w:val="0"/>
          <w:color w:val="auto"/>
          <w:sz w:val="21"/>
          <w:szCs w:val="21"/>
          <w:highlight w:val="none"/>
        </w:rPr>
      </w:pPr>
      <w:r>
        <w:rPr>
          <w:rFonts w:hint="eastAsia" w:cs="宋体"/>
          <w:i w:val="0"/>
          <w:color w:val="auto"/>
          <w:sz w:val="21"/>
          <w:szCs w:val="21"/>
          <w:highlight w:val="none"/>
        </w:rPr>
        <w:t>以上企业，不属于大企业的分支机构，不存在控股股东为大企业的情形，也不存在与大企业的负责人为同一人的情形。</w:t>
      </w:r>
    </w:p>
    <w:p w14:paraId="15665B8D">
      <w:pPr>
        <w:pStyle w:val="16"/>
        <w:spacing w:line="400" w:lineRule="exact"/>
        <w:ind w:firstLine="420" w:firstLineChars="200"/>
        <w:jc w:val="left"/>
        <w:rPr>
          <w:rFonts w:cs="宋体"/>
          <w:i w:val="0"/>
          <w:color w:val="auto"/>
          <w:sz w:val="21"/>
          <w:szCs w:val="21"/>
          <w:highlight w:val="none"/>
        </w:rPr>
      </w:pPr>
      <w:r>
        <w:rPr>
          <w:rFonts w:hint="eastAsia" w:cs="宋体"/>
          <w:i w:val="0"/>
          <w:color w:val="auto"/>
          <w:sz w:val="21"/>
          <w:szCs w:val="21"/>
          <w:highlight w:val="none"/>
        </w:rPr>
        <w:t>本企业对上述声明内容的真实性负责。如有虚假，将依法承担相应责任。</w:t>
      </w:r>
    </w:p>
    <w:p w14:paraId="1FE64060">
      <w:pPr>
        <w:pStyle w:val="16"/>
        <w:spacing w:line="400" w:lineRule="exact"/>
        <w:ind w:firstLine="3360" w:firstLineChars="1600"/>
        <w:jc w:val="left"/>
        <w:rPr>
          <w:rFonts w:cs="宋体"/>
          <w:color w:val="auto"/>
          <w:sz w:val="21"/>
          <w:szCs w:val="21"/>
          <w:highlight w:val="none"/>
        </w:rPr>
      </w:pPr>
    </w:p>
    <w:p w14:paraId="7A355550">
      <w:pPr>
        <w:pStyle w:val="16"/>
        <w:spacing w:line="400" w:lineRule="exact"/>
        <w:ind w:firstLine="4095" w:firstLineChars="1950"/>
        <w:jc w:val="left"/>
        <w:rPr>
          <w:rFonts w:cs="宋体"/>
          <w:iCs/>
          <w:color w:val="auto"/>
          <w:sz w:val="21"/>
          <w:szCs w:val="21"/>
          <w:highlight w:val="none"/>
        </w:rPr>
      </w:pPr>
      <w:r>
        <w:rPr>
          <w:rFonts w:hint="eastAsia" w:cs="宋体"/>
          <w:iCs/>
          <w:color w:val="auto"/>
          <w:sz w:val="21"/>
          <w:szCs w:val="21"/>
          <w:highlight w:val="none"/>
        </w:rPr>
        <w:t>企业名称（盖章）：</w:t>
      </w:r>
    </w:p>
    <w:p w14:paraId="3C93CE61">
      <w:pPr>
        <w:spacing w:line="400" w:lineRule="exact"/>
        <w:jc w:val="center"/>
        <w:rPr>
          <w:rFonts w:ascii="宋体" w:hAnsi="宋体" w:cs="宋体"/>
          <w:iCs/>
          <w:color w:val="auto"/>
          <w:szCs w:val="21"/>
          <w:highlight w:val="none"/>
        </w:rPr>
      </w:pPr>
      <w:r>
        <w:rPr>
          <w:rFonts w:hint="eastAsia" w:ascii="宋体" w:hAnsi="宋体" w:cs="宋体"/>
          <w:iCs/>
          <w:color w:val="auto"/>
          <w:szCs w:val="21"/>
          <w:highlight w:val="none"/>
        </w:rPr>
        <w:t>日 期：</w:t>
      </w:r>
    </w:p>
    <w:p w14:paraId="71A83190">
      <w:pPr>
        <w:spacing w:line="400" w:lineRule="exact"/>
        <w:jc w:val="center"/>
        <w:rPr>
          <w:rFonts w:ascii="宋体" w:hAnsi="宋体" w:cs="宋体"/>
          <w:color w:val="auto"/>
          <w:szCs w:val="21"/>
          <w:highlight w:val="none"/>
        </w:rPr>
      </w:pPr>
    </w:p>
    <w:p w14:paraId="5B51D9FF">
      <w:pPr>
        <w:spacing w:line="400" w:lineRule="exact"/>
        <w:jc w:val="center"/>
        <w:rPr>
          <w:rFonts w:ascii="宋体" w:hAnsi="宋体" w:cs="宋体"/>
          <w:color w:val="auto"/>
          <w:szCs w:val="21"/>
          <w:highlight w:val="none"/>
        </w:rPr>
      </w:pPr>
    </w:p>
    <w:p w14:paraId="1AD085DE">
      <w:pPr>
        <w:spacing w:line="400" w:lineRule="exact"/>
        <w:jc w:val="center"/>
        <w:rPr>
          <w:rFonts w:ascii="宋体" w:hAnsi="宋体" w:cs="宋体"/>
          <w:color w:val="auto"/>
          <w:szCs w:val="21"/>
          <w:highlight w:val="none"/>
        </w:rPr>
      </w:pPr>
    </w:p>
    <w:p w14:paraId="2380C73F">
      <w:pPr>
        <w:spacing w:line="400" w:lineRule="exact"/>
        <w:jc w:val="center"/>
        <w:rPr>
          <w:rFonts w:ascii="宋体" w:hAnsi="宋体" w:cs="宋体"/>
          <w:color w:val="auto"/>
          <w:szCs w:val="21"/>
          <w:highlight w:val="none"/>
        </w:rPr>
      </w:pPr>
    </w:p>
    <w:p w14:paraId="1AD85BED">
      <w:pPr>
        <w:spacing w:line="400" w:lineRule="exact"/>
        <w:ind w:firstLine="3780" w:firstLineChars="1800"/>
        <w:rPr>
          <w:rFonts w:ascii="宋体" w:hAnsi="宋体"/>
          <w:color w:val="auto"/>
          <w:szCs w:val="21"/>
          <w:highlight w:val="none"/>
        </w:rPr>
      </w:pPr>
    </w:p>
    <w:p w14:paraId="04B4DC28">
      <w:pPr>
        <w:spacing w:line="588" w:lineRule="exact"/>
        <w:jc w:val="center"/>
        <w:rPr>
          <w:rFonts w:ascii="宋体" w:hAnsi="宋体"/>
          <w:color w:val="auto"/>
          <w:szCs w:val="21"/>
          <w:highlight w:val="none"/>
        </w:rPr>
      </w:pPr>
      <w:r>
        <w:rPr>
          <w:rFonts w:ascii="宋体" w:hAnsi="宋体"/>
          <w:color w:val="auto"/>
          <w:szCs w:val="21"/>
          <w:highlight w:val="none"/>
        </w:rPr>
        <w:t>1从业人员、营业收入、资产总额填报上一年度数据，无上一年度数据的新成立企业可不填报。</w:t>
      </w:r>
    </w:p>
    <w:p w14:paraId="7DCE05F4">
      <w:pPr>
        <w:spacing w:line="400" w:lineRule="exact"/>
        <w:ind w:firstLine="420" w:firstLineChars="200"/>
        <w:rPr>
          <w:rFonts w:ascii="宋体" w:hAnsi="宋体" w:cs="宋体"/>
          <w:color w:val="auto"/>
          <w:highlight w:val="none"/>
        </w:rPr>
      </w:pPr>
    </w:p>
    <w:p w14:paraId="719BDB1A">
      <w:pPr>
        <w:spacing w:line="400" w:lineRule="exact"/>
        <w:jc w:val="left"/>
        <w:rPr>
          <w:rStyle w:val="74"/>
          <w:rFonts w:ascii="宋体" w:hAnsi="宋体" w:cs="宋体"/>
          <w:color w:val="auto"/>
          <w:sz w:val="30"/>
          <w:szCs w:val="30"/>
          <w:highlight w:val="none"/>
        </w:rPr>
      </w:pPr>
      <w:r>
        <w:rPr>
          <w:rStyle w:val="74"/>
          <w:rFonts w:hint="eastAsia" w:ascii="宋体" w:hAnsi="宋体" w:cs="宋体"/>
          <w:color w:val="auto"/>
          <w:sz w:val="30"/>
          <w:szCs w:val="30"/>
          <w:highlight w:val="none"/>
        </w:rPr>
        <w:br w:type="page"/>
      </w:r>
      <w:r>
        <w:rPr>
          <w:rStyle w:val="74"/>
          <w:rFonts w:hint="eastAsia" w:ascii="宋体" w:hAnsi="宋体" w:cs="宋体"/>
          <w:color w:val="auto"/>
          <w:szCs w:val="24"/>
          <w:highlight w:val="none"/>
        </w:rPr>
        <w:t>附件</w:t>
      </w:r>
    </w:p>
    <w:p w14:paraId="7AC839E4">
      <w:pPr>
        <w:jc w:val="center"/>
        <w:rPr>
          <w:rFonts w:ascii="宋体" w:hAnsi="宋体" w:cs="宋体"/>
          <w:b/>
          <w:color w:val="auto"/>
          <w:sz w:val="30"/>
          <w:szCs w:val="30"/>
          <w:highlight w:val="none"/>
        </w:rPr>
      </w:pPr>
      <w:r>
        <w:rPr>
          <w:rFonts w:hint="eastAsia" w:ascii="宋体" w:hAnsi="宋体" w:cs="宋体"/>
          <w:b/>
          <w:color w:val="auto"/>
          <w:sz w:val="30"/>
          <w:szCs w:val="30"/>
          <w:highlight w:val="none"/>
        </w:rPr>
        <w:t>残疾人福利性单位声明函</w:t>
      </w:r>
    </w:p>
    <w:p w14:paraId="51F941E5">
      <w:pPr>
        <w:spacing w:line="588" w:lineRule="exact"/>
        <w:ind w:firstLine="446"/>
        <w:rPr>
          <w:rFonts w:ascii="宋体" w:hAnsi="宋体" w:cs="宋体"/>
          <w:b/>
          <w:color w:val="auto"/>
          <w:spacing w:val="6"/>
          <w:szCs w:val="21"/>
          <w:highlight w:val="none"/>
        </w:rPr>
      </w:pPr>
    </w:p>
    <w:p w14:paraId="61AD770C">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14:paraId="260FEB97">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629B9DF1">
      <w:pPr>
        <w:spacing w:line="588" w:lineRule="exact"/>
        <w:ind w:firstLine="420" w:firstLineChars="200"/>
        <w:rPr>
          <w:rFonts w:ascii="宋体" w:hAnsi="宋体"/>
          <w:color w:val="auto"/>
          <w:szCs w:val="21"/>
          <w:highlight w:val="none"/>
        </w:rPr>
      </w:pPr>
    </w:p>
    <w:p w14:paraId="651A9052">
      <w:pPr>
        <w:spacing w:line="588" w:lineRule="exact"/>
        <w:ind w:firstLine="420" w:firstLineChars="200"/>
        <w:rPr>
          <w:rFonts w:ascii="宋体" w:hAnsi="宋体"/>
          <w:color w:val="auto"/>
          <w:szCs w:val="21"/>
          <w:highlight w:val="none"/>
        </w:rPr>
      </w:pPr>
    </w:p>
    <w:p w14:paraId="7D7F8E91">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单位名称（盖章）：</w:t>
      </w:r>
    </w:p>
    <w:p w14:paraId="57FB91BE">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493118A3">
      <w:pPr>
        <w:spacing w:line="400" w:lineRule="exact"/>
        <w:ind w:firstLine="422" w:firstLineChars="200"/>
        <w:rPr>
          <w:rFonts w:ascii="宋体" w:hAnsi="宋体"/>
          <w:b/>
          <w:color w:val="auto"/>
          <w:szCs w:val="21"/>
          <w:highlight w:val="none"/>
        </w:rPr>
      </w:pPr>
    </w:p>
    <w:p w14:paraId="7F3E48E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14:paraId="5A467DC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14:paraId="1048E85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14:paraId="2262DF8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14:paraId="40FB323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14:paraId="4DDD972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14:paraId="6D4E052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359335E6">
      <w:pPr>
        <w:pStyle w:val="21"/>
        <w:snapToGrid w:val="0"/>
        <w:spacing w:line="360" w:lineRule="auto"/>
        <w:jc w:val="center"/>
        <w:rPr>
          <w:color w:val="auto"/>
          <w:szCs w:val="21"/>
          <w:highlight w:val="none"/>
        </w:rPr>
      </w:pPr>
      <w:r>
        <w:rPr>
          <w:rFonts w:hint="eastAsia"/>
          <w:color w:val="auto"/>
          <w:szCs w:val="21"/>
          <w:highlight w:val="none"/>
        </w:rPr>
        <w:t>前款所称残疾人是指法定劳动年龄内，持有《中华人民共和国残疾人证》或者《中华人民共和国残疾军人证（</w:t>
      </w:r>
      <w:r>
        <w:rPr>
          <w:color w:val="auto"/>
          <w:szCs w:val="21"/>
          <w:highlight w:val="none"/>
        </w:rPr>
        <w:t>1</w:t>
      </w:r>
      <w:r>
        <w:rPr>
          <w:rFonts w:hint="eastAsia"/>
          <w:color w:val="auto"/>
          <w:szCs w:val="21"/>
          <w:highlight w:val="none"/>
        </w:rPr>
        <w:t>至</w:t>
      </w:r>
      <w:r>
        <w:rPr>
          <w:color w:val="auto"/>
          <w:szCs w:val="21"/>
          <w:highlight w:val="none"/>
        </w:rPr>
        <w:t>8</w:t>
      </w:r>
      <w:r>
        <w:rPr>
          <w:rFonts w:hint="eastAsia"/>
          <w:color w:val="auto"/>
          <w:szCs w:val="21"/>
          <w:highlight w:val="none"/>
        </w:rPr>
        <w:t>级）》的自然人，包括具有劳动条件和劳动意愿的精神残疾人。在职职工人数是指与残疾人福利性单位建立劳动关系并依法签订劳动合同或者服务协议的雇员人数。</w:t>
      </w:r>
      <w:r>
        <w:rPr>
          <w:rFonts w:hint="eastAsia"/>
          <w:color w:val="auto"/>
          <w:spacing w:val="6"/>
          <w:szCs w:val="21"/>
          <w:highlight w:val="none"/>
        </w:rPr>
        <w:br w:type="page"/>
      </w:r>
    </w:p>
    <w:tbl>
      <w:tblPr>
        <w:tblStyle w:val="44"/>
        <w:tblW w:w="10460" w:type="dxa"/>
        <w:tblInd w:w="-176" w:type="dxa"/>
        <w:tblLayout w:type="fixed"/>
        <w:tblCellMar>
          <w:top w:w="0" w:type="dxa"/>
          <w:left w:w="108" w:type="dxa"/>
          <w:bottom w:w="0" w:type="dxa"/>
          <w:right w:w="108" w:type="dxa"/>
        </w:tblCellMar>
      </w:tblPr>
      <w:tblGrid>
        <w:gridCol w:w="1388"/>
        <w:gridCol w:w="1047"/>
        <w:gridCol w:w="1232"/>
        <w:gridCol w:w="1164"/>
        <w:gridCol w:w="867"/>
        <w:gridCol w:w="1034"/>
        <w:gridCol w:w="1067"/>
        <w:gridCol w:w="898"/>
        <w:gridCol w:w="891"/>
        <w:gridCol w:w="856"/>
        <w:gridCol w:w="16"/>
      </w:tblGrid>
      <w:tr w14:paraId="61C8126D">
        <w:tblPrEx>
          <w:tblCellMar>
            <w:top w:w="0" w:type="dxa"/>
            <w:left w:w="108" w:type="dxa"/>
            <w:bottom w:w="0" w:type="dxa"/>
            <w:right w:w="108" w:type="dxa"/>
          </w:tblCellMar>
        </w:tblPrEx>
        <w:trPr>
          <w:trHeight w:val="302" w:hRule="atLeast"/>
        </w:trPr>
        <w:tc>
          <w:tcPr>
            <w:tcW w:w="10460" w:type="dxa"/>
            <w:gridSpan w:val="11"/>
            <w:shd w:val="clear" w:color="auto" w:fill="auto"/>
            <w:vAlign w:val="bottom"/>
          </w:tcPr>
          <w:p w14:paraId="6E9C316F">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2"/>
                <w:szCs w:val="18"/>
                <w:highlight w:val="none"/>
                <w:lang w:bidi="ar"/>
              </w:rPr>
              <w:t>中小微行业划型标准规定（根据工信部联企业〔2011〕300号制定）</w:t>
            </w:r>
          </w:p>
        </w:tc>
      </w:tr>
      <w:tr w14:paraId="09740DC9">
        <w:tblPrEx>
          <w:tblCellMar>
            <w:top w:w="0" w:type="dxa"/>
            <w:left w:w="108" w:type="dxa"/>
            <w:bottom w:w="0" w:type="dxa"/>
            <w:right w:w="108" w:type="dxa"/>
          </w:tblCellMar>
        </w:tblPrEx>
        <w:trPr>
          <w:gridAfter w:val="1"/>
          <w:wAfter w:w="16" w:type="dxa"/>
          <w:trHeight w:val="484" w:hRule="atLeast"/>
        </w:trPr>
        <w:tc>
          <w:tcPr>
            <w:tcW w:w="1388" w:type="dxa"/>
            <w:vMerge w:val="restart"/>
            <w:tcBorders>
              <w:top w:val="single" w:color="auto" w:sz="8" w:space="0"/>
              <w:left w:val="single" w:color="auto" w:sz="8" w:space="0"/>
              <w:bottom w:val="single" w:color="000000" w:sz="4" w:space="0"/>
              <w:right w:val="single" w:color="auto" w:sz="8" w:space="0"/>
            </w:tcBorders>
            <w:shd w:val="clear" w:color="auto" w:fill="auto"/>
            <w:vAlign w:val="center"/>
          </w:tcPr>
          <w:p w14:paraId="36E8ABB1">
            <w:pPr>
              <w:widowControl/>
              <w:jc w:val="center"/>
              <w:rPr>
                <w:rFonts w:ascii="宋体" w:hAnsi="宋体" w:cs="宋体"/>
                <w:b/>
                <w:bCs/>
                <w:color w:val="auto"/>
                <w:kern w:val="0"/>
                <w:sz w:val="22"/>
                <w:szCs w:val="18"/>
                <w:highlight w:val="none"/>
              </w:rPr>
            </w:pPr>
            <w:r>
              <w:rPr>
                <w:rFonts w:hint="eastAsia" w:ascii="宋体" w:hAnsi="宋体" w:cs="宋体"/>
                <w:b/>
                <w:bCs/>
                <w:color w:val="auto"/>
                <w:kern w:val="0"/>
                <w:sz w:val="22"/>
                <w:szCs w:val="18"/>
                <w:highlight w:val="none"/>
                <w:lang w:bidi="ar"/>
              </w:rPr>
              <w:t>行业</w:t>
            </w:r>
          </w:p>
        </w:tc>
        <w:tc>
          <w:tcPr>
            <w:tcW w:w="3443" w:type="dxa"/>
            <w:gridSpan w:val="3"/>
            <w:tcBorders>
              <w:top w:val="single" w:color="auto" w:sz="8" w:space="0"/>
              <w:left w:val="nil"/>
              <w:bottom w:val="single" w:color="auto" w:sz="4" w:space="0"/>
              <w:right w:val="single" w:color="000000" w:sz="8" w:space="0"/>
            </w:tcBorders>
            <w:shd w:val="clear" w:color="auto" w:fill="auto"/>
            <w:vAlign w:val="bottom"/>
          </w:tcPr>
          <w:p w14:paraId="1379912A">
            <w:pPr>
              <w:widowControl/>
              <w:jc w:val="center"/>
              <w:rPr>
                <w:rFonts w:ascii="宋体" w:hAnsi="宋体" w:cs="宋体"/>
                <w:b/>
                <w:bCs/>
                <w:color w:val="auto"/>
                <w:kern w:val="0"/>
                <w:sz w:val="22"/>
                <w:szCs w:val="18"/>
                <w:highlight w:val="none"/>
              </w:rPr>
            </w:pPr>
            <w:r>
              <w:rPr>
                <w:rFonts w:hint="eastAsia" w:ascii="宋体" w:hAnsi="宋体" w:cs="宋体"/>
                <w:b/>
                <w:bCs/>
                <w:color w:val="auto"/>
                <w:kern w:val="0"/>
                <w:sz w:val="22"/>
                <w:szCs w:val="18"/>
                <w:highlight w:val="none"/>
                <w:lang w:bidi="ar"/>
              </w:rPr>
              <w:t>中型企业</w:t>
            </w:r>
          </w:p>
        </w:tc>
        <w:tc>
          <w:tcPr>
            <w:tcW w:w="2968" w:type="dxa"/>
            <w:gridSpan w:val="3"/>
            <w:tcBorders>
              <w:top w:val="single" w:color="auto" w:sz="8" w:space="0"/>
              <w:left w:val="nil"/>
              <w:bottom w:val="single" w:color="auto" w:sz="4" w:space="0"/>
              <w:right w:val="single" w:color="000000" w:sz="8" w:space="0"/>
            </w:tcBorders>
            <w:shd w:val="clear" w:color="auto" w:fill="auto"/>
            <w:vAlign w:val="bottom"/>
          </w:tcPr>
          <w:p w14:paraId="21A523C4">
            <w:pPr>
              <w:widowControl/>
              <w:jc w:val="center"/>
              <w:rPr>
                <w:rFonts w:ascii="宋体" w:hAnsi="宋体" w:cs="宋体"/>
                <w:b/>
                <w:bCs/>
                <w:color w:val="auto"/>
                <w:kern w:val="0"/>
                <w:sz w:val="22"/>
                <w:szCs w:val="18"/>
                <w:highlight w:val="none"/>
              </w:rPr>
            </w:pPr>
            <w:r>
              <w:rPr>
                <w:rFonts w:hint="eastAsia" w:ascii="宋体" w:hAnsi="宋体" w:cs="宋体"/>
                <w:b/>
                <w:bCs/>
                <w:color w:val="auto"/>
                <w:kern w:val="0"/>
                <w:sz w:val="22"/>
                <w:szCs w:val="18"/>
                <w:highlight w:val="none"/>
                <w:lang w:bidi="ar"/>
              </w:rPr>
              <w:t>小型企业</w:t>
            </w:r>
          </w:p>
        </w:tc>
        <w:tc>
          <w:tcPr>
            <w:tcW w:w="2645" w:type="dxa"/>
            <w:gridSpan w:val="3"/>
            <w:tcBorders>
              <w:top w:val="single" w:color="auto" w:sz="8" w:space="0"/>
              <w:left w:val="nil"/>
              <w:bottom w:val="single" w:color="auto" w:sz="4" w:space="0"/>
              <w:right w:val="single" w:color="000000" w:sz="8" w:space="0"/>
            </w:tcBorders>
            <w:shd w:val="clear" w:color="auto" w:fill="auto"/>
            <w:vAlign w:val="bottom"/>
          </w:tcPr>
          <w:p w14:paraId="257D681A">
            <w:pPr>
              <w:widowControl/>
              <w:jc w:val="center"/>
              <w:rPr>
                <w:rFonts w:ascii="宋体" w:hAnsi="宋体" w:cs="宋体"/>
                <w:b/>
                <w:bCs/>
                <w:color w:val="auto"/>
                <w:kern w:val="0"/>
                <w:sz w:val="22"/>
                <w:szCs w:val="18"/>
                <w:highlight w:val="none"/>
              </w:rPr>
            </w:pPr>
            <w:r>
              <w:rPr>
                <w:rFonts w:hint="eastAsia" w:ascii="宋体" w:hAnsi="宋体" w:cs="宋体"/>
                <w:b/>
                <w:bCs/>
                <w:color w:val="auto"/>
                <w:kern w:val="0"/>
                <w:sz w:val="22"/>
                <w:szCs w:val="18"/>
                <w:highlight w:val="none"/>
                <w:lang w:bidi="ar"/>
              </w:rPr>
              <w:t>微型企业</w:t>
            </w:r>
          </w:p>
        </w:tc>
      </w:tr>
      <w:tr w14:paraId="4D8041C7">
        <w:tblPrEx>
          <w:tblCellMar>
            <w:top w:w="0" w:type="dxa"/>
            <w:left w:w="108" w:type="dxa"/>
            <w:bottom w:w="0" w:type="dxa"/>
            <w:right w:w="108" w:type="dxa"/>
          </w:tblCellMar>
        </w:tblPrEx>
        <w:trPr>
          <w:gridAfter w:val="1"/>
          <w:wAfter w:w="16" w:type="dxa"/>
          <w:trHeight w:val="948" w:hRule="atLeast"/>
        </w:trPr>
        <w:tc>
          <w:tcPr>
            <w:tcW w:w="1388" w:type="dxa"/>
            <w:vMerge w:val="continue"/>
            <w:tcBorders>
              <w:top w:val="single" w:color="auto" w:sz="8" w:space="0"/>
              <w:left w:val="single" w:color="auto" w:sz="8" w:space="0"/>
              <w:bottom w:val="single" w:color="000000" w:sz="4" w:space="0"/>
              <w:right w:val="single" w:color="auto" w:sz="8" w:space="0"/>
            </w:tcBorders>
            <w:shd w:val="clear" w:color="auto" w:fill="auto"/>
            <w:vAlign w:val="center"/>
          </w:tcPr>
          <w:p w14:paraId="7BB6E75C">
            <w:pPr>
              <w:rPr>
                <w:color w:val="auto"/>
                <w:sz w:val="18"/>
                <w:szCs w:val="18"/>
                <w:highlight w:val="none"/>
              </w:rPr>
            </w:pPr>
          </w:p>
        </w:tc>
        <w:tc>
          <w:tcPr>
            <w:tcW w:w="1047" w:type="dxa"/>
            <w:tcBorders>
              <w:top w:val="nil"/>
              <w:left w:val="nil"/>
              <w:bottom w:val="single" w:color="auto" w:sz="4" w:space="0"/>
              <w:right w:val="single" w:color="auto" w:sz="4" w:space="0"/>
            </w:tcBorders>
            <w:shd w:val="clear" w:color="auto" w:fill="auto"/>
            <w:vAlign w:val="bottom"/>
          </w:tcPr>
          <w:p w14:paraId="2E20BC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从业人员X（人）</w:t>
            </w:r>
          </w:p>
        </w:tc>
        <w:tc>
          <w:tcPr>
            <w:tcW w:w="1232" w:type="dxa"/>
            <w:tcBorders>
              <w:top w:val="nil"/>
              <w:left w:val="nil"/>
              <w:bottom w:val="single" w:color="auto" w:sz="4" w:space="0"/>
              <w:right w:val="single" w:color="auto" w:sz="4" w:space="0"/>
            </w:tcBorders>
            <w:shd w:val="clear" w:color="auto" w:fill="auto"/>
            <w:vAlign w:val="bottom"/>
          </w:tcPr>
          <w:p w14:paraId="763755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营业收入Y</w:t>
            </w:r>
          </w:p>
          <w:p w14:paraId="02955F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（万元）</w:t>
            </w:r>
          </w:p>
        </w:tc>
        <w:tc>
          <w:tcPr>
            <w:tcW w:w="1164" w:type="dxa"/>
            <w:tcBorders>
              <w:top w:val="nil"/>
              <w:left w:val="nil"/>
              <w:bottom w:val="single" w:color="auto" w:sz="4" w:space="0"/>
              <w:right w:val="single" w:color="auto" w:sz="8" w:space="0"/>
            </w:tcBorders>
            <w:shd w:val="clear" w:color="auto" w:fill="auto"/>
            <w:vAlign w:val="bottom"/>
          </w:tcPr>
          <w:p w14:paraId="7DC3CA8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资产总额Z</w:t>
            </w:r>
          </w:p>
          <w:p w14:paraId="0C8DAC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（万元）</w:t>
            </w:r>
          </w:p>
        </w:tc>
        <w:tc>
          <w:tcPr>
            <w:tcW w:w="867" w:type="dxa"/>
            <w:tcBorders>
              <w:top w:val="nil"/>
              <w:left w:val="nil"/>
              <w:bottom w:val="single" w:color="auto" w:sz="4" w:space="0"/>
              <w:right w:val="single" w:color="auto" w:sz="4" w:space="0"/>
            </w:tcBorders>
            <w:shd w:val="clear" w:color="auto" w:fill="auto"/>
            <w:vAlign w:val="bottom"/>
          </w:tcPr>
          <w:p w14:paraId="1C4AF4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从业人员X（人）</w:t>
            </w:r>
          </w:p>
        </w:tc>
        <w:tc>
          <w:tcPr>
            <w:tcW w:w="1034" w:type="dxa"/>
            <w:tcBorders>
              <w:top w:val="nil"/>
              <w:left w:val="nil"/>
              <w:bottom w:val="single" w:color="auto" w:sz="4" w:space="0"/>
              <w:right w:val="single" w:color="auto" w:sz="4" w:space="0"/>
            </w:tcBorders>
            <w:shd w:val="clear" w:color="auto" w:fill="auto"/>
            <w:vAlign w:val="bottom"/>
          </w:tcPr>
          <w:p w14:paraId="56F89C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营业收入Y</w:t>
            </w:r>
          </w:p>
          <w:p w14:paraId="4A52B7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（万元）</w:t>
            </w:r>
          </w:p>
        </w:tc>
        <w:tc>
          <w:tcPr>
            <w:tcW w:w="1067" w:type="dxa"/>
            <w:tcBorders>
              <w:top w:val="nil"/>
              <w:left w:val="nil"/>
              <w:bottom w:val="single" w:color="auto" w:sz="4" w:space="0"/>
              <w:right w:val="single" w:color="auto" w:sz="8" w:space="0"/>
            </w:tcBorders>
            <w:shd w:val="clear" w:color="auto" w:fill="auto"/>
            <w:vAlign w:val="bottom"/>
          </w:tcPr>
          <w:p w14:paraId="520A47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资产总额Z</w:t>
            </w:r>
          </w:p>
          <w:p w14:paraId="42A717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（万元）</w:t>
            </w:r>
          </w:p>
        </w:tc>
        <w:tc>
          <w:tcPr>
            <w:tcW w:w="898" w:type="dxa"/>
            <w:tcBorders>
              <w:top w:val="nil"/>
              <w:left w:val="nil"/>
              <w:bottom w:val="single" w:color="auto" w:sz="4" w:space="0"/>
              <w:right w:val="single" w:color="auto" w:sz="4" w:space="0"/>
            </w:tcBorders>
            <w:shd w:val="clear" w:color="auto" w:fill="auto"/>
            <w:vAlign w:val="bottom"/>
          </w:tcPr>
          <w:p w14:paraId="1A278A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从业人员X（人）</w:t>
            </w:r>
          </w:p>
        </w:tc>
        <w:tc>
          <w:tcPr>
            <w:tcW w:w="891" w:type="dxa"/>
            <w:tcBorders>
              <w:top w:val="nil"/>
              <w:left w:val="nil"/>
              <w:bottom w:val="single" w:color="auto" w:sz="4" w:space="0"/>
              <w:right w:val="single" w:color="auto" w:sz="4" w:space="0"/>
            </w:tcBorders>
            <w:shd w:val="clear" w:color="auto" w:fill="auto"/>
            <w:vAlign w:val="bottom"/>
          </w:tcPr>
          <w:p w14:paraId="6E891A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营业收入Y（万元）</w:t>
            </w:r>
          </w:p>
        </w:tc>
        <w:tc>
          <w:tcPr>
            <w:tcW w:w="856" w:type="dxa"/>
            <w:tcBorders>
              <w:top w:val="nil"/>
              <w:left w:val="nil"/>
              <w:bottom w:val="single" w:color="auto" w:sz="4" w:space="0"/>
              <w:right w:val="single" w:color="auto" w:sz="8" w:space="0"/>
            </w:tcBorders>
            <w:shd w:val="clear" w:color="auto" w:fill="auto"/>
            <w:vAlign w:val="bottom"/>
          </w:tcPr>
          <w:p w14:paraId="7DDC18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资产总额Z（万元）</w:t>
            </w:r>
          </w:p>
        </w:tc>
      </w:tr>
      <w:tr w14:paraId="3617D147">
        <w:tblPrEx>
          <w:tblCellMar>
            <w:top w:w="0" w:type="dxa"/>
            <w:left w:w="108" w:type="dxa"/>
            <w:bottom w:w="0" w:type="dxa"/>
            <w:right w:w="108" w:type="dxa"/>
          </w:tblCellMar>
        </w:tblPrEx>
        <w:trPr>
          <w:gridAfter w:val="1"/>
          <w:wAfter w:w="16" w:type="dxa"/>
          <w:trHeight w:val="474" w:hRule="atLeast"/>
        </w:trPr>
        <w:tc>
          <w:tcPr>
            <w:tcW w:w="1388" w:type="dxa"/>
            <w:tcBorders>
              <w:top w:val="nil"/>
              <w:left w:val="single" w:color="auto" w:sz="8" w:space="0"/>
              <w:bottom w:val="single" w:color="auto" w:sz="4" w:space="0"/>
              <w:right w:val="single" w:color="auto" w:sz="8" w:space="0"/>
            </w:tcBorders>
            <w:shd w:val="clear" w:color="auto" w:fill="auto"/>
            <w:vAlign w:val="bottom"/>
          </w:tcPr>
          <w:p w14:paraId="3EF80C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 1、农林牧渔业</w:t>
            </w:r>
          </w:p>
        </w:tc>
        <w:tc>
          <w:tcPr>
            <w:tcW w:w="1047" w:type="dxa"/>
            <w:tcBorders>
              <w:top w:val="nil"/>
              <w:left w:val="nil"/>
              <w:bottom w:val="single" w:color="auto" w:sz="4" w:space="0"/>
              <w:right w:val="single" w:color="auto" w:sz="4" w:space="0"/>
            </w:tcBorders>
            <w:shd w:val="clear" w:color="auto" w:fill="auto"/>
            <w:vAlign w:val="center"/>
          </w:tcPr>
          <w:p w14:paraId="3FEAC1DF">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1232" w:type="dxa"/>
            <w:tcBorders>
              <w:top w:val="nil"/>
              <w:left w:val="nil"/>
              <w:bottom w:val="single" w:color="auto" w:sz="4" w:space="0"/>
              <w:right w:val="single" w:color="auto" w:sz="4" w:space="0"/>
            </w:tcBorders>
            <w:shd w:val="clear" w:color="auto" w:fill="auto"/>
            <w:vAlign w:val="center"/>
          </w:tcPr>
          <w:p w14:paraId="0B8C0311">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 500≤Y＜20000</w:t>
            </w:r>
          </w:p>
        </w:tc>
        <w:tc>
          <w:tcPr>
            <w:tcW w:w="1164" w:type="dxa"/>
            <w:tcBorders>
              <w:top w:val="nil"/>
              <w:left w:val="nil"/>
              <w:bottom w:val="single" w:color="auto" w:sz="4" w:space="0"/>
              <w:right w:val="single" w:color="auto" w:sz="8" w:space="0"/>
            </w:tcBorders>
            <w:shd w:val="clear" w:color="auto" w:fill="auto"/>
            <w:vAlign w:val="center"/>
          </w:tcPr>
          <w:p w14:paraId="567D9DA1">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67" w:type="dxa"/>
            <w:tcBorders>
              <w:top w:val="nil"/>
              <w:left w:val="nil"/>
              <w:bottom w:val="single" w:color="auto" w:sz="4" w:space="0"/>
              <w:right w:val="single" w:color="auto" w:sz="4" w:space="0"/>
            </w:tcBorders>
            <w:shd w:val="clear" w:color="auto" w:fill="auto"/>
            <w:vAlign w:val="center"/>
          </w:tcPr>
          <w:p w14:paraId="4393C7F2">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1034" w:type="dxa"/>
            <w:tcBorders>
              <w:top w:val="nil"/>
              <w:left w:val="nil"/>
              <w:bottom w:val="single" w:color="auto" w:sz="4" w:space="0"/>
              <w:right w:val="single" w:color="auto" w:sz="4" w:space="0"/>
            </w:tcBorders>
            <w:shd w:val="clear" w:color="auto" w:fill="auto"/>
            <w:vAlign w:val="center"/>
          </w:tcPr>
          <w:p w14:paraId="0BBD7EF2">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 50≤Y＜500</w:t>
            </w:r>
          </w:p>
        </w:tc>
        <w:tc>
          <w:tcPr>
            <w:tcW w:w="1067" w:type="dxa"/>
            <w:tcBorders>
              <w:top w:val="nil"/>
              <w:left w:val="nil"/>
              <w:bottom w:val="single" w:color="auto" w:sz="4" w:space="0"/>
              <w:right w:val="single" w:color="auto" w:sz="8" w:space="0"/>
            </w:tcBorders>
            <w:shd w:val="clear" w:color="auto" w:fill="auto"/>
            <w:vAlign w:val="center"/>
          </w:tcPr>
          <w:p w14:paraId="0662388D">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98" w:type="dxa"/>
            <w:tcBorders>
              <w:top w:val="nil"/>
              <w:left w:val="nil"/>
              <w:bottom w:val="single" w:color="auto" w:sz="4" w:space="0"/>
              <w:right w:val="single" w:color="auto" w:sz="4" w:space="0"/>
            </w:tcBorders>
            <w:shd w:val="clear" w:color="auto" w:fill="auto"/>
            <w:vAlign w:val="center"/>
          </w:tcPr>
          <w:p w14:paraId="048EAF38">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91" w:type="dxa"/>
            <w:tcBorders>
              <w:top w:val="nil"/>
              <w:left w:val="nil"/>
              <w:bottom w:val="single" w:color="auto" w:sz="4" w:space="0"/>
              <w:right w:val="single" w:color="auto" w:sz="4" w:space="0"/>
            </w:tcBorders>
            <w:shd w:val="clear" w:color="auto" w:fill="auto"/>
            <w:vAlign w:val="center"/>
          </w:tcPr>
          <w:p w14:paraId="4B007B88">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Y＜50</w:t>
            </w:r>
          </w:p>
        </w:tc>
        <w:tc>
          <w:tcPr>
            <w:tcW w:w="856" w:type="dxa"/>
            <w:tcBorders>
              <w:top w:val="nil"/>
              <w:left w:val="nil"/>
              <w:bottom w:val="single" w:color="auto" w:sz="4" w:space="0"/>
              <w:right w:val="single" w:color="auto" w:sz="8" w:space="0"/>
            </w:tcBorders>
            <w:shd w:val="clear" w:color="auto" w:fill="auto"/>
            <w:vAlign w:val="center"/>
          </w:tcPr>
          <w:p w14:paraId="366E45FF">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r>
      <w:tr w14:paraId="7E9F6D05">
        <w:tblPrEx>
          <w:tblCellMar>
            <w:top w:w="0" w:type="dxa"/>
            <w:left w:w="108" w:type="dxa"/>
            <w:bottom w:w="0" w:type="dxa"/>
            <w:right w:w="108" w:type="dxa"/>
          </w:tblCellMar>
        </w:tblPrEx>
        <w:trPr>
          <w:gridAfter w:val="1"/>
          <w:wAfter w:w="16" w:type="dxa"/>
          <w:trHeight w:val="474" w:hRule="atLeast"/>
        </w:trPr>
        <w:tc>
          <w:tcPr>
            <w:tcW w:w="1388" w:type="dxa"/>
            <w:tcBorders>
              <w:top w:val="nil"/>
              <w:left w:val="single" w:color="auto" w:sz="8" w:space="0"/>
              <w:bottom w:val="single" w:color="auto" w:sz="4" w:space="0"/>
              <w:right w:val="single" w:color="auto" w:sz="8" w:space="0"/>
            </w:tcBorders>
            <w:shd w:val="clear" w:color="auto" w:fill="auto"/>
            <w:vAlign w:val="bottom"/>
          </w:tcPr>
          <w:p w14:paraId="576D5DB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 2、工业</w:t>
            </w:r>
          </w:p>
        </w:tc>
        <w:tc>
          <w:tcPr>
            <w:tcW w:w="1047" w:type="dxa"/>
            <w:tcBorders>
              <w:top w:val="nil"/>
              <w:left w:val="nil"/>
              <w:bottom w:val="single" w:color="auto" w:sz="4" w:space="0"/>
              <w:right w:val="single" w:color="auto" w:sz="4" w:space="0"/>
            </w:tcBorders>
            <w:shd w:val="clear" w:color="auto" w:fill="auto"/>
            <w:vAlign w:val="center"/>
          </w:tcPr>
          <w:p w14:paraId="2389B793">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300≤X＜1000</w:t>
            </w:r>
          </w:p>
        </w:tc>
        <w:tc>
          <w:tcPr>
            <w:tcW w:w="1232" w:type="dxa"/>
            <w:tcBorders>
              <w:top w:val="nil"/>
              <w:left w:val="nil"/>
              <w:bottom w:val="single" w:color="auto" w:sz="4" w:space="0"/>
              <w:right w:val="single" w:color="auto" w:sz="4" w:space="0"/>
            </w:tcBorders>
            <w:shd w:val="clear" w:color="auto" w:fill="auto"/>
            <w:vAlign w:val="center"/>
          </w:tcPr>
          <w:p w14:paraId="39FBFE3F">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2000≤Y＜40000</w:t>
            </w:r>
          </w:p>
        </w:tc>
        <w:tc>
          <w:tcPr>
            <w:tcW w:w="1164" w:type="dxa"/>
            <w:tcBorders>
              <w:top w:val="nil"/>
              <w:left w:val="nil"/>
              <w:bottom w:val="single" w:color="auto" w:sz="4" w:space="0"/>
              <w:right w:val="single" w:color="auto" w:sz="8" w:space="0"/>
            </w:tcBorders>
            <w:shd w:val="clear" w:color="auto" w:fill="auto"/>
            <w:vAlign w:val="center"/>
          </w:tcPr>
          <w:p w14:paraId="65597C8D">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67" w:type="dxa"/>
            <w:tcBorders>
              <w:top w:val="nil"/>
              <w:left w:val="nil"/>
              <w:bottom w:val="single" w:color="auto" w:sz="4" w:space="0"/>
              <w:right w:val="single" w:color="auto" w:sz="4" w:space="0"/>
            </w:tcBorders>
            <w:shd w:val="clear" w:color="auto" w:fill="auto"/>
            <w:vAlign w:val="center"/>
          </w:tcPr>
          <w:p w14:paraId="272EF129">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20≤X＜300</w:t>
            </w:r>
          </w:p>
        </w:tc>
        <w:tc>
          <w:tcPr>
            <w:tcW w:w="1034" w:type="dxa"/>
            <w:tcBorders>
              <w:top w:val="nil"/>
              <w:left w:val="nil"/>
              <w:bottom w:val="single" w:color="auto" w:sz="4" w:space="0"/>
              <w:right w:val="single" w:color="auto" w:sz="4" w:space="0"/>
            </w:tcBorders>
            <w:shd w:val="clear" w:color="auto" w:fill="auto"/>
            <w:vAlign w:val="center"/>
          </w:tcPr>
          <w:p w14:paraId="4108A5FD">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300≤Y＜2000</w:t>
            </w:r>
          </w:p>
        </w:tc>
        <w:tc>
          <w:tcPr>
            <w:tcW w:w="1067" w:type="dxa"/>
            <w:tcBorders>
              <w:top w:val="nil"/>
              <w:left w:val="nil"/>
              <w:bottom w:val="single" w:color="auto" w:sz="4" w:space="0"/>
              <w:right w:val="single" w:color="auto" w:sz="8" w:space="0"/>
            </w:tcBorders>
            <w:shd w:val="clear" w:color="auto" w:fill="auto"/>
            <w:vAlign w:val="center"/>
          </w:tcPr>
          <w:p w14:paraId="7DB062D7">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98" w:type="dxa"/>
            <w:tcBorders>
              <w:top w:val="nil"/>
              <w:left w:val="nil"/>
              <w:bottom w:val="single" w:color="auto" w:sz="4" w:space="0"/>
              <w:right w:val="single" w:color="auto" w:sz="4" w:space="0"/>
            </w:tcBorders>
            <w:shd w:val="clear" w:color="auto" w:fill="auto"/>
            <w:vAlign w:val="center"/>
          </w:tcPr>
          <w:p w14:paraId="3BEA2E78">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X＜20</w:t>
            </w:r>
          </w:p>
        </w:tc>
        <w:tc>
          <w:tcPr>
            <w:tcW w:w="891" w:type="dxa"/>
            <w:tcBorders>
              <w:top w:val="nil"/>
              <w:left w:val="nil"/>
              <w:bottom w:val="single" w:color="auto" w:sz="4" w:space="0"/>
              <w:right w:val="single" w:color="auto" w:sz="4" w:space="0"/>
            </w:tcBorders>
            <w:shd w:val="clear" w:color="auto" w:fill="auto"/>
            <w:vAlign w:val="center"/>
          </w:tcPr>
          <w:p w14:paraId="2B66AEE4">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Y＜300</w:t>
            </w:r>
          </w:p>
        </w:tc>
        <w:tc>
          <w:tcPr>
            <w:tcW w:w="856" w:type="dxa"/>
            <w:tcBorders>
              <w:top w:val="nil"/>
              <w:left w:val="nil"/>
              <w:bottom w:val="single" w:color="auto" w:sz="4" w:space="0"/>
              <w:right w:val="single" w:color="auto" w:sz="8" w:space="0"/>
            </w:tcBorders>
            <w:shd w:val="clear" w:color="auto" w:fill="auto"/>
            <w:vAlign w:val="center"/>
          </w:tcPr>
          <w:p w14:paraId="79ABF264">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r>
      <w:tr w14:paraId="76392CCC">
        <w:tblPrEx>
          <w:tblCellMar>
            <w:top w:w="0" w:type="dxa"/>
            <w:left w:w="108" w:type="dxa"/>
            <w:bottom w:w="0" w:type="dxa"/>
            <w:right w:w="108" w:type="dxa"/>
          </w:tblCellMar>
        </w:tblPrEx>
        <w:trPr>
          <w:gridAfter w:val="1"/>
          <w:wAfter w:w="16" w:type="dxa"/>
          <w:trHeight w:val="474" w:hRule="atLeast"/>
        </w:trPr>
        <w:tc>
          <w:tcPr>
            <w:tcW w:w="1388" w:type="dxa"/>
            <w:tcBorders>
              <w:top w:val="nil"/>
              <w:left w:val="single" w:color="auto" w:sz="8" w:space="0"/>
              <w:bottom w:val="single" w:color="auto" w:sz="4" w:space="0"/>
              <w:right w:val="single" w:color="auto" w:sz="8" w:space="0"/>
            </w:tcBorders>
            <w:shd w:val="clear" w:color="auto" w:fill="auto"/>
            <w:vAlign w:val="bottom"/>
          </w:tcPr>
          <w:p w14:paraId="7D514AB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 3、建筑业</w:t>
            </w:r>
          </w:p>
        </w:tc>
        <w:tc>
          <w:tcPr>
            <w:tcW w:w="1047" w:type="dxa"/>
            <w:tcBorders>
              <w:top w:val="nil"/>
              <w:left w:val="nil"/>
              <w:bottom w:val="single" w:color="auto" w:sz="4" w:space="0"/>
              <w:right w:val="single" w:color="auto" w:sz="4" w:space="0"/>
            </w:tcBorders>
            <w:shd w:val="clear" w:color="auto" w:fill="auto"/>
            <w:vAlign w:val="center"/>
          </w:tcPr>
          <w:p w14:paraId="3CEAD64B">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1232" w:type="dxa"/>
            <w:tcBorders>
              <w:top w:val="nil"/>
              <w:left w:val="nil"/>
              <w:bottom w:val="single" w:color="auto" w:sz="4" w:space="0"/>
              <w:right w:val="single" w:color="auto" w:sz="4" w:space="0"/>
            </w:tcBorders>
            <w:shd w:val="clear" w:color="auto" w:fill="auto"/>
            <w:vAlign w:val="center"/>
          </w:tcPr>
          <w:p w14:paraId="6F028837">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6000≤Y＜80000</w:t>
            </w:r>
          </w:p>
        </w:tc>
        <w:tc>
          <w:tcPr>
            <w:tcW w:w="1164" w:type="dxa"/>
            <w:tcBorders>
              <w:top w:val="nil"/>
              <w:left w:val="nil"/>
              <w:bottom w:val="single" w:color="auto" w:sz="4" w:space="0"/>
              <w:right w:val="single" w:color="auto" w:sz="8" w:space="0"/>
            </w:tcBorders>
            <w:shd w:val="clear" w:color="auto" w:fill="auto"/>
            <w:vAlign w:val="center"/>
          </w:tcPr>
          <w:p w14:paraId="11658DC8">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5000≤Z＜80000</w:t>
            </w:r>
          </w:p>
        </w:tc>
        <w:tc>
          <w:tcPr>
            <w:tcW w:w="867" w:type="dxa"/>
            <w:tcBorders>
              <w:top w:val="nil"/>
              <w:left w:val="nil"/>
              <w:bottom w:val="single" w:color="auto" w:sz="4" w:space="0"/>
              <w:right w:val="single" w:color="auto" w:sz="4" w:space="0"/>
            </w:tcBorders>
            <w:shd w:val="clear" w:color="auto" w:fill="auto"/>
            <w:vAlign w:val="center"/>
          </w:tcPr>
          <w:p w14:paraId="051B1D3C">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1034" w:type="dxa"/>
            <w:tcBorders>
              <w:top w:val="nil"/>
              <w:left w:val="nil"/>
              <w:bottom w:val="single" w:color="auto" w:sz="4" w:space="0"/>
              <w:right w:val="single" w:color="auto" w:sz="4" w:space="0"/>
            </w:tcBorders>
            <w:shd w:val="clear" w:color="auto" w:fill="auto"/>
            <w:vAlign w:val="center"/>
          </w:tcPr>
          <w:p w14:paraId="2E3FB93E">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300≤Y＜6000</w:t>
            </w:r>
          </w:p>
        </w:tc>
        <w:tc>
          <w:tcPr>
            <w:tcW w:w="1067" w:type="dxa"/>
            <w:tcBorders>
              <w:top w:val="nil"/>
              <w:left w:val="nil"/>
              <w:bottom w:val="single" w:color="auto" w:sz="4" w:space="0"/>
              <w:right w:val="single" w:color="auto" w:sz="8" w:space="0"/>
            </w:tcBorders>
            <w:shd w:val="clear" w:color="auto" w:fill="auto"/>
            <w:vAlign w:val="center"/>
          </w:tcPr>
          <w:p w14:paraId="01201DF8">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 300≤Z＜5000</w:t>
            </w:r>
          </w:p>
        </w:tc>
        <w:tc>
          <w:tcPr>
            <w:tcW w:w="898" w:type="dxa"/>
            <w:tcBorders>
              <w:top w:val="nil"/>
              <w:left w:val="nil"/>
              <w:bottom w:val="single" w:color="auto" w:sz="4" w:space="0"/>
              <w:right w:val="single" w:color="auto" w:sz="4" w:space="0"/>
            </w:tcBorders>
            <w:shd w:val="clear" w:color="auto" w:fill="auto"/>
            <w:vAlign w:val="center"/>
          </w:tcPr>
          <w:p w14:paraId="284D5FF8">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91" w:type="dxa"/>
            <w:tcBorders>
              <w:top w:val="nil"/>
              <w:left w:val="nil"/>
              <w:bottom w:val="single" w:color="auto" w:sz="4" w:space="0"/>
              <w:right w:val="single" w:color="auto" w:sz="4" w:space="0"/>
            </w:tcBorders>
            <w:shd w:val="clear" w:color="auto" w:fill="auto"/>
            <w:vAlign w:val="center"/>
          </w:tcPr>
          <w:p w14:paraId="3DA6C051">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Y＜300</w:t>
            </w:r>
          </w:p>
        </w:tc>
        <w:tc>
          <w:tcPr>
            <w:tcW w:w="856" w:type="dxa"/>
            <w:tcBorders>
              <w:top w:val="nil"/>
              <w:left w:val="nil"/>
              <w:bottom w:val="single" w:color="auto" w:sz="4" w:space="0"/>
              <w:right w:val="single" w:color="auto" w:sz="8" w:space="0"/>
            </w:tcBorders>
            <w:shd w:val="clear" w:color="auto" w:fill="auto"/>
            <w:vAlign w:val="center"/>
          </w:tcPr>
          <w:p w14:paraId="24476FE0">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Z＜300</w:t>
            </w:r>
          </w:p>
        </w:tc>
      </w:tr>
      <w:tr w14:paraId="6FA21E03">
        <w:tblPrEx>
          <w:tblCellMar>
            <w:top w:w="0" w:type="dxa"/>
            <w:left w:w="108" w:type="dxa"/>
            <w:bottom w:w="0" w:type="dxa"/>
            <w:right w:w="108" w:type="dxa"/>
          </w:tblCellMar>
        </w:tblPrEx>
        <w:trPr>
          <w:gridAfter w:val="1"/>
          <w:wAfter w:w="16" w:type="dxa"/>
          <w:trHeight w:val="522" w:hRule="atLeast"/>
        </w:trPr>
        <w:tc>
          <w:tcPr>
            <w:tcW w:w="1388" w:type="dxa"/>
            <w:tcBorders>
              <w:top w:val="nil"/>
              <w:left w:val="single" w:color="auto" w:sz="8" w:space="0"/>
              <w:bottom w:val="single" w:color="auto" w:sz="4" w:space="0"/>
              <w:right w:val="single" w:color="auto" w:sz="8" w:space="0"/>
            </w:tcBorders>
            <w:shd w:val="clear" w:color="auto" w:fill="auto"/>
            <w:vAlign w:val="bottom"/>
          </w:tcPr>
          <w:p w14:paraId="1B7409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 4、批发业</w:t>
            </w:r>
          </w:p>
        </w:tc>
        <w:tc>
          <w:tcPr>
            <w:tcW w:w="1047" w:type="dxa"/>
            <w:tcBorders>
              <w:top w:val="nil"/>
              <w:left w:val="nil"/>
              <w:bottom w:val="single" w:color="auto" w:sz="4" w:space="0"/>
              <w:right w:val="single" w:color="auto" w:sz="4" w:space="0"/>
            </w:tcBorders>
            <w:shd w:val="clear" w:color="auto" w:fill="auto"/>
            <w:vAlign w:val="center"/>
          </w:tcPr>
          <w:p w14:paraId="0B2D8320">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 20≤X＜200</w:t>
            </w:r>
          </w:p>
        </w:tc>
        <w:tc>
          <w:tcPr>
            <w:tcW w:w="1232" w:type="dxa"/>
            <w:tcBorders>
              <w:top w:val="nil"/>
              <w:left w:val="nil"/>
              <w:bottom w:val="single" w:color="auto" w:sz="4" w:space="0"/>
              <w:right w:val="single" w:color="auto" w:sz="4" w:space="0"/>
            </w:tcBorders>
            <w:shd w:val="clear" w:color="auto" w:fill="auto"/>
            <w:vAlign w:val="center"/>
          </w:tcPr>
          <w:p w14:paraId="3712DA13">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5000≤Y＜40000</w:t>
            </w:r>
          </w:p>
        </w:tc>
        <w:tc>
          <w:tcPr>
            <w:tcW w:w="1164" w:type="dxa"/>
            <w:tcBorders>
              <w:top w:val="nil"/>
              <w:left w:val="nil"/>
              <w:bottom w:val="single" w:color="auto" w:sz="4" w:space="0"/>
              <w:right w:val="single" w:color="auto" w:sz="8" w:space="0"/>
            </w:tcBorders>
            <w:shd w:val="clear" w:color="auto" w:fill="auto"/>
            <w:vAlign w:val="center"/>
          </w:tcPr>
          <w:p w14:paraId="76DC265A">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67" w:type="dxa"/>
            <w:tcBorders>
              <w:top w:val="nil"/>
              <w:left w:val="nil"/>
              <w:bottom w:val="single" w:color="auto" w:sz="4" w:space="0"/>
              <w:right w:val="single" w:color="auto" w:sz="4" w:space="0"/>
            </w:tcBorders>
            <w:shd w:val="clear" w:color="auto" w:fill="auto"/>
            <w:vAlign w:val="center"/>
          </w:tcPr>
          <w:p w14:paraId="301D6F32">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 5≤X＜20</w:t>
            </w:r>
          </w:p>
        </w:tc>
        <w:tc>
          <w:tcPr>
            <w:tcW w:w="1034" w:type="dxa"/>
            <w:tcBorders>
              <w:top w:val="nil"/>
              <w:left w:val="nil"/>
              <w:bottom w:val="single" w:color="auto" w:sz="4" w:space="0"/>
              <w:right w:val="single" w:color="auto" w:sz="4" w:space="0"/>
            </w:tcBorders>
            <w:shd w:val="clear" w:color="auto" w:fill="auto"/>
            <w:vAlign w:val="center"/>
          </w:tcPr>
          <w:p w14:paraId="7C91A279">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1000≤Y＜5000</w:t>
            </w:r>
          </w:p>
        </w:tc>
        <w:tc>
          <w:tcPr>
            <w:tcW w:w="1067" w:type="dxa"/>
            <w:tcBorders>
              <w:top w:val="nil"/>
              <w:left w:val="nil"/>
              <w:bottom w:val="single" w:color="auto" w:sz="4" w:space="0"/>
              <w:right w:val="single" w:color="auto" w:sz="8" w:space="0"/>
            </w:tcBorders>
            <w:shd w:val="clear" w:color="auto" w:fill="auto"/>
            <w:vAlign w:val="center"/>
          </w:tcPr>
          <w:p w14:paraId="618EF111">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98" w:type="dxa"/>
            <w:tcBorders>
              <w:top w:val="nil"/>
              <w:left w:val="nil"/>
              <w:bottom w:val="single" w:color="auto" w:sz="4" w:space="0"/>
              <w:right w:val="single" w:color="auto" w:sz="4" w:space="0"/>
            </w:tcBorders>
            <w:shd w:val="clear" w:color="auto" w:fill="auto"/>
            <w:vAlign w:val="center"/>
          </w:tcPr>
          <w:p w14:paraId="40CA0FA8">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X＜5</w:t>
            </w:r>
          </w:p>
        </w:tc>
        <w:tc>
          <w:tcPr>
            <w:tcW w:w="891" w:type="dxa"/>
            <w:tcBorders>
              <w:top w:val="nil"/>
              <w:left w:val="nil"/>
              <w:bottom w:val="single" w:color="auto" w:sz="4" w:space="0"/>
              <w:right w:val="single" w:color="auto" w:sz="4" w:space="0"/>
            </w:tcBorders>
            <w:shd w:val="clear" w:color="auto" w:fill="auto"/>
            <w:vAlign w:val="center"/>
          </w:tcPr>
          <w:p w14:paraId="4F736D19">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Y＜1000</w:t>
            </w:r>
          </w:p>
        </w:tc>
        <w:tc>
          <w:tcPr>
            <w:tcW w:w="856" w:type="dxa"/>
            <w:tcBorders>
              <w:top w:val="nil"/>
              <w:left w:val="nil"/>
              <w:bottom w:val="single" w:color="auto" w:sz="4" w:space="0"/>
              <w:right w:val="single" w:color="auto" w:sz="8" w:space="0"/>
            </w:tcBorders>
            <w:shd w:val="clear" w:color="auto" w:fill="auto"/>
            <w:vAlign w:val="center"/>
          </w:tcPr>
          <w:p w14:paraId="7217A8A5">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r>
      <w:tr w14:paraId="767DDB0E">
        <w:tblPrEx>
          <w:tblCellMar>
            <w:top w:w="0" w:type="dxa"/>
            <w:left w:w="108" w:type="dxa"/>
            <w:bottom w:w="0" w:type="dxa"/>
            <w:right w:w="108" w:type="dxa"/>
          </w:tblCellMar>
        </w:tblPrEx>
        <w:trPr>
          <w:gridAfter w:val="1"/>
          <w:wAfter w:w="16" w:type="dxa"/>
          <w:trHeight w:val="474" w:hRule="atLeast"/>
        </w:trPr>
        <w:tc>
          <w:tcPr>
            <w:tcW w:w="1388" w:type="dxa"/>
            <w:tcBorders>
              <w:top w:val="nil"/>
              <w:left w:val="single" w:color="auto" w:sz="8" w:space="0"/>
              <w:bottom w:val="single" w:color="auto" w:sz="4" w:space="0"/>
              <w:right w:val="single" w:color="auto" w:sz="8" w:space="0"/>
            </w:tcBorders>
            <w:shd w:val="clear" w:color="auto" w:fill="auto"/>
            <w:vAlign w:val="bottom"/>
          </w:tcPr>
          <w:p w14:paraId="0CC59B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 5、零售业</w:t>
            </w:r>
          </w:p>
        </w:tc>
        <w:tc>
          <w:tcPr>
            <w:tcW w:w="1047" w:type="dxa"/>
            <w:tcBorders>
              <w:top w:val="nil"/>
              <w:left w:val="nil"/>
              <w:bottom w:val="single" w:color="auto" w:sz="4" w:space="0"/>
              <w:right w:val="single" w:color="auto" w:sz="4" w:space="0"/>
            </w:tcBorders>
            <w:shd w:val="clear" w:color="auto" w:fill="auto"/>
            <w:vAlign w:val="center"/>
          </w:tcPr>
          <w:p w14:paraId="35853349">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 50≤X＜300</w:t>
            </w:r>
          </w:p>
        </w:tc>
        <w:tc>
          <w:tcPr>
            <w:tcW w:w="1232" w:type="dxa"/>
            <w:tcBorders>
              <w:top w:val="nil"/>
              <w:left w:val="nil"/>
              <w:bottom w:val="single" w:color="auto" w:sz="4" w:space="0"/>
              <w:right w:val="single" w:color="auto" w:sz="4" w:space="0"/>
            </w:tcBorders>
            <w:shd w:val="clear" w:color="auto" w:fill="auto"/>
            <w:vAlign w:val="center"/>
          </w:tcPr>
          <w:p w14:paraId="57492E75">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 500≤Y＜20000</w:t>
            </w:r>
          </w:p>
        </w:tc>
        <w:tc>
          <w:tcPr>
            <w:tcW w:w="1164" w:type="dxa"/>
            <w:tcBorders>
              <w:top w:val="nil"/>
              <w:left w:val="nil"/>
              <w:bottom w:val="single" w:color="auto" w:sz="4" w:space="0"/>
              <w:right w:val="single" w:color="auto" w:sz="8" w:space="0"/>
            </w:tcBorders>
            <w:shd w:val="clear" w:color="auto" w:fill="auto"/>
            <w:vAlign w:val="center"/>
          </w:tcPr>
          <w:p w14:paraId="619D944C">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67" w:type="dxa"/>
            <w:tcBorders>
              <w:top w:val="nil"/>
              <w:left w:val="nil"/>
              <w:bottom w:val="single" w:color="auto" w:sz="4" w:space="0"/>
              <w:right w:val="single" w:color="auto" w:sz="4" w:space="0"/>
            </w:tcBorders>
            <w:shd w:val="clear" w:color="auto" w:fill="auto"/>
            <w:vAlign w:val="center"/>
          </w:tcPr>
          <w:p w14:paraId="2CCCF653">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10≤X＜50</w:t>
            </w:r>
          </w:p>
        </w:tc>
        <w:tc>
          <w:tcPr>
            <w:tcW w:w="1034" w:type="dxa"/>
            <w:tcBorders>
              <w:top w:val="nil"/>
              <w:left w:val="nil"/>
              <w:bottom w:val="single" w:color="auto" w:sz="4" w:space="0"/>
              <w:right w:val="single" w:color="auto" w:sz="4" w:space="0"/>
            </w:tcBorders>
            <w:shd w:val="clear" w:color="auto" w:fill="auto"/>
            <w:vAlign w:val="center"/>
          </w:tcPr>
          <w:p w14:paraId="24F6EDA3">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100≤Y＜500</w:t>
            </w:r>
          </w:p>
        </w:tc>
        <w:tc>
          <w:tcPr>
            <w:tcW w:w="1067" w:type="dxa"/>
            <w:tcBorders>
              <w:top w:val="nil"/>
              <w:left w:val="nil"/>
              <w:bottom w:val="single" w:color="auto" w:sz="4" w:space="0"/>
              <w:right w:val="single" w:color="auto" w:sz="8" w:space="0"/>
            </w:tcBorders>
            <w:shd w:val="clear" w:color="auto" w:fill="auto"/>
            <w:vAlign w:val="center"/>
          </w:tcPr>
          <w:p w14:paraId="4A425078">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98" w:type="dxa"/>
            <w:tcBorders>
              <w:top w:val="nil"/>
              <w:left w:val="nil"/>
              <w:bottom w:val="single" w:color="auto" w:sz="4" w:space="0"/>
              <w:right w:val="single" w:color="auto" w:sz="4" w:space="0"/>
            </w:tcBorders>
            <w:shd w:val="clear" w:color="auto" w:fill="auto"/>
            <w:vAlign w:val="center"/>
          </w:tcPr>
          <w:p w14:paraId="3E99D4EC">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X＜10</w:t>
            </w:r>
          </w:p>
        </w:tc>
        <w:tc>
          <w:tcPr>
            <w:tcW w:w="891" w:type="dxa"/>
            <w:tcBorders>
              <w:top w:val="nil"/>
              <w:left w:val="nil"/>
              <w:bottom w:val="single" w:color="auto" w:sz="4" w:space="0"/>
              <w:right w:val="single" w:color="auto" w:sz="4" w:space="0"/>
            </w:tcBorders>
            <w:shd w:val="clear" w:color="auto" w:fill="auto"/>
            <w:vAlign w:val="center"/>
          </w:tcPr>
          <w:p w14:paraId="7F54C124">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Y＜100</w:t>
            </w:r>
          </w:p>
        </w:tc>
        <w:tc>
          <w:tcPr>
            <w:tcW w:w="856" w:type="dxa"/>
            <w:tcBorders>
              <w:top w:val="nil"/>
              <w:left w:val="nil"/>
              <w:bottom w:val="single" w:color="auto" w:sz="4" w:space="0"/>
              <w:right w:val="single" w:color="auto" w:sz="8" w:space="0"/>
            </w:tcBorders>
            <w:shd w:val="clear" w:color="auto" w:fill="auto"/>
            <w:vAlign w:val="center"/>
          </w:tcPr>
          <w:p w14:paraId="4865ED4A">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r>
      <w:tr w14:paraId="6B846F65">
        <w:tblPrEx>
          <w:tblCellMar>
            <w:top w:w="0" w:type="dxa"/>
            <w:left w:w="108" w:type="dxa"/>
            <w:bottom w:w="0" w:type="dxa"/>
            <w:right w:w="108" w:type="dxa"/>
          </w:tblCellMar>
        </w:tblPrEx>
        <w:trPr>
          <w:gridAfter w:val="1"/>
          <w:wAfter w:w="16" w:type="dxa"/>
          <w:trHeight w:val="474" w:hRule="atLeast"/>
        </w:trPr>
        <w:tc>
          <w:tcPr>
            <w:tcW w:w="1388" w:type="dxa"/>
            <w:tcBorders>
              <w:top w:val="nil"/>
              <w:left w:val="single" w:color="auto" w:sz="8" w:space="0"/>
              <w:bottom w:val="single" w:color="auto" w:sz="4" w:space="0"/>
              <w:right w:val="single" w:color="auto" w:sz="8" w:space="0"/>
            </w:tcBorders>
            <w:shd w:val="clear" w:color="auto" w:fill="auto"/>
            <w:vAlign w:val="bottom"/>
          </w:tcPr>
          <w:p w14:paraId="2294B01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 6、交通运输业</w:t>
            </w:r>
          </w:p>
        </w:tc>
        <w:tc>
          <w:tcPr>
            <w:tcW w:w="1047" w:type="dxa"/>
            <w:tcBorders>
              <w:top w:val="nil"/>
              <w:left w:val="nil"/>
              <w:bottom w:val="single" w:color="auto" w:sz="4" w:space="0"/>
              <w:right w:val="single" w:color="auto" w:sz="4" w:space="0"/>
            </w:tcBorders>
            <w:shd w:val="clear" w:color="auto" w:fill="auto"/>
            <w:vAlign w:val="center"/>
          </w:tcPr>
          <w:p w14:paraId="111129E7">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300≤X＜1000</w:t>
            </w:r>
          </w:p>
        </w:tc>
        <w:tc>
          <w:tcPr>
            <w:tcW w:w="1232" w:type="dxa"/>
            <w:tcBorders>
              <w:top w:val="nil"/>
              <w:left w:val="nil"/>
              <w:bottom w:val="single" w:color="auto" w:sz="4" w:space="0"/>
              <w:right w:val="single" w:color="auto" w:sz="4" w:space="0"/>
            </w:tcBorders>
            <w:shd w:val="clear" w:color="auto" w:fill="auto"/>
            <w:vAlign w:val="center"/>
          </w:tcPr>
          <w:p w14:paraId="032F8C2A">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3000≤Y＜30000</w:t>
            </w:r>
          </w:p>
        </w:tc>
        <w:tc>
          <w:tcPr>
            <w:tcW w:w="1164" w:type="dxa"/>
            <w:tcBorders>
              <w:top w:val="nil"/>
              <w:left w:val="nil"/>
              <w:bottom w:val="single" w:color="auto" w:sz="4" w:space="0"/>
              <w:right w:val="single" w:color="auto" w:sz="8" w:space="0"/>
            </w:tcBorders>
            <w:shd w:val="clear" w:color="auto" w:fill="auto"/>
            <w:vAlign w:val="center"/>
          </w:tcPr>
          <w:p w14:paraId="664DD38B">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67" w:type="dxa"/>
            <w:tcBorders>
              <w:top w:val="nil"/>
              <w:left w:val="nil"/>
              <w:bottom w:val="single" w:color="auto" w:sz="4" w:space="0"/>
              <w:right w:val="single" w:color="auto" w:sz="4" w:space="0"/>
            </w:tcBorders>
            <w:shd w:val="clear" w:color="auto" w:fill="auto"/>
            <w:vAlign w:val="center"/>
          </w:tcPr>
          <w:p w14:paraId="4BA90680">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20≤X＜300</w:t>
            </w:r>
          </w:p>
        </w:tc>
        <w:tc>
          <w:tcPr>
            <w:tcW w:w="1034" w:type="dxa"/>
            <w:tcBorders>
              <w:top w:val="nil"/>
              <w:left w:val="nil"/>
              <w:bottom w:val="single" w:color="auto" w:sz="4" w:space="0"/>
              <w:right w:val="single" w:color="auto" w:sz="4" w:space="0"/>
            </w:tcBorders>
            <w:shd w:val="clear" w:color="auto" w:fill="auto"/>
            <w:vAlign w:val="center"/>
          </w:tcPr>
          <w:p w14:paraId="584E84E0">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200≤Y＜3000</w:t>
            </w:r>
          </w:p>
        </w:tc>
        <w:tc>
          <w:tcPr>
            <w:tcW w:w="1067" w:type="dxa"/>
            <w:tcBorders>
              <w:top w:val="nil"/>
              <w:left w:val="nil"/>
              <w:bottom w:val="single" w:color="auto" w:sz="4" w:space="0"/>
              <w:right w:val="single" w:color="auto" w:sz="8" w:space="0"/>
            </w:tcBorders>
            <w:shd w:val="clear" w:color="auto" w:fill="auto"/>
            <w:vAlign w:val="center"/>
          </w:tcPr>
          <w:p w14:paraId="468B364F">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98" w:type="dxa"/>
            <w:tcBorders>
              <w:top w:val="nil"/>
              <w:left w:val="nil"/>
              <w:bottom w:val="single" w:color="auto" w:sz="4" w:space="0"/>
              <w:right w:val="single" w:color="auto" w:sz="4" w:space="0"/>
            </w:tcBorders>
            <w:shd w:val="clear" w:color="auto" w:fill="auto"/>
            <w:vAlign w:val="center"/>
          </w:tcPr>
          <w:p w14:paraId="4D34629F">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X＜20</w:t>
            </w:r>
          </w:p>
        </w:tc>
        <w:tc>
          <w:tcPr>
            <w:tcW w:w="891" w:type="dxa"/>
            <w:tcBorders>
              <w:top w:val="nil"/>
              <w:left w:val="nil"/>
              <w:bottom w:val="single" w:color="auto" w:sz="4" w:space="0"/>
              <w:right w:val="single" w:color="auto" w:sz="4" w:space="0"/>
            </w:tcBorders>
            <w:shd w:val="clear" w:color="auto" w:fill="auto"/>
            <w:vAlign w:val="center"/>
          </w:tcPr>
          <w:p w14:paraId="6198C82B">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V＜200</w:t>
            </w:r>
          </w:p>
        </w:tc>
        <w:tc>
          <w:tcPr>
            <w:tcW w:w="856" w:type="dxa"/>
            <w:tcBorders>
              <w:top w:val="nil"/>
              <w:left w:val="nil"/>
              <w:bottom w:val="single" w:color="auto" w:sz="4" w:space="0"/>
              <w:right w:val="single" w:color="auto" w:sz="8" w:space="0"/>
            </w:tcBorders>
            <w:shd w:val="clear" w:color="auto" w:fill="auto"/>
            <w:vAlign w:val="center"/>
          </w:tcPr>
          <w:p w14:paraId="60762E0A">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r>
      <w:tr w14:paraId="2E85E64E">
        <w:tblPrEx>
          <w:tblCellMar>
            <w:top w:w="0" w:type="dxa"/>
            <w:left w:w="108" w:type="dxa"/>
            <w:bottom w:w="0" w:type="dxa"/>
            <w:right w:w="108" w:type="dxa"/>
          </w:tblCellMar>
        </w:tblPrEx>
        <w:trPr>
          <w:gridAfter w:val="1"/>
          <w:wAfter w:w="16" w:type="dxa"/>
          <w:trHeight w:val="474" w:hRule="atLeast"/>
        </w:trPr>
        <w:tc>
          <w:tcPr>
            <w:tcW w:w="1388" w:type="dxa"/>
            <w:tcBorders>
              <w:top w:val="nil"/>
              <w:left w:val="single" w:color="auto" w:sz="8" w:space="0"/>
              <w:bottom w:val="single" w:color="auto" w:sz="4" w:space="0"/>
              <w:right w:val="single" w:color="auto" w:sz="8" w:space="0"/>
            </w:tcBorders>
            <w:shd w:val="clear" w:color="auto" w:fill="auto"/>
            <w:vAlign w:val="bottom"/>
          </w:tcPr>
          <w:p w14:paraId="1A0F28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 7、仓储业</w:t>
            </w:r>
          </w:p>
        </w:tc>
        <w:tc>
          <w:tcPr>
            <w:tcW w:w="1047" w:type="dxa"/>
            <w:tcBorders>
              <w:top w:val="nil"/>
              <w:left w:val="nil"/>
              <w:bottom w:val="single" w:color="auto" w:sz="4" w:space="0"/>
              <w:right w:val="single" w:color="auto" w:sz="4" w:space="0"/>
            </w:tcBorders>
            <w:shd w:val="clear" w:color="auto" w:fill="auto"/>
            <w:vAlign w:val="center"/>
          </w:tcPr>
          <w:p w14:paraId="747CB0A1">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100≤X＜200</w:t>
            </w:r>
          </w:p>
        </w:tc>
        <w:tc>
          <w:tcPr>
            <w:tcW w:w="1232" w:type="dxa"/>
            <w:tcBorders>
              <w:top w:val="nil"/>
              <w:left w:val="nil"/>
              <w:bottom w:val="single" w:color="auto" w:sz="4" w:space="0"/>
              <w:right w:val="single" w:color="auto" w:sz="4" w:space="0"/>
            </w:tcBorders>
            <w:shd w:val="clear" w:color="auto" w:fill="auto"/>
            <w:vAlign w:val="center"/>
          </w:tcPr>
          <w:p w14:paraId="7C0FA286">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1000≤Y＜30000</w:t>
            </w:r>
          </w:p>
        </w:tc>
        <w:tc>
          <w:tcPr>
            <w:tcW w:w="1164" w:type="dxa"/>
            <w:tcBorders>
              <w:top w:val="nil"/>
              <w:left w:val="nil"/>
              <w:bottom w:val="single" w:color="auto" w:sz="4" w:space="0"/>
              <w:right w:val="single" w:color="auto" w:sz="8" w:space="0"/>
            </w:tcBorders>
            <w:shd w:val="clear" w:color="auto" w:fill="auto"/>
            <w:vAlign w:val="center"/>
          </w:tcPr>
          <w:p w14:paraId="463B86D6">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67" w:type="dxa"/>
            <w:tcBorders>
              <w:top w:val="nil"/>
              <w:left w:val="nil"/>
              <w:bottom w:val="single" w:color="auto" w:sz="4" w:space="0"/>
              <w:right w:val="single" w:color="auto" w:sz="4" w:space="0"/>
            </w:tcBorders>
            <w:shd w:val="clear" w:color="auto" w:fill="auto"/>
            <w:vAlign w:val="center"/>
          </w:tcPr>
          <w:p w14:paraId="4239ACB5">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20≤X＜100</w:t>
            </w:r>
          </w:p>
        </w:tc>
        <w:tc>
          <w:tcPr>
            <w:tcW w:w="1034" w:type="dxa"/>
            <w:tcBorders>
              <w:top w:val="nil"/>
              <w:left w:val="nil"/>
              <w:bottom w:val="single" w:color="auto" w:sz="4" w:space="0"/>
              <w:right w:val="single" w:color="auto" w:sz="4" w:space="0"/>
            </w:tcBorders>
            <w:shd w:val="clear" w:color="auto" w:fill="auto"/>
            <w:vAlign w:val="center"/>
          </w:tcPr>
          <w:p w14:paraId="564A358B">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100≤Y＜1000</w:t>
            </w:r>
          </w:p>
        </w:tc>
        <w:tc>
          <w:tcPr>
            <w:tcW w:w="1067" w:type="dxa"/>
            <w:tcBorders>
              <w:top w:val="nil"/>
              <w:left w:val="nil"/>
              <w:bottom w:val="single" w:color="auto" w:sz="4" w:space="0"/>
              <w:right w:val="single" w:color="auto" w:sz="8" w:space="0"/>
            </w:tcBorders>
            <w:shd w:val="clear" w:color="auto" w:fill="auto"/>
            <w:vAlign w:val="center"/>
          </w:tcPr>
          <w:p w14:paraId="27BF727B">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98" w:type="dxa"/>
            <w:tcBorders>
              <w:top w:val="nil"/>
              <w:left w:val="nil"/>
              <w:bottom w:val="single" w:color="auto" w:sz="4" w:space="0"/>
              <w:right w:val="single" w:color="auto" w:sz="4" w:space="0"/>
            </w:tcBorders>
            <w:shd w:val="clear" w:color="auto" w:fill="auto"/>
            <w:vAlign w:val="center"/>
          </w:tcPr>
          <w:p w14:paraId="0A6688F7">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X＜20</w:t>
            </w:r>
          </w:p>
        </w:tc>
        <w:tc>
          <w:tcPr>
            <w:tcW w:w="891" w:type="dxa"/>
            <w:tcBorders>
              <w:top w:val="nil"/>
              <w:left w:val="nil"/>
              <w:bottom w:val="single" w:color="auto" w:sz="4" w:space="0"/>
              <w:right w:val="single" w:color="auto" w:sz="4" w:space="0"/>
            </w:tcBorders>
            <w:shd w:val="clear" w:color="auto" w:fill="auto"/>
            <w:vAlign w:val="center"/>
          </w:tcPr>
          <w:p w14:paraId="396CA85B">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Y＜100</w:t>
            </w:r>
          </w:p>
        </w:tc>
        <w:tc>
          <w:tcPr>
            <w:tcW w:w="856" w:type="dxa"/>
            <w:tcBorders>
              <w:top w:val="nil"/>
              <w:left w:val="nil"/>
              <w:bottom w:val="single" w:color="auto" w:sz="4" w:space="0"/>
              <w:right w:val="single" w:color="auto" w:sz="8" w:space="0"/>
            </w:tcBorders>
            <w:shd w:val="clear" w:color="auto" w:fill="auto"/>
            <w:vAlign w:val="center"/>
          </w:tcPr>
          <w:p w14:paraId="7A08E698">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r>
      <w:tr w14:paraId="6FD15048">
        <w:tblPrEx>
          <w:tblCellMar>
            <w:top w:w="0" w:type="dxa"/>
            <w:left w:w="108" w:type="dxa"/>
            <w:bottom w:w="0" w:type="dxa"/>
            <w:right w:w="108" w:type="dxa"/>
          </w:tblCellMar>
        </w:tblPrEx>
        <w:trPr>
          <w:gridAfter w:val="1"/>
          <w:wAfter w:w="16" w:type="dxa"/>
          <w:trHeight w:val="474" w:hRule="atLeast"/>
        </w:trPr>
        <w:tc>
          <w:tcPr>
            <w:tcW w:w="1388" w:type="dxa"/>
            <w:tcBorders>
              <w:top w:val="nil"/>
              <w:left w:val="single" w:color="auto" w:sz="8" w:space="0"/>
              <w:bottom w:val="single" w:color="auto" w:sz="4" w:space="0"/>
              <w:right w:val="single" w:color="auto" w:sz="8" w:space="0"/>
            </w:tcBorders>
            <w:shd w:val="clear" w:color="auto" w:fill="auto"/>
            <w:vAlign w:val="bottom"/>
          </w:tcPr>
          <w:p w14:paraId="57DD644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 8、邮政业</w:t>
            </w:r>
          </w:p>
        </w:tc>
        <w:tc>
          <w:tcPr>
            <w:tcW w:w="1047" w:type="dxa"/>
            <w:tcBorders>
              <w:top w:val="nil"/>
              <w:left w:val="nil"/>
              <w:bottom w:val="single" w:color="auto" w:sz="4" w:space="0"/>
              <w:right w:val="single" w:color="auto" w:sz="4" w:space="0"/>
            </w:tcBorders>
            <w:shd w:val="clear" w:color="auto" w:fill="auto"/>
            <w:vAlign w:val="center"/>
          </w:tcPr>
          <w:p w14:paraId="641880DB">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300≤X＜1000</w:t>
            </w:r>
          </w:p>
        </w:tc>
        <w:tc>
          <w:tcPr>
            <w:tcW w:w="1232" w:type="dxa"/>
            <w:tcBorders>
              <w:top w:val="nil"/>
              <w:left w:val="nil"/>
              <w:bottom w:val="single" w:color="auto" w:sz="4" w:space="0"/>
              <w:right w:val="single" w:color="auto" w:sz="4" w:space="0"/>
            </w:tcBorders>
            <w:shd w:val="clear" w:color="auto" w:fill="auto"/>
            <w:vAlign w:val="center"/>
          </w:tcPr>
          <w:p w14:paraId="34148D28">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2000≤Y＜30000</w:t>
            </w:r>
          </w:p>
        </w:tc>
        <w:tc>
          <w:tcPr>
            <w:tcW w:w="1164" w:type="dxa"/>
            <w:tcBorders>
              <w:top w:val="nil"/>
              <w:left w:val="nil"/>
              <w:bottom w:val="single" w:color="auto" w:sz="4" w:space="0"/>
              <w:right w:val="single" w:color="auto" w:sz="8" w:space="0"/>
            </w:tcBorders>
            <w:shd w:val="clear" w:color="auto" w:fill="auto"/>
            <w:vAlign w:val="center"/>
          </w:tcPr>
          <w:p w14:paraId="5222088C">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67" w:type="dxa"/>
            <w:tcBorders>
              <w:top w:val="nil"/>
              <w:left w:val="nil"/>
              <w:bottom w:val="single" w:color="auto" w:sz="4" w:space="0"/>
              <w:right w:val="single" w:color="auto" w:sz="4" w:space="0"/>
            </w:tcBorders>
            <w:shd w:val="clear" w:color="auto" w:fill="auto"/>
            <w:vAlign w:val="center"/>
          </w:tcPr>
          <w:p w14:paraId="26DD0A89">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20≤X＜300</w:t>
            </w:r>
          </w:p>
        </w:tc>
        <w:tc>
          <w:tcPr>
            <w:tcW w:w="1034" w:type="dxa"/>
            <w:tcBorders>
              <w:top w:val="nil"/>
              <w:left w:val="nil"/>
              <w:bottom w:val="single" w:color="auto" w:sz="4" w:space="0"/>
              <w:right w:val="single" w:color="auto" w:sz="4" w:space="0"/>
            </w:tcBorders>
            <w:shd w:val="clear" w:color="auto" w:fill="auto"/>
            <w:vAlign w:val="center"/>
          </w:tcPr>
          <w:p w14:paraId="6190E531">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100≤Y＜2000</w:t>
            </w:r>
          </w:p>
        </w:tc>
        <w:tc>
          <w:tcPr>
            <w:tcW w:w="1067" w:type="dxa"/>
            <w:tcBorders>
              <w:top w:val="nil"/>
              <w:left w:val="nil"/>
              <w:bottom w:val="single" w:color="auto" w:sz="4" w:space="0"/>
              <w:right w:val="single" w:color="auto" w:sz="8" w:space="0"/>
            </w:tcBorders>
            <w:shd w:val="clear" w:color="auto" w:fill="auto"/>
            <w:vAlign w:val="center"/>
          </w:tcPr>
          <w:p w14:paraId="428E42B2">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98" w:type="dxa"/>
            <w:tcBorders>
              <w:top w:val="nil"/>
              <w:left w:val="nil"/>
              <w:bottom w:val="single" w:color="auto" w:sz="4" w:space="0"/>
              <w:right w:val="single" w:color="auto" w:sz="4" w:space="0"/>
            </w:tcBorders>
            <w:shd w:val="clear" w:color="auto" w:fill="auto"/>
            <w:vAlign w:val="center"/>
          </w:tcPr>
          <w:p w14:paraId="50D1D33A">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X＜20</w:t>
            </w:r>
          </w:p>
        </w:tc>
        <w:tc>
          <w:tcPr>
            <w:tcW w:w="891" w:type="dxa"/>
            <w:tcBorders>
              <w:top w:val="nil"/>
              <w:left w:val="nil"/>
              <w:bottom w:val="single" w:color="auto" w:sz="4" w:space="0"/>
              <w:right w:val="single" w:color="auto" w:sz="4" w:space="0"/>
            </w:tcBorders>
            <w:shd w:val="clear" w:color="auto" w:fill="auto"/>
            <w:vAlign w:val="center"/>
          </w:tcPr>
          <w:p w14:paraId="396591C1">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Y＜100</w:t>
            </w:r>
          </w:p>
        </w:tc>
        <w:tc>
          <w:tcPr>
            <w:tcW w:w="856" w:type="dxa"/>
            <w:tcBorders>
              <w:top w:val="nil"/>
              <w:left w:val="nil"/>
              <w:bottom w:val="single" w:color="auto" w:sz="4" w:space="0"/>
              <w:right w:val="single" w:color="auto" w:sz="8" w:space="0"/>
            </w:tcBorders>
            <w:shd w:val="clear" w:color="auto" w:fill="auto"/>
            <w:vAlign w:val="center"/>
          </w:tcPr>
          <w:p w14:paraId="6C7DC60C">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r>
      <w:tr w14:paraId="37D73705">
        <w:tblPrEx>
          <w:tblCellMar>
            <w:top w:w="0" w:type="dxa"/>
            <w:left w:w="108" w:type="dxa"/>
            <w:bottom w:w="0" w:type="dxa"/>
            <w:right w:w="108" w:type="dxa"/>
          </w:tblCellMar>
        </w:tblPrEx>
        <w:trPr>
          <w:gridAfter w:val="1"/>
          <w:wAfter w:w="16" w:type="dxa"/>
          <w:trHeight w:val="474" w:hRule="atLeast"/>
        </w:trPr>
        <w:tc>
          <w:tcPr>
            <w:tcW w:w="1388" w:type="dxa"/>
            <w:tcBorders>
              <w:top w:val="nil"/>
              <w:left w:val="single" w:color="auto" w:sz="8" w:space="0"/>
              <w:bottom w:val="single" w:color="auto" w:sz="4" w:space="0"/>
              <w:right w:val="single" w:color="auto" w:sz="8" w:space="0"/>
            </w:tcBorders>
            <w:shd w:val="clear" w:color="auto" w:fill="auto"/>
            <w:vAlign w:val="bottom"/>
          </w:tcPr>
          <w:p w14:paraId="3BBA356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 9、住宿业</w:t>
            </w:r>
          </w:p>
        </w:tc>
        <w:tc>
          <w:tcPr>
            <w:tcW w:w="1047" w:type="dxa"/>
            <w:tcBorders>
              <w:top w:val="nil"/>
              <w:left w:val="nil"/>
              <w:bottom w:val="single" w:color="auto" w:sz="4" w:space="0"/>
              <w:right w:val="single" w:color="auto" w:sz="4" w:space="0"/>
            </w:tcBorders>
            <w:shd w:val="clear" w:color="auto" w:fill="auto"/>
            <w:vAlign w:val="center"/>
          </w:tcPr>
          <w:p w14:paraId="19FB4C96">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100≤X＜300</w:t>
            </w:r>
          </w:p>
        </w:tc>
        <w:tc>
          <w:tcPr>
            <w:tcW w:w="1232" w:type="dxa"/>
            <w:tcBorders>
              <w:top w:val="nil"/>
              <w:left w:val="nil"/>
              <w:bottom w:val="single" w:color="auto" w:sz="4" w:space="0"/>
              <w:right w:val="single" w:color="auto" w:sz="4" w:space="0"/>
            </w:tcBorders>
            <w:shd w:val="clear" w:color="auto" w:fill="auto"/>
            <w:vAlign w:val="center"/>
          </w:tcPr>
          <w:p w14:paraId="3C587C54">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2000≤Y＜10000</w:t>
            </w:r>
          </w:p>
        </w:tc>
        <w:tc>
          <w:tcPr>
            <w:tcW w:w="1164" w:type="dxa"/>
            <w:tcBorders>
              <w:top w:val="nil"/>
              <w:left w:val="nil"/>
              <w:bottom w:val="single" w:color="auto" w:sz="4" w:space="0"/>
              <w:right w:val="single" w:color="auto" w:sz="8" w:space="0"/>
            </w:tcBorders>
            <w:shd w:val="clear" w:color="auto" w:fill="auto"/>
            <w:vAlign w:val="center"/>
          </w:tcPr>
          <w:p w14:paraId="08C16BC5">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67" w:type="dxa"/>
            <w:tcBorders>
              <w:top w:val="nil"/>
              <w:left w:val="nil"/>
              <w:bottom w:val="single" w:color="auto" w:sz="4" w:space="0"/>
              <w:right w:val="single" w:color="auto" w:sz="4" w:space="0"/>
            </w:tcBorders>
            <w:shd w:val="clear" w:color="auto" w:fill="auto"/>
            <w:vAlign w:val="center"/>
          </w:tcPr>
          <w:p w14:paraId="5C63FED8">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10≤X＜100</w:t>
            </w:r>
          </w:p>
        </w:tc>
        <w:tc>
          <w:tcPr>
            <w:tcW w:w="1034" w:type="dxa"/>
            <w:tcBorders>
              <w:top w:val="nil"/>
              <w:left w:val="nil"/>
              <w:bottom w:val="single" w:color="auto" w:sz="4" w:space="0"/>
              <w:right w:val="single" w:color="auto" w:sz="4" w:space="0"/>
            </w:tcBorders>
            <w:shd w:val="clear" w:color="auto" w:fill="auto"/>
            <w:vAlign w:val="center"/>
          </w:tcPr>
          <w:p w14:paraId="376DA4BA">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100≤Y＜2000</w:t>
            </w:r>
          </w:p>
        </w:tc>
        <w:tc>
          <w:tcPr>
            <w:tcW w:w="1067" w:type="dxa"/>
            <w:tcBorders>
              <w:top w:val="nil"/>
              <w:left w:val="nil"/>
              <w:bottom w:val="single" w:color="auto" w:sz="4" w:space="0"/>
              <w:right w:val="single" w:color="auto" w:sz="8" w:space="0"/>
            </w:tcBorders>
            <w:shd w:val="clear" w:color="auto" w:fill="auto"/>
            <w:vAlign w:val="center"/>
          </w:tcPr>
          <w:p w14:paraId="363F3AFD">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98" w:type="dxa"/>
            <w:tcBorders>
              <w:top w:val="nil"/>
              <w:left w:val="nil"/>
              <w:bottom w:val="single" w:color="auto" w:sz="4" w:space="0"/>
              <w:right w:val="single" w:color="auto" w:sz="4" w:space="0"/>
            </w:tcBorders>
            <w:shd w:val="clear" w:color="auto" w:fill="auto"/>
            <w:vAlign w:val="center"/>
          </w:tcPr>
          <w:p w14:paraId="74931193">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X＜10</w:t>
            </w:r>
          </w:p>
        </w:tc>
        <w:tc>
          <w:tcPr>
            <w:tcW w:w="891" w:type="dxa"/>
            <w:tcBorders>
              <w:top w:val="nil"/>
              <w:left w:val="nil"/>
              <w:bottom w:val="single" w:color="auto" w:sz="4" w:space="0"/>
              <w:right w:val="single" w:color="auto" w:sz="4" w:space="0"/>
            </w:tcBorders>
            <w:shd w:val="clear" w:color="auto" w:fill="auto"/>
            <w:vAlign w:val="center"/>
          </w:tcPr>
          <w:p w14:paraId="03DCBBA5">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Y＜100</w:t>
            </w:r>
          </w:p>
        </w:tc>
        <w:tc>
          <w:tcPr>
            <w:tcW w:w="856" w:type="dxa"/>
            <w:tcBorders>
              <w:top w:val="nil"/>
              <w:left w:val="nil"/>
              <w:bottom w:val="single" w:color="auto" w:sz="4" w:space="0"/>
              <w:right w:val="single" w:color="auto" w:sz="8" w:space="0"/>
            </w:tcBorders>
            <w:shd w:val="clear" w:color="auto" w:fill="auto"/>
            <w:vAlign w:val="center"/>
          </w:tcPr>
          <w:p w14:paraId="145B01FD">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r>
      <w:tr w14:paraId="19AFFE23">
        <w:tblPrEx>
          <w:tblCellMar>
            <w:top w:w="0" w:type="dxa"/>
            <w:left w:w="108" w:type="dxa"/>
            <w:bottom w:w="0" w:type="dxa"/>
            <w:right w:w="108" w:type="dxa"/>
          </w:tblCellMar>
        </w:tblPrEx>
        <w:trPr>
          <w:gridAfter w:val="1"/>
          <w:wAfter w:w="16" w:type="dxa"/>
          <w:trHeight w:val="474" w:hRule="atLeast"/>
        </w:trPr>
        <w:tc>
          <w:tcPr>
            <w:tcW w:w="1388" w:type="dxa"/>
            <w:tcBorders>
              <w:top w:val="nil"/>
              <w:left w:val="single" w:color="auto" w:sz="8" w:space="0"/>
              <w:bottom w:val="single" w:color="auto" w:sz="4" w:space="0"/>
              <w:right w:val="single" w:color="auto" w:sz="8" w:space="0"/>
            </w:tcBorders>
            <w:shd w:val="clear" w:color="auto" w:fill="auto"/>
            <w:vAlign w:val="bottom"/>
          </w:tcPr>
          <w:p w14:paraId="76C7E7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10、餐饮业</w:t>
            </w:r>
          </w:p>
        </w:tc>
        <w:tc>
          <w:tcPr>
            <w:tcW w:w="1047" w:type="dxa"/>
            <w:tcBorders>
              <w:top w:val="nil"/>
              <w:left w:val="nil"/>
              <w:bottom w:val="single" w:color="auto" w:sz="4" w:space="0"/>
              <w:right w:val="single" w:color="auto" w:sz="4" w:space="0"/>
            </w:tcBorders>
            <w:shd w:val="clear" w:color="auto" w:fill="auto"/>
            <w:vAlign w:val="center"/>
          </w:tcPr>
          <w:p w14:paraId="1AC2E4D8">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100≤X＜300</w:t>
            </w:r>
          </w:p>
        </w:tc>
        <w:tc>
          <w:tcPr>
            <w:tcW w:w="1232" w:type="dxa"/>
            <w:tcBorders>
              <w:top w:val="nil"/>
              <w:left w:val="nil"/>
              <w:bottom w:val="single" w:color="auto" w:sz="4" w:space="0"/>
              <w:right w:val="single" w:color="auto" w:sz="4" w:space="0"/>
            </w:tcBorders>
            <w:shd w:val="clear" w:color="auto" w:fill="auto"/>
            <w:vAlign w:val="center"/>
          </w:tcPr>
          <w:p w14:paraId="3BDFEBCA">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2000≤Y＜10000</w:t>
            </w:r>
          </w:p>
        </w:tc>
        <w:tc>
          <w:tcPr>
            <w:tcW w:w="1164" w:type="dxa"/>
            <w:tcBorders>
              <w:top w:val="nil"/>
              <w:left w:val="nil"/>
              <w:bottom w:val="single" w:color="auto" w:sz="4" w:space="0"/>
              <w:right w:val="single" w:color="auto" w:sz="8" w:space="0"/>
            </w:tcBorders>
            <w:shd w:val="clear" w:color="auto" w:fill="auto"/>
            <w:vAlign w:val="center"/>
          </w:tcPr>
          <w:p w14:paraId="3563CBF9">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67" w:type="dxa"/>
            <w:tcBorders>
              <w:top w:val="nil"/>
              <w:left w:val="nil"/>
              <w:bottom w:val="single" w:color="auto" w:sz="4" w:space="0"/>
              <w:right w:val="single" w:color="auto" w:sz="4" w:space="0"/>
            </w:tcBorders>
            <w:shd w:val="clear" w:color="auto" w:fill="auto"/>
            <w:vAlign w:val="center"/>
          </w:tcPr>
          <w:p w14:paraId="5DDDE438">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10≤X＜100</w:t>
            </w:r>
          </w:p>
        </w:tc>
        <w:tc>
          <w:tcPr>
            <w:tcW w:w="1034" w:type="dxa"/>
            <w:tcBorders>
              <w:top w:val="nil"/>
              <w:left w:val="nil"/>
              <w:bottom w:val="single" w:color="auto" w:sz="4" w:space="0"/>
              <w:right w:val="single" w:color="auto" w:sz="4" w:space="0"/>
            </w:tcBorders>
            <w:shd w:val="clear" w:color="auto" w:fill="auto"/>
            <w:vAlign w:val="center"/>
          </w:tcPr>
          <w:p w14:paraId="6A1DAA95">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100≤Y＜2000</w:t>
            </w:r>
          </w:p>
        </w:tc>
        <w:tc>
          <w:tcPr>
            <w:tcW w:w="1067" w:type="dxa"/>
            <w:tcBorders>
              <w:top w:val="nil"/>
              <w:left w:val="nil"/>
              <w:bottom w:val="single" w:color="auto" w:sz="4" w:space="0"/>
              <w:right w:val="single" w:color="auto" w:sz="8" w:space="0"/>
            </w:tcBorders>
            <w:shd w:val="clear" w:color="auto" w:fill="auto"/>
            <w:vAlign w:val="center"/>
          </w:tcPr>
          <w:p w14:paraId="75442F5F">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98" w:type="dxa"/>
            <w:tcBorders>
              <w:top w:val="nil"/>
              <w:left w:val="nil"/>
              <w:bottom w:val="single" w:color="auto" w:sz="4" w:space="0"/>
              <w:right w:val="single" w:color="auto" w:sz="4" w:space="0"/>
            </w:tcBorders>
            <w:shd w:val="clear" w:color="auto" w:fill="auto"/>
            <w:vAlign w:val="center"/>
          </w:tcPr>
          <w:p w14:paraId="46008283">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X＜10</w:t>
            </w:r>
          </w:p>
        </w:tc>
        <w:tc>
          <w:tcPr>
            <w:tcW w:w="891" w:type="dxa"/>
            <w:tcBorders>
              <w:top w:val="nil"/>
              <w:left w:val="nil"/>
              <w:bottom w:val="single" w:color="auto" w:sz="4" w:space="0"/>
              <w:right w:val="single" w:color="auto" w:sz="4" w:space="0"/>
            </w:tcBorders>
            <w:shd w:val="clear" w:color="auto" w:fill="auto"/>
            <w:vAlign w:val="center"/>
          </w:tcPr>
          <w:p w14:paraId="463EBAC2">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V＜100</w:t>
            </w:r>
          </w:p>
        </w:tc>
        <w:tc>
          <w:tcPr>
            <w:tcW w:w="856" w:type="dxa"/>
            <w:tcBorders>
              <w:top w:val="nil"/>
              <w:left w:val="nil"/>
              <w:bottom w:val="single" w:color="auto" w:sz="4" w:space="0"/>
              <w:right w:val="single" w:color="auto" w:sz="8" w:space="0"/>
            </w:tcBorders>
            <w:shd w:val="clear" w:color="auto" w:fill="auto"/>
            <w:vAlign w:val="center"/>
          </w:tcPr>
          <w:p w14:paraId="0A154C9F">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r>
      <w:tr w14:paraId="3E508162">
        <w:tblPrEx>
          <w:tblCellMar>
            <w:top w:w="0" w:type="dxa"/>
            <w:left w:w="108" w:type="dxa"/>
            <w:bottom w:w="0" w:type="dxa"/>
            <w:right w:w="108" w:type="dxa"/>
          </w:tblCellMar>
        </w:tblPrEx>
        <w:trPr>
          <w:gridAfter w:val="1"/>
          <w:wAfter w:w="16" w:type="dxa"/>
          <w:trHeight w:val="474" w:hRule="atLeast"/>
        </w:trPr>
        <w:tc>
          <w:tcPr>
            <w:tcW w:w="1388" w:type="dxa"/>
            <w:tcBorders>
              <w:top w:val="nil"/>
              <w:left w:val="single" w:color="auto" w:sz="8" w:space="0"/>
              <w:bottom w:val="single" w:color="auto" w:sz="4" w:space="0"/>
              <w:right w:val="single" w:color="auto" w:sz="8" w:space="0"/>
            </w:tcBorders>
            <w:shd w:val="clear" w:color="auto" w:fill="auto"/>
            <w:vAlign w:val="bottom"/>
          </w:tcPr>
          <w:p w14:paraId="397F13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11、信息传输业</w:t>
            </w:r>
          </w:p>
        </w:tc>
        <w:tc>
          <w:tcPr>
            <w:tcW w:w="1047" w:type="dxa"/>
            <w:tcBorders>
              <w:top w:val="nil"/>
              <w:left w:val="nil"/>
              <w:bottom w:val="single" w:color="auto" w:sz="4" w:space="0"/>
              <w:right w:val="single" w:color="auto" w:sz="4" w:space="0"/>
            </w:tcBorders>
            <w:shd w:val="clear" w:color="auto" w:fill="auto"/>
            <w:vAlign w:val="center"/>
          </w:tcPr>
          <w:p w14:paraId="6C6EF492">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100≤X＜2000</w:t>
            </w:r>
          </w:p>
        </w:tc>
        <w:tc>
          <w:tcPr>
            <w:tcW w:w="1232" w:type="dxa"/>
            <w:tcBorders>
              <w:top w:val="nil"/>
              <w:left w:val="nil"/>
              <w:bottom w:val="single" w:color="auto" w:sz="4" w:space="0"/>
              <w:right w:val="single" w:color="auto" w:sz="4" w:space="0"/>
            </w:tcBorders>
            <w:shd w:val="clear" w:color="auto" w:fill="auto"/>
            <w:vAlign w:val="center"/>
          </w:tcPr>
          <w:p w14:paraId="176B5D1F">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1000≤Y＜100000</w:t>
            </w:r>
          </w:p>
        </w:tc>
        <w:tc>
          <w:tcPr>
            <w:tcW w:w="1164" w:type="dxa"/>
            <w:tcBorders>
              <w:top w:val="nil"/>
              <w:left w:val="nil"/>
              <w:bottom w:val="single" w:color="auto" w:sz="4" w:space="0"/>
              <w:right w:val="single" w:color="auto" w:sz="8" w:space="0"/>
            </w:tcBorders>
            <w:shd w:val="clear" w:color="auto" w:fill="auto"/>
            <w:vAlign w:val="center"/>
          </w:tcPr>
          <w:p w14:paraId="4A6E3E72">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67" w:type="dxa"/>
            <w:tcBorders>
              <w:top w:val="nil"/>
              <w:left w:val="nil"/>
              <w:bottom w:val="single" w:color="auto" w:sz="4" w:space="0"/>
              <w:right w:val="single" w:color="auto" w:sz="4" w:space="0"/>
            </w:tcBorders>
            <w:shd w:val="clear" w:color="auto" w:fill="auto"/>
            <w:vAlign w:val="center"/>
          </w:tcPr>
          <w:p w14:paraId="4D3AE6E0">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10≤X＜100</w:t>
            </w:r>
          </w:p>
        </w:tc>
        <w:tc>
          <w:tcPr>
            <w:tcW w:w="1034" w:type="dxa"/>
            <w:tcBorders>
              <w:top w:val="nil"/>
              <w:left w:val="nil"/>
              <w:bottom w:val="single" w:color="auto" w:sz="4" w:space="0"/>
              <w:right w:val="single" w:color="auto" w:sz="4" w:space="0"/>
            </w:tcBorders>
            <w:shd w:val="clear" w:color="auto" w:fill="auto"/>
            <w:vAlign w:val="center"/>
          </w:tcPr>
          <w:p w14:paraId="52EE3ABE">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100≤Y＜1000</w:t>
            </w:r>
          </w:p>
        </w:tc>
        <w:tc>
          <w:tcPr>
            <w:tcW w:w="1067" w:type="dxa"/>
            <w:tcBorders>
              <w:top w:val="nil"/>
              <w:left w:val="nil"/>
              <w:bottom w:val="single" w:color="auto" w:sz="4" w:space="0"/>
              <w:right w:val="single" w:color="auto" w:sz="8" w:space="0"/>
            </w:tcBorders>
            <w:shd w:val="clear" w:color="auto" w:fill="auto"/>
            <w:vAlign w:val="center"/>
          </w:tcPr>
          <w:p w14:paraId="36DCCC8F">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98" w:type="dxa"/>
            <w:tcBorders>
              <w:top w:val="nil"/>
              <w:left w:val="nil"/>
              <w:bottom w:val="single" w:color="auto" w:sz="4" w:space="0"/>
              <w:right w:val="single" w:color="auto" w:sz="4" w:space="0"/>
            </w:tcBorders>
            <w:shd w:val="clear" w:color="auto" w:fill="auto"/>
            <w:vAlign w:val="center"/>
          </w:tcPr>
          <w:p w14:paraId="2E735AA1">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X＜10</w:t>
            </w:r>
          </w:p>
        </w:tc>
        <w:tc>
          <w:tcPr>
            <w:tcW w:w="891" w:type="dxa"/>
            <w:tcBorders>
              <w:top w:val="nil"/>
              <w:left w:val="nil"/>
              <w:bottom w:val="single" w:color="auto" w:sz="4" w:space="0"/>
              <w:right w:val="single" w:color="auto" w:sz="4" w:space="0"/>
            </w:tcBorders>
            <w:shd w:val="clear" w:color="auto" w:fill="auto"/>
            <w:vAlign w:val="center"/>
          </w:tcPr>
          <w:p w14:paraId="145F975F">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Y＜100</w:t>
            </w:r>
          </w:p>
        </w:tc>
        <w:tc>
          <w:tcPr>
            <w:tcW w:w="856" w:type="dxa"/>
            <w:tcBorders>
              <w:top w:val="nil"/>
              <w:left w:val="nil"/>
              <w:bottom w:val="single" w:color="auto" w:sz="4" w:space="0"/>
              <w:right w:val="single" w:color="auto" w:sz="8" w:space="0"/>
            </w:tcBorders>
            <w:shd w:val="clear" w:color="auto" w:fill="auto"/>
            <w:vAlign w:val="center"/>
          </w:tcPr>
          <w:p w14:paraId="65204886">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r>
      <w:tr w14:paraId="0E191E7E">
        <w:tblPrEx>
          <w:tblCellMar>
            <w:top w:w="0" w:type="dxa"/>
            <w:left w:w="108" w:type="dxa"/>
            <w:bottom w:w="0" w:type="dxa"/>
            <w:right w:w="108" w:type="dxa"/>
          </w:tblCellMar>
        </w:tblPrEx>
        <w:trPr>
          <w:gridAfter w:val="1"/>
          <w:wAfter w:w="16" w:type="dxa"/>
          <w:trHeight w:val="707" w:hRule="atLeast"/>
        </w:trPr>
        <w:tc>
          <w:tcPr>
            <w:tcW w:w="1388" w:type="dxa"/>
            <w:tcBorders>
              <w:top w:val="nil"/>
              <w:left w:val="single" w:color="auto" w:sz="8" w:space="0"/>
              <w:bottom w:val="single" w:color="auto" w:sz="4" w:space="0"/>
              <w:right w:val="single" w:color="auto" w:sz="8" w:space="0"/>
            </w:tcBorders>
            <w:shd w:val="clear" w:color="auto" w:fill="auto"/>
            <w:vAlign w:val="bottom"/>
          </w:tcPr>
          <w:p w14:paraId="474DA68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12、软件和信息技术服务业</w:t>
            </w:r>
          </w:p>
        </w:tc>
        <w:tc>
          <w:tcPr>
            <w:tcW w:w="1047" w:type="dxa"/>
            <w:tcBorders>
              <w:top w:val="nil"/>
              <w:left w:val="nil"/>
              <w:bottom w:val="single" w:color="auto" w:sz="4" w:space="0"/>
              <w:right w:val="single" w:color="auto" w:sz="4" w:space="0"/>
            </w:tcBorders>
            <w:shd w:val="clear" w:color="auto" w:fill="auto"/>
            <w:vAlign w:val="center"/>
          </w:tcPr>
          <w:p w14:paraId="538CB50C">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100≤X＜300</w:t>
            </w:r>
          </w:p>
        </w:tc>
        <w:tc>
          <w:tcPr>
            <w:tcW w:w="1232" w:type="dxa"/>
            <w:tcBorders>
              <w:top w:val="nil"/>
              <w:left w:val="nil"/>
              <w:bottom w:val="single" w:color="auto" w:sz="4" w:space="0"/>
              <w:right w:val="single" w:color="auto" w:sz="4" w:space="0"/>
            </w:tcBorders>
            <w:shd w:val="clear" w:color="auto" w:fill="auto"/>
            <w:vAlign w:val="center"/>
          </w:tcPr>
          <w:p w14:paraId="1AC42423">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1000≤Y＜10000</w:t>
            </w:r>
          </w:p>
        </w:tc>
        <w:tc>
          <w:tcPr>
            <w:tcW w:w="1164" w:type="dxa"/>
            <w:tcBorders>
              <w:top w:val="nil"/>
              <w:left w:val="nil"/>
              <w:bottom w:val="single" w:color="auto" w:sz="4" w:space="0"/>
              <w:right w:val="single" w:color="auto" w:sz="8" w:space="0"/>
            </w:tcBorders>
            <w:shd w:val="clear" w:color="auto" w:fill="auto"/>
            <w:vAlign w:val="center"/>
          </w:tcPr>
          <w:p w14:paraId="658A0410">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67" w:type="dxa"/>
            <w:tcBorders>
              <w:top w:val="nil"/>
              <w:left w:val="nil"/>
              <w:bottom w:val="single" w:color="auto" w:sz="4" w:space="0"/>
              <w:right w:val="single" w:color="auto" w:sz="4" w:space="0"/>
            </w:tcBorders>
            <w:shd w:val="clear" w:color="auto" w:fill="auto"/>
            <w:vAlign w:val="center"/>
          </w:tcPr>
          <w:p w14:paraId="7FA91BC2">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10≤X＜100</w:t>
            </w:r>
          </w:p>
        </w:tc>
        <w:tc>
          <w:tcPr>
            <w:tcW w:w="1034" w:type="dxa"/>
            <w:tcBorders>
              <w:top w:val="nil"/>
              <w:left w:val="nil"/>
              <w:bottom w:val="single" w:color="auto" w:sz="4" w:space="0"/>
              <w:right w:val="single" w:color="auto" w:sz="4" w:space="0"/>
            </w:tcBorders>
            <w:shd w:val="clear" w:color="auto" w:fill="auto"/>
            <w:vAlign w:val="center"/>
          </w:tcPr>
          <w:p w14:paraId="093FF2AA">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 50≤Y＜1000</w:t>
            </w:r>
          </w:p>
        </w:tc>
        <w:tc>
          <w:tcPr>
            <w:tcW w:w="1067" w:type="dxa"/>
            <w:tcBorders>
              <w:top w:val="nil"/>
              <w:left w:val="nil"/>
              <w:bottom w:val="single" w:color="auto" w:sz="4" w:space="0"/>
              <w:right w:val="single" w:color="auto" w:sz="8" w:space="0"/>
            </w:tcBorders>
            <w:shd w:val="clear" w:color="auto" w:fill="auto"/>
            <w:vAlign w:val="center"/>
          </w:tcPr>
          <w:p w14:paraId="32049F19">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98" w:type="dxa"/>
            <w:tcBorders>
              <w:top w:val="nil"/>
              <w:left w:val="nil"/>
              <w:bottom w:val="single" w:color="auto" w:sz="4" w:space="0"/>
              <w:right w:val="single" w:color="auto" w:sz="4" w:space="0"/>
            </w:tcBorders>
            <w:shd w:val="clear" w:color="auto" w:fill="auto"/>
            <w:vAlign w:val="center"/>
          </w:tcPr>
          <w:p w14:paraId="195B5405">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X＜10</w:t>
            </w:r>
          </w:p>
        </w:tc>
        <w:tc>
          <w:tcPr>
            <w:tcW w:w="891" w:type="dxa"/>
            <w:tcBorders>
              <w:top w:val="nil"/>
              <w:left w:val="nil"/>
              <w:bottom w:val="single" w:color="auto" w:sz="4" w:space="0"/>
              <w:right w:val="single" w:color="auto" w:sz="4" w:space="0"/>
            </w:tcBorders>
            <w:shd w:val="clear" w:color="auto" w:fill="auto"/>
            <w:vAlign w:val="center"/>
          </w:tcPr>
          <w:p w14:paraId="1C06985C">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Y＜50</w:t>
            </w:r>
          </w:p>
        </w:tc>
        <w:tc>
          <w:tcPr>
            <w:tcW w:w="856" w:type="dxa"/>
            <w:tcBorders>
              <w:top w:val="nil"/>
              <w:left w:val="nil"/>
              <w:bottom w:val="single" w:color="auto" w:sz="4" w:space="0"/>
              <w:right w:val="single" w:color="auto" w:sz="8" w:space="0"/>
            </w:tcBorders>
            <w:shd w:val="clear" w:color="auto" w:fill="auto"/>
            <w:vAlign w:val="center"/>
          </w:tcPr>
          <w:p w14:paraId="55651104">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r>
      <w:tr w14:paraId="0F88E66F">
        <w:tblPrEx>
          <w:tblCellMar>
            <w:top w:w="0" w:type="dxa"/>
            <w:left w:w="108" w:type="dxa"/>
            <w:bottom w:w="0" w:type="dxa"/>
            <w:right w:w="108" w:type="dxa"/>
          </w:tblCellMar>
        </w:tblPrEx>
        <w:trPr>
          <w:gridAfter w:val="1"/>
          <w:wAfter w:w="16" w:type="dxa"/>
          <w:trHeight w:val="474" w:hRule="atLeast"/>
        </w:trPr>
        <w:tc>
          <w:tcPr>
            <w:tcW w:w="1388" w:type="dxa"/>
            <w:tcBorders>
              <w:top w:val="nil"/>
              <w:left w:val="single" w:color="auto" w:sz="8" w:space="0"/>
              <w:bottom w:val="single" w:color="auto" w:sz="4" w:space="0"/>
              <w:right w:val="single" w:color="auto" w:sz="8" w:space="0"/>
            </w:tcBorders>
            <w:shd w:val="clear" w:color="auto" w:fill="auto"/>
            <w:vAlign w:val="bottom"/>
          </w:tcPr>
          <w:p w14:paraId="3B6C863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13、房地产开发经营</w:t>
            </w:r>
          </w:p>
        </w:tc>
        <w:tc>
          <w:tcPr>
            <w:tcW w:w="1047" w:type="dxa"/>
            <w:tcBorders>
              <w:top w:val="nil"/>
              <w:left w:val="nil"/>
              <w:bottom w:val="single" w:color="auto" w:sz="4" w:space="0"/>
              <w:right w:val="single" w:color="auto" w:sz="4" w:space="0"/>
            </w:tcBorders>
            <w:shd w:val="clear" w:color="auto" w:fill="auto"/>
            <w:vAlign w:val="center"/>
          </w:tcPr>
          <w:p w14:paraId="012230DE">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1232" w:type="dxa"/>
            <w:tcBorders>
              <w:top w:val="nil"/>
              <w:left w:val="nil"/>
              <w:bottom w:val="single" w:color="auto" w:sz="4" w:space="0"/>
              <w:right w:val="single" w:color="auto" w:sz="4" w:space="0"/>
            </w:tcBorders>
            <w:shd w:val="clear" w:color="auto" w:fill="auto"/>
            <w:vAlign w:val="center"/>
          </w:tcPr>
          <w:p w14:paraId="6794B41A">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1000≤Y＜200000</w:t>
            </w:r>
          </w:p>
        </w:tc>
        <w:tc>
          <w:tcPr>
            <w:tcW w:w="1164" w:type="dxa"/>
            <w:tcBorders>
              <w:top w:val="nil"/>
              <w:left w:val="nil"/>
              <w:bottom w:val="single" w:color="auto" w:sz="4" w:space="0"/>
              <w:right w:val="single" w:color="auto" w:sz="8" w:space="0"/>
            </w:tcBorders>
            <w:shd w:val="clear" w:color="auto" w:fill="auto"/>
            <w:vAlign w:val="center"/>
          </w:tcPr>
          <w:p w14:paraId="56C0B311">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5000≤Z＜10000</w:t>
            </w:r>
          </w:p>
        </w:tc>
        <w:tc>
          <w:tcPr>
            <w:tcW w:w="867" w:type="dxa"/>
            <w:tcBorders>
              <w:top w:val="nil"/>
              <w:left w:val="nil"/>
              <w:bottom w:val="single" w:color="auto" w:sz="4" w:space="0"/>
              <w:right w:val="single" w:color="auto" w:sz="4" w:space="0"/>
            </w:tcBorders>
            <w:shd w:val="clear" w:color="auto" w:fill="auto"/>
            <w:vAlign w:val="center"/>
          </w:tcPr>
          <w:p w14:paraId="0C361F23">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1034" w:type="dxa"/>
            <w:tcBorders>
              <w:top w:val="nil"/>
              <w:left w:val="nil"/>
              <w:bottom w:val="single" w:color="auto" w:sz="4" w:space="0"/>
              <w:right w:val="single" w:color="auto" w:sz="4" w:space="0"/>
            </w:tcBorders>
            <w:shd w:val="clear" w:color="auto" w:fill="auto"/>
            <w:vAlign w:val="center"/>
          </w:tcPr>
          <w:p w14:paraId="6BA56E98">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100≤Y＜1000</w:t>
            </w:r>
          </w:p>
        </w:tc>
        <w:tc>
          <w:tcPr>
            <w:tcW w:w="1067" w:type="dxa"/>
            <w:tcBorders>
              <w:top w:val="nil"/>
              <w:left w:val="nil"/>
              <w:bottom w:val="single" w:color="auto" w:sz="4" w:space="0"/>
              <w:right w:val="single" w:color="auto" w:sz="8" w:space="0"/>
            </w:tcBorders>
            <w:shd w:val="clear" w:color="auto" w:fill="auto"/>
            <w:vAlign w:val="center"/>
          </w:tcPr>
          <w:p w14:paraId="013FDFDC">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2000≤Z＜5000</w:t>
            </w:r>
          </w:p>
        </w:tc>
        <w:tc>
          <w:tcPr>
            <w:tcW w:w="898" w:type="dxa"/>
            <w:tcBorders>
              <w:top w:val="nil"/>
              <w:left w:val="nil"/>
              <w:bottom w:val="single" w:color="auto" w:sz="4" w:space="0"/>
              <w:right w:val="single" w:color="auto" w:sz="4" w:space="0"/>
            </w:tcBorders>
            <w:shd w:val="clear" w:color="auto" w:fill="auto"/>
            <w:vAlign w:val="center"/>
          </w:tcPr>
          <w:p w14:paraId="43007DEE">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91" w:type="dxa"/>
            <w:tcBorders>
              <w:top w:val="nil"/>
              <w:left w:val="nil"/>
              <w:bottom w:val="single" w:color="auto" w:sz="4" w:space="0"/>
              <w:right w:val="single" w:color="auto" w:sz="4" w:space="0"/>
            </w:tcBorders>
            <w:shd w:val="clear" w:color="auto" w:fill="auto"/>
            <w:vAlign w:val="center"/>
          </w:tcPr>
          <w:p w14:paraId="4B7AC580">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Y＜100</w:t>
            </w:r>
          </w:p>
        </w:tc>
        <w:tc>
          <w:tcPr>
            <w:tcW w:w="856" w:type="dxa"/>
            <w:tcBorders>
              <w:top w:val="nil"/>
              <w:left w:val="nil"/>
              <w:bottom w:val="single" w:color="auto" w:sz="4" w:space="0"/>
              <w:right w:val="single" w:color="auto" w:sz="8" w:space="0"/>
            </w:tcBorders>
            <w:shd w:val="clear" w:color="auto" w:fill="auto"/>
            <w:vAlign w:val="center"/>
          </w:tcPr>
          <w:p w14:paraId="605628A1">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Z＜2000</w:t>
            </w:r>
          </w:p>
        </w:tc>
      </w:tr>
      <w:tr w14:paraId="325E3102">
        <w:tblPrEx>
          <w:tblCellMar>
            <w:top w:w="0" w:type="dxa"/>
            <w:left w:w="108" w:type="dxa"/>
            <w:bottom w:w="0" w:type="dxa"/>
            <w:right w:w="108" w:type="dxa"/>
          </w:tblCellMar>
        </w:tblPrEx>
        <w:trPr>
          <w:gridAfter w:val="1"/>
          <w:wAfter w:w="16" w:type="dxa"/>
          <w:trHeight w:val="522" w:hRule="atLeast"/>
        </w:trPr>
        <w:tc>
          <w:tcPr>
            <w:tcW w:w="1388" w:type="dxa"/>
            <w:tcBorders>
              <w:top w:val="nil"/>
              <w:left w:val="single" w:color="auto" w:sz="8" w:space="0"/>
              <w:bottom w:val="single" w:color="auto" w:sz="4" w:space="0"/>
              <w:right w:val="single" w:color="auto" w:sz="8" w:space="0"/>
            </w:tcBorders>
            <w:shd w:val="clear" w:color="auto" w:fill="auto"/>
            <w:vAlign w:val="bottom"/>
          </w:tcPr>
          <w:p w14:paraId="292C90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14、物业管理</w:t>
            </w:r>
          </w:p>
        </w:tc>
        <w:tc>
          <w:tcPr>
            <w:tcW w:w="1047" w:type="dxa"/>
            <w:tcBorders>
              <w:top w:val="nil"/>
              <w:left w:val="nil"/>
              <w:bottom w:val="single" w:color="auto" w:sz="4" w:space="0"/>
              <w:right w:val="single" w:color="auto" w:sz="4" w:space="0"/>
            </w:tcBorders>
            <w:shd w:val="clear" w:color="auto" w:fill="auto"/>
            <w:vAlign w:val="center"/>
          </w:tcPr>
          <w:p w14:paraId="10CEE44D">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300≤X＜1000</w:t>
            </w:r>
          </w:p>
        </w:tc>
        <w:tc>
          <w:tcPr>
            <w:tcW w:w="1232" w:type="dxa"/>
            <w:tcBorders>
              <w:top w:val="nil"/>
              <w:left w:val="nil"/>
              <w:bottom w:val="single" w:color="auto" w:sz="4" w:space="0"/>
              <w:right w:val="single" w:color="auto" w:sz="4" w:space="0"/>
            </w:tcBorders>
            <w:shd w:val="clear" w:color="auto" w:fill="auto"/>
            <w:vAlign w:val="center"/>
          </w:tcPr>
          <w:p w14:paraId="7AAAB951">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1000≤Y＜5000</w:t>
            </w:r>
          </w:p>
        </w:tc>
        <w:tc>
          <w:tcPr>
            <w:tcW w:w="1164" w:type="dxa"/>
            <w:tcBorders>
              <w:top w:val="nil"/>
              <w:left w:val="nil"/>
              <w:bottom w:val="single" w:color="auto" w:sz="4" w:space="0"/>
              <w:right w:val="single" w:color="auto" w:sz="8" w:space="0"/>
            </w:tcBorders>
            <w:shd w:val="clear" w:color="auto" w:fill="auto"/>
            <w:vAlign w:val="center"/>
          </w:tcPr>
          <w:p w14:paraId="5A6DFAA2">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67" w:type="dxa"/>
            <w:tcBorders>
              <w:top w:val="nil"/>
              <w:left w:val="nil"/>
              <w:bottom w:val="single" w:color="auto" w:sz="4" w:space="0"/>
              <w:right w:val="single" w:color="auto" w:sz="4" w:space="0"/>
            </w:tcBorders>
            <w:shd w:val="clear" w:color="auto" w:fill="auto"/>
            <w:vAlign w:val="center"/>
          </w:tcPr>
          <w:p w14:paraId="26A714E3">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100≤X＜300</w:t>
            </w:r>
          </w:p>
        </w:tc>
        <w:tc>
          <w:tcPr>
            <w:tcW w:w="1034" w:type="dxa"/>
            <w:tcBorders>
              <w:top w:val="nil"/>
              <w:left w:val="nil"/>
              <w:bottom w:val="single" w:color="auto" w:sz="4" w:space="0"/>
              <w:right w:val="single" w:color="auto" w:sz="4" w:space="0"/>
            </w:tcBorders>
            <w:shd w:val="clear" w:color="auto" w:fill="auto"/>
            <w:vAlign w:val="center"/>
          </w:tcPr>
          <w:p w14:paraId="64FF91DD">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500≤Y＜1000</w:t>
            </w:r>
          </w:p>
        </w:tc>
        <w:tc>
          <w:tcPr>
            <w:tcW w:w="1067" w:type="dxa"/>
            <w:tcBorders>
              <w:top w:val="nil"/>
              <w:left w:val="nil"/>
              <w:bottom w:val="single" w:color="auto" w:sz="4" w:space="0"/>
              <w:right w:val="single" w:color="auto" w:sz="8" w:space="0"/>
            </w:tcBorders>
            <w:shd w:val="clear" w:color="auto" w:fill="auto"/>
            <w:vAlign w:val="center"/>
          </w:tcPr>
          <w:p w14:paraId="2BFE92A7">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98" w:type="dxa"/>
            <w:tcBorders>
              <w:top w:val="nil"/>
              <w:left w:val="nil"/>
              <w:bottom w:val="single" w:color="auto" w:sz="4" w:space="0"/>
              <w:right w:val="single" w:color="auto" w:sz="4" w:space="0"/>
            </w:tcBorders>
            <w:shd w:val="clear" w:color="auto" w:fill="auto"/>
            <w:vAlign w:val="center"/>
          </w:tcPr>
          <w:p w14:paraId="6A7CF66D">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X＜100</w:t>
            </w:r>
          </w:p>
        </w:tc>
        <w:tc>
          <w:tcPr>
            <w:tcW w:w="891" w:type="dxa"/>
            <w:tcBorders>
              <w:top w:val="nil"/>
              <w:left w:val="nil"/>
              <w:bottom w:val="single" w:color="auto" w:sz="4" w:space="0"/>
              <w:right w:val="single" w:color="auto" w:sz="4" w:space="0"/>
            </w:tcBorders>
            <w:shd w:val="clear" w:color="auto" w:fill="auto"/>
            <w:vAlign w:val="center"/>
          </w:tcPr>
          <w:p w14:paraId="04E05C66">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Y＜500</w:t>
            </w:r>
          </w:p>
        </w:tc>
        <w:tc>
          <w:tcPr>
            <w:tcW w:w="856" w:type="dxa"/>
            <w:tcBorders>
              <w:top w:val="nil"/>
              <w:left w:val="nil"/>
              <w:bottom w:val="single" w:color="auto" w:sz="4" w:space="0"/>
              <w:right w:val="single" w:color="auto" w:sz="8" w:space="0"/>
            </w:tcBorders>
            <w:shd w:val="clear" w:color="auto" w:fill="auto"/>
            <w:vAlign w:val="center"/>
          </w:tcPr>
          <w:p w14:paraId="7FA4AACA">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r>
      <w:tr w14:paraId="327101A1">
        <w:tblPrEx>
          <w:tblCellMar>
            <w:top w:w="0" w:type="dxa"/>
            <w:left w:w="108" w:type="dxa"/>
            <w:bottom w:w="0" w:type="dxa"/>
            <w:right w:w="108" w:type="dxa"/>
          </w:tblCellMar>
        </w:tblPrEx>
        <w:trPr>
          <w:gridAfter w:val="1"/>
          <w:wAfter w:w="16" w:type="dxa"/>
          <w:trHeight w:val="522" w:hRule="atLeast"/>
        </w:trPr>
        <w:tc>
          <w:tcPr>
            <w:tcW w:w="1388" w:type="dxa"/>
            <w:tcBorders>
              <w:top w:val="nil"/>
              <w:left w:val="single" w:color="auto" w:sz="8" w:space="0"/>
              <w:bottom w:val="single" w:color="auto" w:sz="4" w:space="0"/>
              <w:right w:val="single" w:color="auto" w:sz="8" w:space="0"/>
            </w:tcBorders>
            <w:shd w:val="clear" w:color="auto" w:fill="auto"/>
            <w:vAlign w:val="bottom"/>
          </w:tcPr>
          <w:p w14:paraId="36EF1A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15、租赁和商务服务业</w:t>
            </w:r>
          </w:p>
        </w:tc>
        <w:tc>
          <w:tcPr>
            <w:tcW w:w="1047" w:type="dxa"/>
            <w:tcBorders>
              <w:top w:val="nil"/>
              <w:left w:val="nil"/>
              <w:bottom w:val="single" w:color="auto" w:sz="4" w:space="0"/>
              <w:right w:val="single" w:color="auto" w:sz="4" w:space="0"/>
            </w:tcBorders>
            <w:shd w:val="clear" w:color="auto" w:fill="auto"/>
            <w:vAlign w:val="center"/>
          </w:tcPr>
          <w:p w14:paraId="7D24A6BE">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100≤X＜300</w:t>
            </w:r>
          </w:p>
        </w:tc>
        <w:tc>
          <w:tcPr>
            <w:tcW w:w="1232" w:type="dxa"/>
            <w:tcBorders>
              <w:top w:val="nil"/>
              <w:left w:val="nil"/>
              <w:bottom w:val="single" w:color="auto" w:sz="4" w:space="0"/>
              <w:right w:val="single" w:color="auto" w:sz="4" w:space="0"/>
            </w:tcBorders>
            <w:shd w:val="clear" w:color="auto" w:fill="auto"/>
            <w:vAlign w:val="center"/>
          </w:tcPr>
          <w:p w14:paraId="2BCB4BE1">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1164" w:type="dxa"/>
            <w:tcBorders>
              <w:top w:val="nil"/>
              <w:left w:val="nil"/>
              <w:bottom w:val="single" w:color="auto" w:sz="4" w:space="0"/>
              <w:right w:val="single" w:color="auto" w:sz="8" w:space="0"/>
            </w:tcBorders>
            <w:shd w:val="clear" w:color="auto" w:fill="auto"/>
            <w:vAlign w:val="center"/>
          </w:tcPr>
          <w:p w14:paraId="3FC9B1F3">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8000≤Z＜120000</w:t>
            </w:r>
          </w:p>
        </w:tc>
        <w:tc>
          <w:tcPr>
            <w:tcW w:w="867" w:type="dxa"/>
            <w:tcBorders>
              <w:top w:val="nil"/>
              <w:left w:val="nil"/>
              <w:bottom w:val="single" w:color="auto" w:sz="4" w:space="0"/>
              <w:right w:val="single" w:color="auto" w:sz="4" w:space="0"/>
            </w:tcBorders>
            <w:shd w:val="clear" w:color="auto" w:fill="auto"/>
            <w:vAlign w:val="center"/>
          </w:tcPr>
          <w:p w14:paraId="761341D3">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10≤X＜100</w:t>
            </w:r>
          </w:p>
        </w:tc>
        <w:tc>
          <w:tcPr>
            <w:tcW w:w="1034" w:type="dxa"/>
            <w:tcBorders>
              <w:top w:val="nil"/>
              <w:left w:val="nil"/>
              <w:bottom w:val="single" w:color="auto" w:sz="4" w:space="0"/>
              <w:right w:val="single" w:color="auto" w:sz="4" w:space="0"/>
            </w:tcBorders>
            <w:shd w:val="clear" w:color="auto" w:fill="auto"/>
            <w:vAlign w:val="center"/>
          </w:tcPr>
          <w:p w14:paraId="145BD600">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1067" w:type="dxa"/>
            <w:tcBorders>
              <w:top w:val="nil"/>
              <w:left w:val="nil"/>
              <w:bottom w:val="single" w:color="auto" w:sz="4" w:space="0"/>
              <w:right w:val="single" w:color="auto" w:sz="8" w:space="0"/>
            </w:tcBorders>
            <w:shd w:val="clear" w:color="auto" w:fill="auto"/>
            <w:vAlign w:val="center"/>
          </w:tcPr>
          <w:p w14:paraId="053E3B4C">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xml:space="preserve"> 100≤Z＜8000</w:t>
            </w:r>
          </w:p>
        </w:tc>
        <w:tc>
          <w:tcPr>
            <w:tcW w:w="898" w:type="dxa"/>
            <w:tcBorders>
              <w:top w:val="nil"/>
              <w:left w:val="nil"/>
              <w:bottom w:val="single" w:color="auto" w:sz="4" w:space="0"/>
              <w:right w:val="single" w:color="auto" w:sz="4" w:space="0"/>
            </w:tcBorders>
            <w:shd w:val="clear" w:color="auto" w:fill="auto"/>
            <w:vAlign w:val="center"/>
          </w:tcPr>
          <w:p w14:paraId="1D0141CE">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X＜10</w:t>
            </w:r>
          </w:p>
        </w:tc>
        <w:tc>
          <w:tcPr>
            <w:tcW w:w="891" w:type="dxa"/>
            <w:tcBorders>
              <w:top w:val="nil"/>
              <w:left w:val="nil"/>
              <w:bottom w:val="single" w:color="auto" w:sz="4" w:space="0"/>
              <w:right w:val="single" w:color="auto" w:sz="4" w:space="0"/>
            </w:tcBorders>
            <w:shd w:val="clear" w:color="auto" w:fill="auto"/>
            <w:vAlign w:val="center"/>
          </w:tcPr>
          <w:p w14:paraId="6CEB6F7C">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56" w:type="dxa"/>
            <w:tcBorders>
              <w:top w:val="nil"/>
              <w:left w:val="nil"/>
              <w:bottom w:val="single" w:color="auto" w:sz="4" w:space="0"/>
              <w:right w:val="single" w:color="auto" w:sz="8" w:space="0"/>
            </w:tcBorders>
            <w:shd w:val="clear" w:color="auto" w:fill="auto"/>
            <w:vAlign w:val="center"/>
          </w:tcPr>
          <w:p w14:paraId="3B8A473D">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Z＜100</w:t>
            </w:r>
          </w:p>
        </w:tc>
      </w:tr>
      <w:tr w14:paraId="3937430D">
        <w:tblPrEx>
          <w:tblCellMar>
            <w:top w:w="0" w:type="dxa"/>
            <w:left w:w="108" w:type="dxa"/>
            <w:bottom w:w="0" w:type="dxa"/>
            <w:right w:w="108" w:type="dxa"/>
          </w:tblCellMar>
        </w:tblPrEx>
        <w:trPr>
          <w:gridAfter w:val="1"/>
          <w:wAfter w:w="16" w:type="dxa"/>
          <w:trHeight w:val="474" w:hRule="atLeast"/>
        </w:trPr>
        <w:tc>
          <w:tcPr>
            <w:tcW w:w="1388" w:type="dxa"/>
            <w:tcBorders>
              <w:top w:val="nil"/>
              <w:left w:val="single" w:color="auto" w:sz="8" w:space="0"/>
              <w:bottom w:val="single" w:color="auto" w:sz="8" w:space="0"/>
              <w:right w:val="single" w:color="auto" w:sz="8" w:space="0"/>
            </w:tcBorders>
            <w:shd w:val="clear" w:color="auto" w:fill="auto"/>
            <w:vAlign w:val="bottom"/>
          </w:tcPr>
          <w:p w14:paraId="03AACCF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16、其他未列明行业</w:t>
            </w:r>
          </w:p>
        </w:tc>
        <w:tc>
          <w:tcPr>
            <w:tcW w:w="1047" w:type="dxa"/>
            <w:tcBorders>
              <w:top w:val="nil"/>
              <w:left w:val="nil"/>
              <w:bottom w:val="single" w:color="auto" w:sz="8" w:space="0"/>
              <w:right w:val="single" w:color="auto" w:sz="4" w:space="0"/>
            </w:tcBorders>
            <w:shd w:val="clear" w:color="auto" w:fill="auto"/>
            <w:vAlign w:val="center"/>
          </w:tcPr>
          <w:p w14:paraId="0734AD98">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100≤X＜300</w:t>
            </w:r>
          </w:p>
        </w:tc>
        <w:tc>
          <w:tcPr>
            <w:tcW w:w="1232" w:type="dxa"/>
            <w:tcBorders>
              <w:top w:val="nil"/>
              <w:left w:val="nil"/>
              <w:bottom w:val="single" w:color="auto" w:sz="8" w:space="0"/>
              <w:right w:val="single" w:color="auto" w:sz="4" w:space="0"/>
            </w:tcBorders>
            <w:shd w:val="clear" w:color="auto" w:fill="auto"/>
            <w:vAlign w:val="center"/>
          </w:tcPr>
          <w:p w14:paraId="2CCE4439">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1164" w:type="dxa"/>
            <w:tcBorders>
              <w:top w:val="nil"/>
              <w:left w:val="nil"/>
              <w:bottom w:val="single" w:color="auto" w:sz="8" w:space="0"/>
              <w:right w:val="single" w:color="auto" w:sz="8" w:space="0"/>
            </w:tcBorders>
            <w:shd w:val="clear" w:color="auto" w:fill="auto"/>
            <w:vAlign w:val="center"/>
          </w:tcPr>
          <w:p w14:paraId="75172EAA">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67" w:type="dxa"/>
            <w:tcBorders>
              <w:top w:val="nil"/>
              <w:left w:val="nil"/>
              <w:bottom w:val="single" w:color="auto" w:sz="8" w:space="0"/>
              <w:right w:val="single" w:color="auto" w:sz="4" w:space="0"/>
            </w:tcBorders>
            <w:shd w:val="clear" w:color="auto" w:fill="auto"/>
            <w:vAlign w:val="center"/>
          </w:tcPr>
          <w:p w14:paraId="488B4EAD">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10≤X＜100</w:t>
            </w:r>
          </w:p>
        </w:tc>
        <w:tc>
          <w:tcPr>
            <w:tcW w:w="1034" w:type="dxa"/>
            <w:tcBorders>
              <w:top w:val="nil"/>
              <w:left w:val="nil"/>
              <w:bottom w:val="single" w:color="auto" w:sz="8" w:space="0"/>
              <w:right w:val="single" w:color="auto" w:sz="4" w:space="0"/>
            </w:tcBorders>
            <w:shd w:val="clear" w:color="auto" w:fill="auto"/>
            <w:vAlign w:val="center"/>
          </w:tcPr>
          <w:p w14:paraId="0B7CE75E">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1067" w:type="dxa"/>
            <w:tcBorders>
              <w:top w:val="nil"/>
              <w:left w:val="nil"/>
              <w:bottom w:val="single" w:color="auto" w:sz="8" w:space="0"/>
              <w:right w:val="single" w:color="auto" w:sz="8" w:space="0"/>
            </w:tcBorders>
            <w:shd w:val="clear" w:color="auto" w:fill="auto"/>
            <w:vAlign w:val="center"/>
          </w:tcPr>
          <w:p w14:paraId="79C15BDA">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98" w:type="dxa"/>
            <w:tcBorders>
              <w:top w:val="nil"/>
              <w:left w:val="nil"/>
              <w:bottom w:val="single" w:color="auto" w:sz="8" w:space="0"/>
              <w:right w:val="single" w:color="auto" w:sz="4" w:space="0"/>
            </w:tcBorders>
            <w:shd w:val="clear" w:color="auto" w:fill="auto"/>
            <w:vAlign w:val="center"/>
          </w:tcPr>
          <w:p w14:paraId="7C41D29E">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X＜10</w:t>
            </w:r>
          </w:p>
        </w:tc>
        <w:tc>
          <w:tcPr>
            <w:tcW w:w="891" w:type="dxa"/>
            <w:tcBorders>
              <w:top w:val="nil"/>
              <w:left w:val="nil"/>
              <w:bottom w:val="single" w:color="auto" w:sz="8" w:space="0"/>
              <w:right w:val="single" w:color="auto" w:sz="4" w:space="0"/>
            </w:tcBorders>
            <w:shd w:val="clear" w:color="auto" w:fill="auto"/>
            <w:vAlign w:val="center"/>
          </w:tcPr>
          <w:p w14:paraId="62090886">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c>
          <w:tcPr>
            <w:tcW w:w="856" w:type="dxa"/>
            <w:tcBorders>
              <w:top w:val="nil"/>
              <w:left w:val="nil"/>
              <w:bottom w:val="single" w:color="auto" w:sz="8" w:space="0"/>
              <w:right w:val="single" w:color="auto" w:sz="8" w:space="0"/>
            </w:tcBorders>
            <w:shd w:val="clear" w:color="auto" w:fill="auto"/>
            <w:vAlign w:val="center"/>
          </w:tcPr>
          <w:p w14:paraId="4CD372D6">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　</w:t>
            </w:r>
          </w:p>
        </w:tc>
      </w:tr>
      <w:tr w14:paraId="2D8D69A9">
        <w:tblPrEx>
          <w:tblCellMar>
            <w:top w:w="0" w:type="dxa"/>
            <w:left w:w="108" w:type="dxa"/>
            <w:bottom w:w="0" w:type="dxa"/>
            <w:right w:w="108" w:type="dxa"/>
          </w:tblCellMar>
        </w:tblPrEx>
        <w:trPr>
          <w:trHeight w:val="970" w:hRule="atLeast"/>
        </w:trPr>
        <w:tc>
          <w:tcPr>
            <w:tcW w:w="10460" w:type="dxa"/>
            <w:gridSpan w:val="11"/>
            <w:shd w:val="clear" w:color="auto" w:fill="auto"/>
            <w:vAlign w:val="bottom"/>
          </w:tcPr>
          <w:p w14:paraId="73A1EB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说明　1、企业类型的划分以统计部门的统计数据为依据。</w:t>
            </w:r>
          </w:p>
          <w:p w14:paraId="214E8936">
            <w:pPr>
              <w:widowControl/>
              <w:ind w:firstLine="540" w:firstLineChars="3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2、个体工商户和本规定以外的行业，参照本规定进行划型。</w:t>
            </w:r>
          </w:p>
          <w:p w14:paraId="399C03B8">
            <w:pPr>
              <w:widowControl/>
              <w:ind w:firstLine="540" w:firstLineChars="3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3、本规定的中型企业标准上限即为大型企业标准的下限。</w:t>
            </w:r>
          </w:p>
        </w:tc>
      </w:tr>
    </w:tbl>
    <w:p w14:paraId="4580E817">
      <w:pPr>
        <w:rPr>
          <w:color w:val="auto"/>
          <w:highlight w:val="none"/>
        </w:rPr>
      </w:pPr>
    </w:p>
    <w:sectPr>
      <w:headerReference r:id="rId8" w:type="default"/>
      <w:footerReference r:id="rId9" w:type="default"/>
      <w:type w:val="nextColumn"/>
      <w:pgSz w:w="11907" w:h="16840"/>
      <w:pgMar w:top="1418" w:right="1134" w:bottom="1418" w:left="1134" w:header="285" w:footer="85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D0878">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0F5CB705">
                          <w:pPr>
                            <w:pStyle w:val="2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DF1OQLAgAAAQQAAA4AAABkcnMvZTJvRG9jLnhtbK1TS27bMBDdF+gd&#10;CO5r2XHcBILlII3hokD6AZIcgKYoi6jIIYa0JfcA7Q266qb7nsvn6JCy3DTdZNENMSSHb957M5xf&#10;daZhO4Vegy34ZDTmTFkJpbabgj/cr15dcuaDsKVowKqC75XnV4uXL+aty9UZ1NCUChmBWJ+3ruB1&#10;CC7PMi9rZYQfgVOWLitAIwJtcZOVKFpCN012Nh6/zlrA0iFI5T2dLvtLfkTE5wBCVWmpliC3RtnQ&#10;o6JqRCBJvtbO80ViW1VKho9V5VVgTcFJaUgrFaF4HddsMRf5BoWrtTxSEM+h8ESTEdpS0RPUUgTB&#10;tqj/gTJaIniowkiCyXohyRFSMRk/8eauFk4lLWS1dyfT/f+DlR92n5DpsuBTzqww1PDD92+HH78O&#10;P7+yabSndT6nrDtHeaF7Ax0NTZLq3S3Iz55ZuKmF3ahrRGhrJUqiN4kvs0dPexwfQdbteyipjtgG&#10;SEBdhSZ6R24wQqfW7E+tUV1gkg5nFxeXM84k3Uym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UMXU5AsCAAABBAAADgAAAAAAAAABACAAAAAfAQAA&#10;ZHJzL2Uyb0RvYy54bWxQSwUGAAAAAAYABgBZAQAAnAUAAAAA&#10;">
              <v:fill on="f" focussize="0,0"/>
              <v:stroke on="f"/>
              <v:imagedata o:title=""/>
              <o:lock v:ext="edit" aspectratio="f"/>
              <v:textbox inset="0mm,0mm,0mm,0mm" style="mso-fit-shape-to-text:t;">
                <w:txbxContent>
                  <w:p w14:paraId="0F5CB705">
                    <w:pPr>
                      <w:pStyle w:val="2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38622">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7C92FB8">
                          <w:pPr>
                            <w:pStyle w:val="26"/>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b6Z24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Noj2d8wVl3TnKC/0r6GloklTvbkF+9szCTSPsVl0jQtcoURG9PL7M7j0dcHwE2XRvoaI6Yhcg&#10;AfU1mugducEInVpzOLdG9YHJWDKfv7y45EzSVX6R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W+mduCgIAAAIEAAAOAAAAAAAAAAEAIAAAAB8BAABk&#10;cnMvZTJvRG9jLnhtbFBLBQYAAAAABgAGAFkBAACbBQAAAAA=&#10;">
              <v:fill on="f" focussize="0,0"/>
              <v:stroke on="f"/>
              <v:imagedata o:title=""/>
              <o:lock v:ext="edit" aspectratio="f"/>
              <v:textbox inset="0mm,0mm,0mm,0mm" style="mso-fit-shape-to-text:t;">
                <w:txbxContent>
                  <w:p w14:paraId="77C92FB8">
                    <w:pPr>
                      <w:pStyle w:val="26"/>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C8960">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057AA14">
                          <w:pPr>
                            <w:pStyle w:val="26"/>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14:paraId="0057AA14">
                    <w:pPr>
                      <w:pStyle w:val="26"/>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8C33B">
    <w:pPr>
      <w:pStyle w:val="2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A2DAA">
    <w:pPr>
      <w:pStyle w:val="27"/>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66EFF">
    <w:pPr>
      <w:pStyle w:val="2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78800">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F4040"/>
    <w:multiLevelType w:val="singleLevel"/>
    <w:tmpl w:val="B1CF4040"/>
    <w:lvl w:ilvl="0" w:tentative="0">
      <w:start w:val="2"/>
      <w:numFmt w:val="decimal"/>
      <w:suff w:val="nothing"/>
      <w:lvlText w:val="（%1）"/>
      <w:lvlJc w:val="left"/>
    </w:lvl>
  </w:abstractNum>
  <w:abstractNum w:abstractNumId="1">
    <w:nsid w:val="04B3515B"/>
    <w:multiLevelType w:val="singleLevel"/>
    <w:tmpl w:val="04B3515B"/>
    <w:lvl w:ilvl="0" w:tentative="0">
      <w:start w:val="7"/>
      <w:numFmt w:val="chineseCounting"/>
      <w:suff w:val="nothing"/>
      <w:lvlText w:val="%1、"/>
      <w:lvlJc w:val="left"/>
      <w:rPr>
        <w:rFonts w:hint="eastAsia"/>
      </w:rPr>
    </w:lvl>
  </w:abstractNum>
  <w:abstractNum w:abstractNumId="2">
    <w:nsid w:val="27187EF8"/>
    <w:multiLevelType w:val="multilevel"/>
    <w:tmpl w:val="27187EF8"/>
    <w:lvl w:ilvl="0" w:tentative="0">
      <w:start w:val="5"/>
      <w:numFmt w:val="decimal"/>
      <w:pStyle w:val="183"/>
      <w:lvlText w:val="（%1）"/>
      <w:lvlJc w:val="left"/>
      <w:pPr>
        <w:tabs>
          <w:tab w:val="left" w:pos="1200"/>
        </w:tabs>
        <w:ind w:left="1200" w:hanging="720"/>
      </w:pPr>
      <w:rPr>
        <w:rFonts w:hint="default" w:ascii="宋体" w:eastAsia="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266FC6E"/>
    <w:multiLevelType w:val="singleLevel"/>
    <w:tmpl w:val="3266FC6E"/>
    <w:lvl w:ilvl="0" w:tentative="0">
      <w:start w:val="7"/>
      <w:numFmt w:val="chineseCounting"/>
      <w:suff w:val="nothing"/>
      <w:lvlText w:val="%1、"/>
      <w:lvlJc w:val="left"/>
      <w:rPr>
        <w:rFonts w:hint="eastAsia"/>
      </w:rPr>
    </w:lvl>
  </w:abstractNum>
  <w:abstractNum w:abstractNumId="4">
    <w:nsid w:val="71D9659B"/>
    <w:multiLevelType w:val="singleLevel"/>
    <w:tmpl w:val="71D9659B"/>
    <w:lvl w:ilvl="0" w:tentative="0">
      <w:start w:val="1"/>
      <w:numFmt w:val="decimal"/>
      <w:pStyle w:val="30"/>
      <w:lvlText w:val="%1、"/>
      <w:lvlJc w:val="left"/>
      <w:pPr>
        <w:tabs>
          <w:tab w:val="left" w:pos="840"/>
        </w:tabs>
        <w:ind w:left="840" w:hanging="360"/>
      </w:pPr>
      <w:rPr>
        <w:rFonts w:hint="eastAsia"/>
      </w:rPr>
    </w:lvl>
  </w:abstractNum>
  <w:abstractNum w:abstractNumId="5">
    <w:nsid w:val="722C4B05"/>
    <w:multiLevelType w:val="multilevel"/>
    <w:tmpl w:val="722C4B05"/>
    <w:lvl w:ilvl="0" w:tentative="0">
      <w:start w:val="1"/>
      <w:numFmt w:val="decimal"/>
      <w:pStyle w:val="18"/>
      <w:lvlText w:val="(%1)"/>
      <w:lvlJc w:val="left"/>
      <w:pPr>
        <w:tabs>
          <w:tab w:val="left" w:pos="510"/>
        </w:tabs>
        <w:ind w:left="510" w:hanging="39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177"/>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8"/>
      <w:lvlText w:val="%7."/>
      <w:lvlJc w:val="left"/>
      <w:pPr>
        <w:tabs>
          <w:tab w:val="left" w:pos="2940"/>
        </w:tabs>
        <w:ind w:left="2940" w:hanging="420"/>
      </w:pPr>
    </w:lvl>
    <w:lvl w:ilvl="7" w:tentative="0">
      <w:start w:val="1"/>
      <w:numFmt w:val="lowerLetter"/>
      <w:pStyle w:val="9"/>
      <w:lvlText w:val="%8)"/>
      <w:lvlJc w:val="left"/>
      <w:pPr>
        <w:tabs>
          <w:tab w:val="left" w:pos="3360"/>
        </w:tabs>
        <w:ind w:left="3360" w:hanging="420"/>
      </w:pPr>
    </w:lvl>
    <w:lvl w:ilvl="8" w:tentative="0">
      <w:start w:val="1"/>
      <w:numFmt w:val="lowerRoman"/>
      <w:pStyle w:val="10"/>
      <w:lvlText w:val="%9."/>
      <w:lvlJc w:val="right"/>
      <w:pPr>
        <w:tabs>
          <w:tab w:val="left" w:pos="3780"/>
        </w:tabs>
        <w:ind w:left="3780" w:hanging="420"/>
      </w:pPr>
    </w:lvl>
  </w:abstractNum>
  <w:abstractNum w:abstractNumId="6">
    <w:nsid w:val="766D792A"/>
    <w:multiLevelType w:val="singleLevel"/>
    <w:tmpl w:val="766D792A"/>
    <w:lvl w:ilvl="0" w:tentative="0">
      <w:start w:val="1"/>
      <w:numFmt w:val="decimal"/>
      <w:pStyle w:val="190"/>
      <w:lvlText w:val="(%1)"/>
      <w:lvlJc w:val="left"/>
      <w:pPr>
        <w:tabs>
          <w:tab w:val="left" w:pos="700"/>
        </w:tabs>
        <w:ind w:left="0" w:firstLine="340"/>
      </w:pPr>
      <w:rPr>
        <w:rFonts w:hint="eastAsia"/>
      </w:rPr>
    </w:lvl>
  </w:abstractNum>
  <w:num w:numId="1">
    <w:abstractNumId w:val="5"/>
  </w:num>
  <w:num w:numId="2">
    <w:abstractNumId w:val="4"/>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1NzUxZGMyNDY1YjA5NDdhOTlhOGQyOGNjYzBmMjkifQ=="/>
  </w:docVars>
  <w:rsids>
    <w:rsidRoot w:val="00891A06"/>
    <w:rsid w:val="00010AAA"/>
    <w:rsid w:val="0006636F"/>
    <w:rsid w:val="000C6D06"/>
    <w:rsid w:val="001462B3"/>
    <w:rsid w:val="00161E59"/>
    <w:rsid w:val="002327A1"/>
    <w:rsid w:val="00265F13"/>
    <w:rsid w:val="00272D0B"/>
    <w:rsid w:val="00276D9F"/>
    <w:rsid w:val="00284D91"/>
    <w:rsid w:val="002C212F"/>
    <w:rsid w:val="002D0997"/>
    <w:rsid w:val="00301FDD"/>
    <w:rsid w:val="003948A8"/>
    <w:rsid w:val="003B4256"/>
    <w:rsid w:val="003F32BC"/>
    <w:rsid w:val="003F6888"/>
    <w:rsid w:val="00471915"/>
    <w:rsid w:val="00481EE1"/>
    <w:rsid w:val="004F5052"/>
    <w:rsid w:val="0051389D"/>
    <w:rsid w:val="00537B31"/>
    <w:rsid w:val="00597756"/>
    <w:rsid w:val="00684950"/>
    <w:rsid w:val="006D4330"/>
    <w:rsid w:val="006F65F1"/>
    <w:rsid w:val="0070310F"/>
    <w:rsid w:val="007C0162"/>
    <w:rsid w:val="007E21C4"/>
    <w:rsid w:val="007E7912"/>
    <w:rsid w:val="00891A06"/>
    <w:rsid w:val="009469C9"/>
    <w:rsid w:val="00966EE3"/>
    <w:rsid w:val="009850A3"/>
    <w:rsid w:val="009A24B6"/>
    <w:rsid w:val="00A1530F"/>
    <w:rsid w:val="00A8056A"/>
    <w:rsid w:val="00A86560"/>
    <w:rsid w:val="00AB129B"/>
    <w:rsid w:val="00BA5F68"/>
    <w:rsid w:val="00BF6610"/>
    <w:rsid w:val="00C10E26"/>
    <w:rsid w:val="00C250C6"/>
    <w:rsid w:val="00C36B70"/>
    <w:rsid w:val="00C569BC"/>
    <w:rsid w:val="00D032F6"/>
    <w:rsid w:val="00D15CC0"/>
    <w:rsid w:val="00D164D6"/>
    <w:rsid w:val="00D6054C"/>
    <w:rsid w:val="00D70775"/>
    <w:rsid w:val="00D84FC1"/>
    <w:rsid w:val="00EB0733"/>
    <w:rsid w:val="00EC11D2"/>
    <w:rsid w:val="00EC13F4"/>
    <w:rsid w:val="00EE695C"/>
    <w:rsid w:val="00F14F1C"/>
    <w:rsid w:val="00F43A38"/>
    <w:rsid w:val="00F62BC1"/>
    <w:rsid w:val="00F76A35"/>
    <w:rsid w:val="00FA1499"/>
    <w:rsid w:val="00FA3944"/>
    <w:rsid w:val="00FA5D40"/>
    <w:rsid w:val="03AA1A7A"/>
    <w:rsid w:val="04B25E59"/>
    <w:rsid w:val="0A3A0902"/>
    <w:rsid w:val="10686C78"/>
    <w:rsid w:val="12014F4B"/>
    <w:rsid w:val="13490846"/>
    <w:rsid w:val="1A4A13E6"/>
    <w:rsid w:val="1CF12564"/>
    <w:rsid w:val="1D6923E1"/>
    <w:rsid w:val="24741668"/>
    <w:rsid w:val="24AD323B"/>
    <w:rsid w:val="24D753F6"/>
    <w:rsid w:val="281A3424"/>
    <w:rsid w:val="2BF44F04"/>
    <w:rsid w:val="390D04A7"/>
    <w:rsid w:val="39137257"/>
    <w:rsid w:val="3CA61FD8"/>
    <w:rsid w:val="409A440B"/>
    <w:rsid w:val="44B0136D"/>
    <w:rsid w:val="46E81BE2"/>
    <w:rsid w:val="48ED446C"/>
    <w:rsid w:val="4BF94410"/>
    <w:rsid w:val="4EB66985"/>
    <w:rsid w:val="5512236A"/>
    <w:rsid w:val="58F038BE"/>
    <w:rsid w:val="59AA5338"/>
    <w:rsid w:val="5CB97F8F"/>
    <w:rsid w:val="6245512D"/>
    <w:rsid w:val="640638B1"/>
    <w:rsid w:val="692C7B17"/>
    <w:rsid w:val="6A8B6AC0"/>
    <w:rsid w:val="6B491513"/>
    <w:rsid w:val="6B8F0831"/>
    <w:rsid w:val="6CBF4B5B"/>
    <w:rsid w:val="6DD134BB"/>
    <w:rsid w:val="6FEF7126"/>
    <w:rsid w:val="764D731F"/>
    <w:rsid w:val="76C662C5"/>
    <w:rsid w:val="79496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1"/>
    <w:qFormat/>
    <w:uiPriority w:val="0"/>
    <w:pPr>
      <w:keepNext/>
      <w:spacing w:line="380" w:lineRule="exact"/>
      <w:jc w:val="center"/>
      <w:outlineLvl w:val="0"/>
    </w:pPr>
    <w:rPr>
      <w:rFonts w:ascii="宋体"/>
      <w:b/>
      <w:bCs/>
      <w:sz w:val="28"/>
    </w:rPr>
  </w:style>
  <w:style w:type="paragraph" w:styleId="3">
    <w:name w:val="heading 2"/>
    <w:basedOn w:val="1"/>
    <w:next w:val="1"/>
    <w:link w:val="62"/>
    <w:qFormat/>
    <w:uiPriority w:val="0"/>
    <w:pPr>
      <w:keepNext/>
      <w:keepLines/>
      <w:tabs>
        <w:tab w:val="left" w:pos="578"/>
      </w:tabs>
      <w:spacing w:before="156" w:beforeLines="50" w:after="156" w:afterLines="50" w:line="360" w:lineRule="auto"/>
      <w:ind w:left="578" w:hanging="578"/>
      <w:outlineLvl w:val="1"/>
    </w:pPr>
    <w:rPr>
      <w:rFonts w:ascii="Arial" w:hAnsi="Arial" w:eastAsia="黑体"/>
      <w:b/>
      <w:bCs/>
      <w:sz w:val="32"/>
      <w:szCs w:val="32"/>
    </w:rPr>
  </w:style>
  <w:style w:type="paragraph" w:styleId="4">
    <w:name w:val="heading 3"/>
    <w:basedOn w:val="1"/>
    <w:next w:val="1"/>
    <w:link w:val="63"/>
    <w:qFormat/>
    <w:uiPriority w:val="0"/>
    <w:pPr>
      <w:keepNext/>
      <w:keepLines/>
      <w:tabs>
        <w:tab w:val="left" w:pos="1620"/>
      </w:tabs>
      <w:spacing w:before="156" w:beforeLines="50" w:after="156" w:afterLines="50" w:line="360" w:lineRule="auto"/>
      <w:ind w:left="1620" w:hanging="720"/>
      <w:outlineLvl w:val="2"/>
    </w:pPr>
    <w:rPr>
      <w:rFonts w:ascii="Arial" w:hAnsi="Arial" w:eastAsia="黑体" w:cs="Arial"/>
      <w:b/>
      <w:bCs/>
      <w:sz w:val="30"/>
      <w:szCs w:val="32"/>
    </w:rPr>
  </w:style>
  <w:style w:type="paragraph" w:styleId="5">
    <w:name w:val="heading 4"/>
    <w:basedOn w:val="1"/>
    <w:next w:val="1"/>
    <w:link w:val="64"/>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link w:val="65"/>
    <w:qFormat/>
    <w:uiPriority w:val="0"/>
    <w:pPr>
      <w:keepNext/>
      <w:keepLines/>
      <w:tabs>
        <w:tab w:val="left" w:pos="1548"/>
      </w:tabs>
      <w:spacing w:before="280" w:after="290" w:line="376" w:lineRule="auto"/>
      <w:ind w:left="1548" w:hanging="1548"/>
      <w:outlineLvl w:val="4"/>
    </w:pPr>
    <w:rPr>
      <w:b/>
      <w:bCs/>
      <w:sz w:val="28"/>
      <w:szCs w:val="28"/>
    </w:rPr>
  </w:style>
  <w:style w:type="paragraph" w:styleId="7">
    <w:name w:val="heading 6"/>
    <w:basedOn w:val="1"/>
    <w:next w:val="1"/>
    <w:link w:val="66"/>
    <w:qFormat/>
    <w:uiPriority w:val="0"/>
    <w:pPr>
      <w:keepNext/>
      <w:keepLines/>
      <w:spacing w:before="240" w:after="64" w:line="320" w:lineRule="auto"/>
      <w:outlineLvl w:val="5"/>
    </w:pPr>
    <w:rPr>
      <w:rFonts w:ascii="Cambria" w:hAnsi="Cambria"/>
      <w:b/>
      <w:bCs/>
      <w:sz w:val="24"/>
      <w:szCs w:val="24"/>
    </w:rPr>
  </w:style>
  <w:style w:type="paragraph" w:styleId="8">
    <w:name w:val="heading 7"/>
    <w:basedOn w:val="1"/>
    <w:next w:val="1"/>
    <w:link w:val="67"/>
    <w:qFormat/>
    <w:uiPriority w:val="0"/>
    <w:pPr>
      <w:keepNext/>
      <w:keepLines/>
      <w:numPr>
        <w:ilvl w:val="6"/>
        <w:numId w:val="1"/>
      </w:numPr>
      <w:tabs>
        <w:tab w:val="left" w:pos="1296"/>
        <w:tab w:val="clear" w:pos="2940"/>
      </w:tabs>
      <w:spacing w:before="240" w:after="64" w:line="317" w:lineRule="auto"/>
      <w:outlineLvl w:val="6"/>
    </w:pPr>
    <w:rPr>
      <w:b/>
      <w:bCs/>
      <w:sz w:val="24"/>
      <w:szCs w:val="24"/>
    </w:rPr>
  </w:style>
  <w:style w:type="paragraph" w:styleId="9">
    <w:name w:val="heading 8"/>
    <w:basedOn w:val="1"/>
    <w:next w:val="1"/>
    <w:link w:val="68"/>
    <w:qFormat/>
    <w:uiPriority w:val="0"/>
    <w:pPr>
      <w:keepNext/>
      <w:keepLines/>
      <w:numPr>
        <w:ilvl w:val="7"/>
        <w:numId w:val="1"/>
      </w:numPr>
      <w:tabs>
        <w:tab w:val="left" w:pos="1440"/>
        <w:tab w:val="clear" w:pos="3360"/>
      </w:tabs>
      <w:spacing w:before="240" w:after="64" w:line="317" w:lineRule="auto"/>
      <w:outlineLvl w:val="7"/>
    </w:pPr>
    <w:rPr>
      <w:rFonts w:ascii="Arial" w:hAnsi="Arial" w:eastAsia="黑体"/>
      <w:sz w:val="24"/>
      <w:szCs w:val="24"/>
    </w:rPr>
  </w:style>
  <w:style w:type="paragraph" w:styleId="10">
    <w:name w:val="heading 9"/>
    <w:basedOn w:val="1"/>
    <w:next w:val="1"/>
    <w:link w:val="69"/>
    <w:qFormat/>
    <w:uiPriority w:val="0"/>
    <w:pPr>
      <w:keepNext/>
      <w:keepLines/>
      <w:numPr>
        <w:ilvl w:val="8"/>
        <w:numId w:val="1"/>
      </w:numPr>
      <w:tabs>
        <w:tab w:val="left" w:pos="1584"/>
        <w:tab w:val="clear" w:pos="3780"/>
      </w:tabs>
      <w:spacing w:before="240" w:after="64" w:line="317" w:lineRule="auto"/>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34"/>
    <w:qFormat/>
    <w:uiPriority w:val="0"/>
    <w:pPr>
      <w:ind w:firstLine="420" w:firstLineChars="200"/>
    </w:pPr>
    <w:rPr>
      <w:rFonts w:asciiTheme="minorHAnsi" w:hAnsiTheme="minorHAnsi" w:cstheme="minorBidi"/>
      <w:szCs w:val="24"/>
    </w:rPr>
  </w:style>
  <w:style w:type="paragraph" w:styleId="13">
    <w:name w:val="Document Map"/>
    <w:basedOn w:val="1"/>
    <w:link w:val="109"/>
    <w:semiHidden/>
    <w:qFormat/>
    <w:uiPriority w:val="0"/>
    <w:pPr>
      <w:shd w:val="clear" w:color="auto" w:fill="000080"/>
    </w:pPr>
    <w:rPr>
      <w:rFonts w:asciiTheme="minorHAnsi" w:hAnsiTheme="minorHAnsi" w:cstheme="minorBidi"/>
      <w:szCs w:val="22"/>
    </w:rPr>
  </w:style>
  <w:style w:type="paragraph" w:styleId="14">
    <w:name w:val="annotation text"/>
    <w:basedOn w:val="1"/>
    <w:link w:val="148"/>
    <w:semiHidden/>
    <w:qFormat/>
    <w:uiPriority w:val="0"/>
    <w:pPr>
      <w:jc w:val="left"/>
    </w:pPr>
  </w:style>
  <w:style w:type="paragraph" w:styleId="15">
    <w:name w:val="Body Text 3"/>
    <w:basedOn w:val="1"/>
    <w:link w:val="94"/>
    <w:qFormat/>
    <w:uiPriority w:val="0"/>
    <w:pPr>
      <w:spacing w:after="120" w:line="360" w:lineRule="auto"/>
    </w:pPr>
    <w:rPr>
      <w:rFonts w:asciiTheme="minorHAnsi" w:hAnsiTheme="minorHAnsi" w:cstheme="minorBidi"/>
      <w:sz w:val="16"/>
      <w:szCs w:val="16"/>
    </w:rPr>
  </w:style>
  <w:style w:type="paragraph" w:styleId="16">
    <w:name w:val="Body Text"/>
    <w:basedOn w:val="1"/>
    <w:link w:val="140"/>
    <w:qFormat/>
    <w:uiPriority w:val="0"/>
    <w:rPr>
      <w:rFonts w:asciiTheme="minorHAnsi" w:hAnsiTheme="minorHAnsi" w:cstheme="minorBidi"/>
      <w:i/>
      <w:sz w:val="18"/>
      <w:szCs w:val="22"/>
    </w:rPr>
  </w:style>
  <w:style w:type="paragraph" w:styleId="17">
    <w:name w:val="Body Text Indent"/>
    <w:basedOn w:val="1"/>
    <w:link w:val="133"/>
    <w:qFormat/>
    <w:uiPriority w:val="0"/>
    <w:pPr>
      <w:spacing w:line="380" w:lineRule="exact"/>
      <w:ind w:firstLine="480"/>
    </w:pPr>
    <w:rPr>
      <w:rFonts w:eastAsia="方正书宋简体" w:asciiTheme="minorHAnsi" w:hAnsiTheme="minorHAnsi" w:cstheme="minorBidi"/>
      <w:sz w:val="24"/>
      <w:szCs w:val="22"/>
    </w:rPr>
  </w:style>
  <w:style w:type="paragraph" w:styleId="18">
    <w:name w:val="List Number 3"/>
    <w:basedOn w:val="1"/>
    <w:qFormat/>
    <w:uiPriority w:val="0"/>
    <w:pPr>
      <w:widowControl/>
      <w:numPr>
        <w:ilvl w:val="0"/>
        <w:numId w:val="1"/>
      </w:numPr>
      <w:tabs>
        <w:tab w:val="left" w:pos="482"/>
        <w:tab w:val="clear" w:pos="510"/>
      </w:tabs>
      <w:spacing w:after="50" w:afterLines="50"/>
      <w:ind w:left="482" w:hanging="340"/>
      <w:jc w:val="left"/>
    </w:pPr>
    <w:rPr>
      <w:kern w:val="0"/>
      <w:sz w:val="24"/>
    </w:rPr>
  </w:style>
  <w:style w:type="paragraph" w:styleId="19">
    <w:name w:val="toc 5"/>
    <w:basedOn w:val="1"/>
    <w:next w:val="1"/>
    <w:qFormat/>
    <w:uiPriority w:val="0"/>
    <w:pPr>
      <w:ind w:left="840"/>
      <w:jc w:val="left"/>
    </w:pPr>
    <w:rPr>
      <w:sz w:val="18"/>
      <w:szCs w:val="18"/>
    </w:rPr>
  </w:style>
  <w:style w:type="paragraph" w:styleId="20">
    <w:name w:val="toc 3"/>
    <w:basedOn w:val="1"/>
    <w:next w:val="1"/>
    <w:qFormat/>
    <w:uiPriority w:val="0"/>
    <w:pPr>
      <w:ind w:left="420"/>
      <w:jc w:val="left"/>
    </w:pPr>
    <w:rPr>
      <w:i/>
      <w:iCs/>
      <w:sz w:val="20"/>
    </w:rPr>
  </w:style>
  <w:style w:type="paragraph" w:styleId="21">
    <w:name w:val="Plain Text"/>
    <w:basedOn w:val="1"/>
    <w:link w:val="139"/>
    <w:qFormat/>
    <w:uiPriority w:val="99"/>
    <w:pPr>
      <w:widowControl/>
      <w:spacing w:before="100" w:beforeAutospacing="1" w:after="100" w:afterAutospacing="1"/>
      <w:jc w:val="left"/>
    </w:pPr>
    <w:rPr>
      <w:rFonts w:ascii="宋体" w:hAnsi="宋体" w:cs="宋体"/>
      <w:color w:val="000000"/>
      <w:sz w:val="24"/>
      <w:szCs w:val="24"/>
    </w:rPr>
  </w:style>
  <w:style w:type="paragraph" w:styleId="22">
    <w:name w:val="toc 8"/>
    <w:basedOn w:val="1"/>
    <w:next w:val="1"/>
    <w:qFormat/>
    <w:uiPriority w:val="0"/>
    <w:pPr>
      <w:ind w:left="1470"/>
      <w:jc w:val="left"/>
    </w:pPr>
    <w:rPr>
      <w:sz w:val="18"/>
      <w:szCs w:val="18"/>
    </w:rPr>
  </w:style>
  <w:style w:type="paragraph" w:styleId="23">
    <w:name w:val="Date"/>
    <w:basedOn w:val="1"/>
    <w:next w:val="1"/>
    <w:link w:val="143"/>
    <w:qFormat/>
    <w:uiPriority w:val="0"/>
    <w:pPr>
      <w:adjustRightInd w:val="0"/>
      <w:spacing w:line="312" w:lineRule="atLeast"/>
      <w:jc w:val="right"/>
      <w:textAlignment w:val="baseline"/>
    </w:pPr>
    <w:rPr>
      <w:rFonts w:ascii="宋体"/>
      <w:kern w:val="0"/>
      <w:sz w:val="24"/>
    </w:rPr>
  </w:style>
  <w:style w:type="paragraph" w:styleId="24">
    <w:name w:val="Body Text Indent 2"/>
    <w:basedOn w:val="1"/>
    <w:link w:val="81"/>
    <w:qFormat/>
    <w:uiPriority w:val="0"/>
    <w:pPr>
      <w:spacing w:line="380" w:lineRule="exact"/>
      <w:ind w:left="840" w:hanging="45"/>
    </w:pPr>
    <w:rPr>
      <w:rFonts w:ascii="宋体" w:hAnsiTheme="minorHAnsi" w:cstheme="minorBidi"/>
      <w:sz w:val="24"/>
      <w:szCs w:val="22"/>
    </w:rPr>
  </w:style>
  <w:style w:type="paragraph" w:styleId="25">
    <w:name w:val="Balloon Text"/>
    <w:basedOn w:val="1"/>
    <w:link w:val="146"/>
    <w:semiHidden/>
    <w:qFormat/>
    <w:uiPriority w:val="0"/>
    <w:rPr>
      <w:sz w:val="18"/>
      <w:szCs w:val="18"/>
    </w:rPr>
  </w:style>
  <w:style w:type="paragraph" w:styleId="26">
    <w:name w:val="footer"/>
    <w:basedOn w:val="1"/>
    <w:link w:val="60"/>
    <w:unhideWhenUsed/>
    <w:qFormat/>
    <w:uiPriority w:val="0"/>
    <w:pPr>
      <w:tabs>
        <w:tab w:val="center" w:pos="4153"/>
        <w:tab w:val="right" w:pos="8306"/>
      </w:tabs>
      <w:snapToGrid w:val="0"/>
      <w:jc w:val="left"/>
    </w:pPr>
    <w:rPr>
      <w:sz w:val="18"/>
      <w:szCs w:val="18"/>
    </w:rPr>
  </w:style>
  <w:style w:type="paragraph" w:styleId="27">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721"/>
      </w:tabs>
      <w:spacing w:line="480" w:lineRule="auto"/>
    </w:pPr>
    <w:rPr>
      <w:rFonts w:ascii="宋体" w:hAnsi="宋体"/>
      <w:color w:val="000000"/>
      <w:sz w:val="30"/>
      <w:szCs w:val="32"/>
    </w:rPr>
  </w:style>
  <w:style w:type="paragraph" w:styleId="29">
    <w:name w:val="toc 4"/>
    <w:basedOn w:val="1"/>
    <w:next w:val="1"/>
    <w:qFormat/>
    <w:uiPriority w:val="0"/>
    <w:pPr>
      <w:ind w:left="630"/>
      <w:jc w:val="left"/>
    </w:pPr>
    <w:rPr>
      <w:sz w:val="18"/>
      <w:szCs w:val="18"/>
    </w:rPr>
  </w:style>
  <w:style w:type="paragraph" w:styleId="30">
    <w:name w:val="List Number 5"/>
    <w:basedOn w:val="1"/>
    <w:qFormat/>
    <w:uiPriority w:val="0"/>
    <w:pPr>
      <w:numPr>
        <w:ilvl w:val="0"/>
        <w:numId w:val="2"/>
      </w:numPr>
      <w:tabs>
        <w:tab w:val="left" w:pos="2608"/>
        <w:tab w:val="clear" w:pos="840"/>
      </w:tabs>
      <w:spacing w:line="360" w:lineRule="auto"/>
    </w:pPr>
    <w:rPr>
      <w:sz w:val="24"/>
      <w:szCs w:val="24"/>
    </w:rPr>
  </w:style>
  <w:style w:type="paragraph" w:styleId="31">
    <w:name w:val="List"/>
    <w:basedOn w:val="1"/>
    <w:qFormat/>
    <w:uiPriority w:val="0"/>
    <w:pPr>
      <w:ind w:left="200" w:hanging="200" w:hangingChars="200"/>
    </w:pPr>
  </w:style>
  <w:style w:type="paragraph" w:styleId="32">
    <w:name w:val="toc 6"/>
    <w:basedOn w:val="1"/>
    <w:next w:val="1"/>
    <w:qFormat/>
    <w:uiPriority w:val="0"/>
    <w:pPr>
      <w:ind w:left="1050"/>
      <w:jc w:val="left"/>
    </w:pPr>
    <w:rPr>
      <w:sz w:val="18"/>
      <w:szCs w:val="18"/>
    </w:rPr>
  </w:style>
  <w:style w:type="paragraph" w:styleId="33">
    <w:name w:val="Body Text Indent 3"/>
    <w:basedOn w:val="1"/>
    <w:link w:val="105"/>
    <w:qFormat/>
    <w:uiPriority w:val="0"/>
    <w:pPr>
      <w:spacing w:line="380" w:lineRule="exact"/>
      <w:ind w:left="525"/>
    </w:pPr>
    <w:rPr>
      <w:rFonts w:ascii="宋体" w:hAnsiTheme="minorHAnsi" w:cstheme="minorBidi"/>
      <w:sz w:val="24"/>
      <w:szCs w:val="22"/>
    </w:rPr>
  </w:style>
  <w:style w:type="paragraph" w:styleId="34">
    <w:name w:val="table of figures"/>
    <w:basedOn w:val="1"/>
    <w:next w:val="1"/>
    <w:qFormat/>
    <w:uiPriority w:val="0"/>
    <w:pPr>
      <w:ind w:left="420" w:hanging="420"/>
      <w:jc w:val="left"/>
    </w:pPr>
    <w:rPr>
      <w:smallCaps/>
      <w:sz w:val="20"/>
    </w:rPr>
  </w:style>
  <w:style w:type="paragraph" w:styleId="35">
    <w:name w:val="toc 2"/>
    <w:basedOn w:val="1"/>
    <w:next w:val="1"/>
    <w:qFormat/>
    <w:uiPriority w:val="39"/>
    <w:pPr>
      <w:ind w:left="210"/>
      <w:jc w:val="left"/>
    </w:pPr>
    <w:rPr>
      <w:smallCaps/>
      <w:sz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3"/>
    <w:qFormat/>
    <w:uiPriority w:val="0"/>
    <w:pPr>
      <w:spacing w:after="120" w:line="480" w:lineRule="auto"/>
    </w:pPr>
    <w:rPr>
      <w:rFonts w:asciiTheme="minorHAnsi" w:hAnsiTheme="minorHAnsi" w:cstheme="minorBidi"/>
      <w:sz w:val="24"/>
      <w:szCs w:val="24"/>
    </w:rPr>
  </w:style>
  <w:style w:type="paragraph" w:styleId="38">
    <w:name w:val="HTML Preformatted"/>
    <w:basedOn w:val="1"/>
    <w:link w:val="114"/>
    <w:qFormat/>
    <w:uiPriority w:val="0"/>
    <w:rPr>
      <w:rFonts w:ascii="Courier New" w:hAnsi="Courier New" w:cs="Courier New" w:eastAsiaTheme="minorEastAsia"/>
      <w:szCs w:val="22"/>
    </w:rPr>
  </w:style>
  <w:style w:type="paragraph" w:styleId="39">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40">
    <w:name w:val="index 1"/>
    <w:basedOn w:val="1"/>
    <w:next w:val="1"/>
    <w:semiHidden/>
    <w:qFormat/>
    <w:uiPriority w:val="0"/>
  </w:style>
  <w:style w:type="paragraph" w:styleId="41">
    <w:name w:val="annotation subject"/>
    <w:basedOn w:val="14"/>
    <w:next w:val="14"/>
    <w:link w:val="151"/>
    <w:semiHidden/>
    <w:qFormat/>
    <w:uiPriority w:val="0"/>
    <w:rPr>
      <w:b/>
      <w:bCs/>
    </w:rPr>
  </w:style>
  <w:style w:type="paragraph" w:styleId="42">
    <w:name w:val="Body Text First Indent"/>
    <w:basedOn w:val="16"/>
    <w:link w:val="106"/>
    <w:qFormat/>
    <w:uiPriority w:val="0"/>
    <w:pPr>
      <w:spacing w:after="120"/>
      <w:ind w:firstLine="420" w:firstLineChars="100"/>
    </w:pPr>
    <w:rPr>
      <w:sz w:val="21"/>
      <w:szCs w:val="24"/>
    </w:rPr>
  </w:style>
  <w:style w:type="paragraph" w:styleId="43">
    <w:name w:val="Body Text First Indent 2"/>
    <w:basedOn w:val="17"/>
    <w:link w:val="145"/>
    <w:qFormat/>
    <w:uiPriority w:val="0"/>
    <w:pPr>
      <w:tabs>
        <w:tab w:val="left" w:pos="0"/>
        <w:tab w:val="left" w:pos="1260"/>
        <w:tab w:val="left" w:pos="1365"/>
      </w:tabs>
      <w:ind w:firstLine="420"/>
    </w:pPr>
    <w:rPr>
      <w:rFonts w:eastAsia="宋体"/>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282828"/>
      <w:u w:val="none"/>
    </w:rPr>
  </w:style>
  <w:style w:type="character" w:styleId="50">
    <w:name w:val="Emphasis"/>
    <w:qFormat/>
    <w:uiPriority w:val="20"/>
    <w:rPr>
      <w:color w:val="CC0000"/>
    </w:rPr>
  </w:style>
  <w:style w:type="character" w:styleId="51">
    <w:name w:val="HTML Definition"/>
    <w:qFormat/>
    <w:uiPriority w:val="0"/>
    <w:rPr>
      <w:i/>
    </w:rPr>
  </w:style>
  <w:style w:type="character" w:styleId="52">
    <w:name w:val="HTML Typewriter"/>
    <w:qFormat/>
    <w:uiPriority w:val="0"/>
    <w:rPr>
      <w:rFonts w:ascii="Courier New" w:hAnsi="Courier New" w:cs="Courier New"/>
      <w:sz w:val="20"/>
      <w:szCs w:val="20"/>
    </w:rPr>
  </w:style>
  <w:style w:type="character" w:styleId="53">
    <w:name w:val="Hyperlink"/>
    <w:qFormat/>
    <w:uiPriority w:val="99"/>
    <w:rPr>
      <w:color w:val="282828"/>
      <w:u w:val="none"/>
    </w:rPr>
  </w:style>
  <w:style w:type="character" w:styleId="54">
    <w:name w:val="HTML Code"/>
    <w:qFormat/>
    <w:uiPriority w:val="0"/>
    <w:rPr>
      <w:rFonts w:hint="default" w:ascii="Consolas" w:hAnsi="Consolas" w:eastAsia="Consolas" w:cs="Consolas"/>
      <w:sz w:val="21"/>
      <w:szCs w:val="21"/>
      <w:shd w:val="clear" w:color="auto" w:fill="FFFFFF"/>
    </w:rPr>
  </w:style>
  <w:style w:type="character" w:styleId="55">
    <w:name w:val="annotation reference"/>
    <w:semiHidden/>
    <w:qFormat/>
    <w:uiPriority w:val="0"/>
    <w:rPr>
      <w:sz w:val="21"/>
      <w:szCs w:val="21"/>
    </w:rPr>
  </w:style>
  <w:style w:type="character" w:styleId="56">
    <w:name w:val="HTML Cite"/>
    <w:qFormat/>
    <w:uiPriority w:val="0"/>
    <w:rPr>
      <w:color w:val="008000"/>
      <w:sz w:val="14"/>
      <w:szCs w:val="14"/>
    </w:rPr>
  </w:style>
  <w:style w:type="character" w:styleId="57">
    <w:name w:val="HTML Keyboard"/>
    <w:qFormat/>
    <w:uiPriority w:val="0"/>
    <w:rPr>
      <w:rFonts w:ascii="Consolas" w:hAnsi="Consolas" w:eastAsia="Consolas" w:cs="Consolas"/>
      <w:sz w:val="21"/>
      <w:szCs w:val="21"/>
    </w:rPr>
  </w:style>
  <w:style w:type="character" w:styleId="58">
    <w:name w:val="HTML Sample"/>
    <w:qFormat/>
    <w:uiPriority w:val="0"/>
    <w:rPr>
      <w:rFonts w:hint="default" w:ascii="Consolas" w:hAnsi="Consolas" w:eastAsia="Consolas" w:cs="Consolas"/>
      <w:sz w:val="21"/>
      <w:szCs w:val="21"/>
    </w:rPr>
  </w:style>
  <w:style w:type="character" w:customStyle="1" w:styleId="59">
    <w:name w:val="页眉 Char"/>
    <w:basedOn w:val="46"/>
    <w:link w:val="27"/>
    <w:qFormat/>
    <w:uiPriority w:val="0"/>
    <w:rPr>
      <w:sz w:val="18"/>
      <w:szCs w:val="18"/>
    </w:rPr>
  </w:style>
  <w:style w:type="character" w:customStyle="1" w:styleId="60">
    <w:name w:val="页脚 Char"/>
    <w:basedOn w:val="46"/>
    <w:link w:val="26"/>
    <w:qFormat/>
    <w:uiPriority w:val="0"/>
    <w:rPr>
      <w:sz w:val="18"/>
      <w:szCs w:val="18"/>
    </w:rPr>
  </w:style>
  <w:style w:type="character" w:customStyle="1" w:styleId="61">
    <w:name w:val="标题 1 Char"/>
    <w:basedOn w:val="46"/>
    <w:link w:val="2"/>
    <w:qFormat/>
    <w:uiPriority w:val="0"/>
    <w:rPr>
      <w:rFonts w:ascii="宋体" w:hAnsi="Times New Roman" w:eastAsia="宋体" w:cs="Times New Roman"/>
      <w:b/>
      <w:bCs/>
      <w:sz w:val="28"/>
      <w:szCs w:val="20"/>
    </w:rPr>
  </w:style>
  <w:style w:type="character" w:customStyle="1" w:styleId="62">
    <w:name w:val="标题 2 Char"/>
    <w:basedOn w:val="46"/>
    <w:link w:val="3"/>
    <w:qFormat/>
    <w:uiPriority w:val="0"/>
    <w:rPr>
      <w:rFonts w:ascii="Arial" w:hAnsi="Arial" w:eastAsia="黑体" w:cs="Times New Roman"/>
      <w:b/>
      <w:bCs/>
      <w:sz w:val="32"/>
      <w:szCs w:val="32"/>
    </w:rPr>
  </w:style>
  <w:style w:type="character" w:customStyle="1" w:styleId="63">
    <w:name w:val="标题 3 Char"/>
    <w:basedOn w:val="46"/>
    <w:link w:val="4"/>
    <w:qFormat/>
    <w:uiPriority w:val="0"/>
    <w:rPr>
      <w:rFonts w:ascii="Arial" w:hAnsi="Arial" w:eastAsia="黑体" w:cs="Arial"/>
      <w:b/>
      <w:bCs/>
      <w:sz w:val="30"/>
      <w:szCs w:val="32"/>
    </w:rPr>
  </w:style>
  <w:style w:type="character" w:customStyle="1" w:styleId="64">
    <w:name w:val="标题 4 Char"/>
    <w:basedOn w:val="46"/>
    <w:link w:val="5"/>
    <w:qFormat/>
    <w:uiPriority w:val="0"/>
    <w:rPr>
      <w:rFonts w:ascii="Arial" w:hAnsi="Arial" w:eastAsia="黑体" w:cs="Times New Roman"/>
      <w:b/>
      <w:bCs/>
      <w:sz w:val="28"/>
      <w:szCs w:val="28"/>
    </w:rPr>
  </w:style>
  <w:style w:type="character" w:customStyle="1" w:styleId="65">
    <w:name w:val="标题 5 Char"/>
    <w:basedOn w:val="46"/>
    <w:link w:val="6"/>
    <w:qFormat/>
    <w:uiPriority w:val="0"/>
    <w:rPr>
      <w:rFonts w:ascii="Times New Roman" w:hAnsi="Times New Roman" w:eastAsia="宋体" w:cs="Times New Roman"/>
      <w:b/>
      <w:bCs/>
      <w:sz w:val="28"/>
      <w:szCs w:val="28"/>
    </w:rPr>
  </w:style>
  <w:style w:type="character" w:customStyle="1" w:styleId="66">
    <w:name w:val="标题 6 Char"/>
    <w:basedOn w:val="46"/>
    <w:link w:val="7"/>
    <w:qFormat/>
    <w:uiPriority w:val="0"/>
    <w:rPr>
      <w:rFonts w:ascii="Cambria" w:hAnsi="Cambria" w:eastAsia="宋体" w:cs="Times New Roman"/>
      <w:b/>
      <w:bCs/>
      <w:sz w:val="24"/>
      <w:szCs w:val="24"/>
    </w:rPr>
  </w:style>
  <w:style w:type="character" w:customStyle="1" w:styleId="67">
    <w:name w:val="标题 7 Char"/>
    <w:basedOn w:val="46"/>
    <w:link w:val="8"/>
    <w:qFormat/>
    <w:uiPriority w:val="0"/>
    <w:rPr>
      <w:rFonts w:ascii="Times New Roman" w:hAnsi="Times New Roman" w:eastAsia="宋体" w:cs="Times New Roman"/>
      <w:b/>
      <w:bCs/>
      <w:sz w:val="24"/>
      <w:szCs w:val="24"/>
    </w:rPr>
  </w:style>
  <w:style w:type="character" w:customStyle="1" w:styleId="68">
    <w:name w:val="标题 8 Char"/>
    <w:basedOn w:val="46"/>
    <w:link w:val="9"/>
    <w:qFormat/>
    <w:uiPriority w:val="0"/>
    <w:rPr>
      <w:rFonts w:ascii="Arial" w:hAnsi="Arial" w:eastAsia="黑体" w:cs="Times New Roman"/>
      <w:sz w:val="24"/>
      <w:szCs w:val="24"/>
    </w:rPr>
  </w:style>
  <w:style w:type="character" w:customStyle="1" w:styleId="69">
    <w:name w:val="标题 9 Char"/>
    <w:basedOn w:val="46"/>
    <w:link w:val="10"/>
    <w:qFormat/>
    <w:uiPriority w:val="0"/>
    <w:rPr>
      <w:rFonts w:ascii="Arial" w:hAnsi="Arial" w:eastAsia="黑体" w:cs="Times New Roman"/>
      <w:szCs w:val="21"/>
    </w:rPr>
  </w:style>
  <w:style w:type="character" w:customStyle="1" w:styleId="70">
    <w:name w:val="样式2 Char"/>
    <w:link w:val="71"/>
    <w:qFormat/>
    <w:uiPriority w:val="0"/>
    <w:rPr>
      <w:rFonts w:ascii="黑体" w:hAnsi="黑体" w:eastAsia="黑体"/>
      <w:bCs/>
      <w:color w:val="FF0000"/>
      <w:sz w:val="28"/>
      <w:szCs w:val="32"/>
    </w:rPr>
  </w:style>
  <w:style w:type="paragraph" w:customStyle="1" w:styleId="71">
    <w:name w:val="样式2"/>
    <w:basedOn w:val="4"/>
    <w:link w:val="70"/>
    <w:qFormat/>
    <w:uiPriority w:val="0"/>
    <w:pPr>
      <w:adjustRightInd w:val="0"/>
      <w:spacing w:before="0" w:beforeLines="0" w:after="0" w:afterLines="0"/>
      <w:ind w:left="0" w:firstLine="0"/>
      <w:textAlignment w:val="baseline"/>
    </w:pPr>
    <w:rPr>
      <w:rFonts w:ascii="黑体" w:hAnsi="黑体" w:cstheme="minorBidi"/>
      <w:b w:val="0"/>
      <w:color w:val="FF0000"/>
      <w:sz w:val="28"/>
    </w:rPr>
  </w:style>
  <w:style w:type="character" w:customStyle="1" w:styleId="72">
    <w:name w:val="ant-select-tree-checkbox"/>
    <w:basedOn w:val="46"/>
    <w:qFormat/>
    <w:uiPriority w:val="0"/>
  </w:style>
  <w:style w:type="character" w:customStyle="1" w:styleId="73">
    <w:name w:val="all-fit-info"/>
    <w:qFormat/>
    <w:uiPriority w:val="0"/>
    <w:rPr>
      <w:color w:val="939393"/>
    </w:rPr>
  </w:style>
  <w:style w:type="character" w:customStyle="1" w:styleId="74">
    <w:name w:val="标题 1 Char Char"/>
    <w:qFormat/>
    <w:uiPriority w:val="0"/>
    <w:rPr>
      <w:rFonts w:eastAsia="宋体"/>
      <w:b/>
      <w:spacing w:val="-2"/>
      <w:sz w:val="24"/>
      <w:lang w:val="en-US" w:eastAsia="zh-CN" w:bidi="ar-SA"/>
    </w:rPr>
  </w:style>
  <w:style w:type="character" w:customStyle="1" w:styleId="75">
    <w:name w:val="Char Char7"/>
    <w:qFormat/>
    <w:uiPriority w:val="0"/>
    <w:rPr>
      <w:rFonts w:eastAsia="宋体"/>
      <w:b/>
      <w:bCs/>
      <w:kern w:val="44"/>
      <w:sz w:val="44"/>
      <w:szCs w:val="44"/>
      <w:lang w:val="en-US" w:eastAsia="zh-CN" w:bidi="ar-SA"/>
    </w:rPr>
  </w:style>
  <w:style w:type="character" w:customStyle="1" w:styleId="76">
    <w:name w:val="last-child4"/>
    <w:basedOn w:val="46"/>
    <w:qFormat/>
    <w:uiPriority w:val="0"/>
  </w:style>
  <w:style w:type="character" w:customStyle="1" w:styleId="77">
    <w:name w:val="last-child3"/>
    <w:basedOn w:val="46"/>
    <w:qFormat/>
    <w:uiPriority w:val="0"/>
  </w:style>
  <w:style w:type="character" w:customStyle="1" w:styleId="78">
    <w:name w:val="h6 Char"/>
    <w:qFormat/>
    <w:uiPriority w:val="0"/>
    <w:rPr>
      <w:rFonts w:ascii="Arial" w:hAnsi="Arial" w:eastAsia="宋体"/>
      <w:b/>
      <w:bCs/>
      <w:kern w:val="2"/>
      <w:sz w:val="24"/>
      <w:szCs w:val="24"/>
      <w:lang w:val="en-US" w:eastAsia="zh-CN" w:bidi="ar-SA"/>
    </w:rPr>
  </w:style>
  <w:style w:type="character" w:customStyle="1" w:styleId="79">
    <w:name w:val="List Paragraph Char"/>
    <w:link w:val="80"/>
    <w:qFormat/>
    <w:locked/>
    <w:uiPriority w:val="0"/>
    <w:rPr>
      <w:rFonts w:ascii="Calibri" w:hAnsi="Calibri" w:eastAsia="宋体"/>
    </w:rPr>
  </w:style>
  <w:style w:type="paragraph" w:customStyle="1" w:styleId="80">
    <w:name w:val="List Paragraph1"/>
    <w:basedOn w:val="1"/>
    <w:link w:val="79"/>
    <w:qFormat/>
    <w:uiPriority w:val="0"/>
    <w:pPr>
      <w:ind w:firstLine="420" w:firstLineChars="200"/>
    </w:pPr>
    <w:rPr>
      <w:rFonts w:ascii="Calibri" w:hAnsi="Calibri" w:cstheme="minorBidi"/>
      <w:szCs w:val="22"/>
    </w:rPr>
  </w:style>
  <w:style w:type="character" w:customStyle="1" w:styleId="81">
    <w:name w:val="正文文本缩进 2 Char"/>
    <w:link w:val="24"/>
    <w:qFormat/>
    <w:uiPriority w:val="0"/>
    <w:rPr>
      <w:rFonts w:ascii="宋体" w:eastAsia="宋体"/>
      <w:sz w:val="24"/>
    </w:rPr>
  </w:style>
  <w:style w:type="character" w:customStyle="1" w:styleId="82">
    <w:name w:val="hui3"/>
    <w:qFormat/>
    <w:uiPriority w:val="0"/>
    <w:rPr>
      <w:color w:val="333333"/>
    </w:rPr>
  </w:style>
  <w:style w:type="character" w:customStyle="1" w:styleId="83">
    <w:name w:val="font21"/>
    <w:qFormat/>
    <w:uiPriority w:val="0"/>
    <w:rPr>
      <w:rFonts w:hint="eastAsia" w:ascii="仿宋_GB2312" w:eastAsia="仿宋_GB2312" w:cs="仿宋_GB2312"/>
      <w:color w:val="000000"/>
      <w:sz w:val="20"/>
      <w:szCs w:val="20"/>
      <w:u w:val="none"/>
    </w:rPr>
  </w:style>
  <w:style w:type="character" w:customStyle="1" w:styleId="84">
    <w:name w:val="ant-tree-checkbox2"/>
    <w:basedOn w:val="46"/>
    <w:qFormat/>
    <w:uiPriority w:val="0"/>
  </w:style>
  <w:style w:type="character" w:customStyle="1" w:styleId="85">
    <w:name w:val="c-icon14"/>
    <w:basedOn w:val="46"/>
    <w:qFormat/>
    <w:uiPriority w:val="0"/>
  </w:style>
  <w:style w:type="character" w:customStyle="1" w:styleId="86">
    <w:name w:val="last-child1"/>
    <w:basedOn w:val="46"/>
    <w:qFormat/>
    <w:uiPriority w:val="0"/>
  </w:style>
  <w:style w:type="character" w:customStyle="1" w:styleId="87">
    <w:name w:val="列出段落 Char"/>
    <w:link w:val="88"/>
    <w:qFormat/>
    <w:locked/>
    <w:uiPriority w:val="0"/>
    <w:rPr>
      <w:rFonts w:eastAsia="宋体"/>
      <w:sz w:val="24"/>
      <w:szCs w:val="24"/>
    </w:rPr>
  </w:style>
  <w:style w:type="paragraph" w:styleId="88">
    <w:name w:val="List Paragraph"/>
    <w:basedOn w:val="1"/>
    <w:link w:val="87"/>
    <w:qFormat/>
    <w:uiPriority w:val="0"/>
    <w:pPr>
      <w:spacing w:line="360" w:lineRule="auto"/>
      <w:ind w:firstLine="420" w:firstLineChars="200"/>
    </w:pPr>
    <w:rPr>
      <w:rFonts w:asciiTheme="minorHAnsi" w:hAnsiTheme="minorHAnsi" w:cstheme="minorBidi"/>
      <w:sz w:val="24"/>
      <w:szCs w:val="24"/>
    </w:rPr>
  </w:style>
  <w:style w:type="character" w:customStyle="1" w:styleId="89">
    <w:name w:val="ant-select-tree-iconele"/>
    <w:basedOn w:val="46"/>
    <w:qFormat/>
    <w:uiPriority w:val="0"/>
  </w:style>
  <w:style w:type="character" w:customStyle="1" w:styleId="90">
    <w:name w:val="current"/>
    <w:qFormat/>
    <w:uiPriority w:val="0"/>
    <w:rPr>
      <w:color w:val="00C1DE"/>
    </w:rPr>
  </w:style>
  <w:style w:type="character" w:customStyle="1" w:styleId="91">
    <w:name w:val="中等深浅网格 1 - 强调文字颜色 2 Char"/>
    <w:link w:val="92"/>
    <w:qFormat/>
    <w:uiPriority w:val="34"/>
    <w:rPr>
      <w:rFonts w:ascii="Calibri" w:hAnsi="Calibri"/>
    </w:rPr>
  </w:style>
  <w:style w:type="paragraph" w:customStyle="1" w:styleId="92">
    <w:name w:val="中等深浅网格 1 - 强调文字颜色 21"/>
    <w:basedOn w:val="1"/>
    <w:link w:val="91"/>
    <w:qFormat/>
    <w:uiPriority w:val="34"/>
    <w:pPr>
      <w:ind w:firstLine="420" w:firstLineChars="200"/>
    </w:pPr>
    <w:rPr>
      <w:rFonts w:ascii="Calibri" w:hAnsi="Calibri" w:eastAsiaTheme="minorEastAsia" w:cstheme="minorBidi"/>
      <w:szCs w:val="22"/>
    </w:rPr>
  </w:style>
  <w:style w:type="character" w:customStyle="1" w:styleId="93">
    <w:name w:val="first-child9"/>
    <w:basedOn w:val="46"/>
    <w:qFormat/>
    <w:uiPriority w:val="0"/>
  </w:style>
  <w:style w:type="character" w:customStyle="1" w:styleId="94">
    <w:name w:val="正文文本 3 Char"/>
    <w:link w:val="15"/>
    <w:qFormat/>
    <w:uiPriority w:val="0"/>
    <w:rPr>
      <w:rFonts w:eastAsia="宋体"/>
      <w:sz w:val="16"/>
      <w:szCs w:val="16"/>
    </w:rPr>
  </w:style>
  <w:style w:type="character" w:customStyle="1" w:styleId="95">
    <w:name w:val="hover8"/>
    <w:qFormat/>
    <w:uiPriority w:val="0"/>
    <w:rPr>
      <w:color w:val="3177FD"/>
    </w:rPr>
  </w:style>
  <w:style w:type="character" w:customStyle="1" w:styleId="96">
    <w:name w:val="样式1 Char"/>
    <w:link w:val="97"/>
    <w:qFormat/>
    <w:uiPriority w:val="0"/>
    <w:rPr>
      <w:rFonts w:ascii="黑体" w:hAnsi="黑体" w:eastAsia="黑体"/>
      <w:b/>
      <w:bCs/>
      <w:sz w:val="32"/>
      <w:szCs w:val="32"/>
    </w:rPr>
  </w:style>
  <w:style w:type="paragraph" w:customStyle="1" w:styleId="97">
    <w:name w:val="样式1"/>
    <w:basedOn w:val="3"/>
    <w:link w:val="96"/>
    <w:qFormat/>
    <w:uiPriority w:val="0"/>
    <w:pPr>
      <w:tabs>
        <w:tab w:val="clear" w:pos="578"/>
      </w:tabs>
      <w:spacing w:before="0" w:beforeLines="0" w:after="0" w:afterLines="0"/>
      <w:ind w:left="0" w:firstLine="0"/>
    </w:pPr>
    <w:rPr>
      <w:rFonts w:ascii="黑体" w:hAnsi="黑体" w:cstheme="minorBidi"/>
    </w:rPr>
  </w:style>
  <w:style w:type="character" w:customStyle="1" w:styleId="98">
    <w:name w:val="apple-style-span"/>
    <w:basedOn w:val="46"/>
    <w:qFormat/>
    <w:uiPriority w:val="0"/>
  </w:style>
  <w:style w:type="character" w:customStyle="1" w:styleId="99">
    <w:name w:val="layui-laypage-curr"/>
    <w:basedOn w:val="46"/>
    <w:qFormat/>
    <w:uiPriority w:val="0"/>
  </w:style>
  <w:style w:type="character" w:customStyle="1" w:styleId="100">
    <w:name w:val="info-content"/>
    <w:qFormat/>
    <w:uiPriority w:val="0"/>
    <w:rPr>
      <w:color w:val="808080"/>
    </w:rPr>
  </w:style>
  <w:style w:type="character" w:customStyle="1" w:styleId="101">
    <w:name w:val="样式5 Char"/>
    <w:link w:val="102"/>
    <w:qFormat/>
    <w:uiPriority w:val="0"/>
    <w:rPr>
      <w:rFonts w:eastAsia="宋体"/>
      <w:b/>
      <w:bCs/>
      <w:sz w:val="28"/>
      <w:szCs w:val="28"/>
    </w:rPr>
  </w:style>
  <w:style w:type="paragraph" w:customStyle="1" w:styleId="102">
    <w:name w:val="样式5"/>
    <w:basedOn w:val="1"/>
    <w:link w:val="101"/>
    <w:qFormat/>
    <w:uiPriority w:val="0"/>
    <w:pPr>
      <w:keepNext/>
      <w:keepLines/>
      <w:spacing w:before="280" w:after="290" w:line="376" w:lineRule="auto"/>
      <w:ind w:left="210" w:leftChars="100" w:right="210" w:rightChars="100"/>
      <w:outlineLvl w:val="4"/>
    </w:pPr>
    <w:rPr>
      <w:rFonts w:asciiTheme="minorHAnsi" w:hAnsiTheme="minorHAnsi" w:cstheme="minorBidi"/>
      <w:b/>
      <w:bCs/>
      <w:sz w:val="28"/>
      <w:szCs w:val="28"/>
    </w:rPr>
  </w:style>
  <w:style w:type="character" w:customStyle="1" w:styleId="103">
    <w:name w:val="tag-type1"/>
    <w:qFormat/>
    <w:uiPriority w:val="0"/>
    <w:rPr>
      <w:color w:val="FFFFFF"/>
      <w:sz w:val="14"/>
      <w:szCs w:val="14"/>
      <w:shd w:val="clear" w:color="auto" w:fill="317FFD"/>
    </w:rPr>
  </w:style>
  <w:style w:type="character" w:customStyle="1" w:styleId="104">
    <w:name w:val="纯文本 Char2"/>
    <w:qFormat/>
    <w:uiPriority w:val="0"/>
    <w:rPr>
      <w:rFonts w:ascii="宋体" w:hAnsi="宋体" w:eastAsia="宋体" w:cs="宋体"/>
      <w:color w:val="000000"/>
      <w:sz w:val="24"/>
      <w:szCs w:val="24"/>
      <w:lang w:val="en-US" w:eastAsia="zh-CN" w:bidi="ar-SA"/>
    </w:rPr>
  </w:style>
  <w:style w:type="character" w:customStyle="1" w:styleId="105">
    <w:name w:val="正文文本缩进 3 Char"/>
    <w:link w:val="33"/>
    <w:qFormat/>
    <w:uiPriority w:val="0"/>
    <w:rPr>
      <w:rFonts w:ascii="宋体" w:eastAsia="宋体"/>
      <w:sz w:val="24"/>
    </w:rPr>
  </w:style>
  <w:style w:type="character" w:customStyle="1" w:styleId="106">
    <w:name w:val="正文首行缩进 Char"/>
    <w:link w:val="42"/>
    <w:qFormat/>
    <w:uiPriority w:val="0"/>
    <w:rPr>
      <w:rFonts w:eastAsia="宋体"/>
      <w:i/>
      <w:szCs w:val="24"/>
    </w:rPr>
  </w:style>
  <w:style w:type="character" w:customStyle="1" w:styleId="107">
    <w:name w:val="font01"/>
    <w:qFormat/>
    <w:uiPriority w:val="0"/>
    <w:rPr>
      <w:rFonts w:hint="eastAsia" w:ascii="宋体" w:hAnsi="宋体" w:eastAsia="宋体"/>
      <w:color w:val="000000"/>
      <w:sz w:val="24"/>
      <w:szCs w:val="24"/>
      <w:u w:val="none"/>
    </w:rPr>
  </w:style>
  <w:style w:type="character" w:customStyle="1" w:styleId="108">
    <w:name w:val="apple-converted-space"/>
    <w:basedOn w:val="46"/>
    <w:qFormat/>
    <w:uiPriority w:val="0"/>
  </w:style>
  <w:style w:type="character" w:customStyle="1" w:styleId="109">
    <w:name w:val="文档结构图 Char"/>
    <w:link w:val="13"/>
    <w:semiHidden/>
    <w:qFormat/>
    <w:uiPriority w:val="0"/>
    <w:rPr>
      <w:rFonts w:eastAsia="宋体"/>
      <w:shd w:val="clear" w:color="auto" w:fill="000080"/>
    </w:rPr>
  </w:style>
  <w:style w:type="character" w:customStyle="1" w:styleId="110">
    <w:name w:val="正文文本缩进 Char1"/>
    <w:qFormat/>
    <w:uiPriority w:val="0"/>
    <w:rPr>
      <w:rFonts w:eastAsia="方正书宋简体"/>
      <w:kern w:val="2"/>
      <w:sz w:val="24"/>
      <w:lang w:val="en-US" w:eastAsia="zh-CN" w:bidi="ar-SA"/>
    </w:rPr>
  </w:style>
  <w:style w:type="character" w:customStyle="1" w:styleId="111">
    <w:name w:val="哈哈正文 Char"/>
    <w:link w:val="112"/>
    <w:qFormat/>
    <w:uiPriority w:val="0"/>
    <w:rPr>
      <w:rFonts w:ascii="宋体" w:hAnsi="宋体" w:eastAsia="宋体" w:cs="宋体"/>
      <w:sz w:val="24"/>
    </w:rPr>
  </w:style>
  <w:style w:type="paragraph" w:customStyle="1" w:styleId="112">
    <w:name w:val="哈哈正文"/>
    <w:basedOn w:val="1"/>
    <w:link w:val="111"/>
    <w:qFormat/>
    <w:uiPriority w:val="0"/>
    <w:pPr>
      <w:spacing w:line="360" w:lineRule="auto"/>
      <w:ind w:firstLine="200" w:firstLineChars="200"/>
    </w:pPr>
    <w:rPr>
      <w:rFonts w:ascii="宋体" w:hAnsi="宋体" w:cs="宋体"/>
      <w:sz w:val="24"/>
      <w:szCs w:val="22"/>
    </w:rPr>
  </w:style>
  <w:style w:type="character" w:customStyle="1" w:styleId="113">
    <w:name w:val="all-fit-info2"/>
    <w:qFormat/>
    <w:uiPriority w:val="0"/>
    <w:rPr>
      <w:color w:val="939393"/>
    </w:rPr>
  </w:style>
  <w:style w:type="character" w:customStyle="1" w:styleId="114">
    <w:name w:val="HTML 预设格式 Char"/>
    <w:link w:val="38"/>
    <w:qFormat/>
    <w:uiPriority w:val="0"/>
    <w:rPr>
      <w:rFonts w:ascii="Courier New" w:hAnsi="Courier New" w:cs="Courier New"/>
    </w:rPr>
  </w:style>
  <w:style w:type="character" w:customStyle="1" w:styleId="115">
    <w:name w:val="last-child2"/>
    <w:basedOn w:val="46"/>
    <w:qFormat/>
    <w:uiPriority w:val="0"/>
  </w:style>
  <w:style w:type="character" w:customStyle="1" w:styleId="116">
    <w:name w:val="font31"/>
    <w:qFormat/>
    <w:uiPriority w:val="0"/>
    <w:rPr>
      <w:rFonts w:hint="eastAsia" w:ascii="宋体" w:hAnsi="宋体" w:eastAsia="宋体" w:cs="宋体"/>
      <w:color w:val="000000"/>
      <w:sz w:val="22"/>
      <w:szCs w:val="22"/>
      <w:u w:val="none"/>
    </w:rPr>
  </w:style>
  <w:style w:type="character" w:customStyle="1" w:styleId="117">
    <w:name w:val="ca-11"/>
    <w:qFormat/>
    <w:uiPriority w:val="0"/>
    <w:rPr>
      <w:rFonts w:hint="eastAsia" w:ascii="仿宋_GB2312" w:eastAsia="仿宋_GB2312"/>
      <w:sz w:val="28"/>
      <w:szCs w:val="28"/>
    </w:rPr>
  </w:style>
  <w:style w:type="character" w:customStyle="1" w:styleId="118">
    <w:name w:val="ant-tree-iconele"/>
    <w:basedOn w:val="46"/>
    <w:qFormat/>
    <w:uiPriority w:val="0"/>
  </w:style>
  <w:style w:type="character" w:customStyle="1" w:styleId="119">
    <w:name w:val="tag-type"/>
    <w:qFormat/>
    <w:uiPriority w:val="0"/>
    <w:rPr>
      <w:color w:val="FFFFFF"/>
      <w:sz w:val="14"/>
      <w:szCs w:val="14"/>
      <w:shd w:val="clear" w:color="auto" w:fill="317FFD"/>
    </w:rPr>
  </w:style>
  <w:style w:type="character" w:customStyle="1" w:styleId="120">
    <w:name w:val="content6"/>
    <w:basedOn w:val="46"/>
    <w:qFormat/>
    <w:uiPriority w:val="0"/>
  </w:style>
  <w:style w:type="character" w:customStyle="1" w:styleId="121">
    <w:name w:val="标题2正文 Char Char"/>
    <w:link w:val="122"/>
    <w:qFormat/>
    <w:uiPriority w:val="0"/>
    <w:rPr>
      <w:rFonts w:eastAsia="宋体"/>
      <w:sz w:val="24"/>
      <w:szCs w:val="24"/>
    </w:rPr>
  </w:style>
  <w:style w:type="paragraph" w:customStyle="1" w:styleId="122">
    <w:name w:val="标题2正文 Char"/>
    <w:basedOn w:val="1"/>
    <w:link w:val="121"/>
    <w:qFormat/>
    <w:uiPriority w:val="0"/>
    <w:pPr>
      <w:spacing w:before="156" w:beforeLines="50" w:after="156" w:afterLines="50"/>
      <w:ind w:right="38" w:rightChars="18" w:firstLine="420"/>
    </w:pPr>
    <w:rPr>
      <w:rFonts w:asciiTheme="minorHAnsi" w:hAnsiTheme="minorHAnsi" w:cstheme="minorBidi"/>
      <w:sz w:val="24"/>
      <w:szCs w:val="24"/>
    </w:rPr>
  </w:style>
  <w:style w:type="character" w:customStyle="1" w:styleId="123">
    <w:name w:val="正文文本 2 Char"/>
    <w:link w:val="37"/>
    <w:qFormat/>
    <w:uiPriority w:val="0"/>
    <w:rPr>
      <w:rFonts w:eastAsia="宋体"/>
      <w:sz w:val="24"/>
      <w:szCs w:val="24"/>
    </w:rPr>
  </w:style>
  <w:style w:type="character" w:customStyle="1" w:styleId="124">
    <w:name w:val="ant-select-tree-switcher"/>
    <w:basedOn w:val="46"/>
    <w:qFormat/>
    <w:uiPriority w:val="0"/>
  </w:style>
  <w:style w:type="character" w:customStyle="1" w:styleId="125">
    <w:name w:val="label"/>
    <w:basedOn w:val="46"/>
    <w:qFormat/>
    <w:uiPriority w:val="0"/>
  </w:style>
  <w:style w:type="character" w:customStyle="1" w:styleId="126">
    <w:name w:val="ant-tree-icon_loading"/>
    <w:qFormat/>
    <w:uiPriority w:val="0"/>
    <w:rPr>
      <w:shd w:val="clear" w:color="auto" w:fill="FFFFFF"/>
    </w:rPr>
  </w:style>
  <w:style w:type="character" w:customStyle="1" w:styleId="127">
    <w:name w:val="样式4 Char"/>
    <w:link w:val="128"/>
    <w:qFormat/>
    <w:uiPriority w:val="0"/>
    <w:rPr>
      <w:rFonts w:ascii="黑体" w:hAnsi="黑体" w:eastAsia="黑体"/>
      <w:bCs/>
      <w:kern w:val="44"/>
      <w:sz w:val="44"/>
      <w:szCs w:val="44"/>
    </w:rPr>
  </w:style>
  <w:style w:type="paragraph" w:customStyle="1" w:styleId="128">
    <w:name w:val="样式4"/>
    <w:basedOn w:val="2"/>
    <w:link w:val="127"/>
    <w:qFormat/>
    <w:uiPriority w:val="0"/>
    <w:pPr>
      <w:keepLines/>
      <w:spacing w:line="360" w:lineRule="auto"/>
    </w:pPr>
    <w:rPr>
      <w:rFonts w:ascii="黑体" w:hAnsi="黑体" w:eastAsia="黑体" w:cstheme="minorBidi"/>
      <w:b w:val="0"/>
      <w:kern w:val="44"/>
      <w:sz w:val="44"/>
      <w:szCs w:val="44"/>
    </w:rPr>
  </w:style>
  <w:style w:type="character" w:customStyle="1" w:styleId="129">
    <w:name w:val="info-label"/>
    <w:qFormat/>
    <w:uiPriority w:val="0"/>
    <w:rPr>
      <w:b/>
    </w:rPr>
  </w:style>
  <w:style w:type="character" w:customStyle="1" w:styleId="130">
    <w:name w:val="all-fit-info1"/>
    <w:qFormat/>
    <w:uiPriority w:val="0"/>
    <w:rPr>
      <w:color w:val="939393"/>
    </w:rPr>
  </w:style>
  <w:style w:type="character" w:customStyle="1" w:styleId="131">
    <w:name w:val="font11"/>
    <w:qFormat/>
    <w:uiPriority w:val="0"/>
    <w:rPr>
      <w:rFonts w:hint="default" w:ascii="Times New Roman" w:hAnsi="Times New Roman" w:cs="Times New Roman"/>
      <w:color w:val="000000"/>
      <w:sz w:val="24"/>
      <w:szCs w:val="24"/>
      <w:u w:val="none"/>
    </w:rPr>
  </w:style>
  <w:style w:type="character" w:customStyle="1" w:styleId="132">
    <w:name w:val="current1"/>
    <w:qFormat/>
    <w:uiPriority w:val="0"/>
    <w:rPr>
      <w:color w:val="00C1DE"/>
    </w:rPr>
  </w:style>
  <w:style w:type="character" w:customStyle="1" w:styleId="133">
    <w:name w:val="正文文本缩进 Char"/>
    <w:link w:val="17"/>
    <w:qFormat/>
    <w:uiPriority w:val="0"/>
    <w:rPr>
      <w:rFonts w:eastAsia="方正书宋简体"/>
      <w:sz w:val="24"/>
    </w:rPr>
  </w:style>
  <w:style w:type="character" w:customStyle="1" w:styleId="134">
    <w:name w:val="正文缩进 Char"/>
    <w:link w:val="12"/>
    <w:qFormat/>
    <w:uiPriority w:val="0"/>
    <w:rPr>
      <w:rFonts w:eastAsia="宋体"/>
      <w:szCs w:val="24"/>
    </w:rPr>
  </w:style>
  <w:style w:type="character" w:customStyle="1" w:styleId="135">
    <w:name w:val="ant-tree-switcher"/>
    <w:basedOn w:val="46"/>
    <w:qFormat/>
    <w:uiPriority w:val="0"/>
  </w:style>
  <w:style w:type="character" w:customStyle="1" w:styleId="136">
    <w:name w:val="change-camera-place"/>
    <w:qFormat/>
    <w:uiPriority w:val="0"/>
    <w:rPr>
      <w:color w:val="3177FD"/>
    </w:rPr>
  </w:style>
  <w:style w:type="character" w:customStyle="1" w:styleId="137">
    <w:name w:val="方案－正文 Char"/>
    <w:link w:val="138"/>
    <w:qFormat/>
    <w:uiPriority w:val="0"/>
    <w:rPr>
      <w:rFonts w:ascii="仿宋_GB2312" w:hAnsi="宋体"/>
      <w:sz w:val="24"/>
    </w:rPr>
  </w:style>
  <w:style w:type="paragraph" w:customStyle="1" w:styleId="138">
    <w:name w:val="方案－正文"/>
    <w:basedOn w:val="1"/>
    <w:link w:val="137"/>
    <w:qFormat/>
    <w:uiPriority w:val="0"/>
    <w:pPr>
      <w:spacing w:line="360" w:lineRule="auto"/>
      <w:ind w:firstLine="480" w:firstLineChars="200"/>
    </w:pPr>
    <w:rPr>
      <w:rFonts w:ascii="仿宋_GB2312" w:hAnsi="宋体" w:eastAsiaTheme="minorEastAsia" w:cstheme="minorBidi"/>
      <w:sz w:val="24"/>
      <w:szCs w:val="22"/>
    </w:rPr>
  </w:style>
  <w:style w:type="character" w:customStyle="1" w:styleId="139">
    <w:name w:val="纯文本 Char"/>
    <w:link w:val="21"/>
    <w:qFormat/>
    <w:uiPriority w:val="0"/>
    <w:rPr>
      <w:rFonts w:ascii="宋体" w:hAnsi="宋体" w:eastAsia="宋体" w:cs="宋体"/>
      <w:color w:val="000000"/>
      <w:sz w:val="24"/>
      <w:szCs w:val="24"/>
    </w:rPr>
  </w:style>
  <w:style w:type="character" w:customStyle="1" w:styleId="140">
    <w:name w:val="正文文本 Char"/>
    <w:link w:val="16"/>
    <w:qFormat/>
    <w:uiPriority w:val="0"/>
    <w:rPr>
      <w:rFonts w:eastAsia="宋体"/>
      <w:i/>
      <w:sz w:val="18"/>
    </w:rPr>
  </w:style>
  <w:style w:type="character" w:customStyle="1" w:styleId="141">
    <w:name w:val="正文文本 Char1"/>
    <w:basedOn w:val="46"/>
    <w:semiHidden/>
    <w:qFormat/>
    <w:uiPriority w:val="99"/>
    <w:rPr>
      <w:rFonts w:ascii="Times New Roman" w:hAnsi="Times New Roman" w:eastAsia="宋体" w:cs="Times New Roman"/>
      <w:szCs w:val="20"/>
    </w:rPr>
  </w:style>
  <w:style w:type="character" w:customStyle="1" w:styleId="142">
    <w:name w:val="正文首行缩进 Char1"/>
    <w:basedOn w:val="141"/>
    <w:semiHidden/>
    <w:qFormat/>
    <w:uiPriority w:val="99"/>
    <w:rPr>
      <w:rFonts w:ascii="Times New Roman" w:hAnsi="Times New Roman" w:eastAsia="宋体" w:cs="Times New Roman"/>
      <w:szCs w:val="20"/>
    </w:rPr>
  </w:style>
  <w:style w:type="character" w:customStyle="1" w:styleId="143">
    <w:name w:val="日期 Char"/>
    <w:basedOn w:val="46"/>
    <w:link w:val="23"/>
    <w:qFormat/>
    <w:uiPriority w:val="0"/>
    <w:rPr>
      <w:rFonts w:ascii="宋体" w:hAnsi="Times New Roman" w:eastAsia="宋体" w:cs="Times New Roman"/>
      <w:kern w:val="0"/>
      <w:sz w:val="24"/>
      <w:szCs w:val="20"/>
    </w:rPr>
  </w:style>
  <w:style w:type="character" w:customStyle="1" w:styleId="144">
    <w:name w:val="正文文本缩进 Char2"/>
    <w:basedOn w:val="46"/>
    <w:semiHidden/>
    <w:qFormat/>
    <w:uiPriority w:val="99"/>
    <w:rPr>
      <w:rFonts w:ascii="Times New Roman" w:hAnsi="Times New Roman" w:eastAsia="宋体" w:cs="Times New Roman"/>
      <w:szCs w:val="20"/>
    </w:rPr>
  </w:style>
  <w:style w:type="character" w:customStyle="1" w:styleId="145">
    <w:name w:val="正文首行缩进 2 Char"/>
    <w:basedOn w:val="144"/>
    <w:link w:val="43"/>
    <w:qFormat/>
    <w:uiPriority w:val="0"/>
    <w:rPr>
      <w:rFonts w:ascii="Times New Roman" w:hAnsi="Times New Roman" w:eastAsia="宋体" w:cs="Times New Roman"/>
      <w:sz w:val="24"/>
      <w:szCs w:val="20"/>
    </w:rPr>
  </w:style>
  <w:style w:type="character" w:customStyle="1" w:styleId="146">
    <w:name w:val="批注框文本 Char"/>
    <w:basedOn w:val="46"/>
    <w:link w:val="25"/>
    <w:semiHidden/>
    <w:qFormat/>
    <w:uiPriority w:val="0"/>
    <w:rPr>
      <w:rFonts w:ascii="Times New Roman" w:hAnsi="Times New Roman" w:eastAsia="宋体" w:cs="Times New Roman"/>
      <w:sz w:val="18"/>
      <w:szCs w:val="18"/>
    </w:rPr>
  </w:style>
  <w:style w:type="character" w:customStyle="1" w:styleId="147">
    <w:name w:val="纯文本 Char1"/>
    <w:basedOn w:val="46"/>
    <w:qFormat/>
    <w:uiPriority w:val="99"/>
    <w:rPr>
      <w:rFonts w:ascii="宋体" w:hAnsi="Courier New" w:eastAsia="宋体" w:cs="Courier New"/>
      <w:szCs w:val="21"/>
    </w:rPr>
  </w:style>
  <w:style w:type="character" w:customStyle="1" w:styleId="148">
    <w:name w:val="批注文字 Char"/>
    <w:basedOn w:val="46"/>
    <w:link w:val="14"/>
    <w:semiHidden/>
    <w:qFormat/>
    <w:uiPriority w:val="0"/>
    <w:rPr>
      <w:rFonts w:ascii="Times New Roman" w:hAnsi="Times New Roman" w:eastAsia="宋体" w:cs="Times New Roman"/>
      <w:szCs w:val="20"/>
    </w:rPr>
  </w:style>
  <w:style w:type="character" w:customStyle="1" w:styleId="149">
    <w:name w:val="文档结构图 Char1"/>
    <w:basedOn w:val="46"/>
    <w:semiHidden/>
    <w:qFormat/>
    <w:uiPriority w:val="99"/>
    <w:rPr>
      <w:rFonts w:ascii="Microsoft YaHei UI" w:hAnsi="Times New Roman" w:eastAsia="Microsoft YaHei UI" w:cs="Times New Roman"/>
      <w:sz w:val="18"/>
      <w:szCs w:val="18"/>
    </w:rPr>
  </w:style>
  <w:style w:type="character" w:customStyle="1" w:styleId="150">
    <w:name w:val="HTML 预设格式 Char1"/>
    <w:basedOn w:val="46"/>
    <w:semiHidden/>
    <w:qFormat/>
    <w:uiPriority w:val="99"/>
    <w:rPr>
      <w:rFonts w:ascii="Courier New" w:hAnsi="Courier New" w:eastAsia="宋体" w:cs="Courier New"/>
      <w:sz w:val="20"/>
      <w:szCs w:val="20"/>
    </w:rPr>
  </w:style>
  <w:style w:type="character" w:customStyle="1" w:styleId="151">
    <w:name w:val="批注主题 Char"/>
    <w:basedOn w:val="148"/>
    <w:link w:val="41"/>
    <w:semiHidden/>
    <w:qFormat/>
    <w:uiPriority w:val="0"/>
    <w:rPr>
      <w:rFonts w:ascii="Times New Roman" w:hAnsi="Times New Roman" w:eastAsia="宋体" w:cs="Times New Roman"/>
      <w:b/>
      <w:bCs/>
      <w:szCs w:val="20"/>
    </w:rPr>
  </w:style>
  <w:style w:type="character" w:customStyle="1" w:styleId="152">
    <w:name w:val="正文文本 3 Char1"/>
    <w:basedOn w:val="46"/>
    <w:semiHidden/>
    <w:qFormat/>
    <w:uiPriority w:val="99"/>
    <w:rPr>
      <w:rFonts w:ascii="Times New Roman" w:hAnsi="Times New Roman" w:eastAsia="宋体" w:cs="Times New Roman"/>
      <w:sz w:val="16"/>
      <w:szCs w:val="16"/>
    </w:rPr>
  </w:style>
  <w:style w:type="character" w:customStyle="1" w:styleId="153">
    <w:name w:val="正文文本缩进 3 Char1"/>
    <w:basedOn w:val="46"/>
    <w:semiHidden/>
    <w:qFormat/>
    <w:uiPriority w:val="99"/>
    <w:rPr>
      <w:rFonts w:ascii="Times New Roman" w:hAnsi="Times New Roman" w:eastAsia="宋体" w:cs="Times New Roman"/>
      <w:sz w:val="16"/>
      <w:szCs w:val="16"/>
    </w:rPr>
  </w:style>
  <w:style w:type="character" w:customStyle="1" w:styleId="154">
    <w:name w:val="正文文本 2 Char1"/>
    <w:basedOn w:val="46"/>
    <w:semiHidden/>
    <w:qFormat/>
    <w:uiPriority w:val="99"/>
    <w:rPr>
      <w:rFonts w:ascii="Times New Roman" w:hAnsi="Times New Roman" w:eastAsia="宋体" w:cs="Times New Roman"/>
      <w:szCs w:val="20"/>
    </w:rPr>
  </w:style>
  <w:style w:type="character" w:customStyle="1" w:styleId="155">
    <w:name w:val="正文文本缩进 2 Char1"/>
    <w:basedOn w:val="46"/>
    <w:semiHidden/>
    <w:qFormat/>
    <w:uiPriority w:val="99"/>
    <w:rPr>
      <w:rFonts w:ascii="Times New Roman" w:hAnsi="Times New Roman" w:eastAsia="宋体" w:cs="Times New Roman"/>
      <w:szCs w:val="20"/>
    </w:rPr>
  </w:style>
  <w:style w:type="paragraph" w:customStyle="1" w:styleId="156">
    <w:name w:val="符号 2"/>
    <w:basedOn w:val="157"/>
    <w:qFormat/>
    <w:uiPriority w:val="0"/>
    <w:pPr>
      <w:tabs>
        <w:tab w:val="left" w:pos="900"/>
        <w:tab w:val="left" w:pos="1320"/>
      </w:tabs>
      <w:ind w:left="1200" w:hanging="720"/>
    </w:pPr>
  </w:style>
  <w:style w:type="paragraph" w:customStyle="1" w:styleId="157">
    <w:name w:val="符号 1"/>
    <w:basedOn w:val="17"/>
    <w:qFormat/>
    <w:uiPriority w:val="0"/>
    <w:pPr>
      <w:tabs>
        <w:tab w:val="left" w:pos="900"/>
      </w:tabs>
      <w:spacing w:line="360" w:lineRule="auto"/>
      <w:ind w:left="1200" w:hanging="720"/>
    </w:pPr>
    <w:rPr>
      <w:rFonts w:eastAsia="宋体"/>
      <w:kern w:val="28"/>
      <w:szCs w:val="24"/>
    </w:rPr>
  </w:style>
  <w:style w:type="paragraph" w:customStyle="1" w:styleId="158">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59">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0">
    <w:name w:val="正文段"/>
    <w:basedOn w:val="1"/>
    <w:qFormat/>
    <w:uiPriority w:val="0"/>
    <w:pPr>
      <w:widowControl/>
      <w:snapToGrid w:val="0"/>
      <w:spacing w:after="50" w:afterLines="50"/>
      <w:ind w:firstLine="200" w:firstLineChars="200"/>
    </w:pPr>
    <w:rPr>
      <w:kern w:val="0"/>
      <w:sz w:val="24"/>
    </w:rPr>
  </w:style>
  <w:style w:type="paragraph" w:customStyle="1" w:styleId="161">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162">
    <w:name w:val="标准正文"/>
    <w:basedOn w:val="1"/>
    <w:qFormat/>
    <w:uiPriority w:val="0"/>
    <w:pPr>
      <w:adjustRightInd w:val="0"/>
      <w:spacing w:line="360" w:lineRule="auto"/>
      <w:ind w:firstLine="480" w:firstLineChars="200"/>
    </w:pPr>
    <w:rPr>
      <w:kern w:val="0"/>
      <w:sz w:val="24"/>
    </w:rPr>
  </w:style>
  <w:style w:type="paragraph" w:customStyle="1" w:styleId="16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64">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16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6">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67">
    <w:name w:val="Char Char Char Char Char Char Char"/>
    <w:basedOn w:val="1"/>
    <w:qFormat/>
    <w:uiPriority w:val="0"/>
    <w:pPr>
      <w:tabs>
        <w:tab w:val="left" w:pos="432"/>
      </w:tabs>
      <w:ind w:left="432" w:hanging="432"/>
    </w:pPr>
    <w:rPr>
      <w:rFonts w:ascii="Tahoma" w:hAnsi="Tahoma"/>
      <w:sz w:val="24"/>
    </w:rPr>
  </w:style>
  <w:style w:type="paragraph" w:customStyle="1" w:styleId="168">
    <w:name w:val="Char"/>
    <w:basedOn w:val="1"/>
    <w:qFormat/>
    <w:uiPriority w:val="0"/>
    <w:pPr>
      <w:widowControl/>
      <w:spacing w:after="160" w:line="240" w:lineRule="exact"/>
      <w:ind w:left="-62" w:right="36" w:rightChars="15"/>
      <w:jc w:val="left"/>
    </w:pPr>
    <w:rPr>
      <w:rFonts w:ascii="Arial" w:hAnsi="Arial" w:eastAsia="Times New Roman"/>
      <w:kern w:val="0"/>
      <w:sz w:val="20"/>
      <w:lang w:eastAsia="en-US"/>
    </w:rPr>
  </w:style>
  <w:style w:type="paragraph" w:customStyle="1" w:styleId="169">
    <w:name w:val="Char11"/>
    <w:basedOn w:val="1"/>
    <w:qFormat/>
    <w:uiPriority w:val="0"/>
    <w:pPr>
      <w:tabs>
        <w:tab w:val="left" w:pos="1200"/>
      </w:tabs>
      <w:ind w:left="1200" w:hanging="720"/>
    </w:pPr>
    <w:rPr>
      <w:sz w:val="24"/>
      <w:szCs w:val="24"/>
    </w:rPr>
  </w:style>
  <w:style w:type="paragraph" w:customStyle="1" w:styleId="170">
    <w:name w:val="正文文本缩进 + 四号"/>
    <w:basedOn w:val="17"/>
    <w:qFormat/>
    <w:uiPriority w:val="0"/>
    <w:pPr>
      <w:spacing w:line="360" w:lineRule="auto"/>
      <w:ind w:firstLine="560" w:firstLineChars="200"/>
    </w:pPr>
    <w:rPr>
      <w:rFonts w:ascii="仿宋_GB2312" w:eastAsia="仿宋_GB2312"/>
      <w:color w:val="000000"/>
      <w:sz w:val="28"/>
      <w:szCs w:val="28"/>
    </w:rPr>
  </w:style>
  <w:style w:type="paragraph" w:customStyle="1" w:styleId="171">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72">
    <w:name w:val="正文 居中"/>
    <w:basedOn w:val="1"/>
    <w:qFormat/>
    <w:uiPriority w:val="0"/>
    <w:pPr>
      <w:spacing w:line="360" w:lineRule="auto"/>
      <w:jc w:val="center"/>
    </w:pPr>
    <w:rPr>
      <w:rFonts w:cs="宋体"/>
      <w:sz w:val="24"/>
    </w:rPr>
  </w:style>
  <w:style w:type="paragraph" w:customStyle="1" w:styleId="173">
    <w:name w:val="标准小四"/>
    <w:basedOn w:val="1"/>
    <w:qFormat/>
    <w:uiPriority w:val="0"/>
    <w:pPr>
      <w:spacing w:line="360" w:lineRule="auto"/>
      <w:ind w:firstLine="480" w:firstLineChars="200"/>
    </w:pPr>
    <w:rPr>
      <w:rFonts w:ascii="Arial" w:hAnsi="Arial"/>
      <w:sz w:val="24"/>
      <w:szCs w:val="21"/>
    </w:rPr>
  </w:style>
  <w:style w:type="paragraph" w:customStyle="1" w:styleId="174">
    <w:name w:val="中等深浅网格 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6">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7">
    <w:name w:val="标题3"/>
    <w:basedOn w:val="4"/>
    <w:qFormat/>
    <w:uiPriority w:val="0"/>
    <w:pPr>
      <w:numPr>
        <w:ilvl w:val="2"/>
        <w:numId w:val="1"/>
      </w:numPr>
      <w:tabs>
        <w:tab w:val="left" w:pos="113"/>
        <w:tab w:val="left" w:pos="840"/>
        <w:tab w:val="clear" w:pos="1260"/>
        <w:tab w:val="clear" w:pos="1620"/>
      </w:tabs>
      <w:spacing w:before="100" w:beforeLines="0" w:beforeAutospacing="1" w:after="120" w:afterLines="0" w:line="300" w:lineRule="auto"/>
      <w:ind w:left="1180" w:hanging="340"/>
    </w:pPr>
    <w:rPr>
      <w:rFonts w:ascii="Times New Roman" w:hAnsi="Times New Roman" w:cs="Times New Roman"/>
      <w:b w:val="0"/>
      <w:bCs w:val="0"/>
      <w:spacing w:val="6"/>
      <w:kern w:val="44"/>
      <w:sz w:val="28"/>
      <w:szCs w:val="20"/>
      <w:lang w:val="ru-RU"/>
    </w:rPr>
  </w:style>
  <w:style w:type="paragraph" w:customStyle="1" w:styleId="178">
    <w:name w:val="Char1"/>
    <w:basedOn w:val="1"/>
    <w:qFormat/>
    <w:uiPriority w:val="0"/>
    <w:rPr>
      <w:rFonts w:ascii="仿宋_GB2312" w:eastAsia="仿宋_GB2312"/>
      <w:b/>
      <w:sz w:val="32"/>
      <w:szCs w:val="32"/>
    </w:rPr>
  </w:style>
  <w:style w:type="paragraph" w:customStyle="1" w:styleId="179">
    <w:name w:val="pa-1"/>
    <w:basedOn w:val="1"/>
    <w:qFormat/>
    <w:uiPriority w:val="0"/>
    <w:pPr>
      <w:widowControl/>
      <w:spacing w:line="320" w:lineRule="atLeast"/>
    </w:pPr>
    <w:rPr>
      <w:rFonts w:ascii="宋体" w:hAnsi="宋体" w:cs="宋体"/>
      <w:kern w:val="0"/>
      <w:sz w:val="24"/>
    </w:rPr>
  </w:style>
  <w:style w:type="paragraph" w:customStyle="1" w:styleId="180">
    <w:name w:val="正文2"/>
    <w:basedOn w:val="1"/>
    <w:qFormat/>
    <w:uiPriority w:val="0"/>
    <w:pPr>
      <w:spacing w:before="156" w:beforeLines="50" w:after="156" w:afterLines="50" w:line="360" w:lineRule="auto"/>
      <w:ind w:firstLine="480" w:firstLineChars="200"/>
    </w:pPr>
    <w:rPr>
      <w:rFonts w:ascii="宋体" w:hAnsi="宋体"/>
      <w:sz w:val="24"/>
      <w:szCs w:val="24"/>
    </w:rPr>
  </w:style>
  <w:style w:type="paragraph" w:customStyle="1" w:styleId="181">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182">
    <w:name w:val="Char Char1 Char Char Char Char"/>
    <w:basedOn w:val="1"/>
    <w:qFormat/>
    <w:uiPriority w:val="0"/>
    <w:rPr>
      <w:rFonts w:ascii="Tahoma" w:hAnsi="Tahoma"/>
      <w:sz w:val="24"/>
    </w:rPr>
  </w:style>
  <w:style w:type="paragraph" w:customStyle="1" w:styleId="183">
    <w:name w:val="正文编码"/>
    <w:basedOn w:val="42"/>
    <w:qFormat/>
    <w:uiPriority w:val="0"/>
    <w:pPr>
      <w:numPr>
        <w:ilvl w:val="0"/>
        <w:numId w:val="3"/>
      </w:numPr>
      <w:tabs>
        <w:tab w:val="center" w:pos="2185"/>
        <w:tab w:val="clear" w:pos="1200"/>
      </w:tabs>
      <w:spacing w:after="0" w:line="360" w:lineRule="auto"/>
      <w:ind w:firstLine="0" w:firstLineChars="0"/>
    </w:pPr>
    <w:rPr>
      <w:rFonts w:ascii="仿宋_GB2312" w:hAnsi="宋体" w:eastAsia="仿宋_GB2312"/>
      <w:kern w:val="0"/>
      <w:sz w:val="24"/>
      <w:szCs w:val="20"/>
    </w:rPr>
  </w:style>
  <w:style w:type="paragraph" w:customStyle="1" w:styleId="184">
    <w:name w:val="列出段落1"/>
    <w:basedOn w:val="1"/>
    <w:qFormat/>
    <w:uiPriority w:val="0"/>
    <w:pPr>
      <w:ind w:firstLine="420" w:firstLineChars="200"/>
    </w:pPr>
    <w:rPr>
      <w:szCs w:val="24"/>
    </w:rPr>
  </w:style>
  <w:style w:type="paragraph" w:customStyle="1" w:styleId="185">
    <w:name w:val="纯文本1"/>
    <w:basedOn w:val="1"/>
    <w:qFormat/>
    <w:uiPriority w:val="0"/>
    <w:rPr>
      <w:rFonts w:ascii="宋体" w:hAnsi="Courier New"/>
    </w:rPr>
  </w:style>
  <w:style w:type="paragraph" w:customStyle="1" w:styleId="186">
    <w:name w:val="Char Char Char"/>
    <w:basedOn w:val="1"/>
    <w:qFormat/>
    <w:uiPriority w:val="0"/>
    <w:pPr>
      <w:spacing w:before="120" w:after="120" w:line="360" w:lineRule="auto"/>
      <w:ind w:firstLine="200" w:firstLineChars="200"/>
    </w:pPr>
    <w:rPr>
      <w:rFonts w:ascii="Tahoma" w:hAnsi="Tahoma"/>
      <w:sz w:val="24"/>
    </w:rPr>
  </w:style>
  <w:style w:type="paragraph" w:customStyle="1" w:styleId="187">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8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89">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90">
    <w:name w:val="标题1"/>
    <w:basedOn w:val="2"/>
    <w:qFormat/>
    <w:uiPriority w:val="0"/>
    <w:pPr>
      <w:keepLines/>
      <w:numPr>
        <w:ilvl w:val="0"/>
        <w:numId w:val="4"/>
      </w:numPr>
      <w:tabs>
        <w:tab w:val="left" w:pos="397"/>
        <w:tab w:val="clear" w:pos="700"/>
      </w:tabs>
      <w:spacing w:before="120" w:after="120" w:line="300" w:lineRule="auto"/>
    </w:pPr>
    <w:rPr>
      <w:rFonts w:ascii="黑体" w:hAnsi="宋体" w:eastAsia="黑体"/>
      <w:b w:val="0"/>
      <w:bCs w:val="0"/>
      <w:spacing w:val="6"/>
      <w:kern w:val="44"/>
      <w:sz w:val="36"/>
    </w:rPr>
  </w:style>
  <w:style w:type="paragraph" w:customStyle="1" w:styleId="191">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2">
    <w:name w:val="Char12"/>
    <w:basedOn w:val="1"/>
    <w:qFormat/>
    <w:uiPriority w:val="0"/>
    <w:rPr>
      <w:szCs w:val="24"/>
    </w:rPr>
  </w:style>
  <w:style w:type="paragraph" w:customStyle="1" w:styleId="193">
    <w:name w:val="Char Char Char Char"/>
    <w:basedOn w:val="1"/>
    <w:qFormat/>
    <w:uiPriority w:val="0"/>
    <w:pPr>
      <w:widowControl/>
      <w:spacing w:line="400" w:lineRule="exact"/>
      <w:jc w:val="center"/>
    </w:pPr>
    <w:rPr>
      <w:rFonts w:ascii="Verdana" w:hAnsi="Verdana"/>
      <w:kern w:val="0"/>
      <w:lang w:eastAsia="en-US"/>
    </w:rPr>
  </w:style>
  <w:style w:type="paragraph" w:customStyle="1" w:styleId="194">
    <w:name w:val="默认段落字体 Para Char Char Char Char Char Char Char Char Char1 Char Char Char Char"/>
    <w:basedOn w:val="1"/>
    <w:qFormat/>
    <w:uiPriority w:val="0"/>
    <w:rPr>
      <w:rFonts w:ascii="Tahoma" w:hAnsi="Tahoma"/>
      <w:sz w:val="24"/>
    </w:rPr>
  </w:style>
  <w:style w:type="paragraph" w:customStyle="1" w:styleId="195">
    <w:name w:val="默认段落字体 Para Char Char Char Char Char Char Char Char Char Char"/>
    <w:basedOn w:val="1"/>
    <w:qFormat/>
    <w:uiPriority w:val="0"/>
    <w:rPr>
      <w:rFonts w:ascii="Tahoma" w:hAnsi="Tahoma"/>
      <w:sz w:val="24"/>
    </w:rPr>
  </w:style>
  <w:style w:type="paragraph" w:customStyle="1" w:styleId="196">
    <w:name w:val="p0"/>
    <w:basedOn w:val="1"/>
    <w:qFormat/>
    <w:uiPriority w:val="0"/>
    <w:pPr>
      <w:widowControl/>
    </w:pPr>
    <w:rPr>
      <w:kern w:val="0"/>
      <w:szCs w:val="21"/>
    </w:rPr>
  </w:style>
  <w:style w:type="paragraph" w:customStyle="1" w:styleId="197">
    <w:name w:val="xl25"/>
    <w:basedOn w:val="1"/>
    <w:qFormat/>
    <w:uiPriority w:val="0"/>
    <w:pPr>
      <w:widowControl/>
      <w:spacing w:before="100" w:beforeAutospacing="1" w:after="100" w:afterAutospacing="1"/>
      <w:jc w:val="center"/>
      <w:textAlignment w:val="center"/>
    </w:pPr>
    <w:rPr>
      <w:rFonts w:ascii="宋体" w:hAnsi="宋体"/>
      <w:kern w:val="0"/>
      <w:sz w:val="20"/>
    </w:rPr>
  </w:style>
  <w:style w:type="character" w:customStyle="1" w:styleId="198">
    <w:name w:val="纯文本 Char3"/>
    <w:qFormat/>
    <w:locked/>
    <w:uiPriority w:val="99"/>
    <w:rPr>
      <w:rFonts w:ascii="宋体" w:hAnsi="Courier New" w:eastAsia="宋体" w:cs="宋体"/>
      <w:lang w:val="en-US" w:eastAsia="zh-CN"/>
    </w:rPr>
  </w:style>
  <w:style w:type="character" w:customStyle="1" w:styleId="199">
    <w:name w:val="正文文本缩进 2 字符"/>
    <w:qFormat/>
    <w:locked/>
    <w:uiPriority w:val="99"/>
    <w:rPr>
      <w:rFonts w:ascii="宋体" w:eastAsia="宋体"/>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59</Words>
  <Characters>64</Characters>
  <Lines>209</Lines>
  <Paragraphs>59</Paragraphs>
  <TotalTime>1</TotalTime>
  <ScaleCrop>false</ScaleCrop>
  <LinksUpToDate>false</LinksUpToDate>
  <CharactersWithSpaces>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2024-08-30T05:39:00Z</dcterms:created>
  <dc:creator>浙江天成项目管理有限公司</dc:creator>
  <cp:lastModifiedBy>陈怡如</cp:lastModifiedBy>
  <cp:lastPrinted>2025-01-06T07:11:00Z</cp:lastPrinted>
  <dcterms:modified xsi:type="dcterms:W3CDTF">2025-01-06T08:19:05Z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D9CA8A860F9A4882ABD687536FB15B1A_13</vt:lpwstr>
  </property>
  <property fmtid="{D5CDD505-2E9C-101B-9397-08002B2CF9AE}" pid="4" name="KSOTemplateDocerSaveRecord">
    <vt:lpwstr>eyJoZGlkIjoiMWE3MGIyMDg3NTNjMzM2ZTJlZjMwZDZhMjNmNDEwOTciLCJ1c2VySWQiOiIyNzQ4OTE4NzcifQ==</vt:lpwstr>
  </property>
</Properties>
</file>