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F887E">
      <w:pPr>
        <w:shd w:val="clear"/>
        <w:spacing w:line="360" w:lineRule="auto"/>
        <w:jc w:val="center"/>
        <w:rPr>
          <w:rFonts w:cs="仿宋_GB2312" w:asciiTheme="majorEastAsia" w:hAnsiTheme="majorEastAsia" w:eastAsiaTheme="majorEastAsia"/>
          <w:b/>
          <w:color w:val="auto"/>
          <w:sz w:val="44"/>
          <w:szCs w:val="44"/>
          <w:highlight w:val="none"/>
        </w:rPr>
      </w:pPr>
      <w:r>
        <w:rPr>
          <w:rFonts w:hint="eastAsia" w:cs="仿宋_GB2312" w:asciiTheme="majorEastAsia" w:hAnsiTheme="majorEastAsia" w:eastAsiaTheme="majorEastAsia"/>
          <w:b/>
          <w:color w:val="auto"/>
          <w:sz w:val="44"/>
          <w:szCs w:val="44"/>
          <w:highlight w:val="none"/>
          <w:lang w:val="en-US" w:eastAsia="zh-CN"/>
        </w:rPr>
        <w:t>奉化区溪口镇经济薄弱村孵化器项目（一期）物业采购项目</w:t>
      </w:r>
    </w:p>
    <w:p w14:paraId="65A0161A">
      <w:pPr>
        <w:shd w:val="clear"/>
        <w:spacing w:line="360" w:lineRule="auto"/>
        <w:jc w:val="center"/>
        <w:rPr>
          <w:rFonts w:cs="仿宋_GB2312" w:asciiTheme="majorEastAsia" w:hAnsiTheme="majorEastAsia" w:eastAsiaTheme="majorEastAsia"/>
          <w:color w:val="auto"/>
          <w:sz w:val="48"/>
          <w:szCs w:val="48"/>
          <w:highlight w:val="none"/>
        </w:rPr>
      </w:pPr>
    </w:p>
    <w:p w14:paraId="5AD3B5BD">
      <w:pPr>
        <w:shd w:val="clear"/>
        <w:spacing w:line="360" w:lineRule="auto"/>
        <w:jc w:val="center"/>
        <w:rPr>
          <w:rFonts w:cs="仿宋_GB2312" w:asciiTheme="majorEastAsia" w:hAnsiTheme="majorEastAsia" w:eastAsiaTheme="majorEastAsia"/>
          <w:b/>
          <w:color w:val="auto"/>
          <w:sz w:val="72"/>
          <w:szCs w:val="72"/>
          <w:highlight w:val="none"/>
        </w:rPr>
      </w:pPr>
      <w:r>
        <w:rPr>
          <w:rFonts w:hint="eastAsia" w:cs="仿宋_GB2312" w:asciiTheme="majorEastAsia" w:hAnsiTheme="majorEastAsia" w:eastAsiaTheme="majorEastAsia"/>
          <w:b/>
          <w:color w:val="auto"/>
          <w:sz w:val="72"/>
          <w:szCs w:val="72"/>
          <w:highlight w:val="none"/>
        </w:rPr>
        <w:t>公开招标采购文件</w:t>
      </w:r>
    </w:p>
    <w:p w14:paraId="66A3D655">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（电子招投标）</w:t>
      </w:r>
    </w:p>
    <w:p w14:paraId="4581A95D">
      <w:pPr>
        <w:shd w:val="clear"/>
        <w:snapToGrid w:val="0"/>
        <w:spacing w:line="360" w:lineRule="auto"/>
        <w:jc w:val="center"/>
        <w:rPr>
          <w:rFonts w:hint="eastAsia" w:cs="仿宋_GB2312" w:asciiTheme="majorEastAsia" w:hAnsiTheme="majorEastAsia" w:eastAsiaTheme="majorEastAsia"/>
          <w:color w:val="auto"/>
          <w:sz w:val="28"/>
          <w:szCs w:val="30"/>
          <w:highlight w:val="none"/>
        </w:rPr>
      </w:pPr>
    </w:p>
    <w:p w14:paraId="15991FF6">
      <w:pPr>
        <w:shd w:val="clear"/>
        <w:snapToGrid w:val="0"/>
        <w:spacing w:line="360" w:lineRule="auto"/>
        <w:jc w:val="center"/>
        <w:rPr>
          <w:rFonts w:hint="eastAsia" w:cs="仿宋_GB2312" w:asciiTheme="majorEastAsia" w:hAnsiTheme="majorEastAsia" w:eastAsiaTheme="majorEastAsia"/>
          <w:color w:val="auto"/>
          <w:sz w:val="28"/>
          <w:szCs w:val="30"/>
          <w:highlight w:val="none"/>
        </w:rPr>
      </w:pPr>
    </w:p>
    <w:p w14:paraId="3E12E504">
      <w:pPr>
        <w:shd w:val="clear"/>
        <w:snapToGrid w:val="0"/>
        <w:spacing w:line="360" w:lineRule="auto"/>
        <w:jc w:val="center"/>
        <w:rPr>
          <w:rFonts w:cs="仿宋_GB2312" w:asciiTheme="majorEastAsia" w:hAnsiTheme="majorEastAsia" w:eastAsiaTheme="majorEastAsia"/>
          <w:color w:val="auto"/>
          <w:sz w:val="28"/>
          <w:szCs w:val="30"/>
          <w:highlight w:val="none"/>
        </w:rPr>
      </w:pPr>
      <w:r>
        <w:rPr>
          <w:rFonts w:hint="eastAsia" w:cs="仿宋_GB2312" w:asciiTheme="majorEastAsia" w:hAnsiTheme="majorEastAsia" w:eastAsiaTheme="majorEastAsia"/>
          <w:color w:val="auto"/>
          <w:sz w:val="28"/>
          <w:szCs w:val="30"/>
          <w:highlight w:val="none"/>
        </w:rPr>
        <w:t>项目编号</w:t>
      </w:r>
      <w:r>
        <w:rPr>
          <w:rFonts w:cs="仿宋_GB2312" w:asciiTheme="majorEastAsia" w:hAnsiTheme="majorEastAsia" w:eastAsiaTheme="majorEastAsia"/>
          <w:color w:val="auto"/>
          <w:sz w:val="28"/>
          <w:szCs w:val="30"/>
          <w:highlight w:val="none"/>
        </w:rPr>
        <w:t>:</w:t>
      </w:r>
      <w:r>
        <w:rPr>
          <w:rFonts w:hint="eastAsia" w:cs="仿宋_GB2312" w:asciiTheme="majorEastAsia" w:hAnsiTheme="majorEastAsia" w:eastAsiaTheme="majorEastAsia"/>
          <w:color w:val="auto"/>
          <w:sz w:val="28"/>
          <w:szCs w:val="30"/>
          <w:highlight w:val="none"/>
        </w:rPr>
        <w:t>FHGQZB（202</w:t>
      </w:r>
      <w:r>
        <w:rPr>
          <w:rFonts w:hint="eastAsia" w:cs="仿宋_GB2312" w:asciiTheme="majorEastAsia" w:hAnsiTheme="majorEastAsia" w:eastAsiaTheme="majorEastAsia"/>
          <w:color w:val="auto"/>
          <w:sz w:val="28"/>
          <w:szCs w:val="30"/>
          <w:highlight w:val="none"/>
          <w:lang w:val="en-US" w:eastAsia="zh-CN"/>
        </w:rPr>
        <w:t>5</w:t>
      </w:r>
      <w:r>
        <w:rPr>
          <w:rFonts w:hint="eastAsia" w:cs="仿宋_GB2312" w:asciiTheme="majorEastAsia" w:hAnsiTheme="majorEastAsia" w:eastAsiaTheme="majorEastAsia"/>
          <w:color w:val="auto"/>
          <w:sz w:val="28"/>
          <w:szCs w:val="30"/>
          <w:highlight w:val="none"/>
        </w:rPr>
        <w:t>）</w:t>
      </w:r>
      <w:r>
        <w:rPr>
          <w:rFonts w:hint="eastAsia" w:cs="仿宋_GB2312" w:asciiTheme="majorEastAsia" w:hAnsiTheme="majorEastAsia" w:eastAsiaTheme="majorEastAsia"/>
          <w:color w:val="auto"/>
          <w:sz w:val="28"/>
          <w:szCs w:val="30"/>
          <w:highlight w:val="none"/>
          <w:lang w:val="en-US" w:eastAsia="zh-CN"/>
        </w:rPr>
        <w:t>002</w:t>
      </w:r>
      <w:r>
        <w:rPr>
          <w:rFonts w:hint="eastAsia" w:cs="仿宋_GB2312" w:asciiTheme="majorEastAsia" w:hAnsiTheme="majorEastAsia" w:eastAsiaTheme="majorEastAsia"/>
          <w:color w:val="auto"/>
          <w:sz w:val="28"/>
          <w:szCs w:val="30"/>
          <w:highlight w:val="none"/>
        </w:rPr>
        <w:t>D</w:t>
      </w:r>
    </w:p>
    <w:p w14:paraId="52D7E97F">
      <w:pPr>
        <w:shd w:val="clear"/>
        <w:spacing w:line="360" w:lineRule="auto"/>
        <w:rPr>
          <w:rFonts w:cs="仿宋_GB2312" w:asciiTheme="majorEastAsia" w:hAnsiTheme="majorEastAsia" w:eastAsiaTheme="majorEastAsia"/>
          <w:color w:val="auto"/>
          <w:sz w:val="28"/>
          <w:szCs w:val="20"/>
          <w:highlight w:val="none"/>
        </w:rPr>
      </w:pPr>
    </w:p>
    <w:p w14:paraId="1083CAB2">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w:t>
      </w:r>
    </w:p>
    <w:p w14:paraId="63BE994F">
      <w:pPr>
        <w:pStyle w:val="25"/>
        <w:shd w:val="clear"/>
        <w:ind w:firstLine="588"/>
        <w:rPr>
          <w:color w:val="auto"/>
          <w:highlight w:val="none"/>
        </w:rPr>
      </w:pPr>
    </w:p>
    <w:p w14:paraId="79A46FFB">
      <w:pPr>
        <w:pStyle w:val="25"/>
        <w:shd w:val="clear"/>
        <w:ind w:firstLine="588"/>
        <w:rPr>
          <w:color w:val="auto"/>
          <w:highlight w:val="none"/>
        </w:rPr>
      </w:pPr>
    </w:p>
    <w:p w14:paraId="7B626DD8">
      <w:pPr>
        <w:pStyle w:val="25"/>
        <w:shd w:val="clear"/>
        <w:ind w:firstLine="588"/>
        <w:rPr>
          <w:color w:val="auto"/>
          <w:highlight w:val="none"/>
        </w:rPr>
      </w:pPr>
    </w:p>
    <w:p w14:paraId="1C2D61D5">
      <w:pPr>
        <w:shd w:val="clear"/>
        <w:spacing w:line="360" w:lineRule="auto"/>
        <w:jc w:val="center"/>
        <w:rPr>
          <w:rFonts w:cs="仿宋_GB2312" w:asciiTheme="majorEastAsia" w:hAnsiTheme="majorEastAsia" w:eastAsiaTheme="majorEastAsia"/>
          <w:color w:val="auto"/>
          <w:sz w:val="24"/>
          <w:highlight w:val="none"/>
        </w:rPr>
      </w:pPr>
    </w:p>
    <w:p w14:paraId="163AAFA0">
      <w:pPr>
        <w:shd w:val="clear"/>
        <w:spacing w:line="360" w:lineRule="auto"/>
        <w:jc w:val="center"/>
        <w:rPr>
          <w:rFonts w:cs="仿宋_GB2312" w:asciiTheme="majorEastAsia" w:hAnsiTheme="majorEastAsia" w:eastAsiaTheme="majorEastAsia"/>
          <w:color w:val="auto"/>
          <w:sz w:val="24"/>
          <w:highlight w:val="none"/>
        </w:rPr>
      </w:pPr>
    </w:p>
    <w:p w14:paraId="03CDFBEC">
      <w:pPr>
        <w:shd w:val="clear"/>
        <w:spacing w:line="360" w:lineRule="auto"/>
        <w:rPr>
          <w:rFonts w:cs="仿宋_GB2312" w:asciiTheme="majorEastAsia" w:hAnsiTheme="majorEastAsia" w:eastAsiaTheme="majorEastAsia"/>
          <w:color w:val="auto"/>
          <w:sz w:val="32"/>
          <w:szCs w:val="32"/>
          <w:highlight w:val="none"/>
        </w:rPr>
      </w:pPr>
    </w:p>
    <w:p w14:paraId="71797C6E">
      <w:pPr>
        <w:shd w:val="clear"/>
        <w:snapToGrid w:val="0"/>
        <w:spacing w:line="360" w:lineRule="auto"/>
        <w:jc w:val="center"/>
        <w:rPr>
          <w:rFonts w:hint="eastAsia" w:cs="仿宋_GB2312" w:asciiTheme="majorEastAsia" w:hAnsiTheme="majorEastAsia" w:eastAsiaTheme="majorEastAsia"/>
          <w:color w:val="auto"/>
          <w:sz w:val="32"/>
          <w:szCs w:val="32"/>
          <w:highlight w:val="none"/>
          <w:lang w:eastAsia="zh-CN"/>
        </w:rPr>
      </w:pPr>
      <w:r>
        <w:rPr>
          <w:rFonts w:hint="eastAsia" w:cs="仿宋_GB2312" w:asciiTheme="majorEastAsia" w:hAnsiTheme="majorEastAsia" w:eastAsiaTheme="majorEastAsia"/>
          <w:color w:val="auto"/>
          <w:sz w:val="32"/>
          <w:szCs w:val="32"/>
          <w:highlight w:val="none"/>
        </w:rPr>
        <w:t>采购人：</w:t>
      </w:r>
      <w:r>
        <w:rPr>
          <w:rFonts w:hint="eastAsia" w:cs="仿宋_GB2312" w:asciiTheme="majorEastAsia" w:hAnsiTheme="majorEastAsia" w:eastAsiaTheme="majorEastAsia"/>
          <w:color w:val="auto"/>
          <w:sz w:val="32"/>
          <w:szCs w:val="32"/>
          <w:highlight w:val="none"/>
          <w:lang w:eastAsia="zh-CN"/>
        </w:rPr>
        <w:t>宁波茗山新农村建设投资有限公司</w:t>
      </w:r>
    </w:p>
    <w:p w14:paraId="1E07B346">
      <w:pPr>
        <w:shd w:val="clear"/>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采购代理机构：宁波</w:t>
      </w:r>
      <w:r>
        <w:rPr>
          <w:rFonts w:hint="eastAsia" w:cs="仿宋_GB2312" w:asciiTheme="majorEastAsia" w:hAnsiTheme="majorEastAsia" w:eastAsiaTheme="majorEastAsia"/>
          <w:bCs/>
          <w:color w:val="auto"/>
          <w:sz w:val="32"/>
          <w:szCs w:val="32"/>
          <w:highlight w:val="none"/>
          <w:lang w:val="en-US" w:eastAsia="zh-CN"/>
        </w:rPr>
        <w:t>百</w:t>
      </w:r>
      <w:r>
        <w:rPr>
          <w:rFonts w:hint="eastAsia" w:cs="仿宋_GB2312" w:asciiTheme="majorEastAsia" w:hAnsiTheme="majorEastAsia" w:eastAsiaTheme="majorEastAsia"/>
          <w:bCs/>
          <w:color w:val="auto"/>
          <w:sz w:val="32"/>
          <w:szCs w:val="32"/>
          <w:highlight w:val="none"/>
        </w:rPr>
        <w:t>信项目管理咨询有限公司</w:t>
      </w:r>
    </w:p>
    <w:p w14:paraId="0A38D5A8">
      <w:pPr>
        <w:shd w:val="clear"/>
        <w:snapToGrid w:val="0"/>
        <w:spacing w:line="360" w:lineRule="auto"/>
        <w:jc w:val="center"/>
        <w:rPr>
          <w:rFonts w:cs="仿宋_GB2312" w:asciiTheme="majorEastAsia" w:hAnsiTheme="majorEastAsia" w:eastAsiaTheme="majorEastAsia"/>
          <w:bCs/>
          <w:color w:val="auto"/>
          <w:sz w:val="32"/>
          <w:szCs w:val="32"/>
          <w:highlight w:val="none"/>
        </w:rPr>
      </w:pPr>
    </w:p>
    <w:p w14:paraId="000B4570">
      <w:pPr>
        <w:shd w:val="clear"/>
        <w:snapToGrid w:val="0"/>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二零二</w:t>
      </w:r>
      <w:r>
        <w:rPr>
          <w:rFonts w:hint="eastAsia" w:cs="仿宋_GB2312" w:asciiTheme="majorEastAsia" w:hAnsiTheme="majorEastAsia" w:eastAsiaTheme="majorEastAsia"/>
          <w:bCs/>
          <w:color w:val="auto"/>
          <w:sz w:val="32"/>
          <w:szCs w:val="32"/>
          <w:highlight w:val="none"/>
          <w:lang w:val="en-US" w:eastAsia="zh-CN"/>
        </w:rPr>
        <w:t>五</w:t>
      </w:r>
      <w:r>
        <w:rPr>
          <w:rFonts w:hint="eastAsia" w:cs="仿宋_GB2312" w:asciiTheme="majorEastAsia" w:hAnsiTheme="majorEastAsia" w:eastAsiaTheme="majorEastAsia"/>
          <w:bCs/>
          <w:color w:val="auto"/>
          <w:sz w:val="32"/>
          <w:szCs w:val="32"/>
          <w:highlight w:val="none"/>
        </w:rPr>
        <w:t>年</w:t>
      </w:r>
    </w:p>
    <w:p w14:paraId="2086B005">
      <w:pPr>
        <w:shd w:val="clear"/>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br w:type="page"/>
      </w:r>
      <w:bookmarkStart w:id="0" w:name="_Hlt67893495"/>
      <w:bookmarkEnd w:id="0"/>
    </w:p>
    <w:p w14:paraId="185F7122">
      <w:pPr>
        <w:shd w:val="clear"/>
        <w:spacing w:line="360" w:lineRule="auto"/>
        <w:jc w:val="center"/>
        <w:rPr>
          <w:rFonts w:cs="仿宋_GB2312" w:asciiTheme="majorEastAsia" w:hAnsiTheme="majorEastAsia" w:eastAsiaTheme="majorEastAsia"/>
          <w:color w:val="auto"/>
          <w:sz w:val="24"/>
          <w:highlight w:val="none"/>
        </w:rPr>
      </w:pPr>
    </w:p>
    <w:p w14:paraId="4540D640">
      <w:pPr>
        <w:shd w:val="clea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w:t>
      </w:r>
      <w:r>
        <w:rPr>
          <w:rFonts w:cs="仿宋_GB2312" w:asciiTheme="majorEastAsia" w:hAnsiTheme="majorEastAsia" w:eastAsiaTheme="majorEastAsia"/>
          <w:b/>
          <w:color w:val="auto"/>
          <w:sz w:val="48"/>
          <w:szCs w:val="48"/>
          <w:highlight w:val="none"/>
        </w:rPr>
        <w:t xml:space="preserve">  </w:t>
      </w:r>
      <w:r>
        <w:rPr>
          <w:rFonts w:hint="eastAsia" w:cs="仿宋_GB2312" w:asciiTheme="majorEastAsia" w:hAnsiTheme="majorEastAsia" w:eastAsiaTheme="majorEastAsia"/>
          <w:b/>
          <w:color w:val="auto"/>
          <w:sz w:val="48"/>
          <w:szCs w:val="48"/>
          <w:highlight w:val="none"/>
        </w:rPr>
        <w:t>录</w:t>
      </w:r>
    </w:p>
    <w:p w14:paraId="5DCBCD89">
      <w:pPr>
        <w:shd w:val="clear"/>
        <w:spacing w:line="360" w:lineRule="auto"/>
        <w:rPr>
          <w:rFonts w:cs="仿宋_GB2312" w:asciiTheme="majorEastAsia" w:hAnsiTheme="majorEastAsia" w:eastAsiaTheme="majorEastAsia"/>
          <w:color w:val="auto"/>
          <w:sz w:val="32"/>
          <w:szCs w:val="32"/>
          <w:highlight w:val="none"/>
        </w:rPr>
      </w:pPr>
    </w:p>
    <w:p w14:paraId="7F34A444">
      <w:pPr>
        <w:shd w:val="clear"/>
        <w:spacing w:line="360" w:lineRule="auto"/>
        <w:rPr>
          <w:rFonts w:cs="仿宋_GB2312" w:asciiTheme="majorEastAsia" w:hAnsiTheme="majorEastAsia" w:eastAsiaTheme="majorEastAsia"/>
          <w:color w:val="auto"/>
          <w:sz w:val="32"/>
          <w:szCs w:val="32"/>
          <w:highlight w:val="none"/>
        </w:rPr>
      </w:pPr>
    </w:p>
    <w:p w14:paraId="629BDA09">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第一部分      招标公告</w:t>
      </w:r>
    </w:p>
    <w:p w14:paraId="03E49861">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第二部分      投标须知</w:t>
      </w:r>
    </w:p>
    <w:p w14:paraId="227E405F">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第三部分      采购需求</w:t>
      </w:r>
    </w:p>
    <w:p w14:paraId="2EB84185">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第四部分      评标办法</w:t>
      </w:r>
    </w:p>
    <w:p w14:paraId="269DE0E3">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第五部分      拟签订的合同文本</w:t>
      </w:r>
    </w:p>
    <w:p w14:paraId="31ECACB1">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第六部分      应提交的有关格式范例</w:t>
      </w:r>
    </w:p>
    <w:p w14:paraId="7C5B544F">
      <w:pPr>
        <w:shd w:val="clear"/>
        <w:spacing w:line="360" w:lineRule="auto"/>
        <w:ind w:firstLine="549" w:firstLineChars="229"/>
        <w:rPr>
          <w:rFonts w:cs="仿宋" w:asciiTheme="majorEastAsia" w:hAnsiTheme="majorEastAsia" w:eastAsiaTheme="majorEastAsia"/>
          <w:color w:val="auto"/>
          <w:sz w:val="24"/>
          <w:highlight w:val="none"/>
        </w:rPr>
      </w:pPr>
      <w:bookmarkStart w:id="1" w:name="_Hlt91233176"/>
      <w:bookmarkEnd w:id="1"/>
      <w:bookmarkStart w:id="2" w:name="_Toc91899869"/>
    </w:p>
    <w:p w14:paraId="58F1E835">
      <w:pPr>
        <w:shd w:val="clear"/>
        <w:spacing w:line="360" w:lineRule="auto"/>
        <w:ind w:firstLine="549" w:firstLineChars="229"/>
        <w:rPr>
          <w:rFonts w:cs="仿宋" w:asciiTheme="majorEastAsia" w:hAnsiTheme="majorEastAsia" w:eastAsiaTheme="majorEastAsia"/>
          <w:color w:val="auto"/>
          <w:sz w:val="24"/>
          <w:highlight w:val="none"/>
        </w:rPr>
      </w:pPr>
    </w:p>
    <w:p w14:paraId="67A0D6EB">
      <w:pPr>
        <w:shd w:val="clear"/>
        <w:spacing w:line="360" w:lineRule="auto"/>
        <w:ind w:firstLine="549" w:firstLineChars="229"/>
        <w:rPr>
          <w:rFonts w:cs="仿宋" w:asciiTheme="majorEastAsia" w:hAnsiTheme="majorEastAsia" w:eastAsiaTheme="majorEastAsia"/>
          <w:color w:val="auto"/>
          <w:sz w:val="24"/>
          <w:highlight w:val="none"/>
        </w:rPr>
      </w:pPr>
    </w:p>
    <w:p w14:paraId="026EE84E">
      <w:pPr>
        <w:shd w:val="clear"/>
        <w:spacing w:line="360" w:lineRule="auto"/>
        <w:ind w:firstLine="549" w:firstLineChars="229"/>
        <w:rPr>
          <w:rFonts w:cs="仿宋" w:asciiTheme="majorEastAsia" w:hAnsiTheme="majorEastAsia" w:eastAsiaTheme="majorEastAsia"/>
          <w:color w:val="auto"/>
          <w:sz w:val="24"/>
          <w:highlight w:val="none"/>
        </w:rPr>
      </w:pPr>
    </w:p>
    <w:p w14:paraId="7E823A9F">
      <w:pPr>
        <w:shd w:val="clear"/>
        <w:spacing w:line="360" w:lineRule="auto"/>
        <w:ind w:firstLine="549" w:firstLineChars="229"/>
        <w:rPr>
          <w:rFonts w:cs="仿宋" w:asciiTheme="majorEastAsia" w:hAnsiTheme="majorEastAsia" w:eastAsiaTheme="majorEastAsia"/>
          <w:color w:val="auto"/>
          <w:sz w:val="24"/>
          <w:highlight w:val="none"/>
        </w:rPr>
      </w:pPr>
    </w:p>
    <w:p w14:paraId="131FAA94">
      <w:pPr>
        <w:shd w:val="clear"/>
        <w:spacing w:line="360" w:lineRule="auto"/>
        <w:ind w:firstLine="549" w:firstLineChars="229"/>
        <w:rPr>
          <w:rFonts w:cs="仿宋" w:asciiTheme="majorEastAsia" w:hAnsiTheme="majorEastAsia" w:eastAsiaTheme="majorEastAsia"/>
          <w:color w:val="auto"/>
          <w:sz w:val="24"/>
          <w:highlight w:val="none"/>
        </w:rPr>
      </w:pPr>
    </w:p>
    <w:p w14:paraId="67EBA145">
      <w:pPr>
        <w:shd w:val="clear"/>
        <w:spacing w:line="360" w:lineRule="auto"/>
        <w:ind w:firstLine="549" w:firstLineChars="229"/>
        <w:rPr>
          <w:rFonts w:cs="仿宋" w:asciiTheme="majorEastAsia" w:hAnsiTheme="majorEastAsia" w:eastAsiaTheme="majorEastAsia"/>
          <w:color w:val="auto"/>
          <w:sz w:val="24"/>
          <w:highlight w:val="none"/>
        </w:rPr>
      </w:pPr>
    </w:p>
    <w:p w14:paraId="55704B48">
      <w:pPr>
        <w:shd w:val="clear"/>
        <w:spacing w:line="360" w:lineRule="auto"/>
        <w:ind w:firstLine="549" w:firstLineChars="229"/>
        <w:rPr>
          <w:rFonts w:cs="仿宋" w:asciiTheme="majorEastAsia" w:hAnsiTheme="majorEastAsia" w:eastAsiaTheme="majorEastAsia"/>
          <w:color w:val="auto"/>
          <w:sz w:val="24"/>
          <w:highlight w:val="none"/>
        </w:rPr>
      </w:pPr>
    </w:p>
    <w:p w14:paraId="2FBE5BA8">
      <w:pPr>
        <w:shd w:val="clear"/>
        <w:spacing w:line="360" w:lineRule="auto"/>
        <w:ind w:firstLine="549" w:firstLineChars="229"/>
        <w:rPr>
          <w:rFonts w:cs="仿宋" w:asciiTheme="majorEastAsia" w:hAnsiTheme="majorEastAsia" w:eastAsiaTheme="majorEastAsia"/>
          <w:color w:val="auto"/>
          <w:sz w:val="24"/>
          <w:highlight w:val="none"/>
        </w:rPr>
      </w:pPr>
    </w:p>
    <w:p w14:paraId="485206EC">
      <w:pPr>
        <w:shd w:val="clear"/>
        <w:spacing w:line="360" w:lineRule="auto"/>
        <w:ind w:firstLine="549" w:firstLineChars="229"/>
        <w:rPr>
          <w:rFonts w:cs="仿宋" w:asciiTheme="majorEastAsia" w:hAnsiTheme="majorEastAsia" w:eastAsiaTheme="majorEastAsia"/>
          <w:color w:val="auto"/>
          <w:sz w:val="24"/>
          <w:highlight w:val="none"/>
        </w:rPr>
      </w:pPr>
    </w:p>
    <w:p w14:paraId="7D11D7EF">
      <w:pPr>
        <w:shd w:val="clear"/>
        <w:spacing w:line="360" w:lineRule="auto"/>
        <w:ind w:firstLine="549" w:firstLineChars="229"/>
        <w:rPr>
          <w:rFonts w:cs="仿宋" w:asciiTheme="majorEastAsia" w:hAnsiTheme="majorEastAsia" w:eastAsiaTheme="majorEastAsia"/>
          <w:color w:val="auto"/>
          <w:sz w:val="24"/>
          <w:highlight w:val="none"/>
        </w:rPr>
      </w:pPr>
    </w:p>
    <w:p w14:paraId="03F188B5">
      <w:pPr>
        <w:shd w:val="clear"/>
        <w:spacing w:line="360" w:lineRule="auto"/>
        <w:ind w:firstLine="549" w:firstLineChars="229"/>
        <w:rPr>
          <w:rFonts w:cs="仿宋" w:asciiTheme="majorEastAsia" w:hAnsiTheme="majorEastAsia" w:eastAsiaTheme="majorEastAsia"/>
          <w:color w:val="auto"/>
          <w:sz w:val="24"/>
          <w:highlight w:val="none"/>
        </w:rPr>
      </w:pPr>
    </w:p>
    <w:p w14:paraId="0508A54F">
      <w:pPr>
        <w:shd w:val="clear"/>
        <w:spacing w:line="360" w:lineRule="auto"/>
        <w:ind w:firstLine="549" w:firstLineChars="229"/>
        <w:rPr>
          <w:rFonts w:cs="仿宋" w:asciiTheme="majorEastAsia" w:hAnsiTheme="majorEastAsia" w:eastAsiaTheme="majorEastAsia"/>
          <w:color w:val="auto"/>
          <w:sz w:val="24"/>
          <w:highlight w:val="none"/>
        </w:rPr>
      </w:pPr>
    </w:p>
    <w:p w14:paraId="2E688515">
      <w:pPr>
        <w:shd w:val="clear"/>
        <w:spacing w:line="360" w:lineRule="auto"/>
        <w:rPr>
          <w:rFonts w:cs="仿宋" w:asciiTheme="majorEastAsia" w:hAnsiTheme="majorEastAsia" w:eastAsiaTheme="majorEastAsia"/>
          <w:color w:val="auto"/>
          <w:sz w:val="24"/>
          <w:highlight w:val="none"/>
        </w:rPr>
      </w:pPr>
    </w:p>
    <w:p w14:paraId="2CBDFFBE">
      <w:pPr>
        <w:shd w:val="clear"/>
        <w:spacing w:line="360" w:lineRule="auto"/>
        <w:jc w:val="center"/>
        <w:outlineLvl w:val="0"/>
        <w:rPr>
          <w:rFonts w:cs="仿宋" w:asciiTheme="majorEastAsia" w:hAnsiTheme="majorEastAsia" w:eastAsiaTheme="majorEastAsia"/>
          <w:b/>
          <w:color w:val="auto"/>
          <w:sz w:val="36"/>
          <w:szCs w:val="20"/>
          <w:highlight w:val="none"/>
        </w:rPr>
      </w:pPr>
      <w:bookmarkStart w:id="3" w:name="第一部分"/>
      <w:r>
        <w:rPr>
          <w:rFonts w:hint="eastAsia" w:cs="仿宋" w:asciiTheme="majorEastAsia" w:hAnsiTheme="majorEastAsia" w:eastAsiaTheme="majorEastAsia"/>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cs="仿宋" w:asciiTheme="majorEastAsia" w:hAnsiTheme="majorEastAsia" w:eastAsiaTheme="majorEastAsia"/>
          <w:b/>
          <w:color w:val="auto"/>
          <w:sz w:val="36"/>
          <w:szCs w:val="20"/>
          <w:highlight w:val="none"/>
        </w:rPr>
        <w:t>第一部分 招标公告</w:t>
      </w:r>
    </w:p>
    <w:p w14:paraId="49AF28B2">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项目概况</w:t>
      </w:r>
    </w:p>
    <w:p w14:paraId="37C95B73">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u w:val="single"/>
        </w:rPr>
      </w:pPr>
      <w:r>
        <w:rPr>
          <w:rFonts w:hint="eastAsia" w:cs="仿宋" w:asciiTheme="majorEastAsia" w:hAnsiTheme="majorEastAsia" w:eastAsiaTheme="majorEastAsia"/>
          <w:color w:val="auto"/>
          <w:sz w:val="24"/>
          <w:highlight w:val="none"/>
          <w:u w:val="single"/>
          <w:lang w:eastAsia="zh-CN"/>
        </w:rPr>
        <w:t>奉化区溪口镇经济薄弱村孵化器项目（一期）物业采购项目</w:t>
      </w:r>
      <w:r>
        <w:rPr>
          <w:rFonts w:hint="eastAsia" w:cs="仿宋" w:asciiTheme="majorEastAsia" w:hAnsiTheme="majorEastAsia" w:eastAsiaTheme="majorEastAsia"/>
          <w:color w:val="auto"/>
          <w:sz w:val="24"/>
          <w:highlight w:val="none"/>
        </w:rPr>
        <w:t>的潜在供应商应</w:t>
      </w:r>
      <w:r>
        <w:rPr>
          <w:rFonts w:hint="eastAsia" w:cs="仿宋" w:asciiTheme="majorEastAsia" w:hAnsiTheme="majorEastAsia" w:eastAsiaTheme="majorEastAsia"/>
          <w:color w:val="auto"/>
          <w:sz w:val="24"/>
          <w:highlight w:val="none"/>
          <w:lang w:val="en-US" w:eastAsia="zh-CN"/>
        </w:rPr>
        <w:t>在</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w:t>
      </w:r>
      <w:r>
        <w:rPr>
          <w:rStyle w:val="24"/>
          <w:rFonts w:hint="eastAsia" w:cs="仿宋" w:asciiTheme="majorEastAsia" w:hAnsiTheme="majorEastAsia" w:eastAsiaTheme="majorEastAsia"/>
          <w:color w:val="auto"/>
          <w:sz w:val="24"/>
          <w:szCs w:val="24"/>
          <w:highlight w:val="none"/>
        </w:rPr>
        <w:fldChar w:fldCharType="begin"/>
      </w:r>
      <w:r>
        <w:rPr>
          <w:rStyle w:val="24"/>
          <w:rFonts w:hint="eastAsia" w:cs="仿宋" w:asciiTheme="majorEastAsia" w:hAnsiTheme="majorEastAsia" w:eastAsiaTheme="majorEastAsia"/>
          <w:color w:val="auto"/>
          <w:sz w:val="24"/>
          <w:szCs w:val="24"/>
          <w:highlight w:val="none"/>
        </w:rPr>
        <w:instrText xml:space="preserve"> HYPERLINK "https://www.zcygov.cn/）获取（下载）招标文件，并于2024年01月00分00秒" </w:instrText>
      </w:r>
      <w:r>
        <w:rPr>
          <w:rStyle w:val="24"/>
          <w:rFonts w:hint="eastAsia" w:cs="仿宋" w:asciiTheme="majorEastAsia" w:hAnsiTheme="majorEastAsia" w:eastAsiaTheme="majorEastAsia"/>
          <w:color w:val="auto"/>
          <w:sz w:val="24"/>
          <w:szCs w:val="24"/>
          <w:highlight w:val="none"/>
        </w:rPr>
        <w:fldChar w:fldCharType="separate"/>
      </w:r>
      <w:r>
        <w:rPr>
          <w:rStyle w:val="24"/>
          <w:rFonts w:hint="eastAsia" w:cs="仿宋" w:asciiTheme="majorEastAsia" w:hAnsiTheme="majorEastAsia" w:eastAsiaTheme="majorEastAsia"/>
          <w:color w:val="auto"/>
          <w:sz w:val="24"/>
          <w:szCs w:val="24"/>
          <w:highlight w:val="none"/>
          <w:lang w:eastAsia="zh-CN"/>
        </w:rPr>
        <w:t>https://www.lecaiyun.com/</w:t>
      </w:r>
      <w:r>
        <w:rPr>
          <w:rStyle w:val="24"/>
          <w:rFonts w:hint="eastAsia" w:cs="仿宋" w:asciiTheme="majorEastAsia" w:hAnsiTheme="majorEastAsia" w:eastAsiaTheme="majorEastAsia"/>
          <w:color w:val="auto"/>
          <w:sz w:val="24"/>
          <w:szCs w:val="24"/>
          <w:highlight w:val="none"/>
        </w:rPr>
        <w:t>）获取（下载）招标文件，并于202</w:t>
      </w:r>
      <w:r>
        <w:rPr>
          <w:rStyle w:val="24"/>
          <w:rFonts w:hint="eastAsia" w:cs="仿宋" w:asciiTheme="majorEastAsia" w:hAnsiTheme="majorEastAsia" w:eastAsiaTheme="majorEastAsia"/>
          <w:color w:val="auto"/>
          <w:sz w:val="24"/>
          <w:szCs w:val="24"/>
          <w:highlight w:val="none"/>
          <w:lang w:val="en-US" w:eastAsia="zh-CN"/>
        </w:rPr>
        <w:t>5</w:t>
      </w:r>
      <w:r>
        <w:rPr>
          <w:rStyle w:val="24"/>
          <w:rFonts w:hint="eastAsia" w:cs="仿宋" w:asciiTheme="majorEastAsia" w:hAnsiTheme="majorEastAsia" w:eastAsiaTheme="majorEastAsia"/>
          <w:color w:val="auto"/>
          <w:sz w:val="24"/>
          <w:szCs w:val="24"/>
          <w:highlight w:val="none"/>
        </w:rPr>
        <w:t>年</w:t>
      </w:r>
      <w:r>
        <w:rPr>
          <w:rStyle w:val="24"/>
          <w:rFonts w:hint="eastAsia" w:cs="仿宋" w:asciiTheme="majorEastAsia" w:hAnsiTheme="majorEastAsia" w:eastAsiaTheme="majorEastAsia"/>
          <w:color w:val="auto"/>
          <w:sz w:val="24"/>
          <w:szCs w:val="24"/>
          <w:highlight w:val="none"/>
          <w:lang w:val="en-US" w:eastAsia="zh-CN"/>
        </w:rPr>
        <w:t>2</w:t>
      </w:r>
      <w:r>
        <w:rPr>
          <w:rStyle w:val="24"/>
          <w:rFonts w:hint="eastAsia" w:cs="仿宋" w:asciiTheme="majorEastAsia" w:hAnsiTheme="majorEastAsia" w:eastAsiaTheme="majorEastAsia"/>
          <w:color w:val="auto"/>
          <w:sz w:val="24"/>
          <w:szCs w:val="24"/>
          <w:highlight w:val="none"/>
        </w:rPr>
        <w:t>月</w:t>
      </w:r>
      <w:r>
        <w:rPr>
          <w:rStyle w:val="24"/>
          <w:rFonts w:hint="eastAsia" w:cs="仿宋" w:asciiTheme="majorEastAsia" w:hAnsiTheme="majorEastAsia" w:eastAsiaTheme="majorEastAsia"/>
          <w:color w:val="auto"/>
          <w:sz w:val="24"/>
          <w:szCs w:val="24"/>
          <w:highlight w:val="none"/>
          <w:lang w:val="en-US" w:eastAsia="zh-CN"/>
        </w:rPr>
        <w:t>7</w:t>
      </w:r>
      <w:r>
        <w:rPr>
          <w:rStyle w:val="24"/>
          <w:rFonts w:hint="eastAsia" w:cs="仿宋" w:asciiTheme="majorEastAsia" w:hAnsiTheme="majorEastAsia" w:eastAsiaTheme="majorEastAsia"/>
          <w:color w:val="auto"/>
          <w:sz w:val="24"/>
          <w:szCs w:val="24"/>
          <w:highlight w:val="none"/>
        </w:rPr>
        <w:t>日</w:t>
      </w:r>
      <w:r>
        <w:rPr>
          <w:rStyle w:val="24"/>
          <w:rFonts w:hint="eastAsia" w:cs="仿宋" w:asciiTheme="majorEastAsia" w:hAnsiTheme="majorEastAsia" w:eastAsiaTheme="majorEastAsia"/>
          <w:color w:val="auto"/>
          <w:sz w:val="24"/>
          <w:szCs w:val="24"/>
          <w:highlight w:val="none"/>
          <w:lang w:val="en-US" w:eastAsia="zh-CN"/>
        </w:rPr>
        <w:t>13时30</w:t>
      </w:r>
      <w:r>
        <w:rPr>
          <w:rStyle w:val="24"/>
          <w:rFonts w:hint="eastAsia" w:cs="仿宋" w:asciiTheme="majorEastAsia" w:hAnsiTheme="majorEastAsia" w:eastAsiaTheme="majorEastAsia"/>
          <w:color w:val="auto"/>
          <w:sz w:val="24"/>
          <w:szCs w:val="24"/>
          <w:highlight w:val="none"/>
        </w:rPr>
        <w:t>分</w:t>
      </w:r>
      <w:r>
        <w:rPr>
          <w:rStyle w:val="24"/>
          <w:rFonts w:hint="eastAsia" w:cs="仿宋" w:asciiTheme="majorEastAsia" w:hAnsiTheme="majorEastAsia" w:eastAsiaTheme="majorEastAsia"/>
          <w:color w:val="auto"/>
          <w:sz w:val="24"/>
          <w:szCs w:val="24"/>
          <w:highlight w:val="none"/>
        </w:rPr>
        <w:fldChar w:fldCharType="end"/>
      </w:r>
      <w:r>
        <w:rPr>
          <w:rStyle w:val="24"/>
          <w:rFonts w:hint="eastAsia" w:cs="仿宋" w:asciiTheme="majorEastAsia" w:hAnsiTheme="majorEastAsia" w:eastAsiaTheme="majorEastAsia"/>
          <w:color w:val="auto"/>
          <w:sz w:val="24"/>
          <w:szCs w:val="24"/>
          <w:highlight w:val="none"/>
        </w:rPr>
        <w:t>00秒</w:t>
      </w:r>
      <w:r>
        <w:rPr>
          <w:rFonts w:hint="eastAsia" w:cs="仿宋" w:asciiTheme="majorEastAsia" w:hAnsiTheme="majorEastAsia" w:eastAsiaTheme="majorEastAsia"/>
          <w:bCs/>
          <w:color w:val="auto"/>
          <w:sz w:val="24"/>
          <w:highlight w:val="none"/>
        </w:rPr>
        <w:t>（北京时间）前</w:t>
      </w:r>
      <w:r>
        <w:rPr>
          <w:rFonts w:hint="eastAsia" w:cs="仿宋" w:asciiTheme="majorEastAsia" w:hAnsiTheme="majorEastAsia" w:eastAsiaTheme="majorEastAsia"/>
          <w:color w:val="auto"/>
          <w:sz w:val="24"/>
          <w:highlight w:val="none"/>
        </w:rPr>
        <w:t>递交（上传）投标文件。</w:t>
      </w:r>
    </w:p>
    <w:p w14:paraId="181550D1">
      <w:pPr>
        <w:keepNext w:val="0"/>
        <w:keepLines w:val="0"/>
        <w:pageBreakBefore w:val="0"/>
        <w:widowControl w:val="0"/>
        <w:shd w:val="clear"/>
        <w:kinsoku/>
        <w:wordWrap/>
        <w:overflowPunct/>
        <w:topLinePunct w:val="0"/>
        <w:autoSpaceDE/>
        <w:autoSpaceDN/>
        <w:bidi w:val="0"/>
        <w:adjustRightInd/>
        <w:snapToGrid/>
        <w:spacing w:before="157" w:beforeLines="50" w:line="360" w:lineRule="auto"/>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一、项目基本情况                                            </w:t>
      </w:r>
    </w:p>
    <w:p w14:paraId="17E76932">
      <w:pPr>
        <w:shd w:val="clear"/>
        <w:spacing w:line="360" w:lineRule="auto"/>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项目编号：</w:t>
      </w:r>
      <w:r>
        <w:rPr>
          <w:rFonts w:hint="eastAsia" w:cs="仿宋" w:asciiTheme="majorEastAsia" w:hAnsiTheme="majorEastAsia" w:eastAsiaTheme="majorEastAsia"/>
          <w:color w:val="auto"/>
          <w:sz w:val="24"/>
          <w:highlight w:val="none"/>
        </w:rPr>
        <w:t>FHGQZB（202</w:t>
      </w:r>
      <w:r>
        <w:rPr>
          <w:rFonts w:hint="eastAsia" w:cs="仿宋" w:asciiTheme="majorEastAsia" w:hAnsiTheme="majorEastAsia" w:eastAsiaTheme="majorEastAsia"/>
          <w:color w:val="auto"/>
          <w:sz w:val="24"/>
          <w:highlight w:val="none"/>
          <w:lang w:val="en-US" w:eastAsia="zh-CN"/>
        </w:rPr>
        <w:t>5</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val="en-US" w:eastAsia="zh-CN"/>
        </w:rPr>
        <w:t>002</w:t>
      </w:r>
      <w:r>
        <w:rPr>
          <w:rFonts w:hint="eastAsia" w:cs="仿宋" w:asciiTheme="majorEastAsia" w:hAnsiTheme="majorEastAsia" w:eastAsiaTheme="majorEastAsia"/>
          <w:color w:val="auto"/>
          <w:sz w:val="24"/>
          <w:highlight w:val="none"/>
        </w:rPr>
        <w:t xml:space="preserve">D           </w:t>
      </w:r>
      <w:r>
        <w:rPr>
          <w:rFonts w:hint="eastAsia" w:cs="仿宋" w:asciiTheme="majorEastAsia" w:hAnsiTheme="majorEastAsia" w:eastAsiaTheme="majorEastAsia"/>
          <w:color w:val="auto"/>
          <w:sz w:val="24"/>
          <w:highlight w:val="none"/>
          <w:lang w:val="en-US" w:eastAsia="zh-CN"/>
        </w:rPr>
        <w:t xml:space="preserve"> </w:t>
      </w:r>
    </w:p>
    <w:p w14:paraId="73D7C6EA">
      <w:pPr>
        <w:shd w:val="clear"/>
        <w:spacing w:line="360" w:lineRule="auto"/>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项目名称：</w:t>
      </w:r>
      <w:r>
        <w:rPr>
          <w:rFonts w:hint="eastAsia" w:cs="仿宋" w:asciiTheme="majorEastAsia" w:hAnsiTheme="majorEastAsia" w:eastAsiaTheme="majorEastAsia"/>
          <w:color w:val="auto"/>
          <w:sz w:val="24"/>
          <w:highlight w:val="none"/>
          <w:lang w:eastAsia="zh-CN"/>
        </w:rPr>
        <w:t>奉化区溪口镇经济薄弱村孵化器项目（一期）物业采购项目</w:t>
      </w:r>
    </w:p>
    <w:p w14:paraId="1ACACC3A">
      <w:pPr>
        <w:shd w:val="clear"/>
        <w:spacing w:line="360" w:lineRule="auto"/>
        <w:rPr>
          <w:rFonts w:cs="仿宋" w:asciiTheme="majorEastAsia" w:hAnsiTheme="majorEastAsia" w:eastAsiaTheme="majorEastAsia"/>
          <w:b w:val="0"/>
          <w:bCs/>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预算金额（元）：</w:t>
      </w:r>
      <w:r>
        <w:rPr>
          <w:rFonts w:hint="eastAsia" w:cs="仿宋" w:asciiTheme="majorEastAsia" w:hAnsiTheme="majorEastAsia" w:eastAsiaTheme="majorEastAsia"/>
          <w:b w:val="0"/>
          <w:bCs/>
          <w:color w:val="auto"/>
          <w:sz w:val="24"/>
          <w:highlight w:val="none"/>
          <w:lang w:val="en-US" w:eastAsia="zh-CN"/>
        </w:rPr>
        <w:t>384000</w:t>
      </w:r>
      <w:r>
        <w:rPr>
          <w:rFonts w:hint="eastAsia" w:cs="仿宋" w:asciiTheme="majorEastAsia" w:hAnsiTheme="majorEastAsia" w:eastAsiaTheme="majorEastAsia"/>
          <w:b w:val="0"/>
          <w:bCs/>
          <w:color w:val="auto"/>
          <w:sz w:val="24"/>
          <w:highlight w:val="none"/>
        </w:rPr>
        <w:t>元/年</w:t>
      </w:r>
    </w:p>
    <w:p w14:paraId="4572257C">
      <w:pPr>
        <w:shd w:val="clear"/>
        <w:spacing w:line="360" w:lineRule="auto"/>
        <w:ind w:firstLine="480"/>
        <w:rPr>
          <w:rFonts w:cs="仿宋" w:asciiTheme="majorEastAsia" w:hAnsiTheme="majorEastAsia" w:eastAsiaTheme="majorEastAsia"/>
          <w:b w:val="0"/>
          <w:bCs/>
          <w:color w:val="auto"/>
          <w:sz w:val="24"/>
          <w:highlight w:val="none"/>
        </w:rPr>
      </w:pPr>
      <w:r>
        <w:rPr>
          <w:rFonts w:hint="eastAsia" w:cs="仿宋" w:asciiTheme="majorEastAsia" w:hAnsiTheme="majorEastAsia" w:eastAsiaTheme="majorEastAsia"/>
          <w:b/>
          <w:color w:val="auto"/>
          <w:sz w:val="24"/>
          <w:highlight w:val="none"/>
        </w:rPr>
        <w:t>最高限价（元）：</w:t>
      </w:r>
      <w:r>
        <w:rPr>
          <w:rFonts w:hint="eastAsia" w:cs="仿宋" w:asciiTheme="majorEastAsia" w:hAnsiTheme="majorEastAsia" w:eastAsiaTheme="majorEastAsia"/>
          <w:b w:val="0"/>
          <w:bCs/>
          <w:color w:val="auto"/>
          <w:sz w:val="24"/>
          <w:highlight w:val="none"/>
          <w:lang w:val="en-US" w:eastAsia="zh-CN"/>
        </w:rPr>
        <w:t>384000</w:t>
      </w:r>
      <w:r>
        <w:rPr>
          <w:rFonts w:hint="eastAsia" w:cs="仿宋" w:asciiTheme="majorEastAsia" w:hAnsiTheme="majorEastAsia" w:eastAsiaTheme="majorEastAsia"/>
          <w:b w:val="0"/>
          <w:bCs/>
          <w:color w:val="auto"/>
          <w:sz w:val="24"/>
          <w:highlight w:val="none"/>
        </w:rPr>
        <w:t>元/年</w:t>
      </w:r>
    </w:p>
    <w:p w14:paraId="240FF68D">
      <w:pPr>
        <w:pStyle w:val="6"/>
        <w:shd w:val="clear"/>
        <w:spacing w:line="360" w:lineRule="auto"/>
        <w:ind w:firstLine="480"/>
        <w:rPr>
          <w:rFonts w:cs="仿宋" w:asciiTheme="majorEastAsia" w:hAnsiTheme="majorEastAsia" w:eastAsiaTheme="majorEastAsia"/>
          <w:bCs/>
          <w:snapToGrid/>
          <w:color w:val="auto"/>
          <w:kern w:val="2"/>
          <w:sz w:val="24"/>
          <w:szCs w:val="24"/>
          <w:highlight w:val="none"/>
        </w:rPr>
      </w:pPr>
      <w:r>
        <w:rPr>
          <w:rFonts w:hint="eastAsia" w:cs="仿宋" w:asciiTheme="majorEastAsia" w:hAnsiTheme="majorEastAsia" w:eastAsiaTheme="majorEastAsia"/>
          <w:b/>
          <w:color w:val="auto"/>
          <w:sz w:val="24"/>
          <w:highlight w:val="none"/>
        </w:rPr>
        <w:t>采购需求：</w:t>
      </w:r>
      <w:r>
        <w:rPr>
          <w:rFonts w:hint="eastAsia" w:cs="仿宋" w:asciiTheme="majorEastAsia" w:hAnsiTheme="majorEastAsia" w:eastAsiaTheme="majorEastAsia"/>
          <w:color w:val="auto"/>
          <w:sz w:val="24"/>
          <w:highlight w:val="none"/>
        </w:rPr>
        <w:t>物业服务</w:t>
      </w:r>
      <w:r>
        <w:rPr>
          <w:rFonts w:hint="eastAsia" w:cs="仿宋" w:asciiTheme="majorEastAsia" w:hAnsiTheme="majorEastAsia" w:eastAsiaTheme="majorEastAsia"/>
          <w:bCs/>
          <w:snapToGrid/>
          <w:color w:val="auto"/>
          <w:kern w:val="2"/>
          <w:sz w:val="24"/>
          <w:szCs w:val="24"/>
          <w:highlight w:val="none"/>
        </w:rPr>
        <w:t>。详见招标文件第三部分采购需求。</w:t>
      </w:r>
    </w:p>
    <w:p w14:paraId="0B253CF4">
      <w:pPr>
        <w:shd w:val="clear"/>
        <w:spacing w:line="360" w:lineRule="auto"/>
        <w:ind w:firstLine="480"/>
        <w:rPr>
          <w:rFonts w:hint="eastAsia" w:cs="仿宋" w:asciiTheme="majorEastAsia" w:hAnsiTheme="majorEastAsia" w:eastAsiaTheme="majorEastAsia"/>
          <w:bCs/>
          <w:color w:val="auto"/>
          <w:sz w:val="24"/>
          <w:highlight w:val="none"/>
          <w:lang w:val="en-US" w:eastAsia="zh-CN"/>
        </w:rPr>
      </w:pPr>
      <w:r>
        <w:rPr>
          <w:rFonts w:hint="eastAsia" w:cs="仿宋" w:asciiTheme="majorEastAsia" w:hAnsiTheme="majorEastAsia" w:eastAsiaTheme="majorEastAsia"/>
          <w:b/>
          <w:color w:val="auto"/>
          <w:sz w:val="24"/>
          <w:highlight w:val="none"/>
        </w:rPr>
        <w:t>合同履约期限：</w:t>
      </w:r>
      <w:r>
        <w:rPr>
          <w:rFonts w:hint="eastAsia" w:cs="仿宋" w:asciiTheme="majorEastAsia" w:hAnsiTheme="majorEastAsia" w:eastAsiaTheme="majorEastAsia"/>
          <w:bCs/>
          <w:color w:val="auto"/>
          <w:sz w:val="24"/>
          <w:highlight w:val="none"/>
        </w:rPr>
        <w:t>三年，合同一年一签</w:t>
      </w:r>
      <w:r>
        <w:rPr>
          <w:rFonts w:hint="eastAsia" w:cs="仿宋" w:asciiTheme="majorEastAsia" w:hAnsiTheme="majorEastAsia" w:eastAsiaTheme="majorEastAsia"/>
          <w:bCs/>
          <w:color w:val="auto"/>
          <w:sz w:val="24"/>
          <w:highlight w:val="none"/>
          <w:lang w:val="en-US" w:eastAsia="zh-CN"/>
        </w:rPr>
        <w:t>。</w:t>
      </w:r>
    </w:p>
    <w:p w14:paraId="03EC3024">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二、申请人的资格要求：</w:t>
      </w:r>
    </w:p>
    <w:p w14:paraId="3DB7CB02">
      <w:pPr>
        <w:shd w:val="clear"/>
        <w:spacing w:line="360" w:lineRule="auto"/>
        <w:ind w:firstLine="480"/>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2D65C75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snapToGrid w:val="0"/>
          <w:color w:val="auto"/>
          <w:kern w:val="28"/>
          <w:sz w:val="24"/>
          <w:szCs w:val="20"/>
          <w:highlight w:val="none"/>
        </w:rPr>
        <w:t xml:space="preserve">    2.落实政府采购政策需满足的资格要求：</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无；</w:t>
      </w:r>
    </w:p>
    <w:p w14:paraId="136339A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3.本项目的特定资格要求：/。</w:t>
      </w:r>
    </w:p>
    <w:p w14:paraId="2DE8199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6F4299">
      <w:pPr>
        <w:pStyle w:val="25"/>
        <w:shd w:val="clear"/>
        <w:ind w:firstLine="480"/>
        <w:rPr>
          <w:color w:val="auto"/>
          <w:highlight w:val="none"/>
        </w:rPr>
      </w:pPr>
      <w:r>
        <w:rPr>
          <w:rFonts w:hint="eastAsia" w:cs="仿宋" w:asciiTheme="majorEastAsia" w:hAnsiTheme="majorEastAsia" w:eastAsiaTheme="majorEastAsia"/>
          <w:color w:val="auto"/>
          <w:sz w:val="24"/>
          <w:highlight w:val="none"/>
        </w:rPr>
        <w:t>5.本项目接受联合体投标：</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是，</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否</w:t>
      </w:r>
      <w:r>
        <w:rPr>
          <w:rFonts w:hint="eastAsia" w:cs="仿宋" w:asciiTheme="majorEastAsia" w:hAnsiTheme="majorEastAsia" w:eastAsiaTheme="majorEastAsia"/>
          <w:color w:val="auto"/>
          <w:kern w:val="0"/>
          <w:sz w:val="24"/>
          <w:highlight w:val="none"/>
        </w:rPr>
        <w:t>。</w:t>
      </w:r>
    </w:p>
    <w:p w14:paraId="1D71FFC4">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三、获取招标文件 </w:t>
      </w:r>
    </w:p>
    <w:p w14:paraId="3F062191">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时间：</w:t>
      </w:r>
      <w:r>
        <w:rPr>
          <w:rFonts w:hint="eastAsia" w:cs="仿宋" w:asciiTheme="majorEastAsia" w:hAnsiTheme="majorEastAsia" w:eastAsiaTheme="majorEastAsia"/>
          <w:color w:val="auto"/>
          <w:sz w:val="24"/>
          <w:highlight w:val="none"/>
          <w:u w:val="single"/>
        </w:rPr>
        <w:t>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lang w:eastAsia="zh-CN"/>
        </w:rPr>
        <w:t>年</w:t>
      </w:r>
      <w:r>
        <w:rPr>
          <w:rFonts w:hint="eastAsia" w:cs="仿宋" w:asciiTheme="majorEastAsia" w:hAnsiTheme="majorEastAsia" w:eastAsiaTheme="majorEastAsia"/>
          <w:color w:val="auto"/>
          <w:sz w:val="24"/>
          <w:highlight w:val="none"/>
          <w:u w:val="single"/>
          <w:lang w:val="en-US" w:eastAsia="zh-CN"/>
        </w:rPr>
        <w:t>1</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9</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至</w:t>
      </w:r>
      <w:r>
        <w:rPr>
          <w:rFonts w:hint="eastAsia" w:cs="仿宋" w:asciiTheme="majorEastAsia" w:hAnsiTheme="majorEastAsia" w:eastAsiaTheme="majorEastAsia"/>
          <w:color w:val="auto"/>
          <w:sz w:val="24"/>
          <w:highlight w:val="none"/>
          <w:u w:val="single"/>
        </w:rPr>
        <w:t>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lang w:eastAsia="zh-CN"/>
        </w:rPr>
        <w:t>年</w:t>
      </w:r>
      <w:r>
        <w:rPr>
          <w:rFonts w:hint="eastAsia" w:cs="仿宋" w:asciiTheme="majorEastAsia" w:hAnsiTheme="majorEastAsia" w:eastAsiaTheme="majorEastAsia"/>
          <w:color w:val="auto"/>
          <w:sz w:val="24"/>
          <w:highlight w:val="none"/>
          <w:u w:val="single"/>
          <w:lang w:val="en-US" w:eastAsia="zh-CN"/>
        </w:rPr>
        <w:t>1</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15</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，每天上午00:00至12:00 ，下午12:00至23:59（北京时间）。</w:t>
      </w:r>
    </w:p>
    <w:p w14:paraId="1808A17B">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地点（网址）：</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平台（https://</w:t>
      </w:r>
      <w:r>
        <w:rPr>
          <w:rFonts w:hint="eastAsia" w:cs="仿宋" w:asciiTheme="majorEastAsia" w:hAnsiTheme="majorEastAsia" w:eastAsiaTheme="majorEastAsia"/>
          <w:color w:val="auto"/>
          <w:sz w:val="24"/>
          <w:highlight w:val="none"/>
          <w:lang w:eastAsia="zh-CN"/>
        </w:rPr>
        <w:t>www.lecaiyun.com</w:t>
      </w:r>
      <w:r>
        <w:rPr>
          <w:rFonts w:hint="eastAsia" w:cs="仿宋" w:asciiTheme="majorEastAsia" w:hAnsiTheme="majorEastAsia" w:eastAsiaTheme="majorEastAsia"/>
          <w:color w:val="auto"/>
          <w:sz w:val="24"/>
          <w:highlight w:val="none"/>
        </w:rPr>
        <w:t>/）。</w:t>
      </w:r>
    </w:p>
    <w:p w14:paraId="56572075">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方式：</w:t>
      </w:r>
      <w:r>
        <w:rPr>
          <w:rFonts w:hint="eastAsia" w:cs="仿宋" w:asciiTheme="majorEastAsia" w:hAnsiTheme="majorEastAsia" w:eastAsiaTheme="majorEastAsia"/>
          <w:color w:val="auto"/>
          <w:sz w:val="24"/>
          <w:highlight w:val="none"/>
        </w:rPr>
        <w:t>供应商登录</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平台https://</w:t>
      </w:r>
      <w:r>
        <w:rPr>
          <w:rFonts w:hint="eastAsia" w:cs="仿宋" w:asciiTheme="majorEastAsia" w:hAnsiTheme="majorEastAsia" w:eastAsiaTheme="majorEastAsia"/>
          <w:color w:val="auto"/>
          <w:sz w:val="24"/>
          <w:highlight w:val="none"/>
          <w:lang w:eastAsia="zh-CN"/>
        </w:rPr>
        <w:t>www.lecaiyun.com</w:t>
      </w:r>
      <w:r>
        <w:rPr>
          <w:rFonts w:hint="eastAsia" w:cs="仿宋" w:asciiTheme="majorEastAsia" w:hAnsiTheme="majorEastAsia" w:eastAsiaTheme="majorEastAsia"/>
          <w:color w:val="auto"/>
          <w:sz w:val="24"/>
          <w:highlight w:val="none"/>
        </w:rPr>
        <w:t xml:space="preserve">/在线申请获取招标文件（进入“项目采购”应用，在获取采购文件菜单中选择项目，申请获取招标文件）。 </w:t>
      </w:r>
    </w:p>
    <w:p w14:paraId="7A11811E">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售价（元）：</w:t>
      </w:r>
      <w:r>
        <w:rPr>
          <w:rFonts w:hint="eastAsia" w:cs="仿宋" w:asciiTheme="majorEastAsia" w:hAnsiTheme="majorEastAsia" w:eastAsiaTheme="majorEastAsia"/>
          <w:color w:val="auto"/>
          <w:sz w:val="24"/>
          <w:highlight w:val="none"/>
        </w:rPr>
        <w:t xml:space="preserve">0 </w:t>
      </w:r>
      <w:r>
        <w:rPr>
          <w:rFonts w:hint="eastAsia" w:cs="仿宋" w:asciiTheme="majorEastAsia" w:hAnsiTheme="majorEastAsia" w:eastAsiaTheme="majorEastAsia"/>
          <w:color w:val="auto"/>
          <w:sz w:val="24"/>
          <w:highlight w:val="none"/>
        </w:rPr>
        <w:tab/>
      </w:r>
    </w:p>
    <w:p w14:paraId="7F10C570">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四、提交投标文件截止时间、开标时间和地点</w:t>
      </w:r>
    </w:p>
    <w:p w14:paraId="5028EE21">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color w:val="auto"/>
          <w:sz w:val="24"/>
          <w:highlight w:val="none"/>
          <w:u w:val="single"/>
        </w:rPr>
        <w:t xml:space="preserve"> 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2</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7</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13</w:t>
      </w:r>
      <w:r>
        <w:rPr>
          <w:rFonts w:hint="eastAsia" w:cs="仿宋" w:asciiTheme="majorEastAsia" w:hAnsiTheme="majorEastAsia" w:eastAsiaTheme="majorEastAsia"/>
          <w:color w:val="auto"/>
          <w:sz w:val="24"/>
          <w:highlight w:val="none"/>
          <w:u w:val="single"/>
        </w:rPr>
        <w:t>点</w:t>
      </w:r>
      <w:r>
        <w:rPr>
          <w:rFonts w:hint="eastAsia" w:cs="仿宋" w:asciiTheme="majorEastAsia" w:hAnsiTheme="majorEastAsia" w:eastAsiaTheme="majorEastAsia"/>
          <w:color w:val="auto"/>
          <w:sz w:val="24"/>
          <w:highlight w:val="none"/>
          <w:u w:val="single"/>
          <w:lang w:val="en-US" w:eastAsia="zh-CN"/>
        </w:rPr>
        <w:t>3</w:t>
      </w:r>
      <w:r>
        <w:rPr>
          <w:rFonts w:hint="eastAsia" w:cs="仿宋" w:asciiTheme="majorEastAsia" w:hAnsiTheme="majorEastAsia" w:eastAsiaTheme="majorEastAsia"/>
          <w:color w:val="auto"/>
          <w:sz w:val="24"/>
          <w:highlight w:val="none"/>
          <w:u w:val="single"/>
        </w:rPr>
        <w:t>0分</w:t>
      </w:r>
      <w:r>
        <w:rPr>
          <w:rFonts w:hint="eastAsia" w:cs="仿宋" w:asciiTheme="majorEastAsia" w:hAnsiTheme="majorEastAsia" w:eastAsiaTheme="majorEastAsia"/>
          <w:bCs/>
          <w:color w:val="auto"/>
          <w:sz w:val="24"/>
          <w:highlight w:val="none"/>
          <w:u w:val="single"/>
        </w:rPr>
        <w:t xml:space="preserve"> </w:t>
      </w:r>
      <w:r>
        <w:rPr>
          <w:rFonts w:hint="eastAsia" w:cs="仿宋" w:asciiTheme="majorEastAsia" w:hAnsiTheme="majorEastAsia" w:eastAsiaTheme="majorEastAsia"/>
          <w:color w:val="auto"/>
          <w:sz w:val="24"/>
          <w:highlight w:val="none"/>
        </w:rPr>
        <w:t>（北京时间）。</w:t>
      </w:r>
    </w:p>
    <w:p w14:paraId="22F941E7">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平台（https://</w:t>
      </w:r>
      <w:r>
        <w:rPr>
          <w:rFonts w:hint="eastAsia" w:cs="仿宋" w:asciiTheme="majorEastAsia" w:hAnsiTheme="majorEastAsia" w:eastAsiaTheme="majorEastAsia"/>
          <w:color w:val="auto"/>
          <w:sz w:val="24"/>
          <w:highlight w:val="none"/>
          <w:lang w:eastAsia="zh-CN"/>
        </w:rPr>
        <w:t>www.lecaiyun.com</w:t>
      </w:r>
      <w:r>
        <w:rPr>
          <w:rFonts w:hint="eastAsia" w:cs="仿宋" w:asciiTheme="majorEastAsia" w:hAnsiTheme="majorEastAsia" w:eastAsiaTheme="majorEastAsia"/>
          <w:color w:val="auto"/>
          <w:sz w:val="24"/>
          <w:highlight w:val="none"/>
        </w:rPr>
        <w:t>/）。</w:t>
      </w:r>
    </w:p>
    <w:p w14:paraId="102EBFD6">
      <w:pPr>
        <w:shd w:val="clear"/>
        <w:spacing w:line="360" w:lineRule="auto"/>
        <w:ind w:firstLine="482" w:firstLineChars="200"/>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rPr>
        <w:t>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2</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7</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13时3</w:t>
      </w:r>
      <w:r>
        <w:rPr>
          <w:rFonts w:hint="eastAsia" w:cs="仿宋" w:asciiTheme="majorEastAsia" w:hAnsiTheme="majorEastAsia" w:eastAsiaTheme="majorEastAsia"/>
          <w:color w:val="auto"/>
          <w:sz w:val="24"/>
          <w:highlight w:val="none"/>
          <w:u w:val="single"/>
        </w:rPr>
        <w:t>0分</w:t>
      </w:r>
      <w:r>
        <w:rPr>
          <w:rFonts w:hint="eastAsia" w:cs="仿宋" w:asciiTheme="majorEastAsia" w:hAnsiTheme="majorEastAsia" w:eastAsiaTheme="majorEastAsia"/>
          <w:bCs/>
          <w:color w:val="auto"/>
          <w:sz w:val="24"/>
          <w:highlight w:val="none"/>
        </w:rPr>
        <w:t>。</w:t>
      </w:r>
    </w:p>
    <w:p w14:paraId="4C32DED5">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平台（https://</w:t>
      </w:r>
      <w:r>
        <w:rPr>
          <w:rFonts w:hint="eastAsia" w:cs="仿宋" w:asciiTheme="majorEastAsia" w:hAnsiTheme="majorEastAsia" w:eastAsiaTheme="majorEastAsia"/>
          <w:color w:val="auto"/>
          <w:sz w:val="24"/>
          <w:highlight w:val="none"/>
          <w:lang w:eastAsia="zh-CN"/>
        </w:rPr>
        <w:t>www.lecaiyun.com</w:t>
      </w:r>
      <w:r>
        <w:rPr>
          <w:rFonts w:hint="eastAsia" w:cs="仿宋" w:asciiTheme="majorEastAsia" w:hAnsiTheme="majorEastAsia" w:eastAsiaTheme="majorEastAsia"/>
          <w:color w:val="auto"/>
          <w:sz w:val="24"/>
          <w:highlight w:val="none"/>
        </w:rPr>
        <w:t>/）。</w:t>
      </w:r>
    </w:p>
    <w:p w14:paraId="740EAB63">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开标地点（线下）：</w:t>
      </w:r>
      <w:r>
        <w:rPr>
          <w:rFonts w:hint="eastAsia" w:cs="仿宋" w:asciiTheme="majorEastAsia" w:hAnsiTheme="majorEastAsia" w:eastAsiaTheme="majorEastAsia"/>
          <w:bCs/>
          <w:color w:val="auto"/>
          <w:sz w:val="24"/>
          <w:highlight w:val="none"/>
        </w:rPr>
        <w:t>宁波市奉化区公共资源交易中心开标厅</w:t>
      </w:r>
      <w:r>
        <w:rPr>
          <w:rFonts w:hint="eastAsia" w:cs="仿宋" w:asciiTheme="majorEastAsia" w:hAnsiTheme="majorEastAsia" w:eastAsiaTheme="majorEastAsia"/>
          <w:bCs/>
          <w:color w:val="auto"/>
          <w:sz w:val="24"/>
          <w:highlight w:val="none"/>
          <w:lang w:eastAsia="zh-CN"/>
        </w:rPr>
        <w:t>一</w:t>
      </w:r>
      <w:r>
        <w:rPr>
          <w:rFonts w:hint="eastAsia" w:cs="仿宋" w:asciiTheme="majorEastAsia" w:hAnsiTheme="majorEastAsia" w:eastAsiaTheme="majorEastAsia"/>
          <w:bCs/>
          <w:color w:val="auto"/>
          <w:sz w:val="24"/>
          <w:highlight w:val="none"/>
        </w:rPr>
        <w:t>（宁波市奉化区大成东路277号4楼）</w:t>
      </w:r>
    </w:p>
    <w:p w14:paraId="077711F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五、公告期限 </w:t>
      </w:r>
    </w:p>
    <w:p w14:paraId="0D9F29E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自本公告发布之日起5个工作日。</w:t>
      </w:r>
    </w:p>
    <w:p w14:paraId="0D5AAD08">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六、其他补充事宜</w:t>
      </w:r>
    </w:p>
    <w:p w14:paraId="37405AD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07B718A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w:t>
      </w:r>
      <w:r>
        <w:rPr>
          <w:rFonts w:hint="eastAsia" w:cs="仿宋" w:asciiTheme="majorEastAsia" w:hAnsiTheme="majorEastAsia" w:eastAsiaTheme="majorEastAsia"/>
          <w:color w:val="auto"/>
          <w:sz w:val="24"/>
          <w:highlight w:val="none"/>
          <w:lang w:eastAsia="zh-CN"/>
        </w:rPr>
        <w:t>乐采云平台</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sz w:val="24"/>
          <w:highlight w:val="none"/>
          <w:lang w:eastAsia="zh-CN"/>
        </w:rPr>
        <w:t>www.lecaiyun.com</w:t>
      </w:r>
      <w:r>
        <w:rPr>
          <w:rFonts w:hint="eastAsia" w:cs="仿宋" w:asciiTheme="majorEastAsia" w:hAnsiTheme="majorEastAsia" w:eastAsiaTheme="majorEastAsia"/>
          <w:color w:val="auto"/>
          <w:sz w:val="24"/>
          <w:highlight w:val="none"/>
        </w:rPr>
        <w:t>）”进行招投标活动，不接受纸质投标文件；②投标准备：注册账号--点击“商家入驻”，进行政府采购供应商资料填写；申领CA数字证书---申领流程详见“</w:t>
      </w:r>
      <w:r>
        <w:rPr>
          <w:rFonts w:hint="eastAsia" w:cs="仿宋" w:asciiTheme="majorEastAsia" w:hAnsiTheme="majorEastAsia" w:eastAsiaTheme="majorEastAsia"/>
          <w:color w:val="auto"/>
          <w:sz w:val="24"/>
          <w:highlight w:val="none"/>
          <w:lang w:eastAsia="zh-CN"/>
        </w:rPr>
        <w:t>浙江企业采购信息服务网</w:t>
      </w:r>
      <w:r>
        <w:rPr>
          <w:rFonts w:hint="eastAsia" w:cs="仿宋" w:asciiTheme="majorEastAsia" w:hAnsiTheme="majorEastAsia" w:eastAsiaTheme="majorEastAsia"/>
          <w:color w:val="auto"/>
          <w:sz w:val="24"/>
          <w:highlight w:val="none"/>
        </w:rPr>
        <w:t>-下载专区-电子交易客户端-CA驱动和申领流程”；安装“</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电子交易客户端”----前往“</w:t>
      </w:r>
      <w:r>
        <w:rPr>
          <w:rFonts w:hint="eastAsia" w:cs="仿宋" w:asciiTheme="majorEastAsia" w:hAnsiTheme="majorEastAsia" w:eastAsiaTheme="majorEastAsia"/>
          <w:color w:val="auto"/>
          <w:sz w:val="24"/>
          <w:highlight w:val="none"/>
          <w:lang w:eastAsia="zh-CN"/>
        </w:rPr>
        <w:t>浙江企业采购信息服务网</w:t>
      </w:r>
      <w:r>
        <w:rPr>
          <w:rFonts w:hint="eastAsia" w:cs="仿宋" w:asciiTheme="majorEastAsia" w:hAnsiTheme="majorEastAsia" w:eastAsiaTheme="majorEastAsia"/>
          <w:color w:val="auto"/>
          <w:sz w:val="24"/>
          <w:highlight w:val="none"/>
        </w:rPr>
        <w:t>-下载专区-电子交易客户端</w:t>
      </w:r>
      <w:r>
        <w:rPr>
          <w:rFonts w:hint="eastAsia" w:cs="仿宋" w:asciiTheme="majorEastAsia" w:hAnsiTheme="majorEastAsia" w:eastAsiaTheme="majorEastAsia"/>
          <w:sz w:val="24"/>
          <w:highlight w:val="none"/>
          <w:lang w:eastAsia="zh-CN"/>
        </w:rPr>
        <w:t>（https://b.zhengcaiyun.cn/luban/category?parentId=550045&amp;childrenCode=qicaiCategory17&amp;utm=luban.luban-PC-39026.959-pc-websitegroup-navBar-front.8.ebdec73052c711ef9ade896d008b9248）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color w:val="auto"/>
          <w:sz w:val="24"/>
          <w:highlight w:val="none"/>
        </w:rPr>
        <w:t>”进行下载并安装；</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合理预估时间，及时办理。③招标文件的获取：使用账号登录或者使用CA登录</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平台；进入“项目采购”应用，在获取采购文件菜单中选择项目，获取招标文件；④投标文件的制作：在“</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电子交易客户端”中完成“填写基本信息”、“导入投标文件”、“标书关联”、“标书检查”、“电子签名”、“生成电子标书”等操作；⑤采购人、采购代理机构将依托</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按照平台提示和招标文件的规定在半小时内完成在线解密。⑨具体操作指南：详见</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平台“服务中心-帮助文档-项目采购-操作流程-电子招投标-政府采购项目电子交易管理操作指南-供应商”。</w:t>
      </w:r>
    </w:p>
    <w:p w14:paraId="1E09D7A0">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七、对本次采购提出询问、质疑、投诉，请按以下方式联系</w:t>
      </w:r>
    </w:p>
    <w:p w14:paraId="2D94D485">
      <w:pPr>
        <w:shd w:val="clear"/>
        <w:spacing w:line="360" w:lineRule="auto"/>
        <w:ind w:firstLine="240" w:firstLineChars="100"/>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lang w:eastAsia="zh-CN"/>
        </w:rPr>
        <w:t>1.采购人信息</w:t>
      </w:r>
    </w:p>
    <w:p w14:paraId="6F151732">
      <w:pPr>
        <w:shd w:val="clear"/>
        <w:spacing w:line="360" w:lineRule="auto"/>
        <w:ind w:firstLine="480" w:firstLineChars="200"/>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lang w:eastAsia="zh-CN"/>
        </w:rPr>
        <w:t>名 称：</w:t>
      </w:r>
      <w:r>
        <w:rPr>
          <w:rFonts w:hint="eastAsia" w:ascii="宋体" w:hAnsi="宋体" w:eastAsia="宋体" w:cs="宋体"/>
          <w:color w:val="000000" w:themeColor="text1"/>
          <w:sz w:val="24"/>
          <w:highlight w:val="none"/>
          <w:lang w:eastAsia="zh-CN"/>
          <w14:textFill>
            <w14:solidFill>
              <w14:schemeClr w14:val="tx1"/>
            </w14:solidFill>
          </w14:textFill>
        </w:rPr>
        <w:t>宁波茗山新农村建设投资有限公司</w:t>
      </w:r>
    </w:p>
    <w:p w14:paraId="619A27D7">
      <w:pPr>
        <w:shd w:val="clear"/>
        <w:spacing w:line="360" w:lineRule="auto"/>
        <w:ind w:firstLine="480" w:firstLineChars="200"/>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lang w:eastAsia="zh-CN"/>
        </w:rPr>
        <w:t>联系地址： 溪口镇中心东路290-3</w:t>
      </w:r>
    </w:p>
    <w:p w14:paraId="4D51D638">
      <w:pPr>
        <w:shd w:val="clear"/>
        <w:spacing w:line="360" w:lineRule="auto"/>
        <w:ind w:firstLine="480" w:firstLineChars="200"/>
        <w:rPr>
          <w:rFonts w:hint="eastAsia" w:cs="仿宋" w:asciiTheme="majorEastAsia" w:hAnsiTheme="majorEastAsia" w:eastAsiaTheme="majorEastAsia"/>
          <w:color w:val="auto"/>
          <w:sz w:val="24"/>
          <w:highlight w:val="none"/>
          <w:lang w:val="en-US"/>
        </w:rPr>
      </w:pPr>
      <w:r>
        <w:rPr>
          <w:rFonts w:hint="eastAsia" w:cs="仿宋" w:asciiTheme="majorEastAsia" w:hAnsiTheme="majorEastAsia" w:eastAsiaTheme="majorEastAsia"/>
          <w:color w:val="auto"/>
          <w:sz w:val="24"/>
          <w:highlight w:val="none"/>
        </w:rPr>
        <w:t xml:space="preserve">项目联系人（询问）：蒋浩威 </w:t>
      </w:r>
    </w:p>
    <w:p w14:paraId="11CBDEF6">
      <w:pPr>
        <w:shd w:val="clear"/>
        <w:spacing w:line="360" w:lineRule="auto"/>
        <w:ind w:firstLine="480" w:firstLineChars="200"/>
        <w:rPr>
          <w:rFonts w:hint="eastAsia"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项目联系方式（询问）：</w:t>
      </w:r>
      <w:r>
        <w:rPr>
          <w:rFonts w:hint="eastAsia" w:cs="仿宋" w:asciiTheme="majorEastAsia" w:hAnsiTheme="majorEastAsia" w:eastAsiaTheme="majorEastAsia"/>
          <w:color w:val="auto"/>
          <w:sz w:val="24"/>
          <w:highlight w:val="none"/>
          <w:lang w:val="en-US" w:eastAsia="zh-CN"/>
        </w:rPr>
        <w:t>0574-</w:t>
      </w:r>
      <w:r>
        <w:rPr>
          <w:rFonts w:hint="eastAsia" w:cs="仿宋" w:asciiTheme="majorEastAsia" w:hAnsiTheme="majorEastAsia" w:eastAsiaTheme="majorEastAsia"/>
          <w:color w:val="auto"/>
          <w:sz w:val="24"/>
          <w:highlight w:val="none"/>
        </w:rPr>
        <w:t>89284169</w:t>
      </w:r>
    </w:p>
    <w:p w14:paraId="132B6B2E">
      <w:pPr>
        <w:shd w:val="clear"/>
        <w:spacing w:line="360" w:lineRule="auto"/>
        <w:ind w:firstLine="240"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2.采购代理机构信息</w:t>
      </w:r>
    </w:p>
    <w:p w14:paraId="6868A042">
      <w:pPr>
        <w:shd w:val="clear"/>
        <w:spacing w:line="360" w:lineRule="auto"/>
        <w:ind w:firstLine="480" w:firstLineChars="200"/>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rPr>
        <w:t>名 称：</w:t>
      </w:r>
      <w:r>
        <w:rPr>
          <w:rFonts w:hint="eastAsia" w:cs="仿宋" w:asciiTheme="majorEastAsia" w:hAnsiTheme="majorEastAsia" w:eastAsiaTheme="majorEastAsia"/>
          <w:color w:val="auto"/>
          <w:sz w:val="24"/>
          <w:highlight w:val="none"/>
          <w:lang w:eastAsia="zh-CN"/>
        </w:rPr>
        <w:t>宁波百信项目管理咨询有限公司</w:t>
      </w:r>
    </w:p>
    <w:p w14:paraId="50598CC2">
      <w:pPr>
        <w:shd w:val="clear"/>
        <w:spacing w:line="360" w:lineRule="auto"/>
        <w:ind w:firstLine="480" w:firstLineChars="200"/>
        <w:rPr>
          <w:rFonts w:hint="default" w:cs="仿宋" w:asciiTheme="majorEastAsia" w:hAnsiTheme="majorEastAsia" w:eastAsiaTheme="majorEastAsia"/>
          <w:color w:val="auto"/>
          <w:sz w:val="24"/>
          <w:highlight w:val="none"/>
          <w:lang w:val="en-US"/>
        </w:rPr>
      </w:pPr>
      <w:r>
        <w:rPr>
          <w:rFonts w:hint="eastAsia" w:cs="仿宋" w:asciiTheme="majorEastAsia" w:hAnsiTheme="majorEastAsia" w:eastAsiaTheme="majorEastAsia"/>
          <w:color w:val="auto"/>
          <w:sz w:val="24"/>
          <w:highlight w:val="none"/>
        </w:rPr>
        <w:t>地　址：宁波市</w:t>
      </w:r>
      <w:r>
        <w:rPr>
          <w:rFonts w:hint="eastAsia" w:cs="仿宋" w:asciiTheme="majorEastAsia" w:hAnsiTheme="majorEastAsia" w:eastAsiaTheme="majorEastAsia"/>
          <w:color w:val="auto"/>
          <w:sz w:val="24"/>
          <w:highlight w:val="none"/>
          <w:lang w:val="en-US" w:eastAsia="zh-CN"/>
        </w:rPr>
        <w:t>奉化区岳林东路389号1号楼304室</w:t>
      </w:r>
    </w:p>
    <w:p w14:paraId="676053A3">
      <w:pPr>
        <w:shd w:val="clear"/>
        <w:spacing w:line="360" w:lineRule="auto"/>
        <w:ind w:firstLine="480" w:firstLineChars="200"/>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执行联系人：</w:t>
      </w:r>
      <w:r>
        <w:rPr>
          <w:rFonts w:hint="eastAsia" w:cs="仿宋" w:asciiTheme="majorEastAsia" w:hAnsiTheme="majorEastAsia" w:eastAsiaTheme="majorEastAsia"/>
          <w:color w:val="auto"/>
          <w:sz w:val="24"/>
          <w:highlight w:val="none"/>
          <w:lang w:val="en-US" w:eastAsia="zh-CN"/>
        </w:rPr>
        <w:t>袁凯</w:t>
      </w: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color w:val="auto"/>
          <w:sz w:val="24"/>
          <w:highlight w:val="none"/>
          <w:lang w:val="en-US" w:eastAsia="zh-CN"/>
        </w:rPr>
        <w:t xml:space="preserve"> </w:t>
      </w:r>
      <w:r>
        <w:rPr>
          <w:rFonts w:hint="eastAsia" w:cs="仿宋" w:asciiTheme="majorEastAsia" w:hAnsiTheme="majorEastAsia" w:eastAsiaTheme="majorEastAsia"/>
          <w:color w:val="auto"/>
          <w:sz w:val="24"/>
          <w:highlight w:val="none"/>
        </w:rPr>
        <w:t>联系方式：0574-</w:t>
      </w:r>
      <w:r>
        <w:rPr>
          <w:rFonts w:hint="eastAsia" w:cs="仿宋" w:asciiTheme="majorEastAsia" w:hAnsiTheme="majorEastAsia" w:eastAsiaTheme="majorEastAsia"/>
          <w:color w:val="auto"/>
          <w:sz w:val="24"/>
          <w:highlight w:val="none"/>
          <w:lang w:val="en-US" w:eastAsia="zh-CN"/>
        </w:rPr>
        <w:t>88107580</w:t>
      </w:r>
    </w:p>
    <w:p w14:paraId="5A994A24">
      <w:pPr>
        <w:shd w:val="clear"/>
        <w:spacing w:line="360" w:lineRule="auto"/>
        <w:ind w:firstLine="480" w:firstLineChars="200"/>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质疑答复联系人：</w:t>
      </w:r>
      <w:r>
        <w:rPr>
          <w:rFonts w:hint="eastAsia" w:cs="仿宋" w:asciiTheme="majorEastAsia" w:hAnsiTheme="majorEastAsia" w:eastAsiaTheme="majorEastAsia"/>
          <w:color w:val="auto"/>
          <w:sz w:val="24"/>
          <w:highlight w:val="none"/>
          <w:lang w:val="en-US" w:eastAsia="zh-CN"/>
        </w:rPr>
        <w:t>李薇</w:t>
      </w:r>
      <w:r>
        <w:rPr>
          <w:rFonts w:hint="eastAsia" w:cs="仿宋" w:asciiTheme="majorEastAsia" w:hAnsiTheme="majorEastAsia" w:eastAsiaTheme="majorEastAsia"/>
          <w:color w:val="auto"/>
          <w:sz w:val="24"/>
          <w:highlight w:val="none"/>
        </w:rPr>
        <w:t xml:space="preserve">    联系方式：0574-</w:t>
      </w:r>
      <w:r>
        <w:rPr>
          <w:rFonts w:hint="eastAsia" w:cs="仿宋" w:asciiTheme="majorEastAsia" w:hAnsiTheme="majorEastAsia" w:eastAsiaTheme="majorEastAsia"/>
          <w:color w:val="auto"/>
          <w:sz w:val="24"/>
          <w:highlight w:val="none"/>
          <w:lang w:val="en-US" w:eastAsia="zh-CN"/>
        </w:rPr>
        <w:t>88107580</w:t>
      </w:r>
    </w:p>
    <w:p w14:paraId="13F3CD16">
      <w:pPr>
        <w:shd w:val="clear"/>
        <w:spacing w:line="360" w:lineRule="auto"/>
        <w:ind w:firstLine="240"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r>
        <w:rPr>
          <w:rFonts w:hint="eastAsia" w:cs="仿宋" w:asciiTheme="majorEastAsia" w:hAnsiTheme="majorEastAsia" w:eastAsiaTheme="majorEastAsia"/>
          <w:color w:val="auto"/>
          <w:sz w:val="24"/>
          <w:highlight w:val="none"/>
          <w:lang w:val="en-US" w:eastAsia="zh-CN"/>
        </w:rPr>
        <w:t xml:space="preserve">同级监督管理部门  </w:t>
      </w:r>
      <w:r>
        <w:rPr>
          <w:rFonts w:hint="eastAsia" w:cs="仿宋" w:asciiTheme="majorEastAsia" w:hAnsiTheme="majorEastAsia" w:eastAsiaTheme="majorEastAsia"/>
          <w:color w:val="auto"/>
          <w:sz w:val="24"/>
          <w:highlight w:val="none"/>
        </w:rPr>
        <w:t xml:space="preserve">          </w:t>
      </w:r>
    </w:p>
    <w:p w14:paraId="5E3B4C5C">
      <w:pPr>
        <w:shd w:val="clear"/>
        <w:spacing w:line="360" w:lineRule="auto"/>
        <w:ind w:firstLine="480" w:firstLineChars="200"/>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名    称：</w:t>
      </w:r>
      <w:r>
        <w:rPr>
          <w:rFonts w:hint="eastAsia" w:cs="仿宋" w:asciiTheme="majorEastAsia" w:hAnsiTheme="majorEastAsia" w:eastAsiaTheme="majorEastAsia"/>
          <w:color w:val="auto"/>
          <w:sz w:val="24"/>
          <w:highlight w:val="none"/>
          <w:lang w:val="en-US" w:eastAsia="zh-CN"/>
        </w:rPr>
        <w:t>宁波市名山建设发展集团有限公司纪检监察（审计）室</w:t>
      </w:r>
    </w:p>
    <w:p w14:paraId="29ECDD68">
      <w:pPr>
        <w:shd w:val="clear"/>
        <w:spacing w:line="360" w:lineRule="auto"/>
        <w:ind w:firstLine="480" w:firstLineChars="200"/>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地    址：</w:t>
      </w:r>
      <w:r>
        <w:rPr>
          <w:rFonts w:hint="eastAsia" w:cs="仿宋" w:asciiTheme="majorEastAsia" w:hAnsiTheme="majorEastAsia" w:eastAsiaTheme="majorEastAsia"/>
          <w:color w:val="auto"/>
          <w:sz w:val="24"/>
          <w:highlight w:val="none"/>
          <w:lang w:val="en-US" w:eastAsia="zh-CN"/>
        </w:rPr>
        <w:t>宁波市奉化区溪口镇290-2号</w:t>
      </w:r>
    </w:p>
    <w:p w14:paraId="21302607">
      <w:pPr>
        <w:shd w:val="clear"/>
        <w:spacing w:line="360" w:lineRule="auto"/>
        <w:ind w:firstLine="480" w:firstLineChars="200"/>
        <w:rPr>
          <w:rFonts w:hint="eastAsia"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传    真：</w:t>
      </w:r>
      <w:r>
        <w:rPr>
          <w:rFonts w:hint="eastAsia" w:cs="仿宋" w:asciiTheme="majorEastAsia" w:hAnsiTheme="majorEastAsia" w:eastAsiaTheme="majorEastAsia"/>
          <w:color w:val="auto"/>
          <w:sz w:val="24"/>
          <w:highlight w:val="none"/>
          <w:lang w:val="en-US" w:eastAsia="zh-CN"/>
        </w:rPr>
        <w:t>/</w:t>
      </w:r>
    </w:p>
    <w:p w14:paraId="75D2D00D">
      <w:pPr>
        <w:shd w:val="clear"/>
        <w:spacing w:line="360" w:lineRule="auto"/>
        <w:ind w:firstLine="480" w:firstLineChars="200"/>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联 系 人：</w:t>
      </w:r>
      <w:r>
        <w:rPr>
          <w:rFonts w:hint="eastAsia" w:cs="仿宋" w:asciiTheme="majorEastAsia" w:hAnsiTheme="majorEastAsia" w:eastAsiaTheme="majorEastAsia"/>
          <w:color w:val="auto"/>
          <w:sz w:val="24"/>
          <w:highlight w:val="none"/>
          <w:lang w:val="en-US" w:eastAsia="zh-CN"/>
        </w:rPr>
        <w:t>张尔东</w:t>
      </w:r>
    </w:p>
    <w:p w14:paraId="220DA96E">
      <w:pPr>
        <w:shd w:val="clear"/>
        <w:spacing w:line="360" w:lineRule="auto"/>
        <w:ind w:firstLine="480" w:firstLineChars="200"/>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监督投诉电话：</w:t>
      </w:r>
      <w:r>
        <w:rPr>
          <w:rFonts w:hint="eastAsia" w:cs="仿宋" w:asciiTheme="majorEastAsia" w:hAnsiTheme="majorEastAsia" w:eastAsiaTheme="majorEastAsia"/>
          <w:color w:val="auto"/>
          <w:sz w:val="24"/>
          <w:highlight w:val="none"/>
          <w:lang w:val="en-US" w:eastAsia="zh-CN"/>
        </w:rPr>
        <w:t>0574-89284167</w:t>
      </w:r>
    </w:p>
    <w:p w14:paraId="1355204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若对项目采购电子交易系统操作有疑问，可登录</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eastAsia="zh-CN"/>
        </w:rPr>
        <w:t>https://www.lecaiyun.com/</w:t>
      </w:r>
      <w:r>
        <w:rPr>
          <w:rFonts w:hint="eastAsia" w:cs="仿宋" w:asciiTheme="majorEastAsia" w:hAnsiTheme="majorEastAsia" w:eastAsiaTheme="majorEastAsia"/>
          <w:color w:val="auto"/>
          <w:sz w:val="24"/>
          <w:highlight w:val="none"/>
        </w:rPr>
        <w:t>），点击右侧咨询小采，获取采小蜜智能服务管家帮助，或拨打</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服务热线95763获取热线服务帮助。</w:t>
      </w:r>
    </w:p>
    <w:p w14:paraId="5CF284B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CA问题联系电话（人工）：汇信CA 400-888-4636；天谷CA 400-087-8198。</w:t>
      </w:r>
    </w:p>
    <w:p w14:paraId="3AE5D952">
      <w:pPr>
        <w:rPr>
          <w:rFonts w:hint="eastAsia"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br w:type="page"/>
      </w:r>
    </w:p>
    <w:p w14:paraId="7EE5E430">
      <w:pPr>
        <w:shd w:val="clear"/>
        <w:spacing w:line="360" w:lineRule="auto"/>
        <w:jc w:val="center"/>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第二部分</w:t>
      </w:r>
      <w:bookmarkEnd w:id="8"/>
      <w:r>
        <w:rPr>
          <w:rFonts w:hint="eastAsia" w:cs="仿宋" w:asciiTheme="majorEastAsia" w:hAnsiTheme="majorEastAsia" w:eastAsiaTheme="majorEastAsia"/>
          <w:b/>
          <w:color w:val="auto"/>
          <w:sz w:val="36"/>
          <w:szCs w:val="20"/>
          <w:highlight w:val="none"/>
        </w:rPr>
        <w:t xml:space="preserve"> 投标须知</w:t>
      </w:r>
      <w:bookmarkEnd w:id="9"/>
    </w:p>
    <w:p w14:paraId="50E16E92">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前附表</w:t>
      </w:r>
    </w:p>
    <w:tbl>
      <w:tblPr>
        <w:tblStyle w:val="19"/>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0D557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8DF8728">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49B9339">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720CC313">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本项目的特别规定</w:t>
            </w:r>
          </w:p>
        </w:tc>
      </w:tr>
      <w:tr w14:paraId="3683C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332314B5">
            <w:pPr>
              <w:shd w:val="clear"/>
              <w:snapToGrid w:val="0"/>
              <w:spacing w:line="360" w:lineRule="auto"/>
              <w:jc w:val="center"/>
              <w:rPr>
                <w:rFonts w:cs="仿宋" w:asciiTheme="majorEastAsia" w:hAnsiTheme="majorEastAsia" w:eastAsiaTheme="majorEastAsia"/>
                <w:color w:val="auto"/>
                <w:sz w:val="24"/>
                <w:highlight w:val="none"/>
              </w:rPr>
            </w:pPr>
          </w:p>
          <w:p w14:paraId="30141E25">
            <w:pPr>
              <w:shd w:val="clear"/>
              <w:snapToGrid w:val="0"/>
              <w:spacing w:line="360" w:lineRule="auto"/>
              <w:jc w:val="center"/>
              <w:rPr>
                <w:rFonts w:cs="仿宋" w:asciiTheme="majorEastAsia" w:hAnsiTheme="majorEastAsia" w:eastAsiaTheme="majorEastAsia"/>
                <w:color w:val="auto"/>
                <w:sz w:val="24"/>
                <w:highlight w:val="none"/>
              </w:rPr>
            </w:pPr>
          </w:p>
          <w:p w14:paraId="4293FC47">
            <w:pPr>
              <w:shd w:val="clear"/>
              <w:snapToGrid w:val="0"/>
              <w:spacing w:line="360" w:lineRule="auto"/>
              <w:jc w:val="center"/>
              <w:rPr>
                <w:rFonts w:cs="仿宋" w:asciiTheme="majorEastAsia" w:hAnsiTheme="majorEastAsia" w:eastAsiaTheme="majorEastAsia"/>
                <w:color w:val="auto"/>
                <w:sz w:val="24"/>
                <w:highlight w:val="none"/>
              </w:rPr>
            </w:pPr>
          </w:p>
          <w:p w14:paraId="7E4118FD">
            <w:pPr>
              <w:shd w:val="clear"/>
              <w:snapToGrid w:val="0"/>
              <w:spacing w:line="360" w:lineRule="auto"/>
              <w:jc w:val="center"/>
              <w:rPr>
                <w:rFonts w:cs="仿宋" w:asciiTheme="majorEastAsia" w:hAnsiTheme="majorEastAsia" w:eastAsiaTheme="majorEastAsia"/>
                <w:color w:val="auto"/>
                <w:sz w:val="24"/>
                <w:highlight w:val="none"/>
              </w:rPr>
            </w:pPr>
          </w:p>
          <w:p w14:paraId="3502F92E">
            <w:pPr>
              <w:shd w:val="clear"/>
              <w:snapToGrid w:val="0"/>
              <w:spacing w:line="360" w:lineRule="auto"/>
              <w:jc w:val="center"/>
              <w:rPr>
                <w:rFonts w:cs="仿宋" w:asciiTheme="majorEastAsia" w:hAnsiTheme="majorEastAsia" w:eastAsiaTheme="majorEastAsia"/>
                <w:color w:val="auto"/>
                <w:sz w:val="24"/>
                <w:highlight w:val="none"/>
              </w:rPr>
            </w:pPr>
          </w:p>
          <w:p w14:paraId="22D96289">
            <w:pPr>
              <w:shd w:val="clear"/>
              <w:snapToGrid w:val="0"/>
              <w:spacing w:line="360" w:lineRule="auto"/>
              <w:jc w:val="center"/>
              <w:rPr>
                <w:rFonts w:cs="仿宋" w:asciiTheme="majorEastAsia" w:hAnsiTheme="majorEastAsia" w:eastAsiaTheme="majorEastAsia"/>
                <w:color w:val="auto"/>
                <w:sz w:val="24"/>
                <w:highlight w:val="none"/>
              </w:rPr>
            </w:pPr>
          </w:p>
          <w:p w14:paraId="3D9E60B0">
            <w:pPr>
              <w:shd w:val="clear"/>
              <w:snapToGrid w:val="0"/>
              <w:spacing w:line="360" w:lineRule="auto"/>
              <w:jc w:val="center"/>
              <w:rPr>
                <w:rFonts w:cs="仿宋" w:asciiTheme="majorEastAsia" w:hAnsiTheme="majorEastAsia" w:eastAsiaTheme="majorEastAsia"/>
                <w:color w:val="auto"/>
                <w:sz w:val="24"/>
                <w:highlight w:val="none"/>
              </w:rPr>
            </w:pPr>
          </w:p>
          <w:p w14:paraId="7660B783">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735C27A">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67A07F08">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有关本项目实施所需的所有费用（含税费）均计入报价。</w:t>
            </w:r>
            <w:r>
              <w:rPr>
                <w:rFonts w:hint="eastAsia" w:cs="仿宋" w:asciiTheme="majorEastAsia" w:hAnsiTheme="majorEastAsia" w:eastAsiaTheme="majorEastAsia"/>
                <w:color w:val="auto"/>
                <w:sz w:val="24"/>
                <w:highlight w:val="none"/>
              </w:rPr>
              <w:t>开标一览表是报价的唯一载体</w:t>
            </w:r>
            <w:r>
              <w:rPr>
                <w:rFonts w:hint="eastAsia" w:cs="仿宋" w:asciiTheme="majorEastAsia" w:hAnsiTheme="majorEastAsia" w:eastAsiaTheme="majorEastAsia"/>
                <w:color w:val="auto"/>
                <w:kern w:val="0"/>
                <w:sz w:val="24"/>
                <w:highlight w:val="none"/>
                <w:lang w:val="zh-CN"/>
              </w:rPr>
              <w:t>。投标文件中价格全部采用人民币报价。招标文件未列明，而供应商认为必需的费用也需列入报价。</w:t>
            </w:r>
          </w:p>
          <w:p w14:paraId="1A6330DA">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投标报价出现下列情形的，投标无效：</w:t>
            </w:r>
          </w:p>
          <w:p w14:paraId="598A840F">
            <w:pPr>
              <w:shd w:val="clear"/>
              <w:snapToGrid w:val="0"/>
              <w:spacing w:line="360" w:lineRule="auto"/>
              <w:ind w:firstLine="241" w:firstLineChars="100"/>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投标文件出现不是唯一的、有选择性投标报价的；</w:t>
            </w:r>
          </w:p>
          <w:p w14:paraId="473F5B8F">
            <w:pPr>
              <w:shd w:val="clear"/>
              <w:snapToGrid w:val="0"/>
              <w:spacing w:line="360" w:lineRule="auto"/>
              <w:ind w:firstLine="241" w:firstLineChars="1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投标报价超过招标文件中规定的预算金额或者最高限价的;</w:t>
            </w:r>
          </w:p>
          <w:p w14:paraId="4FB944CC">
            <w:pPr>
              <w:shd w:val="clear"/>
              <w:spacing w:line="360" w:lineRule="auto"/>
              <w:ind w:firstLine="241" w:firstLineChars="1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color w:val="auto"/>
                <w:sz w:val="24"/>
                <w:szCs w:val="21"/>
                <w:highlight w:val="none"/>
              </w:rPr>
              <w:t>;</w:t>
            </w:r>
          </w:p>
          <w:p w14:paraId="671695CD">
            <w:pPr>
              <w:shd w:val="clear"/>
              <w:spacing w:line="360" w:lineRule="auto"/>
              <w:ind w:firstLine="241"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kern w:val="0"/>
                <w:sz w:val="24"/>
                <w:highlight w:val="none"/>
              </w:rPr>
              <w:t>供应商对根据修正原则修正后的报价不确认的</w:t>
            </w:r>
            <w:r>
              <w:rPr>
                <w:rFonts w:hint="eastAsia" w:cs="仿宋" w:asciiTheme="majorEastAsia" w:hAnsiTheme="majorEastAsia" w:eastAsiaTheme="majorEastAsia"/>
                <w:b/>
                <w:color w:val="auto"/>
                <w:sz w:val="24"/>
                <w:highlight w:val="none"/>
              </w:rPr>
              <w:t>。</w:t>
            </w:r>
          </w:p>
        </w:tc>
      </w:tr>
      <w:tr w14:paraId="6AFE8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7DBFA6">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BD0E3BF">
            <w:pPr>
              <w:pStyle w:val="10"/>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28"/>
                <w:sz w:val="24"/>
                <w:szCs w:val="24"/>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3B09DFB6">
            <w:pPr>
              <w:pStyle w:val="6"/>
              <w:shd w:val="clear"/>
              <w:spacing w:line="360" w:lineRule="auto"/>
              <w:ind w:firstLine="0"/>
              <w:jc w:val="left"/>
              <w:rPr>
                <w:rFonts w:cs="仿宋" w:asciiTheme="majorEastAsia" w:hAnsiTheme="majorEastAsia"/>
                <w:b/>
                <w:color w:val="auto"/>
                <w:kern w:val="0"/>
                <w:sz w:val="24"/>
                <w:highlight w:val="none"/>
              </w:rPr>
            </w:pPr>
            <w:r>
              <w:rPr>
                <w:rFonts w:hint="eastAsia" w:hAnsi="宋体" w:cs="宋体"/>
                <w:color w:val="auto"/>
                <w:sz w:val="24"/>
                <w:highlight w:val="none"/>
              </w:rPr>
              <w:t>投标保证金：不适用。</w:t>
            </w:r>
          </w:p>
        </w:tc>
      </w:tr>
      <w:tr w14:paraId="0B3CD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CBDF7A">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20F72BB">
            <w:pPr>
              <w:shd w:val="clear"/>
              <w:snapToGrid w:val="0"/>
              <w:spacing w:line="360" w:lineRule="auto"/>
              <w:ind w:firstLine="482" w:firstLineChars="20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3BDDBD32">
            <w:pPr>
              <w:shd w:val="clear"/>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不同意分包。</w:t>
            </w:r>
          </w:p>
        </w:tc>
      </w:tr>
      <w:tr w14:paraId="653DC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36F96C">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52C91CD">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68948F1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资格证明文件：见招标文件第二部分9.1。</w:t>
            </w:r>
          </w:p>
          <w:p w14:paraId="3FCE91EA">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资格证明文件不全的或者不符合招标文件标明的资格要求的</w:t>
            </w:r>
            <w:r>
              <w:rPr>
                <w:rFonts w:hint="eastAsia" w:cs="仿宋" w:asciiTheme="majorEastAsia" w:hAnsiTheme="majorEastAsia" w:eastAsiaTheme="majorEastAsia"/>
                <w:color w:val="auto"/>
                <w:sz w:val="24"/>
                <w:highlight w:val="none"/>
                <w:lang w:val="zh-CN"/>
              </w:rPr>
              <w:t>，视为供应商不具备招标文件中规定的资格要求，投标无效。</w:t>
            </w:r>
          </w:p>
        </w:tc>
      </w:tr>
      <w:tr w14:paraId="55B89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544563">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205629C">
            <w:pPr>
              <w:shd w:val="clear"/>
              <w:snapToGrid w:val="0"/>
              <w:spacing w:line="360" w:lineRule="auto"/>
              <w:jc w:val="center"/>
              <w:rPr>
                <w:rFonts w:cs="仿宋" w:asciiTheme="majorEastAsia" w:hAnsiTheme="majorEastAsia" w:eastAsiaTheme="majorEastAsia"/>
                <w:b/>
                <w:color w:val="auto"/>
                <w:sz w:val="24"/>
                <w:highlight w:val="none"/>
              </w:rPr>
            </w:pPr>
            <w:r>
              <w:rPr>
                <w:rFonts w:hint="eastAsia" w:ascii="宋体" w:hAnsi="宋体" w:cs="仿宋"/>
                <w:b/>
                <w:color w:val="auto"/>
                <w:sz w:val="24"/>
                <w:highlight w:val="none"/>
              </w:rPr>
              <w:t>开标前答疑会或现场考察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35CC2C24">
            <w:pPr>
              <w:shd w:val="clear"/>
              <w:spacing w:line="360" w:lineRule="auto"/>
              <w:rPr>
                <w:rFonts w:cs="仿宋" w:asciiTheme="majorEastAsia" w:hAnsiTheme="majorEastAsia" w:eastAsiaTheme="majorEastAsia"/>
                <w:color w:val="auto"/>
                <w:sz w:val="24"/>
                <w:szCs w:val="20"/>
                <w:highlight w:val="none"/>
              </w:rPr>
            </w:pPr>
            <w:r>
              <w:rPr>
                <w:rFonts w:hint="eastAsia" w:ascii="宋体" w:hAnsi="宋体" w:cs="仿宋"/>
                <w:color w:val="auto"/>
                <w:sz w:val="24"/>
                <w:highlight w:val="none"/>
              </w:rPr>
              <w:t>不组织。</w:t>
            </w:r>
          </w:p>
        </w:tc>
      </w:tr>
      <w:tr w14:paraId="1C121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74CD26">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FE6A297">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44C8646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sym w:font="Wingdings" w:char="00FE"/>
            </w:r>
            <w:r>
              <w:rPr>
                <w:rFonts w:hint="eastAsia" w:cs="仿宋" w:asciiTheme="majorEastAsia" w:hAnsiTheme="majorEastAsia" w:eastAsiaTheme="majorEastAsia"/>
                <w:color w:val="auto"/>
                <w:kern w:val="0"/>
                <w:sz w:val="24"/>
                <w:highlight w:val="none"/>
              </w:rPr>
              <w:t>不要求提供。</w:t>
            </w:r>
          </w:p>
        </w:tc>
      </w:tr>
      <w:tr w14:paraId="48E33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E4308D">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7CB1B5C5">
            <w:pPr>
              <w:shd w:val="clear"/>
              <w:snapToGrid w:val="0"/>
              <w:spacing w:line="360" w:lineRule="auto"/>
              <w:jc w:val="center"/>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产品功能演示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5B33F609">
            <w:pPr>
              <w:shd w:val="clear"/>
              <w:spacing w:line="360" w:lineRule="auto"/>
              <w:rPr>
                <w:rFonts w:cs="仿宋" w:asciiTheme="majorEastAsia" w:hAnsiTheme="majorEastAsia" w:eastAsiaTheme="majorEastAsia"/>
                <w:color w:val="auto"/>
                <w:sz w:val="24"/>
                <w:highlight w:val="none"/>
              </w:rPr>
            </w:pPr>
            <w:r>
              <w:rPr>
                <w:rFonts w:hint="eastAsia" w:cs="仿宋" w:asciiTheme="minorEastAsia" w:hAnsiTheme="minorEastAsia" w:eastAsiaTheme="minorEastAsia"/>
                <w:color w:val="auto"/>
                <w:kern w:val="0"/>
                <w:sz w:val="24"/>
                <w:highlight w:val="none"/>
              </w:rPr>
              <w:t>不组织。</w:t>
            </w:r>
          </w:p>
        </w:tc>
      </w:tr>
      <w:tr w14:paraId="48473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E568ED">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BA9D04A">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0F446C15">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本项目不允许采购进口产品。</w:t>
            </w:r>
          </w:p>
        </w:tc>
      </w:tr>
      <w:tr w14:paraId="74513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BE5896">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D2F2211">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61E72A8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服务类。</w:t>
            </w:r>
          </w:p>
        </w:tc>
      </w:tr>
      <w:tr w14:paraId="0FE08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96D4CF">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E79654">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680B88B8">
            <w:pPr>
              <w:pStyle w:val="25"/>
              <w:shd w:val="clear"/>
              <w:ind w:firstLine="0" w:firstLineChars="0"/>
              <w:rPr>
                <w:color w:val="auto"/>
                <w:highlight w:val="none"/>
              </w:rPr>
            </w:pPr>
            <w:r>
              <w:rPr>
                <w:rFonts w:hint="eastAsia" w:cs="仿宋" w:asciiTheme="majorEastAsia" w:hAnsiTheme="majorEastAsia" w:eastAsiaTheme="majorEastAsia"/>
                <w:color w:val="auto"/>
                <w:kern w:val="0"/>
                <w:sz w:val="24"/>
                <w:highlight w:val="none"/>
              </w:rPr>
              <w:t>标的：</w:t>
            </w:r>
            <w:r>
              <w:rPr>
                <w:rFonts w:hint="eastAsia" w:cs="仿宋" w:asciiTheme="majorEastAsia" w:hAnsiTheme="majorEastAsia" w:eastAsiaTheme="majorEastAsia"/>
                <w:color w:val="auto"/>
                <w:kern w:val="0"/>
                <w:sz w:val="24"/>
                <w:highlight w:val="none"/>
                <w:u w:val="single"/>
              </w:rPr>
              <w:t>物业服务</w:t>
            </w:r>
            <w:r>
              <w:rPr>
                <w:rFonts w:hint="eastAsia" w:cs="仿宋" w:asciiTheme="majorEastAsia" w:hAnsiTheme="majorEastAsia" w:eastAsiaTheme="majorEastAsia"/>
                <w:color w:val="auto"/>
                <w:kern w:val="0"/>
                <w:sz w:val="24"/>
                <w:highlight w:val="none"/>
              </w:rPr>
              <w:t>，属于</w:t>
            </w:r>
            <w:r>
              <w:rPr>
                <w:rFonts w:hint="eastAsia" w:cs="仿宋" w:asciiTheme="majorEastAsia" w:hAnsiTheme="majorEastAsia" w:eastAsiaTheme="majorEastAsia"/>
                <w:color w:val="auto"/>
                <w:kern w:val="0"/>
                <w:sz w:val="24"/>
                <w:highlight w:val="none"/>
                <w:u w:val="single"/>
              </w:rPr>
              <w:t>物业管理</w:t>
            </w:r>
            <w:r>
              <w:rPr>
                <w:rFonts w:hint="eastAsia" w:cs="仿宋" w:asciiTheme="majorEastAsia" w:hAnsiTheme="majorEastAsia" w:eastAsiaTheme="majorEastAsia"/>
                <w:color w:val="auto"/>
                <w:kern w:val="0"/>
                <w:sz w:val="24"/>
                <w:highlight w:val="none"/>
              </w:rPr>
              <w:t>；</w:t>
            </w:r>
          </w:p>
        </w:tc>
      </w:tr>
      <w:tr w14:paraId="40019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512A919B">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F65FA62">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7F34FA5A">
            <w:pPr>
              <w:shd w:val="clear"/>
              <w:spacing w:line="360" w:lineRule="auto"/>
              <w:rPr>
                <w:rFonts w:cs="仿宋" w:asciiTheme="majorEastAsia" w:hAnsiTheme="majorEastAsia" w:eastAsiaTheme="majorEastAsia"/>
                <w:snapToGrid w:val="0"/>
                <w:color w:val="auto"/>
                <w:kern w:val="28"/>
                <w:sz w:val="24"/>
                <w:highlight w:val="none"/>
              </w:rPr>
            </w:pPr>
            <w:r>
              <w:rPr>
                <w:rFonts w:hint="eastAsia" w:ascii="宋体" w:hAnsi="宋体" w:cs="宋体"/>
                <w:color w:val="auto"/>
                <w:sz w:val="24"/>
                <w:highlight w:val="none"/>
              </w:rPr>
              <w:t>本项目中标服务费</w:t>
            </w:r>
            <w:r>
              <w:rPr>
                <w:rFonts w:hint="eastAsia" w:ascii="宋体" w:hAnsi="宋体" w:cs="宋体"/>
                <w:color w:val="auto"/>
                <w:sz w:val="24"/>
                <w:highlight w:val="none"/>
                <w:u w:val="none"/>
                <w:lang w:val="en-US" w:eastAsia="zh-CN"/>
              </w:rPr>
              <w:t>12973</w:t>
            </w:r>
            <w:r>
              <w:rPr>
                <w:rFonts w:hint="eastAsia" w:cs="仿宋" w:asciiTheme="majorEastAsia" w:hAnsiTheme="majorEastAsia" w:eastAsiaTheme="majorEastAsia"/>
                <w:color w:val="auto"/>
                <w:kern w:val="0"/>
                <w:sz w:val="24"/>
                <w:highlight w:val="none"/>
                <w:u w:val="none"/>
              </w:rPr>
              <w:t>元</w:t>
            </w:r>
            <w:r>
              <w:rPr>
                <w:rFonts w:hint="eastAsia" w:ascii="宋体" w:hAnsi="宋体" w:cs="宋体"/>
                <w:color w:val="auto"/>
                <w:sz w:val="24"/>
                <w:highlight w:val="none"/>
              </w:rPr>
              <w:t>，中标人应在本公司发出中标通知书5个工作日内向本招标公司支付招标服务费。招标服务费只收现金、银行票汇款、电汇款。</w:t>
            </w:r>
          </w:p>
        </w:tc>
      </w:tr>
      <w:bookmarkEnd w:id="10"/>
    </w:tbl>
    <w:p w14:paraId="221CA97E">
      <w:pPr>
        <w:shd w:val="clear"/>
        <w:spacing w:line="360" w:lineRule="auto"/>
        <w:outlineLvl w:val="0"/>
        <w:rPr>
          <w:rFonts w:cs="仿宋" w:asciiTheme="majorEastAsia" w:hAnsiTheme="majorEastAsia" w:eastAsiaTheme="majorEastAsia"/>
          <w:b/>
          <w:color w:val="auto"/>
          <w:sz w:val="32"/>
          <w:szCs w:val="20"/>
          <w:highlight w:val="none"/>
        </w:rPr>
      </w:pPr>
      <w:bookmarkStart w:id="11" w:name="_Toc164416483"/>
      <w:bookmarkStart w:id="12" w:name="第三部分"/>
      <w:r>
        <w:rPr>
          <w:rFonts w:cs="仿宋" w:asciiTheme="majorEastAsia" w:hAnsiTheme="majorEastAsia" w:eastAsiaTheme="majorEastAsia"/>
          <w:b/>
          <w:color w:val="auto"/>
          <w:sz w:val="32"/>
          <w:szCs w:val="20"/>
          <w:highlight w:val="none"/>
        </w:rPr>
        <w:br w:type="page"/>
      </w:r>
    </w:p>
    <w:p w14:paraId="69E8741D">
      <w:pPr>
        <w:shd w:val="clear"/>
        <w:spacing w:line="360" w:lineRule="auto"/>
        <w:ind w:firstLine="3845" w:firstLineChars="1197"/>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一、总则</w:t>
      </w:r>
    </w:p>
    <w:p w14:paraId="5DED1951">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适用范围</w:t>
      </w:r>
    </w:p>
    <w:p w14:paraId="6F61FB4F">
      <w:pPr>
        <w:shd w:val="clear"/>
        <w:snapToGrid w:val="0"/>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14:paraId="672E0825">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定义</w:t>
      </w:r>
    </w:p>
    <w:p w14:paraId="008FF4B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 “采购人”系指招标公告中载明的本项目的采购人。</w:t>
      </w:r>
    </w:p>
    <w:p w14:paraId="288F603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 “采购代理机构”系指招标公告中载明的本项目的采购代理机构。</w:t>
      </w:r>
    </w:p>
    <w:p w14:paraId="0AEEF55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”系指是指响应招标、参加投标竞争的法人、其他组织或者自然人。</w:t>
      </w:r>
    </w:p>
    <w:p w14:paraId="6B8BA6B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6B2E069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2.5“电子签名”系指数据电文中以电子形式所含、所附用于识别签名人身份并表明签名人认可其中内容的数据；“公章”系指单位法定名称章。</w:t>
      </w:r>
    </w:p>
    <w:p w14:paraId="57BB594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2.6“电子交易平台”是指本项目采购活动所依托的采购云平台（https://</w:t>
      </w:r>
      <w:r>
        <w:rPr>
          <w:rFonts w:hint="eastAsia" w:cs="仿宋" w:asciiTheme="majorEastAsia" w:hAnsiTheme="majorEastAsia" w:eastAsiaTheme="majorEastAsia"/>
          <w:color w:val="auto"/>
          <w:sz w:val="24"/>
          <w:highlight w:val="none"/>
          <w:lang w:eastAsia="zh-CN"/>
        </w:rPr>
        <w:t>www.lecaiyun.com</w:t>
      </w:r>
      <w:r>
        <w:rPr>
          <w:rFonts w:hint="eastAsia" w:cs="仿宋" w:asciiTheme="majorEastAsia" w:hAnsiTheme="majorEastAsia" w:eastAsiaTheme="majorEastAsia"/>
          <w:color w:val="auto"/>
          <w:sz w:val="24"/>
          <w:highlight w:val="none"/>
        </w:rPr>
        <w:t>/）。</w:t>
      </w:r>
    </w:p>
    <w:p w14:paraId="01D8659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2.7 “▲” 系指实质性要求条款，“</w:t>
      </w:r>
      <w:r>
        <w:rPr>
          <w:rFonts w:ascii="Wingdings" w:hAnsi="Wingdings" w:eastAsia="仿宋" w:cs="仿宋"/>
          <w:color w:val="auto"/>
          <w:kern w:val="0"/>
          <w:sz w:val="24"/>
          <w:highlight w:val="none"/>
        </w:rPr>
        <w:t></w:t>
      </w:r>
      <w:r>
        <w:rPr>
          <w:rFonts w:hint="eastAsia" w:cs="仿宋" w:asciiTheme="majorEastAsia" w:hAnsiTheme="majorEastAsia" w:eastAsiaTheme="majorEastAsia"/>
          <w:color w:val="auto"/>
          <w:sz w:val="24"/>
          <w:highlight w:val="none"/>
        </w:rPr>
        <w:t>” 系指适用本项目的要求，“</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 系指不适用本项目的要求。</w:t>
      </w:r>
    </w:p>
    <w:p w14:paraId="4EC17E90">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采购项目需要落实的政府采购政策</w:t>
      </w:r>
    </w:p>
    <w:p w14:paraId="3D57081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7D1C37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3.2 支持节能产品</w:t>
      </w:r>
    </w:p>
    <w:p w14:paraId="690325A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3.3支持中小企业发展</w:t>
      </w:r>
    </w:p>
    <w:p w14:paraId="3F9FF6D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F1408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符合中小企业划分标准的个体工商户，在政府采购活动中视同中小企业。</w:t>
      </w:r>
    </w:p>
    <w:p w14:paraId="654AC601">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Cs/>
          <w:color w:val="auto"/>
          <w:sz w:val="24"/>
          <w:highlight w:val="none"/>
        </w:rPr>
        <w:t>3.3.2</w:t>
      </w:r>
      <w:r>
        <w:rPr>
          <w:rFonts w:hint="eastAsia" w:cs="仿宋" w:asciiTheme="majorEastAsia" w:hAnsiTheme="majorEastAsia" w:eastAsiaTheme="majorEastAsia"/>
          <w:color w:val="auto"/>
          <w:kern w:val="0"/>
          <w:sz w:val="24"/>
          <w:highlight w:val="none"/>
        </w:rPr>
        <w:t>在政府采购活动中，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提供的货物、工程或者服务符合下列情形的，享受中小企业扶持政策：</w:t>
      </w:r>
    </w:p>
    <w:p w14:paraId="71890246">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3.3.2.1在货物采购项目中，货物由中小企业制造，即货物由中小企业生产且使用该中小企业商号或者注册商标；</w:t>
      </w:r>
    </w:p>
    <w:p w14:paraId="72F9C99A">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3.3.2.2在工程采购项目中，工程由中小企业承建，即工程施工单位为中小企业；</w:t>
      </w:r>
    </w:p>
    <w:p w14:paraId="72941628">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3.3.2.3在服务采购项目中，服务由中小企业承接，即提供服务的人员为中小企业依照《中华人民共和国劳动合同法》订立劳动合同的从业人员。</w:t>
      </w:r>
    </w:p>
    <w:p w14:paraId="6A0AA65B">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在货物采购项目中，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提供的货物既有中小企业制造货物，也有大型企业制造货物的，不享受中小企业扶持政策。</w:t>
      </w:r>
    </w:p>
    <w:p w14:paraId="7047D7B4">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2B58382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761332F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3.3.4符合《关于促进残疾人就业政府采购政策的通知》（财库〔2017〕141号）规定的条件并提供《残疾人福利性单位声明函》的残疾人福利性单位视同小型、微型企业；</w:t>
      </w:r>
    </w:p>
    <w:p w14:paraId="08D8D09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223C4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3.3.6可享受中小企业扶持政策的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应按照招标文件格式要求提供《中小企业声明函》，</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提供的《中小企业声明函》与实际情况不符的，不享受中小企业扶持政策。声明内容不实的，属于提供虚假材料谋取中标、成交的，依法承担法律责任。</w:t>
      </w:r>
    </w:p>
    <w:p w14:paraId="7D9FF35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3.3.7中小企业享受扶持政策获得政府采购合同的，小微企业不得将合同分包给大中型企业，中型企业不得将合同分包给大型企业。</w:t>
      </w:r>
    </w:p>
    <w:p w14:paraId="62D44282">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p w14:paraId="1C3F27A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4.1关于分公司投标</w:t>
      </w:r>
    </w:p>
    <w:p w14:paraId="5FCCEF6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除银行、保险、石油石化、电力、电信等特殊行业外。法人的分支机构由于不能独立承担民事责任，不能以分支机构的身份参加政府采购，只能以法人身份参加。 </w:t>
      </w:r>
    </w:p>
    <w:p w14:paraId="32902A6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4.2关于知识产权</w:t>
      </w:r>
    </w:p>
    <w:p w14:paraId="3DC6BAA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w:t>
      </w:r>
    </w:p>
    <w:p w14:paraId="2D7E907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4.2.2 投标报价应包含所有应向所有权人支付的专利权、商标权或其它知识产权的一切相关费用。</w:t>
      </w:r>
    </w:p>
    <w:p w14:paraId="4518F8A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承担所有责任及费用。</w:t>
      </w:r>
    </w:p>
    <w:p w14:paraId="25D4700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的风险</w:t>
      </w:r>
    </w:p>
    <w:p w14:paraId="2DE6630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承担,并对所提供的全部资料的真实性承担法律责任。</w:t>
      </w:r>
    </w:p>
    <w:p w14:paraId="4721668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4.3.2 无论因何种原因导致本次采购活动终止致</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损失的，相关责任人均不承担任何责任。</w:t>
      </w:r>
    </w:p>
    <w:p w14:paraId="4BF704DC">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询问、质疑、投诉</w:t>
      </w:r>
    </w:p>
    <w:p w14:paraId="1A5C1B97">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.1供应商询问</w:t>
      </w:r>
    </w:p>
    <w:p w14:paraId="7505B5D0">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4E20AA">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.2供应商质疑</w:t>
      </w:r>
    </w:p>
    <w:p w14:paraId="0675E23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.1提出质疑的供应商应当是参与所质疑项目采购活动的供应商。潜在供应商已依法获取其可质疑的招标文件的，可以对该文件提出质疑。</w:t>
      </w:r>
    </w:p>
    <w:p w14:paraId="2B1419A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20F78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5.2.2.1对招标文件提出质疑的，质疑期限为供应商获得招标文件之日或者招标文件公告期限届满之日起计算。</w:t>
      </w:r>
    </w:p>
    <w:p w14:paraId="4110FCA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5.2.2.2对采购过程提出质疑的，质疑期限为各采购程序环节结束之日起计算。</w:t>
      </w:r>
    </w:p>
    <w:p w14:paraId="1CA2B36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5.2.2.3对采购结果提出质疑的，质疑期限自采购结果公告期限届满之日起计算。</w:t>
      </w:r>
    </w:p>
    <w:p w14:paraId="730E3F7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5.2.2.4对同一采购程序环节的质疑，供应商须一次性提出。</w:t>
      </w:r>
    </w:p>
    <w:p w14:paraId="359DFC69">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w:t>
      </w:r>
      <w:r>
        <w:rPr>
          <w:rFonts w:hint="eastAsia" w:cs="仿宋" w:asciiTheme="majorEastAsia" w:hAnsiTheme="majorEastAsia" w:eastAsiaTheme="majorEastAsia"/>
          <w:color w:val="auto"/>
          <w:sz w:val="24"/>
          <w:highlight w:val="none"/>
        </w:rPr>
        <w:t>供应商提出质疑应当提交质疑函和必要的证明材料。质疑函应当包括下列内容：</w:t>
      </w:r>
    </w:p>
    <w:p w14:paraId="6938B89C">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.2.3.1供应商的姓名或者名称、地址、邮编、联系人及联系电话；</w:t>
      </w:r>
    </w:p>
    <w:p w14:paraId="70E626CE">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.2.3.2质疑项目的名称、编号；</w:t>
      </w:r>
    </w:p>
    <w:p w14:paraId="1F01F001">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.2.3.3具体、明确的质疑事项和与质疑事项相关的请求；</w:t>
      </w:r>
    </w:p>
    <w:p w14:paraId="1503CD9F">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.2.3.4事实依据；</w:t>
      </w:r>
    </w:p>
    <w:p w14:paraId="309F7A1C">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.2.3.5必要的法律依据；</w:t>
      </w:r>
    </w:p>
    <w:p w14:paraId="53D02131">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.2.3.6提出质疑的日期。</w:t>
      </w:r>
    </w:p>
    <w:p w14:paraId="4D0B665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5.2.3.7对招标文件提出质疑的需要提供在</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平台获取招标文件的截图。</w:t>
      </w:r>
    </w:p>
    <w:p w14:paraId="5747500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8FCC0A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质疑函范本请到</w:t>
      </w:r>
      <w:r>
        <w:rPr>
          <w:rFonts w:hint="eastAsia" w:cs="仿宋" w:asciiTheme="majorEastAsia" w:hAnsiTheme="majorEastAsia" w:eastAsiaTheme="majorEastAsia"/>
          <w:color w:val="auto"/>
          <w:sz w:val="24"/>
          <w:highlight w:val="none"/>
          <w:lang w:eastAsia="zh-CN"/>
        </w:rPr>
        <w:t>浙江企业采购信息服务网</w:t>
      </w:r>
      <w:r>
        <w:rPr>
          <w:rFonts w:hint="eastAsia" w:cs="仿宋" w:asciiTheme="majorEastAsia" w:hAnsiTheme="majorEastAsia" w:eastAsiaTheme="majorEastAsia"/>
          <w:color w:val="auto"/>
          <w:sz w:val="24"/>
          <w:highlight w:val="none"/>
        </w:rPr>
        <w:t>下载专区下载。</w:t>
      </w:r>
    </w:p>
    <w:p w14:paraId="65E69ED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4B7C621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.5询问或者质疑事项可能影响采购结果的，采购人应当暂停签订合同，已经签订合同的，应当中止履行合同。</w:t>
      </w:r>
    </w:p>
    <w:p w14:paraId="7DFA559B">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.3供应商投诉</w:t>
      </w:r>
    </w:p>
    <w:p w14:paraId="47B607B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18141CF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供应商投诉的事项不得超出已质疑事项的范围，基于质疑答复内容提出的投诉事项除外。</w:t>
      </w:r>
    </w:p>
    <w:p w14:paraId="472F061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5.3.3供应商投诉应当有明确的请求和必要的证明材料。</w:t>
      </w:r>
    </w:p>
    <w:p w14:paraId="29E208C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5.3.4 以联合体形式参加政府采购活动的，其投诉应当由组成联合体的所有供应商共同提出。</w:t>
      </w:r>
    </w:p>
    <w:p w14:paraId="1A5AA2E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0E7D352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投诉书范本请到</w:t>
      </w:r>
      <w:r>
        <w:rPr>
          <w:rFonts w:hint="eastAsia" w:cs="仿宋" w:asciiTheme="majorEastAsia" w:hAnsiTheme="majorEastAsia" w:eastAsiaTheme="majorEastAsia"/>
          <w:color w:val="auto"/>
          <w:sz w:val="24"/>
          <w:highlight w:val="none"/>
          <w:lang w:eastAsia="zh-CN"/>
        </w:rPr>
        <w:t>浙江企业采购信息服务网</w:t>
      </w:r>
      <w:r>
        <w:rPr>
          <w:rFonts w:hint="eastAsia" w:cs="仿宋" w:asciiTheme="majorEastAsia" w:hAnsiTheme="majorEastAsia" w:eastAsiaTheme="majorEastAsia"/>
          <w:color w:val="auto"/>
          <w:sz w:val="24"/>
          <w:highlight w:val="none"/>
        </w:rPr>
        <w:t>下载专区下载。</w:t>
      </w:r>
    </w:p>
    <w:p w14:paraId="1A1DA487">
      <w:pPr>
        <w:shd w:val="clear"/>
        <w:spacing w:line="360" w:lineRule="auto"/>
        <w:jc w:val="center"/>
        <w:outlineLvl w:val="0"/>
        <w:rPr>
          <w:rFonts w:cs="仿宋" w:asciiTheme="majorEastAsia" w:hAnsiTheme="majorEastAsia" w:eastAsiaTheme="majorEastAsia"/>
          <w:b/>
          <w:color w:val="auto"/>
          <w:sz w:val="32"/>
          <w:szCs w:val="20"/>
          <w:highlight w:val="none"/>
        </w:rPr>
      </w:pPr>
    </w:p>
    <w:p w14:paraId="7D6F746C">
      <w:pPr>
        <w:shd w:val="clear"/>
        <w:spacing w:line="360" w:lineRule="auto"/>
        <w:jc w:val="center"/>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二、招标文件的构成、澄清、修改</w:t>
      </w:r>
    </w:p>
    <w:p w14:paraId="56E2BB7D">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招标文件的构成</w:t>
      </w:r>
    </w:p>
    <w:p w14:paraId="34137568">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 招标文件包括下列文件及附件：</w:t>
      </w:r>
    </w:p>
    <w:p w14:paraId="11856917">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6.1.1 招标公告；</w:t>
      </w:r>
    </w:p>
    <w:p w14:paraId="6B969DCD">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6.1.2 </w:t>
      </w:r>
      <w:r>
        <w:rPr>
          <w:rFonts w:hint="eastAsia" w:cs="仿宋" w:asciiTheme="majorEastAsia" w:hAnsiTheme="majorEastAsia" w:eastAsiaTheme="majorEastAsia"/>
          <w:color w:val="auto"/>
          <w:sz w:val="24"/>
          <w:szCs w:val="24"/>
          <w:highlight w:val="none"/>
          <w:lang w:val="zh-CN"/>
        </w:rPr>
        <w:t>投标</w:t>
      </w:r>
      <w:r>
        <w:rPr>
          <w:rFonts w:hint="eastAsia" w:cs="仿宋" w:asciiTheme="majorEastAsia" w:hAnsiTheme="majorEastAsia" w:eastAsiaTheme="majorEastAsia"/>
          <w:color w:val="auto"/>
          <w:sz w:val="24"/>
          <w:szCs w:val="24"/>
          <w:highlight w:val="none"/>
        </w:rPr>
        <w:t>须知；</w:t>
      </w:r>
    </w:p>
    <w:p w14:paraId="5A234ACA">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6.1.3 采购需求；</w:t>
      </w:r>
    </w:p>
    <w:p w14:paraId="12F390F8">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6.1.4 评标办法；</w:t>
      </w:r>
    </w:p>
    <w:p w14:paraId="28B3AE9E">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6.1.5 拟签订的合同文本；</w:t>
      </w:r>
    </w:p>
    <w:p w14:paraId="670C3D2A">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6.1.6 应提交的有关格式范例。</w:t>
      </w:r>
    </w:p>
    <w:p w14:paraId="71BB4982">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6.1.7 附件（如有）</w:t>
      </w:r>
    </w:p>
    <w:p w14:paraId="1C1B043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6.2与本项目有关的</w:t>
      </w:r>
      <w:r>
        <w:rPr>
          <w:rFonts w:hint="eastAsia" w:cs="仿宋" w:asciiTheme="majorEastAsia" w:hAnsiTheme="majorEastAsia" w:eastAsiaTheme="majorEastAsia"/>
          <w:bCs/>
          <w:color w:val="auto"/>
          <w:sz w:val="24"/>
          <w:highlight w:val="none"/>
        </w:rPr>
        <w:t>澄清或者修改的内容为招标文件的组成部分</w:t>
      </w:r>
      <w:r>
        <w:rPr>
          <w:rFonts w:hint="eastAsia" w:cs="仿宋" w:asciiTheme="majorEastAsia" w:hAnsiTheme="majorEastAsia" w:eastAsiaTheme="majorEastAsia"/>
          <w:color w:val="auto"/>
          <w:sz w:val="24"/>
          <w:highlight w:val="none"/>
        </w:rPr>
        <w:t>。</w:t>
      </w:r>
    </w:p>
    <w:p w14:paraId="07DBA265">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招标文件的澄清、修改</w:t>
      </w:r>
    </w:p>
    <w:p w14:paraId="13AE2DC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4936421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4D4E618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7.3 如更正公告有重新发布电子招标文件的，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应下载最新发布的电子招标文件制作投标文件。</w:t>
      </w:r>
    </w:p>
    <w:p w14:paraId="02032CF2">
      <w:pPr>
        <w:shd w:val="clear"/>
        <w:spacing w:line="360" w:lineRule="auto"/>
        <w:ind w:firstLine="480" w:firstLineChars="200"/>
        <w:rPr>
          <w:rFonts w:cs="仿宋" w:asciiTheme="majorEastAsia" w:hAnsiTheme="majorEastAsia" w:eastAsiaTheme="majorEastAsia"/>
          <w:b/>
          <w:color w:val="auto"/>
          <w:sz w:val="28"/>
          <w:szCs w:val="20"/>
          <w:highlight w:val="none"/>
        </w:rPr>
      </w:pPr>
      <w:r>
        <w:rPr>
          <w:rFonts w:hint="eastAsia" w:cs="仿宋" w:asciiTheme="majorEastAsia" w:hAnsiTheme="majorEastAsia" w:eastAsiaTheme="majorEastAsia"/>
          <w:color w:val="auto"/>
          <w:sz w:val="24"/>
          <w:highlight w:val="none"/>
        </w:rPr>
        <w:t>7.4 已获取招标文件的潜在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，若有问题需要澄清，应于投标截止时间前，以书面形式向采购代理机构提出。</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w:t>
      </w:r>
    </w:p>
    <w:p w14:paraId="12ADFB99">
      <w:pPr>
        <w:shd w:val="clear"/>
        <w:spacing w:line="360" w:lineRule="auto"/>
        <w:jc w:val="center"/>
        <w:outlineLvl w:val="0"/>
        <w:rPr>
          <w:rFonts w:hint="eastAsia" w:cs="仿宋" w:asciiTheme="majorEastAsia" w:hAnsiTheme="majorEastAsia" w:eastAsiaTheme="majorEastAsia"/>
          <w:b/>
          <w:color w:val="auto"/>
          <w:sz w:val="28"/>
          <w:szCs w:val="20"/>
          <w:highlight w:val="none"/>
        </w:rPr>
      </w:pPr>
    </w:p>
    <w:p w14:paraId="0EEA9B1A">
      <w:pPr>
        <w:shd w:val="clear"/>
        <w:spacing w:line="360" w:lineRule="auto"/>
        <w:jc w:val="center"/>
        <w:outlineLvl w:val="0"/>
        <w:rPr>
          <w:rFonts w:hint="eastAsia"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三、投标</w:t>
      </w:r>
    </w:p>
    <w:p w14:paraId="0B703202">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投标文件的语言</w:t>
      </w:r>
    </w:p>
    <w:p w14:paraId="1EA27F77">
      <w:pPr>
        <w:shd w:val="clear"/>
        <w:autoSpaceDE w:val="0"/>
        <w:autoSpaceDN w:val="0"/>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投标文件及</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与采购有关的来往通知、函件和文件均应使用中文。</w:t>
      </w:r>
    </w:p>
    <w:p w14:paraId="5F82C6F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投标文件的组成</w:t>
      </w:r>
    </w:p>
    <w:p w14:paraId="036B7A0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9.1 </w:t>
      </w:r>
      <w:r>
        <w:rPr>
          <w:rFonts w:hint="eastAsia" w:cs="仿宋" w:asciiTheme="majorEastAsia" w:hAnsiTheme="majorEastAsia" w:eastAsiaTheme="majorEastAsia"/>
          <w:b/>
          <w:color w:val="auto"/>
          <w:sz w:val="24"/>
          <w:highlight w:val="none"/>
        </w:rPr>
        <w:t>资格文件</w:t>
      </w:r>
      <w:r>
        <w:rPr>
          <w:rFonts w:hint="eastAsia" w:cs="仿宋" w:asciiTheme="majorEastAsia" w:hAnsiTheme="majorEastAsia" w:eastAsiaTheme="majorEastAsia"/>
          <w:color w:val="auto"/>
          <w:sz w:val="24"/>
          <w:highlight w:val="none"/>
        </w:rPr>
        <w:t>：</w:t>
      </w:r>
    </w:p>
    <w:p w14:paraId="282A4B8C">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9.1.1有效的企业法人营业执照（或事业法人登记证）、其他组织（个体工商户）的营业执照或者民办非企业单位登记证书；</w:t>
      </w:r>
    </w:p>
    <w:p w14:paraId="06343AF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9.1.2符合参加政府采购活动应当具备的一般条件的承诺函(格式见第六部分)；</w:t>
      </w:r>
    </w:p>
    <w:p w14:paraId="1E529B5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9.1.3落实政府采购政策需满足的资格要求（如适用）；</w:t>
      </w:r>
    </w:p>
    <w:p w14:paraId="2BC8301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9.1.4本项目的特定资格要求（如有）。</w:t>
      </w:r>
    </w:p>
    <w:p w14:paraId="0E1F0D40">
      <w:pPr>
        <w:shd w:val="clear"/>
        <w:snapToGrid w:val="0"/>
        <w:spacing w:line="360" w:lineRule="auto"/>
        <w:ind w:firstLine="480" w:firstLineChars="200"/>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b/>
          <w:bCs/>
          <w:color w:val="auto"/>
          <w:sz w:val="24"/>
          <w:highlight w:val="none"/>
        </w:rPr>
        <w:t>商务技术</w:t>
      </w:r>
      <w:r>
        <w:rPr>
          <w:rFonts w:hint="eastAsia" w:cs="仿宋" w:asciiTheme="majorEastAsia" w:hAnsiTheme="majorEastAsia" w:eastAsiaTheme="majorEastAsia"/>
          <w:b/>
          <w:bCs/>
          <w:color w:val="auto"/>
          <w:sz w:val="24"/>
          <w:highlight w:val="none"/>
          <w:lang w:val="zh-CN"/>
        </w:rPr>
        <w:t>文件：</w:t>
      </w:r>
    </w:p>
    <w:p w14:paraId="07FCAF0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 评分索引表</w:t>
      </w:r>
    </w:p>
    <w:p w14:paraId="5836556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9.2.2 符合性自查表；</w:t>
      </w:r>
    </w:p>
    <w:p w14:paraId="7FCE775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9.2.3 投标函；</w:t>
      </w:r>
      <w:r>
        <w:rPr>
          <w:rFonts w:hint="eastAsia" w:cs="仿宋" w:asciiTheme="majorEastAsia" w:hAnsiTheme="majorEastAsia" w:eastAsiaTheme="majorEastAsia"/>
          <w:color w:val="auto"/>
          <w:sz w:val="24"/>
          <w:highlight w:val="none"/>
          <w:lang w:val="zh-CN"/>
        </w:rPr>
        <w:t xml:space="preserve"> </w:t>
      </w:r>
    </w:p>
    <w:p w14:paraId="62406F2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9.2.4 授权委托书或法定代表人（单位负责人、自然人本人）身份证明；</w:t>
      </w:r>
    </w:p>
    <w:p w14:paraId="4304AD0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9.2.5 投标人基本情况表；</w:t>
      </w:r>
    </w:p>
    <w:p w14:paraId="5599808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9.2.6 距采购人最近或者能为本项目提供最优服务的网点情况表；</w:t>
      </w:r>
    </w:p>
    <w:p w14:paraId="2597363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7 评标标准相应的商务技术资料；</w:t>
      </w:r>
    </w:p>
    <w:p w14:paraId="1E2C566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9.2.8 商务响应表；</w:t>
      </w:r>
    </w:p>
    <w:p w14:paraId="7D81132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9.2.9 服务响应表；</w:t>
      </w:r>
    </w:p>
    <w:p w14:paraId="28328A0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9.2.10项目实施人员一览表；</w:t>
      </w:r>
    </w:p>
    <w:p w14:paraId="4557066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9.2.11同类业绩情况一览表；</w:t>
      </w:r>
    </w:p>
    <w:p w14:paraId="199F2E7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9.2.12</w:t>
      </w:r>
      <w:r>
        <w:rPr>
          <w:rFonts w:hint="eastAsia" w:cs="仿宋" w:asciiTheme="majorEastAsia" w:hAnsiTheme="majorEastAsia" w:eastAsiaTheme="majorEastAsia"/>
          <w:color w:val="auto"/>
          <w:sz w:val="24"/>
          <w:highlight w:val="none"/>
          <w:lang w:val="zh-CN"/>
        </w:rPr>
        <w:t>政府采购供应商廉洁自律承诺书；</w:t>
      </w:r>
    </w:p>
    <w:p w14:paraId="5763ABA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9.2.13其他资料（如有）。</w:t>
      </w:r>
    </w:p>
    <w:p w14:paraId="409F6131">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kern w:val="0"/>
          <w:sz w:val="24"/>
          <w:highlight w:val="none"/>
        </w:rPr>
        <w:t>9</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rPr>
        <w:t xml:space="preserve">3 </w:t>
      </w:r>
      <w:r>
        <w:rPr>
          <w:rFonts w:hint="eastAsia" w:cs="仿宋" w:asciiTheme="majorEastAsia" w:hAnsiTheme="majorEastAsia" w:eastAsiaTheme="majorEastAsia"/>
          <w:b/>
          <w:color w:val="auto"/>
          <w:sz w:val="24"/>
          <w:highlight w:val="none"/>
        </w:rPr>
        <w:t>报价文件：</w:t>
      </w:r>
      <w:r>
        <w:rPr>
          <w:rFonts w:hint="eastAsia" w:cs="仿宋" w:asciiTheme="majorEastAsia" w:hAnsiTheme="majorEastAsia" w:eastAsiaTheme="majorEastAsia"/>
          <w:color w:val="auto"/>
          <w:sz w:val="24"/>
          <w:highlight w:val="none"/>
        </w:rPr>
        <w:t xml:space="preserve"> </w:t>
      </w:r>
    </w:p>
    <w:p w14:paraId="6511376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9.3.1 开标一览表；</w:t>
      </w:r>
    </w:p>
    <w:p w14:paraId="61E3B0C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9.3.2 投标报价明细表；</w:t>
      </w:r>
    </w:p>
    <w:p w14:paraId="14B7049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9.3.3 中小企业声明函（如有）；</w:t>
      </w:r>
    </w:p>
    <w:p w14:paraId="1D5FD38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9.3.4 残疾人福利性单位声明函（如有）；</w:t>
      </w:r>
    </w:p>
    <w:p w14:paraId="10D3D51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9.3.5 监狱企业的证明文件（如有）；</w:t>
      </w:r>
    </w:p>
    <w:p w14:paraId="164F327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9.3.6 政府采购统计基础信息表；</w:t>
      </w:r>
    </w:p>
    <w:p w14:paraId="142EE47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9.3.7其他资料（如有）。</w:t>
      </w:r>
    </w:p>
    <w:p w14:paraId="3CFCF203">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投标文件的编制</w:t>
      </w:r>
    </w:p>
    <w:p w14:paraId="66FA17FF">
      <w:pPr>
        <w:shd w:val="clear"/>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highlight w:val="none"/>
        </w:rPr>
        <w:t>未有规定格式的资料，</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应自行编制，但至少须包含9.投标文件组成中的内容。</w:t>
      </w:r>
      <w:r>
        <w:rPr>
          <w:rFonts w:hint="eastAsia" w:cs="仿宋" w:asciiTheme="majorEastAsia" w:hAnsiTheme="majorEastAsia" w:eastAsiaTheme="majorEastAsia"/>
          <w:color w:val="auto"/>
          <w:kern w:val="0"/>
          <w:sz w:val="24"/>
          <w:highlight w:val="none"/>
          <w:lang w:val="zh-CN"/>
        </w:rPr>
        <w:t>混乱的编排导致投标文件被误读或评标委员会查找不到有效文件是供应商的风险。</w:t>
      </w:r>
    </w:p>
    <w:p w14:paraId="29D153C3">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.2供应商进行电子投标应安装客户端软件—“乐采云电子交易客户端”，并按照招标文件和电子交易平台的要求编制并加密投标文件。供应商未按规定加密的投标文件，电子交易平台将拒收并提示。</w:t>
      </w:r>
    </w:p>
    <w:p w14:paraId="38F37077">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14:paraId="1C98E82F">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投标文件的签署、盖章</w:t>
      </w:r>
    </w:p>
    <w:p w14:paraId="187590A1">
      <w:pPr>
        <w:pStyle w:val="41"/>
        <w:shd w:val="clear"/>
        <w:snapToGrid w:val="0"/>
        <w:spacing w:before="0"/>
        <w:ind w:firstLine="480"/>
        <w:rPr>
          <w:rFonts w:cs="仿宋" w:asciiTheme="majorEastAsia" w:hAnsiTheme="majorEastAsia" w:eastAsiaTheme="majorEastAsia"/>
          <w:b/>
          <w:color w:val="auto"/>
          <w:highlight w:val="none"/>
        </w:rPr>
      </w:pPr>
      <w:r>
        <w:rPr>
          <w:rFonts w:hint="eastAsia" w:cs="仿宋" w:asciiTheme="majorEastAsia" w:hAnsiTheme="majorEastAsia" w:eastAsiaTheme="majorEastAsia"/>
          <w:color w:val="auto"/>
          <w:szCs w:val="24"/>
          <w:highlight w:val="none"/>
        </w:rPr>
        <w:t>11.1投标文件按照招标文件第六部分格式要</w:t>
      </w:r>
      <w:r>
        <w:rPr>
          <w:rFonts w:hint="eastAsia" w:cs="仿宋" w:asciiTheme="majorEastAsia" w:hAnsiTheme="majorEastAsia" w:eastAsiaTheme="majorEastAsia"/>
          <w:color w:val="auto"/>
          <w:highlight w:val="none"/>
        </w:rPr>
        <w:t>求进行签署、盖章。</w:t>
      </w:r>
      <w:r>
        <w:rPr>
          <w:rFonts w:hint="eastAsia" w:cs="仿宋" w:asciiTheme="majorEastAsia" w:hAnsiTheme="majorEastAsia" w:eastAsiaTheme="majorEastAsia"/>
          <w:b/>
          <w:color w:val="auto"/>
          <w:highlight w:val="none"/>
        </w:rPr>
        <w:t>▲供应商的投标文件未按照招标文件要求签署、盖章的，其投标无效</w:t>
      </w:r>
      <w:r>
        <w:rPr>
          <w:rFonts w:hint="eastAsia" w:cs="仿宋" w:asciiTheme="majorEastAsia" w:hAnsiTheme="majorEastAsia" w:eastAsiaTheme="majorEastAsia"/>
          <w:color w:val="auto"/>
          <w:szCs w:val="24"/>
          <w:highlight w:val="none"/>
        </w:rPr>
        <w:t>。</w:t>
      </w:r>
    </w:p>
    <w:p w14:paraId="7366E83F">
      <w:pPr>
        <w:pStyle w:val="41"/>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11.2为确保网上操作合法、有效和安全，</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应当在投标截止时间前完成在“</w:t>
      </w:r>
      <w:r>
        <w:rPr>
          <w:rFonts w:hint="eastAsia" w:cs="仿宋" w:asciiTheme="majorEastAsia" w:hAnsiTheme="majorEastAsia" w:eastAsiaTheme="majorEastAsia"/>
          <w:color w:val="auto"/>
          <w:highlight w:val="none"/>
          <w:lang w:eastAsia="zh-CN"/>
        </w:rPr>
        <w:t>乐采云平台</w:t>
      </w:r>
      <w:r>
        <w:rPr>
          <w:rFonts w:hint="eastAsia" w:cs="仿宋" w:asciiTheme="majorEastAsia" w:hAnsiTheme="majorEastAsia" w:eastAsiaTheme="majorEastAsia"/>
          <w:color w:val="auto"/>
          <w:highlight w:val="none"/>
        </w:rPr>
        <w:t>”的身份认证，确保在电子投标过程中能够对相关数据电文进行加密和使用电子签名。</w:t>
      </w:r>
    </w:p>
    <w:p w14:paraId="65E0B6CC">
      <w:pPr>
        <w:pStyle w:val="41"/>
        <w:shd w:val="clear"/>
        <w:snapToGrid w:val="0"/>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highlight w:val="none"/>
        </w:rPr>
        <w:t>11.3招标文件对投标文件签署、盖章的要求适用于电子签名。</w:t>
      </w:r>
    </w:p>
    <w:p w14:paraId="46C7B366">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投标文件的提交、补充、修改、撤回</w:t>
      </w:r>
    </w:p>
    <w:p w14:paraId="0E86BF7B">
      <w:pPr>
        <w:pStyle w:val="41"/>
        <w:shd w:val="clear"/>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5E903F">
      <w:pPr>
        <w:pStyle w:val="41"/>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4F0256D2">
      <w:pPr>
        <w:pStyle w:val="41"/>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szCs w:val="24"/>
          <w:highlight w:val="none"/>
        </w:rPr>
        <w:t>以前在投标截止期方面的全部权利、责任和义务，将适用于延长至新的投标截止期。</w:t>
      </w:r>
    </w:p>
    <w:p w14:paraId="595F6F6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投标有效期</w:t>
      </w:r>
    </w:p>
    <w:p w14:paraId="5FC40845">
      <w:pPr>
        <w:shd w:val="clear"/>
        <w:spacing w:line="360" w:lineRule="auto"/>
        <w:ind w:firstLine="480" w:firstLineChars="200"/>
        <w:rPr>
          <w:rFonts w:cs="仿宋" w:asciiTheme="majorEastAsia" w:hAnsiTheme="majorEastAsia" w:eastAsiaTheme="majorEastAsia"/>
          <w:b/>
          <w:color w:val="auto"/>
          <w:sz w:val="24"/>
          <w:szCs w:val="21"/>
          <w:highlight w:val="none"/>
        </w:rPr>
      </w:pPr>
      <w:r>
        <w:rPr>
          <w:rFonts w:hint="eastAsia" w:cs="仿宋" w:asciiTheme="majorEastAsia" w:hAnsiTheme="majorEastAsia" w:eastAsiaTheme="majorEastAsia"/>
          <w:color w:val="auto"/>
          <w:sz w:val="24"/>
          <w:szCs w:val="20"/>
          <w:highlight w:val="none"/>
        </w:rPr>
        <w:t>投标有效期为从提交投标文件的截止之日起90天。▲</w:t>
      </w:r>
      <w:r>
        <w:rPr>
          <w:rFonts w:hint="eastAsia" w:cs="仿宋" w:asciiTheme="majorEastAsia" w:hAnsiTheme="majorEastAsia" w:eastAsiaTheme="majorEastAsia"/>
          <w:b/>
          <w:color w:val="auto"/>
          <w:sz w:val="24"/>
          <w:szCs w:val="20"/>
          <w:highlight w:val="none"/>
        </w:rPr>
        <w:t>供应商的投标文件中承</w:t>
      </w:r>
      <w:r>
        <w:rPr>
          <w:rFonts w:hint="eastAsia" w:cs="仿宋" w:asciiTheme="majorEastAsia" w:hAnsiTheme="majorEastAsia" w:eastAsiaTheme="majorEastAsia"/>
          <w:b/>
          <w:color w:val="auto"/>
          <w:sz w:val="24"/>
          <w:szCs w:val="21"/>
          <w:highlight w:val="none"/>
        </w:rPr>
        <w:t>诺的投标有效期少于招标文件中载明的投标有效期的，投标无效。</w:t>
      </w:r>
    </w:p>
    <w:p w14:paraId="0241E1ED">
      <w:pPr>
        <w:pStyle w:val="41"/>
        <w:shd w:val="clear"/>
        <w:spacing w:before="0"/>
        <w:ind w:left="0" w:leftChars="0" w:firstLine="0" w:firstLineChars="0"/>
        <w:rPr>
          <w:rFonts w:cs="仿宋" w:asciiTheme="majorEastAsia" w:hAnsiTheme="majorEastAsia" w:eastAsiaTheme="majorEastAsia"/>
          <w:b/>
          <w:color w:val="auto"/>
          <w:sz w:val="32"/>
          <w:highlight w:val="none"/>
        </w:rPr>
      </w:pPr>
    </w:p>
    <w:p w14:paraId="57C05C09">
      <w:pPr>
        <w:pStyle w:val="41"/>
        <w:shd w:val="clear"/>
        <w:spacing w:before="0"/>
        <w:ind w:firstLine="1928" w:firstLineChars="600"/>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四、开标、资格审查与信用信息查询</w:t>
      </w:r>
    </w:p>
    <w:p w14:paraId="0F67FEE3">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开标 </w:t>
      </w:r>
    </w:p>
    <w:p w14:paraId="0973C583">
      <w:pPr>
        <w:pStyle w:val="36"/>
        <w:shd w:val="clear"/>
        <w:spacing w:before="0" w:line="360" w:lineRule="auto"/>
        <w:ind w:left="0" w:firstLine="480" w:firstLineChars="2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14.1采购代理机构按照招标文件规定的时间通过电子交易平台组织开标，所有</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均应当准时在线参加。</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不足3家的，不得开标。</w:t>
      </w:r>
    </w:p>
    <w:p w14:paraId="2AD411D5">
      <w:pPr>
        <w:pStyle w:val="36"/>
        <w:shd w:val="clear"/>
        <w:spacing w:before="0" w:line="360" w:lineRule="auto"/>
        <w:ind w:left="0" w:firstLine="240" w:firstLineChars="1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w:t>
      </w:r>
    </w:p>
    <w:p w14:paraId="36E8DD5C">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资格审查</w:t>
      </w:r>
    </w:p>
    <w:p w14:paraId="3835F6C7">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15.1开标后，采购人或采购代理机构依据法律法规和招标文件的规定，对供应商的资格条件进行审查。</w:t>
      </w:r>
    </w:p>
    <w:p w14:paraId="6E6CB73B">
      <w:pPr>
        <w:pStyle w:val="41"/>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2对未通过资格审查的供应商，采购人或采购代理机构告知其未通过的原因。</w:t>
      </w:r>
    </w:p>
    <w:p w14:paraId="7C5D2F09">
      <w:pPr>
        <w:pStyle w:val="41"/>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3合格供应商不足3家的，不再评标。</w:t>
      </w:r>
    </w:p>
    <w:p w14:paraId="73F86FF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信用信息查询</w:t>
      </w:r>
    </w:p>
    <w:p w14:paraId="33ED4FA9">
      <w:pPr>
        <w:pStyle w:val="41"/>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14:paraId="0888E908">
      <w:pPr>
        <w:pStyle w:val="41"/>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将被拒绝参与政府采购活动。</w:t>
      </w:r>
    </w:p>
    <w:p w14:paraId="78E72E40">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highlight w:val="none"/>
        </w:rPr>
        <w:t>。</w:t>
      </w:r>
    </w:p>
    <w:p w14:paraId="23763F75">
      <w:pPr>
        <w:shd w:val="clear"/>
        <w:snapToGrid w:val="0"/>
        <w:spacing w:line="360" w:lineRule="auto"/>
        <w:jc w:val="center"/>
        <w:outlineLvl w:val="0"/>
        <w:rPr>
          <w:rFonts w:hint="eastAsia" w:cs="仿宋" w:asciiTheme="majorEastAsia" w:hAnsiTheme="majorEastAsia" w:eastAsiaTheme="majorEastAsia"/>
          <w:b/>
          <w:color w:val="auto"/>
          <w:sz w:val="36"/>
          <w:szCs w:val="36"/>
          <w:highlight w:val="none"/>
        </w:rPr>
      </w:pPr>
    </w:p>
    <w:p w14:paraId="28CF6FB8">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五、评标</w:t>
      </w:r>
    </w:p>
    <w:p w14:paraId="225E9175">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bookmarkStart w:id="13" w:name="_Toc91899903"/>
      <w:r>
        <w:rPr>
          <w:rFonts w:hint="eastAsia" w:cs="仿宋" w:asciiTheme="majorEastAsia" w:hAnsiTheme="majorEastAsia" w:eastAsiaTheme="majorEastAsia"/>
          <w:b/>
          <w:color w:val="auto"/>
          <w:sz w:val="24"/>
          <w:highlight w:val="none"/>
        </w:rPr>
        <w:t>评标委员会</w:t>
      </w:r>
    </w:p>
    <w:p w14:paraId="4F555A7A">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17.1 本次招标依法组建评标委员会。评标委员会由采购人代表和评审专家组成，评审专家从专家库随机抽取。</w:t>
      </w:r>
    </w:p>
    <w:p w14:paraId="7AF9EE52">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011F4417">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 评审专家有下列情形之一的，受到邀请应主动提出回避，采购当事人也可以要求该评审专家回避：</w:t>
      </w:r>
    </w:p>
    <w:p w14:paraId="72AFA768">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17.3.1 参加采购活动前3年内与供应商存在劳动关系；</w:t>
      </w:r>
    </w:p>
    <w:p w14:paraId="4C9C1FA8">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17.3.2 参加采购活动前3年内担任供应商的董事、监事；</w:t>
      </w:r>
    </w:p>
    <w:p w14:paraId="73213B6A">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17.3.3 参加采购活动前3年内是供应商的控股股东或实际控制人；</w:t>
      </w:r>
    </w:p>
    <w:p w14:paraId="2564A7A4">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17.3.4 与供应商的法定代表人或者负责人有夫妻、直系血亲、三代以内旁系血亲或者近姻亲关系；</w:t>
      </w:r>
    </w:p>
    <w:p w14:paraId="527C16E2">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17.3.5 与供应商有其他可能影响政府采购活动公平、公正进行的关系。</w:t>
      </w:r>
    </w:p>
    <w:p w14:paraId="12368D43">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17.3.6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6FE4363">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17.4 评标委员会判断投标文件的有效性、合格性和响应情况，仅依据投标人所递交一切文件的真实表述，不受与本项目无直接关联的外部信息、传言而影响自身的专业判断。</w:t>
      </w:r>
    </w:p>
    <w:p w14:paraId="6CEC05A5">
      <w:pPr>
        <w:pStyle w:val="41"/>
        <w:shd w:val="clear"/>
        <w:spacing w:before="0"/>
        <w:ind w:firstLine="480"/>
        <w:rPr>
          <w:rFonts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42B014BB">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评标</w:t>
      </w:r>
    </w:p>
    <w:p w14:paraId="5EA1AB35">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对招标文件的响应情况。对实质上响应招标文件的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，按照评审因素的量化指标推荐综合得分排名第一的为中标候选人。</w:t>
      </w:r>
    </w:p>
    <w:p w14:paraId="1812281D">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为排名第一的中标候选人。</w:t>
      </w:r>
    </w:p>
    <w:p w14:paraId="47628C4A">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详见招标文件第四部分评标办法。</w:t>
      </w:r>
    </w:p>
    <w:p w14:paraId="0FE1D518">
      <w:pPr>
        <w:shd w:val="clear"/>
        <w:spacing w:line="360" w:lineRule="auto"/>
        <w:rPr>
          <w:rFonts w:cs="仿宋" w:asciiTheme="majorEastAsia" w:hAnsiTheme="majorEastAsia" w:eastAsiaTheme="majorEastAsia"/>
          <w:b/>
          <w:color w:val="auto"/>
          <w:sz w:val="24"/>
          <w:highlight w:val="none"/>
        </w:rPr>
      </w:pPr>
    </w:p>
    <w:p w14:paraId="7FAE15F1">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六、定 标</w:t>
      </w:r>
    </w:p>
    <w:p w14:paraId="54FB4693">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确定中标供应商</w:t>
      </w:r>
    </w:p>
    <w:p w14:paraId="54F43641">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本项目由评标委员会推荐一个中标候选人，采购人不得在评标委员会推荐的中标候选人以外确定中标候选人。</w:t>
      </w:r>
    </w:p>
    <w:p w14:paraId="33E4D512">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中标通知与中标结果公告</w:t>
      </w:r>
    </w:p>
    <w:p w14:paraId="7E2F2D9E">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54750F28">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0A90BDA0">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20.3公告期限为1个工作日。</w:t>
      </w:r>
    </w:p>
    <w:p w14:paraId="2A209CA9">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p>
    <w:p w14:paraId="2E95C59F">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七、合同授予</w:t>
      </w:r>
    </w:p>
    <w:p w14:paraId="539E629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合同授予</w:t>
      </w:r>
    </w:p>
    <w:p w14:paraId="6473CA0E">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合同主要条款详见第五部分拟签订的合同文本。</w:t>
      </w:r>
    </w:p>
    <w:p w14:paraId="3B5E8041">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合同的签订</w:t>
      </w:r>
    </w:p>
    <w:p w14:paraId="22EC3606">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22.1 采购人与中标供应商应当通过电子交易平台在中标通知书发出之日起三十日内，按照招标文件及中标供应商的投标文件确定的事项签订采购合同，并在合同签订之日起2个工作日内依法发布合同公告。</w:t>
      </w:r>
    </w:p>
    <w:p w14:paraId="657571FE">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lang w:val="zh-CN"/>
        </w:rPr>
        <w:t>2</w:t>
      </w:r>
      <w:r>
        <w:rPr>
          <w:rFonts w:hint="eastAsia" w:cs="仿宋" w:asciiTheme="majorEastAsia" w:hAnsiTheme="majorEastAsia" w:eastAsiaTheme="majorEastAsia"/>
          <w:color w:val="auto"/>
          <w:kern w:val="0"/>
          <w:szCs w:val="24"/>
          <w:highlight w:val="none"/>
        </w:rPr>
        <w:t>2</w:t>
      </w:r>
      <w:r>
        <w:rPr>
          <w:rFonts w:hint="eastAsia" w:cs="仿宋" w:asciiTheme="majorEastAsia" w:hAnsiTheme="majorEastAsia" w:eastAsiaTheme="majorEastAsia"/>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34908FAF">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22.3如签订合同并生效后，供应商无故拒绝或延期，除按照合同条款处理外，列入不良行为记录名单，并给予通报。</w:t>
      </w:r>
    </w:p>
    <w:p w14:paraId="60AEE681">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22.4中标供应商拒绝与采购人签订合同的，列入不良行为记录名单，采购人、采购代理机构重新开展采购活动。</w:t>
      </w:r>
    </w:p>
    <w:p w14:paraId="6CA4AEDE">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履约保证金</w:t>
      </w:r>
    </w:p>
    <w:p w14:paraId="6D9565A8">
      <w:pPr>
        <w:pStyle w:val="26"/>
        <w:shd w:val="clear"/>
        <w:tabs>
          <w:tab w:val="left" w:pos="0"/>
        </w:tabs>
        <w:spacing w:line="360" w:lineRule="auto"/>
        <w:ind w:left="0" w:leftChars="0" w:firstLine="398" w:firstLineChars="166"/>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rPr>
        <w:t>拟签订的合同文本要求中标供应商提交履约保证金的，供应商应当以支票、汇票、本票或者银行、保险公司出具的保函等非现金形式提交</w:t>
      </w:r>
      <w:r>
        <w:rPr>
          <w:rFonts w:hint="eastAsia" w:cs="仿宋" w:asciiTheme="majorEastAsia" w:hAnsiTheme="majorEastAsia" w:eastAsiaTheme="majorEastAsia"/>
          <w:color w:val="auto"/>
          <w:sz w:val="24"/>
          <w:highlight w:val="none"/>
        </w:rPr>
        <w:t>。履约保证金的数额不得超过采购合同金额的</w:t>
      </w:r>
      <w:r>
        <w:rPr>
          <w:rFonts w:hint="eastAsia" w:cs="仿宋" w:asciiTheme="majorEastAsia" w:hAnsiTheme="majorEastAsia" w:eastAsiaTheme="majorEastAsia"/>
          <w:color w:val="auto"/>
          <w:sz w:val="24"/>
          <w:highlight w:val="none"/>
          <w:lang w:val="en-US" w:eastAsia="zh-CN"/>
        </w:rPr>
        <w:t>2.5</w:t>
      </w:r>
      <w:r>
        <w:rPr>
          <w:rFonts w:hint="eastAsia" w:cs="仿宋" w:asciiTheme="majorEastAsia" w:hAnsiTheme="majorEastAsia" w:eastAsiaTheme="majorEastAsia"/>
          <w:color w:val="auto"/>
          <w:sz w:val="24"/>
          <w:highlight w:val="none"/>
        </w:rPr>
        <w:t>%。鼓励和支持供应商以银行、保险公司出具的保函形式提供履约保证金。</w:t>
      </w:r>
      <w:r>
        <w:rPr>
          <w:rFonts w:hint="eastAsia" w:cs="仿宋" w:asciiTheme="majorEastAsia" w:hAnsiTheme="majorEastAsia" w:eastAsiaTheme="majorEastAsia"/>
          <w:b/>
          <w:color w:val="auto"/>
          <w:sz w:val="24"/>
          <w:highlight w:val="none"/>
        </w:rPr>
        <w:t>采购人不得拒收履约保函。</w:t>
      </w:r>
    </w:p>
    <w:p w14:paraId="3BD8A3D2">
      <w:pPr>
        <w:shd w:val="clear"/>
        <w:snapToGrid w:val="0"/>
        <w:spacing w:line="360" w:lineRule="auto"/>
        <w:ind w:firstLine="3357" w:firstLineChars="1045"/>
        <w:rPr>
          <w:rFonts w:cs="仿宋" w:asciiTheme="majorEastAsia" w:hAnsiTheme="majorEastAsia" w:eastAsiaTheme="majorEastAsia"/>
          <w:b/>
          <w:color w:val="auto"/>
          <w:sz w:val="32"/>
          <w:highlight w:val="none"/>
        </w:rPr>
      </w:pPr>
    </w:p>
    <w:p w14:paraId="547021C2">
      <w:pPr>
        <w:shd w:val="clear"/>
        <w:snapToGrid w:val="0"/>
        <w:spacing w:line="360" w:lineRule="auto"/>
        <w:ind w:firstLine="3357" w:firstLineChars="1045"/>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32"/>
          <w:highlight w:val="none"/>
        </w:rPr>
        <w:t>八、电子交易活动的中止</w:t>
      </w:r>
    </w:p>
    <w:p w14:paraId="57DC0E4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电子交易活动的中止</w:t>
      </w:r>
    </w:p>
    <w:p w14:paraId="23EA563F">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7AED783F">
      <w:pPr>
        <w:pStyle w:val="41"/>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24.1电子交易平台发生故障而无法登录访问的； </w:t>
      </w:r>
    </w:p>
    <w:p w14:paraId="577CF53D">
      <w:pPr>
        <w:pStyle w:val="41"/>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24.2电子交易平台应用或数据库出现错误，不能进行正常操作的；</w:t>
      </w:r>
    </w:p>
    <w:p w14:paraId="0B28ED75">
      <w:pPr>
        <w:pStyle w:val="41"/>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24.3电子交易平台发现严重安全漏洞，有潜在泄密危险的；</w:t>
      </w:r>
    </w:p>
    <w:p w14:paraId="0C2B63AC">
      <w:pPr>
        <w:pStyle w:val="41"/>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24.4病毒发作导致不能进行正常操作的； </w:t>
      </w:r>
    </w:p>
    <w:p w14:paraId="2758E9EE">
      <w:pPr>
        <w:pStyle w:val="41"/>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24.5其他无法保证电子交易的公平、公正和安全的情况。</w:t>
      </w:r>
    </w:p>
    <w:p w14:paraId="60FD849A">
      <w:pPr>
        <w:shd w:val="clear"/>
        <w:tabs>
          <w:tab w:val="left" w:pos="0"/>
        </w:tabs>
        <w:spacing w:line="360" w:lineRule="auto"/>
        <w:ind w:firstLine="480"/>
        <w:rPr>
          <w:rFonts w:cs="仿宋" w:asciiTheme="majorEastAsia" w:hAnsiTheme="majorEastAsia" w:eastAsiaTheme="majorEastAsia"/>
          <w:color w:val="auto"/>
          <w:sz w:val="24"/>
          <w:highlight w:val="none"/>
        </w:rPr>
      </w:pPr>
    </w:p>
    <w:p w14:paraId="1E290981">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九、验收</w:t>
      </w:r>
    </w:p>
    <w:p w14:paraId="1A6B273F">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验收</w:t>
      </w:r>
    </w:p>
    <w:p w14:paraId="229C0D35">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8E6C81">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25.2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7B5B55">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11"/>
      <w:bookmarkEnd w:id="12"/>
      <w:bookmarkEnd w:id="13"/>
      <w:bookmarkStart w:id="14" w:name="_Hlt75236011"/>
      <w:bookmarkEnd w:id="14"/>
      <w:bookmarkStart w:id="15" w:name="_Hlt75236290"/>
      <w:bookmarkEnd w:id="15"/>
      <w:bookmarkStart w:id="16" w:name="_Hlt68072990"/>
      <w:bookmarkEnd w:id="16"/>
      <w:bookmarkStart w:id="17" w:name="_Hlt68073093"/>
      <w:bookmarkEnd w:id="17"/>
      <w:bookmarkStart w:id="18" w:name="_Hlt68057669"/>
      <w:bookmarkEnd w:id="18"/>
      <w:bookmarkStart w:id="19" w:name="_Hlt74707468"/>
      <w:bookmarkEnd w:id="19"/>
      <w:bookmarkStart w:id="20" w:name="_Hlt68072998"/>
      <w:bookmarkEnd w:id="20"/>
      <w:bookmarkStart w:id="21" w:name="_Hlt74714665"/>
      <w:bookmarkEnd w:id="21"/>
      <w:bookmarkStart w:id="22" w:name="_Hlt74730295"/>
      <w:bookmarkEnd w:id="22"/>
      <w:bookmarkStart w:id="23" w:name="_Hlt68403820"/>
      <w:bookmarkEnd w:id="23"/>
      <w:bookmarkStart w:id="24" w:name="_Hlt75236101"/>
      <w:bookmarkEnd w:id="24"/>
      <w:bookmarkStart w:id="25" w:name="_Hlt74729768"/>
      <w:bookmarkEnd w:id="25"/>
      <w:bookmarkStart w:id="26" w:name="第四部分"/>
    </w:p>
    <w:p w14:paraId="5598B4B9">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br w:type="page"/>
      </w:r>
    </w:p>
    <w:p w14:paraId="4F87EB78">
      <w:pPr>
        <w:shd w:val="clear"/>
        <w:tabs>
          <w:tab w:val="left" w:pos="0"/>
        </w:tabs>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第三部分   采购需求</w:t>
      </w:r>
    </w:p>
    <w:p w14:paraId="6DD267A0">
      <w:pPr>
        <w:keepNext w:val="0"/>
        <w:keepLines w:val="0"/>
        <w:pageBreakBefore w:val="0"/>
        <w:widowControl w:val="0"/>
        <w:kinsoku/>
        <w:wordWrap/>
        <w:overflowPunct/>
        <w:topLinePunct w:val="0"/>
        <w:autoSpaceDE/>
        <w:autoSpaceDN/>
        <w:bidi w:val="0"/>
        <w:adjustRightInd/>
        <w:spacing w:line="360" w:lineRule="auto"/>
        <w:ind w:left="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一、项目概况</w:t>
      </w:r>
    </w:p>
    <w:p w14:paraId="104C1285">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奉化区溪口镇经济薄弱村孵化器项目（一期）物业采购</w:t>
      </w:r>
      <w:r>
        <w:rPr>
          <w:rFonts w:hint="eastAsia" w:ascii="宋体" w:hAnsi="宋体" w:cs="宋体"/>
          <w:sz w:val="24"/>
          <w:szCs w:val="24"/>
          <w:highlight w:val="none"/>
          <w:lang w:val="en-US" w:eastAsia="zh-CN"/>
        </w:rPr>
        <w:t>。</w:t>
      </w:r>
    </w:p>
    <w:p w14:paraId="16D55688">
      <w:pPr>
        <w:keepNext w:val="0"/>
        <w:keepLines w:val="0"/>
        <w:pageBreakBefore w:val="0"/>
        <w:widowControl w:val="0"/>
        <w:kinsoku/>
        <w:wordWrap/>
        <w:overflowPunct/>
        <w:topLinePunct w:val="0"/>
        <w:autoSpaceDE/>
        <w:autoSpaceDN/>
        <w:bidi w:val="0"/>
        <w:adjustRightInd/>
        <w:spacing w:line="360" w:lineRule="auto"/>
        <w:ind w:left="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二、服务内容</w:t>
      </w:r>
    </w:p>
    <w:p w14:paraId="6486ABE7">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物业管理、</w:t>
      </w:r>
      <w:r>
        <w:rPr>
          <w:rFonts w:hint="eastAsia" w:ascii="宋体" w:hAnsi="宋体" w:eastAsia="宋体" w:cs="宋体"/>
          <w:sz w:val="24"/>
          <w:szCs w:val="24"/>
          <w:highlight w:val="none"/>
        </w:rPr>
        <w:t>保安服务、卫生保洁服务、</w:t>
      </w:r>
      <w:r>
        <w:rPr>
          <w:rFonts w:hint="eastAsia" w:ascii="宋体" w:hAnsi="宋体" w:cs="宋体"/>
          <w:sz w:val="24"/>
          <w:szCs w:val="24"/>
          <w:highlight w:val="none"/>
          <w:lang w:val="en-US" w:eastAsia="zh-CN"/>
        </w:rPr>
        <w:t>秩序维护、设</w:t>
      </w:r>
      <w:r>
        <w:rPr>
          <w:rFonts w:hint="eastAsia" w:ascii="宋体" w:hAnsi="宋体" w:eastAsia="宋体" w:cs="宋体"/>
          <w:sz w:val="24"/>
          <w:szCs w:val="24"/>
          <w:highlight w:val="none"/>
        </w:rPr>
        <w:t>备日常维修服务、绿化养护等。</w:t>
      </w:r>
    </w:p>
    <w:p w14:paraId="61670362">
      <w:pPr>
        <w:keepNext w:val="0"/>
        <w:keepLines w:val="0"/>
        <w:pageBreakBefore w:val="0"/>
        <w:widowControl w:val="0"/>
        <w:kinsoku/>
        <w:wordWrap/>
        <w:overflowPunct/>
        <w:topLinePunct w:val="0"/>
        <w:autoSpaceDE/>
        <w:autoSpaceDN/>
        <w:bidi w:val="0"/>
        <w:adjustRightInd/>
        <w:spacing w:line="360" w:lineRule="auto"/>
        <w:ind w:left="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三、管理内容、人员配置及服务要求：本项目人员配置不少于8人（人员数量配置为最基本配置，投标人可根据项目实际情况适当增加）</w:t>
      </w:r>
    </w:p>
    <w:p w14:paraId="49C058E4">
      <w:pPr>
        <w:keepNext w:val="0"/>
        <w:keepLines w:val="0"/>
        <w:pageBreakBefore w:val="0"/>
        <w:widowControl w:val="0"/>
        <w:kinsoku/>
        <w:wordWrap/>
        <w:overflowPunct/>
        <w:topLinePunct w:val="0"/>
        <w:autoSpaceDE/>
        <w:autoSpaceDN/>
        <w:bidi w:val="0"/>
        <w:adjustRightInd/>
        <w:spacing w:line="360" w:lineRule="auto"/>
        <w:ind w:left="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物业经理1名</w:t>
      </w:r>
      <w:r>
        <w:rPr>
          <w:rFonts w:hint="eastAsia" w:ascii="宋体" w:hAnsi="宋体" w:eastAsia="宋体" w:cs="宋体"/>
          <w:b/>
          <w:sz w:val="24"/>
          <w:szCs w:val="24"/>
          <w:highlight w:val="none"/>
        </w:rPr>
        <w:t>：</w:t>
      </w:r>
    </w:p>
    <w:p w14:paraId="7EC8481A">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（1）大专及以上学历，年龄45周岁以下，从事类似物业项目的管理工作岗位3年及以上工作经验。有较强事业心与责任感，具备较高的业务水准，较强的组织协调与管理能力。</w:t>
      </w:r>
    </w:p>
    <w:p w14:paraId="43DA8A5E">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（2）根据服务单位要求，负责所属物业员工日常工作安排和管理事务，同时负责整个项目协调管理工作、与业主的沟通等，定期向业主主管部门汇报物业相关工作。</w:t>
      </w:r>
    </w:p>
    <w:p w14:paraId="495D11F4">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（3）遇有业主单位重要客人和各类创建、检查活动，管理人员第一时间落实相关人员准时到岗，合理安排相关物业人员到岗或请求公司增援，不得影响业主单位确定的目标任务。</w:t>
      </w:r>
    </w:p>
    <w:p w14:paraId="766D5A57">
      <w:pPr>
        <w:keepNext w:val="0"/>
        <w:keepLines w:val="0"/>
        <w:pageBreakBefore w:val="0"/>
        <w:widowControl w:val="0"/>
        <w:kinsoku/>
        <w:wordWrap/>
        <w:overflowPunct/>
        <w:topLinePunct w:val="0"/>
        <w:autoSpaceDE/>
        <w:autoSpaceDN/>
        <w:bidi w:val="0"/>
        <w:adjustRightInd/>
        <w:spacing w:line="360" w:lineRule="auto"/>
        <w:ind w:left="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2、保洁人员</w:t>
      </w:r>
      <w:r>
        <w:rPr>
          <w:rFonts w:hint="eastAsia" w:ascii="宋体" w:hAnsi="宋体" w:cs="宋体"/>
          <w:b/>
          <w:sz w:val="24"/>
          <w:szCs w:val="24"/>
          <w:highlight w:val="none"/>
          <w:lang w:val="en-US" w:eastAsia="zh-CN"/>
        </w:rPr>
        <w:t>1</w:t>
      </w:r>
      <w:r>
        <w:rPr>
          <w:rFonts w:hint="eastAsia" w:ascii="宋体" w:hAnsi="宋体" w:eastAsia="宋体" w:cs="宋体"/>
          <w:b/>
          <w:sz w:val="24"/>
          <w:szCs w:val="24"/>
          <w:highlight w:val="none"/>
        </w:rPr>
        <w:t xml:space="preserve">名 </w:t>
      </w:r>
    </w:p>
    <w:p w14:paraId="7B193845">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1）服务范围：负责园区内公共路面、两个公共卫生间保洁工作及绿化带内白色垃圾清理。</w:t>
      </w:r>
    </w:p>
    <w:p w14:paraId="480DDE13">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2）素质要求：年龄在60周岁以下，身体健康，服务态度好，工作责任心强，无不良嗜好。</w:t>
      </w:r>
    </w:p>
    <w:p w14:paraId="1197D4A9">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3）岗位要求：</w:t>
      </w:r>
    </w:p>
    <w:p w14:paraId="10EF51B2">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A、保洁人员要求实行8小时工作制，按规定时间上岗，按规定程序保洁；统一着装、文明清扫。</w:t>
      </w:r>
    </w:p>
    <w:p w14:paraId="009BF9D2">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B、负责管理区域内所有部位的环境卫生整洁干净。道路两边杂草、垃圾清理干净，路面、停车场等无烟蒂纸屑、果壳、塑料袋等生活垃圾；厕所内无异味，卫生洁具无污渍异物。</w:t>
      </w:r>
    </w:p>
    <w:p w14:paraId="7FE3B3FE">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C</w:t>
      </w:r>
      <w:r>
        <w:rPr>
          <w:rFonts w:hint="eastAsia" w:ascii="宋体" w:hAnsi="宋体" w:eastAsia="宋体" w:cs="宋体"/>
          <w:sz w:val="24"/>
          <w:szCs w:val="24"/>
          <w:highlight w:val="none"/>
        </w:rPr>
        <w:t>、道路清扫后要求达到花坛周围净、隔离带周围净，无零星垃圾，侧石无积泥积灰，遇雨天，侧石边应无积水。路面不得有明显不洁或漏扫垃圾；</w:t>
      </w:r>
    </w:p>
    <w:p w14:paraId="45C81AB6">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D、道路确保做到无垃圾、无卫生死角；路面确保做到无堆积物、无垃圾；</w:t>
      </w:r>
    </w:p>
    <w:p w14:paraId="20119F9D">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E、清扫作业时，不得将垃圾扫入或倒入绿化带等，需进行集中科学处置。</w:t>
      </w:r>
    </w:p>
    <w:p w14:paraId="04A69A50">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F、定期定点清理垃圾，不得乱倒垃圾，不得擅自处理可回收垃圾废品，遵守业主单位规定的各项规章制度，注意保密。</w:t>
      </w:r>
    </w:p>
    <w:p w14:paraId="4A457D8F">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G、如有重大活动及特殊情况，需按业主单位要求无条件做好现场保洁工作。</w:t>
      </w:r>
    </w:p>
    <w:p w14:paraId="144C05AD">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（3）垃圾清运</w:t>
      </w:r>
    </w:p>
    <w:p w14:paraId="077774CD">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做好垃圾分类监</w:t>
      </w:r>
      <w:r>
        <w:rPr>
          <w:rFonts w:hint="eastAsia" w:ascii="宋体" w:hAnsi="宋体" w:eastAsia="宋体" w:cs="宋体"/>
          <w:color w:val="auto"/>
          <w:sz w:val="24"/>
          <w:szCs w:val="24"/>
          <w:highlight w:val="none"/>
        </w:rPr>
        <w:t>督工作，做好区域范围内垃圾桶的每日清运，以</w:t>
      </w:r>
      <w:r>
        <w:rPr>
          <w:rFonts w:hint="eastAsia" w:ascii="宋体" w:hAnsi="宋体" w:eastAsia="宋体" w:cs="宋体"/>
          <w:sz w:val="24"/>
          <w:szCs w:val="24"/>
          <w:highlight w:val="none"/>
        </w:rPr>
        <w:t>桶换桶、日产日清，保持桶体及平台周边干净整洁。</w:t>
      </w:r>
    </w:p>
    <w:p w14:paraId="199FCBB1">
      <w:pPr>
        <w:keepNext w:val="0"/>
        <w:keepLines w:val="0"/>
        <w:pageBreakBefore w:val="0"/>
        <w:widowControl w:val="0"/>
        <w:kinsoku/>
        <w:wordWrap/>
        <w:overflowPunct/>
        <w:topLinePunct w:val="0"/>
        <w:autoSpaceDE/>
        <w:autoSpaceDN/>
        <w:bidi w:val="0"/>
        <w:adjustRightInd/>
        <w:spacing w:line="360" w:lineRule="auto"/>
        <w:ind w:left="0"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3、</w:t>
      </w:r>
      <w:r>
        <w:rPr>
          <w:rFonts w:hint="eastAsia" w:ascii="宋体" w:hAnsi="宋体" w:cs="宋体"/>
          <w:b/>
          <w:sz w:val="24"/>
          <w:szCs w:val="24"/>
          <w:highlight w:val="none"/>
          <w:lang w:val="en-US" w:eastAsia="zh-CN"/>
        </w:rPr>
        <w:t>秩序维护员5</w:t>
      </w:r>
      <w:r>
        <w:rPr>
          <w:rFonts w:hint="eastAsia" w:ascii="宋体" w:hAnsi="宋体" w:eastAsia="宋体" w:cs="宋体"/>
          <w:b/>
          <w:sz w:val="24"/>
          <w:szCs w:val="24"/>
          <w:highlight w:val="none"/>
        </w:rPr>
        <w:t>名：巡逻岗1名，门岗4名（其中3名兼消监控）</w:t>
      </w:r>
    </w:p>
    <w:p w14:paraId="602C4369">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（1）服务范围：承担区域范围内的日常安保服务</w:t>
      </w:r>
    </w:p>
    <w:p w14:paraId="0E248B71">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（2）素质要求：保安人员以本地人优先，男性，身高在1.65米以上，年龄在50周岁左右（身体健康形象好年龄可适当放宽至60周岁以内）。要求身体健康，工作责任心强；具有较强的组织、沟通、协调能力。</w:t>
      </w:r>
    </w:p>
    <w:p w14:paraId="0A706C1E">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（3）岗位要求：</w:t>
      </w:r>
    </w:p>
    <w:p w14:paraId="2ED75BEF">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1）保安：</w:t>
      </w:r>
    </w:p>
    <w:p w14:paraId="5A84FF32">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A、遵守国家法律法规，服从用户单位、公司的规章制度，统一着装，服务规范，遵守镇政府规定各项制度或保密工作。</w:t>
      </w:r>
    </w:p>
    <w:p w14:paraId="4385B727">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B、工作期间举止文明大方、得体、有精气神，不留长发、胡须、指甲等，文明、规范作业。</w:t>
      </w:r>
    </w:p>
    <w:p w14:paraId="604F207B">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C、工作期间待人文明礼貌、说话和气、谦虚礼让，服务态度不得粗暴、恶劣、故意不理睬等不文明行为。</w:t>
      </w:r>
    </w:p>
    <w:p w14:paraId="5D375018">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D、执勤时高度警惕、留意四周发生的任何事情，发现安全隐患及违章搭建等事情及时处理或上报。</w:t>
      </w:r>
    </w:p>
    <w:p w14:paraId="09C2B798">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E、负责园区秩序和安全巡查。</w:t>
      </w:r>
    </w:p>
    <w:p w14:paraId="3D67D834">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F、负责园区机动车停车场和非机动车停车点的安全与巡逻管理。</w:t>
      </w:r>
    </w:p>
    <w:p w14:paraId="763EBEEC">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H、阻止和劝导管辖区域内员工之间的纠纷。</w:t>
      </w:r>
    </w:p>
    <w:p w14:paraId="2B2B180A">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2）消（监）控室职责要求</w:t>
      </w:r>
      <w:r>
        <w:rPr>
          <w:rFonts w:hint="eastAsia" w:ascii="宋体" w:hAnsi="宋体" w:cs="宋体"/>
          <w:sz w:val="24"/>
          <w:szCs w:val="24"/>
          <w:highlight w:val="none"/>
          <w:lang w:eastAsia="zh-CN"/>
        </w:rPr>
        <w:t>：</w:t>
      </w:r>
    </w:p>
    <w:p w14:paraId="621BB133">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A、每天做好交接班记录，将发生的异常情况在值班记录上做好记录，需要报告的及时向主管领导报告；</w:t>
      </w:r>
    </w:p>
    <w:p w14:paraId="715E09E1">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B、消控室人员必须做到持证上岗，一岗一人，便于处理应急事务；</w:t>
      </w:r>
    </w:p>
    <w:p w14:paraId="44124945">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C、发生消防报警及时处置，并报告值班领导；</w:t>
      </w:r>
    </w:p>
    <w:p w14:paraId="4A5DFE52">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D、监控发现异常情况通知值班秩序维护队长和巡逻人员进行处置，并做好相应记录；</w:t>
      </w:r>
    </w:p>
    <w:p w14:paraId="51F8C8C7">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E、上班严格遵守监控（消控）室规章制度，遵守保密守则。保持良好的精神状态和工作责任心，确保技防设备运行正常。</w:t>
      </w:r>
    </w:p>
    <w:p w14:paraId="4338DAAC">
      <w:pPr>
        <w:keepNext w:val="0"/>
        <w:keepLines w:val="0"/>
        <w:pageBreakBefore w:val="0"/>
        <w:widowControl w:val="0"/>
        <w:kinsoku/>
        <w:wordWrap/>
        <w:overflowPunct/>
        <w:topLinePunct w:val="0"/>
        <w:autoSpaceDE/>
        <w:autoSpaceDN/>
        <w:bidi w:val="0"/>
        <w:adjustRightInd/>
        <w:spacing w:line="360" w:lineRule="auto"/>
        <w:ind w:left="0"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4、绿化</w:t>
      </w:r>
      <w:r>
        <w:rPr>
          <w:rFonts w:hint="eastAsia" w:ascii="宋体" w:hAnsi="宋体" w:cs="宋体"/>
          <w:b/>
          <w:sz w:val="24"/>
          <w:szCs w:val="24"/>
          <w:highlight w:val="none"/>
          <w:lang w:val="en-US" w:eastAsia="zh-CN"/>
        </w:rPr>
        <w:t>养护</w:t>
      </w:r>
      <w:r>
        <w:rPr>
          <w:rFonts w:hint="eastAsia" w:ascii="宋体" w:hAnsi="宋体" w:eastAsia="宋体" w:cs="宋体"/>
          <w:b/>
          <w:sz w:val="24"/>
          <w:szCs w:val="24"/>
          <w:highlight w:val="none"/>
        </w:rPr>
        <w:t xml:space="preserve">1名 </w:t>
      </w:r>
      <w:r>
        <w:rPr>
          <w:rFonts w:hint="eastAsia" w:ascii="宋体" w:hAnsi="宋体" w:eastAsia="宋体" w:cs="宋体"/>
          <w:sz w:val="24"/>
          <w:szCs w:val="24"/>
          <w:highlight w:val="none"/>
        </w:rPr>
        <w:t xml:space="preserve"> </w:t>
      </w:r>
    </w:p>
    <w:p w14:paraId="20D435C7">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负责园区内绿化修剪养护；</w:t>
      </w:r>
    </w:p>
    <w:p w14:paraId="74A7440A">
      <w:pPr>
        <w:keepNext w:val="0"/>
        <w:keepLines w:val="0"/>
        <w:pageBreakBefore w:val="0"/>
        <w:widowControl w:val="0"/>
        <w:kinsoku/>
        <w:wordWrap/>
        <w:overflowPunct/>
        <w:topLinePunct w:val="0"/>
        <w:autoSpaceDE/>
        <w:autoSpaceDN/>
        <w:bidi w:val="0"/>
        <w:adjustRightInd/>
        <w:spacing w:line="360" w:lineRule="auto"/>
        <w:ind w:left="0"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5、其他要求：</w:t>
      </w:r>
    </w:p>
    <w:p w14:paraId="015CF38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园区内禁止绿化和消防水龙头私用包括（洗车等其他用品）。</w:t>
      </w:r>
    </w:p>
    <w:p w14:paraId="2328529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规范电瓶车充电制度，和园区内车辆的停车规范制度。</w:t>
      </w:r>
    </w:p>
    <w:p w14:paraId="4D916FA6">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加强巡逻，防止人员高空攀爬。</w:t>
      </w:r>
    </w:p>
    <w:p w14:paraId="2D55940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园区屋顶要安装设备安装产生的建筑垃圾，物业要及时督促施工之清理干净，如物业未发现施工方在施工时产生的垃圾等。由物业解决处理干净，所产生的费用由物业处理。</w:t>
      </w:r>
    </w:p>
    <w:p w14:paraId="0E94890B">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园区租户退费前物业必须要清点，房内的物品有无损坏，卫生是否打扫干净，如有损坏及时作出赔偿费事议，和卫生清理费用如果物业未及时跟进，退房后再发现，所有损失和费用由物业承担。</w:t>
      </w:r>
    </w:p>
    <w:p w14:paraId="41F34FB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园区放垃圾桶地方每天需要高压水轮清理消毒，另还要做好所投放灭老鼠和蟑螂药的管理工作。</w:t>
      </w:r>
    </w:p>
    <w:p w14:paraId="738367C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负责园区内工业固废和有害垃圾的清理的督导工作。</w:t>
      </w:r>
    </w:p>
    <w:p w14:paraId="6848D659">
      <w:pPr>
        <w:spacing w:line="360" w:lineRule="auto"/>
        <w:ind w:firstLine="619" w:firstLineChars="257"/>
        <w:rPr>
          <w:rFonts w:hint="eastAsia" w:ascii="宋体" w:hAnsi="宋体" w:eastAsia="宋体" w:cs="宋体"/>
          <w:b/>
          <w:sz w:val="24"/>
          <w:szCs w:val="24"/>
          <w:highlight w:val="none"/>
        </w:rPr>
      </w:pPr>
    </w:p>
    <w:p w14:paraId="06178D75">
      <w:pPr>
        <w:spacing w:line="360" w:lineRule="auto"/>
        <w:ind w:firstLine="619" w:firstLineChars="257"/>
        <w:rPr>
          <w:rFonts w:hint="eastAsia" w:ascii="宋体" w:hAnsi="宋体" w:eastAsia="宋体" w:cs="宋体"/>
          <w:b/>
          <w:sz w:val="24"/>
          <w:szCs w:val="24"/>
          <w:highlight w:val="none"/>
        </w:rPr>
      </w:pPr>
      <w:r>
        <w:rPr>
          <w:rFonts w:hint="eastAsia" w:ascii="宋体" w:hAnsi="宋体" w:eastAsia="宋体" w:cs="宋体"/>
          <w:b/>
          <w:sz w:val="24"/>
          <w:szCs w:val="24"/>
          <w:highlight w:val="none"/>
        </w:rPr>
        <w:t>四、商务要求</w:t>
      </w:r>
    </w:p>
    <w:tbl>
      <w:tblPr>
        <w:tblStyle w:val="19"/>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382"/>
      </w:tblGrid>
      <w:tr w14:paraId="18C3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8" w:type="dxa"/>
            <w:vAlign w:val="center"/>
          </w:tcPr>
          <w:p w14:paraId="076DA45F">
            <w:pPr>
              <w:widowControl/>
              <w:spacing w:line="3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w:t>
            </w:r>
          </w:p>
        </w:tc>
        <w:tc>
          <w:tcPr>
            <w:tcW w:w="7382" w:type="dxa"/>
            <w:vAlign w:val="center"/>
          </w:tcPr>
          <w:p w14:paraId="7FEA866D">
            <w:pPr>
              <w:widowControl/>
              <w:spacing w:line="3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招标文件要求</w:t>
            </w:r>
          </w:p>
        </w:tc>
      </w:tr>
      <w:tr w14:paraId="5142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8" w:type="dxa"/>
            <w:vAlign w:val="center"/>
          </w:tcPr>
          <w:p w14:paraId="20A6581C">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left="105" w:leftChars="50"/>
              <w:jc w:val="left"/>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kern w:val="0"/>
                <w:sz w:val="24"/>
                <w:szCs w:val="24"/>
                <w:highlight w:val="none"/>
              </w:rPr>
              <w:t>投标报价</w:t>
            </w:r>
          </w:p>
        </w:tc>
        <w:tc>
          <w:tcPr>
            <w:tcW w:w="7382" w:type="dxa"/>
            <w:vAlign w:val="center"/>
          </w:tcPr>
          <w:p w14:paraId="50D7A24F">
            <w:pPr>
              <w:pStyle w:val="70"/>
              <w:keepNext w:val="0"/>
              <w:keepLines w:val="0"/>
              <w:pageBreakBefore w:val="0"/>
              <w:widowControl w:val="0"/>
              <w:kinsoku/>
              <w:wordWrap/>
              <w:overflowPunct/>
              <w:topLinePunct w:val="0"/>
              <w:autoSpaceDE/>
              <w:autoSpaceDN/>
              <w:bidi w:val="0"/>
              <w:adjustRightInd w:val="0"/>
              <w:snapToGrid w:val="0"/>
              <w:spacing w:line="440" w:lineRule="exact"/>
              <w:ind w:left="105" w:leftChars="50"/>
              <w:rPr>
                <w:rFonts w:hint="eastAsia" w:ascii="宋体" w:hAnsi="宋体" w:eastAsia="宋体" w:cs="宋体"/>
                <w:sz w:val="24"/>
                <w:szCs w:val="24"/>
                <w:highlight w:val="none"/>
              </w:rPr>
            </w:pPr>
            <w:r>
              <w:rPr>
                <w:rFonts w:hint="eastAsia" w:ascii="宋体" w:hAnsi="宋体" w:eastAsia="宋体" w:cs="宋体"/>
                <w:sz w:val="24"/>
                <w:szCs w:val="24"/>
                <w:highlight w:val="none"/>
              </w:rPr>
              <w:t>完成本项目的所有费用，包括人员工资、社保、意外险、福利及各类补贴、高温费、服装费、培训费、税费等完成项目所需的一切费用。</w:t>
            </w:r>
          </w:p>
        </w:tc>
      </w:tr>
      <w:tr w14:paraId="15A6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38F0C3FA">
            <w:pPr>
              <w:keepNext w:val="0"/>
              <w:keepLines w:val="0"/>
              <w:pageBreakBefore w:val="0"/>
              <w:widowControl w:val="0"/>
              <w:kinsoku/>
              <w:wordWrap/>
              <w:overflowPunct/>
              <w:topLinePunct w:val="0"/>
              <w:autoSpaceDE/>
              <w:autoSpaceDN/>
              <w:bidi w:val="0"/>
              <w:adjustRightInd w:val="0"/>
              <w:snapToGrid w:val="0"/>
              <w:spacing w:line="440" w:lineRule="exact"/>
              <w:ind w:left="105" w:left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服务期限</w:t>
            </w:r>
          </w:p>
        </w:tc>
        <w:tc>
          <w:tcPr>
            <w:tcW w:w="7382" w:type="dxa"/>
          </w:tcPr>
          <w:p w14:paraId="09859442">
            <w:pPr>
              <w:keepNext w:val="0"/>
              <w:keepLines w:val="0"/>
              <w:pageBreakBefore w:val="0"/>
              <w:widowControl w:val="0"/>
              <w:kinsoku/>
              <w:wordWrap/>
              <w:overflowPunct/>
              <w:topLinePunct w:val="0"/>
              <w:autoSpaceDE/>
              <w:autoSpaceDN/>
              <w:bidi w:val="0"/>
              <w:adjustRightInd w:val="0"/>
              <w:snapToGrid w:val="0"/>
              <w:spacing w:line="440" w:lineRule="exact"/>
              <w:ind w:left="105" w:leftChars="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三年，合同为一年一签</w:t>
            </w:r>
            <w:r>
              <w:rPr>
                <w:rFonts w:hint="eastAsia" w:ascii="宋体" w:hAnsi="宋体" w:eastAsia="宋体" w:cs="宋体"/>
                <w:sz w:val="24"/>
                <w:szCs w:val="24"/>
                <w:highlight w:val="none"/>
                <w:lang w:eastAsia="zh-CN"/>
              </w:rPr>
              <w:t>。</w:t>
            </w:r>
          </w:p>
        </w:tc>
      </w:tr>
      <w:tr w14:paraId="5432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668" w:type="dxa"/>
            <w:vAlign w:val="center"/>
          </w:tcPr>
          <w:p w14:paraId="478F1A8A">
            <w:pPr>
              <w:keepNext w:val="0"/>
              <w:keepLines w:val="0"/>
              <w:pageBreakBefore w:val="0"/>
              <w:widowControl w:val="0"/>
              <w:kinsoku/>
              <w:wordWrap/>
              <w:overflowPunct/>
              <w:topLinePunct w:val="0"/>
              <w:autoSpaceDE/>
              <w:autoSpaceDN/>
              <w:bidi w:val="0"/>
              <w:adjustRightInd w:val="0"/>
              <w:snapToGrid w:val="0"/>
              <w:spacing w:line="440" w:lineRule="exact"/>
              <w:ind w:left="105" w:left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7382" w:type="dxa"/>
          </w:tcPr>
          <w:p w14:paraId="6D9831C2">
            <w:pPr>
              <w:keepNext w:val="0"/>
              <w:keepLines w:val="0"/>
              <w:pageBreakBefore w:val="0"/>
              <w:widowControl w:val="0"/>
              <w:kinsoku/>
              <w:wordWrap/>
              <w:overflowPunct/>
              <w:topLinePunct w:val="0"/>
              <w:autoSpaceDE/>
              <w:autoSpaceDN/>
              <w:bidi w:val="0"/>
              <w:adjustRightInd w:val="0"/>
              <w:snapToGrid w:val="0"/>
              <w:spacing w:line="440" w:lineRule="exact"/>
              <w:ind w:left="105" w:leftChars="5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SA"/>
              </w:rPr>
              <w:t>在确认工作完成的情况下，如无考核不合格，每季度按实支付给中标人。中标人应向采购人提供真实、合法、有效的增值税专用发票，若中标人未提供，则采购人可以延迟支付相关款项，且不存在违约责任，若由此引起的经济纠纷由中标人负责。</w:t>
            </w:r>
          </w:p>
        </w:tc>
      </w:tr>
      <w:tr w14:paraId="4FA3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68" w:type="dxa"/>
            <w:vAlign w:val="center"/>
          </w:tcPr>
          <w:p w14:paraId="6D4A0365">
            <w:pPr>
              <w:keepNext w:val="0"/>
              <w:keepLines w:val="0"/>
              <w:pageBreakBefore w:val="0"/>
              <w:widowControl w:val="0"/>
              <w:kinsoku/>
              <w:wordWrap/>
              <w:overflowPunct/>
              <w:topLinePunct w:val="0"/>
              <w:autoSpaceDE/>
              <w:autoSpaceDN/>
              <w:bidi w:val="0"/>
              <w:adjustRightInd w:val="0"/>
              <w:snapToGrid w:val="0"/>
              <w:spacing w:line="44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签订合同时间</w:t>
            </w:r>
          </w:p>
        </w:tc>
        <w:tc>
          <w:tcPr>
            <w:tcW w:w="7382" w:type="dxa"/>
            <w:vAlign w:val="center"/>
          </w:tcPr>
          <w:p w14:paraId="1737F7AD">
            <w:pPr>
              <w:keepNext w:val="0"/>
              <w:keepLines w:val="0"/>
              <w:pageBreakBefore w:val="0"/>
              <w:widowControl w:val="0"/>
              <w:kinsoku/>
              <w:wordWrap/>
              <w:overflowPunct/>
              <w:topLinePunct w:val="0"/>
              <w:autoSpaceDE/>
              <w:autoSpaceDN/>
              <w:bidi w:val="0"/>
              <w:adjustRightInd w:val="0"/>
              <w:snapToGrid w:val="0"/>
              <w:spacing w:line="440" w:lineRule="exact"/>
              <w:ind w:left="105" w:leftChars="5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中标通知书发出后 30日内。</w:t>
            </w:r>
          </w:p>
        </w:tc>
      </w:tr>
      <w:tr w14:paraId="1D27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668" w:type="dxa"/>
            <w:vAlign w:val="center"/>
          </w:tcPr>
          <w:p w14:paraId="76BA5D56">
            <w:pPr>
              <w:keepNext w:val="0"/>
              <w:keepLines w:val="0"/>
              <w:pageBreakBefore w:val="0"/>
              <w:widowControl w:val="0"/>
              <w:kinsoku/>
              <w:wordWrap/>
              <w:overflowPunct/>
              <w:topLinePunct w:val="0"/>
              <w:autoSpaceDE/>
              <w:autoSpaceDN/>
              <w:bidi w:val="0"/>
              <w:adjustRightInd w:val="0"/>
              <w:snapToGrid w:val="0"/>
              <w:spacing w:line="440" w:lineRule="exact"/>
              <w:ind w:left="105" w:left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合同终止</w:t>
            </w:r>
          </w:p>
        </w:tc>
        <w:tc>
          <w:tcPr>
            <w:tcW w:w="7382" w:type="dxa"/>
          </w:tcPr>
          <w:p w14:paraId="54089886">
            <w:pPr>
              <w:keepNext w:val="0"/>
              <w:keepLines w:val="0"/>
              <w:pageBreakBefore w:val="0"/>
              <w:widowControl w:val="0"/>
              <w:kinsoku/>
              <w:wordWrap/>
              <w:overflowPunct/>
              <w:topLinePunct w:val="0"/>
              <w:autoSpaceDE/>
              <w:autoSpaceDN/>
              <w:bidi w:val="0"/>
              <w:adjustRightInd w:val="0"/>
              <w:snapToGrid w:val="0"/>
              <w:spacing w:line="440" w:lineRule="exact"/>
              <w:ind w:left="105" w:leftChars="50"/>
              <w:rPr>
                <w:rFonts w:hint="eastAsia" w:ascii="宋体" w:hAnsi="宋体" w:eastAsia="宋体" w:cs="宋体"/>
                <w:sz w:val="24"/>
                <w:szCs w:val="24"/>
                <w:highlight w:val="none"/>
              </w:rPr>
            </w:pPr>
            <w:r>
              <w:rPr>
                <w:rFonts w:hint="eastAsia" w:ascii="宋体" w:hAnsi="宋体" w:eastAsia="宋体" w:cs="宋体"/>
                <w:sz w:val="24"/>
                <w:szCs w:val="24"/>
                <w:highlight w:val="none"/>
              </w:rPr>
              <w:t>中标人在合同有效期内，不得以任何理由终止合同，确有特殊情况的，须提前2个月向采购人提出书面申请，经采购人同意后，方可终止合同，同时酌情扣除保证金。中标人不能保证工作质量、发生重大差错事故的，采购人有权终止协议，中标人承担全部责任。</w:t>
            </w:r>
          </w:p>
        </w:tc>
      </w:tr>
      <w:tr w14:paraId="55CF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668" w:type="dxa"/>
            <w:vAlign w:val="center"/>
          </w:tcPr>
          <w:p w14:paraId="0EDF2379">
            <w:pPr>
              <w:keepNext w:val="0"/>
              <w:keepLines w:val="0"/>
              <w:pageBreakBefore w:val="0"/>
              <w:widowControl w:val="0"/>
              <w:kinsoku/>
              <w:wordWrap/>
              <w:overflowPunct/>
              <w:topLinePunct w:val="0"/>
              <w:autoSpaceDE/>
              <w:autoSpaceDN/>
              <w:bidi w:val="0"/>
              <w:adjustRightInd w:val="0"/>
              <w:snapToGrid w:val="0"/>
              <w:spacing w:line="440" w:lineRule="exact"/>
              <w:ind w:left="105" w:left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其他事项</w:t>
            </w:r>
          </w:p>
        </w:tc>
        <w:tc>
          <w:tcPr>
            <w:tcW w:w="7382" w:type="dxa"/>
          </w:tcPr>
          <w:p w14:paraId="3FB7FE8E">
            <w:pPr>
              <w:keepNext w:val="0"/>
              <w:keepLines w:val="0"/>
              <w:pageBreakBefore w:val="0"/>
              <w:widowControl w:val="0"/>
              <w:kinsoku/>
              <w:wordWrap/>
              <w:overflowPunct/>
              <w:topLinePunct w:val="0"/>
              <w:autoSpaceDE/>
              <w:autoSpaceDN/>
              <w:bidi w:val="0"/>
              <w:adjustRightInd w:val="0"/>
              <w:snapToGrid w:val="0"/>
              <w:spacing w:line="440" w:lineRule="exact"/>
              <w:ind w:left="105" w:leftChars="50"/>
              <w:rPr>
                <w:rFonts w:hint="eastAsia" w:ascii="宋体" w:hAnsi="宋体" w:eastAsia="宋体" w:cs="宋体"/>
                <w:sz w:val="24"/>
                <w:szCs w:val="24"/>
                <w:highlight w:val="none"/>
              </w:rPr>
            </w:pPr>
            <w:r>
              <w:rPr>
                <w:rFonts w:hint="eastAsia" w:ascii="宋体" w:hAnsi="宋体" w:eastAsia="宋体" w:cs="宋体"/>
                <w:sz w:val="24"/>
                <w:szCs w:val="24"/>
                <w:highlight w:val="none"/>
              </w:rPr>
              <w:t>1、本次项目由一家中标人单位承包，实行统一管理，综合服务，中标人不得将项目分包或整体转包给任何单位和个人，否则招标人有权即刻终止合同，并要求中标人按中标金额的10%赔偿损失。</w:t>
            </w:r>
          </w:p>
          <w:p w14:paraId="15053385">
            <w:pPr>
              <w:keepNext w:val="0"/>
              <w:keepLines w:val="0"/>
              <w:pageBreakBefore w:val="0"/>
              <w:widowControl w:val="0"/>
              <w:kinsoku/>
              <w:wordWrap/>
              <w:overflowPunct/>
              <w:topLinePunct w:val="0"/>
              <w:autoSpaceDE/>
              <w:autoSpaceDN/>
              <w:bidi w:val="0"/>
              <w:adjustRightInd w:val="0"/>
              <w:snapToGrid w:val="0"/>
              <w:spacing w:line="440" w:lineRule="exact"/>
              <w:ind w:left="105" w:leftChars="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2、中标合同签订10天内，中标方全体人员必须到位，并完成岗前培训等工作，物业服务费用结算以正式移交接管之日起计。   </w:t>
            </w:r>
          </w:p>
          <w:p w14:paraId="538E6509">
            <w:pPr>
              <w:keepNext w:val="0"/>
              <w:keepLines w:val="0"/>
              <w:pageBreakBefore w:val="0"/>
              <w:widowControl w:val="0"/>
              <w:kinsoku/>
              <w:wordWrap/>
              <w:overflowPunct/>
              <w:topLinePunct w:val="0"/>
              <w:autoSpaceDE/>
              <w:autoSpaceDN/>
              <w:bidi w:val="0"/>
              <w:adjustRightInd w:val="0"/>
              <w:snapToGrid w:val="0"/>
              <w:spacing w:line="440" w:lineRule="exact"/>
              <w:ind w:left="105" w:leftChars="50"/>
              <w:rPr>
                <w:rFonts w:hint="eastAsia" w:ascii="宋体" w:hAnsi="宋体" w:eastAsia="宋体" w:cs="宋体"/>
                <w:sz w:val="24"/>
                <w:szCs w:val="24"/>
                <w:highlight w:val="none"/>
              </w:rPr>
            </w:pPr>
            <w:r>
              <w:rPr>
                <w:rFonts w:hint="eastAsia" w:ascii="宋体" w:hAnsi="宋体" w:eastAsia="宋体" w:cs="宋体"/>
                <w:sz w:val="24"/>
                <w:szCs w:val="24"/>
                <w:highlight w:val="none"/>
              </w:rPr>
              <w:t>3、中标人应认真听取招标人提出的建议和意见，并接受招标人的考核管理规定，对在物业管理中出现的问题和薄弱环节应立即整改。</w:t>
            </w:r>
          </w:p>
          <w:p w14:paraId="415A6B5F">
            <w:pPr>
              <w:keepNext w:val="0"/>
              <w:keepLines w:val="0"/>
              <w:pageBreakBefore w:val="0"/>
              <w:widowControl w:val="0"/>
              <w:kinsoku/>
              <w:wordWrap/>
              <w:overflowPunct/>
              <w:topLinePunct w:val="0"/>
              <w:autoSpaceDE/>
              <w:autoSpaceDN/>
              <w:bidi w:val="0"/>
              <w:adjustRightInd w:val="0"/>
              <w:snapToGrid w:val="0"/>
              <w:spacing w:line="440" w:lineRule="exact"/>
              <w:ind w:left="105" w:leftChars="50"/>
              <w:rPr>
                <w:rFonts w:hint="eastAsia" w:ascii="宋体" w:hAnsi="宋体" w:eastAsia="宋体" w:cs="宋体"/>
                <w:sz w:val="24"/>
                <w:szCs w:val="24"/>
                <w:highlight w:val="none"/>
              </w:rPr>
            </w:pPr>
            <w:r>
              <w:rPr>
                <w:rFonts w:hint="eastAsia" w:ascii="宋体" w:hAnsi="宋体" w:eastAsia="宋体" w:cs="宋体"/>
                <w:sz w:val="24"/>
                <w:szCs w:val="24"/>
                <w:highlight w:val="none"/>
              </w:rPr>
              <w:t>4、中标人须将节能工作作为日常工作之一，并达到招标人的节能考核之要求。</w:t>
            </w:r>
          </w:p>
          <w:p w14:paraId="49EA0351">
            <w:pPr>
              <w:keepNext w:val="0"/>
              <w:keepLines w:val="0"/>
              <w:pageBreakBefore w:val="0"/>
              <w:widowControl w:val="0"/>
              <w:kinsoku/>
              <w:wordWrap/>
              <w:overflowPunct/>
              <w:topLinePunct w:val="0"/>
              <w:autoSpaceDE/>
              <w:autoSpaceDN/>
              <w:bidi w:val="0"/>
              <w:adjustRightInd w:val="0"/>
              <w:snapToGrid w:val="0"/>
              <w:spacing w:line="440" w:lineRule="exact"/>
              <w:ind w:left="105" w:leftChars="50"/>
              <w:rPr>
                <w:rFonts w:hint="eastAsia" w:ascii="宋体" w:hAnsi="宋体" w:eastAsia="宋体" w:cs="宋体"/>
                <w:sz w:val="24"/>
                <w:szCs w:val="24"/>
                <w:highlight w:val="none"/>
              </w:rPr>
            </w:pPr>
            <w:r>
              <w:rPr>
                <w:rFonts w:hint="eastAsia" w:ascii="宋体" w:hAnsi="宋体" w:eastAsia="宋体" w:cs="宋体"/>
                <w:sz w:val="24"/>
                <w:szCs w:val="24"/>
                <w:highlight w:val="none"/>
              </w:rPr>
              <w:t>5、中标人应按照国家法律法规给每位员工办理用工手续。</w:t>
            </w:r>
          </w:p>
          <w:p w14:paraId="2A0E12D3">
            <w:pPr>
              <w:keepNext w:val="0"/>
              <w:keepLines w:val="0"/>
              <w:pageBreakBefore w:val="0"/>
              <w:widowControl w:val="0"/>
              <w:kinsoku/>
              <w:wordWrap/>
              <w:overflowPunct/>
              <w:topLinePunct w:val="0"/>
              <w:autoSpaceDE/>
              <w:autoSpaceDN/>
              <w:bidi w:val="0"/>
              <w:adjustRightInd w:val="0"/>
              <w:snapToGrid w:val="0"/>
              <w:spacing w:line="440" w:lineRule="exact"/>
              <w:ind w:left="105" w:leftChars="50"/>
              <w:rPr>
                <w:rFonts w:hint="eastAsia" w:ascii="宋体" w:hAnsi="宋体" w:eastAsia="宋体" w:cs="宋体"/>
                <w:sz w:val="24"/>
                <w:szCs w:val="24"/>
                <w:highlight w:val="none"/>
              </w:rPr>
            </w:pPr>
            <w:r>
              <w:rPr>
                <w:rFonts w:hint="eastAsia" w:ascii="宋体" w:hAnsi="宋体" w:eastAsia="宋体" w:cs="宋体"/>
                <w:sz w:val="24"/>
                <w:szCs w:val="24"/>
                <w:highlight w:val="none"/>
              </w:rPr>
              <w:t>6、中标人须提供招标人认可的工作标准，遵守招标人的相关规定。</w:t>
            </w:r>
          </w:p>
          <w:p w14:paraId="63BCCCF3">
            <w:pPr>
              <w:keepNext w:val="0"/>
              <w:keepLines w:val="0"/>
              <w:pageBreakBefore w:val="0"/>
              <w:widowControl w:val="0"/>
              <w:kinsoku/>
              <w:wordWrap/>
              <w:overflowPunct/>
              <w:topLinePunct w:val="0"/>
              <w:autoSpaceDE/>
              <w:autoSpaceDN/>
              <w:bidi w:val="0"/>
              <w:adjustRightInd w:val="0"/>
              <w:snapToGrid w:val="0"/>
              <w:spacing w:line="440" w:lineRule="exact"/>
              <w:ind w:left="105" w:leftChars="50"/>
              <w:rPr>
                <w:rFonts w:hint="eastAsia" w:ascii="宋体" w:hAnsi="宋体" w:eastAsia="宋体" w:cs="宋体"/>
                <w:sz w:val="24"/>
                <w:szCs w:val="24"/>
                <w:highlight w:val="none"/>
              </w:rPr>
            </w:pPr>
            <w:r>
              <w:rPr>
                <w:rFonts w:hint="eastAsia" w:ascii="宋体" w:hAnsi="宋体" w:eastAsia="宋体" w:cs="宋体"/>
                <w:sz w:val="24"/>
                <w:szCs w:val="24"/>
                <w:highlight w:val="none"/>
              </w:rPr>
              <w:t>7、中标人及其员工应主动配合采购人行政管理工作，服从调度，听从指挥，认真听取采购人提出的建议和意见，对在物业管理中出现问题和薄弱环节立即整改。</w:t>
            </w:r>
          </w:p>
          <w:p w14:paraId="2ED16CC5">
            <w:pPr>
              <w:keepNext w:val="0"/>
              <w:keepLines w:val="0"/>
              <w:pageBreakBefore w:val="0"/>
              <w:widowControl w:val="0"/>
              <w:kinsoku/>
              <w:wordWrap/>
              <w:overflowPunct/>
              <w:topLinePunct w:val="0"/>
              <w:autoSpaceDE/>
              <w:autoSpaceDN/>
              <w:bidi w:val="0"/>
              <w:adjustRightInd w:val="0"/>
              <w:snapToGrid w:val="0"/>
              <w:spacing w:line="440" w:lineRule="exact"/>
              <w:ind w:left="105" w:leftChars="50"/>
              <w:rPr>
                <w:rFonts w:hint="eastAsia" w:ascii="宋体" w:hAnsi="宋体" w:eastAsia="宋体" w:cs="宋体"/>
                <w:sz w:val="24"/>
                <w:szCs w:val="24"/>
                <w:highlight w:val="none"/>
              </w:rPr>
            </w:pPr>
            <w:r>
              <w:rPr>
                <w:rFonts w:hint="eastAsia" w:ascii="宋体" w:hAnsi="宋体" w:eastAsia="宋体" w:cs="宋体"/>
                <w:sz w:val="24"/>
                <w:szCs w:val="24"/>
                <w:highlight w:val="none"/>
              </w:rPr>
              <w:t>8、所有工作人员应履行保密义务，严守采购人秘密和国家机密。做到不打听、不偷看、不传播、不遗失、不擅自处理保密纸物等。投诉处理率达100%。</w:t>
            </w:r>
          </w:p>
          <w:p w14:paraId="551099B5">
            <w:pPr>
              <w:keepNext w:val="0"/>
              <w:keepLines w:val="0"/>
              <w:pageBreakBefore w:val="0"/>
              <w:widowControl w:val="0"/>
              <w:kinsoku/>
              <w:wordWrap/>
              <w:overflowPunct/>
              <w:topLinePunct w:val="0"/>
              <w:autoSpaceDE/>
              <w:autoSpaceDN/>
              <w:bidi w:val="0"/>
              <w:adjustRightInd w:val="0"/>
              <w:snapToGrid w:val="0"/>
              <w:spacing w:line="440" w:lineRule="exact"/>
              <w:ind w:left="105" w:leftChars="50"/>
              <w:rPr>
                <w:rFonts w:hint="eastAsia" w:ascii="宋体" w:hAnsi="宋体" w:eastAsia="宋体" w:cs="宋体"/>
                <w:sz w:val="24"/>
                <w:szCs w:val="24"/>
                <w:highlight w:val="none"/>
              </w:rPr>
            </w:pPr>
            <w:r>
              <w:rPr>
                <w:rFonts w:hint="eastAsia" w:ascii="宋体" w:hAnsi="宋体" w:eastAsia="宋体" w:cs="宋体"/>
                <w:sz w:val="24"/>
                <w:szCs w:val="24"/>
                <w:highlight w:val="none"/>
              </w:rPr>
              <w:t>9、招标人与派驻人员不发生任何劳动和雇佣关系，派驻人员由中标人自行管理。中标人必须按照劳动法规定为员工提供劳动、安全保障，依法办理各类社会保险，按时发放薪酬等。派驻人员应遵守安全操作规章制度，若发生人身伤害等工伤事故与劳资纠纷等，由中标人自行负责与处理，与招标人无涉。</w:t>
            </w:r>
          </w:p>
          <w:p w14:paraId="39393356">
            <w:pPr>
              <w:keepNext w:val="0"/>
              <w:keepLines w:val="0"/>
              <w:pageBreakBefore w:val="0"/>
              <w:widowControl w:val="0"/>
              <w:kinsoku/>
              <w:wordWrap/>
              <w:overflowPunct/>
              <w:topLinePunct w:val="0"/>
              <w:autoSpaceDE/>
              <w:autoSpaceDN/>
              <w:bidi w:val="0"/>
              <w:adjustRightInd w:val="0"/>
              <w:snapToGrid w:val="0"/>
              <w:spacing w:line="440" w:lineRule="exact"/>
              <w:ind w:left="105" w:leftChars="50"/>
              <w:rPr>
                <w:rFonts w:hint="eastAsia" w:ascii="宋体" w:hAnsi="宋体" w:eastAsia="宋体" w:cs="宋体"/>
                <w:sz w:val="24"/>
                <w:szCs w:val="24"/>
                <w:highlight w:val="none"/>
              </w:rPr>
            </w:pPr>
            <w:r>
              <w:rPr>
                <w:rFonts w:hint="eastAsia" w:ascii="宋体" w:hAnsi="宋体" w:eastAsia="宋体" w:cs="宋体"/>
                <w:sz w:val="24"/>
                <w:szCs w:val="24"/>
                <w:highlight w:val="none"/>
              </w:rPr>
              <w:t>10、在处理特殊事件和紧急、突发事故时，招标人对中标人派驻服务机构及人员有直接指挥权。</w:t>
            </w:r>
          </w:p>
          <w:p w14:paraId="08CE09C0">
            <w:pPr>
              <w:keepNext w:val="0"/>
              <w:keepLines w:val="0"/>
              <w:pageBreakBefore w:val="0"/>
              <w:widowControl w:val="0"/>
              <w:kinsoku/>
              <w:wordWrap/>
              <w:overflowPunct/>
              <w:topLinePunct w:val="0"/>
              <w:autoSpaceDE/>
              <w:autoSpaceDN/>
              <w:bidi w:val="0"/>
              <w:adjustRightInd w:val="0"/>
              <w:snapToGrid w:val="0"/>
              <w:spacing w:line="440" w:lineRule="exact"/>
              <w:ind w:left="105" w:leftChars="50"/>
              <w:rPr>
                <w:rFonts w:hint="eastAsia" w:ascii="宋体" w:hAnsi="宋体" w:eastAsia="宋体" w:cs="宋体"/>
                <w:sz w:val="24"/>
                <w:szCs w:val="24"/>
                <w:highlight w:val="none"/>
              </w:rPr>
            </w:pPr>
            <w:r>
              <w:rPr>
                <w:rFonts w:hint="eastAsia" w:ascii="宋体" w:hAnsi="宋体" w:eastAsia="宋体" w:cs="宋体"/>
                <w:sz w:val="24"/>
                <w:szCs w:val="24"/>
                <w:highlight w:val="none"/>
              </w:rPr>
              <w:t>11、中标人派驻的所有工作人员应遵守国家法律法规、采购人的规章制度，若不服从，中标人应在七个工作日内调换人员。</w:t>
            </w:r>
          </w:p>
          <w:p w14:paraId="11EB7A09">
            <w:pPr>
              <w:keepNext w:val="0"/>
              <w:keepLines w:val="0"/>
              <w:pageBreakBefore w:val="0"/>
              <w:widowControl w:val="0"/>
              <w:kinsoku/>
              <w:wordWrap/>
              <w:overflowPunct/>
              <w:topLinePunct w:val="0"/>
              <w:autoSpaceDE/>
              <w:autoSpaceDN/>
              <w:bidi w:val="0"/>
              <w:adjustRightInd w:val="0"/>
              <w:snapToGrid w:val="0"/>
              <w:spacing w:line="440" w:lineRule="exact"/>
              <w:ind w:left="105" w:leftChars="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12、</w:t>
            </w:r>
            <w:r>
              <w:rPr>
                <w:rFonts w:hint="eastAsia" w:ascii="宋体" w:hAnsi="宋体" w:eastAsia="宋体" w:cs="宋体"/>
                <w:bCs/>
                <w:sz w:val="24"/>
                <w:szCs w:val="24"/>
                <w:highlight w:val="none"/>
              </w:rPr>
              <w:t>服务人员的餐费及</w:t>
            </w:r>
            <w:r>
              <w:rPr>
                <w:rFonts w:hint="eastAsia" w:ascii="宋体" w:hAnsi="宋体" w:eastAsia="宋体" w:cs="宋体"/>
                <w:sz w:val="24"/>
                <w:szCs w:val="24"/>
                <w:highlight w:val="none"/>
              </w:rPr>
              <w:t>各岗位所耗用的、与岗位相关联的物资由服务人员按实向采购单位领取</w:t>
            </w:r>
            <w:r>
              <w:rPr>
                <w:rFonts w:hint="eastAsia" w:ascii="宋体" w:hAnsi="宋体" w:cs="宋体"/>
                <w:sz w:val="24"/>
                <w:szCs w:val="24"/>
                <w:highlight w:val="none"/>
                <w:lang w:eastAsia="zh-CN"/>
              </w:rPr>
              <w:t>。</w:t>
            </w:r>
          </w:p>
        </w:tc>
      </w:tr>
    </w:tbl>
    <w:p w14:paraId="3F875316">
      <w:pPr>
        <w:jc w:val="left"/>
        <w:rPr>
          <w:rFonts w:hint="eastAsia" w:ascii="宋体" w:hAnsi="宋体" w:eastAsia="宋体" w:cs="宋体"/>
          <w:szCs w:val="21"/>
          <w:highlight w:val="none"/>
        </w:rPr>
      </w:pPr>
    </w:p>
    <w:p w14:paraId="36C1BBB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highlight w:val="none"/>
        </w:rPr>
      </w:pPr>
    </w:p>
    <w:p w14:paraId="639BCAB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t>五、物业管理质量考核实施细则</w:t>
      </w:r>
    </w:p>
    <w:p w14:paraId="621D38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为加强采购人</w:t>
      </w:r>
      <w:r>
        <w:rPr>
          <w:rFonts w:hint="eastAsia" w:ascii="宋体" w:hAnsi="宋体" w:eastAsia="宋体" w:cs="宋体"/>
          <w:sz w:val="24"/>
          <w:highlight w:val="none"/>
        </w:rPr>
        <w:t>保安服务、保洁服务、绿化服务</w:t>
      </w:r>
      <w:r>
        <w:rPr>
          <w:rFonts w:hint="eastAsia" w:ascii="宋体" w:hAnsi="宋体" w:eastAsia="宋体" w:cs="宋体"/>
          <w:color w:val="000000"/>
          <w:sz w:val="24"/>
          <w:highlight w:val="none"/>
        </w:rPr>
        <w:t>等管理，保持采购人的整体形象及风貌，提高物业人员的工作责任心，促进各项工作的有序开展，制订以下考核细则：</w:t>
      </w:r>
    </w:p>
    <w:tbl>
      <w:tblPr>
        <w:tblStyle w:val="19"/>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6102"/>
        <w:gridCol w:w="1957"/>
      </w:tblGrid>
      <w:tr w14:paraId="6F56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6" w:type="dxa"/>
            <w:vAlign w:val="center"/>
          </w:tcPr>
          <w:p w14:paraId="1EEB4C0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序号</w:t>
            </w:r>
          </w:p>
        </w:tc>
        <w:tc>
          <w:tcPr>
            <w:tcW w:w="6102" w:type="dxa"/>
            <w:vAlign w:val="center"/>
          </w:tcPr>
          <w:p w14:paraId="71BB9D1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考核内容</w:t>
            </w:r>
          </w:p>
        </w:tc>
        <w:tc>
          <w:tcPr>
            <w:tcW w:w="1957" w:type="dxa"/>
            <w:vAlign w:val="center"/>
          </w:tcPr>
          <w:p w14:paraId="2CBC95A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处罚内容</w:t>
            </w:r>
          </w:p>
        </w:tc>
      </w:tr>
      <w:tr w14:paraId="49B3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750A189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w:t>
            </w:r>
          </w:p>
        </w:tc>
        <w:tc>
          <w:tcPr>
            <w:tcW w:w="6102" w:type="dxa"/>
            <w:vAlign w:val="center"/>
          </w:tcPr>
          <w:p w14:paraId="42BAF8A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上班脱岗、缺岗、串岗，上班时间做与工作无关之事，酒后工作，着装不规范，言行举止有损采购人形象</w:t>
            </w:r>
            <w:r>
              <w:rPr>
                <w:rFonts w:hint="eastAsia" w:ascii="宋体" w:hAnsi="宋体" w:cs="宋体"/>
                <w:sz w:val="24"/>
                <w:highlight w:val="none"/>
                <w:lang w:eastAsia="zh-CN"/>
              </w:rPr>
              <w:t>。</w:t>
            </w:r>
          </w:p>
        </w:tc>
        <w:tc>
          <w:tcPr>
            <w:tcW w:w="1957" w:type="dxa"/>
            <w:vAlign w:val="center"/>
          </w:tcPr>
          <w:p w14:paraId="65F6943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发现一次扣2分</w:t>
            </w:r>
          </w:p>
        </w:tc>
      </w:tr>
      <w:tr w14:paraId="1008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7E27806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w:t>
            </w:r>
          </w:p>
        </w:tc>
        <w:tc>
          <w:tcPr>
            <w:tcW w:w="6102" w:type="dxa"/>
            <w:vAlign w:val="center"/>
          </w:tcPr>
          <w:p w14:paraId="2FD735FD">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楼内发生任何纠纷和火警，应在5分钟内到达现场，采取适当措施进行阻止和处理，如故意躲避或任由事态发展，造成后果</w:t>
            </w:r>
            <w:r>
              <w:rPr>
                <w:rFonts w:hint="eastAsia" w:ascii="宋体" w:hAnsi="宋体" w:cs="宋体"/>
                <w:sz w:val="24"/>
                <w:highlight w:val="none"/>
                <w:lang w:eastAsia="zh-CN"/>
              </w:rPr>
              <w:t>。</w:t>
            </w:r>
          </w:p>
        </w:tc>
        <w:tc>
          <w:tcPr>
            <w:tcW w:w="1957" w:type="dxa"/>
            <w:vAlign w:val="center"/>
          </w:tcPr>
          <w:p w14:paraId="6F36EB8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发现一次扣2分</w:t>
            </w:r>
          </w:p>
        </w:tc>
      </w:tr>
      <w:tr w14:paraId="3D92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6F4DB6C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3</w:t>
            </w:r>
          </w:p>
        </w:tc>
        <w:tc>
          <w:tcPr>
            <w:tcW w:w="6102" w:type="dxa"/>
            <w:vAlign w:val="center"/>
          </w:tcPr>
          <w:p w14:paraId="30ADE05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楼内物品出入不检查、不控制，导致大楼物品流失</w:t>
            </w:r>
            <w:r>
              <w:rPr>
                <w:rFonts w:hint="eastAsia" w:ascii="宋体" w:hAnsi="宋体" w:cs="宋体"/>
                <w:sz w:val="24"/>
                <w:highlight w:val="none"/>
                <w:lang w:eastAsia="zh-CN"/>
              </w:rPr>
              <w:t>。</w:t>
            </w:r>
          </w:p>
        </w:tc>
        <w:tc>
          <w:tcPr>
            <w:tcW w:w="1957" w:type="dxa"/>
            <w:vAlign w:val="center"/>
          </w:tcPr>
          <w:p w14:paraId="123F78AB">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发现一次扣2分</w:t>
            </w:r>
          </w:p>
        </w:tc>
      </w:tr>
      <w:tr w14:paraId="5680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0E6722C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4</w:t>
            </w:r>
          </w:p>
        </w:tc>
        <w:tc>
          <w:tcPr>
            <w:tcW w:w="6102" w:type="dxa"/>
            <w:vAlign w:val="center"/>
          </w:tcPr>
          <w:p w14:paraId="396C0AB2">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不按规定巡逻或巡逻无纪录，重大事件不汇报</w:t>
            </w:r>
            <w:r>
              <w:rPr>
                <w:rFonts w:hint="eastAsia" w:ascii="宋体" w:hAnsi="宋体" w:cs="宋体"/>
                <w:sz w:val="24"/>
                <w:highlight w:val="none"/>
                <w:lang w:eastAsia="zh-CN"/>
              </w:rPr>
              <w:t>。</w:t>
            </w:r>
          </w:p>
        </w:tc>
        <w:tc>
          <w:tcPr>
            <w:tcW w:w="1957" w:type="dxa"/>
            <w:vAlign w:val="center"/>
          </w:tcPr>
          <w:p w14:paraId="40181AE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发现一次扣2分</w:t>
            </w:r>
          </w:p>
        </w:tc>
      </w:tr>
      <w:tr w14:paraId="6301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3942389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5</w:t>
            </w:r>
          </w:p>
        </w:tc>
        <w:tc>
          <w:tcPr>
            <w:tcW w:w="6102" w:type="dxa"/>
            <w:vAlign w:val="center"/>
          </w:tcPr>
          <w:p w14:paraId="5563DE1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每月定期检查楼内的各类消防设施和设备，定期上交检查结果，设备设施损坏和缺损如实汇报，发现安全隐患及时处理和汇报</w:t>
            </w:r>
            <w:r>
              <w:rPr>
                <w:rFonts w:hint="eastAsia" w:ascii="宋体" w:hAnsi="宋体" w:cs="宋体"/>
                <w:sz w:val="24"/>
                <w:highlight w:val="none"/>
                <w:lang w:eastAsia="zh-CN"/>
              </w:rPr>
              <w:t>。</w:t>
            </w:r>
          </w:p>
        </w:tc>
        <w:tc>
          <w:tcPr>
            <w:tcW w:w="1957" w:type="dxa"/>
            <w:vAlign w:val="center"/>
          </w:tcPr>
          <w:p w14:paraId="328BC86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发现一次扣2分</w:t>
            </w:r>
          </w:p>
        </w:tc>
      </w:tr>
      <w:tr w14:paraId="469D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7D1A929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6</w:t>
            </w:r>
          </w:p>
        </w:tc>
        <w:tc>
          <w:tcPr>
            <w:tcW w:w="6102" w:type="dxa"/>
            <w:vAlign w:val="center"/>
          </w:tcPr>
          <w:p w14:paraId="0CCE7C94">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办公场所有烟头、纸屑、痰迹、垃圾滞留时间超过15分钟</w:t>
            </w:r>
            <w:r>
              <w:rPr>
                <w:rFonts w:hint="eastAsia" w:ascii="宋体" w:hAnsi="宋体" w:cs="宋体"/>
                <w:sz w:val="24"/>
                <w:highlight w:val="none"/>
                <w:lang w:eastAsia="zh-CN"/>
              </w:rPr>
              <w:t>。</w:t>
            </w:r>
          </w:p>
        </w:tc>
        <w:tc>
          <w:tcPr>
            <w:tcW w:w="1957" w:type="dxa"/>
            <w:vAlign w:val="center"/>
          </w:tcPr>
          <w:p w14:paraId="0A0EFC9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发现一次扣2分</w:t>
            </w:r>
          </w:p>
        </w:tc>
      </w:tr>
      <w:tr w14:paraId="3B5B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593374B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7</w:t>
            </w:r>
          </w:p>
        </w:tc>
        <w:tc>
          <w:tcPr>
            <w:tcW w:w="6102" w:type="dxa"/>
            <w:vAlign w:val="center"/>
          </w:tcPr>
          <w:p w14:paraId="18360BD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卫生间有异味、污迹和成片水渍</w:t>
            </w:r>
            <w:r>
              <w:rPr>
                <w:rFonts w:hint="eastAsia" w:ascii="宋体" w:hAnsi="宋体" w:cs="宋体"/>
                <w:sz w:val="24"/>
                <w:highlight w:val="none"/>
                <w:lang w:eastAsia="zh-CN"/>
              </w:rPr>
              <w:t>。</w:t>
            </w:r>
          </w:p>
        </w:tc>
        <w:tc>
          <w:tcPr>
            <w:tcW w:w="1957" w:type="dxa"/>
            <w:vAlign w:val="center"/>
          </w:tcPr>
          <w:p w14:paraId="135F8C6B">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发现一次扣2分</w:t>
            </w:r>
          </w:p>
        </w:tc>
      </w:tr>
      <w:tr w14:paraId="72D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196BD7E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8</w:t>
            </w:r>
          </w:p>
        </w:tc>
        <w:tc>
          <w:tcPr>
            <w:tcW w:w="6102" w:type="dxa"/>
            <w:vAlign w:val="center"/>
          </w:tcPr>
          <w:p w14:paraId="7EB3C69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墙面、门窗目视有积灰、污迹</w:t>
            </w:r>
            <w:r>
              <w:rPr>
                <w:rFonts w:hint="eastAsia" w:ascii="宋体" w:hAnsi="宋体" w:cs="宋体"/>
                <w:sz w:val="24"/>
                <w:highlight w:val="none"/>
                <w:lang w:eastAsia="zh-CN"/>
              </w:rPr>
              <w:t>。</w:t>
            </w:r>
          </w:p>
        </w:tc>
        <w:tc>
          <w:tcPr>
            <w:tcW w:w="1957" w:type="dxa"/>
            <w:vAlign w:val="center"/>
          </w:tcPr>
          <w:p w14:paraId="32E6C7D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发现一次扣2分</w:t>
            </w:r>
          </w:p>
        </w:tc>
      </w:tr>
      <w:tr w14:paraId="7D63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1328E31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9</w:t>
            </w:r>
          </w:p>
        </w:tc>
        <w:tc>
          <w:tcPr>
            <w:tcW w:w="6102" w:type="dxa"/>
            <w:vAlign w:val="center"/>
          </w:tcPr>
          <w:p w14:paraId="71168C7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物品摆放不整洁，有损采购人整体形象</w:t>
            </w:r>
            <w:r>
              <w:rPr>
                <w:rFonts w:hint="eastAsia" w:ascii="宋体" w:hAnsi="宋体" w:cs="宋体"/>
                <w:sz w:val="24"/>
                <w:highlight w:val="none"/>
                <w:lang w:eastAsia="zh-CN"/>
              </w:rPr>
              <w:t>。</w:t>
            </w:r>
          </w:p>
        </w:tc>
        <w:tc>
          <w:tcPr>
            <w:tcW w:w="1957" w:type="dxa"/>
            <w:vAlign w:val="center"/>
          </w:tcPr>
          <w:p w14:paraId="17937662">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发现一次扣2分</w:t>
            </w:r>
          </w:p>
        </w:tc>
      </w:tr>
      <w:tr w14:paraId="417D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5DA060D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10</w:t>
            </w:r>
          </w:p>
        </w:tc>
        <w:tc>
          <w:tcPr>
            <w:tcW w:w="6102" w:type="dxa"/>
            <w:vAlign w:val="center"/>
          </w:tcPr>
          <w:p w14:paraId="2784A19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发现一个卫生死角</w:t>
            </w:r>
            <w:r>
              <w:rPr>
                <w:rFonts w:hint="eastAsia" w:ascii="宋体" w:hAnsi="宋体" w:cs="宋体"/>
                <w:sz w:val="24"/>
                <w:highlight w:val="none"/>
                <w:lang w:eastAsia="zh-CN"/>
              </w:rPr>
              <w:t>。</w:t>
            </w:r>
          </w:p>
        </w:tc>
        <w:tc>
          <w:tcPr>
            <w:tcW w:w="1957" w:type="dxa"/>
            <w:vAlign w:val="center"/>
          </w:tcPr>
          <w:p w14:paraId="3B5EAC2D">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发现一次扣2分</w:t>
            </w:r>
          </w:p>
        </w:tc>
      </w:tr>
      <w:tr w14:paraId="3746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1456812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11</w:t>
            </w:r>
          </w:p>
        </w:tc>
        <w:tc>
          <w:tcPr>
            <w:tcW w:w="6102" w:type="dxa"/>
            <w:vAlign w:val="center"/>
          </w:tcPr>
          <w:p w14:paraId="0376CB5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工作人员频繁非合理原因换人</w:t>
            </w:r>
            <w:r>
              <w:rPr>
                <w:rFonts w:hint="eastAsia" w:ascii="宋体" w:hAnsi="宋体" w:cs="宋体"/>
                <w:sz w:val="24"/>
                <w:highlight w:val="none"/>
                <w:lang w:eastAsia="zh-CN"/>
              </w:rPr>
              <w:t>。</w:t>
            </w:r>
          </w:p>
        </w:tc>
        <w:tc>
          <w:tcPr>
            <w:tcW w:w="1957" w:type="dxa"/>
            <w:vAlign w:val="center"/>
          </w:tcPr>
          <w:p w14:paraId="2E9B5C4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发现一次扣2分</w:t>
            </w:r>
          </w:p>
        </w:tc>
      </w:tr>
      <w:tr w14:paraId="6F1E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7E36EE4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12</w:t>
            </w:r>
          </w:p>
        </w:tc>
        <w:tc>
          <w:tcPr>
            <w:tcW w:w="6102" w:type="dxa"/>
            <w:vAlign w:val="center"/>
          </w:tcPr>
          <w:p w14:paraId="0A2E7CC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对形象差、工作不力，经教育后仍不改正的物业工作人员，采购人要求更换或辞退，中标人未执行</w:t>
            </w:r>
            <w:r>
              <w:rPr>
                <w:rFonts w:hint="eastAsia" w:ascii="宋体" w:hAnsi="宋体" w:cs="宋体"/>
                <w:sz w:val="24"/>
                <w:highlight w:val="none"/>
                <w:lang w:eastAsia="zh-CN"/>
              </w:rPr>
              <w:t>。</w:t>
            </w:r>
          </w:p>
        </w:tc>
        <w:tc>
          <w:tcPr>
            <w:tcW w:w="1957" w:type="dxa"/>
            <w:vAlign w:val="center"/>
          </w:tcPr>
          <w:p w14:paraId="49A4493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发现一次扣2分</w:t>
            </w:r>
          </w:p>
        </w:tc>
      </w:tr>
      <w:tr w14:paraId="5282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713AFFB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13</w:t>
            </w:r>
          </w:p>
        </w:tc>
        <w:tc>
          <w:tcPr>
            <w:tcW w:w="6102" w:type="dxa"/>
            <w:vAlign w:val="center"/>
          </w:tcPr>
          <w:p w14:paraId="0C33557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其他违规情况</w:t>
            </w:r>
            <w:r>
              <w:rPr>
                <w:rFonts w:hint="eastAsia" w:ascii="宋体" w:hAnsi="宋体" w:cs="宋体"/>
                <w:sz w:val="24"/>
                <w:highlight w:val="none"/>
                <w:lang w:eastAsia="zh-CN"/>
              </w:rPr>
              <w:t>。</w:t>
            </w:r>
          </w:p>
        </w:tc>
        <w:tc>
          <w:tcPr>
            <w:tcW w:w="1957" w:type="dxa"/>
            <w:vAlign w:val="center"/>
          </w:tcPr>
          <w:p w14:paraId="6A21776E">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发现一次扣2分</w:t>
            </w:r>
          </w:p>
        </w:tc>
      </w:tr>
    </w:tbl>
    <w:p w14:paraId="045C2B2B">
      <w:pPr>
        <w:spacing w:line="360" w:lineRule="auto"/>
        <w:ind w:firstLine="480" w:firstLineChars="200"/>
        <w:rPr>
          <w:rFonts w:hint="eastAsia" w:ascii="宋体" w:hAnsi="宋体" w:eastAsia="宋体" w:cs="宋体"/>
          <w:sz w:val="24"/>
          <w:highlight w:val="none"/>
        </w:rPr>
      </w:pPr>
    </w:p>
    <w:p w14:paraId="45557C0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注：1.中标人要无条件接受采购人定期或不定期检查监督，本考核细则由采购人</w:t>
      </w:r>
      <w:r>
        <w:rPr>
          <w:rFonts w:hint="eastAsia" w:ascii="宋体" w:hAnsi="宋体" w:eastAsia="宋体" w:cs="宋体"/>
          <w:color w:val="000000"/>
          <w:sz w:val="24"/>
          <w:highlight w:val="none"/>
        </w:rPr>
        <w:t>每季度进行打分考核，满分为100分。若得分高于90分（含），考核成绩为优秀，当季实发</w:t>
      </w:r>
      <w:r>
        <w:rPr>
          <w:rFonts w:hint="eastAsia" w:ascii="宋体" w:hAnsi="宋体" w:eastAsia="宋体" w:cs="宋体"/>
          <w:sz w:val="24"/>
          <w:highlight w:val="none"/>
        </w:rPr>
        <w:t>金额为当季合同金额。若得分为80分（含）</w:t>
      </w:r>
      <w:r>
        <w:rPr>
          <w:rFonts w:hint="eastAsia" w:ascii="宋体" w:hAnsi="宋体" w:cs="宋体"/>
          <w:sz w:val="24"/>
          <w:highlight w:val="none"/>
          <w:lang w:eastAsia="zh-CN"/>
        </w:rPr>
        <w:t>——</w:t>
      </w:r>
      <w:r>
        <w:rPr>
          <w:rFonts w:hint="eastAsia" w:ascii="宋体" w:hAnsi="宋体" w:eastAsia="宋体" w:cs="宋体"/>
          <w:sz w:val="24"/>
          <w:highlight w:val="none"/>
        </w:rPr>
        <w:t>90分之间，考核成绩为合格；得89分，当季实发金额为当季合同金额的99%；得88分，当季实发金额为当季合同金额的98%；依此类推。若得分低于80分，考核成绩为不合格，一律扣发当季合同金额的5%作为经济处罚，且作为续签下一年物业服务合同的考核依据。</w:t>
      </w:r>
    </w:p>
    <w:p w14:paraId="158B21D0">
      <w:pPr>
        <w:shd w:val="clear"/>
        <w:snapToGrid w:val="0"/>
        <w:spacing w:line="560" w:lineRule="exact"/>
        <w:rPr>
          <w:rFonts w:hint="eastAsia" w:ascii="宋体" w:hAnsi="宋体" w:cs="宋体"/>
          <w:b/>
          <w:color w:val="auto"/>
          <w:sz w:val="28"/>
          <w:szCs w:val="22"/>
          <w:highlight w:val="none"/>
        </w:rPr>
      </w:pPr>
      <w:r>
        <w:rPr>
          <w:rFonts w:hint="eastAsia" w:ascii="宋体" w:hAnsi="宋体" w:eastAsia="宋体" w:cs="宋体"/>
          <w:sz w:val="24"/>
          <w:highlight w:val="none"/>
        </w:rPr>
        <w:t xml:space="preserve">    2.如果中标人管理混乱，经采购人督促后未改进，且连续两次考核不合格，采购人有权终止合同。</w:t>
      </w:r>
    </w:p>
    <w:p w14:paraId="45B75BB0">
      <w:pPr>
        <w:shd w:val="clear"/>
        <w:snapToGrid w:val="0"/>
        <w:spacing w:line="360" w:lineRule="auto"/>
        <w:jc w:val="center"/>
        <w:rPr>
          <w:rFonts w:hint="eastAsia"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                                                                            </w:t>
      </w:r>
    </w:p>
    <w:p w14:paraId="09BC2820">
      <w:pPr>
        <w:rPr>
          <w:rFonts w:hint="eastAsia"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br w:type="page"/>
      </w:r>
    </w:p>
    <w:p w14:paraId="3F0D123D">
      <w:pPr>
        <w:shd w:val="clear"/>
        <w:snapToGrid w:val="0"/>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 xml:space="preserve">第四部分   </w:t>
      </w:r>
      <w:bookmarkStart w:id="27" w:name="_Toc184314415"/>
      <w:bookmarkEnd w:id="27"/>
      <w:bookmarkStart w:id="28" w:name="_Toc184308102"/>
      <w:bookmarkEnd w:id="28"/>
      <w:bookmarkStart w:id="29" w:name="_Toc184310297"/>
      <w:bookmarkEnd w:id="29"/>
      <w:bookmarkStart w:id="30" w:name="_Toc184313272"/>
      <w:bookmarkEnd w:id="30"/>
      <w:bookmarkStart w:id="31" w:name="_Toc184308051"/>
      <w:bookmarkEnd w:id="31"/>
      <w:bookmarkStart w:id="32" w:name="_Toc184313305"/>
      <w:bookmarkEnd w:id="32"/>
      <w:bookmarkStart w:id="33" w:name="_Toc184310335"/>
      <w:bookmarkEnd w:id="33"/>
      <w:bookmarkStart w:id="34" w:name="_Toc184310328"/>
      <w:bookmarkEnd w:id="34"/>
      <w:bookmarkStart w:id="35" w:name="_Toc184312120"/>
      <w:bookmarkEnd w:id="35"/>
      <w:bookmarkStart w:id="36" w:name="_Toc184310300"/>
      <w:bookmarkEnd w:id="36"/>
      <w:bookmarkStart w:id="37" w:name="_Toc184314438"/>
      <w:bookmarkEnd w:id="37"/>
      <w:bookmarkStart w:id="38" w:name="_Toc184308095"/>
      <w:bookmarkEnd w:id="38"/>
      <w:bookmarkStart w:id="39" w:name="_Toc184313278"/>
      <w:bookmarkEnd w:id="39"/>
      <w:bookmarkStart w:id="40" w:name="_Toc184314457"/>
      <w:bookmarkEnd w:id="40"/>
      <w:bookmarkStart w:id="41" w:name="_Toc184308082"/>
      <w:bookmarkEnd w:id="41"/>
      <w:bookmarkStart w:id="42" w:name="_Toc184310310"/>
      <w:bookmarkEnd w:id="42"/>
      <w:bookmarkStart w:id="43" w:name="_Toc184308067"/>
      <w:bookmarkEnd w:id="43"/>
      <w:bookmarkStart w:id="44" w:name="_Toc184310302"/>
      <w:bookmarkEnd w:id="44"/>
      <w:bookmarkStart w:id="45" w:name="_Toc184313245"/>
      <w:bookmarkEnd w:id="45"/>
      <w:bookmarkStart w:id="46" w:name="_Toc184313264"/>
      <w:bookmarkEnd w:id="46"/>
      <w:bookmarkStart w:id="47" w:name="_Toc184314430"/>
      <w:bookmarkEnd w:id="47"/>
      <w:bookmarkStart w:id="48" w:name="_Toc184308060"/>
      <w:bookmarkEnd w:id="48"/>
      <w:bookmarkStart w:id="49" w:name="_Toc184314421"/>
      <w:bookmarkEnd w:id="49"/>
      <w:bookmarkStart w:id="50" w:name="_Toc184308041"/>
      <w:bookmarkEnd w:id="50"/>
      <w:bookmarkStart w:id="51" w:name="_Toc184312119"/>
      <w:bookmarkEnd w:id="51"/>
      <w:bookmarkStart w:id="52" w:name="_Toc184313302"/>
      <w:bookmarkEnd w:id="52"/>
      <w:bookmarkStart w:id="53" w:name="_Toc184314474"/>
      <w:bookmarkEnd w:id="53"/>
      <w:bookmarkStart w:id="54" w:name="_Toc184314454"/>
      <w:bookmarkEnd w:id="54"/>
      <w:bookmarkStart w:id="55" w:name="_Toc184313295"/>
      <w:bookmarkEnd w:id="55"/>
      <w:bookmarkStart w:id="56" w:name="_Toc184312122"/>
      <w:bookmarkEnd w:id="56"/>
      <w:bookmarkStart w:id="57" w:name="_Toc184313293"/>
      <w:bookmarkEnd w:id="57"/>
      <w:bookmarkStart w:id="58" w:name="_Toc184308069"/>
      <w:bookmarkEnd w:id="58"/>
      <w:bookmarkStart w:id="59" w:name="_Toc184314463"/>
      <w:bookmarkEnd w:id="59"/>
      <w:bookmarkStart w:id="60" w:name="_Toc184314472"/>
      <w:bookmarkEnd w:id="60"/>
      <w:bookmarkStart w:id="61" w:name="_Toc184312083"/>
      <w:bookmarkEnd w:id="61"/>
      <w:bookmarkStart w:id="62" w:name="_Toc184313283"/>
      <w:bookmarkEnd w:id="62"/>
      <w:bookmarkStart w:id="63" w:name="_Toc184313291"/>
      <w:bookmarkEnd w:id="63"/>
      <w:bookmarkStart w:id="64" w:name="_Toc184310277"/>
      <w:bookmarkEnd w:id="64"/>
      <w:bookmarkStart w:id="65" w:name="_Toc184312101"/>
      <w:bookmarkEnd w:id="65"/>
      <w:bookmarkStart w:id="66" w:name="_Toc184308085"/>
      <w:bookmarkEnd w:id="66"/>
      <w:bookmarkStart w:id="67" w:name="_Toc184313294"/>
      <w:bookmarkEnd w:id="67"/>
      <w:bookmarkStart w:id="68" w:name="_Toc184312080"/>
      <w:bookmarkEnd w:id="68"/>
      <w:bookmarkStart w:id="69" w:name="_Toc184310288"/>
      <w:bookmarkEnd w:id="69"/>
      <w:bookmarkStart w:id="70" w:name="_Toc184312117"/>
      <w:bookmarkEnd w:id="70"/>
      <w:bookmarkStart w:id="71" w:name="_Toc184310326"/>
      <w:bookmarkEnd w:id="71"/>
      <w:bookmarkStart w:id="72" w:name="_Toc184313255"/>
      <w:bookmarkEnd w:id="72"/>
      <w:bookmarkStart w:id="73" w:name="_Toc184313244"/>
      <w:bookmarkEnd w:id="73"/>
      <w:bookmarkStart w:id="74" w:name="_Toc184313288"/>
      <w:bookmarkEnd w:id="74"/>
      <w:bookmarkStart w:id="75" w:name="_Toc184313274"/>
      <w:bookmarkEnd w:id="75"/>
      <w:bookmarkStart w:id="76" w:name="_Toc184308042"/>
      <w:bookmarkEnd w:id="76"/>
      <w:bookmarkStart w:id="77" w:name="_Toc184314427"/>
      <w:bookmarkEnd w:id="77"/>
      <w:bookmarkStart w:id="78" w:name="_Toc184314456"/>
      <w:bookmarkEnd w:id="78"/>
      <w:bookmarkStart w:id="79" w:name="_Toc184312116"/>
      <w:bookmarkEnd w:id="79"/>
      <w:bookmarkStart w:id="80" w:name="_Toc184313249"/>
      <w:bookmarkEnd w:id="80"/>
      <w:bookmarkStart w:id="81" w:name="_Toc184313276"/>
      <w:bookmarkEnd w:id="81"/>
      <w:bookmarkStart w:id="82" w:name="_Toc184312109"/>
      <w:bookmarkEnd w:id="82"/>
      <w:bookmarkStart w:id="83" w:name="_Toc184308062"/>
      <w:bookmarkEnd w:id="83"/>
      <w:bookmarkStart w:id="84" w:name="_Toc184310285"/>
      <w:bookmarkEnd w:id="84"/>
      <w:bookmarkStart w:id="85" w:name="_Toc184312072"/>
      <w:bookmarkEnd w:id="85"/>
      <w:bookmarkStart w:id="86" w:name="_Toc184308094"/>
      <w:bookmarkEnd w:id="86"/>
      <w:bookmarkStart w:id="87" w:name="_Toc184314460"/>
      <w:bookmarkEnd w:id="87"/>
      <w:bookmarkStart w:id="88" w:name="_Toc184310318"/>
      <w:bookmarkEnd w:id="88"/>
      <w:bookmarkStart w:id="89" w:name="_Toc184308061"/>
      <w:bookmarkEnd w:id="89"/>
      <w:bookmarkStart w:id="90" w:name="_Toc184314443"/>
      <w:bookmarkEnd w:id="90"/>
      <w:bookmarkStart w:id="91" w:name="_Toc184308054"/>
      <w:bookmarkEnd w:id="91"/>
      <w:bookmarkStart w:id="92" w:name="_Toc184308036"/>
      <w:bookmarkEnd w:id="92"/>
      <w:bookmarkStart w:id="93" w:name="_Toc184313248"/>
      <w:bookmarkEnd w:id="93"/>
      <w:bookmarkStart w:id="94" w:name="_Toc184314481"/>
      <w:bookmarkEnd w:id="94"/>
      <w:bookmarkStart w:id="95" w:name="_Toc184308101"/>
      <w:bookmarkEnd w:id="95"/>
      <w:bookmarkStart w:id="96" w:name="_Toc184310298"/>
      <w:bookmarkEnd w:id="96"/>
      <w:bookmarkStart w:id="97" w:name="_Toc184308087"/>
      <w:bookmarkEnd w:id="97"/>
      <w:bookmarkStart w:id="98" w:name="_Toc184310339"/>
      <w:bookmarkEnd w:id="98"/>
      <w:bookmarkStart w:id="99" w:name="_Toc184314416"/>
      <w:bookmarkEnd w:id="99"/>
      <w:bookmarkStart w:id="100" w:name="_Toc184312133"/>
      <w:bookmarkEnd w:id="100"/>
      <w:bookmarkStart w:id="101" w:name="_Toc184314448"/>
      <w:bookmarkEnd w:id="101"/>
      <w:bookmarkStart w:id="102" w:name="_Toc184312115"/>
      <w:bookmarkEnd w:id="102"/>
      <w:bookmarkStart w:id="103" w:name="_Toc184308078"/>
      <w:bookmarkEnd w:id="103"/>
      <w:bookmarkStart w:id="104" w:name="_Toc184313308"/>
      <w:bookmarkEnd w:id="104"/>
      <w:bookmarkStart w:id="105" w:name="_Toc184312098"/>
      <w:bookmarkEnd w:id="105"/>
      <w:bookmarkStart w:id="106" w:name="_Toc184310276"/>
      <w:bookmarkEnd w:id="106"/>
      <w:bookmarkStart w:id="107" w:name="_Toc184308074"/>
      <w:bookmarkEnd w:id="107"/>
      <w:bookmarkStart w:id="108" w:name="_Toc184314410"/>
      <w:bookmarkEnd w:id="108"/>
      <w:bookmarkStart w:id="109" w:name="_Toc184314482"/>
      <w:bookmarkEnd w:id="109"/>
      <w:bookmarkStart w:id="110" w:name="_Toc184313247"/>
      <w:bookmarkEnd w:id="110"/>
      <w:bookmarkStart w:id="111" w:name="_Toc184312092"/>
      <w:bookmarkEnd w:id="111"/>
      <w:bookmarkStart w:id="112" w:name="_Toc184308092"/>
      <w:bookmarkEnd w:id="112"/>
      <w:bookmarkStart w:id="113" w:name="_Toc184312121"/>
      <w:bookmarkEnd w:id="113"/>
      <w:bookmarkStart w:id="114" w:name="_Toc184308038"/>
      <w:bookmarkEnd w:id="114"/>
      <w:bookmarkStart w:id="115" w:name="_Toc184310287"/>
      <w:bookmarkEnd w:id="115"/>
      <w:bookmarkStart w:id="116" w:name="_Toc184313300"/>
      <w:bookmarkEnd w:id="116"/>
      <w:bookmarkStart w:id="117" w:name="_Toc184314465"/>
      <w:bookmarkEnd w:id="117"/>
      <w:bookmarkStart w:id="118" w:name="_Toc184312131"/>
      <w:bookmarkEnd w:id="118"/>
      <w:bookmarkStart w:id="119" w:name="_Toc184313270"/>
      <w:bookmarkEnd w:id="119"/>
      <w:bookmarkStart w:id="120" w:name="_Toc184312094"/>
      <w:bookmarkEnd w:id="120"/>
      <w:bookmarkStart w:id="121" w:name="_Toc184312128"/>
      <w:bookmarkEnd w:id="121"/>
      <w:bookmarkStart w:id="122" w:name="_Toc184314479"/>
      <w:bookmarkEnd w:id="122"/>
      <w:bookmarkStart w:id="123" w:name="_Toc184314478"/>
      <w:bookmarkEnd w:id="123"/>
      <w:bookmarkStart w:id="124" w:name="_Toc184314420"/>
      <w:bookmarkEnd w:id="124"/>
      <w:bookmarkStart w:id="125" w:name="_Toc184314424"/>
      <w:bookmarkEnd w:id="125"/>
      <w:bookmarkStart w:id="126" w:name="_Toc184314451"/>
      <w:bookmarkEnd w:id="126"/>
      <w:bookmarkStart w:id="127" w:name="_Toc184313296"/>
      <w:bookmarkEnd w:id="127"/>
      <w:bookmarkStart w:id="128" w:name="_Toc184314429"/>
      <w:bookmarkEnd w:id="128"/>
      <w:bookmarkStart w:id="129" w:name="_Toc184308071"/>
      <w:bookmarkEnd w:id="129"/>
      <w:bookmarkStart w:id="130" w:name="_Toc184313261"/>
      <w:bookmarkEnd w:id="130"/>
      <w:bookmarkStart w:id="131" w:name="_Toc184310342"/>
      <w:bookmarkEnd w:id="131"/>
      <w:bookmarkStart w:id="132" w:name="_Toc184313266"/>
      <w:bookmarkEnd w:id="132"/>
      <w:bookmarkStart w:id="133" w:name="_Toc184308050"/>
      <w:bookmarkEnd w:id="133"/>
      <w:bookmarkStart w:id="134" w:name="_Toc184308066"/>
      <w:bookmarkEnd w:id="134"/>
      <w:bookmarkStart w:id="135" w:name="_Toc184313290"/>
      <w:bookmarkEnd w:id="135"/>
      <w:bookmarkStart w:id="136" w:name="_Toc184312095"/>
      <w:bookmarkEnd w:id="136"/>
      <w:bookmarkStart w:id="137" w:name="_Toc184310286"/>
      <w:bookmarkEnd w:id="137"/>
      <w:bookmarkStart w:id="138" w:name="_Toc184313281"/>
      <w:bookmarkEnd w:id="138"/>
      <w:bookmarkStart w:id="139" w:name="_Toc184310301"/>
      <w:bookmarkEnd w:id="139"/>
      <w:bookmarkStart w:id="140" w:name="_Toc184310279"/>
      <w:bookmarkEnd w:id="140"/>
      <w:bookmarkStart w:id="141" w:name="_Toc184308084"/>
      <w:bookmarkEnd w:id="141"/>
      <w:bookmarkStart w:id="142" w:name="_Toc184308107"/>
      <w:bookmarkEnd w:id="142"/>
      <w:bookmarkStart w:id="143" w:name="_Toc184314426"/>
      <w:bookmarkEnd w:id="143"/>
      <w:bookmarkStart w:id="144" w:name="_Toc184308080"/>
      <w:bookmarkEnd w:id="144"/>
      <w:bookmarkStart w:id="145" w:name="_Toc184314470"/>
      <w:bookmarkEnd w:id="145"/>
      <w:bookmarkStart w:id="146" w:name="_Toc184314445"/>
      <w:bookmarkEnd w:id="146"/>
      <w:bookmarkStart w:id="147" w:name="_Toc184314432"/>
      <w:bookmarkEnd w:id="147"/>
      <w:bookmarkStart w:id="148" w:name="_Toc184308076"/>
      <w:bookmarkEnd w:id="148"/>
      <w:bookmarkStart w:id="149" w:name="_Toc184312134"/>
      <w:bookmarkEnd w:id="149"/>
      <w:bookmarkStart w:id="150" w:name="_Toc184308098"/>
      <w:bookmarkEnd w:id="150"/>
      <w:bookmarkStart w:id="151" w:name="_Toc184310320"/>
      <w:bookmarkEnd w:id="151"/>
      <w:bookmarkStart w:id="152" w:name="_Toc184310282"/>
      <w:bookmarkEnd w:id="152"/>
      <w:bookmarkStart w:id="153" w:name="_Toc184313257"/>
      <w:bookmarkEnd w:id="153"/>
      <w:bookmarkStart w:id="154" w:name="_Toc184308052"/>
      <w:bookmarkEnd w:id="154"/>
      <w:bookmarkStart w:id="155" w:name="_Toc184313263"/>
      <w:bookmarkEnd w:id="155"/>
      <w:bookmarkStart w:id="156" w:name="_Toc184312132"/>
      <w:bookmarkEnd w:id="156"/>
      <w:bookmarkStart w:id="157" w:name="_Toc184310295"/>
      <w:bookmarkEnd w:id="157"/>
      <w:bookmarkStart w:id="158" w:name="_Toc184308055"/>
      <w:bookmarkEnd w:id="158"/>
      <w:bookmarkStart w:id="159" w:name="_Toc184312126"/>
      <w:bookmarkEnd w:id="159"/>
      <w:bookmarkStart w:id="160" w:name="_Toc184313243"/>
      <w:bookmarkEnd w:id="160"/>
      <w:bookmarkStart w:id="161" w:name="_Toc184310341"/>
      <w:bookmarkEnd w:id="161"/>
      <w:bookmarkStart w:id="162" w:name="_Toc184312125"/>
      <w:bookmarkEnd w:id="162"/>
      <w:bookmarkStart w:id="163" w:name="_Toc184313292"/>
      <w:bookmarkEnd w:id="163"/>
      <w:bookmarkStart w:id="164" w:name="_Toc184313289"/>
      <w:bookmarkEnd w:id="164"/>
      <w:bookmarkStart w:id="165" w:name="_Toc184308048"/>
      <w:bookmarkEnd w:id="165"/>
      <w:bookmarkStart w:id="166" w:name="_Toc184313309"/>
      <w:bookmarkEnd w:id="166"/>
      <w:bookmarkStart w:id="167" w:name="_Toc184314423"/>
      <w:bookmarkEnd w:id="167"/>
      <w:bookmarkStart w:id="168" w:name="_Toc184310317"/>
      <w:bookmarkEnd w:id="168"/>
      <w:bookmarkStart w:id="169" w:name="_Toc184313251"/>
      <w:bookmarkEnd w:id="169"/>
      <w:bookmarkStart w:id="170" w:name="_Toc184314441"/>
      <w:bookmarkEnd w:id="170"/>
      <w:bookmarkStart w:id="171" w:name="_Toc184310272"/>
      <w:bookmarkEnd w:id="171"/>
      <w:bookmarkStart w:id="172" w:name="_Toc184313267"/>
      <w:bookmarkEnd w:id="172"/>
      <w:bookmarkStart w:id="173" w:name="_Toc184314431"/>
      <w:bookmarkEnd w:id="173"/>
      <w:bookmarkStart w:id="174" w:name="_Toc184312139"/>
      <w:bookmarkEnd w:id="174"/>
      <w:bookmarkStart w:id="175" w:name="_Toc184314439"/>
      <w:bookmarkEnd w:id="175"/>
      <w:bookmarkStart w:id="176" w:name="_Toc184310324"/>
      <w:bookmarkEnd w:id="176"/>
      <w:bookmarkStart w:id="177" w:name="_Toc184313306"/>
      <w:bookmarkEnd w:id="177"/>
      <w:bookmarkStart w:id="178" w:name="_Toc184308059"/>
      <w:bookmarkEnd w:id="178"/>
      <w:bookmarkStart w:id="179" w:name="_Toc184312103"/>
      <w:bookmarkEnd w:id="179"/>
      <w:bookmarkStart w:id="180" w:name="_Toc184310289"/>
      <w:bookmarkEnd w:id="180"/>
      <w:bookmarkStart w:id="181" w:name="_Toc184314480"/>
      <w:bookmarkEnd w:id="181"/>
      <w:bookmarkStart w:id="182" w:name="_Toc184314452"/>
      <w:bookmarkEnd w:id="182"/>
      <w:bookmarkStart w:id="183" w:name="_Toc184310307"/>
      <w:bookmarkEnd w:id="183"/>
      <w:bookmarkStart w:id="184" w:name="_Toc184313250"/>
      <w:bookmarkEnd w:id="184"/>
      <w:bookmarkStart w:id="185" w:name="_Toc184308045"/>
      <w:bookmarkEnd w:id="185"/>
      <w:bookmarkStart w:id="186" w:name="_Toc184308100"/>
      <w:bookmarkEnd w:id="186"/>
      <w:bookmarkStart w:id="187" w:name="_Toc184310274"/>
      <w:bookmarkEnd w:id="187"/>
      <w:bookmarkStart w:id="188" w:name="_Toc184308072"/>
      <w:bookmarkEnd w:id="188"/>
      <w:bookmarkStart w:id="189" w:name="_Toc184308077"/>
      <w:bookmarkEnd w:id="189"/>
      <w:bookmarkStart w:id="190" w:name="_Toc184312087"/>
      <w:bookmarkEnd w:id="190"/>
      <w:bookmarkStart w:id="191" w:name="_Toc184312102"/>
      <w:bookmarkEnd w:id="191"/>
      <w:bookmarkStart w:id="192" w:name="_Toc184312069"/>
      <w:bookmarkEnd w:id="192"/>
      <w:bookmarkStart w:id="193" w:name="_Toc184310294"/>
      <w:bookmarkEnd w:id="193"/>
      <w:bookmarkStart w:id="194" w:name="_Toc184312099"/>
      <w:bookmarkEnd w:id="194"/>
      <w:bookmarkStart w:id="195" w:name="_Toc184313242"/>
      <w:bookmarkEnd w:id="195"/>
      <w:bookmarkStart w:id="196" w:name="_Toc184310281"/>
      <w:bookmarkEnd w:id="196"/>
      <w:bookmarkStart w:id="197" w:name="_Toc184312077"/>
      <w:bookmarkEnd w:id="197"/>
      <w:bookmarkStart w:id="198" w:name="_Toc184314437"/>
      <w:bookmarkEnd w:id="198"/>
      <w:bookmarkStart w:id="199" w:name="_Toc184308086"/>
      <w:bookmarkEnd w:id="199"/>
      <w:bookmarkStart w:id="200" w:name="_Toc184313271"/>
      <w:bookmarkEnd w:id="200"/>
      <w:bookmarkStart w:id="201" w:name="_Toc184314419"/>
      <w:bookmarkEnd w:id="201"/>
      <w:bookmarkStart w:id="202" w:name="_Toc184312079"/>
      <w:bookmarkEnd w:id="202"/>
      <w:bookmarkStart w:id="203" w:name="_Toc184313280"/>
      <w:bookmarkEnd w:id="203"/>
      <w:bookmarkStart w:id="204" w:name="_Toc184308089"/>
      <w:bookmarkEnd w:id="204"/>
      <w:bookmarkStart w:id="205" w:name="_Toc184312097"/>
      <w:bookmarkEnd w:id="205"/>
      <w:bookmarkStart w:id="206" w:name="_Toc184314412"/>
      <w:bookmarkEnd w:id="206"/>
      <w:bookmarkStart w:id="207" w:name="_Toc184312111"/>
      <w:bookmarkEnd w:id="207"/>
      <w:bookmarkStart w:id="208" w:name="_Toc184313246"/>
      <w:bookmarkEnd w:id="208"/>
      <w:bookmarkStart w:id="209" w:name="_Toc184308075"/>
      <w:bookmarkEnd w:id="209"/>
      <w:bookmarkStart w:id="210" w:name="_Toc184314453"/>
      <w:bookmarkEnd w:id="210"/>
      <w:bookmarkStart w:id="211" w:name="_Toc184308079"/>
      <w:bookmarkEnd w:id="211"/>
      <w:bookmarkStart w:id="212" w:name="_Toc184310332"/>
      <w:bookmarkEnd w:id="212"/>
      <w:bookmarkStart w:id="213" w:name="_Toc184312135"/>
      <w:bookmarkEnd w:id="213"/>
      <w:bookmarkStart w:id="214" w:name="_Toc184313279"/>
      <w:bookmarkEnd w:id="214"/>
      <w:bookmarkStart w:id="215" w:name="_Toc184312124"/>
      <w:bookmarkEnd w:id="215"/>
      <w:bookmarkStart w:id="216" w:name="_Toc184308093"/>
      <w:bookmarkEnd w:id="216"/>
      <w:bookmarkStart w:id="217" w:name="_Toc184313238"/>
      <w:bookmarkEnd w:id="217"/>
      <w:bookmarkStart w:id="218" w:name="_Toc184310299"/>
      <w:bookmarkEnd w:id="218"/>
      <w:bookmarkStart w:id="219" w:name="_Toc184310325"/>
      <w:bookmarkEnd w:id="219"/>
      <w:bookmarkStart w:id="220" w:name="_Toc184310327"/>
      <w:bookmarkEnd w:id="220"/>
      <w:bookmarkStart w:id="221" w:name="_Toc184312104"/>
      <w:bookmarkEnd w:id="221"/>
      <w:bookmarkStart w:id="222" w:name="_Toc184314434"/>
      <w:bookmarkEnd w:id="222"/>
      <w:bookmarkStart w:id="223" w:name="_Toc184314417"/>
      <w:bookmarkEnd w:id="223"/>
      <w:bookmarkStart w:id="224" w:name="_Toc184310343"/>
      <w:bookmarkEnd w:id="224"/>
      <w:bookmarkStart w:id="225" w:name="_Toc184308103"/>
      <w:bookmarkEnd w:id="225"/>
      <w:bookmarkStart w:id="226" w:name="_Toc184313287"/>
      <w:bookmarkEnd w:id="226"/>
      <w:bookmarkStart w:id="227" w:name="_Toc184312108"/>
      <w:bookmarkEnd w:id="227"/>
      <w:bookmarkStart w:id="228" w:name="_Toc184308043"/>
      <w:bookmarkEnd w:id="228"/>
      <w:bookmarkStart w:id="229" w:name="_Toc184314433"/>
      <w:bookmarkEnd w:id="229"/>
      <w:bookmarkStart w:id="230" w:name="_Toc184310344"/>
      <w:bookmarkEnd w:id="230"/>
      <w:bookmarkStart w:id="231" w:name="_Toc184312129"/>
      <w:bookmarkEnd w:id="231"/>
      <w:bookmarkStart w:id="232" w:name="_Toc184312086"/>
      <w:bookmarkEnd w:id="232"/>
      <w:bookmarkStart w:id="233" w:name="_Toc184314449"/>
      <w:bookmarkEnd w:id="233"/>
      <w:bookmarkStart w:id="234" w:name="_Toc184310291"/>
      <w:bookmarkEnd w:id="234"/>
      <w:bookmarkStart w:id="235" w:name="_Toc184314476"/>
      <w:bookmarkEnd w:id="235"/>
      <w:bookmarkStart w:id="236" w:name="_Toc184313275"/>
      <w:bookmarkEnd w:id="236"/>
      <w:bookmarkStart w:id="237" w:name="_Toc184312107"/>
      <w:bookmarkEnd w:id="237"/>
      <w:bookmarkStart w:id="238" w:name="_Toc184308106"/>
      <w:bookmarkEnd w:id="238"/>
      <w:bookmarkStart w:id="239" w:name="_Toc184314461"/>
      <w:bookmarkEnd w:id="239"/>
      <w:bookmarkStart w:id="240" w:name="_Toc184314435"/>
      <w:bookmarkEnd w:id="240"/>
      <w:bookmarkStart w:id="241" w:name="_Toc184308099"/>
      <w:bookmarkEnd w:id="241"/>
      <w:bookmarkStart w:id="242" w:name="_Toc184308065"/>
      <w:bookmarkEnd w:id="242"/>
      <w:bookmarkStart w:id="243" w:name="_Toc184310316"/>
      <w:bookmarkEnd w:id="243"/>
      <w:bookmarkStart w:id="244" w:name="_Toc184312114"/>
      <w:bookmarkEnd w:id="244"/>
      <w:bookmarkStart w:id="245" w:name="_Toc184312074"/>
      <w:bookmarkEnd w:id="245"/>
      <w:bookmarkStart w:id="246" w:name="_Toc184310296"/>
      <w:bookmarkEnd w:id="246"/>
      <w:bookmarkStart w:id="247" w:name="_Toc184312130"/>
      <w:bookmarkEnd w:id="247"/>
      <w:bookmarkStart w:id="248" w:name="_Toc184312105"/>
      <w:bookmarkEnd w:id="248"/>
      <w:bookmarkStart w:id="249" w:name="_Toc184314477"/>
      <w:bookmarkEnd w:id="249"/>
      <w:bookmarkStart w:id="250" w:name="_Toc184308044"/>
      <w:bookmarkEnd w:id="250"/>
      <w:bookmarkStart w:id="251" w:name="_Toc184312070"/>
      <w:bookmarkEnd w:id="251"/>
      <w:bookmarkStart w:id="252" w:name="_Toc184310304"/>
      <w:bookmarkEnd w:id="252"/>
      <w:bookmarkStart w:id="253" w:name="_Toc184312127"/>
      <w:bookmarkEnd w:id="253"/>
      <w:bookmarkStart w:id="254" w:name="_Toc184312118"/>
      <w:bookmarkEnd w:id="254"/>
      <w:bookmarkStart w:id="255" w:name="_Toc184308057"/>
      <w:bookmarkEnd w:id="255"/>
      <w:bookmarkStart w:id="256" w:name="_Toc184313277"/>
      <w:bookmarkEnd w:id="256"/>
      <w:bookmarkStart w:id="257" w:name="_Toc184308037"/>
      <w:bookmarkEnd w:id="257"/>
      <w:bookmarkStart w:id="258" w:name="_Toc184308063"/>
      <w:bookmarkEnd w:id="258"/>
      <w:bookmarkStart w:id="259" w:name="_Toc184312110"/>
      <w:bookmarkEnd w:id="259"/>
      <w:bookmarkStart w:id="260" w:name="_Toc184312106"/>
      <w:bookmarkEnd w:id="260"/>
      <w:bookmarkStart w:id="261" w:name="_Toc184314428"/>
      <w:bookmarkEnd w:id="261"/>
      <w:bookmarkStart w:id="262" w:name="_Toc184312136"/>
      <w:bookmarkEnd w:id="262"/>
      <w:bookmarkStart w:id="263" w:name="_Toc184314469"/>
      <w:bookmarkEnd w:id="263"/>
      <w:bookmarkStart w:id="264" w:name="_Toc184314467"/>
      <w:bookmarkEnd w:id="264"/>
      <w:bookmarkStart w:id="265" w:name="_Toc184310290"/>
      <w:bookmarkEnd w:id="265"/>
      <w:bookmarkStart w:id="266" w:name="_Toc184313253"/>
      <w:bookmarkEnd w:id="266"/>
      <w:bookmarkStart w:id="267" w:name="_Toc184314455"/>
      <w:bookmarkEnd w:id="267"/>
      <w:bookmarkStart w:id="268" w:name="_Toc184313297"/>
      <w:bookmarkEnd w:id="268"/>
      <w:bookmarkStart w:id="269" w:name="_Toc184313301"/>
      <w:bookmarkEnd w:id="269"/>
      <w:bookmarkStart w:id="270" w:name="_Toc184314446"/>
      <w:bookmarkEnd w:id="270"/>
      <w:bookmarkStart w:id="271" w:name="_Toc184314458"/>
      <w:bookmarkEnd w:id="271"/>
      <w:bookmarkStart w:id="272" w:name="_Toc184313304"/>
      <w:bookmarkEnd w:id="272"/>
      <w:bookmarkStart w:id="273" w:name="_Toc184310305"/>
      <w:bookmarkEnd w:id="273"/>
      <w:bookmarkStart w:id="274" w:name="_Toc184310280"/>
      <w:bookmarkEnd w:id="274"/>
      <w:bookmarkStart w:id="275" w:name="_Toc184310337"/>
      <w:bookmarkEnd w:id="275"/>
      <w:bookmarkStart w:id="276" w:name="_Toc184312112"/>
      <w:bookmarkEnd w:id="276"/>
      <w:bookmarkStart w:id="277" w:name="_Toc184313310"/>
      <w:bookmarkEnd w:id="277"/>
      <w:bookmarkStart w:id="278" w:name="_Toc184314425"/>
      <w:bookmarkEnd w:id="278"/>
      <w:bookmarkStart w:id="279" w:name="_Toc184308068"/>
      <w:bookmarkEnd w:id="279"/>
      <w:bookmarkStart w:id="280" w:name="_Toc184310333"/>
      <w:bookmarkEnd w:id="280"/>
      <w:bookmarkStart w:id="281" w:name="_Toc184313262"/>
      <w:bookmarkEnd w:id="281"/>
      <w:bookmarkStart w:id="282" w:name="_Toc184310308"/>
      <w:bookmarkEnd w:id="282"/>
      <w:bookmarkStart w:id="283" w:name="_Toc184310321"/>
      <w:bookmarkEnd w:id="283"/>
      <w:bookmarkStart w:id="284" w:name="_Toc184308058"/>
      <w:bookmarkEnd w:id="284"/>
      <w:bookmarkStart w:id="285" w:name="_Toc184314459"/>
      <w:bookmarkEnd w:id="285"/>
      <w:bookmarkStart w:id="286" w:name="_Toc184312088"/>
      <w:bookmarkEnd w:id="286"/>
      <w:bookmarkStart w:id="287" w:name="_Toc184310278"/>
      <w:bookmarkEnd w:id="287"/>
      <w:bookmarkStart w:id="288" w:name="_Toc184312100"/>
      <w:bookmarkEnd w:id="288"/>
      <w:bookmarkStart w:id="289" w:name="_Toc184308070"/>
      <w:bookmarkEnd w:id="289"/>
      <w:bookmarkStart w:id="290" w:name="_Toc184313303"/>
      <w:bookmarkEnd w:id="290"/>
      <w:bookmarkStart w:id="291" w:name="_Toc184310329"/>
      <w:bookmarkEnd w:id="291"/>
      <w:bookmarkStart w:id="292" w:name="_Toc184314471"/>
      <w:bookmarkEnd w:id="292"/>
      <w:bookmarkStart w:id="293" w:name="_Toc184312084"/>
      <w:bookmarkEnd w:id="293"/>
      <w:bookmarkStart w:id="294" w:name="_Toc184310313"/>
      <w:bookmarkEnd w:id="294"/>
      <w:bookmarkStart w:id="295" w:name="_Toc184313269"/>
      <w:bookmarkEnd w:id="295"/>
      <w:bookmarkStart w:id="296" w:name="_Toc184313298"/>
      <w:bookmarkEnd w:id="296"/>
      <w:bookmarkStart w:id="297" w:name="_Toc184312068"/>
      <w:bookmarkEnd w:id="297"/>
      <w:bookmarkStart w:id="298" w:name="_Toc184312093"/>
      <w:bookmarkEnd w:id="298"/>
      <w:bookmarkStart w:id="299" w:name="_Toc184314418"/>
      <w:bookmarkEnd w:id="299"/>
      <w:bookmarkStart w:id="300" w:name="_Toc184308040"/>
      <w:bookmarkEnd w:id="300"/>
      <w:bookmarkStart w:id="301" w:name="_Toc184310306"/>
      <w:bookmarkEnd w:id="301"/>
      <w:bookmarkStart w:id="302" w:name="_Toc184310311"/>
      <w:bookmarkEnd w:id="302"/>
      <w:bookmarkStart w:id="303" w:name="_Toc184310323"/>
      <w:bookmarkEnd w:id="303"/>
      <w:bookmarkStart w:id="304" w:name="_Toc184314411"/>
      <w:bookmarkEnd w:id="304"/>
      <w:bookmarkStart w:id="305" w:name="_Toc184310273"/>
      <w:bookmarkEnd w:id="305"/>
      <w:bookmarkStart w:id="306" w:name="_Toc184308046"/>
      <w:bookmarkEnd w:id="306"/>
      <w:bookmarkStart w:id="307" w:name="_Toc184313241"/>
      <w:bookmarkEnd w:id="307"/>
      <w:bookmarkStart w:id="308" w:name="_Toc184308096"/>
      <w:bookmarkEnd w:id="308"/>
      <w:bookmarkStart w:id="309" w:name="_Toc184312138"/>
      <w:bookmarkEnd w:id="309"/>
      <w:bookmarkStart w:id="310" w:name="_Toc184313240"/>
      <w:bookmarkEnd w:id="310"/>
      <w:bookmarkStart w:id="311" w:name="_Toc184314414"/>
      <w:bookmarkEnd w:id="311"/>
      <w:bookmarkStart w:id="312" w:name="_Toc184310303"/>
      <w:bookmarkEnd w:id="312"/>
      <w:bookmarkStart w:id="313" w:name="_Toc184308073"/>
      <w:bookmarkEnd w:id="313"/>
      <w:bookmarkStart w:id="314" w:name="_Toc184313265"/>
      <w:bookmarkEnd w:id="314"/>
      <w:bookmarkStart w:id="315" w:name="_Toc184308090"/>
      <w:bookmarkEnd w:id="315"/>
      <w:bookmarkStart w:id="316" w:name="_Toc184314413"/>
      <w:bookmarkEnd w:id="316"/>
      <w:bookmarkStart w:id="317" w:name="_Toc184313307"/>
      <w:bookmarkEnd w:id="317"/>
      <w:bookmarkStart w:id="318" w:name="_Toc184313268"/>
      <w:bookmarkEnd w:id="318"/>
      <w:bookmarkStart w:id="319" w:name="_Toc184312078"/>
      <w:bookmarkEnd w:id="319"/>
      <w:bookmarkStart w:id="320" w:name="_Toc184310322"/>
      <w:bookmarkEnd w:id="320"/>
      <w:bookmarkStart w:id="321" w:name="_Toc184313282"/>
      <w:bookmarkEnd w:id="321"/>
      <w:bookmarkStart w:id="322" w:name="_Toc184308091"/>
      <w:bookmarkEnd w:id="322"/>
      <w:bookmarkStart w:id="323" w:name="_Toc184310319"/>
      <w:bookmarkEnd w:id="323"/>
      <w:bookmarkStart w:id="324" w:name="_Toc184310340"/>
      <w:bookmarkEnd w:id="324"/>
      <w:bookmarkStart w:id="325" w:name="_Toc184312067"/>
      <w:bookmarkEnd w:id="325"/>
      <w:bookmarkStart w:id="326" w:name="_Toc184314466"/>
      <w:bookmarkEnd w:id="326"/>
      <w:bookmarkStart w:id="327" w:name="_Toc184308049"/>
      <w:bookmarkEnd w:id="327"/>
      <w:bookmarkStart w:id="328" w:name="_Toc184314462"/>
      <w:bookmarkEnd w:id="328"/>
      <w:bookmarkStart w:id="329" w:name="_Toc184313239"/>
      <w:bookmarkEnd w:id="329"/>
      <w:bookmarkStart w:id="330" w:name="_Toc184312091"/>
      <w:bookmarkEnd w:id="330"/>
      <w:bookmarkStart w:id="331" w:name="_Toc184313256"/>
      <w:bookmarkEnd w:id="331"/>
      <w:bookmarkStart w:id="332" w:name="_Toc184310275"/>
      <w:bookmarkEnd w:id="332"/>
      <w:bookmarkStart w:id="333" w:name="_Toc184313254"/>
      <w:bookmarkEnd w:id="333"/>
      <w:bookmarkStart w:id="334" w:name="_Toc184312113"/>
      <w:bookmarkEnd w:id="334"/>
      <w:bookmarkStart w:id="335" w:name="_Toc184308064"/>
      <w:bookmarkEnd w:id="335"/>
      <w:bookmarkStart w:id="336" w:name="_Toc184312081"/>
      <w:bookmarkEnd w:id="336"/>
      <w:bookmarkStart w:id="337" w:name="_Toc184312090"/>
      <w:bookmarkEnd w:id="337"/>
      <w:bookmarkStart w:id="338" w:name="_Toc184313252"/>
      <w:bookmarkEnd w:id="338"/>
      <w:bookmarkStart w:id="339" w:name="_Toc184310315"/>
      <w:bookmarkEnd w:id="339"/>
      <w:bookmarkStart w:id="340" w:name="_Toc184308053"/>
      <w:bookmarkEnd w:id="340"/>
      <w:bookmarkStart w:id="341" w:name="_Toc184314450"/>
      <w:bookmarkEnd w:id="341"/>
      <w:bookmarkStart w:id="342" w:name="_Toc184310312"/>
      <w:bookmarkEnd w:id="342"/>
      <w:bookmarkStart w:id="343" w:name="_Toc184314464"/>
      <w:bookmarkEnd w:id="343"/>
      <w:bookmarkStart w:id="344" w:name="_Toc184313273"/>
      <w:bookmarkEnd w:id="344"/>
      <w:bookmarkStart w:id="345" w:name="_Toc184314444"/>
      <w:bookmarkEnd w:id="345"/>
      <w:bookmarkStart w:id="346" w:name="_Toc184312123"/>
      <w:bookmarkEnd w:id="346"/>
      <w:bookmarkStart w:id="347" w:name="_Toc184312089"/>
      <w:bookmarkEnd w:id="347"/>
      <w:bookmarkStart w:id="348" w:name="_Toc184308105"/>
      <w:bookmarkEnd w:id="348"/>
      <w:bookmarkStart w:id="349" w:name="_Toc184308039"/>
      <w:bookmarkEnd w:id="349"/>
      <w:bookmarkStart w:id="350" w:name="_Toc184312071"/>
      <w:bookmarkEnd w:id="350"/>
      <w:bookmarkStart w:id="351" w:name="_Toc184310292"/>
      <w:bookmarkEnd w:id="351"/>
      <w:bookmarkStart w:id="352" w:name="_Toc184313299"/>
      <w:bookmarkEnd w:id="352"/>
      <w:bookmarkStart w:id="353" w:name="_Toc184308047"/>
      <w:bookmarkEnd w:id="353"/>
      <w:bookmarkStart w:id="354" w:name="_Toc184308097"/>
      <w:bookmarkEnd w:id="354"/>
      <w:bookmarkStart w:id="355" w:name="_Toc184313260"/>
      <w:bookmarkEnd w:id="355"/>
      <w:bookmarkStart w:id="356" w:name="_Toc184310336"/>
      <w:bookmarkEnd w:id="356"/>
      <w:bookmarkStart w:id="357" w:name="_Toc184308083"/>
      <w:bookmarkEnd w:id="357"/>
      <w:bookmarkStart w:id="358" w:name="_Toc184308108"/>
      <w:bookmarkEnd w:id="358"/>
      <w:bookmarkStart w:id="359" w:name="_Toc184310309"/>
      <w:bookmarkEnd w:id="359"/>
      <w:bookmarkStart w:id="360" w:name="_Toc184312076"/>
      <w:bookmarkEnd w:id="360"/>
      <w:bookmarkStart w:id="361" w:name="_Toc184312073"/>
      <w:bookmarkEnd w:id="361"/>
      <w:bookmarkStart w:id="362" w:name="_Toc184314475"/>
      <w:bookmarkEnd w:id="362"/>
      <w:bookmarkStart w:id="363" w:name="_Toc184310331"/>
      <w:bookmarkEnd w:id="363"/>
      <w:bookmarkStart w:id="364" w:name="_Toc184314442"/>
      <w:bookmarkEnd w:id="364"/>
      <w:bookmarkStart w:id="365" w:name="_Toc184310330"/>
      <w:bookmarkEnd w:id="365"/>
      <w:bookmarkStart w:id="366" w:name="_Toc184313285"/>
      <w:bookmarkEnd w:id="366"/>
      <w:bookmarkStart w:id="367" w:name="_Toc184308088"/>
      <w:bookmarkEnd w:id="367"/>
      <w:bookmarkStart w:id="368" w:name="_Toc184314447"/>
      <w:bookmarkEnd w:id="368"/>
      <w:bookmarkStart w:id="369" w:name="_Toc184314440"/>
      <w:bookmarkEnd w:id="369"/>
      <w:bookmarkStart w:id="370" w:name="_Toc184310314"/>
      <w:bookmarkEnd w:id="370"/>
      <w:bookmarkStart w:id="371" w:name="_Toc184314436"/>
      <w:bookmarkEnd w:id="371"/>
      <w:bookmarkStart w:id="372" w:name="_Toc184312096"/>
      <w:bookmarkEnd w:id="372"/>
      <w:bookmarkStart w:id="373" w:name="_Toc184312085"/>
      <w:bookmarkEnd w:id="373"/>
      <w:bookmarkStart w:id="374" w:name="_Toc184310293"/>
      <w:bookmarkEnd w:id="374"/>
      <w:bookmarkStart w:id="375" w:name="_Toc184312075"/>
      <w:bookmarkEnd w:id="375"/>
      <w:bookmarkStart w:id="376" w:name="_Toc184310284"/>
      <w:bookmarkEnd w:id="376"/>
      <w:bookmarkStart w:id="377" w:name="_Toc184308104"/>
      <w:bookmarkEnd w:id="377"/>
      <w:bookmarkStart w:id="378" w:name="_Toc184313286"/>
      <w:bookmarkEnd w:id="378"/>
      <w:bookmarkStart w:id="379" w:name="_Toc184308056"/>
      <w:bookmarkEnd w:id="379"/>
      <w:bookmarkStart w:id="380" w:name="_Toc184314473"/>
      <w:bookmarkEnd w:id="380"/>
      <w:bookmarkStart w:id="381" w:name="_Toc184313284"/>
      <w:bookmarkEnd w:id="381"/>
      <w:bookmarkStart w:id="382" w:name="_Toc184310338"/>
      <w:bookmarkEnd w:id="382"/>
      <w:bookmarkStart w:id="383" w:name="_Toc184312137"/>
      <w:bookmarkEnd w:id="383"/>
      <w:bookmarkStart w:id="384" w:name="_Toc184314422"/>
      <w:bookmarkEnd w:id="384"/>
      <w:bookmarkStart w:id="385" w:name="_Toc184310283"/>
      <w:bookmarkEnd w:id="385"/>
      <w:bookmarkStart w:id="386" w:name="_Toc184313259"/>
      <w:bookmarkEnd w:id="386"/>
      <w:bookmarkStart w:id="387" w:name="_Toc184308081"/>
      <w:bookmarkEnd w:id="387"/>
      <w:bookmarkStart w:id="388" w:name="_Toc184312082"/>
      <w:bookmarkEnd w:id="388"/>
      <w:bookmarkStart w:id="389" w:name="_Toc184310334"/>
      <w:bookmarkEnd w:id="389"/>
      <w:bookmarkStart w:id="390" w:name="_Toc184313258"/>
      <w:bookmarkEnd w:id="390"/>
      <w:bookmarkStart w:id="391" w:name="_Toc184314468"/>
      <w:bookmarkEnd w:id="391"/>
      <w:r>
        <w:rPr>
          <w:rFonts w:hint="eastAsia" w:cs="仿宋" w:asciiTheme="majorEastAsia" w:hAnsiTheme="majorEastAsia" w:eastAsiaTheme="majorEastAsia"/>
          <w:b/>
          <w:color w:val="auto"/>
          <w:sz w:val="36"/>
          <w:szCs w:val="36"/>
          <w:highlight w:val="none"/>
        </w:rPr>
        <w:t>评标办法</w:t>
      </w:r>
    </w:p>
    <w:p w14:paraId="609DC2C7">
      <w:pPr>
        <w:shd w:val="clear"/>
        <w:snapToGrid w:val="0"/>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2"/>
          <w:szCs w:val="20"/>
          <w:highlight w:val="none"/>
        </w:rPr>
        <w:t>评标办法前附表</w:t>
      </w:r>
    </w:p>
    <w:tbl>
      <w:tblPr>
        <w:tblStyle w:val="19"/>
        <w:tblW w:w="9171" w:type="dxa"/>
        <w:jc w:val="center"/>
        <w:tblLayout w:type="fixed"/>
        <w:tblCellMar>
          <w:top w:w="0" w:type="dxa"/>
          <w:left w:w="108" w:type="dxa"/>
          <w:bottom w:w="0" w:type="dxa"/>
          <w:right w:w="108" w:type="dxa"/>
        </w:tblCellMar>
      </w:tblPr>
      <w:tblGrid>
        <w:gridCol w:w="529"/>
        <w:gridCol w:w="1293"/>
        <w:gridCol w:w="7349"/>
      </w:tblGrid>
      <w:tr w14:paraId="35054BAA">
        <w:tblPrEx>
          <w:tblCellMar>
            <w:top w:w="0" w:type="dxa"/>
            <w:left w:w="108" w:type="dxa"/>
            <w:bottom w:w="0" w:type="dxa"/>
            <w:right w:w="108" w:type="dxa"/>
          </w:tblCellMar>
        </w:tblPrEx>
        <w:trPr>
          <w:trHeight w:val="20" w:hRule="atLeast"/>
          <w:jc w:val="center"/>
        </w:trPr>
        <w:tc>
          <w:tcPr>
            <w:tcW w:w="9171" w:type="dxa"/>
            <w:gridSpan w:val="3"/>
            <w:tcBorders>
              <w:top w:val="single" w:color="auto" w:sz="4" w:space="0"/>
              <w:left w:val="single" w:color="auto" w:sz="4" w:space="0"/>
              <w:bottom w:val="single" w:color="auto" w:sz="4" w:space="0"/>
              <w:right w:val="single" w:color="auto" w:sz="4" w:space="0"/>
            </w:tcBorders>
            <w:vAlign w:val="center"/>
          </w:tcPr>
          <w:p w14:paraId="4082C450">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评分标准</w:t>
            </w:r>
          </w:p>
        </w:tc>
      </w:tr>
      <w:tr w14:paraId="09CA1E50">
        <w:tblPrEx>
          <w:tblCellMar>
            <w:top w:w="0" w:type="dxa"/>
            <w:left w:w="108" w:type="dxa"/>
            <w:bottom w:w="0" w:type="dxa"/>
            <w:right w:w="108" w:type="dxa"/>
          </w:tblCellMar>
        </w:tblPrEx>
        <w:trPr>
          <w:trHeight w:val="20" w:hRule="atLeast"/>
          <w:jc w:val="center"/>
        </w:trPr>
        <w:tc>
          <w:tcPr>
            <w:tcW w:w="529" w:type="dxa"/>
            <w:vMerge w:val="restart"/>
            <w:tcBorders>
              <w:top w:val="nil"/>
              <w:left w:val="single" w:color="auto" w:sz="4" w:space="0"/>
              <w:right w:val="single" w:color="auto" w:sz="4" w:space="0"/>
            </w:tcBorders>
            <w:vAlign w:val="center"/>
          </w:tcPr>
          <w:p w14:paraId="33F9395F">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技术商务80分</w:t>
            </w:r>
          </w:p>
        </w:tc>
        <w:tc>
          <w:tcPr>
            <w:tcW w:w="1293" w:type="dxa"/>
            <w:tcBorders>
              <w:top w:val="single" w:color="auto" w:sz="4" w:space="0"/>
              <w:left w:val="nil"/>
              <w:right w:val="single" w:color="auto" w:sz="4" w:space="0"/>
            </w:tcBorders>
            <w:vAlign w:val="center"/>
          </w:tcPr>
          <w:p w14:paraId="699AA8ED">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一、采购需求响应情况（</w:t>
            </w:r>
            <w:r>
              <w:rPr>
                <w:rFonts w:cs="仿宋" w:asciiTheme="minorEastAsia" w:hAnsiTheme="minorEastAsia" w:eastAsiaTheme="minorEastAsia"/>
                <w:color w:val="auto"/>
                <w:szCs w:val="21"/>
                <w:highlight w:val="none"/>
              </w:rPr>
              <w:t>1</w:t>
            </w:r>
            <w:r>
              <w:rPr>
                <w:rFonts w:hint="eastAsia" w:cs="仿宋" w:asciiTheme="minorEastAsia" w:hAnsiTheme="minorEastAsia" w:eastAsiaTheme="minorEastAsia"/>
                <w:color w:val="auto"/>
                <w:szCs w:val="21"/>
                <w:highlight w:val="none"/>
              </w:rPr>
              <w:t>5分）</w:t>
            </w:r>
          </w:p>
        </w:tc>
        <w:tc>
          <w:tcPr>
            <w:tcW w:w="7349" w:type="dxa"/>
            <w:tcBorders>
              <w:top w:val="single" w:color="auto" w:sz="4" w:space="0"/>
              <w:left w:val="nil"/>
              <w:bottom w:val="single" w:color="auto" w:sz="4" w:space="0"/>
              <w:right w:val="single" w:color="auto" w:sz="4" w:space="0"/>
            </w:tcBorders>
            <w:vAlign w:val="center"/>
          </w:tcPr>
          <w:p w14:paraId="259F041B">
            <w:pPr>
              <w:shd w:val="clear"/>
              <w:spacing w:line="400" w:lineRule="exact"/>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根据投标人针对本招标文件 “第三部分  采购需求”的响应情况进行评审：非带“▲”服务要求每负偏离1项，扣1分</w:t>
            </w:r>
            <w:r>
              <w:rPr>
                <w:rFonts w:hint="eastAsia" w:cs="仿宋" w:asciiTheme="minorEastAsia" w:hAnsiTheme="minorEastAsia" w:eastAsiaTheme="minorEastAsia"/>
                <w:color w:val="auto"/>
                <w:szCs w:val="21"/>
                <w:highlight w:val="none"/>
                <w:lang w:eastAsia="zh-CN"/>
              </w:rPr>
              <w:t>；</w:t>
            </w:r>
            <w:r>
              <w:rPr>
                <w:rFonts w:hint="eastAsia" w:cs="仿宋" w:asciiTheme="minorEastAsia" w:hAnsiTheme="minorEastAsia" w:eastAsiaTheme="minorEastAsia"/>
                <w:color w:val="auto"/>
                <w:szCs w:val="21"/>
                <w:highlight w:val="none"/>
              </w:rPr>
              <w:t>带“▲”负偏离</w:t>
            </w:r>
            <w:r>
              <w:rPr>
                <w:rFonts w:hint="eastAsia" w:cs="仿宋" w:asciiTheme="minorEastAsia" w:hAnsiTheme="minorEastAsia" w:eastAsiaTheme="minorEastAsia"/>
                <w:color w:val="auto"/>
                <w:szCs w:val="21"/>
                <w:highlight w:val="none"/>
                <w:lang w:val="en-US" w:eastAsia="zh-CN"/>
              </w:rPr>
              <w:t>或</w:t>
            </w:r>
            <w:r>
              <w:rPr>
                <w:rFonts w:hint="eastAsia" w:cs="仿宋" w:asciiTheme="minorEastAsia" w:hAnsiTheme="minorEastAsia" w:eastAsiaTheme="minorEastAsia"/>
                <w:color w:val="auto"/>
                <w:szCs w:val="21"/>
                <w:highlight w:val="none"/>
              </w:rPr>
              <w:t>非带“▲”服务要求负偏离达15项（含）以上的作无效标处理</w:t>
            </w:r>
            <w:r>
              <w:rPr>
                <w:rFonts w:hint="eastAsia" w:cs="仿宋" w:asciiTheme="minorEastAsia" w:hAnsiTheme="minorEastAsia" w:eastAsiaTheme="minorEastAsia"/>
                <w:color w:val="auto"/>
                <w:szCs w:val="21"/>
                <w:highlight w:val="none"/>
                <w:lang w:eastAsia="zh-CN"/>
              </w:rPr>
              <w:t>。</w:t>
            </w:r>
            <w:r>
              <w:rPr>
                <w:rFonts w:cs="仿宋" w:asciiTheme="minorEastAsia" w:hAnsiTheme="minorEastAsia" w:eastAsiaTheme="minorEastAsia"/>
                <w:color w:val="auto"/>
                <w:szCs w:val="21"/>
                <w:highlight w:val="none"/>
              </w:rPr>
              <w:t xml:space="preserve"> </w:t>
            </w:r>
          </w:p>
        </w:tc>
      </w:tr>
      <w:tr w14:paraId="45B0A57C">
        <w:tblPrEx>
          <w:tblCellMar>
            <w:top w:w="0" w:type="dxa"/>
            <w:left w:w="108" w:type="dxa"/>
            <w:bottom w:w="0" w:type="dxa"/>
            <w:right w:w="108" w:type="dxa"/>
          </w:tblCellMar>
        </w:tblPrEx>
        <w:trPr>
          <w:trHeight w:val="20" w:hRule="atLeast"/>
          <w:jc w:val="center"/>
        </w:trPr>
        <w:tc>
          <w:tcPr>
            <w:tcW w:w="529" w:type="dxa"/>
            <w:vMerge w:val="continue"/>
            <w:tcBorders>
              <w:left w:val="single" w:color="auto" w:sz="4" w:space="0"/>
              <w:right w:val="single" w:color="auto" w:sz="4" w:space="0"/>
            </w:tcBorders>
            <w:vAlign w:val="center"/>
          </w:tcPr>
          <w:p w14:paraId="5FC7E024">
            <w:pPr>
              <w:shd w:val="clear"/>
              <w:spacing w:line="360" w:lineRule="auto"/>
              <w:rPr>
                <w:rFonts w:cs="仿宋" w:asciiTheme="minorEastAsia" w:hAnsiTheme="minorEastAsia" w:eastAsiaTheme="minorEastAsia"/>
                <w:color w:val="auto"/>
                <w:szCs w:val="21"/>
                <w:highlight w:val="none"/>
              </w:rPr>
            </w:pPr>
          </w:p>
        </w:tc>
        <w:tc>
          <w:tcPr>
            <w:tcW w:w="1293" w:type="dxa"/>
            <w:vMerge w:val="restart"/>
            <w:tcBorders>
              <w:top w:val="single" w:color="auto" w:sz="4" w:space="0"/>
              <w:left w:val="nil"/>
              <w:right w:val="single" w:color="auto" w:sz="4" w:space="0"/>
            </w:tcBorders>
            <w:vAlign w:val="center"/>
          </w:tcPr>
          <w:p w14:paraId="5A73208D">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二、物业管理方案（</w:t>
            </w:r>
            <w:r>
              <w:rPr>
                <w:rFonts w:cs="仿宋" w:asciiTheme="minorEastAsia" w:hAnsiTheme="minorEastAsia" w:eastAsiaTheme="minorEastAsia"/>
                <w:color w:val="auto"/>
                <w:szCs w:val="21"/>
                <w:highlight w:val="none"/>
              </w:rPr>
              <w:t>29</w:t>
            </w:r>
            <w:r>
              <w:rPr>
                <w:rFonts w:hint="eastAsia" w:cs="仿宋" w:asciiTheme="minorEastAsia" w:hAnsiTheme="minorEastAsia" w:eastAsiaTheme="minorEastAsia"/>
                <w:color w:val="auto"/>
                <w:szCs w:val="21"/>
                <w:highlight w:val="none"/>
              </w:rPr>
              <w:t>分）</w:t>
            </w:r>
          </w:p>
        </w:tc>
        <w:tc>
          <w:tcPr>
            <w:tcW w:w="7349" w:type="dxa"/>
            <w:tcBorders>
              <w:top w:val="single" w:color="auto" w:sz="4" w:space="0"/>
              <w:left w:val="nil"/>
              <w:bottom w:val="single" w:color="auto" w:sz="4" w:space="0"/>
              <w:right w:val="single" w:color="auto" w:sz="4" w:space="0"/>
            </w:tcBorders>
            <w:vAlign w:val="center"/>
          </w:tcPr>
          <w:p w14:paraId="68F0F2CB">
            <w:pPr>
              <w:shd w:val="clear"/>
              <w:spacing w:line="400" w:lineRule="exact"/>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1.整体服务方案（6分）</w:t>
            </w:r>
          </w:p>
          <w:p w14:paraId="33D7499A">
            <w:pPr>
              <w:shd w:val="clear"/>
              <w:spacing w:line="400" w:lineRule="exact"/>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①整体构想符合采购人服务需求；②方案思路清晰</w:t>
            </w:r>
            <w:bookmarkStart w:id="401" w:name="_GoBack"/>
            <w:bookmarkEnd w:id="401"/>
            <w:r>
              <w:rPr>
                <w:rFonts w:hint="eastAsia" w:cs="仿宋" w:asciiTheme="minorEastAsia" w:hAnsiTheme="minorEastAsia" w:eastAsiaTheme="minorEastAsia"/>
                <w:color w:val="auto"/>
                <w:szCs w:val="21"/>
                <w:highlight w:val="none"/>
              </w:rPr>
              <w:t>；③管理目标明确；每符合一项得 2 分，以上内容有所欠缺的每项得1分，未提供的每项得0分，最多得6分。</w:t>
            </w:r>
          </w:p>
        </w:tc>
      </w:tr>
      <w:tr w14:paraId="2A1C56DC">
        <w:tblPrEx>
          <w:tblCellMar>
            <w:top w:w="0" w:type="dxa"/>
            <w:left w:w="108" w:type="dxa"/>
            <w:bottom w:w="0" w:type="dxa"/>
            <w:right w:w="108" w:type="dxa"/>
          </w:tblCellMar>
        </w:tblPrEx>
        <w:trPr>
          <w:trHeight w:val="20" w:hRule="atLeast"/>
          <w:jc w:val="center"/>
        </w:trPr>
        <w:tc>
          <w:tcPr>
            <w:tcW w:w="529" w:type="dxa"/>
            <w:vMerge w:val="continue"/>
            <w:tcBorders>
              <w:left w:val="single" w:color="auto" w:sz="4" w:space="0"/>
              <w:right w:val="single" w:color="auto" w:sz="4" w:space="0"/>
            </w:tcBorders>
            <w:vAlign w:val="center"/>
          </w:tcPr>
          <w:p w14:paraId="55C67ACA">
            <w:pPr>
              <w:shd w:val="clear"/>
              <w:spacing w:line="360" w:lineRule="auto"/>
              <w:rPr>
                <w:rFonts w:cs="仿宋" w:asciiTheme="minorEastAsia" w:hAnsiTheme="minorEastAsia" w:eastAsiaTheme="minorEastAsia"/>
                <w:color w:val="auto"/>
                <w:szCs w:val="21"/>
                <w:highlight w:val="none"/>
              </w:rPr>
            </w:pPr>
          </w:p>
        </w:tc>
        <w:tc>
          <w:tcPr>
            <w:tcW w:w="1293" w:type="dxa"/>
            <w:vMerge w:val="continue"/>
            <w:tcBorders>
              <w:left w:val="nil"/>
              <w:right w:val="single" w:color="auto" w:sz="4" w:space="0"/>
            </w:tcBorders>
            <w:vAlign w:val="center"/>
          </w:tcPr>
          <w:p w14:paraId="242C2887">
            <w:pPr>
              <w:shd w:val="clear"/>
              <w:spacing w:line="360" w:lineRule="auto"/>
              <w:rPr>
                <w:rFonts w:cs="仿宋" w:asciiTheme="minorEastAsia" w:hAnsiTheme="minorEastAsia" w:eastAsiaTheme="minorEastAsia"/>
                <w:color w:val="auto"/>
                <w:szCs w:val="21"/>
                <w:highlight w:val="none"/>
              </w:rPr>
            </w:pPr>
          </w:p>
        </w:tc>
        <w:tc>
          <w:tcPr>
            <w:tcW w:w="7349" w:type="dxa"/>
            <w:tcBorders>
              <w:top w:val="single" w:color="auto" w:sz="4" w:space="0"/>
              <w:left w:val="nil"/>
              <w:bottom w:val="single" w:color="auto" w:sz="4" w:space="0"/>
              <w:right w:val="single" w:color="auto" w:sz="4" w:space="0"/>
            </w:tcBorders>
            <w:vAlign w:val="center"/>
          </w:tcPr>
          <w:p w14:paraId="109D1EFE">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2.保洁服务方案（</w:t>
            </w:r>
            <w:r>
              <w:rPr>
                <w:rFonts w:hint="eastAsia" w:cs="仿宋" w:asciiTheme="minorEastAsia" w:hAnsiTheme="minorEastAsia" w:eastAsiaTheme="minorEastAsia"/>
                <w:color w:val="auto"/>
                <w:szCs w:val="21"/>
                <w:highlight w:val="none"/>
                <w:lang w:val="en-US" w:eastAsia="zh-CN"/>
              </w:rPr>
              <w:t>6</w:t>
            </w:r>
            <w:r>
              <w:rPr>
                <w:rFonts w:hint="eastAsia" w:cs="仿宋" w:asciiTheme="minorEastAsia" w:hAnsiTheme="minorEastAsia" w:eastAsiaTheme="minorEastAsia"/>
                <w:color w:val="auto"/>
                <w:szCs w:val="21"/>
                <w:highlight w:val="none"/>
              </w:rPr>
              <w:t>分）</w:t>
            </w:r>
          </w:p>
          <w:p w14:paraId="257180C3">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①保洁服务方案符合采购人服务需求；②方案思路清晰；③管理目标明确；每符合一项得</w:t>
            </w:r>
            <w:r>
              <w:rPr>
                <w:rFonts w:hint="eastAsia" w:cs="仿宋" w:asciiTheme="minorEastAsia" w:hAnsiTheme="minorEastAsia" w:eastAsiaTheme="minorEastAsia"/>
                <w:color w:val="auto"/>
                <w:szCs w:val="21"/>
                <w:highlight w:val="none"/>
                <w:lang w:val="en-US" w:eastAsia="zh-CN"/>
              </w:rPr>
              <w:t>2</w:t>
            </w:r>
            <w:r>
              <w:rPr>
                <w:rFonts w:hint="eastAsia" w:cs="仿宋" w:asciiTheme="minorEastAsia" w:hAnsiTheme="minorEastAsia" w:eastAsiaTheme="minorEastAsia"/>
                <w:color w:val="auto"/>
                <w:szCs w:val="21"/>
                <w:highlight w:val="none"/>
              </w:rPr>
              <w:t>分，以上内容有所欠缺的每项得</w:t>
            </w:r>
            <w:r>
              <w:rPr>
                <w:rFonts w:hint="eastAsia" w:cs="仿宋" w:asciiTheme="minorEastAsia" w:hAnsiTheme="minorEastAsia" w:eastAsiaTheme="minorEastAsia"/>
                <w:color w:val="auto"/>
                <w:szCs w:val="21"/>
                <w:highlight w:val="none"/>
                <w:lang w:val="en-US" w:eastAsia="zh-CN"/>
              </w:rPr>
              <w:t>1</w:t>
            </w:r>
            <w:r>
              <w:rPr>
                <w:rFonts w:hint="eastAsia" w:cs="仿宋" w:asciiTheme="minorEastAsia" w:hAnsiTheme="minorEastAsia" w:eastAsiaTheme="minorEastAsia"/>
                <w:color w:val="auto"/>
                <w:szCs w:val="21"/>
                <w:highlight w:val="none"/>
              </w:rPr>
              <w:t>分，未提供的每项得0分，最多得</w:t>
            </w:r>
            <w:r>
              <w:rPr>
                <w:rFonts w:hint="eastAsia" w:cs="仿宋" w:asciiTheme="minorEastAsia" w:hAnsiTheme="minorEastAsia" w:eastAsiaTheme="minorEastAsia"/>
                <w:color w:val="auto"/>
                <w:szCs w:val="21"/>
                <w:highlight w:val="none"/>
                <w:lang w:val="en-US" w:eastAsia="zh-CN"/>
              </w:rPr>
              <w:t>6</w:t>
            </w:r>
            <w:r>
              <w:rPr>
                <w:rFonts w:hint="eastAsia" w:cs="仿宋" w:asciiTheme="minorEastAsia" w:hAnsiTheme="minorEastAsia" w:eastAsiaTheme="minorEastAsia"/>
                <w:color w:val="auto"/>
                <w:szCs w:val="21"/>
                <w:highlight w:val="none"/>
              </w:rPr>
              <w:t>分。</w:t>
            </w:r>
          </w:p>
        </w:tc>
      </w:tr>
      <w:tr w14:paraId="62C4E7A8">
        <w:tblPrEx>
          <w:tblCellMar>
            <w:top w:w="0" w:type="dxa"/>
            <w:left w:w="108" w:type="dxa"/>
            <w:bottom w:w="0" w:type="dxa"/>
            <w:right w:w="108" w:type="dxa"/>
          </w:tblCellMar>
        </w:tblPrEx>
        <w:trPr>
          <w:trHeight w:val="20" w:hRule="atLeast"/>
          <w:jc w:val="center"/>
        </w:trPr>
        <w:tc>
          <w:tcPr>
            <w:tcW w:w="529" w:type="dxa"/>
            <w:vMerge w:val="continue"/>
            <w:tcBorders>
              <w:left w:val="single" w:color="auto" w:sz="4" w:space="0"/>
              <w:right w:val="single" w:color="auto" w:sz="4" w:space="0"/>
            </w:tcBorders>
            <w:vAlign w:val="center"/>
          </w:tcPr>
          <w:p w14:paraId="03271CD8">
            <w:pPr>
              <w:shd w:val="clear"/>
              <w:spacing w:line="360" w:lineRule="auto"/>
              <w:rPr>
                <w:rFonts w:cs="仿宋" w:asciiTheme="minorEastAsia" w:hAnsiTheme="minorEastAsia" w:eastAsiaTheme="minorEastAsia"/>
                <w:color w:val="auto"/>
                <w:szCs w:val="21"/>
                <w:highlight w:val="none"/>
              </w:rPr>
            </w:pPr>
          </w:p>
        </w:tc>
        <w:tc>
          <w:tcPr>
            <w:tcW w:w="1293" w:type="dxa"/>
            <w:vMerge w:val="continue"/>
            <w:tcBorders>
              <w:left w:val="nil"/>
              <w:right w:val="single" w:color="auto" w:sz="4" w:space="0"/>
            </w:tcBorders>
            <w:vAlign w:val="center"/>
          </w:tcPr>
          <w:p w14:paraId="1C3CC3EC">
            <w:pPr>
              <w:shd w:val="clear"/>
              <w:spacing w:line="360" w:lineRule="auto"/>
              <w:rPr>
                <w:rFonts w:cs="仿宋" w:asciiTheme="minorEastAsia" w:hAnsiTheme="minorEastAsia" w:eastAsiaTheme="minorEastAsia"/>
                <w:color w:val="auto"/>
                <w:szCs w:val="21"/>
                <w:highlight w:val="none"/>
              </w:rPr>
            </w:pPr>
          </w:p>
        </w:tc>
        <w:tc>
          <w:tcPr>
            <w:tcW w:w="7349" w:type="dxa"/>
            <w:tcBorders>
              <w:top w:val="single" w:color="auto" w:sz="4" w:space="0"/>
              <w:left w:val="nil"/>
              <w:bottom w:val="single" w:color="auto" w:sz="4" w:space="0"/>
              <w:right w:val="single" w:color="auto" w:sz="4" w:space="0"/>
            </w:tcBorders>
            <w:vAlign w:val="center"/>
          </w:tcPr>
          <w:p w14:paraId="65D6195B">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3.</w:t>
            </w:r>
            <w:r>
              <w:rPr>
                <w:rFonts w:hint="eastAsia" w:cs="仿宋" w:asciiTheme="minorEastAsia" w:hAnsiTheme="minorEastAsia" w:eastAsiaTheme="minorEastAsia"/>
                <w:color w:val="auto"/>
                <w:szCs w:val="21"/>
                <w:highlight w:val="none"/>
                <w:lang w:val="en-US" w:eastAsia="zh-CN"/>
              </w:rPr>
              <w:t>物业秩序维护</w:t>
            </w:r>
            <w:r>
              <w:rPr>
                <w:rFonts w:hint="eastAsia" w:cs="仿宋" w:asciiTheme="minorEastAsia" w:hAnsiTheme="minorEastAsia" w:eastAsiaTheme="minorEastAsia"/>
                <w:color w:val="auto"/>
                <w:szCs w:val="21"/>
                <w:highlight w:val="none"/>
              </w:rPr>
              <w:t>服务方案（</w:t>
            </w:r>
            <w:r>
              <w:rPr>
                <w:rFonts w:hint="eastAsia" w:cs="仿宋" w:asciiTheme="minorEastAsia" w:hAnsiTheme="minorEastAsia" w:eastAsiaTheme="minorEastAsia"/>
                <w:color w:val="auto"/>
                <w:szCs w:val="21"/>
                <w:highlight w:val="none"/>
                <w:lang w:val="en-US" w:eastAsia="zh-CN"/>
              </w:rPr>
              <w:t>6</w:t>
            </w:r>
            <w:r>
              <w:rPr>
                <w:rFonts w:hint="eastAsia" w:cs="仿宋" w:asciiTheme="minorEastAsia" w:hAnsiTheme="minorEastAsia" w:eastAsiaTheme="minorEastAsia"/>
                <w:color w:val="auto"/>
                <w:szCs w:val="21"/>
                <w:highlight w:val="none"/>
              </w:rPr>
              <w:t>分）</w:t>
            </w:r>
          </w:p>
          <w:p w14:paraId="173EC4B7">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①保安服务方案符合采购人服务需求；②方案思路清晰；③管理目标明确；每符合一项得</w:t>
            </w:r>
            <w:r>
              <w:rPr>
                <w:rFonts w:hint="eastAsia" w:cs="仿宋" w:asciiTheme="minorEastAsia" w:hAnsiTheme="minorEastAsia" w:eastAsiaTheme="minorEastAsia"/>
                <w:color w:val="auto"/>
                <w:szCs w:val="21"/>
                <w:highlight w:val="none"/>
                <w:lang w:val="en-US" w:eastAsia="zh-CN"/>
              </w:rPr>
              <w:t>2</w:t>
            </w:r>
            <w:r>
              <w:rPr>
                <w:rFonts w:hint="eastAsia" w:cs="仿宋" w:asciiTheme="minorEastAsia" w:hAnsiTheme="minorEastAsia" w:eastAsiaTheme="minorEastAsia"/>
                <w:color w:val="auto"/>
                <w:szCs w:val="21"/>
                <w:highlight w:val="none"/>
              </w:rPr>
              <w:t>分，以上内容有所欠缺的每项得</w:t>
            </w:r>
            <w:r>
              <w:rPr>
                <w:rFonts w:hint="eastAsia" w:cs="仿宋" w:asciiTheme="minorEastAsia" w:hAnsiTheme="minorEastAsia" w:eastAsiaTheme="minorEastAsia"/>
                <w:color w:val="auto"/>
                <w:szCs w:val="21"/>
                <w:highlight w:val="none"/>
                <w:lang w:val="en-US" w:eastAsia="zh-CN"/>
              </w:rPr>
              <w:t>1</w:t>
            </w:r>
            <w:r>
              <w:rPr>
                <w:rFonts w:hint="eastAsia" w:cs="仿宋" w:asciiTheme="minorEastAsia" w:hAnsiTheme="minorEastAsia" w:eastAsiaTheme="minorEastAsia"/>
                <w:color w:val="auto"/>
                <w:szCs w:val="21"/>
                <w:highlight w:val="none"/>
              </w:rPr>
              <w:t>分，未提供的每项得0分，最多得</w:t>
            </w:r>
            <w:r>
              <w:rPr>
                <w:rFonts w:hint="eastAsia" w:cs="仿宋" w:asciiTheme="minorEastAsia" w:hAnsiTheme="minorEastAsia" w:eastAsiaTheme="minorEastAsia"/>
                <w:color w:val="auto"/>
                <w:szCs w:val="21"/>
                <w:highlight w:val="none"/>
                <w:lang w:val="en-US" w:eastAsia="zh-CN"/>
              </w:rPr>
              <w:t>6</w:t>
            </w:r>
            <w:r>
              <w:rPr>
                <w:rFonts w:hint="eastAsia" w:cs="仿宋" w:asciiTheme="minorEastAsia" w:hAnsiTheme="minorEastAsia" w:eastAsiaTheme="minorEastAsia"/>
                <w:color w:val="auto"/>
                <w:szCs w:val="21"/>
                <w:highlight w:val="none"/>
              </w:rPr>
              <w:t>分。</w:t>
            </w:r>
          </w:p>
        </w:tc>
      </w:tr>
      <w:tr w14:paraId="6B3C5D64">
        <w:tblPrEx>
          <w:tblCellMar>
            <w:top w:w="0" w:type="dxa"/>
            <w:left w:w="108" w:type="dxa"/>
            <w:bottom w:w="0" w:type="dxa"/>
            <w:right w:w="108" w:type="dxa"/>
          </w:tblCellMar>
        </w:tblPrEx>
        <w:trPr>
          <w:trHeight w:val="1765" w:hRule="atLeast"/>
          <w:jc w:val="center"/>
        </w:trPr>
        <w:tc>
          <w:tcPr>
            <w:tcW w:w="529" w:type="dxa"/>
            <w:vMerge w:val="continue"/>
            <w:tcBorders>
              <w:left w:val="single" w:color="auto" w:sz="4" w:space="0"/>
              <w:right w:val="single" w:color="auto" w:sz="4" w:space="0"/>
            </w:tcBorders>
            <w:vAlign w:val="center"/>
          </w:tcPr>
          <w:p w14:paraId="2B716AB6">
            <w:pPr>
              <w:shd w:val="clear"/>
              <w:spacing w:line="360" w:lineRule="auto"/>
              <w:rPr>
                <w:rFonts w:cs="仿宋" w:asciiTheme="minorEastAsia" w:hAnsiTheme="minorEastAsia" w:eastAsiaTheme="minorEastAsia"/>
                <w:color w:val="auto"/>
                <w:szCs w:val="21"/>
                <w:highlight w:val="none"/>
              </w:rPr>
            </w:pPr>
          </w:p>
        </w:tc>
        <w:tc>
          <w:tcPr>
            <w:tcW w:w="1293" w:type="dxa"/>
            <w:vMerge w:val="continue"/>
            <w:tcBorders>
              <w:left w:val="nil"/>
              <w:right w:val="single" w:color="auto" w:sz="4" w:space="0"/>
            </w:tcBorders>
            <w:vAlign w:val="center"/>
          </w:tcPr>
          <w:p w14:paraId="22A0ABEC">
            <w:pPr>
              <w:shd w:val="clear"/>
              <w:spacing w:line="360" w:lineRule="auto"/>
              <w:rPr>
                <w:rFonts w:cs="仿宋" w:asciiTheme="minorEastAsia" w:hAnsiTheme="minorEastAsia" w:eastAsiaTheme="minorEastAsia"/>
                <w:color w:val="auto"/>
                <w:szCs w:val="21"/>
                <w:highlight w:val="none"/>
              </w:rPr>
            </w:pPr>
          </w:p>
        </w:tc>
        <w:tc>
          <w:tcPr>
            <w:tcW w:w="7349" w:type="dxa"/>
            <w:tcBorders>
              <w:top w:val="single" w:color="auto" w:sz="4" w:space="0"/>
              <w:left w:val="single" w:color="auto" w:sz="4" w:space="0"/>
              <w:bottom w:val="single" w:color="auto" w:sz="4" w:space="0"/>
              <w:right w:val="single" w:color="auto" w:sz="4" w:space="0"/>
            </w:tcBorders>
            <w:vAlign w:val="center"/>
          </w:tcPr>
          <w:p w14:paraId="2ACE1C8D">
            <w:pPr>
              <w:shd w:val="clear"/>
              <w:spacing w:line="360" w:lineRule="auto"/>
              <w:rPr>
                <w:rFonts w:cs="仿宋" w:asciiTheme="minorEastAsia" w:hAnsiTheme="minorEastAsia" w:eastAsiaTheme="minorEastAsia"/>
                <w:b w:val="0"/>
                <w:bCs w:val="0"/>
                <w:color w:val="auto"/>
                <w:szCs w:val="21"/>
                <w:highlight w:val="none"/>
              </w:rPr>
            </w:pPr>
            <w:r>
              <w:rPr>
                <w:rFonts w:hint="eastAsia" w:cs="仿宋" w:asciiTheme="minorEastAsia" w:hAnsiTheme="minorEastAsia" w:eastAsiaTheme="minorEastAsia"/>
                <w:b w:val="0"/>
                <w:bCs w:val="0"/>
                <w:color w:val="auto"/>
                <w:szCs w:val="21"/>
                <w:highlight w:val="none"/>
                <w:lang w:val="en-US" w:eastAsia="zh-CN"/>
              </w:rPr>
              <w:t>4</w:t>
            </w:r>
            <w:r>
              <w:rPr>
                <w:rFonts w:hint="eastAsia" w:cs="仿宋" w:asciiTheme="minorEastAsia" w:hAnsiTheme="minorEastAsia" w:eastAsiaTheme="minorEastAsia"/>
                <w:b w:val="0"/>
                <w:bCs w:val="0"/>
                <w:color w:val="auto"/>
                <w:szCs w:val="21"/>
                <w:highlight w:val="none"/>
              </w:rPr>
              <w:t>.</w:t>
            </w:r>
            <w:r>
              <w:rPr>
                <w:rFonts w:hint="eastAsia" w:cs="仿宋" w:asciiTheme="minorEastAsia" w:hAnsiTheme="minorEastAsia" w:eastAsiaTheme="minorEastAsia"/>
                <w:b w:val="0"/>
                <w:bCs w:val="0"/>
                <w:color w:val="auto"/>
                <w:szCs w:val="21"/>
                <w:highlight w:val="none"/>
                <w:lang w:val="en-US" w:eastAsia="zh-CN"/>
              </w:rPr>
              <w:t>绿化养护</w:t>
            </w:r>
            <w:r>
              <w:rPr>
                <w:rFonts w:hint="eastAsia" w:cs="仿宋" w:asciiTheme="minorEastAsia" w:hAnsiTheme="minorEastAsia" w:eastAsiaTheme="minorEastAsia"/>
                <w:b w:val="0"/>
                <w:bCs w:val="0"/>
                <w:color w:val="auto"/>
                <w:szCs w:val="21"/>
                <w:highlight w:val="none"/>
              </w:rPr>
              <w:t>服务方案（</w:t>
            </w:r>
            <w:r>
              <w:rPr>
                <w:rFonts w:hint="eastAsia" w:cs="仿宋" w:asciiTheme="minorEastAsia" w:hAnsiTheme="minorEastAsia" w:eastAsiaTheme="minorEastAsia"/>
                <w:b w:val="0"/>
                <w:bCs w:val="0"/>
                <w:color w:val="auto"/>
                <w:szCs w:val="21"/>
                <w:highlight w:val="none"/>
                <w:lang w:val="en-US" w:eastAsia="zh-CN"/>
              </w:rPr>
              <w:t>6</w:t>
            </w:r>
            <w:r>
              <w:rPr>
                <w:rFonts w:hint="eastAsia" w:cs="仿宋" w:asciiTheme="minorEastAsia" w:hAnsiTheme="minorEastAsia" w:eastAsiaTheme="minorEastAsia"/>
                <w:b w:val="0"/>
                <w:bCs w:val="0"/>
                <w:color w:val="auto"/>
                <w:szCs w:val="21"/>
                <w:highlight w:val="none"/>
              </w:rPr>
              <w:t>分）</w:t>
            </w:r>
          </w:p>
          <w:p w14:paraId="608E7BE7">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b w:val="0"/>
                <w:bCs w:val="0"/>
                <w:color w:val="auto"/>
                <w:szCs w:val="21"/>
                <w:highlight w:val="none"/>
              </w:rPr>
              <w:t>①</w:t>
            </w:r>
            <w:r>
              <w:rPr>
                <w:rFonts w:hint="eastAsia" w:cs="仿宋" w:asciiTheme="minorEastAsia" w:hAnsiTheme="minorEastAsia" w:eastAsiaTheme="minorEastAsia"/>
                <w:b w:val="0"/>
                <w:bCs w:val="0"/>
                <w:color w:val="auto"/>
                <w:szCs w:val="21"/>
                <w:highlight w:val="none"/>
                <w:lang w:val="en-US" w:eastAsia="zh-CN"/>
              </w:rPr>
              <w:t>绿化养护</w:t>
            </w:r>
            <w:r>
              <w:rPr>
                <w:rFonts w:hint="eastAsia" w:cs="仿宋" w:asciiTheme="minorEastAsia" w:hAnsiTheme="minorEastAsia" w:eastAsiaTheme="minorEastAsia"/>
                <w:b w:val="0"/>
                <w:bCs w:val="0"/>
                <w:color w:val="auto"/>
                <w:szCs w:val="21"/>
                <w:highlight w:val="none"/>
              </w:rPr>
              <w:t>服务方案符合采购人服务需求；②方案思路清晰；③管理目标明确；每符合一项得</w:t>
            </w:r>
            <w:r>
              <w:rPr>
                <w:rFonts w:hint="eastAsia" w:cs="仿宋" w:asciiTheme="minorEastAsia" w:hAnsiTheme="minorEastAsia" w:eastAsiaTheme="minorEastAsia"/>
                <w:b w:val="0"/>
                <w:bCs w:val="0"/>
                <w:color w:val="auto"/>
                <w:szCs w:val="21"/>
                <w:highlight w:val="none"/>
                <w:lang w:val="en-US" w:eastAsia="zh-CN"/>
              </w:rPr>
              <w:t>2</w:t>
            </w:r>
            <w:r>
              <w:rPr>
                <w:rFonts w:hint="eastAsia" w:cs="仿宋" w:asciiTheme="minorEastAsia" w:hAnsiTheme="minorEastAsia" w:eastAsiaTheme="minorEastAsia"/>
                <w:b w:val="0"/>
                <w:bCs w:val="0"/>
                <w:color w:val="auto"/>
                <w:szCs w:val="21"/>
                <w:highlight w:val="none"/>
              </w:rPr>
              <w:t>分</w:t>
            </w:r>
            <w:r>
              <w:rPr>
                <w:rFonts w:hint="eastAsia" w:cs="仿宋" w:asciiTheme="minorEastAsia" w:hAnsiTheme="minorEastAsia" w:eastAsiaTheme="minorEastAsia"/>
                <w:color w:val="auto"/>
                <w:szCs w:val="21"/>
                <w:highlight w:val="none"/>
              </w:rPr>
              <w:t>，以上内容有所欠缺的每项得</w:t>
            </w:r>
            <w:r>
              <w:rPr>
                <w:rFonts w:hint="eastAsia" w:cs="仿宋" w:asciiTheme="minorEastAsia" w:hAnsiTheme="minorEastAsia" w:eastAsiaTheme="minorEastAsia"/>
                <w:color w:val="auto"/>
                <w:szCs w:val="21"/>
                <w:highlight w:val="none"/>
                <w:lang w:val="en-US" w:eastAsia="zh-CN"/>
              </w:rPr>
              <w:t>1</w:t>
            </w:r>
            <w:r>
              <w:rPr>
                <w:rFonts w:hint="eastAsia" w:cs="仿宋" w:asciiTheme="minorEastAsia" w:hAnsiTheme="minorEastAsia" w:eastAsiaTheme="minorEastAsia"/>
                <w:color w:val="auto"/>
                <w:szCs w:val="21"/>
                <w:highlight w:val="none"/>
              </w:rPr>
              <w:t>分，未提供的每项得0分，最多得</w:t>
            </w:r>
            <w:r>
              <w:rPr>
                <w:rFonts w:hint="eastAsia" w:cs="仿宋" w:asciiTheme="minorEastAsia" w:hAnsiTheme="minorEastAsia" w:eastAsiaTheme="minorEastAsia"/>
                <w:color w:val="auto"/>
                <w:szCs w:val="21"/>
                <w:highlight w:val="none"/>
                <w:lang w:val="en-US" w:eastAsia="zh-CN"/>
              </w:rPr>
              <w:t>6</w:t>
            </w:r>
            <w:r>
              <w:rPr>
                <w:rFonts w:hint="eastAsia" w:cs="仿宋" w:asciiTheme="minorEastAsia" w:hAnsiTheme="minorEastAsia" w:eastAsiaTheme="minorEastAsia"/>
                <w:color w:val="auto"/>
                <w:szCs w:val="21"/>
                <w:highlight w:val="none"/>
              </w:rPr>
              <w:t>分。</w:t>
            </w:r>
          </w:p>
        </w:tc>
      </w:tr>
      <w:tr w14:paraId="177D7813">
        <w:tblPrEx>
          <w:tblCellMar>
            <w:top w:w="0" w:type="dxa"/>
            <w:left w:w="108" w:type="dxa"/>
            <w:bottom w:w="0" w:type="dxa"/>
            <w:right w:w="108" w:type="dxa"/>
          </w:tblCellMar>
        </w:tblPrEx>
        <w:trPr>
          <w:trHeight w:val="20" w:hRule="atLeast"/>
          <w:jc w:val="center"/>
        </w:trPr>
        <w:tc>
          <w:tcPr>
            <w:tcW w:w="529" w:type="dxa"/>
            <w:vMerge w:val="continue"/>
            <w:tcBorders>
              <w:left w:val="single" w:color="auto" w:sz="4" w:space="0"/>
              <w:right w:val="single" w:color="auto" w:sz="4" w:space="0"/>
            </w:tcBorders>
            <w:vAlign w:val="center"/>
          </w:tcPr>
          <w:p w14:paraId="4A9CE926">
            <w:pPr>
              <w:shd w:val="clear"/>
              <w:spacing w:line="360" w:lineRule="auto"/>
              <w:rPr>
                <w:rFonts w:cs="仿宋" w:asciiTheme="minorEastAsia" w:hAnsiTheme="minorEastAsia" w:eastAsiaTheme="minorEastAsia"/>
                <w:color w:val="auto"/>
                <w:szCs w:val="21"/>
                <w:highlight w:val="none"/>
              </w:rPr>
            </w:pPr>
          </w:p>
        </w:tc>
        <w:tc>
          <w:tcPr>
            <w:tcW w:w="1293" w:type="dxa"/>
            <w:vMerge w:val="continue"/>
            <w:tcBorders>
              <w:left w:val="nil"/>
              <w:right w:val="single" w:color="auto" w:sz="4" w:space="0"/>
            </w:tcBorders>
            <w:vAlign w:val="center"/>
          </w:tcPr>
          <w:p w14:paraId="7E976A16">
            <w:pPr>
              <w:shd w:val="clear"/>
              <w:spacing w:line="360" w:lineRule="auto"/>
              <w:rPr>
                <w:rFonts w:cs="仿宋" w:asciiTheme="minorEastAsia" w:hAnsiTheme="minorEastAsia" w:eastAsiaTheme="minorEastAsia"/>
                <w:color w:val="auto"/>
                <w:szCs w:val="21"/>
                <w:highlight w:val="none"/>
              </w:rPr>
            </w:pPr>
          </w:p>
        </w:tc>
        <w:tc>
          <w:tcPr>
            <w:tcW w:w="7349" w:type="dxa"/>
            <w:tcBorders>
              <w:top w:val="single" w:color="auto" w:sz="4" w:space="0"/>
              <w:left w:val="nil"/>
              <w:bottom w:val="single" w:color="auto" w:sz="4" w:space="0"/>
              <w:right w:val="single" w:color="auto" w:sz="4" w:space="0"/>
            </w:tcBorders>
            <w:vAlign w:val="center"/>
          </w:tcPr>
          <w:p w14:paraId="655FD031">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lang w:val="en-US" w:eastAsia="zh-CN"/>
              </w:rPr>
              <w:t>5</w:t>
            </w:r>
            <w:r>
              <w:rPr>
                <w:rFonts w:hint="eastAsia" w:cs="仿宋" w:asciiTheme="minorEastAsia" w:hAnsiTheme="minorEastAsia" w:eastAsiaTheme="minorEastAsia"/>
                <w:color w:val="auto"/>
                <w:szCs w:val="21"/>
                <w:highlight w:val="none"/>
              </w:rPr>
              <w:t>.保密方案（2分）</w:t>
            </w:r>
          </w:p>
          <w:p w14:paraId="67416D38">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①保密方案具体详细；②保密措施完善的每符合一项得</w:t>
            </w:r>
            <w:r>
              <w:rPr>
                <w:rFonts w:cs="仿宋" w:asciiTheme="minorEastAsia" w:hAnsiTheme="minorEastAsia" w:eastAsiaTheme="minorEastAsia"/>
                <w:color w:val="auto"/>
                <w:szCs w:val="21"/>
                <w:highlight w:val="none"/>
              </w:rPr>
              <w:t>1</w:t>
            </w:r>
            <w:r>
              <w:rPr>
                <w:rFonts w:hint="eastAsia" w:cs="仿宋" w:asciiTheme="minorEastAsia" w:hAnsiTheme="minorEastAsia" w:eastAsiaTheme="minorEastAsia"/>
                <w:color w:val="auto"/>
                <w:szCs w:val="21"/>
                <w:highlight w:val="none"/>
              </w:rPr>
              <w:t>分，以上内容有所欠缺的每项得0.5分，未提供的每项得0分，最多得2分。</w:t>
            </w:r>
          </w:p>
        </w:tc>
      </w:tr>
      <w:tr w14:paraId="41EE9B6F">
        <w:tblPrEx>
          <w:tblCellMar>
            <w:top w:w="0" w:type="dxa"/>
            <w:left w:w="108" w:type="dxa"/>
            <w:bottom w:w="0" w:type="dxa"/>
            <w:right w:w="108" w:type="dxa"/>
          </w:tblCellMar>
        </w:tblPrEx>
        <w:trPr>
          <w:trHeight w:val="20" w:hRule="atLeast"/>
          <w:jc w:val="center"/>
        </w:trPr>
        <w:tc>
          <w:tcPr>
            <w:tcW w:w="529" w:type="dxa"/>
            <w:vMerge w:val="continue"/>
            <w:tcBorders>
              <w:left w:val="single" w:color="auto" w:sz="4" w:space="0"/>
              <w:right w:val="single" w:color="auto" w:sz="4" w:space="0"/>
            </w:tcBorders>
            <w:vAlign w:val="center"/>
          </w:tcPr>
          <w:p w14:paraId="47F16C67">
            <w:pPr>
              <w:shd w:val="clear"/>
              <w:spacing w:line="360" w:lineRule="auto"/>
              <w:rPr>
                <w:rFonts w:cs="仿宋" w:asciiTheme="minorEastAsia" w:hAnsiTheme="minorEastAsia" w:eastAsiaTheme="minorEastAsia"/>
                <w:color w:val="auto"/>
                <w:szCs w:val="21"/>
                <w:highlight w:val="none"/>
              </w:rPr>
            </w:pPr>
          </w:p>
        </w:tc>
        <w:tc>
          <w:tcPr>
            <w:tcW w:w="1293" w:type="dxa"/>
            <w:vMerge w:val="continue"/>
            <w:tcBorders>
              <w:left w:val="nil"/>
              <w:right w:val="single" w:color="auto" w:sz="4" w:space="0"/>
            </w:tcBorders>
            <w:vAlign w:val="center"/>
          </w:tcPr>
          <w:p w14:paraId="18CCE3BF">
            <w:pPr>
              <w:shd w:val="clear"/>
              <w:spacing w:line="360" w:lineRule="auto"/>
              <w:rPr>
                <w:rFonts w:cs="仿宋" w:asciiTheme="minorEastAsia" w:hAnsiTheme="minorEastAsia" w:eastAsiaTheme="minorEastAsia"/>
                <w:color w:val="auto"/>
                <w:szCs w:val="21"/>
                <w:highlight w:val="none"/>
              </w:rPr>
            </w:pPr>
          </w:p>
        </w:tc>
        <w:tc>
          <w:tcPr>
            <w:tcW w:w="7349" w:type="dxa"/>
            <w:tcBorders>
              <w:top w:val="single" w:color="auto" w:sz="4" w:space="0"/>
              <w:left w:val="nil"/>
              <w:bottom w:val="single" w:color="auto" w:sz="4" w:space="0"/>
              <w:right w:val="single" w:color="auto" w:sz="4" w:space="0"/>
            </w:tcBorders>
            <w:vAlign w:val="center"/>
          </w:tcPr>
          <w:p w14:paraId="0756FF65">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lang w:val="en-US" w:eastAsia="zh-CN"/>
              </w:rPr>
              <w:t>6</w:t>
            </w:r>
            <w:r>
              <w:rPr>
                <w:rFonts w:hint="eastAsia" w:cs="仿宋" w:asciiTheme="minorEastAsia" w:hAnsiTheme="minorEastAsia" w:eastAsiaTheme="minorEastAsia"/>
                <w:color w:val="auto"/>
                <w:szCs w:val="21"/>
                <w:highlight w:val="none"/>
              </w:rPr>
              <w:t>.根据投标人提供的节能降耗方案进行评议（3分）</w:t>
            </w:r>
          </w:p>
          <w:p w14:paraId="14BC651C">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①各类节能降耗措施具体详细可行的得</w:t>
            </w:r>
            <w:r>
              <w:rPr>
                <w:rFonts w:cs="仿宋" w:asciiTheme="minorEastAsia" w:hAnsiTheme="minorEastAsia" w:eastAsiaTheme="minorEastAsia"/>
                <w:color w:val="auto"/>
                <w:szCs w:val="21"/>
                <w:highlight w:val="none"/>
              </w:rPr>
              <w:t>1</w:t>
            </w:r>
            <w:r>
              <w:rPr>
                <w:rFonts w:hint="eastAsia" w:cs="仿宋" w:asciiTheme="minorEastAsia" w:hAnsiTheme="minorEastAsia" w:eastAsiaTheme="minorEastAsia"/>
                <w:color w:val="auto"/>
                <w:szCs w:val="21"/>
                <w:highlight w:val="none"/>
              </w:rPr>
              <w:t>分；有所欠缺的得0.5分，未提供的得0分，最多得1分。</w:t>
            </w:r>
          </w:p>
          <w:p w14:paraId="4CAEE193">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②节能降耗管理制度具体详细可行的得</w:t>
            </w:r>
            <w:r>
              <w:rPr>
                <w:rFonts w:cs="仿宋" w:asciiTheme="minorEastAsia" w:hAnsiTheme="minorEastAsia" w:eastAsiaTheme="minorEastAsia"/>
                <w:color w:val="auto"/>
                <w:szCs w:val="21"/>
                <w:highlight w:val="none"/>
              </w:rPr>
              <w:t>1</w:t>
            </w:r>
            <w:r>
              <w:rPr>
                <w:rFonts w:hint="eastAsia" w:cs="仿宋" w:asciiTheme="minorEastAsia" w:hAnsiTheme="minorEastAsia" w:eastAsiaTheme="minorEastAsia"/>
                <w:color w:val="auto"/>
                <w:szCs w:val="21"/>
                <w:highlight w:val="none"/>
              </w:rPr>
              <w:t>分；有所欠缺的得0.5分，未提供的得0分，最多得1分。</w:t>
            </w:r>
          </w:p>
          <w:p w14:paraId="3A729C79">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③节能降耗宣传方案具体详细可行的得</w:t>
            </w:r>
            <w:r>
              <w:rPr>
                <w:rFonts w:cs="仿宋" w:asciiTheme="minorEastAsia" w:hAnsiTheme="minorEastAsia" w:eastAsiaTheme="minorEastAsia"/>
                <w:color w:val="auto"/>
                <w:szCs w:val="21"/>
                <w:highlight w:val="none"/>
              </w:rPr>
              <w:t>1</w:t>
            </w:r>
            <w:r>
              <w:rPr>
                <w:rFonts w:hint="eastAsia" w:cs="仿宋" w:asciiTheme="minorEastAsia" w:hAnsiTheme="minorEastAsia" w:eastAsiaTheme="minorEastAsia"/>
                <w:color w:val="auto"/>
                <w:szCs w:val="21"/>
                <w:highlight w:val="none"/>
              </w:rPr>
              <w:t>分；有所欠缺的得0.5分，未提供的得0分，最多得1分。</w:t>
            </w:r>
          </w:p>
        </w:tc>
      </w:tr>
      <w:tr w14:paraId="535D0AD5">
        <w:tblPrEx>
          <w:tblCellMar>
            <w:top w:w="0" w:type="dxa"/>
            <w:left w:w="108" w:type="dxa"/>
            <w:bottom w:w="0" w:type="dxa"/>
            <w:right w:w="108" w:type="dxa"/>
          </w:tblCellMar>
        </w:tblPrEx>
        <w:trPr>
          <w:trHeight w:val="20" w:hRule="atLeast"/>
          <w:jc w:val="center"/>
        </w:trPr>
        <w:tc>
          <w:tcPr>
            <w:tcW w:w="529" w:type="dxa"/>
            <w:vMerge w:val="continue"/>
            <w:tcBorders>
              <w:left w:val="single" w:color="auto" w:sz="4" w:space="0"/>
              <w:right w:val="single" w:color="auto" w:sz="4" w:space="0"/>
            </w:tcBorders>
            <w:vAlign w:val="center"/>
          </w:tcPr>
          <w:p w14:paraId="30A466B1">
            <w:pPr>
              <w:shd w:val="clear"/>
              <w:spacing w:line="360" w:lineRule="auto"/>
              <w:rPr>
                <w:rFonts w:cs="仿宋" w:asciiTheme="minorEastAsia" w:hAnsiTheme="minorEastAsia" w:eastAsiaTheme="minorEastAsia"/>
                <w:color w:val="auto"/>
                <w:szCs w:val="21"/>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7E77C780">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三、应急保障和应急人员配备情况（9分）</w:t>
            </w:r>
          </w:p>
        </w:tc>
        <w:tc>
          <w:tcPr>
            <w:tcW w:w="7349" w:type="dxa"/>
            <w:tcBorders>
              <w:top w:val="single" w:color="auto" w:sz="4" w:space="0"/>
              <w:left w:val="single" w:color="auto" w:sz="4" w:space="0"/>
              <w:bottom w:val="single" w:color="auto" w:sz="4" w:space="0"/>
              <w:right w:val="single" w:color="auto" w:sz="4" w:space="0"/>
            </w:tcBorders>
            <w:vAlign w:val="center"/>
          </w:tcPr>
          <w:p w14:paraId="62CEC64E">
            <w:pPr>
              <w:keepNext w:val="0"/>
              <w:keepLines w:val="0"/>
              <w:pageBreakBefore w:val="0"/>
              <w:widowControl w:val="0"/>
              <w:shd w:val="clear"/>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1.根据投标人提供的物业服务应急响应方案进行评议：</w:t>
            </w:r>
          </w:p>
          <w:p w14:paraId="4F754CDE">
            <w:pPr>
              <w:keepNext w:val="0"/>
              <w:keepLines w:val="0"/>
              <w:pageBreakBefore w:val="0"/>
              <w:widowControl w:val="0"/>
              <w:shd w:val="clear"/>
              <w:tabs>
                <w:tab w:val="left" w:pos="0"/>
              </w:tabs>
              <w:kinsoku/>
              <w:wordWrap/>
              <w:overflowPunct/>
              <w:topLinePunct w:val="0"/>
              <w:autoSpaceDE/>
              <w:autoSpaceDN/>
              <w:bidi w:val="0"/>
              <w:adjustRightInd w:val="0"/>
              <w:snapToGrid w:val="0"/>
              <w:spacing w:line="4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①应急响应方案符合采购人服务需求；②应急响应及时；③特殊时期应急保障措施（包括遇突击检查、防台防汛期间等特殊时期的应急保障措施等）详细可行；每符合一项得2分，</w:t>
            </w:r>
            <w:r>
              <w:rPr>
                <w:rFonts w:hint="eastAsia" w:cs="仿宋" w:asciiTheme="minorEastAsia" w:hAnsiTheme="minorEastAsia" w:eastAsiaTheme="minorEastAsia"/>
                <w:color w:val="auto"/>
                <w:szCs w:val="21"/>
                <w:highlight w:val="none"/>
              </w:rPr>
              <w:t>以上内容有所欠缺的每项得</w:t>
            </w:r>
            <w:r>
              <w:rPr>
                <w:rFonts w:hint="eastAsia" w:ascii="宋体" w:hAnsi="宋体" w:cs="宋体"/>
                <w:color w:val="auto"/>
                <w:kern w:val="0"/>
                <w:szCs w:val="21"/>
                <w:highlight w:val="none"/>
              </w:rPr>
              <w:t>1分，</w:t>
            </w:r>
            <w:r>
              <w:rPr>
                <w:rFonts w:hint="eastAsia" w:cs="仿宋" w:asciiTheme="minorEastAsia" w:hAnsiTheme="minorEastAsia" w:eastAsiaTheme="minorEastAsia"/>
                <w:color w:val="auto"/>
                <w:szCs w:val="21"/>
                <w:highlight w:val="none"/>
              </w:rPr>
              <w:t>未提供的每项得0分，</w:t>
            </w:r>
            <w:r>
              <w:rPr>
                <w:rFonts w:hint="eastAsia" w:ascii="宋体" w:hAnsi="宋体" w:cs="宋体"/>
                <w:color w:val="auto"/>
                <w:kern w:val="0"/>
                <w:szCs w:val="21"/>
                <w:highlight w:val="none"/>
              </w:rPr>
              <w:t>最多得6分。</w:t>
            </w:r>
          </w:p>
          <w:p w14:paraId="5E5E2311">
            <w:pPr>
              <w:keepNext w:val="0"/>
              <w:keepLines w:val="0"/>
              <w:pageBreakBefore w:val="0"/>
              <w:widowControl w:val="0"/>
              <w:shd w:val="clear"/>
              <w:kinsoku/>
              <w:wordWrap/>
              <w:overflowPunct/>
              <w:topLinePunct w:val="0"/>
              <w:autoSpaceDE/>
              <w:autoSpaceDN/>
              <w:bidi w:val="0"/>
              <w:snapToGrid w:val="0"/>
              <w:spacing w:line="40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2.根据投标人提供的物业服务应急响应能力进行评议：</w:t>
            </w:r>
          </w:p>
          <w:p w14:paraId="6B70EAC7">
            <w:pPr>
              <w:keepNext w:val="0"/>
              <w:keepLines w:val="0"/>
              <w:pageBreakBefore w:val="0"/>
              <w:widowControl w:val="0"/>
              <w:shd w:val="clear"/>
              <w:kinsoku/>
              <w:wordWrap/>
              <w:overflowPunct/>
              <w:topLinePunct w:val="0"/>
              <w:autoSpaceDE/>
              <w:autoSpaceDN/>
              <w:bidi w:val="0"/>
              <w:snapToGrid w:val="0"/>
              <w:spacing w:line="4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①应急响应能力阐述详细；②应急人员储备丰富；③应急人员抽调措施详细可行；每符合一项得</w:t>
            </w:r>
            <w:r>
              <w:rPr>
                <w:rFonts w:ascii="宋体" w:hAnsi="宋体" w:cs="宋体"/>
                <w:color w:val="auto"/>
                <w:kern w:val="0"/>
                <w:szCs w:val="21"/>
                <w:highlight w:val="none"/>
              </w:rPr>
              <w:t>1</w:t>
            </w:r>
            <w:r>
              <w:rPr>
                <w:rFonts w:hint="eastAsia" w:ascii="宋体" w:hAnsi="宋体" w:cs="宋体"/>
                <w:color w:val="auto"/>
                <w:kern w:val="0"/>
                <w:szCs w:val="21"/>
                <w:highlight w:val="none"/>
              </w:rPr>
              <w:t>分，</w:t>
            </w:r>
            <w:r>
              <w:rPr>
                <w:rFonts w:hint="eastAsia" w:cs="仿宋" w:asciiTheme="minorEastAsia" w:hAnsiTheme="minorEastAsia" w:eastAsiaTheme="minorEastAsia"/>
                <w:color w:val="auto"/>
                <w:szCs w:val="21"/>
                <w:highlight w:val="none"/>
              </w:rPr>
              <w:t>以上内容有所欠缺的每项得</w:t>
            </w:r>
            <w:r>
              <w:rPr>
                <w:rFonts w:hint="eastAsia" w:ascii="宋体" w:hAnsi="宋体" w:cs="宋体"/>
                <w:color w:val="auto"/>
                <w:kern w:val="0"/>
                <w:szCs w:val="21"/>
                <w:highlight w:val="none"/>
              </w:rPr>
              <w:t>0.5分，</w:t>
            </w:r>
            <w:r>
              <w:rPr>
                <w:rFonts w:hint="eastAsia" w:cs="仿宋" w:asciiTheme="minorEastAsia" w:hAnsiTheme="minorEastAsia" w:eastAsiaTheme="minorEastAsia"/>
                <w:color w:val="auto"/>
                <w:szCs w:val="21"/>
                <w:highlight w:val="none"/>
              </w:rPr>
              <w:t>未提供的每项得0分，</w:t>
            </w:r>
            <w:r>
              <w:rPr>
                <w:rFonts w:hint="eastAsia" w:ascii="宋体" w:hAnsi="宋体" w:cs="宋体"/>
                <w:color w:val="auto"/>
                <w:kern w:val="0"/>
                <w:szCs w:val="21"/>
                <w:highlight w:val="none"/>
              </w:rPr>
              <w:t>最多得</w:t>
            </w:r>
            <w:r>
              <w:rPr>
                <w:rFonts w:ascii="宋体" w:hAnsi="宋体" w:cs="宋体"/>
                <w:color w:val="auto"/>
                <w:kern w:val="0"/>
                <w:szCs w:val="21"/>
                <w:highlight w:val="none"/>
              </w:rPr>
              <w:t>3</w:t>
            </w:r>
            <w:r>
              <w:rPr>
                <w:rFonts w:hint="eastAsia" w:ascii="宋体" w:hAnsi="宋体" w:cs="宋体"/>
                <w:color w:val="auto"/>
                <w:kern w:val="0"/>
                <w:szCs w:val="21"/>
                <w:highlight w:val="none"/>
              </w:rPr>
              <w:t>分。</w:t>
            </w:r>
          </w:p>
          <w:p w14:paraId="13CD5B74">
            <w:pPr>
              <w:keepNext w:val="0"/>
              <w:keepLines w:val="0"/>
              <w:pageBreakBefore w:val="0"/>
              <w:widowControl w:val="0"/>
              <w:shd w:val="clear"/>
              <w:kinsoku/>
              <w:wordWrap/>
              <w:overflowPunct/>
              <w:topLinePunct w:val="0"/>
              <w:autoSpaceDE/>
              <w:autoSpaceDN/>
              <w:bidi w:val="0"/>
              <w:snapToGrid w:val="0"/>
              <w:spacing w:line="400" w:lineRule="exact"/>
              <w:textAlignment w:val="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（投标文件中人员需提供社保缴纳证明复印件）</w:t>
            </w:r>
          </w:p>
        </w:tc>
      </w:tr>
      <w:tr w14:paraId="1ACC7C26">
        <w:tblPrEx>
          <w:tblCellMar>
            <w:top w:w="0" w:type="dxa"/>
            <w:left w:w="108" w:type="dxa"/>
            <w:bottom w:w="0" w:type="dxa"/>
            <w:right w:w="108" w:type="dxa"/>
          </w:tblCellMar>
        </w:tblPrEx>
        <w:trPr>
          <w:trHeight w:val="20" w:hRule="atLeast"/>
          <w:jc w:val="center"/>
        </w:trPr>
        <w:tc>
          <w:tcPr>
            <w:tcW w:w="529" w:type="dxa"/>
            <w:vMerge w:val="continue"/>
            <w:tcBorders>
              <w:left w:val="single" w:color="auto" w:sz="4" w:space="0"/>
              <w:right w:val="single" w:color="auto" w:sz="4" w:space="0"/>
            </w:tcBorders>
            <w:vAlign w:val="center"/>
          </w:tcPr>
          <w:p w14:paraId="789F1EC0">
            <w:pPr>
              <w:shd w:val="clear"/>
              <w:spacing w:line="360" w:lineRule="auto"/>
              <w:rPr>
                <w:rFonts w:cs="仿宋" w:asciiTheme="minorEastAsia" w:hAnsiTheme="minorEastAsia" w:eastAsiaTheme="minorEastAsia"/>
                <w:color w:val="auto"/>
                <w:szCs w:val="21"/>
                <w:highlight w:val="none"/>
              </w:rPr>
            </w:pPr>
          </w:p>
        </w:tc>
        <w:tc>
          <w:tcPr>
            <w:tcW w:w="1293" w:type="dxa"/>
            <w:vMerge w:val="restart"/>
            <w:tcBorders>
              <w:top w:val="single" w:color="auto" w:sz="4" w:space="0"/>
              <w:left w:val="nil"/>
              <w:bottom w:val="single" w:color="auto" w:sz="4" w:space="0"/>
              <w:right w:val="single" w:color="auto" w:sz="4" w:space="0"/>
            </w:tcBorders>
            <w:vAlign w:val="center"/>
          </w:tcPr>
          <w:p w14:paraId="364DC0BD">
            <w:pPr>
              <w:numPr>
                <w:ilvl w:val="0"/>
                <w:numId w:val="0"/>
              </w:numPr>
              <w:shd w:val="clear"/>
              <w:adjustRightInd w:val="0"/>
              <w:snapToGrid w:val="0"/>
              <w:spacing w:beforeLines="20" w:afterLines="20" w:line="360" w:lineRule="auto"/>
              <w:rPr>
                <w:rFonts w:hint="eastAsia"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kern w:val="2"/>
                <w:sz w:val="21"/>
                <w:szCs w:val="21"/>
                <w:lang w:val="en-US" w:eastAsia="zh-CN" w:bidi="ar-SA"/>
              </w:rPr>
              <w:t>四、</w:t>
            </w:r>
            <w:r>
              <w:rPr>
                <w:rFonts w:hint="eastAsia" w:cs="仿宋" w:asciiTheme="minorEastAsia" w:hAnsiTheme="minorEastAsia" w:eastAsiaTheme="minorEastAsia"/>
                <w:color w:val="auto"/>
                <w:szCs w:val="21"/>
                <w:highlight w:val="none"/>
              </w:rPr>
              <w:t>管理机构设备及管理制度</w:t>
            </w:r>
          </w:p>
          <w:p w14:paraId="3D6E235C">
            <w:pPr>
              <w:numPr>
                <w:ilvl w:val="0"/>
                <w:numId w:val="0"/>
              </w:numPr>
              <w:shd w:val="clear"/>
              <w:adjustRightInd w:val="0"/>
              <w:snapToGrid w:val="0"/>
              <w:spacing w:beforeLines="20" w:afterLines="20"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（8分）</w:t>
            </w:r>
          </w:p>
        </w:tc>
        <w:tc>
          <w:tcPr>
            <w:tcW w:w="7349" w:type="dxa"/>
            <w:tcBorders>
              <w:top w:val="single" w:color="auto" w:sz="4" w:space="0"/>
              <w:left w:val="single" w:color="auto" w:sz="4" w:space="0"/>
              <w:bottom w:val="single" w:color="auto" w:sz="4" w:space="0"/>
              <w:right w:val="single" w:color="auto" w:sz="4" w:space="0"/>
            </w:tcBorders>
            <w:vAlign w:val="center"/>
          </w:tcPr>
          <w:p w14:paraId="1BCCA529">
            <w:pPr>
              <w:shd w:val="clear"/>
              <w:adjustRightInd w:val="0"/>
              <w:snapToGrid w:val="0"/>
              <w:spacing w:beforeLines="20" w:afterLines="20"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1.管理机构设置及管理机构各部门职责评议（4分）</w:t>
            </w:r>
          </w:p>
          <w:p w14:paraId="107739CD">
            <w:pPr>
              <w:shd w:val="clear"/>
              <w:adjustRightInd w:val="0"/>
              <w:snapToGrid w:val="0"/>
              <w:spacing w:beforeLines="20" w:afterLines="20"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①本项目的管理机构设置体现出指挥统一、专业分工、管理有效的2分，以上内容有所欠缺的得1分，未提供的得0分，最多得2分。</w:t>
            </w:r>
          </w:p>
          <w:p w14:paraId="34153947">
            <w:pPr>
              <w:shd w:val="clear"/>
              <w:adjustRightInd w:val="0"/>
              <w:snapToGrid w:val="0"/>
              <w:spacing w:beforeLines="20" w:afterLines="20"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②针对本项目的各部门职责分工明确、职责清晰、管理流程畅通的2分，以上内容有所欠缺的得1分，未提供的得0分，最多得2分。</w:t>
            </w:r>
          </w:p>
        </w:tc>
      </w:tr>
      <w:tr w14:paraId="5F46C3C3">
        <w:tblPrEx>
          <w:tblCellMar>
            <w:top w:w="0" w:type="dxa"/>
            <w:left w:w="108" w:type="dxa"/>
            <w:bottom w:w="0" w:type="dxa"/>
            <w:right w:w="108" w:type="dxa"/>
          </w:tblCellMar>
        </w:tblPrEx>
        <w:trPr>
          <w:trHeight w:val="20" w:hRule="atLeast"/>
          <w:jc w:val="center"/>
        </w:trPr>
        <w:tc>
          <w:tcPr>
            <w:tcW w:w="529" w:type="dxa"/>
            <w:vMerge w:val="continue"/>
            <w:tcBorders>
              <w:left w:val="single" w:color="auto" w:sz="4" w:space="0"/>
              <w:right w:val="single" w:color="auto" w:sz="4" w:space="0"/>
            </w:tcBorders>
            <w:vAlign w:val="center"/>
          </w:tcPr>
          <w:p w14:paraId="68F960AF">
            <w:pPr>
              <w:shd w:val="clear"/>
              <w:spacing w:line="360" w:lineRule="auto"/>
              <w:rPr>
                <w:rFonts w:cs="仿宋" w:asciiTheme="minorEastAsia" w:hAnsiTheme="minorEastAsia" w:eastAsiaTheme="minorEastAsia"/>
                <w:color w:val="auto"/>
                <w:szCs w:val="21"/>
                <w:highlight w:val="none"/>
              </w:rPr>
            </w:pPr>
          </w:p>
        </w:tc>
        <w:tc>
          <w:tcPr>
            <w:tcW w:w="1293" w:type="dxa"/>
            <w:vMerge w:val="continue"/>
            <w:tcBorders>
              <w:top w:val="nil"/>
              <w:left w:val="nil"/>
              <w:bottom w:val="single" w:color="auto" w:sz="4" w:space="0"/>
              <w:right w:val="single" w:color="auto" w:sz="4" w:space="0"/>
            </w:tcBorders>
            <w:vAlign w:val="center"/>
          </w:tcPr>
          <w:p w14:paraId="0B368401">
            <w:pPr>
              <w:shd w:val="clear"/>
              <w:adjustRightInd w:val="0"/>
              <w:snapToGrid w:val="0"/>
              <w:spacing w:beforeLines="20" w:afterLines="20" w:line="360" w:lineRule="auto"/>
              <w:rPr>
                <w:rFonts w:cs="仿宋" w:asciiTheme="minorEastAsia" w:hAnsiTheme="minorEastAsia" w:eastAsiaTheme="minorEastAsia"/>
                <w:color w:val="auto"/>
                <w:szCs w:val="21"/>
                <w:highlight w:val="none"/>
              </w:rPr>
            </w:pPr>
          </w:p>
        </w:tc>
        <w:tc>
          <w:tcPr>
            <w:tcW w:w="7349" w:type="dxa"/>
            <w:tcBorders>
              <w:top w:val="single" w:color="auto" w:sz="4" w:space="0"/>
              <w:left w:val="single" w:color="auto" w:sz="4" w:space="0"/>
              <w:bottom w:val="single" w:color="auto" w:sz="4" w:space="0"/>
              <w:right w:val="single" w:color="auto" w:sz="4" w:space="0"/>
            </w:tcBorders>
            <w:vAlign w:val="center"/>
          </w:tcPr>
          <w:p w14:paraId="2EC021E2">
            <w:pPr>
              <w:shd w:val="clear"/>
              <w:adjustRightInd w:val="0"/>
              <w:snapToGrid w:val="0"/>
              <w:spacing w:beforeLines="20" w:afterLines="20"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2.激励与监督机制评议（2分）</w:t>
            </w:r>
          </w:p>
          <w:p w14:paraId="361D74FB">
            <w:pPr>
              <w:shd w:val="clear"/>
              <w:adjustRightInd w:val="0"/>
              <w:snapToGrid w:val="0"/>
              <w:spacing w:beforeLines="20" w:afterLines="20"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激励与监督机制激励理念先进、方法多样、机制合理的2分，以上内容有所欠缺的得1分，未提供的得0分，最多得2分。</w:t>
            </w:r>
          </w:p>
        </w:tc>
      </w:tr>
      <w:tr w14:paraId="31BBF50D">
        <w:tblPrEx>
          <w:tblCellMar>
            <w:top w:w="0" w:type="dxa"/>
            <w:left w:w="108" w:type="dxa"/>
            <w:bottom w:w="0" w:type="dxa"/>
            <w:right w:w="108" w:type="dxa"/>
          </w:tblCellMar>
        </w:tblPrEx>
        <w:trPr>
          <w:trHeight w:val="20" w:hRule="atLeast"/>
          <w:jc w:val="center"/>
        </w:trPr>
        <w:tc>
          <w:tcPr>
            <w:tcW w:w="529" w:type="dxa"/>
            <w:vMerge w:val="continue"/>
            <w:tcBorders>
              <w:left w:val="single" w:color="auto" w:sz="4" w:space="0"/>
              <w:right w:val="single" w:color="auto" w:sz="4" w:space="0"/>
            </w:tcBorders>
            <w:vAlign w:val="center"/>
          </w:tcPr>
          <w:p w14:paraId="2426A13B">
            <w:pPr>
              <w:shd w:val="clear"/>
              <w:spacing w:line="360" w:lineRule="auto"/>
              <w:rPr>
                <w:rFonts w:cs="仿宋" w:asciiTheme="minorEastAsia" w:hAnsiTheme="minorEastAsia" w:eastAsiaTheme="minorEastAsia"/>
                <w:color w:val="auto"/>
                <w:szCs w:val="21"/>
                <w:highlight w:val="none"/>
              </w:rPr>
            </w:pPr>
          </w:p>
        </w:tc>
        <w:tc>
          <w:tcPr>
            <w:tcW w:w="1293" w:type="dxa"/>
            <w:vMerge w:val="continue"/>
            <w:tcBorders>
              <w:top w:val="nil"/>
              <w:left w:val="nil"/>
              <w:bottom w:val="single" w:color="auto" w:sz="4" w:space="0"/>
              <w:right w:val="single" w:color="auto" w:sz="4" w:space="0"/>
            </w:tcBorders>
            <w:vAlign w:val="center"/>
          </w:tcPr>
          <w:p w14:paraId="2E6E09F3">
            <w:pPr>
              <w:shd w:val="clear"/>
              <w:adjustRightInd w:val="0"/>
              <w:snapToGrid w:val="0"/>
              <w:spacing w:beforeLines="20" w:afterLines="20" w:line="360" w:lineRule="auto"/>
              <w:rPr>
                <w:rFonts w:cs="仿宋" w:asciiTheme="minorEastAsia" w:hAnsiTheme="minorEastAsia" w:eastAsiaTheme="minorEastAsia"/>
                <w:color w:val="auto"/>
                <w:szCs w:val="21"/>
                <w:highlight w:val="none"/>
              </w:rPr>
            </w:pPr>
          </w:p>
        </w:tc>
        <w:tc>
          <w:tcPr>
            <w:tcW w:w="7349" w:type="dxa"/>
            <w:tcBorders>
              <w:top w:val="single" w:color="auto" w:sz="4" w:space="0"/>
              <w:left w:val="nil"/>
              <w:bottom w:val="single" w:color="auto" w:sz="4" w:space="0"/>
              <w:right w:val="single" w:color="auto" w:sz="4" w:space="0"/>
            </w:tcBorders>
            <w:vAlign w:val="center"/>
          </w:tcPr>
          <w:p w14:paraId="238AEE7D">
            <w:pPr>
              <w:shd w:val="clear"/>
              <w:adjustRightInd w:val="0"/>
              <w:snapToGrid w:val="0"/>
              <w:spacing w:beforeLines="20" w:afterLines="20"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3.奖惩制度及内部考核评议（2分）</w:t>
            </w:r>
          </w:p>
          <w:p w14:paraId="56B48CF1">
            <w:pPr>
              <w:shd w:val="clear"/>
              <w:adjustRightInd w:val="0"/>
              <w:snapToGrid w:val="0"/>
              <w:spacing w:beforeLines="20" w:afterLines="20"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针对本项目的奖惩制度及内部考核细则制度完善、职责明确、考核内容详细的2分，以上内容有所欠缺的得1分，未提供的得0分，最多得2分。</w:t>
            </w:r>
          </w:p>
        </w:tc>
      </w:tr>
      <w:tr w14:paraId="53B200DB">
        <w:tblPrEx>
          <w:tblCellMar>
            <w:top w:w="0" w:type="dxa"/>
            <w:left w:w="108" w:type="dxa"/>
            <w:bottom w:w="0" w:type="dxa"/>
            <w:right w:w="108" w:type="dxa"/>
          </w:tblCellMar>
        </w:tblPrEx>
        <w:trPr>
          <w:trHeight w:val="20" w:hRule="atLeast"/>
          <w:jc w:val="center"/>
        </w:trPr>
        <w:tc>
          <w:tcPr>
            <w:tcW w:w="529" w:type="dxa"/>
            <w:vMerge w:val="continue"/>
            <w:tcBorders>
              <w:left w:val="single" w:color="auto" w:sz="4" w:space="0"/>
              <w:right w:val="single" w:color="auto" w:sz="4" w:space="0"/>
            </w:tcBorders>
            <w:vAlign w:val="center"/>
          </w:tcPr>
          <w:p w14:paraId="787B6D06">
            <w:pPr>
              <w:shd w:val="clear"/>
              <w:spacing w:line="360" w:lineRule="auto"/>
              <w:rPr>
                <w:rFonts w:cs="仿宋" w:asciiTheme="minorEastAsia" w:hAnsiTheme="minorEastAsia" w:eastAsiaTheme="minorEastAsia"/>
                <w:color w:val="auto"/>
                <w:szCs w:val="21"/>
                <w:highlight w:val="none"/>
              </w:rPr>
            </w:pPr>
          </w:p>
        </w:tc>
        <w:tc>
          <w:tcPr>
            <w:tcW w:w="1293" w:type="dxa"/>
            <w:vMerge w:val="restart"/>
            <w:tcBorders>
              <w:top w:val="nil"/>
              <w:left w:val="nil"/>
              <w:right w:val="single" w:color="auto" w:sz="4" w:space="0"/>
            </w:tcBorders>
            <w:vAlign w:val="center"/>
          </w:tcPr>
          <w:p w14:paraId="3E3F801F">
            <w:pPr>
              <w:shd w:val="clear"/>
              <w:adjustRightInd w:val="0"/>
              <w:snapToGrid w:val="0"/>
              <w:spacing w:beforeLines="20" w:afterLines="20"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五、人员配置及管理（</w:t>
            </w:r>
            <w:r>
              <w:rPr>
                <w:rFonts w:cs="仿宋" w:asciiTheme="minorEastAsia" w:hAnsiTheme="minorEastAsia" w:eastAsiaTheme="minorEastAsia"/>
                <w:color w:val="auto"/>
                <w:szCs w:val="21"/>
                <w:highlight w:val="none"/>
              </w:rPr>
              <w:t>1</w:t>
            </w:r>
            <w:r>
              <w:rPr>
                <w:rFonts w:hint="eastAsia" w:cs="仿宋" w:asciiTheme="minorEastAsia" w:hAnsiTheme="minorEastAsia" w:eastAsiaTheme="minorEastAsia"/>
                <w:color w:val="auto"/>
                <w:szCs w:val="21"/>
                <w:highlight w:val="none"/>
              </w:rPr>
              <w:t>0分）</w:t>
            </w:r>
          </w:p>
        </w:tc>
        <w:tc>
          <w:tcPr>
            <w:tcW w:w="7349" w:type="dxa"/>
            <w:tcBorders>
              <w:top w:val="single" w:color="auto" w:sz="4" w:space="0"/>
              <w:left w:val="nil"/>
              <w:bottom w:val="single" w:color="auto" w:sz="4" w:space="0"/>
              <w:right w:val="single" w:color="auto" w:sz="4" w:space="0"/>
            </w:tcBorders>
            <w:vAlign w:val="center"/>
          </w:tcPr>
          <w:p w14:paraId="01DF3919">
            <w:pPr>
              <w:shd w:val="clear"/>
              <w:snapToGrid w:val="0"/>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1、人员配备（3分）：</w:t>
            </w:r>
          </w:p>
          <w:p w14:paraId="60CF85BE">
            <w:pPr>
              <w:shd w:val="clear"/>
              <w:snapToGrid w:val="0"/>
              <w:spacing w:line="360" w:lineRule="auto"/>
              <w:rPr>
                <w:rFonts w:hint="eastAsia"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根据投标人针对本项目人员配备进行评议：</w:t>
            </w:r>
            <w:r>
              <w:rPr>
                <w:rFonts w:cs="仿宋" w:asciiTheme="minorEastAsia" w:hAnsiTheme="minorEastAsia" w:eastAsiaTheme="minorEastAsia"/>
                <w:color w:val="auto"/>
                <w:szCs w:val="21"/>
                <w:highlight w:val="none"/>
              </w:rPr>
              <w:t>①</w:t>
            </w:r>
            <w:r>
              <w:rPr>
                <w:rFonts w:hint="eastAsia" w:cs="仿宋" w:asciiTheme="minorEastAsia" w:hAnsiTheme="minorEastAsia" w:eastAsiaTheme="minorEastAsia"/>
                <w:color w:val="auto"/>
                <w:szCs w:val="21"/>
                <w:highlight w:val="none"/>
              </w:rPr>
              <w:t>拟派项目人员配备充足；</w:t>
            </w:r>
            <w:r>
              <w:rPr>
                <w:rFonts w:cs="仿宋" w:asciiTheme="minorEastAsia" w:hAnsiTheme="minorEastAsia" w:eastAsiaTheme="minorEastAsia"/>
                <w:color w:val="auto"/>
                <w:szCs w:val="21"/>
                <w:highlight w:val="none"/>
              </w:rPr>
              <w:t>②</w:t>
            </w:r>
            <w:r>
              <w:rPr>
                <w:rFonts w:hint="eastAsia" w:cs="仿宋" w:asciiTheme="minorEastAsia" w:hAnsiTheme="minorEastAsia" w:eastAsiaTheme="minorEastAsia"/>
                <w:color w:val="auto"/>
                <w:szCs w:val="21"/>
                <w:highlight w:val="none"/>
              </w:rPr>
              <w:t>工作经验丰富；</w:t>
            </w:r>
            <w:r>
              <w:rPr>
                <w:rFonts w:cs="仿宋" w:asciiTheme="minorEastAsia" w:hAnsiTheme="minorEastAsia" w:eastAsiaTheme="minorEastAsia"/>
                <w:color w:val="auto"/>
                <w:szCs w:val="21"/>
                <w:highlight w:val="none"/>
              </w:rPr>
              <w:t>③</w:t>
            </w:r>
            <w:r>
              <w:rPr>
                <w:rFonts w:hint="eastAsia" w:cs="仿宋" w:asciiTheme="minorEastAsia" w:hAnsiTheme="minorEastAsia" w:eastAsiaTheme="minorEastAsia"/>
                <w:color w:val="auto"/>
                <w:szCs w:val="21"/>
                <w:highlight w:val="none"/>
              </w:rPr>
              <w:t>工作内容分配合理的；每符合一项得1分，以上内容有所欠缺的每项得0.5分，未提供的每项得0分，最多得3分。</w:t>
            </w:r>
          </w:p>
          <w:p w14:paraId="10034A64">
            <w:pPr>
              <w:shd w:val="clear"/>
              <w:snapToGrid w:val="0"/>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（投标文件中需提供社保缴纳证明复印件）</w:t>
            </w:r>
          </w:p>
        </w:tc>
      </w:tr>
      <w:tr w14:paraId="2010592B">
        <w:tblPrEx>
          <w:tblCellMar>
            <w:top w:w="0" w:type="dxa"/>
            <w:left w:w="108" w:type="dxa"/>
            <w:bottom w:w="0" w:type="dxa"/>
            <w:right w:w="108" w:type="dxa"/>
          </w:tblCellMar>
        </w:tblPrEx>
        <w:trPr>
          <w:trHeight w:val="20" w:hRule="atLeast"/>
          <w:jc w:val="center"/>
        </w:trPr>
        <w:tc>
          <w:tcPr>
            <w:tcW w:w="529" w:type="dxa"/>
            <w:vMerge w:val="continue"/>
            <w:tcBorders>
              <w:left w:val="single" w:color="auto" w:sz="4" w:space="0"/>
              <w:right w:val="single" w:color="auto" w:sz="4" w:space="0"/>
            </w:tcBorders>
            <w:vAlign w:val="center"/>
          </w:tcPr>
          <w:p w14:paraId="4B5E65C2">
            <w:pPr>
              <w:shd w:val="clear"/>
              <w:spacing w:line="360" w:lineRule="auto"/>
              <w:rPr>
                <w:rFonts w:cs="仿宋" w:asciiTheme="minorEastAsia" w:hAnsiTheme="minorEastAsia" w:eastAsiaTheme="minorEastAsia"/>
                <w:color w:val="auto"/>
                <w:szCs w:val="21"/>
                <w:highlight w:val="none"/>
              </w:rPr>
            </w:pPr>
          </w:p>
        </w:tc>
        <w:tc>
          <w:tcPr>
            <w:tcW w:w="1293" w:type="dxa"/>
            <w:vMerge w:val="continue"/>
            <w:tcBorders>
              <w:left w:val="nil"/>
              <w:right w:val="single" w:color="auto" w:sz="4" w:space="0"/>
            </w:tcBorders>
            <w:vAlign w:val="center"/>
          </w:tcPr>
          <w:p w14:paraId="381134DC">
            <w:pPr>
              <w:shd w:val="clear"/>
              <w:adjustRightInd w:val="0"/>
              <w:snapToGrid w:val="0"/>
              <w:spacing w:beforeLines="20" w:afterLines="20" w:line="360" w:lineRule="auto"/>
              <w:rPr>
                <w:rFonts w:cs="仿宋" w:asciiTheme="minorEastAsia" w:hAnsiTheme="minorEastAsia" w:eastAsiaTheme="minorEastAsia"/>
                <w:color w:val="auto"/>
                <w:szCs w:val="21"/>
                <w:highlight w:val="none"/>
              </w:rPr>
            </w:pPr>
          </w:p>
        </w:tc>
        <w:tc>
          <w:tcPr>
            <w:tcW w:w="7349" w:type="dxa"/>
            <w:tcBorders>
              <w:top w:val="single" w:color="auto" w:sz="4" w:space="0"/>
              <w:left w:val="nil"/>
              <w:bottom w:val="single" w:color="auto" w:sz="4" w:space="0"/>
              <w:right w:val="single" w:color="auto" w:sz="4" w:space="0"/>
            </w:tcBorders>
            <w:vAlign w:val="center"/>
          </w:tcPr>
          <w:p w14:paraId="3E046275">
            <w:pPr>
              <w:shd w:val="clear"/>
              <w:snapToGrid w:val="0"/>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2、人员安全保障措施（5分）</w:t>
            </w:r>
          </w:p>
          <w:p w14:paraId="1B0A4178">
            <w:pPr>
              <w:shd w:val="clear"/>
              <w:snapToGrid w:val="0"/>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（1）根据投标人针对本项目人员安全保障措施进行评议：</w:t>
            </w:r>
            <w:r>
              <w:rPr>
                <w:rFonts w:cs="仿宋" w:asciiTheme="minorEastAsia" w:hAnsiTheme="minorEastAsia" w:eastAsiaTheme="minorEastAsia"/>
                <w:color w:val="auto"/>
                <w:szCs w:val="21"/>
                <w:highlight w:val="none"/>
              </w:rPr>
              <w:t>①</w:t>
            </w:r>
            <w:r>
              <w:rPr>
                <w:rFonts w:hint="eastAsia" w:cs="仿宋" w:asciiTheme="minorEastAsia" w:hAnsiTheme="minorEastAsia" w:eastAsiaTheme="minorEastAsia"/>
                <w:color w:val="auto"/>
                <w:szCs w:val="21"/>
                <w:highlight w:val="none"/>
              </w:rPr>
              <w:t>人员安全保障措施可靠有保障；</w:t>
            </w:r>
            <w:r>
              <w:rPr>
                <w:rFonts w:cs="仿宋" w:asciiTheme="minorEastAsia" w:hAnsiTheme="minorEastAsia" w:eastAsiaTheme="minorEastAsia"/>
                <w:color w:val="auto"/>
                <w:szCs w:val="21"/>
                <w:highlight w:val="none"/>
              </w:rPr>
              <w:t>②</w:t>
            </w:r>
            <w:r>
              <w:rPr>
                <w:rFonts w:hint="eastAsia" w:cs="仿宋" w:asciiTheme="minorEastAsia" w:hAnsiTheme="minorEastAsia" w:eastAsiaTheme="minorEastAsia"/>
                <w:color w:val="auto"/>
                <w:szCs w:val="21"/>
                <w:highlight w:val="none"/>
              </w:rPr>
              <w:t>安全管理制度针对性强；</w:t>
            </w:r>
            <w:r>
              <w:rPr>
                <w:rFonts w:cs="仿宋" w:asciiTheme="minorEastAsia" w:hAnsiTheme="minorEastAsia" w:eastAsiaTheme="minorEastAsia"/>
                <w:color w:val="auto"/>
                <w:szCs w:val="21"/>
                <w:highlight w:val="none"/>
              </w:rPr>
              <w:t>③</w:t>
            </w:r>
            <w:r>
              <w:rPr>
                <w:rFonts w:hint="eastAsia" w:cs="仿宋" w:asciiTheme="minorEastAsia" w:hAnsiTheme="minorEastAsia" w:eastAsiaTheme="minorEastAsia"/>
                <w:color w:val="auto"/>
                <w:szCs w:val="21"/>
                <w:highlight w:val="none"/>
              </w:rPr>
              <w:t>安全责任分配明确；</w:t>
            </w:r>
            <w:r>
              <w:rPr>
                <w:rFonts w:cs="仿宋" w:asciiTheme="minorEastAsia" w:hAnsiTheme="minorEastAsia" w:eastAsiaTheme="minorEastAsia"/>
                <w:color w:val="auto"/>
                <w:szCs w:val="21"/>
                <w:highlight w:val="none"/>
              </w:rPr>
              <w:t>④</w:t>
            </w:r>
            <w:r>
              <w:rPr>
                <w:rFonts w:hint="eastAsia" w:cs="仿宋" w:asciiTheme="minorEastAsia" w:hAnsiTheme="minorEastAsia" w:eastAsiaTheme="minorEastAsia"/>
                <w:color w:val="auto"/>
                <w:szCs w:val="21"/>
                <w:highlight w:val="none"/>
              </w:rPr>
              <w:t>事故善后措施及赔偿方案符合实际；每符合一项得1分，以上内容有所欠缺的每项得0.5分，未提供的每项得0分，最多得4分。</w:t>
            </w:r>
          </w:p>
          <w:p w14:paraId="7AB258E0">
            <w:pPr>
              <w:shd w:val="clear"/>
              <w:snapToGrid w:val="0"/>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（2）投标人承保《雇主责任险》的得1分；投标文件中提供证明材料；</w:t>
            </w:r>
          </w:p>
        </w:tc>
      </w:tr>
      <w:tr w14:paraId="6A43DE1A">
        <w:tblPrEx>
          <w:tblCellMar>
            <w:top w:w="0" w:type="dxa"/>
            <w:left w:w="108" w:type="dxa"/>
            <w:bottom w:w="0" w:type="dxa"/>
            <w:right w:w="108" w:type="dxa"/>
          </w:tblCellMar>
        </w:tblPrEx>
        <w:trPr>
          <w:trHeight w:val="20" w:hRule="atLeast"/>
          <w:jc w:val="center"/>
        </w:trPr>
        <w:tc>
          <w:tcPr>
            <w:tcW w:w="529" w:type="dxa"/>
            <w:vMerge w:val="continue"/>
            <w:tcBorders>
              <w:left w:val="single" w:color="auto" w:sz="4" w:space="0"/>
              <w:right w:val="single" w:color="auto" w:sz="4" w:space="0"/>
            </w:tcBorders>
            <w:vAlign w:val="center"/>
          </w:tcPr>
          <w:p w14:paraId="6292EA40">
            <w:pPr>
              <w:shd w:val="clear"/>
              <w:spacing w:line="360" w:lineRule="auto"/>
              <w:rPr>
                <w:rFonts w:cs="仿宋" w:asciiTheme="minorEastAsia" w:hAnsiTheme="minorEastAsia" w:eastAsiaTheme="minorEastAsia"/>
                <w:color w:val="auto"/>
                <w:szCs w:val="21"/>
                <w:highlight w:val="none"/>
              </w:rPr>
            </w:pPr>
          </w:p>
        </w:tc>
        <w:tc>
          <w:tcPr>
            <w:tcW w:w="1293" w:type="dxa"/>
            <w:vMerge w:val="continue"/>
            <w:tcBorders>
              <w:left w:val="nil"/>
              <w:bottom w:val="single" w:color="auto" w:sz="4" w:space="0"/>
              <w:right w:val="single" w:color="auto" w:sz="4" w:space="0"/>
            </w:tcBorders>
            <w:vAlign w:val="center"/>
          </w:tcPr>
          <w:p w14:paraId="68C9648C">
            <w:pPr>
              <w:shd w:val="clear"/>
              <w:adjustRightInd w:val="0"/>
              <w:snapToGrid w:val="0"/>
              <w:spacing w:beforeLines="20" w:afterLines="20" w:line="360" w:lineRule="auto"/>
              <w:rPr>
                <w:rFonts w:cs="仿宋" w:asciiTheme="minorEastAsia" w:hAnsiTheme="minorEastAsia" w:eastAsiaTheme="minorEastAsia"/>
                <w:color w:val="auto"/>
                <w:szCs w:val="21"/>
                <w:highlight w:val="none"/>
              </w:rPr>
            </w:pPr>
          </w:p>
        </w:tc>
        <w:tc>
          <w:tcPr>
            <w:tcW w:w="7349" w:type="dxa"/>
            <w:tcBorders>
              <w:top w:val="single" w:color="auto" w:sz="4" w:space="0"/>
              <w:left w:val="nil"/>
              <w:bottom w:val="single" w:color="auto" w:sz="4" w:space="0"/>
              <w:right w:val="single" w:color="auto" w:sz="4" w:space="0"/>
            </w:tcBorders>
            <w:vAlign w:val="center"/>
          </w:tcPr>
          <w:p w14:paraId="3EE3BCBB">
            <w:pPr>
              <w:shd w:val="clear"/>
              <w:snapToGrid w:val="0"/>
              <w:spacing w:line="360" w:lineRule="auto"/>
              <w:rPr>
                <w:rFonts w:cs="仿宋" w:asciiTheme="minorEastAsia" w:hAnsiTheme="minorEastAsia" w:eastAsiaTheme="minorEastAsia"/>
                <w:color w:val="auto"/>
                <w:szCs w:val="21"/>
                <w:highlight w:val="none"/>
              </w:rPr>
            </w:pPr>
            <w:r>
              <w:rPr>
                <w:rFonts w:cs="仿宋" w:asciiTheme="minorEastAsia" w:hAnsiTheme="minorEastAsia" w:eastAsiaTheme="minorEastAsia"/>
                <w:color w:val="auto"/>
                <w:szCs w:val="21"/>
                <w:highlight w:val="none"/>
              </w:rPr>
              <w:t>3</w:t>
            </w:r>
            <w:r>
              <w:rPr>
                <w:rFonts w:hint="eastAsia" w:cs="仿宋" w:asciiTheme="minorEastAsia" w:hAnsiTheme="minorEastAsia" w:eastAsiaTheme="minorEastAsia"/>
                <w:color w:val="auto"/>
                <w:szCs w:val="21"/>
                <w:highlight w:val="none"/>
              </w:rPr>
              <w:t>、人员录用与考核标准（2分）：</w:t>
            </w:r>
          </w:p>
          <w:p w14:paraId="292EC19D">
            <w:pPr>
              <w:shd w:val="clear"/>
              <w:snapToGrid w:val="0"/>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根据投标人针对本项目人员录用与考核标准进行评议：人员录用与考核标准体现出相互竞争、注重效率、平等对待的得2分，以上内容有所欠缺的得1分，未提供的得0分，最多得2分。</w:t>
            </w:r>
          </w:p>
        </w:tc>
      </w:tr>
      <w:tr w14:paraId="4A214DEA">
        <w:tblPrEx>
          <w:tblCellMar>
            <w:top w:w="0" w:type="dxa"/>
            <w:left w:w="108" w:type="dxa"/>
            <w:bottom w:w="0" w:type="dxa"/>
            <w:right w:w="108" w:type="dxa"/>
          </w:tblCellMar>
        </w:tblPrEx>
        <w:trPr>
          <w:trHeight w:val="20" w:hRule="atLeast"/>
          <w:jc w:val="center"/>
        </w:trPr>
        <w:tc>
          <w:tcPr>
            <w:tcW w:w="529" w:type="dxa"/>
            <w:vMerge w:val="continue"/>
            <w:tcBorders>
              <w:left w:val="single" w:color="auto" w:sz="4" w:space="0"/>
              <w:right w:val="single" w:color="auto" w:sz="4" w:space="0"/>
            </w:tcBorders>
            <w:vAlign w:val="center"/>
          </w:tcPr>
          <w:p w14:paraId="7E1380A2">
            <w:pPr>
              <w:shd w:val="clear"/>
              <w:spacing w:line="360" w:lineRule="auto"/>
              <w:rPr>
                <w:rFonts w:cs="仿宋" w:asciiTheme="minorEastAsia" w:hAnsiTheme="minorEastAsia" w:eastAsiaTheme="minorEastAsia"/>
                <w:color w:val="auto"/>
                <w:szCs w:val="21"/>
                <w:highlight w:val="none"/>
              </w:rPr>
            </w:pPr>
          </w:p>
        </w:tc>
        <w:tc>
          <w:tcPr>
            <w:tcW w:w="1293" w:type="dxa"/>
            <w:tcBorders>
              <w:top w:val="nil"/>
              <w:left w:val="nil"/>
              <w:bottom w:val="single" w:color="auto" w:sz="4" w:space="0"/>
              <w:right w:val="single" w:color="auto" w:sz="4" w:space="0"/>
            </w:tcBorders>
            <w:vAlign w:val="center"/>
          </w:tcPr>
          <w:p w14:paraId="32968BDA">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六、人员培训（</w:t>
            </w:r>
            <w:r>
              <w:rPr>
                <w:rFonts w:hint="eastAsia" w:cs="仿宋" w:asciiTheme="minorEastAsia" w:hAnsiTheme="minorEastAsia" w:eastAsiaTheme="minorEastAsia"/>
                <w:color w:val="auto"/>
                <w:szCs w:val="21"/>
                <w:highlight w:val="none"/>
                <w:lang w:val="en-US" w:eastAsia="zh-CN"/>
              </w:rPr>
              <w:t>4</w:t>
            </w:r>
            <w:r>
              <w:rPr>
                <w:rFonts w:hint="eastAsia" w:cs="仿宋" w:asciiTheme="minorEastAsia" w:hAnsiTheme="minorEastAsia" w:eastAsiaTheme="minorEastAsia"/>
                <w:color w:val="auto"/>
                <w:szCs w:val="21"/>
                <w:highlight w:val="none"/>
              </w:rPr>
              <w:t>分）</w:t>
            </w:r>
          </w:p>
        </w:tc>
        <w:tc>
          <w:tcPr>
            <w:tcW w:w="7349" w:type="dxa"/>
            <w:tcBorders>
              <w:top w:val="single" w:color="auto" w:sz="4" w:space="0"/>
              <w:left w:val="nil"/>
              <w:bottom w:val="single" w:color="auto" w:sz="4" w:space="0"/>
              <w:right w:val="single" w:color="auto" w:sz="4" w:space="0"/>
            </w:tcBorders>
            <w:vAlign w:val="center"/>
          </w:tcPr>
          <w:p w14:paraId="14CB4DBA">
            <w:pPr>
              <w:shd w:val="clear"/>
              <w:snapToGrid w:val="0"/>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人员培训方案（包括但不限于继续教育制度、基本操作规程及相关知识）</w:t>
            </w:r>
          </w:p>
          <w:p w14:paraId="1FECA126">
            <w:pPr>
              <w:shd w:val="clear"/>
              <w:snapToGrid w:val="0"/>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根据投标人提供的①人员培训方案多样；②培训内容针对性强；每符合一项得</w:t>
            </w:r>
            <w:r>
              <w:rPr>
                <w:rFonts w:hint="eastAsia" w:cs="仿宋" w:asciiTheme="minorEastAsia" w:hAnsiTheme="minorEastAsia" w:eastAsiaTheme="minorEastAsia"/>
                <w:color w:val="auto"/>
                <w:szCs w:val="21"/>
                <w:highlight w:val="none"/>
                <w:lang w:val="en-US" w:eastAsia="zh-CN"/>
              </w:rPr>
              <w:t>2</w:t>
            </w:r>
            <w:r>
              <w:rPr>
                <w:rFonts w:hint="eastAsia" w:cs="仿宋" w:asciiTheme="minorEastAsia" w:hAnsiTheme="minorEastAsia" w:eastAsiaTheme="minorEastAsia"/>
                <w:color w:val="auto"/>
                <w:szCs w:val="21"/>
                <w:highlight w:val="none"/>
              </w:rPr>
              <w:t>分，以上内容有所欠缺的每项得0.5分，未提供的每项得0分，最多得</w:t>
            </w:r>
            <w:r>
              <w:rPr>
                <w:rFonts w:hint="eastAsia" w:cs="仿宋" w:asciiTheme="minorEastAsia" w:hAnsiTheme="minorEastAsia" w:eastAsiaTheme="minorEastAsia"/>
                <w:color w:val="auto"/>
                <w:szCs w:val="21"/>
                <w:highlight w:val="none"/>
                <w:lang w:val="en-US" w:eastAsia="zh-CN"/>
              </w:rPr>
              <w:t>4</w:t>
            </w:r>
            <w:r>
              <w:rPr>
                <w:rFonts w:hint="eastAsia" w:cs="仿宋" w:asciiTheme="minorEastAsia" w:hAnsiTheme="minorEastAsia" w:eastAsiaTheme="minorEastAsia"/>
                <w:color w:val="auto"/>
                <w:szCs w:val="21"/>
                <w:highlight w:val="none"/>
              </w:rPr>
              <w:t>分。</w:t>
            </w:r>
          </w:p>
        </w:tc>
      </w:tr>
      <w:tr w14:paraId="4FC636A6">
        <w:tblPrEx>
          <w:tblCellMar>
            <w:top w:w="0" w:type="dxa"/>
            <w:left w:w="108" w:type="dxa"/>
            <w:bottom w:w="0" w:type="dxa"/>
            <w:right w:w="108" w:type="dxa"/>
          </w:tblCellMar>
        </w:tblPrEx>
        <w:trPr>
          <w:trHeight w:val="20" w:hRule="atLeast"/>
          <w:jc w:val="center"/>
        </w:trPr>
        <w:tc>
          <w:tcPr>
            <w:tcW w:w="529" w:type="dxa"/>
            <w:vMerge w:val="continue"/>
            <w:tcBorders>
              <w:left w:val="single" w:color="auto" w:sz="4" w:space="0"/>
              <w:right w:val="single" w:color="auto" w:sz="4" w:space="0"/>
            </w:tcBorders>
            <w:vAlign w:val="center"/>
          </w:tcPr>
          <w:p w14:paraId="4C1CFD5C">
            <w:pPr>
              <w:shd w:val="clear"/>
              <w:spacing w:line="360" w:lineRule="auto"/>
              <w:rPr>
                <w:rFonts w:cs="仿宋" w:asciiTheme="minorEastAsia" w:hAnsiTheme="minorEastAsia" w:eastAsiaTheme="minorEastAsia"/>
                <w:color w:val="auto"/>
                <w:szCs w:val="21"/>
                <w:highlight w:val="none"/>
              </w:rPr>
            </w:pPr>
          </w:p>
        </w:tc>
        <w:tc>
          <w:tcPr>
            <w:tcW w:w="1293" w:type="dxa"/>
            <w:tcBorders>
              <w:top w:val="single" w:color="auto" w:sz="4" w:space="0"/>
              <w:left w:val="nil"/>
              <w:right w:val="single" w:color="auto" w:sz="4" w:space="0"/>
            </w:tcBorders>
            <w:vAlign w:val="center"/>
          </w:tcPr>
          <w:p w14:paraId="2258A7F0">
            <w:pPr>
              <w:shd w:val="clear"/>
              <w:spacing w:line="360" w:lineRule="auto"/>
              <w:rPr>
                <w:rFonts w:hint="eastAsia"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七、企业综合实力</w:t>
            </w:r>
          </w:p>
          <w:p w14:paraId="3EBF687F">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w:t>
            </w:r>
            <w:r>
              <w:rPr>
                <w:rFonts w:hint="eastAsia" w:cs="仿宋" w:asciiTheme="minorEastAsia" w:hAnsiTheme="minorEastAsia" w:eastAsiaTheme="minorEastAsia"/>
                <w:color w:val="auto"/>
                <w:szCs w:val="21"/>
                <w:highlight w:val="none"/>
                <w:lang w:val="en-US" w:eastAsia="zh-CN"/>
              </w:rPr>
              <w:t>3</w:t>
            </w:r>
            <w:r>
              <w:rPr>
                <w:rFonts w:hint="eastAsia" w:cs="仿宋" w:asciiTheme="minorEastAsia" w:hAnsiTheme="minorEastAsia" w:eastAsiaTheme="minorEastAsia"/>
                <w:color w:val="auto"/>
                <w:szCs w:val="21"/>
                <w:highlight w:val="none"/>
              </w:rPr>
              <w:t>分）</w:t>
            </w:r>
          </w:p>
        </w:tc>
        <w:tc>
          <w:tcPr>
            <w:tcW w:w="7349" w:type="dxa"/>
            <w:tcBorders>
              <w:top w:val="single" w:color="auto" w:sz="4" w:space="0"/>
              <w:left w:val="nil"/>
              <w:bottom w:val="single" w:color="auto" w:sz="4" w:space="0"/>
              <w:right w:val="single" w:color="auto" w:sz="4" w:space="0"/>
            </w:tcBorders>
            <w:vAlign w:val="center"/>
          </w:tcPr>
          <w:p w14:paraId="3AC41273">
            <w:pPr>
              <w:shd w:val="clear"/>
              <w:snapToGrid w:val="0"/>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投标人同时具有质量管理体系、环境管理体系、职业健康安全管理体系</w:t>
            </w:r>
            <w:r>
              <w:rPr>
                <w:rFonts w:hint="eastAsia" w:cs="仿宋" w:asciiTheme="minorEastAsia" w:hAnsiTheme="minorEastAsia" w:eastAsiaTheme="minorEastAsia"/>
                <w:color w:val="auto"/>
                <w:szCs w:val="21"/>
                <w:highlight w:val="none"/>
                <w:lang w:eastAsia="zh-CN"/>
              </w:rPr>
              <w:t>。</w:t>
            </w:r>
            <w:r>
              <w:rPr>
                <w:rFonts w:hint="eastAsia" w:cs="仿宋" w:asciiTheme="minorEastAsia" w:hAnsiTheme="minorEastAsia" w:eastAsiaTheme="minorEastAsia"/>
                <w:color w:val="auto"/>
                <w:szCs w:val="21"/>
                <w:highlight w:val="none"/>
              </w:rPr>
              <w:t>每提供1个得</w:t>
            </w:r>
            <w:r>
              <w:rPr>
                <w:rFonts w:hint="eastAsia" w:cs="仿宋" w:asciiTheme="minorEastAsia" w:hAnsiTheme="minorEastAsia" w:eastAsiaTheme="minorEastAsia"/>
                <w:color w:val="auto"/>
                <w:szCs w:val="21"/>
                <w:highlight w:val="none"/>
                <w:lang w:val="en-US" w:eastAsia="zh-CN"/>
              </w:rPr>
              <w:t>1</w:t>
            </w:r>
            <w:r>
              <w:rPr>
                <w:rFonts w:hint="eastAsia" w:cs="仿宋" w:asciiTheme="minorEastAsia" w:hAnsiTheme="minorEastAsia" w:eastAsiaTheme="minorEastAsia"/>
                <w:color w:val="auto"/>
                <w:szCs w:val="21"/>
                <w:highlight w:val="none"/>
              </w:rPr>
              <w:t>分，最多得</w:t>
            </w:r>
            <w:r>
              <w:rPr>
                <w:rFonts w:hint="eastAsia" w:cs="仿宋" w:asciiTheme="minorEastAsia" w:hAnsiTheme="minorEastAsia" w:eastAsiaTheme="minorEastAsia"/>
                <w:color w:val="auto"/>
                <w:szCs w:val="21"/>
                <w:highlight w:val="none"/>
                <w:lang w:val="en-US" w:eastAsia="zh-CN"/>
              </w:rPr>
              <w:t>3</w:t>
            </w:r>
            <w:r>
              <w:rPr>
                <w:rFonts w:hint="eastAsia" w:cs="仿宋" w:asciiTheme="minorEastAsia" w:hAnsiTheme="minorEastAsia" w:eastAsiaTheme="minorEastAsia"/>
                <w:color w:val="auto"/>
                <w:szCs w:val="21"/>
                <w:highlight w:val="none"/>
              </w:rPr>
              <w:t>分；</w:t>
            </w:r>
          </w:p>
          <w:p w14:paraId="2B1CE4B3">
            <w:pPr>
              <w:shd w:val="clear"/>
              <w:snapToGrid w:val="0"/>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注</w:t>
            </w:r>
            <w:r>
              <w:rPr>
                <w:rFonts w:hint="eastAsia" w:cs="仿宋" w:asciiTheme="minorEastAsia" w:hAnsiTheme="minorEastAsia" w:eastAsiaTheme="minorEastAsia"/>
                <w:color w:val="auto"/>
                <w:szCs w:val="21"/>
                <w:highlight w:val="none"/>
                <w:lang w:eastAsia="zh-CN"/>
              </w:rPr>
              <w:t>：</w:t>
            </w:r>
            <w:r>
              <w:rPr>
                <w:rFonts w:hint="eastAsia" w:cs="仿宋" w:asciiTheme="minorEastAsia" w:hAnsiTheme="minorEastAsia" w:eastAsiaTheme="minorEastAsia"/>
                <w:color w:val="auto"/>
                <w:szCs w:val="21"/>
                <w:highlight w:val="none"/>
              </w:rPr>
              <w:t xml:space="preserve"> 投标文件中提供中国国家认证认可监督管理委员会网上查询截图和证书复印件加盖公章，不提供的不得分。</w:t>
            </w:r>
          </w:p>
        </w:tc>
      </w:tr>
      <w:tr w14:paraId="497277A9">
        <w:tblPrEx>
          <w:tblCellMar>
            <w:top w:w="0" w:type="dxa"/>
            <w:left w:w="108" w:type="dxa"/>
            <w:bottom w:w="0" w:type="dxa"/>
            <w:right w:w="108" w:type="dxa"/>
          </w:tblCellMar>
        </w:tblPrEx>
        <w:trPr>
          <w:trHeight w:val="20" w:hRule="atLeast"/>
          <w:jc w:val="center"/>
        </w:trPr>
        <w:tc>
          <w:tcPr>
            <w:tcW w:w="529" w:type="dxa"/>
            <w:vMerge w:val="continue"/>
            <w:tcBorders>
              <w:left w:val="single" w:color="auto" w:sz="4" w:space="0"/>
              <w:right w:val="single" w:color="auto" w:sz="4" w:space="0"/>
            </w:tcBorders>
            <w:vAlign w:val="center"/>
          </w:tcPr>
          <w:p w14:paraId="2E119FD6">
            <w:pPr>
              <w:shd w:val="clear"/>
              <w:spacing w:line="360" w:lineRule="auto"/>
              <w:rPr>
                <w:rFonts w:cs="仿宋" w:asciiTheme="minorEastAsia" w:hAnsiTheme="minorEastAsia" w:eastAsiaTheme="minorEastAsia"/>
                <w:color w:val="auto"/>
                <w:szCs w:val="21"/>
                <w:highlight w:val="none"/>
              </w:rPr>
            </w:pPr>
          </w:p>
        </w:tc>
        <w:tc>
          <w:tcPr>
            <w:tcW w:w="1293" w:type="dxa"/>
            <w:tcBorders>
              <w:top w:val="single" w:color="auto" w:sz="4" w:space="0"/>
              <w:left w:val="nil"/>
              <w:bottom w:val="single" w:color="auto" w:sz="4" w:space="0"/>
              <w:right w:val="single" w:color="auto" w:sz="4" w:space="0"/>
            </w:tcBorders>
            <w:vAlign w:val="center"/>
          </w:tcPr>
          <w:p w14:paraId="7743355C">
            <w:pPr>
              <w:shd w:val="clear"/>
              <w:spacing w:line="360" w:lineRule="auto"/>
              <w:rPr>
                <w:rFonts w:hint="eastAsia"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八、业绩</w:t>
            </w:r>
          </w:p>
          <w:p w14:paraId="0FE0C418">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w:t>
            </w:r>
            <w:r>
              <w:rPr>
                <w:rFonts w:hint="eastAsia" w:cs="仿宋" w:asciiTheme="minorEastAsia" w:hAnsiTheme="minorEastAsia" w:eastAsiaTheme="minorEastAsia"/>
                <w:color w:val="auto"/>
                <w:szCs w:val="21"/>
                <w:highlight w:val="none"/>
                <w:lang w:val="en-US" w:eastAsia="zh-CN"/>
              </w:rPr>
              <w:t>1</w:t>
            </w:r>
            <w:r>
              <w:rPr>
                <w:rFonts w:hint="eastAsia" w:cs="仿宋" w:asciiTheme="minorEastAsia" w:hAnsiTheme="minorEastAsia" w:eastAsiaTheme="minorEastAsia"/>
                <w:color w:val="auto"/>
                <w:szCs w:val="21"/>
                <w:highlight w:val="none"/>
              </w:rPr>
              <w:t>分）</w:t>
            </w:r>
          </w:p>
        </w:tc>
        <w:tc>
          <w:tcPr>
            <w:tcW w:w="7349" w:type="dxa"/>
            <w:tcBorders>
              <w:top w:val="single" w:color="auto" w:sz="4" w:space="0"/>
              <w:left w:val="nil"/>
              <w:bottom w:val="single" w:color="auto" w:sz="4" w:space="0"/>
              <w:right w:val="single" w:color="auto" w:sz="4" w:space="0"/>
            </w:tcBorders>
            <w:vAlign w:val="center"/>
          </w:tcPr>
          <w:p w14:paraId="2CF4318B">
            <w:pPr>
              <w:shd w:val="clear"/>
              <w:snapToGrid w:val="0"/>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投标人自2020年1月1日（以合同签订时间为准）以来承担过类似项目业绩（含正在履约的），每提供1个得</w:t>
            </w:r>
            <w:r>
              <w:rPr>
                <w:rFonts w:hint="eastAsia" w:cs="仿宋" w:asciiTheme="minorEastAsia" w:hAnsiTheme="minorEastAsia" w:eastAsiaTheme="minorEastAsia"/>
                <w:color w:val="auto"/>
                <w:szCs w:val="21"/>
                <w:highlight w:val="none"/>
                <w:lang w:val="en-US" w:eastAsia="zh-CN"/>
              </w:rPr>
              <w:t>0.5</w:t>
            </w:r>
            <w:r>
              <w:rPr>
                <w:rFonts w:hint="eastAsia" w:cs="仿宋" w:asciiTheme="minorEastAsia" w:hAnsiTheme="minorEastAsia" w:eastAsiaTheme="minorEastAsia"/>
                <w:color w:val="auto"/>
                <w:szCs w:val="21"/>
                <w:highlight w:val="none"/>
              </w:rPr>
              <w:t>分，最多得</w:t>
            </w:r>
            <w:r>
              <w:rPr>
                <w:rFonts w:hint="eastAsia" w:cs="仿宋" w:asciiTheme="minorEastAsia" w:hAnsiTheme="minorEastAsia" w:eastAsiaTheme="minorEastAsia"/>
                <w:color w:val="auto"/>
                <w:szCs w:val="21"/>
                <w:highlight w:val="none"/>
                <w:lang w:val="en-US" w:eastAsia="zh-CN"/>
              </w:rPr>
              <w:t>1</w:t>
            </w:r>
            <w:r>
              <w:rPr>
                <w:rFonts w:hint="eastAsia" w:cs="仿宋" w:asciiTheme="minorEastAsia" w:hAnsiTheme="minorEastAsia" w:eastAsiaTheme="minorEastAsia"/>
                <w:color w:val="auto"/>
                <w:szCs w:val="21"/>
                <w:highlight w:val="none"/>
              </w:rPr>
              <w:t>分。（投标文件中需提供合同复印件）。</w:t>
            </w:r>
          </w:p>
        </w:tc>
      </w:tr>
      <w:tr w14:paraId="424E7863">
        <w:tblPrEx>
          <w:tblCellMar>
            <w:top w:w="0" w:type="dxa"/>
            <w:left w:w="108" w:type="dxa"/>
            <w:bottom w:w="0" w:type="dxa"/>
            <w:right w:w="108" w:type="dxa"/>
          </w:tblCellMar>
        </w:tblPrEx>
        <w:trPr>
          <w:trHeight w:val="20" w:hRule="atLeast"/>
          <w:jc w:val="center"/>
        </w:trPr>
        <w:tc>
          <w:tcPr>
            <w:tcW w:w="529" w:type="dxa"/>
            <w:vMerge w:val="continue"/>
            <w:tcBorders>
              <w:left w:val="single" w:color="auto" w:sz="4" w:space="0"/>
              <w:bottom w:val="single" w:color="auto" w:sz="4" w:space="0"/>
              <w:right w:val="single" w:color="auto" w:sz="4" w:space="0"/>
            </w:tcBorders>
            <w:vAlign w:val="center"/>
          </w:tcPr>
          <w:p w14:paraId="2086874B">
            <w:pPr>
              <w:shd w:val="clear"/>
              <w:spacing w:line="360" w:lineRule="auto"/>
              <w:rPr>
                <w:rFonts w:cs="仿宋" w:asciiTheme="minorEastAsia" w:hAnsiTheme="minorEastAsia" w:eastAsiaTheme="minorEastAsia"/>
                <w:color w:val="auto"/>
                <w:szCs w:val="21"/>
                <w:highlight w:val="none"/>
              </w:rPr>
            </w:pPr>
          </w:p>
        </w:tc>
        <w:tc>
          <w:tcPr>
            <w:tcW w:w="1293" w:type="dxa"/>
            <w:tcBorders>
              <w:top w:val="single" w:color="auto" w:sz="4" w:space="0"/>
              <w:left w:val="nil"/>
              <w:bottom w:val="single" w:color="auto" w:sz="4" w:space="0"/>
              <w:right w:val="single" w:color="auto" w:sz="4" w:space="0"/>
            </w:tcBorders>
            <w:vAlign w:val="center"/>
          </w:tcPr>
          <w:p w14:paraId="540F1161">
            <w:pPr>
              <w:shd w:val="clear"/>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九、政策加分（1分）</w:t>
            </w:r>
          </w:p>
        </w:tc>
        <w:tc>
          <w:tcPr>
            <w:tcW w:w="7349" w:type="dxa"/>
            <w:tcBorders>
              <w:top w:val="single" w:color="auto" w:sz="4" w:space="0"/>
              <w:left w:val="nil"/>
              <w:bottom w:val="single" w:color="auto" w:sz="4" w:space="0"/>
              <w:right w:val="single" w:color="auto" w:sz="4" w:space="0"/>
            </w:tcBorders>
            <w:vAlign w:val="center"/>
          </w:tcPr>
          <w:p w14:paraId="3CE2D732">
            <w:pPr>
              <w:shd w:val="clear"/>
              <w:snapToGrid w:val="0"/>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投标人是国家认定的少数民族地区企业的加1分。</w:t>
            </w:r>
          </w:p>
        </w:tc>
      </w:tr>
      <w:tr w14:paraId="4D1A8A99">
        <w:tblPrEx>
          <w:tblCellMar>
            <w:top w:w="0" w:type="dxa"/>
            <w:left w:w="108" w:type="dxa"/>
            <w:bottom w:w="0" w:type="dxa"/>
            <w:right w:w="108" w:type="dxa"/>
          </w:tblCellMar>
        </w:tblPrEx>
        <w:trPr>
          <w:trHeight w:val="2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14:paraId="1105BFA6">
            <w:pPr>
              <w:shd w:val="clea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报价20分</w:t>
            </w:r>
          </w:p>
        </w:tc>
        <w:tc>
          <w:tcPr>
            <w:tcW w:w="8642" w:type="dxa"/>
            <w:gridSpan w:val="2"/>
            <w:tcBorders>
              <w:top w:val="single" w:color="auto" w:sz="4" w:space="0"/>
              <w:left w:val="nil"/>
              <w:bottom w:val="single" w:color="auto" w:sz="4" w:space="0"/>
              <w:right w:val="single" w:color="auto" w:sz="4" w:space="0"/>
            </w:tcBorders>
            <w:vAlign w:val="center"/>
          </w:tcPr>
          <w:p w14:paraId="6AA5A7D0">
            <w:pPr>
              <w:shd w:val="clear"/>
              <w:snapToGrid w:val="0"/>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满足招标文件要求且投标报价最低为评标基准价，其价格分为满分。</w:t>
            </w:r>
          </w:p>
          <w:p w14:paraId="67AD6AFD">
            <w:pPr>
              <w:shd w:val="clear"/>
              <w:snapToGrid w:val="0"/>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其他投标人的价格分按照下列公式计算：</w:t>
            </w:r>
          </w:p>
          <w:p w14:paraId="6A4B7F2A">
            <w:pPr>
              <w:shd w:val="clear"/>
              <w:snapToGrid w:val="0"/>
              <w:spacing w:line="360" w:lineRule="auto"/>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投标报价得分=（评标基准价/投标报价）×价格权值×100</w:t>
            </w:r>
          </w:p>
        </w:tc>
      </w:tr>
    </w:tbl>
    <w:p w14:paraId="647A2886">
      <w:pPr>
        <w:widowControl/>
        <w:shd w:val="clear"/>
        <w:jc w:val="left"/>
        <w:rPr>
          <w:rFonts w:eastAsia="仿宋_GB2312"/>
          <w:color w:val="auto"/>
          <w:sz w:val="28"/>
          <w:highlight w:val="none"/>
        </w:rPr>
      </w:pPr>
    </w:p>
    <w:p w14:paraId="552060EA">
      <w:pPr>
        <w:shd w:val="clear"/>
        <w:snapToGrid w:val="0"/>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0"/>
          <w:szCs w:val="20"/>
          <w:highlight w:val="none"/>
        </w:rPr>
        <w:t> </w:t>
      </w:r>
      <w:r>
        <w:rPr>
          <w:rFonts w:hint="eastAsia" w:cs="仿宋" w:asciiTheme="majorEastAsia" w:hAnsiTheme="majorEastAsia" w:eastAsiaTheme="majorEastAsia"/>
          <w:b/>
          <w:color w:val="auto"/>
          <w:sz w:val="24"/>
          <w:highlight w:val="none"/>
        </w:rPr>
        <w:t>备注：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编制投标文件（商务技术文件部分）时，建议按此目录（序号和内容）提供评标标准相应的商务技术资料。 </w:t>
      </w:r>
    </w:p>
    <w:p w14:paraId="491DD2DE">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一、评标方法</w:t>
      </w:r>
    </w:p>
    <w:p w14:paraId="5B14FF3F">
      <w:pPr>
        <w:shd w:val="clear"/>
        <w:spacing w:line="360" w:lineRule="auto"/>
        <w:ind w:firstLine="472" w:firstLineChars="196"/>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1.本项目采用综合评分法。</w:t>
      </w:r>
      <w:r>
        <w:rPr>
          <w:rFonts w:hint="eastAsia" w:cs="仿宋" w:asciiTheme="majorEastAsia" w:hAnsiTheme="majorEastAsia" w:eastAsiaTheme="majorEastAsia"/>
          <w:color w:val="auto"/>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为中标候选人的评标方法。</w:t>
      </w:r>
    </w:p>
    <w:p w14:paraId="2FA0DC5C">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二、评标标准</w:t>
      </w:r>
    </w:p>
    <w:p w14:paraId="6821C805">
      <w:pPr>
        <w:shd w:val="clear"/>
        <w:spacing w:line="360" w:lineRule="auto"/>
        <w:ind w:firstLine="472" w:firstLineChars="196"/>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b/>
          <w:color w:val="auto"/>
          <w:sz w:val="24"/>
          <w:highlight w:val="none"/>
        </w:rPr>
        <w:t>评标标准：</w:t>
      </w:r>
      <w:r>
        <w:rPr>
          <w:rFonts w:hint="eastAsia" w:cs="仿宋" w:asciiTheme="majorEastAsia" w:hAnsiTheme="majorEastAsia" w:eastAsiaTheme="majorEastAsia"/>
          <w:color w:val="auto"/>
          <w:kern w:val="0"/>
          <w:sz w:val="24"/>
          <w:highlight w:val="none"/>
        </w:rPr>
        <w:t>见评标办法前附表。</w:t>
      </w:r>
    </w:p>
    <w:p w14:paraId="6A55F102">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三、评标程序</w:t>
      </w:r>
    </w:p>
    <w:p w14:paraId="39EDFCC2">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3.1 符合性审查。</w:t>
      </w:r>
      <w:r>
        <w:rPr>
          <w:rFonts w:hint="eastAsia" w:cs="仿宋" w:asciiTheme="majorEastAsia" w:hAnsiTheme="majorEastAsia" w:eastAsiaTheme="majorEastAsia"/>
          <w:color w:val="auto"/>
          <w:kern w:val="0"/>
          <w:sz w:val="24"/>
          <w:highlight w:val="none"/>
        </w:rPr>
        <w:t>评标委员会应当对符合资格的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的投标文件进行符合性审查，以确定其是否满足招标文件的实质性要求。不满足招标文件的实质性要求的，投标无效。</w:t>
      </w:r>
    </w:p>
    <w:p w14:paraId="139B2833">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3.2 商务技术评审。</w:t>
      </w:r>
      <w:r>
        <w:rPr>
          <w:rFonts w:hint="eastAsia" w:cs="仿宋"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w:t>
      </w:r>
    </w:p>
    <w:p w14:paraId="13307F52">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3.3 汇总商务技术得分。</w:t>
      </w:r>
      <w:r>
        <w:rPr>
          <w:rFonts w:hint="eastAsia" w:cs="仿宋" w:asciiTheme="majorEastAsia" w:hAnsiTheme="majorEastAsia" w:eastAsiaTheme="majorEastAsia"/>
          <w:color w:val="auto"/>
          <w:kern w:val="0"/>
          <w:sz w:val="24"/>
          <w:highlight w:val="none"/>
        </w:rPr>
        <w:t>评标委员会各成员应当独立对每个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的商务和技术文件进行评价，并汇总商务技术得分情况。</w:t>
      </w:r>
    </w:p>
    <w:p w14:paraId="4BAFAE32">
      <w:pPr>
        <w:shd w:val="clear"/>
        <w:spacing w:line="360" w:lineRule="auto"/>
        <w:ind w:firstLine="482" w:firstLineChars="200"/>
        <w:rPr>
          <w:rFonts w:cs="仿宋" w:asciiTheme="majorEastAsia" w:hAnsiTheme="majorEastAsia" w:eastAsiaTheme="majorEastAsia"/>
          <w:b/>
          <w:color w:val="auto"/>
          <w:kern w:val="0"/>
          <w:sz w:val="24"/>
          <w:highlight w:val="none"/>
        </w:rPr>
      </w:pPr>
      <w:r>
        <w:rPr>
          <w:rFonts w:hint="eastAsia" w:cs="仿宋" w:asciiTheme="majorEastAsia" w:hAnsiTheme="majorEastAsia" w:eastAsiaTheme="majorEastAsia"/>
          <w:b/>
          <w:color w:val="auto"/>
          <w:kern w:val="0"/>
          <w:sz w:val="24"/>
          <w:highlight w:val="none"/>
        </w:rPr>
        <w:t>3.4 报价评审。</w:t>
      </w:r>
    </w:p>
    <w:p w14:paraId="46F45C24">
      <w:pPr>
        <w:pStyle w:val="41"/>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3.4.1投标文件报价出现前后不一致的，按照下列规定修正：</w:t>
      </w:r>
    </w:p>
    <w:p w14:paraId="170C714D">
      <w:pPr>
        <w:pStyle w:val="41"/>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3.4.1.1电子交易平台生成的开标记录表(报价表)内容与投标文件中开标一览表(报价表)不一致的，以投标文件中开标一览表(报价表)为准；</w:t>
      </w:r>
    </w:p>
    <w:p w14:paraId="6FA99F73">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3.4.1.2</w:t>
      </w:r>
      <w:r>
        <w:rPr>
          <w:rFonts w:hint="eastAsia" w:cs="仿宋" w:asciiTheme="majorEastAsia" w:hAnsiTheme="majorEastAsia" w:eastAsiaTheme="majorEastAsia"/>
          <w:color w:val="auto"/>
          <w:kern w:val="0"/>
          <w:highlight w:val="none"/>
        </w:rPr>
        <w:t>投标文件中开标一览表(报价表)内容与投标文件中相应内容不一致的，以开标一览表(报价表)为准；</w:t>
      </w:r>
    </w:p>
    <w:p w14:paraId="44FDBB96">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3.4.1.3 大写金额和小写金额不一致的，以大写金额为准;</w:t>
      </w:r>
    </w:p>
    <w:p w14:paraId="7C569C85">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3.4.1.4 单价金额小数点或者百分比有明显错位的，以开标一览表的总价为准，并修改单价;</w:t>
      </w:r>
    </w:p>
    <w:p w14:paraId="1DFA7772">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3.4.1.5 总价金额与按单价汇总金额不一致的，以单价金额计算结果为准；</w:t>
      </w:r>
    </w:p>
    <w:p w14:paraId="187F6D82">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确认后产生约束力。</w:t>
      </w:r>
    </w:p>
    <w:p w14:paraId="34035D48">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3.4.2投标文件出现不是唯一的、有选择性投标报价的，投标无效。</w:t>
      </w:r>
    </w:p>
    <w:p w14:paraId="321A8E79">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3.4.3投标报价超过招标文件中规定的预算金额或者最高限价的，投标无效。</w:t>
      </w:r>
    </w:p>
    <w:p w14:paraId="6BD30374">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3.4.4评标委员会认为</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的报价明显低于其他通过符合性审查</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不能证明其报价合理性的，评标委员会应当将其作为无效投标处理。</w:t>
      </w:r>
    </w:p>
    <w:p w14:paraId="77F364D7">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3.5编写评标报告。</w:t>
      </w:r>
      <w:r>
        <w:rPr>
          <w:rFonts w:hint="eastAsia" w:cs="仿宋" w:asciiTheme="majorEastAsia" w:hAnsiTheme="majorEastAsia" w:eastAsia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7431F99">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四、评标中的其他事项</w:t>
      </w:r>
    </w:p>
    <w:p w14:paraId="4D41C805">
      <w:pPr>
        <w:pStyle w:val="41"/>
        <w:shd w:val="clear"/>
        <w:spacing w:before="0"/>
        <w:ind w:firstLine="482"/>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b/>
          <w:color w:val="auto"/>
          <w:kern w:val="0"/>
          <w:szCs w:val="24"/>
          <w:highlight w:val="none"/>
        </w:rPr>
        <w:t>4.1投标澄清、说明或者补正。</w:t>
      </w:r>
      <w:r>
        <w:rPr>
          <w:rFonts w:hint="eastAsia" w:cs="仿宋" w:asciiTheme="majorEastAsia" w:hAnsiTheme="majorEastAsia" w:eastAsiaTheme="majorEastAsia"/>
          <w:color w:val="auto"/>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作出必要的澄清、说明或者补正的，评标委员会和</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通过电子交易平台交换数据电文，</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提交使用电子签名的相关数据电文或通过平台上传加盖公章的扫描件。给予</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提交澄清、说明或补正的时间不得少于半小时，</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已经明确表示澄清说明或补正完毕的除外。</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的澄清、说明或者补正不得超出投标文件的范围或者改变投标文件的实质性内容。</w:t>
      </w:r>
    </w:p>
    <w:p w14:paraId="55002C63">
      <w:pPr>
        <w:pStyle w:val="8"/>
        <w:shd w:val="clear"/>
        <w:spacing w:line="360" w:lineRule="auto"/>
        <w:ind w:firstLine="482"/>
        <w:rPr>
          <w:rFonts w:cs="仿宋" w:asciiTheme="majorEastAsia" w:hAnsiTheme="majorEastAsia" w:eastAsiaTheme="majorEastAsia"/>
          <w:color w:val="auto"/>
          <w:szCs w:val="21"/>
          <w:highlight w:val="none"/>
        </w:rPr>
      </w:pPr>
      <w:r>
        <w:rPr>
          <w:rFonts w:hint="eastAsia" w:cs="仿宋" w:asciiTheme="majorEastAsia" w:hAnsiTheme="majorEastAsia" w:eastAsiaTheme="majorEastAsia"/>
          <w:b/>
          <w:color w:val="auto"/>
          <w:kern w:val="0"/>
          <w:highlight w:val="none"/>
        </w:rPr>
        <w:t>4.2投标无效的情形。</w:t>
      </w:r>
    </w:p>
    <w:p w14:paraId="03A5C18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4.2.1 没有响应招标文件实质性要求的投标将被视为无效投标。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修改、补正投标文件后，不影响评标委员会对其投标文件所作的评价和评分结果。</w:t>
      </w:r>
    </w:p>
    <w:p w14:paraId="38D4D06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 在电子开评标时，如发现下列情形之一的，将被视为无效投标文件：</w:t>
      </w:r>
    </w:p>
    <w:p w14:paraId="10D6715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4.2.2.1电子投标文件解密失败的；</w:t>
      </w:r>
    </w:p>
    <w:p w14:paraId="5534F47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4.2.2.2投标文件未按招标文件要求加密、签字、盖章的；（投标文件中加盖</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公章部分均须CA签章。）</w:t>
      </w:r>
    </w:p>
    <w:p w14:paraId="02BAB11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 在资格审查、符合性审查和商务评审时，如发现下列情形之一的，将被视为无效投标文件：</w:t>
      </w:r>
    </w:p>
    <w:p w14:paraId="2DAA2F9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 资格证明文件不全的或者不符合招标文件标明的资格要求的；</w:t>
      </w:r>
    </w:p>
    <w:p w14:paraId="0F09A530">
      <w:pPr>
        <w:shd w:val="clear"/>
        <w:spacing w:line="360" w:lineRule="auto"/>
        <w:ind w:firstLine="480" w:firstLineChars="200"/>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4.2.3.</w:t>
      </w:r>
      <w:r>
        <w:rPr>
          <w:rFonts w:hint="eastAsia" w:cs="仿宋" w:asciiTheme="majorEastAsia" w:hAnsiTheme="majorEastAsia" w:eastAsiaTheme="majorEastAsia"/>
          <w:color w:val="auto"/>
          <w:kern w:val="0"/>
          <w:sz w:val="24"/>
          <w:highlight w:val="none"/>
        </w:rPr>
        <w:t>2 允许联合体的项目联合体参加未提供联合协议；</w:t>
      </w:r>
    </w:p>
    <w:p w14:paraId="77C5E34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4.2.3.3 投标文件未按招标文件要求签署、盖章的；</w:t>
      </w:r>
    </w:p>
    <w:p w14:paraId="5FF65B6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4.2.3.4投标代表人未能出具身份证明或与法定代表人授权委托人身份不符的；</w:t>
      </w:r>
    </w:p>
    <w:p w14:paraId="6E4ACB6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4.2.3.5 投标文件格式不规范、项目不齐全或者内容虚假的；</w:t>
      </w:r>
    </w:p>
    <w:p w14:paraId="73F06EE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4.2.3.6投标文件的实质性内容未使用中文表述、意思表述不明确、前后矛盾或者使用计量单位不符合招标文件要求的（经评标委员会认定并允许其当场更正的笔误除外）；</w:t>
      </w:r>
    </w:p>
    <w:p w14:paraId="70978425">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4.2.3.7 投标有效期、交货时间、质保期等商务条款不能满足招标文件要求的；</w:t>
      </w:r>
    </w:p>
    <w:p w14:paraId="3DCBBE8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4.2.3.8 带“▲”的条款不能满足招标文件要求、未实质性响应招标文件要求或者投标文件有采购人不能接受的附加条件的；</w:t>
      </w:r>
    </w:p>
    <w:p w14:paraId="30F06C9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4.2.3.9单位负责人为同一人或者存在直接控股、管理关系的不同供应商参加同一合同项下的政府采购活动的；</w:t>
      </w:r>
    </w:p>
    <w:p w14:paraId="685BA23A">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4.2.3.10 为采购项目提供整体设计、规范编制或者项目管理、监理、检测等服务的供应商参加该采购项目的其他采购活动的；</w:t>
      </w:r>
    </w:p>
    <w:p w14:paraId="4C2DBF08">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4.2.3.11报价文件以外的投标文件中出现本项目投标报价或单价的。</w:t>
      </w:r>
    </w:p>
    <w:p w14:paraId="44B4870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4.3.在技术评审时，如发现下列情形之一的，将被视为无效投标文件：</w:t>
      </w:r>
    </w:p>
    <w:p w14:paraId="0446817A">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4.3.1未提供或未如实提供投标货物的技术参数，或者投标文件标明的响应或偏离与事实不符或虚假投标的；</w:t>
      </w:r>
    </w:p>
    <w:p w14:paraId="5C81126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4.3.2 明显不符合招标文件要求的规格型号、质量标准，或者与招标文件中标“▲”的技术指标、主要功能项目发生实质性偏离的；</w:t>
      </w:r>
    </w:p>
    <w:p w14:paraId="36075FE6">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4.3.3 允许偏离的技术、性能指标或辅助功能项目发生负偏离达</w:t>
      </w:r>
      <w:r>
        <w:rPr>
          <w:rFonts w:hint="eastAsia" w:cs="仿宋" w:asciiTheme="majorEastAsia" w:hAnsiTheme="majorEastAsia" w:eastAsiaTheme="majorEastAsia"/>
          <w:color w:val="auto"/>
          <w:kern w:val="0"/>
          <w:sz w:val="24"/>
          <w:highlight w:val="none"/>
          <w:u w:val="single"/>
        </w:rPr>
        <w:t>15</w:t>
      </w:r>
      <w:r>
        <w:rPr>
          <w:rFonts w:hint="eastAsia" w:cs="仿宋" w:asciiTheme="majorEastAsia" w:hAnsiTheme="majorEastAsia" w:eastAsiaTheme="majorEastAsia"/>
          <w:color w:val="auto"/>
          <w:kern w:val="0"/>
          <w:sz w:val="24"/>
          <w:highlight w:val="none"/>
        </w:rPr>
        <w:t>项（含）以上的；</w:t>
      </w:r>
    </w:p>
    <w:p w14:paraId="0D106CE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4.3.4 投标技术方案不明确，存在一个或一个以上备选（替代）投标方案的；</w:t>
      </w:r>
    </w:p>
    <w:p w14:paraId="49E471D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4.3.5 与其他参加本次投标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的投标文件（技术文件）的文字表述内容差错相同2处以上的；</w:t>
      </w:r>
    </w:p>
    <w:p w14:paraId="5495B75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 在报价评审时，如发现下列情形之一的，投标文件将被视为无效：</w:t>
      </w:r>
    </w:p>
    <w:p w14:paraId="244CFFA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4.4.1 未采用人民币报价或者未按照招标文件标明的币种报价的；</w:t>
      </w:r>
    </w:p>
    <w:p w14:paraId="76556E1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4.4.2 报价超出最高限价，或者超出采购预算金额的；</w:t>
      </w:r>
    </w:p>
    <w:p w14:paraId="6470A8A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4.4.3 投标报价具有选择性的；</w:t>
      </w:r>
    </w:p>
    <w:p w14:paraId="707EA31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4.4.4 投标报价中出现缺项、漏项或被评标委员会认定为有可能影响产品质量或者不能诚信履约的且不能在合理的时间内证明其报价合理性的；</w:t>
      </w:r>
    </w:p>
    <w:p w14:paraId="502474F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4.4.5供应商对根据修正原则修正后的报价不确认的。</w:t>
      </w:r>
    </w:p>
    <w:p w14:paraId="092D62F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4.5其他无效情形：</w:t>
      </w:r>
    </w:p>
    <w:p w14:paraId="436DD43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4.5.1 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的投标文件出自同一终端设备或在相同Internet主机分配地址（相同IP地址）进行网上报名、投标的；</w:t>
      </w:r>
    </w:p>
    <w:p w14:paraId="773A7795">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4.5.2 法律、法规、规章（适用本市的）及省级以上规范性文件（适用本市的）规定的其他无效情形。</w:t>
      </w:r>
    </w:p>
    <w:p w14:paraId="13BD8CF4">
      <w:pPr>
        <w:pStyle w:val="8"/>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5.废标。</w:t>
      </w:r>
      <w:r>
        <w:rPr>
          <w:rFonts w:hint="eastAsia" w:cs="仿宋" w:asciiTheme="majorEastAsia" w:hAnsiTheme="majorEastAsia" w:eastAsiaTheme="majorEastAsia"/>
          <w:color w:val="auto"/>
          <w:highlight w:val="none"/>
        </w:rPr>
        <w:t>根据《中华人民共和国政府采购法》第三十六条之规定，在采购中，出现下列情形之一的，应予废标：</w:t>
      </w:r>
    </w:p>
    <w:p w14:paraId="5F77B5B8">
      <w:pPr>
        <w:pStyle w:val="8"/>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5.1符合专业条件的供应商或者对招标文件作实质响应的供应商不足3家的；</w:t>
      </w:r>
    </w:p>
    <w:p w14:paraId="6FE3EB44">
      <w:pPr>
        <w:pStyle w:val="8"/>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5.2出现影响采购公正的违法、违规行为的；</w:t>
      </w:r>
    </w:p>
    <w:p w14:paraId="33C3710C">
      <w:pPr>
        <w:pStyle w:val="8"/>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5.3</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的报价均超过了采购预算，采购人不能支付的；</w:t>
      </w:r>
    </w:p>
    <w:p w14:paraId="40E3B3BA">
      <w:pPr>
        <w:pStyle w:val="8"/>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5.4因重大变故，采购任务取消的。</w:t>
      </w:r>
    </w:p>
    <w:p w14:paraId="14D0D0F8">
      <w:pPr>
        <w:pStyle w:val="8"/>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废标后，采购代理机构应当将废标理由通知所有</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w:t>
      </w:r>
    </w:p>
    <w:p w14:paraId="1C14FB19">
      <w:pPr>
        <w:pStyle w:val="8"/>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6.修改招标文件，重新组织采购活动。</w:t>
      </w:r>
      <w:r>
        <w:rPr>
          <w:rFonts w:hint="eastAsia" w:cs="仿宋"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5BAF97A">
      <w:pPr>
        <w:pStyle w:val="8"/>
        <w:shd w:val="clear"/>
        <w:adjustRightInd w:val="0"/>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kern w:val="0"/>
          <w:highlight w:val="none"/>
        </w:rPr>
        <w:t>7.重新开展采购。</w:t>
      </w:r>
      <w:r>
        <w:rPr>
          <w:rFonts w:hint="eastAsia" w:cs="仿宋" w:asciiTheme="majorEastAsia" w:hAnsiTheme="majorEastAsia" w:eastAsiaTheme="majorEastAsia"/>
          <w:color w:val="auto"/>
          <w:highlight w:val="none"/>
        </w:rPr>
        <w:t>有政府采购法第七十一条、第七十二条规定的违法行为之一，影响或者可能影响中标、成交结果的，依照下列规定处理：</w:t>
      </w:r>
    </w:p>
    <w:p w14:paraId="2E795C63">
      <w:pPr>
        <w:pStyle w:val="8"/>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7.1未确定中标或者中标人的，终止本次政府采购活动，重新开展政府采购活动。</w:t>
      </w:r>
    </w:p>
    <w:p w14:paraId="4EF303C1">
      <w:pPr>
        <w:pStyle w:val="8"/>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7.2已确定中标或者中标人但尚未签订政府采购合同的，中标或者成交结果无效，重新开展政府采购活动。</w:t>
      </w:r>
    </w:p>
    <w:p w14:paraId="67A0E933">
      <w:pPr>
        <w:pStyle w:val="8"/>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7.3政府采购合同已签订但尚未履行的，撤销合同，重新开展政府采购活动。</w:t>
      </w:r>
    </w:p>
    <w:p w14:paraId="75BE19F4">
      <w:pPr>
        <w:pStyle w:val="8"/>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7.4政府采购合同已经履行，给采购人、供应商造成损失的，由责任人承担赔偿责任。</w:t>
      </w:r>
    </w:p>
    <w:p w14:paraId="2F2484A0">
      <w:pPr>
        <w:pStyle w:val="8"/>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7.5政府采购当事人有其他违反政府采购法</w:t>
      </w:r>
      <w:r>
        <w:rPr>
          <w:rFonts w:hint="eastAsia" w:cs="仿宋" w:asciiTheme="majorEastAsia" w:hAnsiTheme="majorEastAsia" w:eastAsiaTheme="majorEastAsia"/>
          <w:color w:val="auto"/>
          <w:kern w:val="0"/>
          <w:highlight w:val="none"/>
        </w:rPr>
        <w:t>或者政府采购法实施条例等法律法规规定</w:t>
      </w:r>
      <w:r>
        <w:rPr>
          <w:rFonts w:hint="eastAsia" w:cs="仿宋" w:asciiTheme="majorEastAsia" w:hAnsiTheme="majorEastAsia" w:eastAsiaTheme="majorEastAsia"/>
          <w:color w:val="auto"/>
          <w:highlight w:val="none"/>
        </w:rPr>
        <w:t>的行为，经改正后仍然影响或者可能影响中标、成交结果或者依法被认定为中标、成交无效的，依照7.1-7.4规定处理。</w:t>
      </w:r>
      <w:bookmarkEnd w:id="26"/>
      <w:bookmarkStart w:id="392" w:name="第五部分"/>
      <w:bookmarkStart w:id="393" w:name="_Toc86217003"/>
    </w:p>
    <w:p w14:paraId="04F574D4">
      <w:pPr>
        <w:pStyle w:val="8"/>
        <w:numPr>
          <w:ilvl w:val="0"/>
          <w:numId w:val="2"/>
        </w:numPr>
        <w:shd w:val="clear"/>
        <w:adjustRightInd w:val="0"/>
        <w:snapToGrid w:val="0"/>
        <w:spacing w:line="360" w:lineRule="auto"/>
        <w:ind w:firstLine="0" w:firstLineChars="0"/>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br w:type="page"/>
      </w:r>
      <w:r>
        <w:rPr>
          <w:rFonts w:hint="eastAsia" w:cs="仿宋" w:asciiTheme="majorEastAsia" w:hAnsiTheme="majorEastAsia" w:eastAsiaTheme="majorEastAsia"/>
          <w:b/>
          <w:color w:val="auto"/>
          <w:sz w:val="36"/>
          <w:szCs w:val="36"/>
          <w:highlight w:val="none"/>
        </w:rPr>
        <w:t>拟签订的合同文本</w:t>
      </w:r>
    </w:p>
    <w:p w14:paraId="4977AE74">
      <w:pPr>
        <w:shd w:val="clear"/>
        <w:spacing w:line="360" w:lineRule="auto"/>
        <w:rPr>
          <w:rFonts w:cs="仿宋" w:asciiTheme="majorEastAsia" w:hAnsiTheme="majorEastAsia" w:eastAsiaTheme="majorEastAsia"/>
          <w:color w:val="auto"/>
          <w:sz w:val="24"/>
          <w:highlight w:val="none"/>
        </w:rPr>
      </w:pPr>
    </w:p>
    <w:p w14:paraId="71B3A66E">
      <w:pPr>
        <w:pStyle w:val="8"/>
        <w:shd w:val="clear"/>
        <w:adjustRightInd w:val="0"/>
        <w:snapToGrid w:val="0"/>
        <w:spacing w:line="360" w:lineRule="auto"/>
        <w:ind w:firstLine="0" w:firstLineChars="0"/>
        <w:rPr>
          <w:rFonts w:cs="仿宋" w:asciiTheme="majorEastAsia" w:hAnsiTheme="majorEastAsia" w:eastAsiaTheme="majorEastAsia"/>
          <w:b/>
          <w:color w:val="auto"/>
          <w:sz w:val="36"/>
          <w:szCs w:val="36"/>
          <w:highlight w:val="none"/>
        </w:rPr>
      </w:pPr>
    </w:p>
    <w:p w14:paraId="20514D00">
      <w:pPr>
        <w:shd w:val="clear"/>
        <w:spacing w:line="360" w:lineRule="auto"/>
        <w:jc w:val="center"/>
        <w:rPr>
          <w:rFonts w:cs="仿宋" w:asciiTheme="minorEastAsia" w:hAnsiTheme="minorEastAsia" w:eastAsiaTheme="minorEastAsia"/>
          <w:b/>
          <w:color w:val="auto"/>
          <w:sz w:val="36"/>
          <w:szCs w:val="36"/>
          <w:highlight w:val="none"/>
        </w:rPr>
      </w:pPr>
      <w:r>
        <w:rPr>
          <w:rFonts w:hint="eastAsia" w:cs="仿宋" w:asciiTheme="minorEastAsia" w:hAnsiTheme="minorEastAsia" w:eastAsiaTheme="minorEastAsia"/>
          <w:b/>
          <w:color w:val="auto"/>
          <w:sz w:val="36"/>
          <w:szCs w:val="36"/>
          <w:highlight w:val="none"/>
        </w:rPr>
        <w:t>（服务类）</w:t>
      </w:r>
    </w:p>
    <w:p w14:paraId="6F69AD4C">
      <w:pPr>
        <w:pStyle w:val="42"/>
        <w:shd w:val="clear"/>
        <w:ind w:left="0" w:leftChars="0" w:firstLine="0" w:firstLineChars="0"/>
        <w:rPr>
          <w:rFonts w:cs="仿宋" w:asciiTheme="minorEastAsia" w:hAnsiTheme="minorEastAsia" w:eastAsiaTheme="minorEastAsia"/>
          <w:color w:val="auto"/>
          <w:szCs w:val="24"/>
          <w:highlight w:val="none"/>
        </w:rPr>
      </w:pPr>
    </w:p>
    <w:p w14:paraId="143BA941">
      <w:pPr>
        <w:pStyle w:val="42"/>
        <w:shd w:val="clear"/>
        <w:rPr>
          <w:rFonts w:cs="仿宋" w:asciiTheme="minorEastAsia" w:hAnsiTheme="minorEastAsia" w:eastAsiaTheme="minorEastAsia"/>
          <w:color w:val="auto"/>
          <w:szCs w:val="24"/>
          <w:highlight w:val="none"/>
        </w:rPr>
      </w:pPr>
    </w:p>
    <w:p w14:paraId="0DDBFCEC">
      <w:pPr>
        <w:pStyle w:val="42"/>
        <w:shd w:val="clear"/>
        <w:ind w:left="0" w:leftChars="0" w:firstLine="0" w:firstLineChars="0"/>
        <w:rPr>
          <w:rFonts w:cs="仿宋" w:asciiTheme="minorEastAsia" w:hAnsiTheme="minorEastAsia" w:eastAsiaTheme="minorEastAsia"/>
          <w:color w:val="auto"/>
          <w:szCs w:val="24"/>
          <w:highlight w:val="none"/>
        </w:rPr>
      </w:pPr>
    </w:p>
    <w:p w14:paraId="46D684A1">
      <w:pPr>
        <w:shd w:val="clear"/>
        <w:spacing w:before="120" w:line="360" w:lineRule="auto"/>
        <w:rPr>
          <w:rFonts w:cs="仿宋" w:asciiTheme="minorEastAsia" w:hAnsiTheme="minorEastAsia" w:eastAsiaTheme="minorEastAsia"/>
          <w:color w:val="auto"/>
          <w:sz w:val="24"/>
          <w:highlight w:val="none"/>
        </w:rPr>
      </w:pPr>
    </w:p>
    <w:p w14:paraId="7A8D5A63">
      <w:pPr>
        <w:shd w:val="clear"/>
        <w:spacing w:before="120" w:line="360" w:lineRule="auto"/>
        <w:ind w:left="960" w:firstLine="720" w:firstLineChars="3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项目名称：</w:t>
      </w:r>
      <w:r>
        <w:rPr>
          <w:rFonts w:hint="eastAsia" w:cs="仿宋" w:asciiTheme="minorEastAsia" w:hAnsiTheme="minorEastAsia" w:eastAsiaTheme="minorEastAsia"/>
          <w:color w:val="auto"/>
          <w:sz w:val="24"/>
          <w:highlight w:val="none"/>
          <w:u w:val="single"/>
        </w:rPr>
        <w:t xml:space="preserve">                                   </w:t>
      </w:r>
    </w:p>
    <w:p w14:paraId="408573BE">
      <w:pPr>
        <w:pStyle w:val="34"/>
        <w:shd w:val="clear"/>
        <w:spacing w:before="120"/>
        <w:rPr>
          <w:rFonts w:cs="仿宋" w:asciiTheme="minorEastAsia" w:hAnsiTheme="minorEastAsia" w:eastAsiaTheme="minorEastAsia"/>
          <w:color w:val="auto"/>
          <w:szCs w:val="24"/>
          <w:highlight w:val="none"/>
        </w:rPr>
      </w:pPr>
    </w:p>
    <w:p w14:paraId="2A42649E">
      <w:pPr>
        <w:pStyle w:val="34"/>
        <w:shd w:val="clear"/>
        <w:spacing w:before="120"/>
        <w:rPr>
          <w:rFonts w:cs="仿宋" w:asciiTheme="minorEastAsia" w:hAnsiTheme="minorEastAsia" w:eastAsiaTheme="minorEastAsia"/>
          <w:color w:val="auto"/>
          <w:szCs w:val="24"/>
          <w:highlight w:val="none"/>
        </w:rPr>
      </w:pPr>
    </w:p>
    <w:p w14:paraId="14F8EA98">
      <w:pPr>
        <w:shd w:val="clear"/>
        <w:spacing w:line="360" w:lineRule="auto"/>
        <w:rPr>
          <w:rFonts w:cs="仿宋" w:asciiTheme="minorEastAsia" w:hAnsiTheme="minorEastAsia" w:eastAsiaTheme="minorEastAsia"/>
          <w:color w:val="auto"/>
          <w:sz w:val="24"/>
          <w:highlight w:val="none"/>
        </w:rPr>
      </w:pPr>
    </w:p>
    <w:p w14:paraId="44F6FE2D">
      <w:pPr>
        <w:shd w:val="clear"/>
        <w:spacing w:before="120" w:line="600" w:lineRule="auto"/>
        <w:ind w:left="960" w:firstLine="720" w:firstLineChars="3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甲方：</w:t>
      </w:r>
      <w:r>
        <w:rPr>
          <w:rFonts w:hint="eastAsia" w:cs="仿宋" w:asciiTheme="minorEastAsia" w:hAnsiTheme="minorEastAsia" w:eastAsiaTheme="minorEastAsia"/>
          <w:color w:val="auto"/>
          <w:sz w:val="24"/>
          <w:highlight w:val="none"/>
          <w:u w:val="single"/>
        </w:rPr>
        <w:t xml:space="preserve">                                       </w:t>
      </w:r>
    </w:p>
    <w:p w14:paraId="2406BA14">
      <w:pPr>
        <w:shd w:val="clear"/>
        <w:spacing w:before="120" w:line="600" w:lineRule="auto"/>
        <w:ind w:left="960" w:firstLine="720" w:firstLineChars="3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乙方：</w:t>
      </w:r>
      <w:r>
        <w:rPr>
          <w:rFonts w:hint="eastAsia" w:cs="仿宋" w:asciiTheme="minorEastAsia" w:hAnsiTheme="minorEastAsia" w:eastAsiaTheme="minorEastAsia"/>
          <w:color w:val="auto"/>
          <w:sz w:val="24"/>
          <w:highlight w:val="none"/>
          <w:u w:val="single"/>
        </w:rPr>
        <w:t xml:space="preserve">                                       </w:t>
      </w:r>
    </w:p>
    <w:p w14:paraId="6575C4CB">
      <w:pPr>
        <w:shd w:val="clear"/>
        <w:spacing w:before="120" w:line="600" w:lineRule="auto"/>
        <w:ind w:firstLine="1680" w:firstLineChars="7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签订地：</w:t>
      </w:r>
      <w:r>
        <w:rPr>
          <w:rFonts w:hint="eastAsia" w:cs="仿宋" w:asciiTheme="minorEastAsia" w:hAnsiTheme="minorEastAsia" w:eastAsiaTheme="minorEastAsia"/>
          <w:color w:val="auto"/>
          <w:sz w:val="24"/>
          <w:highlight w:val="none"/>
          <w:u w:val="single"/>
        </w:rPr>
        <w:t xml:space="preserve">                                     </w:t>
      </w:r>
    </w:p>
    <w:p w14:paraId="53881438">
      <w:pPr>
        <w:shd w:val="clear"/>
        <w:spacing w:before="120" w:line="600" w:lineRule="auto"/>
        <w:ind w:firstLine="1680" w:firstLineChars="7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签订日期：</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年</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月</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日</w:t>
      </w:r>
    </w:p>
    <w:p w14:paraId="6ACFA9E7">
      <w:pPr>
        <w:shd w:val="clear"/>
        <w:spacing w:line="360" w:lineRule="auto"/>
        <w:ind w:firstLine="480" w:firstLineChars="200"/>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u w:val="single"/>
          <w:lang w:val="zh-CN"/>
        </w:rPr>
        <w:br w:type="page"/>
      </w:r>
      <w:r>
        <w:rPr>
          <w:rFonts w:hint="eastAsia" w:cs="仿宋" w:asciiTheme="minorEastAsia" w:hAnsiTheme="minorEastAsia" w:eastAsiaTheme="minorEastAsia"/>
          <w:color w:val="auto"/>
          <w:sz w:val="24"/>
          <w:highlight w:val="none"/>
          <w:u w:val="single"/>
          <w:lang w:val="zh-CN"/>
        </w:rPr>
        <w:t xml:space="preserve">        </w:t>
      </w:r>
      <w:r>
        <w:rPr>
          <w:rFonts w:hint="eastAsia" w:cs="仿宋" w:asciiTheme="minorEastAsia" w:hAnsiTheme="minorEastAsia" w:eastAsiaTheme="minorEastAsia"/>
          <w:color w:val="auto"/>
          <w:sz w:val="24"/>
          <w:highlight w:val="none"/>
          <w:lang w:val="zh-CN"/>
        </w:rPr>
        <w:t>年</w:t>
      </w:r>
      <w:r>
        <w:rPr>
          <w:rFonts w:hint="eastAsia" w:cs="仿宋" w:asciiTheme="minorEastAsia" w:hAnsiTheme="minorEastAsia" w:eastAsiaTheme="minorEastAsia"/>
          <w:color w:val="auto"/>
          <w:sz w:val="24"/>
          <w:highlight w:val="none"/>
          <w:u w:val="single"/>
          <w:lang w:val="zh-CN"/>
        </w:rPr>
        <w:t xml:space="preserve">     </w:t>
      </w:r>
      <w:r>
        <w:rPr>
          <w:rFonts w:hint="eastAsia" w:cs="仿宋" w:asciiTheme="minorEastAsia" w:hAnsiTheme="minorEastAsia" w:eastAsiaTheme="minorEastAsia"/>
          <w:color w:val="auto"/>
          <w:sz w:val="24"/>
          <w:highlight w:val="none"/>
          <w:lang w:val="zh-CN"/>
        </w:rPr>
        <w:t>月</w:t>
      </w:r>
      <w:r>
        <w:rPr>
          <w:rFonts w:hint="eastAsia" w:cs="仿宋" w:asciiTheme="minorEastAsia" w:hAnsiTheme="minorEastAsia" w:eastAsiaTheme="minorEastAsia"/>
          <w:color w:val="auto"/>
          <w:sz w:val="24"/>
          <w:highlight w:val="none"/>
          <w:u w:val="single"/>
          <w:lang w:val="zh-CN"/>
        </w:rPr>
        <w:t xml:space="preserve">     </w:t>
      </w:r>
      <w:r>
        <w:rPr>
          <w:rFonts w:hint="eastAsia" w:cs="仿宋" w:asciiTheme="minorEastAsia" w:hAnsiTheme="minorEastAsia" w:eastAsiaTheme="minorEastAsia"/>
          <w:color w:val="auto"/>
          <w:sz w:val="24"/>
          <w:highlight w:val="none"/>
          <w:lang w:val="zh-CN"/>
        </w:rPr>
        <w:t>日，</w:t>
      </w:r>
      <w:r>
        <w:rPr>
          <w:rFonts w:hint="eastAsia" w:cs="仿宋" w:asciiTheme="minorEastAsia" w:hAnsiTheme="minorEastAsia" w:eastAsiaTheme="minorEastAsia"/>
          <w:color w:val="auto"/>
          <w:sz w:val="24"/>
          <w:highlight w:val="none"/>
          <w:u w:val="single"/>
          <w:lang w:val="zh-CN"/>
        </w:rPr>
        <w:t xml:space="preserve">   （采购人）   </w:t>
      </w:r>
      <w:r>
        <w:rPr>
          <w:rFonts w:hint="eastAsia" w:cs="仿宋" w:asciiTheme="minorEastAsia" w:hAnsiTheme="minorEastAsia" w:eastAsiaTheme="minorEastAsia"/>
          <w:color w:val="auto"/>
          <w:sz w:val="24"/>
          <w:highlight w:val="none"/>
          <w:lang w:val="zh-CN"/>
        </w:rPr>
        <w:t>以</w:t>
      </w:r>
      <w:r>
        <w:rPr>
          <w:rFonts w:hint="eastAsia" w:cs="仿宋" w:asciiTheme="minorEastAsia" w:hAnsiTheme="minorEastAsia" w:eastAsiaTheme="minorEastAsia"/>
          <w:color w:val="auto"/>
          <w:sz w:val="24"/>
          <w:highlight w:val="none"/>
          <w:u w:val="single"/>
          <w:lang w:val="zh-CN"/>
        </w:rPr>
        <w:t xml:space="preserve">  公开招标方式  </w:t>
      </w:r>
      <w:r>
        <w:rPr>
          <w:rFonts w:hint="eastAsia" w:cs="仿宋" w:asciiTheme="minorEastAsia" w:hAnsiTheme="minorEastAsia" w:eastAsiaTheme="minorEastAsia"/>
          <w:color w:val="auto"/>
          <w:sz w:val="24"/>
          <w:highlight w:val="none"/>
          <w:lang w:val="zh-CN"/>
        </w:rPr>
        <w:t>对</w:t>
      </w:r>
      <w:r>
        <w:rPr>
          <w:rFonts w:hint="eastAsia" w:cs="仿宋" w:asciiTheme="minorEastAsia" w:hAnsiTheme="minorEastAsia" w:eastAsiaTheme="minorEastAsia"/>
          <w:color w:val="auto"/>
          <w:sz w:val="24"/>
          <w:highlight w:val="none"/>
          <w:u w:val="single"/>
          <w:lang w:val="zh-CN"/>
        </w:rPr>
        <w:t xml:space="preserve">   （同前页项目名称）   </w:t>
      </w:r>
      <w:r>
        <w:rPr>
          <w:rFonts w:hint="eastAsia" w:cs="仿宋" w:asciiTheme="minorEastAsia" w:hAnsiTheme="minorEastAsia" w:eastAsiaTheme="minorEastAsia"/>
          <w:color w:val="auto"/>
          <w:sz w:val="24"/>
          <w:highlight w:val="none"/>
          <w:lang w:val="zh-CN"/>
        </w:rPr>
        <w:t>项目进行了采购。经</w:t>
      </w:r>
      <w:r>
        <w:rPr>
          <w:rFonts w:hint="eastAsia" w:cs="仿宋" w:asciiTheme="minorEastAsia" w:hAnsiTheme="minorEastAsia" w:eastAsiaTheme="minorEastAsia"/>
          <w:color w:val="auto"/>
          <w:sz w:val="24"/>
          <w:highlight w:val="none"/>
          <w:u w:val="single"/>
          <w:lang w:val="zh-CN"/>
        </w:rPr>
        <w:t xml:space="preserve">   （相关评定主体名称）   </w:t>
      </w:r>
      <w:r>
        <w:rPr>
          <w:rFonts w:hint="eastAsia" w:cs="仿宋" w:asciiTheme="minorEastAsia" w:hAnsiTheme="minorEastAsia" w:eastAsiaTheme="minorEastAsia"/>
          <w:color w:val="auto"/>
          <w:sz w:val="24"/>
          <w:highlight w:val="none"/>
          <w:lang w:val="zh-CN"/>
        </w:rPr>
        <w:t>评定，</w:t>
      </w:r>
      <w:r>
        <w:rPr>
          <w:rFonts w:hint="eastAsia" w:cs="仿宋" w:asciiTheme="minorEastAsia" w:hAnsiTheme="minorEastAsia" w:eastAsiaTheme="minorEastAsia"/>
          <w:color w:val="auto"/>
          <w:sz w:val="24"/>
          <w:highlight w:val="none"/>
          <w:u w:val="single"/>
          <w:lang w:val="zh-CN"/>
        </w:rPr>
        <w:t xml:space="preserve">   （中标供应商名称）</w:t>
      </w:r>
      <w:r>
        <w:rPr>
          <w:rFonts w:hint="eastAsia" w:cs="仿宋" w:asciiTheme="minorEastAsia" w:hAnsiTheme="minorEastAsia" w:eastAsiaTheme="minorEastAsia"/>
          <w:color w:val="auto"/>
          <w:sz w:val="24"/>
          <w:highlight w:val="none"/>
          <w:lang w:val="zh-CN"/>
        </w:rPr>
        <w:t>为该项目中标供应商。现于中标通知书发出之日起三十日内，按照采购文件确定的事项签订本合同。</w:t>
      </w:r>
    </w:p>
    <w:p w14:paraId="5C009514">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zh-CN"/>
        </w:rPr>
        <w:t>根据《中华人民共和国民法典》、《中华人民共和国政府采购法》等相关法律法规之规定，按照平等、自愿、公平、诚实信用和绿色的原则，经</w:t>
      </w:r>
      <w:r>
        <w:rPr>
          <w:rFonts w:hint="eastAsia" w:cs="仿宋" w:asciiTheme="minorEastAsia" w:hAnsiTheme="minorEastAsia" w:eastAsiaTheme="minorEastAsia"/>
          <w:color w:val="auto"/>
          <w:sz w:val="24"/>
          <w:highlight w:val="none"/>
          <w:u w:val="single"/>
        </w:rPr>
        <w:t xml:space="preserve">   （采购人）   </w:t>
      </w:r>
      <w:r>
        <w:rPr>
          <w:rFonts w:hint="eastAsia" w:cs="仿宋" w:asciiTheme="minorEastAsia" w:hAnsiTheme="minorEastAsia" w:eastAsiaTheme="minorEastAsia"/>
          <w:color w:val="auto"/>
          <w:sz w:val="24"/>
          <w:highlight w:val="none"/>
          <w:lang w:val="zh-CN"/>
        </w:rPr>
        <w:t>(以下简称：甲方)和</w:t>
      </w:r>
      <w:r>
        <w:rPr>
          <w:rFonts w:hint="eastAsia" w:cs="仿宋" w:asciiTheme="minorEastAsia" w:hAnsiTheme="minorEastAsia" w:eastAsiaTheme="minorEastAsia"/>
          <w:color w:val="auto"/>
          <w:sz w:val="24"/>
          <w:highlight w:val="none"/>
          <w:u w:val="single"/>
        </w:rPr>
        <w:t xml:space="preserve">   （中标供应商名称）   </w:t>
      </w:r>
      <w:r>
        <w:rPr>
          <w:rFonts w:hint="eastAsia" w:cs="仿宋" w:asciiTheme="minorEastAsia" w:hAnsiTheme="minorEastAsia" w:eastAsiaTheme="minorEastAsia"/>
          <w:color w:val="auto"/>
          <w:sz w:val="24"/>
          <w:highlight w:val="none"/>
          <w:lang w:val="zh-CN"/>
        </w:rPr>
        <w:t>(以下简称：乙方)协商一致，约定以下合同</w:t>
      </w:r>
      <w:r>
        <w:rPr>
          <w:rFonts w:hint="eastAsia" w:cs="仿宋" w:asciiTheme="minorEastAsia" w:hAnsiTheme="minorEastAsia" w:eastAsiaTheme="minorEastAsia"/>
          <w:color w:val="auto"/>
          <w:sz w:val="24"/>
          <w:highlight w:val="none"/>
        </w:rPr>
        <w:t>条款，以兹共同遵守、全面履行。</w:t>
      </w:r>
    </w:p>
    <w:p w14:paraId="2F3358DC">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 定义</w:t>
      </w:r>
    </w:p>
    <w:p w14:paraId="16A553F6">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本合同中的下列词语应按以下内容进行解释：</w:t>
      </w:r>
    </w:p>
    <w:p w14:paraId="0224E11E">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 “合同”系指采购人和中标供应商签订的载明双方当事人所达成的协议，并包括所有的附件、附录和构成合同的其他文件。</w:t>
      </w:r>
    </w:p>
    <w:p w14:paraId="55D700B6">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1.2 “合同价”系指根据合同约定，中标供应商在完全履行合同义务后，采购人应支付给中标供应商的价格。</w:t>
      </w:r>
    </w:p>
    <w:p w14:paraId="757F3306">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1.3 “服务”系指中标供应商根据合同约定应为采购人提供的一切服务。</w:t>
      </w:r>
    </w:p>
    <w:p w14:paraId="5B3D54C7">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1.4 “甲方”系指与中标供应商签署合同的采购人；采购人委托采购代理机构代表其与乙方签订合同的，采购人的授权委托书作为合同附件。</w:t>
      </w:r>
    </w:p>
    <w:p w14:paraId="4E60A217">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1645EB0">
      <w:pPr>
        <w:shd w:val="clear"/>
        <w:spacing w:line="360" w:lineRule="auto"/>
        <w:ind w:firstLine="480"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color w:val="auto"/>
          <w:sz w:val="24"/>
          <w:highlight w:val="none"/>
        </w:rPr>
        <w:t>1.6 “现场”系指合同约定中标供应商为采购人提供服务的地点。</w:t>
      </w:r>
    </w:p>
    <w:p w14:paraId="21F2A6D6">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 合同组成部分</w:t>
      </w:r>
    </w:p>
    <w:p w14:paraId="1F49DB5C">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C0967BF">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2.1 本合同及其附件、补充合同、变更协议；</w:t>
      </w:r>
    </w:p>
    <w:p w14:paraId="2857E5DE">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2.2 中标通知书；</w:t>
      </w:r>
    </w:p>
    <w:p w14:paraId="0D29B0E0">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2.3 投标文件（含澄清或者说明文件）；</w:t>
      </w:r>
    </w:p>
    <w:p w14:paraId="33637FA3">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2.4 招标文件（含澄清或者修改文件）；</w:t>
      </w:r>
    </w:p>
    <w:p w14:paraId="24AA9A8E">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2.5 其他相关采购文件。</w:t>
      </w:r>
    </w:p>
    <w:p w14:paraId="78931C79">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3 服务内容（与招标文件一致）</w:t>
      </w:r>
    </w:p>
    <w:p w14:paraId="65F86008">
      <w:pPr>
        <w:shd w:val="clear"/>
        <w:spacing w:line="360" w:lineRule="auto"/>
        <w:ind w:firstLine="480" w:firstLineChars="200"/>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highlight w:val="none"/>
        </w:rPr>
        <w:t>3.1 服务内容：</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w:t>
      </w:r>
    </w:p>
    <w:p w14:paraId="5405AD3D">
      <w:pPr>
        <w:shd w:val="clear"/>
        <w:spacing w:line="360" w:lineRule="auto"/>
        <w:ind w:firstLine="480" w:firstLineChars="200"/>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highlight w:val="none"/>
        </w:rPr>
        <w:t>3.2 服务要求与标准：</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w:t>
      </w:r>
    </w:p>
    <w:p w14:paraId="73D1350C">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3.3 服务成果：</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w:t>
      </w:r>
    </w:p>
    <w:p w14:paraId="1678D1AF">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4 价款</w:t>
      </w:r>
    </w:p>
    <w:p w14:paraId="4BCD27BB">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本合同总价为：￥</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元（大写：</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元人民币）。</w:t>
      </w:r>
    </w:p>
    <w:p w14:paraId="4F559D67">
      <w:pPr>
        <w:shd w:val="clear"/>
        <w:spacing w:line="360" w:lineRule="auto"/>
        <w:ind w:firstLine="480" w:firstLineChars="200"/>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highlight w:val="none"/>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69A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773C5F0">
            <w:pPr>
              <w:pStyle w:val="38"/>
              <w:shd w:val="clear"/>
              <w:spacing w:line="360" w:lineRule="auto"/>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EAFEA05">
            <w:pPr>
              <w:pStyle w:val="38"/>
              <w:shd w:val="clear"/>
              <w:spacing w:line="360" w:lineRule="auto"/>
              <w:ind w:firstLine="200"/>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1A03CF2">
            <w:pPr>
              <w:pStyle w:val="38"/>
              <w:shd w:val="clear"/>
              <w:spacing w:line="360" w:lineRule="auto"/>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分项价格</w:t>
            </w:r>
          </w:p>
        </w:tc>
      </w:tr>
      <w:tr w14:paraId="1DE4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2F0E0B">
            <w:pPr>
              <w:pStyle w:val="38"/>
              <w:shd w:val="clear"/>
              <w:spacing w:line="360" w:lineRule="auto"/>
              <w:ind w:firstLine="200"/>
              <w:jc w:val="center"/>
              <w:rPr>
                <w:rFonts w:cs="仿宋" w:asciiTheme="minorEastAsia" w:hAnsiTheme="minorEastAsia" w:eastAsia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1A38029">
            <w:pPr>
              <w:pStyle w:val="38"/>
              <w:shd w:val="clear"/>
              <w:spacing w:line="360" w:lineRule="auto"/>
              <w:ind w:firstLine="200"/>
              <w:jc w:val="center"/>
              <w:rPr>
                <w:rFonts w:cs="仿宋" w:asciiTheme="minorEastAsia" w:hAnsiTheme="minorEastAsia" w:eastAsia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E7230F2">
            <w:pPr>
              <w:pStyle w:val="38"/>
              <w:shd w:val="clear"/>
              <w:spacing w:line="360" w:lineRule="auto"/>
              <w:ind w:firstLine="200"/>
              <w:jc w:val="center"/>
              <w:rPr>
                <w:rFonts w:cs="仿宋" w:asciiTheme="minorEastAsia" w:hAnsiTheme="minorEastAsia" w:eastAsiaTheme="minorEastAsia"/>
                <w:color w:val="auto"/>
                <w:sz w:val="24"/>
                <w:szCs w:val="24"/>
                <w:highlight w:val="none"/>
              </w:rPr>
            </w:pPr>
          </w:p>
        </w:tc>
      </w:tr>
      <w:tr w14:paraId="262A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C672CE">
            <w:pPr>
              <w:pStyle w:val="38"/>
              <w:shd w:val="clear"/>
              <w:spacing w:line="360" w:lineRule="auto"/>
              <w:ind w:firstLine="200"/>
              <w:jc w:val="center"/>
              <w:rPr>
                <w:rFonts w:cs="仿宋" w:asciiTheme="minorEastAsia" w:hAnsiTheme="minorEastAsia" w:eastAsia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7E9F5FF">
            <w:pPr>
              <w:pStyle w:val="38"/>
              <w:shd w:val="clear"/>
              <w:spacing w:line="360" w:lineRule="auto"/>
              <w:ind w:firstLine="200"/>
              <w:jc w:val="center"/>
              <w:rPr>
                <w:rFonts w:cs="仿宋" w:asciiTheme="minorEastAsia" w:hAnsiTheme="minorEastAsia" w:eastAsia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353A768">
            <w:pPr>
              <w:pStyle w:val="38"/>
              <w:shd w:val="clear"/>
              <w:spacing w:line="360" w:lineRule="auto"/>
              <w:ind w:firstLine="200"/>
              <w:jc w:val="center"/>
              <w:rPr>
                <w:rFonts w:cs="仿宋" w:asciiTheme="minorEastAsia" w:hAnsiTheme="minorEastAsia" w:eastAsiaTheme="minorEastAsia"/>
                <w:color w:val="auto"/>
                <w:sz w:val="24"/>
                <w:szCs w:val="24"/>
                <w:highlight w:val="none"/>
              </w:rPr>
            </w:pPr>
          </w:p>
        </w:tc>
      </w:tr>
      <w:tr w14:paraId="5EE0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E1FB61">
            <w:pPr>
              <w:pStyle w:val="38"/>
              <w:shd w:val="clear"/>
              <w:spacing w:line="360" w:lineRule="auto"/>
              <w:ind w:firstLine="200"/>
              <w:jc w:val="center"/>
              <w:rPr>
                <w:rFonts w:cs="仿宋" w:asciiTheme="minorEastAsia" w:hAnsiTheme="minorEastAsia" w:eastAsia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F477ED7">
            <w:pPr>
              <w:pStyle w:val="38"/>
              <w:shd w:val="clear"/>
              <w:spacing w:line="360" w:lineRule="auto"/>
              <w:ind w:firstLine="200"/>
              <w:jc w:val="center"/>
              <w:rPr>
                <w:rFonts w:cs="仿宋" w:asciiTheme="minorEastAsia" w:hAnsiTheme="minorEastAsia" w:eastAsia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042D9B2">
            <w:pPr>
              <w:pStyle w:val="38"/>
              <w:shd w:val="clear"/>
              <w:spacing w:line="360" w:lineRule="auto"/>
              <w:ind w:firstLine="200"/>
              <w:jc w:val="center"/>
              <w:rPr>
                <w:rFonts w:cs="仿宋" w:asciiTheme="minorEastAsia" w:hAnsiTheme="minorEastAsia" w:eastAsiaTheme="minorEastAsia"/>
                <w:color w:val="auto"/>
                <w:sz w:val="24"/>
                <w:szCs w:val="24"/>
                <w:highlight w:val="none"/>
              </w:rPr>
            </w:pPr>
          </w:p>
        </w:tc>
      </w:tr>
      <w:tr w14:paraId="2E58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CC5C640">
            <w:pPr>
              <w:pStyle w:val="38"/>
              <w:shd w:val="clear"/>
              <w:spacing w:line="360" w:lineRule="auto"/>
              <w:ind w:firstLine="200"/>
              <w:jc w:val="center"/>
              <w:rPr>
                <w:rFonts w:cs="仿宋" w:asciiTheme="minorEastAsia" w:hAnsiTheme="minorEastAsia" w:eastAsia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EAFCE22">
            <w:pPr>
              <w:pStyle w:val="38"/>
              <w:shd w:val="clear"/>
              <w:spacing w:line="360" w:lineRule="auto"/>
              <w:ind w:firstLine="200"/>
              <w:jc w:val="center"/>
              <w:rPr>
                <w:rFonts w:cs="仿宋" w:asciiTheme="minorEastAsia" w:hAnsiTheme="minorEastAsia" w:eastAsia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11465EB">
            <w:pPr>
              <w:pStyle w:val="38"/>
              <w:shd w:val="clear"/>
              <w:spacing w:line="360" w:lineRule="auto"/>
              <w:ind w:firstLine="200"/>
              <w:jc w:val="center"/>
              <w:rPr>
                <w:rFonts w:cs="仿宋" w:asciiTheme="minorEastAsia" w:hAnsiTheme="minorEastAsia" w:eastAsiaTheme="minorEastAsia"/>
                <w:color w:val="auto"/>
                <w:sz w:val="24"/>
                <w:szCs w:val="24"/>
                <w:highlight w:val="none"/>
              </w:rPr>
            </w:pPr>
          </w:p>
        </w:tc>
      </w:tr>
      <w:tr w14:paraId="36AD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74FD4C8">
            <w:pPr>
              <w:pStyle w:val="38"/>
              <w:shd w:val="clear"/>
              <w:spacing w:line="360" w:lineRule="auto"/>
              <w:ind w:firstLine="200"/>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8D9C862">
            <w:pPr>
              <w:pStyle w:val="38"/>
              <w:shd w:val="clear"/>
              <w:spacing w:line="360" w:lineRule="auto"/>
              <w:ind w:firstLine="200"/>
              <w:jc w:val="center"/>
              <w:rPr>
                <w:rFonts w:cs="仿宋" w:asciiTheme="minorEastAsia" w:hAnsiTheme="minorEastAsia" w:eastAsiaTheme="minorEastAsia"/>
                <w:color w:val="auto"/>
                <w:sz w:val="24"/>
                <w:szCs w:val="24"/>
                <w:highlight w:val="none"/>
              </w:rPr>
            </w:pPr>
          </w:p>
        </w:tc>
      </w:tr>
    </w:tbl>
    <w:p w14:paraId="31A6AE7F">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5 付款方式、时间和条件</w:t>
      </w:r>
    </w:p>
    <w:p w14:paraId="439FAE03">
      <w:pPr>
        <w:pStyle w:val="37"/>
        <w:shd w:val="clear"/>
        <w:spacing w:before="0" w:beforeAutospacing="0" w:after="0" w:afterAutospacing="0" w:line="360" w:lineRule="auto"/>
        <w:ind w:firstLine="480"/>
        <w:rPr>
          <w:rFonts w:cs="仿宋" w:asciiTheme="minorEastAsia" w:hAnsiTheme="minorEastAsia" w:eastAsiaTheme="minorEastAsia"/>
          <w:b/>
          <w:bCs/>
          <w:i/>
          <w:iCs/>
          <w:color w:val="auto"/>
          <w:kern w:val="2"/>
          <w:highlight w:val="none"/>
          <w:u w:val="single"/>
        </w:rPr>
      </w:pPr>
      <w:r>
        <w:rPr>
          <w:rFonts w:hint="eastAsia" w:cs="仿宋" w:asciiTheme="minorEastAsia" w:hAnsiTheme="minorEastAsia" w:eastAsiaTheme="minorEastAsia"/>
          <w:color w:val="auto"/>
          <w:kern w:val="2"/>
          <w:highlight w:val="none"/>
        </w:rPr>
        <w:t>5.1 资金支付的方式、时间和条件：</w:t>
      </w:r>
      <w:r>
        <w:rPr>
          <w:rFonts w:hint="eastAsia" w:cs="仿宋" w:asciiTheme="minorEastAsia" w:hAnsiTheme="minorEastAsia" w:eastAsiaTheme="minorEastAsia"/>
          <w:b/>
          <w:bCs/>
          <w:i/>
          <w:iCs/>
          <w:color w:val="auto"/>
          <w:kern w:val="2"/>
          <w:highlight w:val="none"/>
          <w:u w:val="single"/>
        </w:rPr>
        <w:t xml:space="preserve">                       </w:t>
      </w:r>
    </w:p>
    <w:p w14:paraId="3BA53E2F">
      <w:pPr>
        <w:pStyle w:val="37"/>
        <w:shd w:val="clear"/>
        <w:spacing w:before="0" w:beforeAutospacing="0" w:after="0" w:afterAutospacing="0" w:line="360" w:lineRule="auto"/>
        <w:ind w:firstLine="480"/>
        <w:rPr>
          <w:rFonts w:cs="仿宋" w:asciiTheme="minorEastAsia" w:hAnsiTheme="minorEastAsia" w:eastAsiaTheme="minorEastAsia"/>
          <w:color w:val="auto"/>
          <w:kern w:val="2"/>
          <w:highlight w:val="none"/>
        </w:rPr>
      </w:pPr>
      <w:r>
        <w:rPr>
          <w:rFonts w:hint="eastAsia" w:cs="仿宋" w:asciiTheme="minorEastAsia" w:hAnsiTheme="minorEastAsia" w:eastAsiaTheme="minorEastAsia"/>
          <w:color w:val="auto"/>
          <w:kern w:val="2"/>
          <w:highlight w:val="none"/>
        </w:rPr>
        <w:t>5.2 乙方收款账户：</w:t>
      </w:r>
    </w:p>
    <w:p w14:paraId="60615698">
      <w:pPr>
        <w:shd w:val="clear"/>
        <w:autoSpaceDE w:val="0"/>
        <w:autoSpaceDN w:val="0"/>
        <w:spacing w:line="360" w:lineRule="auto"/>
        <w:ind w:left="1470" w:leftChars="7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开户银行：</w:t>
      </w:r>
      <w:r>
        <w:rPr>
          <w:rFonts w:hint="eastAsia" w:cs="仿宋" w:asciiTheme="minorEastAsia" w:hAnsiTheme="minorEastAsia" w:eastAsiaTheme="minorEastAsia"/>
          <w:b/>
          <w:bCs/>
          <w:i/>
          <w:iCs/>
          <w:color w:val="auto"/>
          <w:sz w:val="24"/>
          <w:highlight w:val="none"/>
          <w:u w:val="single"/>
        </w:rPr>
        <w:t xml:space="preserve">                          </w:t>
      </w:r>
      <w:r>
        <w:rPr>
          <w:rFonts w:hint="eastAsia" w:cs="仿宋" w:asciiTheme="minorEastAsia" w:hAnsiTheme="minorEastAsia" w:eastAsiaTheme="minorEastAsia"/>
          <w:color w:val="auto"/>
          <w:sz w:val="24"/>
          <w:highlight w:val="none"/>
        </w:rPr>
        <w:t xml:space="preserve">                          </w:t>
      </w:r>
    </w:p>
    <w:p w14:paraId="7BCC3E4A">
      <w:pPr>
        <w:shd w:val="clear"/>
        <w:autoSpaceDE w:val="0"/>
        <w:autoSpaceDN w:val="0"/>
        <w:spacing w:line="360" w:lineRule="auto"/>
        <w:ind w:left="1470" w:leftChars="7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开户名称：</w:t>
      </w:r>
      <w:r>
        <w:rPr>
          <w:rFonts w:hint="eastAsia" w:cs="仿宋" w:asciiTheme="minorEastAsia" w:hAnsiTheme="minorEastAsia" w:eastAsiaTheme="minorEastAsia"/>
          <w:b/>
          <w:bCs/>
          <w:i/>
          <w:iCs/>
          <w:color w:val="auto"/>
          <w:sz w:val="24"/>
          <w:highlight w:val="none"/>
          <w:u w:val="single"/>
        </w:rPr>
        <w:t xml:space="preserve">                          </w:t>
      </w:r>
      <w:r>
        <w:rPr>
          <w:rFonts w:hint="eastAsia" w:cs="仿宋" w:asciiTheme="minorEastAsia" w:hAnsiTheme="minorEastAsia" w:eastAsiaTheme="minorEastAsia"/>
          <w:color w:val="auto"/>
          <w:sz w:val="24"/>
          <w:highlight w:val="none"/>
        </w:rPr>
        <w:t xml:space="preserve">                             </w:t>
      </w:r>
    </w:p>
    <w:p w14:paraId="62BB240C">
      <w:pPr>
        <w:shd w:val="clear"/>
        <w:autoSpaceDE w:val="0"/>
        <w:autoSpaceDN w:val="0"/>
        <w:spacing w:line="360" w:lineRule="auto"/>
        <w:ind w:left="1470" w:leftChars="7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开户账号：</w:t>
      </w:r>
      <w:r>
        <w:rPr>
          <w:rFonts w:hint="eastAsia" w:cs="仿宋" w:asciiTheme="minorEastAsia" w:hAnsiTheme="minorEastAsia" w:eastAsiaTheme="minorEastAsia"/>
          <w:b/>
          <w:bCs/>
          <w:i/>
          <w:iCs/>
          <w:color w:val="auto"/>
          <w:sz w:val="24"/>
          <w:highlight w:val="none"/>
          <w:u w:val="single"/>
        </w:rPr>
        <w:t xml:space="preserve">                          </w:t>
      </w:r>
      <w:r>
        <w:rPr>
          <w:rFonts w:hint="eastAsia" w:cs="仿宋" w:asciiTheme="minorEastAsia" w:hAnsiTheme="minorEastAsia" w:eastAsiaTheme="minorEastAsia"/>
          <w:color w:val="auto"/>
          <w:sz w:val="24"/>
          <w:highlight w:val="none"/>
          <w:lang w:val="zh-CN"/>
        </w:rPr>
        <w:t xml:space="preserve">                             </w:t>
      </w:r>
    </w:p>
    <w:p w14:paraId="658CD158">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6 服务期限、地点和服务人员要求</w:t>
      </w:r>
    </w:p>
    <w:p w14:paraId="1B6786F1">
      <w:pPr>
        <w:shd w:val="clear"/>
        <w:adjustRightInd w:val="0"/>
        <w:spacing w:line="360" w:lineRule="auto"/>
        <w:ind w:firstLine="480" w:firstLineChars="200"/>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highlight w:val="none"/>
        </w:rPr>
        <w:t>6.1 服务期限：</w:t>
      </w:r>
      <w:r>
        <w:rPr>
          <w:rFonts w:hint="eastAsia" w:cs="仿宋" w:asciiTheme="minorEastAsia" w:hAnsiTheme="minorEastAsia" w:eastAsiaTheme="minorEastAsia"/>
          <w:b/>
          <w:i/>
          <w:color w:val="auto"/>
          <w:highlight w:val="none"/>
          <w:u w:val="single"/>
        </w:rPr>
        <w:t xml:space="preserve">                   </w:t>
      </w:r>
    </w:p>
    <w:p w14:paraId="589BF0E9">
      <w:pPr>
        <w:shd w:val="clear"/>
        <w:adjustRightIn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6.2 服务地点：</w:t>
      </w:r>
      <w:r>
        <w:rPr>
          <w:rFonts w:hint="eastAsia" w:cs="仿宋" w:asciiTheme="minorEastAsia" w:hAnsiTheme="minorEastAsia" w:eastAsiaTheme="minorEastAsia"/>
          <w:b/>
          <w:i/>
          <w:color w:val="auto"/>
          <w:highlight w:val="none"/>
          <w:u w:val="single"/>
        </w:rPr>
        <w:t xml:space="preserve">                   </w:t>
      </w:r>
    </w:p>
    <w:p w14:paraId="4106D4F7">
      <w:pPr>
        <w:shd w:val="clear"/>
        <w:adjustRightInd w:val="0"/>
        <w:spacing w:line="360" w:lineRule="auto"/>
        <w:ind w:firstLine="48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sz w:val="24"/>
          <w:highlight w:val="none"/>
        </w:rPr>
        <w:t>6.3 服务人员：</w:t>
      </w:r>
      <w:r>
        <w:rPr>
          <w:rFonts w:hint="eastAsia" w:cs="仿宋" w:asciiTheme="minorEastAsia" w:hAnsiTheme="minorEastAsia" w:eastAsiaTheme="minorEastAsia"/>
          <w:b/>
          <w:i/>
          <w:color w:val="auto"/>
          <w:highlight w:val="none"/>
          <w:u w:val="single"/>
        </w:rPr>
        <w:t xml:space="preserve">                   </w:t>
      </w:r>
    </w:p>
    <w:p w14:paraId="0FD90BA8">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7 技术规范</w:t>
      </w:r>
    </w:p>
    <w:p w14:paraId="32C81352">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04726A70">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8 知识产权</w:t>
      </w:r>
    </w:p>
    <w:p w14:paraId="1150A311">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5520134B">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8.2具有知识产权的计算机软件等服务的知识产权归属，除合同另有规定外，归甲方所有。</w:t>
      </w:r>
    </w:p>
    <w:p w14:paraId="1D302D13">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9 包装和装运（如适用）</w:t>
      </w:r>
    </w:p>
    <w:p w14:paraId="75449329">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9.1乙方为履行服务合同提供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274E259">
      <w:pPr>
        <w:shd w:val="clear"/>
        <w:spacing w:line="360" w:lineRule="auto"/>
        <w:ind w:firstLine="48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1455EA22">
      <w:pPr>
        <w:shd w:val="clear"/>
        <w:adjustRightInd w:val="0"/>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10 定期考核和问题反馈</w:t>
      </w:r>
    </w:p>
    <w:p w14:paraId="3DE5794F">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10.1甲方有权定期对乙方提供的服务履约情况进行检查与考核（考核标准见附件），以确保乙方所提供的服务能够依约满足甲方之项目需求，但不得因履约检查妨碍乙方的正常工作，乙方应予积极配合；</w:t>
      </w:r>
    </w:p>
    <w:p w14:paraId="6D90EDC8">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10.2 合同履行期间，甲方有权将履行过程中出现的问题反馈给乙方，双方当事人应以书面形式约定需要完善和改进的内容。</w:t>
      </w:r>
    </w:p>
    <w:p w14:paraId="71B8E7D9">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11 项目验收</w:t>
      </w:r>
    </w:p>
    <w:p w14:paraId="72EA19CE">
      <w:pPr>
        <w:shd w:val="clear"/>
        <w:tabs>
          <w:tab w:val="left" w:pos="360"/>
          <w:tab w:val="left" w:pos="540"/>
          <w:tab w:val="left" w:pos="1080"/>
        </w:tabs>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3F1BB2DA">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12 技术资料和保密义务</w:t>
      </w:r>
    </w:p>
    <w:p w14:paraId="766E8F62">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12.1 乙方有权依据合同约定和项目需要，向甲方了解有关情况，调阅有关资料等，甲方应予积极配合；</w:t>
      </w:r>
    </w:p>
    <w:p w14:paraId="0449E373">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12.2 乙方有义务妥善保管和保护由甲方提供的前款信息和资料等；</w:t>
      </w:r>
    </w:p>
    <w:p w14:paraId="6F1E0470">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12.3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C71B2D6">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13 质量保证</w:t>
      </w:r>
    </w:p>
    <w:p w14:paraId="6D1B115E">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13.1 乙方应建立和完善履行合同的内部质量保证体系，并提供相关内部规章制度给甲方，以便甲方进行监督检查；</w:t>
      </w:r>
    </w:p>
    <w:p w14:paraId="0E0D7655">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13.2 乙方应保证履行合同的人员数量和素质、软件和硬件设备的配置、场地、环境和设施等满足全面履行合同的要求，并应接受甲方的监督检查。</w:t>
      </w:r>
    </w:p>
    <w:p w14:paraId="073AA582">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14 履约的风险负担</w:t>
      </w:r>
    </w:p>
    <w:p w14:paraId="30B30126">
      <w:pPr>
        <w:shd w:val="clear"/>
        <w:spacing w:line="360" w:lineRule="auto"/>
        <w:ind w:firstLine="480"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color w:val="auto"/>
          <w:sz w:val="24"/>
          <w:highlight w:val="none"/>
        </w:rPr>
        <w:t>在履行合同时，乙方服务人员及设备的相关风险均由乙方自行承担。</w:t>
      </w:r>
    </w:p>
    <w:p w14:paraId="3DDC6DE6">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15 延迟交货</w:t>
      </w:r>
    </w:p>
    <w:p w14:paraId="7A40BC20">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14:paraId="4B66BF53">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16 合同变更</w:t>
      </w:r>
    </w:p>
    <w:p w14:paraId="52784F89">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CA1511D">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17 合同转让和分包</w:t>
      </w:r>
    </w:p>
    <w:p w14:paraId="78B63078">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17.1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C51B62B">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17.2乙方采取分包方式履行合同的，由乙方向分包供应商支付款项，但不得因分包影响履行合同义务。</w:t>
      </w:r>
    </w:p>
    <w:p w14:paraId="7FD77D3B">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18 违约责任</w:t>
      </w:r>
    </w:p>
    <w:p w14:paraId="432224BA">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18.1 除不可抗力外，如果乙方拒绝履行合同，或没有按照本合同约定的期限、标准和成果展现方式完成服务，那么甲方可要求乙方支付违约金，违约金按每日计合同总价的</w:t>
      </w:r>
      <w:r>
        <w:rPr>
          <w:rFonts w:hint="eastAsia" w:cs="仿宋" w:asciiTheme="minorEastAsia" w:hAnsiTheme="minorEastAsia" w:eastAsiaTheme="minorEastAsia"/>
          <w:color w:val="auto"/>
          <w:sz w:val="24"/>
          <w:highlight w:val="none"/>
          <w:u w:val="single"/>
        </w:rPr>
        <w:t xml:space="preserve">  0.05  </w:t>
      </w:r>
      <w:r>
        <w:rPr>
          <w:rFonts w:hint="eastAsia" w:cs="仿宋" w:asciiTheme="minorEastAsia" w:hAnsiTheme="minorEastAsia" w:eastAsiaTheme="minorEastAsia"/>
          <w:color w:val="auto"/>
          <w:sz w:val="24"/>
          <w:highlight w:val="none"/>
        </w:rPr>
        <w:t>%，最高限额为本合同总价的</w:t>
      </w:r>
      <w:r>
        <w:rPr>
          <w:rFonts w:hint="eastAsia" w:cs="仿宋" w:asciiTheme="minorEastAsia" w:hAnsiTheme="minorEastAsia" w:eastAsiaTheme="minorEastAsia"/>
          <w:color w:val="auto"/>
          <w:sz w:val="24"/>
          <w:highlight w:val="none"/>
          <w:u w:val="single"/>
        </w:rPr>
        <w:t xml:space="preserve"> 10  </w:t>
      </w:r>
      <w:r>
        <w:rPr>
          <w:rFonts w:hint="eastAsia" w:cs="仿宋" w:asciiTheme="minorEastAsia" w:hAnsiTheme="minorEastAsia" w:eastAsiaTheme="minorEastAsia"/>
          <w:color w:val="auto"/>
          <w:sz w:val="24"/>
          <w:highlight w:val="none"/>
        </w:rPr>
        <w:t>%；迟延完成服务的违约金计算数额达到前述最高限额之日起，甲方有权在要求乙方支付违约金的同时，书面通知乙方并解除本合同；</w:t>
      </w:r>
    </w:p>
    <w:p w14:paraId="458C391D">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18.2 除不可抗力外，如果甲方没有按照本合同约定的付款方式付款，那么乙方可要求甲方支付违约金，违约金按每迟延付款一日的应付而未付款的</w:t>
      </w:r>
      <w:r>
        <w:rPr>
          <w:rFonts w:hint="eastAsia" w:cs="仿宋" w:asciiTheme="minorEastAsia" w:hAnsiTheme="minorEastAsia" w:eastAsiaTheme="minorEastAsia"/>
          <w:color w:val="auto"/>
          <w:sz w:val="24"/>
          <w:highlight w:val="none"/>
          <w:u w:val="single"/>
        </w:rPr>
        <w:t xml:space="preserve">  0.05  </w:t>
      </w:r>
      <w:r>
        <w:rPr>
          <w:rFonts w:hint="eastAsia" w:cs="仿宋" w:asciiTheme="minorEastAsia" w:hAnsiTheme="minorEastAsia" w:eastAsiaTheme="minorEastAsia"/>
          <w:color w:val="auto"/>
          <w:sz w:val="24"/>
          <w:highlight w:val="none"/>
        </w:rPr>
        <w:t>%计算，最高限额为本合同总价的</w:t>
      </w:r>
      <w:r>
        <w:rPr>
          <w:rFonts w:hint="eastAsia" w:cs="仿宋" w:asciiTheme="minorEastAsia" w:hAnsiTheme="minorEastAsia" w:eastAsiaTheme="minorEastAsia"/>
          <w:color w:val="auto"/>
          <w:sz w:val="24"/>
          <w:highlight w:val="none"/>
          <w:u w:val="single"/>
        </w:rPr>
        <w:t xml:space="preserve">  10   </w:t>
      </w:r>
      <w:r>
        <w:rPr>
          <w:rFonts w:hint="eastAsia" w:cs="仿宋" w:asciiTheme="minorEastAsia" w:hAnsiTheme="minorEastAsia" w:eastAsiaTheme="minorEastAsia"/>
          <w:color w:val="auto"/>
          <w:sz w:val="24"/>
          <w:highlight w:val="none"/>
        </w:rPr>
        <w:t>%；迟延付款的违约金计算数额达到前述最高限额之日起，乙方有权在要求甲方支付违约金的同时，书面通知甲方并解除本合同；</w:t>
      </w:r>
    </w:p>
    <w:p w14:paraId="1FBF99E6">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并解除本合同；</w:t>
      </w:r>
    </w:p>
    <w:p w14:paraId="01D8239C">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18.4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12C9B36">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18.5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42BC321">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18.6 如果出现政府采购监督管理部门在处理投诉事项期间，书面通知甲方暂停采购活动的情形，或者询问或质疑事项可能影响中标结果的，导致甲方中止履行合同的情形，均不视为甲方违约。</w:t>
      </w:r>
    </w:p>
    <w:p w14:paraId="3C48DA11">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19 不可抗力</w:t>
      </w:r>
    </w:p>
    <w:p w14:paraId="0671F61D">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19.1如果任何一方遭遇法律规定的不可抗力，致使合同履行受阻时，履行合同的期限应予延长，延长的期限应相当于不可抗力所影响的时间；</w:t>
      </w:r>
    </w:p>
    <w:p w14:paraId="61EF7432">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19.2 因不可抗力致使不能实现合同目的的，当事人可以解除合同；</w:t>
      </w:r>
    </w:p>
    <w:p w14:paraId="5AA480A7">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19.3 因不可抗力致使合同有变更必要的，双方当事人应在不可抗力发生后</w:t>
      </w:r>
      <w:r>
        <w:rPr>
          <w:rFonts w:hint="eastAsia" w:cs="仿宋" w:asciiTheme="minorEastAsia" w:hAnsiTheme="minorEastAsia" w:eastAsiaTheme="minorEastAsia"/>
          <w:color w:val="auto"/>
          <w:sz w:val="24"/>
          <w:highlight w:val="none"/>
          <w:u w:val="single"/>
        </w:rPr>
        <w:t xml:space="preserve"> 10 </w:t>
      </w:r>
      <w:r>
        <w:rPr>
          <w:rFonts w:hint="eastAsia" w:cs="仿宋" w:asciiTheme="minorEastAsia" w:hAnsiTheme="minorEastAsia" w:eastAsiaTheme="minorEastAsia"/>
          <w:color w:val="auto"/>
          <w:sz w:val="24"/>
          <w:highlight w:val="none"/>
        </w:rPr>
        <w:t>日内以书面形式变更合同；</w:t>
      </w:r>
    </w:p>
    <w:p w14:paraId="7EF9B55E">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19.4受不可抗力影响的一方在不可抗力发生后，应在</w:t>
      </w:r>
      <w:r>
        <w:rPr>
          <w:rFonts w:hint="eastAsia" w:cs="仿宋" w:asciiTheme="minorEastAsia" w:hAnsiTheme="minorEastAsia" w:eastAsiaTheme="minorEastAsia"/>
          <w:color w:val="auto"/>
          <w:sz w:val="24"/>
          <w:highlight w:val="none"/>
          <w:u w:val="single"/>
        </w:rPr>
        <w:t xml:space="preserve">  5  </w:t>
      </w:r>
      <w:r>
        <w:rPr>
          <w:rFonts w:hint="eastAsia" w:cs="仿宋" w:asciiTheme="minorEastAsia" w:hAnsiTheme="minorEastAsia" w:eastAsiaTheme="minorEastAsia"/>
          <w:color w:val="auto"/>
          <w:sz w:val="24"/>
          <w:highlight w:val="none"/>
        </w:rPr>
        <w:t>日内以书面形式通知对方当事人，并在</w:t>
      </w:r>
      <w:r>
        <w:rPr>
          <w:rFonts w:hint="eastAsia" w:cs="仿宋" w:asciiTheme="minorEastAsia" w:hAnsiTheme="minorEastAsia" w:eastAsiaTheme="minorEastAsia"/>
          <w:color w:val="auto"/>
          <w:sz w:val="24"/>
          <w:highlight w:val="none"/>
          <w:u w:val="single"/>
        </w:rPr>
        <w:t xml:space="preserve">  15  </w:t>
      </w:r>
      <w:r>
        <w:rPr>
          <w:rFonts w:hint="eastAsia" w:cs="仿宋" w:asciiTheme="minorEastAsia" w:hAnsiTheme="minorEastAsia" w:eastAsiaTheme="minorEastAsia"/>
          <w:color w:val="auto"/>
          <w:sz w:val="24"/>
          <w:highlight w:val="none"/>
        </w:rPr>
        <w:t>日内，将有关部门出具的证明文件送达对方当事人。</w:t>
      </w:r>
    </w:p>
    <w:p w14:paraId="10164776">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20 税费</w:t>
      </w:r>
    </w:p>
    <w:p w14:paraId="217A7267">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与合同有关的一切税费，均按照中华人民共和国法律的相关规定。</w:t>
      </w:r>
    </w:p>
    <w:p w14:paraId="13A015F9">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21 乙方破产</w:t>
      </w:r>
    </w:p>
    <w:p w14:paraId="0D87C410">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A006A85">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22 合同争议的解决</w:t>
      </w:r>
    </w:p>
    <w:p w14:paraId="660C2F0C">
      <w:pPr>
        <w:shd w:val="clear"/>
        <w:adjustRightIn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合同履行过程中发生的任何争议，双方当事人均可通过和解或者调解解决；不愿和解、调解或者和解、调解不成的，可以向宁波市奉化区人民法院提起诉讼。若一方存在违约或侵权行为，违约方应承担守约方因此发生的诉讼费、保全费、保全担保或保全保险费、调查取证费、评估鉴定费、律师费、执行费用等合理费用。</w:t>
      </w:r>
    </w:p>
    <w:p w14:paraId="24D65796">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23 合同中止、终止</w:t>
      </w:r>
    </w:p>
    <w:p w14:paraId="2303B894">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23.1 双方当事人不得擅自中止或者终止合同；</w:t>
      </w:r>
    </w:p>
    <w:p w14:paraId="50FF124C">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23.2合同继续履行将损害国家利益和社会公共利益的，双方当事人应当中止或者终止合同。有过错的一方应当承担赔偿责任，双方当事人都有过错的，各自承担相应的责任。</w:t>
      </w:r>
    </w:p>
    <w:p w14:paraId="7FEDFD5A">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24 通知和送达</w:t>
      </w:r>
    </w:p>
    <w:p w14:paraId="3569528C">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24.1任何一方因履行合同而以合同第一部分尾部所列明的传真或电子邮件 </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发出的所有通知、文件、材料，均视为已向对方当事人送达；任何一方变更上述送达方式或者地址的，应于</w:t>
      </w:r>
      <w:r>
        <w:rPr>
          <w:rFonts w:hint="eastAsia" w:cs="仿宋" w:asciiTheme="minorEastAsia" w:hAnsiTheme="minorEastAsia" w:eastAsiaTheme="minorEastAsia"/>
          <w:color w:val="auto"/>
          <w:sz w:val="24"/>
          <w:highlight w:val="none"/>
          <w:u w:val="single"/>
        </w:rPr>
        <w:t>3</w:t>
      </w:r>
      <w:r>
        <w:rPr>
          <w:rFonts w:hint="eastAsia" w:cs="仿宋" w:asciiTheme="minorEastAsia" w:hAnsiTheme="minorEastAsia" w:eastAsiaTheme="minorEastAsia"/>
          <w:color w:val="auto"/>
          <w:sz w:val="24"/>
          <w:highlight w:val="none"/>
        </w:rPr>
        <w:t>个工作日内书面通知对方当事人，在对方当事人收到有关变更通知之前，变更前的约定送达方式或者地址仍视为有效。</w:t>
      </w:r>
    </w:p>
    <w:p w14:paraId="2B4FC47F">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24.2以当面交付方式送达的，交付之时视为送达；以电子邮件方式送达的，发出电子邮件之时视为送达；以传真方式送达的，发出传真之时视为送达；以邮寄方式送达的，邮件挂号寄出或者交邮之日之次日视为送达。</w:t>
      </w:r>
    </w:p>
    <w:p w14:paraId="45148261">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25 计量单位</w:t>
      </w:r>
    </w:p>
    <w:p w14:paraId="131E5183">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除技术规范中另有规定外,合同的计量单位均使用国家法定计量单位。</w:t>
      </w:r>
    </w:p>
    <w:p w14:paraId="38F23105">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26合同使用的文字和适用的法律</w:t>
      </w:r>
    </w:p>
    <w:p w14:paraId="372F0FEA">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26.1 合同使用汉语书就、变更和解释；</w:t>
      </w:r>
    </w:p>
    <w:p w14:paraId="798346BB">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26.2 合同适用中华人民共和国法律。</w:t>
      </w:r>
    </w:p>
    <w:p w14:paraId="518EA67A">
      <w:pPr>
        <w:shd w:val="clear"/>
        <w:spacing w:line="360" w:lineRule="auto"/>
        <w:ind w:firstLine="482" w:firstLineChars="200"/>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27合同效力</w:t>
      </w:r>
    </w:p>
    <w:p w14:paraId="378F38A5">
      <w:pPr>
        <w:shd w:val="clea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本合同一式四份，甲乙双方各两份，每份均具有同等法律效力。本合同自双方当事人盖章或者签字时生效。</w:t>
      </w:r>
    </w:p>
    <w:p w14:paraId="32047332">
      <w:pPr>
        <w:shd w:val="clear"/>
        <w:autoSpaceDE w:val="0"/>
        <w:autoSpaceDN w:val="0"/>
        <w:spacing w:line="360" w:lineRule="auto"/>
        <w:rPr>
          <w:rFonts w:cs="仿宋" w:asciiTheme="minorEastAsia" w:hAnsiTheme="minorEastAsia" w:eastAsiaTheme="minorEastAsia"/>
          <w:color w:val="auto"/>
          <w:sz w:val="24"/>
          <w:highlight w:val="none"/>
          <w:lang w:val="zh-CN"/>
        </w:rPr>
      </w:pPr>
    </w:p>
    <w:p w14:paraId="26934355">
      <w:pPr>
        <w:shd w:val="clear"/>
        <w:autoSpaceDE w:val="0"/>
        <w:autoSpaceDN w:val="0"/>
        <w:spacing w:line="360" w:lineRule="auto"/>
        <w:rPr>
          <w:rFonts w:cs="仿宋" w:asciiTheme="minorEastAsia" w:hAnsiTheme="minorEastAsia" w:eastAsiaTheme="minorEastAsia"/>
          <w:b/>
          <w:color w:val="auto"/>
          <w:sz w:val="24"/>
          <w:highlight w:val="none"/>
          <w:lang w:val="zh-CN"/>
        </w:rPr>
      </w:pPr>
    </w:p>
    <w:p w14:paraId="74B99035">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b/>
          <w:color w:val="auto"/>
          <w:sz w:val="24"/>
          <w:highlight w:val="none"/>
          <w:lang w:val="zh-CN"/>
        </w:rPr>
        <w:t>甲方名称（公章）</w:t>
      </w:r>
      <w:r>
        <w:rPr>
          <w:rFonts w:hint="eastAsia" w:cs="仿宋" w:asciiTheme="minorEastAsia" w:hAnsiTheme="minorEastAsia" w:eastAsiaTheme="minorEastAsia"/>
          <w:color w:val="auto"/>
          <w:sz w:val="24"/>
          <w:highlight w:val="none"/>
          <w:lang w:val="zh-CN"/>
        </w:rPr>
        <w:t xml:space="preserve">：                       </w:t>
      </w:r>
      <w:r>
        <w:rPr>
          <w:rFonts w:hint="eastAsia" w:cs="仿宋" w:asciiTheme="minorEastAsia" w:hAnsiTheme="minorEastAsia" w:eastAsiaTheme="minorEastAsia"/>
          <w:b/>
          <w:color w:val="auto"/>
          <w:sz w:val="24"/>
          <w:highlight w:val="none"/>
          <w:lang w:val="zh-CN"/>
        </w:rPr>
        <w:t>乙方名称（公章）</w:t>
      </w:r>
      <w:r>
        <w:rPr>
          <w:rFonts w:hint="eastAsia" w:cs="仿宋" w:asciiTheme="minorEastAsia" w:hAnsiTheme="minorEastAsia" w:eastAsiaTheme="minorEastAsia"/>
          <w:color w:val="auto"/>
          <w:sz w:val="24"/>
          <w:highlight w:val="none"/>
          <w:lang w:val="zh-CN"/>
        </w:rPr>
        <w:t>：</w:t>
      </w:r>
    </w:p>
    <w:p w14:paraId="4FD624FF">
      <w:pPr>
        <w:shd w:val="clear"/>
        <w:autoSpaceDE w:val="0"/>
        <w:autoSpaceDN w:val="0"/>
        <w:spacing w:line="360" w:lineRule="auto"/>
        <w:rPr>
          <w:rFonts w:cs="仿宋" w:asciiTheme="minorEastAsia" w:hAnsiTheme="minorEastAsia" w:eastAsiaTheme="minorEastAsia"/>
          <w:color w:val="auto"/>
          <w:sz w:val="24"/>
          <w:highlight w:val="none"/>
          <w:lang w:val="zh-CN"/>
        </w:rPr>
      </w:pPr>
    </w:p>
    <w:p w14:paraId="31E0C402">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统一社会信用代码：                       统一社会信用代码或身份证号码：</w:t>
      </w:r>
    </w:p>
    <w:p w14:paraId="5A20595A">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住所：                                   住所：</w:t>
      </w:r>
    </w:p>
    <w:p w14:paraId="65237529">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 xml:space="preserve">法定代表人或授权代表（签字）：       </w:t>
      </w: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lang w:val="zh-CN"/>
        </w:rPr>
        <w:t xml:space="preserve"> 法定代表人或授权代表（签字）: </w:t>
      </w:r>
    </w:p>
    <w:p w14:paraId="3B78E686">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联系人：                                 联系人：</w:t>
      </w:r>
    </w:p>
    <w:p w14:paraId="797CCB34">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约定送达地址：                           约定送达地址：</w:t>
      </w:r>
    </w:p>
    <w:p w14:paraId="45B8CD5E">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邮政编码：                               邮政编码：</w:t>
      </w:r>
    </w:p>
    <w:p w14:paraId="5D228710">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 xml:space="preserve">电话:                                    电话: </w:t>
      </w:r>
    </w:p>
    <w:p w14:paraId="469DDCAC">
      <w:pPr>
        <w:shd w:val="clear"/>
        <w:autoSpaceDE w:val="0"/>
        <w:autoSpaceDN w:val="0"/>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zh-CN"/>
        </w:rPr>
        <w:t>传真:                                    传真:</w:t>
      </w:r>
    </w:p>
    <w:p w14:paraId="3DD961E7">
      <w:pPr>
        <w:pStyle w:val="25"/>
        <w:shd w:val="clear"/>
        <w:spacing w:line="360" w:lineRule="auto"/>
        <w:ind w:firstLine="480"/>
        <w:rPr>
          <w:rFonts w:cs="仿宋" w:asciiTheme="minorEastAsia" w:hAnsiTheme="minorEastAsia" w:eastAsiaTheme="minorEastAsia"/>
          <w:color w:val="auto"/>
          <w:sz w:val="24"/>
          <w:highlight w:val="none"/>
        </w:rPr>
      </w:pPr>
    </w:p>
    <w:p w14:paraId="7253F7D7">
      <w:pPr>
        <w:pStyle w:val="25"/>
        <w:shd w:val="clear"/>
        <w:spacing w:line="360" w:lineRule="auto"/>
        <w:ind w:firstLine="0" w:firstLineChars="0"/>
        <w:rPr>
          <w:rFonts w:cs="仿宋" w:asciiTheme="minorEastAsia" w:hAnsiTheme="minorEastAsia" w:eastAsiaTheme="minorEastAsia"/>
          <w:b/>
          <w:bCs/>
          <w:color w:val="auto"/>
          <w:sz w:val="24"/>
          <w:highlight w:val="none"/>
          <w:lang w:val="zh-CN"/>
        </w:rPr>
      </w:pPr>
      <w:r>
        <w:rPr>
          <w:rFonts w:hint="eastAsia" w:cs="仿宋" w:asciiTheme="minorEastAsia" w:hAnsiTheme="minorEastAsia" w:eastAsiaTheme="minorEastAsia"/>
          <w:b/>
          <w:bCs/>
          <w:color w:val="auto"/>
          <w:sz w:val="24"/>
          <w:highlight w:val="none"/>
        </w:rPr>
        <w:t>见证人：采购代理机构名称</w:t>
      </w:r>
    </w:p>
    <w:p w14:paraId="2A148FA5">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 xml:space="preserve">住所：                             </w:t>
      </w:r>
    </w:p>
    <w:p w14:paraId="485CF0FF">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 xml:space="preserve">法定代表人或授权代表（签字）：       </w:t>
      </w:r>
      <w:r>
        <w:rPr>
          <w:rFonts w:hint="eastAsia" w:cs="仿宋" w:asciiTheme="minorEastAsia" w:hAnsiTheme="minorEastAsia" w:eastAsiaTheme="minorEastAsia"/>
          <w:color w:val="auto"/>
          <w:sz w:val="24"/>
          <w:highlight w:val="none"/>
        </w:rPr>
        <w:t xml:space="preserve"> </w:t>
      </w:r>
    </w:p>
    <w:p w14:paraId="1E189F5A">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 xml:space="preserve">联系人：                                                                    </w:t>
      </w:r>
    </w:p>
    <w:p w14:paraId="1A4AF67E">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 xml:space="preserve">电话: </w:t>
      </w:r>
    </w:p>
    <w:p w14:paraId="018562BB">
      <w:pPr>
        <w:shd w:val="clear"/>
        <w:autoSpaceDE w:val="0"/>
        <w:autoSpaceDN w:val="0"/>
        <w:spacing w:line="360" w:lineRule="auto"/>
        <w:rPr>
          <w:rFonts w:cs="仿宋" w:asciiTheme="minorEastAsia" w:hAnsiTheme="minorEastAsia" w:eastAsiaTheme="minorEastAsia"/>
          <w:color w:val="auto"/>
          <w:sz w:val="24"/>
          <w:highlight w:val="none"/>
          <w:lang w:val="zh-CN"/>
        </w:rPr>
      </w:pPr>
    </w:p>
    <w:p w14:paraId="6ED2575C">
      <w:pPr>
        <w:shd w:val="clear"/>
        <w:autoSpaceDE w:val="0"/>
        <w:autoSpaceDN w:val="0"/>
        <w:spacing w:line="360" w:lineRule="auto"/>
        <w:rPr>
          <w:rFonts w:asciiTheme="minorEastAsia" w:hAnsiTheme="minorEastAsia" w:eastAsiaTheme="minorEastAsia"/>
          <w:color w:val="auto"/>
          <w:highlight w:val="none"/>
        </w:rPr>
      </w:pPr>
    </w:p>
    <w:p w14:paraId="3653E484">
      <w:pPr>
        <w:widowControl/>
        <w:shd w:val="clear"/>
        <w:jc w:val="left"/>
        <w:rPr>
          <w:rFonts w:cs="仿宋" w:asciiTheme="minorEastAsia" w:hAnsiTheme="minorEastAsia" w:eastAsiaTheme="minorEastAsia"/>
          <w:b/>
          <w:color w:val="auto"/>
          <w:sz w:val="24"/>
          <w:highlight w:val="none"/>
        </w:rPr>
      </w:pPr>
      <w:r>
        <w:rPr>
          <w:rFonts w:cs="仿宋" w:asciiTheme="minorEastAsia" w:hAnsiTheme="minorEastAsia" w:eastAsiaTheme="minorEastAsia"/>
          <w:b/>
          <w:color w:val="auto"/>
          <w:sz w:val="24"/>
          <w:highlight w:val="none"/>
        </w:rPr>
        <w:br w:type="page"/>
      </w:r>
    </w:p>
    <w:p w14:paraId="0749A71F">
      <w:pPr>
        <w:shd w:val="clear"/>
        <w:spacing w:line="360" w:lineRule="auto"/>
        <w:jc w:val="center"/>
        <w:rPr>
          <w:rFonts w:cs="仿宋" w:asciiTheme="majorEastAsia" w:hAnsiTheme="majorEastAsia" w:eastAsiaTheme="majorEastAsia"/>
          <w:b/>
          <w:color w:val="auto"/>
          <w:sz w:val="24"/>
          <w:highlight w:val="none"/>
        </w:rPr>
      </w:pPr>
    </w:p>
    <w:p w14:paraId="1536D909">
      <w:pPr>
        <w:shd w:val="clear"/>
        <w:spacing w:line="360" w:lineRule="auto"/>
        <w:ind w:left="720" w:firstLine="723" w:firstLineChars="200"/>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第六部分</w:t>
      </w:r>
      <w:bookmarkEnd w:id="392"/>
      <w:r>
        <w:rPr>
          <w:rFonts w:hint="eastAsia" w:cs="仿宋" w:asciiTheme="majorEastAsia" w:hAnsiTheme="majorEastAsia" w:eastAsiaTheme="majorEastAsia"/>
          <w:b/>
          <w:color w:val="auto"/>
          <w:sz w:val="36"/>
          <w:szCs w:val="20"/>
          <w:highlight w:val="none"/>
        </w:rPr>
        <w:t xml:space="preserve"> </w:t>
      </w:r>
      <w:bookmarkEnd w:id="393"/>
      <w:r>
        <w:rPr>
          <w:rFonts w:hint="eastAsia" w:cs="仿宋" w:asciiTheme="majorEastAsia" w:hAnsiTheme="majorEastAsia" w:eastAsiaTheme="majorEastAsia"/>
          <w:b/>
          <w:color w:val="auto"/>
          <w:sz w:val="36"/>
          <w:szCs w:val="20"/>
          <w:highlight w:val="none"/>
        </w:rPr>
        <w:t>应提交的有关格式范例</w:t>
      </w:r>
    </w:p>
    <w:p w14:paraId="44473CE5">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122556ED">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资格文件部分</w:t>
      </w:r>
    </w:p>
    <w:p w14:paraId="7269F389">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69C5F9DA">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07F6B8CF">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有效的企业法人营业执照（或事业法人登记证）、其他组织（个体工商户）的营业执照或者民办非企业单位登记证书；</w:t>
      </w:r>
    </w:p>
    <w:p w14:paraId="37EFB16F">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符合参加政府采购活动应当具备的一般条件的承诺函；</w:t>
      </w:r>
    </w:p>
    <w:p w14:paraId="20B680BF">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落实政府采购政策需满足的资格要求；</w:t>
      </w:r>
    </w:p>
    <w:p w14:paraId="733127D9">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本项目的特定资格要求。</w:t>
      </w:r>
    </w:p>
    <w:p w14:paraId="3F3A0CD5">
      <w:pPr>
        <w:pStyle w:val="25"/>
        <w:shd w:val="clear"/>
        <w:spacing w:line="360" w:lineRule="auto"/>
        <w:ind w:firstLine="480"/>
        <w:rPr>
          <w:rFonts w:cs="仿宋" w:asciiTheme="majorEastAsia" w:hAnsiTheme="majorEastAsia" w:eastAsiaTheme="majorEastAsia"/>
          <w:color w:val="auto"/>
          <w:sz w:val="24"/>
          <w:highlight w:val="none"/>
        </w:rPr>
      </w:pPr>
    </w:p>
    <w:p w14:paraId="2EE55515">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707F1207">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一、 符合参加政府采购活动应当具备的一般条件的承诺函</w:t>
      </w:r>
    </w:p>
    <w:p w14:paraId="74063171">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3544763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我方参与（项目名称）【项目编号：        】政府采购活动，郑重承诺：</w:t>
      </w:r>
    </w:p>
    <w:p w14:paraId="37C5452D">
      <w:pPr>
        <w:shd w:val="clear"/>
        <w:snapToGrid w:val="0"/>
        <w:spacing w:line="360" w:lineRule="auto"/>
        <w:ind w:firstLine="360" w:firstLineChars="15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（一）具备《中华人民共和国政府采购法》第二十二条第一款规定的条件：</w:t>
      </w:r>
    </w:p>
    <w:p w14:paraId="156F78E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1、具有独立承担民事责任的能力；</w:t>
      </w:r>
    </w:p>
    <w:p w14:paraId="08E1BC7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2、具有良好的商业信誉和健全的财务会计制度； </w:t>
      </w:r>
    </w:p>
    <w:p w14:paraId="4BCB85C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3、具有履行合同所必需的设备和专业技术能力；</w:t>
      </w:r>
    </w:p>
    <w:p w14:paraId="135A201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4、有依法缴纳税收和社会保障资金的良好记录；</w:t>
      </w:r>
    </w:p>
    <w:p w14:paraId="490375C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5、参加政府采购活动前三年内，在经营活动中没有重大违法记录；</w:t>
      </w:r>
    </w:p>
    <w:p w14:paraId="7E7B02E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6、具有法律、行政法规规定的其他条件。</w:t>
      </w:r>
    </w:p>
    <w:p w14:paraId="71A6FE9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（二）未被信用中国（www.creditchina.gov.cn)、中国政府采购网（www.ccgp.gov.cn）列入失信被执行人、重大税收违法失信主体、政府采购严重违法失信行为记录名单。</w:t>
      </w:r>
    </w:p>
    <w:p w14:paraId="35AD4B6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（三）不存在以下情况：</w:t>
      </w:r>
    </w:p>
    <w:p w14:paraId="00F9A5B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1CB2575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2、为采购项目提供整体设计、规范编制或者项目管理、监理、检测等服务后再参加该采购项目的其他采购活动的。</w:t>
      </w:r>
    </w:p>
    <w:p w14:paraId="5CD6C688">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3B5D9477">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18DB198E">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70520192">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6B1888A6">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42C87C59">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36017B14">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4F87A95D">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二、落实政府采购政策需满足的资格要求</w:t>
      </w:r>
    </w:p>
    <w:p w14:paraId="02BA79B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（根据招标公告落实政府采购政策需满足的资格要求选择提供相应的材料；未要求的，无需提供）</w:t>
      </w:r>
    </w:p>
    <w:p w14:paraId="0B2EBA89">
      <w:pPr>
        <w:shd w:val="clear"/>
        <w:snapToGrid w:val="0"/>
        <w:spacing w:before="50" w:after="50"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A</w:t>
      </w:r>
      <w:r>
        <w:rPr>
          <w:rFonts w:hint="eastAsia" w:cs="仿宋" w:asciiTheme="majorEastAsia" w:hAnsiTheme="majorEastAsia" w:eastAsiaTheme="maj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29CE8D57">
      <w:pPr>
        <w:widowControl/>
        <w:shd w:val="clear"/>
        <w:spacing w:line="360" w:lineRule="auto"/>
        <w:ind w:firstLine="480"/>
        <w:jc w:val="left"/>
        <w:rPr>
          <w:rFonts w:cs="仿宋" w:asciiTheme="majorEastAsia" w:hAnsiTheme="majorEastAsia" w:eastAsiaTheme="majorEastAsia"/>
          <w:color w:val="auto"/>
          <w:sz w:val="24"/>
          <w:highlight w:val="none"/>
        </w:rPr>
      </w:pPr>
    </w:p>
    <w:p w14:paraId="3A9352E9">
      <w:pPr>
        <w:widowControl/>
        <w:shd w:val="clear"/>
        <w:spacing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B.</w:t>
      </w:r>
      <w:r>
        <w:rPr>
          <w:rFonts w:hint="eastAsia" w:cs="仿宋" w:asciiTheme="majorEastAsia" w:hAnsiTheme="majorEastAsia" w:eastAsiaTheme="majorEastAsia"/>
          <w:color w:val="auto"/>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2FEC06B">
      <w:pPr>
        <w:pStyle w:val="25"/>
        <w:shd w:val="clear"/>
        <w:ind w:firstLine="588"/>
        <w:rPr>
          <w:color w:val="auto"/>
          <w:highlight w:val="none"/>
        </w:rPr>
      </w:pPr>
      <w:r>
        <w:rPr>
          <w:color w:val="auto"/>
          <w:highlight w:val="none"/>
        </w:rPr>
        <w:br w:type="page"/>
      </w:r>
    </w:p>
    <w:p w14:paraId="6BED9AAF">
      <w:pPr>
        <w:shd w:val="clear"/>
        <w:spacing w:line="360" w:lineRule="auto"/>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三、本项目的特定资格要求</w:t>
      </w:r>
    </w:p>
    <w:p w14:paraId="303B93EB">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（根据招标公告本项目的特定资格要求提供相应的材料；未要求的，无需提供）</w:t>
      </w:r>
    </w:p>
    <w:p w14:paraId="41B4D88D">
      <w:pPr>
        <w:shd w:val="clear"/>
        <w:spacing w:line="360" w:lineRule="auto"/>
        <w:rPr>
          <w:rFonts w:cs="仿宋" w:asciiTheme="majorEastAsia" w:hAnsiTheme="majorEastAsia" w:eastAsiaTheme="majorEastAsia"/>
          <w:color w:val="auto"/>
          <w:highlight w:val="none"/>
        </w:rPr>
      </w:pPr>
    </w:p>
    <w:p w14:paraId="410122A3">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228FCBA1">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3B7E1437">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34026A0A">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78A1E3ED">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1E077AEA">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411C0B87">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0DE57AB6">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02FFCE26">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1A8E4404">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41C35E8B">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02E9DA2A">
      <w:pPr>
        <w:shd w:val="clear"/>
        <w:spacing w:line="360" w:lineRule="auto"/>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br w:type="page"/>
      </w:r>
    </w:p>
    <w:p w14:paraId="2879E983">
      <w:pPr>
        <w:shd w:val="clear"/>
        <w:spacing w:line="360" w:lineRule="auto"/>
        <w:ind w:right="420"/>
        <w:jc w:val="center"/>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商务技术文件部分</w:t>
      </w:r>
    </w:p>
    <w:p w14:paraId="3372A299">
      <w:pPr>
        <w:shd w:val="clear"/>
        <w:spacing w:line="360" w:lineRule="auto"/>
        <w:jc w:val="center"/>
        <w:outlineLvl w:val="0"/>
        <w:rPr>
          <w:rFonts w:cs="仿宋" w:asciiTheme="majorEastAsia" w:hAnsiTheme="majorEastAsia" w:eastAsiaTheme="majorEastAsia"/>
          <w:b/>
          <w:color w:val="auto"/>
          <w:kern w:val="0"/>
          <w:sz w:val="24"/>
          <w:highlight w:val="none"/>
        </w:rPr>
      </w:pPr>
    </w:p>
    <w:p w14:paraId="64C12B6F">
      <w:pPr>
        <w:shd w:val="clear"/>
        <w:spacing w:line="360" w:lineRule="auto"/>
        <w:ind w:left="3990" w:leftChars="1900"/>
        <w:outlineLvl w:val="0"/>
        <w:rPr>
          <w:rFonts w:cs="仿宋" w:asciiTheme="majorEastAsia" w:hAnsiTheme="majorEastAsia" w:eastAsiaTheme="majorEastAsia"/>
          <w:b/>
          <w:color w:val="auto"/>
          <w:kern w:val="0"/>
          <w:sz w:val="28"/>
          <w:szCs w:val="28"/>
          <w:highlight w:val="none"/>
        </w:rPr>
      </w:pPr>
      <w:r>
        <w:rPr>
          <w:rFonts w:hint="eastAsia" w:cs="仿宋" w:asciiTheme="majorEastAsia" w:hAnsiTheme="majorEastAsia" w:eastAsiaTheme="majorEastAsia"/>
          <w:b/>
          <w:color w:val="auto"/>
          <w:kern w:val="0"/>
          <w:sz w:val="28"/>
          <w:szCs w:val="28"/>
          <w:highlight w:val="none"/>
        </w:rPr>
        <w:t>目 录</w:t>
      </w:r>
    </w:p>
    <w:p w14:paraId="22E971EE">
      <w:pPr>
        <w:shd w:val="clear"/>
        <w:snapToGrid w:val="0"/>
        <w:spacing w:line="360" w:lineRule="auto"/>
        <w:ind w:firstLine="960" w:firstLineChars="400"/>
        <w:rPr>
          <w:rFonts w:cs="仿宋" w:asciiTheme="majorEastAsia" w:hAnsiTheme="majorEastAsia" w:eastAsiaTheme="majorEastAsia"/>
          <w:color w:val="auto"/>
          <w:sz w:val="24"/>
          <w:highlight w:val="none"/>
        </w:rPr>
      </w:pPr>
    </w:p>
    <w:p w14:paraId="4A3FCF6D">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评分索引表</w:t>
      </w:r>
    </w:p>
    <w:p w14:paraId="328D3070">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符合性自查表；</w:t>
      </w:r>
    </w:p>
    <w:p w14:paraId="74961970">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投标函；</w:t>
      </w:r>
      <w:r>
        <w:rPr>
          <w:rFonts w:hint="eastAsia" w:cs="仿宋" w:asciiTheme="majorEastAsia" w:hAnsiTheme="majorEastAsia" w:eastAsiaTheme="majorEastAsia"/>
          <w:color w:val="auto"/>
          <w:sz w:val="28"/>
          <w:szCs w:val="28"/>
          <w:highlight w:val="none"/>
          <w:lang w:val="zh-CN"/>
        </w:rPr>
        <w:t xml:space="preserve"> </w:t>
      </w:r>
    </w:p>
    <w:p w14:paraId="11D62528">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授权委托书或法定代表人（单位负责人、自然人本人）身份证明；</w:t>
      </w:r>
    </w:p>
    <w:p w14:paraId="0EB226B7">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投标人基本情况表；</w:t>
      </w:r>
    </w:p>
    <w:p w14:paraId="766BE651">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距采购人最近或者能为本项目提供最优服务的网点情况表；</w:t>
      </w:r>
    </w:p>
    <w:p w14:paraId="54BE9FFA">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评标标准相应的商务技术资料；</w:t>
      </w:r>
    </w:p>
    <w:p w14:paraId="0DD45FB4">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8 商务响应表；</w:t>
      </w:r>
    </w:p>
    <w:p w14:paraId="6E831ECA">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9 服务响应表；</w:t>
      </w:r>
    </w:p>
    <w:p w14:paraId="54FB3CCB">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10 项目实施人员一览表；</w:t>
      </w:r>
    </w:p>
    <w:p w14:paraId="224F01D0">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11 同类业绩情况一览表；</w:t>
      </w:r>
    </w:p>
    <w:p w14:paraId="30155A3C">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lang w:val="zh-CN"/>
        </w:rPr>
      </w:pPr>
      <w:r>
        <w:rPr>
          <w:rFonts w:hint="eastAsia" w:cs="仿宋" w:asciiTheme="majorEastAsia" w:hAnsiTheme="majorEastAsia" w:eastAsiaTheme="majorEastAsia"/>
          <w:color w:val="auto"/>
          <w:sz w:val="28"/>
          <w:szCs w:val="28"/>
          <w:highlight w:val="none"/>
        </w:rPr>
        <w:t xml:space="preserve">12 </w:t>
      </w:r>
      <w:r>
        <w:rPr>
          <w:rFonts w:hint="eastAsia" w:cs="仿宋" w:asciiTheme="majorEastAsia" w:hAnsiTheme="majorEastAsia" w:eastAsiaTheme="majorEastAsia"/>
          <w:color w:val="auto"/>
          <w:sz w:val="28"/>
          <w:szCs w:val="28"/>
          <w:highlight w:val="none"/>
          <w:lang w:val="zh-CN"/>
        </w:rPr>
        <w:t>政府采购供应商廉洁自律承诺书；</w:t>
      </w:r>
    </w:p>
    <w:p w14:paraId="71D501F7">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13 其他资料。</w:t>
      </w:r>
    </w:p>
    <w:p w14:paraId="3041A444">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color w:val="auto"/>
          <w:kern w:val="0"/>
          <w:sz w:val="24"/>
          <w:highlight w:val="none"/>
        </w:rPr>
        <w:br w:type="page"/>
      </w:r>
      <w:r>
        <w:rPr>
          <w:rFonts w:hint="eastAsia" w:cs="仿宋" w:asciiTheme="majorEastAsia" w:hAnsiTheme="majorEastAsia" w:eastAsiaTheme="majorEastAsia"/>
          <w:b/>
          <w:color w:val="auto"/>
          <w:kern w:val="0"/>
          <w:sz w:val="32"/>
          <w:szCs w:val="32"/>
          <w:highlight w:val="none"/>
        </w:rPr>
        <w:t>一、评分索引表</w:t>
      </w:r>
    </w:p>
    <w:p w14:paraId="1D18C5AA">
      <w:pPr>
        <w:shd w:val="clear"/>
        <w:snapToGrid w:val="0"/>
        <w:spacing w:before="50" w:after="50"/>
        <w:rPr>
          <w:rFonts w:ascii="宋体" w:hAnsi="宋体"/>
          <w:b/>
          <w:color w:val="auto"/>
          <w:sz w:val="24"/>
          <w:highlight w:val="none"/>
        </w:rPr>
      </w:pPr>
    </w:p>
    <w:p w14:paraId="593C0BBA">
      <w:pPr>
        <w:shd w:val="clear"/>
        <w:snapToGrid w:val="0"/>
        <w:spacing w:before="50" w:after="50" w:line="360"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1A366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E9BE177">
            <w:pPr>
              <w:pStyle w:val="16"/>
              <w:shd w:val="clear"/>
              <w:spacing w:after="0"/>
              <w:ind w:left="0" w:leftChars="0" w:firstLine="0" w:firstLineChars="0"/>
              <w:jc w:val="center"/>
              <w:rPr>
                <w:rFonts w:ascii="宋体"/>
                <w:b/>
                <w:bCs/>
                <w:color w:val="auto"/>
                <w:sz w:val="24"/>
                <w:szCs w:val="24"/>
                <w:highlight w:val="none"/>
              </w:rPr>
            </w:pPr>
            <w:r>
              <w:rPr>
                <w:rFonts w:hint="eastAsia" w:ascii="宋体"/>
                <w:b/>
                <w:bCs/>
                <w:color w:val="auto"/>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6C489112">
            <w:pPr>
              <w:pStyle w:val="16"/>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37AED5BB">
            <w:pPr>
              <w:pStyle w:val="16"/>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页码</w:t>
            </w:r>
          </w:p>
        </w:tc>
      </w:tr>
      <w:tr w14:paraId="4A4A1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2A8E16C">
            <w:pPr>
              <w:widowControl/>
              <w:shd w:val="clear"/>
              <w:jc w:val="center"/>
              <w:rPr>
                <w:rFonts w:ascii="宋体" w:hAnsi="宋体"/>
                <w:color w:val="auto"/>
                <w:sz w:val="24"/>
                <w:highlight w:val="none"/>
              </w:rPr>
            </w:pPr>
            <w:r>
              <w:rPr>
                <w:rFonts w:hint="eastAsia" w:ascii="宋体" w:hAnsi="宋体"/>
                <w:color w:val="auto"/>
                <w:sz w:val="24"/>
                <w:highlight w:val="none"/>
              </w:rPr>
              <w:t>1</w:t>
            </w:r>
          </w:p>
        </w:tc>
        <w:tc>
          <w:tcPr>
            <w:tcW w:w="5819" w:type="dxa"/>
            <w:tcBorders>
              <w:top w:val="single" w:color="auto" w:sz="4" w:space="0"/>
              <w:left w:val="single" w:color="auto" w:sz="4" w:space="0"/>
              <w:right w:val="single" w:color="auto" w:sz="4" w:space="0"/>
            </w:tcBorders>
            <w:vAlign w:val="center"/>
          </w:tcPr>
          <w:p w14:paraId="6624DB9C">
            <w:pPr>
              <w:shd w:val="clear"/>
              <w:jc w:val="center"/>
              <w:rPr>
                <w:rFonts w:ascii="宋体" w:hAnsi="宋体"/>
                <w:color w:val="auto"/>
                <w:sz w:val="24"/>
                <w:highlight w:val="none"/>
              </w:rPr>
            </w:pPr>
            <w:r>
              <w:rPr>
                <w:rFonts w:hint="eastAsia" w:ascii="宋体" w:hAnsi="宋体"/>
                <w:color w:val="auto"/>
                <w:sz w:val="24"/>
                <w:highlight w:val="none"/>
              </w:rPr>
              <w:t>（报价除外）</w:t>
            </w:r>
          </w:p>
        </w:tc>
        <w:tc>
          <w:tcPr>
            <w:tcW w:w="1627" w:type="dxa"/>
            <w:tcBorders>
              <w:top w:val="single" w:color="auto" w:sz="4" w:space="0"/>
              <w:left w:val="single" w:color="auto" w:sz="4" w:space="0"/>
              <w:right w:val="single" w:color="auto" w:sz="4" w:space="0"/>
            </w:tcBorders>
            <w:vAlign w:val="center"/>
          </w:tcPr>
          <w:p w14:paraId="15BD180A">
            <w:pPr>
              <w:shd w:val="clear"/>
              <w:jc w:val="center"/>
              <w:rPr>
                <w:rFonts w:ascii="宋体" w:hAnsi="宋体"/>
                <w:bCs/>
                <w:color w:val="auto"/>
                <w:sz w:val="24"/>
                <w:highlight w:val="none"/>
              </w:rPr>
            </w:pPr>
          </w:p>
        </w:tc>
      </w:tr>
      <w:tr w14:paraId="65835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321912B">
            <w:pPr>
              <w:widowControl/>
              <w:shd w:val="clear"/>
              <w:jc w:val="center"/>
              <w:rPr>
                <w:rFonts w:ascii="宋体" w:hAnsi="宋体"/>
                <w:color w:val="auto"/>
                <w:sz w:val="24"/>
                <w:highlight w:val="none"/>
              </w:rPr>
            </w:pPr>
            <w:r>
              <w:rPr>
                <w:rFonts w:hint="eastAsia" w:ascii="宋体" w:hAnsi="宋体"/>
                <w:color w:val="auto"/>
                <w:sz w:val="24"/>
                <w:highlight w:val="none"/>
              </w:rPr>
              <w:t>2</w:t>
            </w:r>
          </w:p>
        </w:tc>
        <w:tc>
          <w:tcPr>
            <w:tcW w:w="5819" w:type="dxa"/>
            <w:tcBorders>
              <w:top w:val="single" w:color="auto" w:sz="4" w:space="0"/>
              <w:left w:val="single" w:color="auto" w:sz="4" w:space="0"/>
              <w:right w:val="single" w:color="auto" w:sz="4" w:space="0"/>
            </w:tcBorders>
            <w:vAlign w:val="center"/>
          </w:tcPr>
          <w:p w14:paraId="17404D89">
            <w:pPr>
              <w:widowControl/>
              <w:shd w:val="clear"/>
              <w:jc w:val="center"/>
              <w:rPr>
                <w:rFonts w:ascii="宋体" w:hAnsi="宋体" w:cs="宋体"/>
                <w:color w:val="auto"/>
                <w:kern w:val="0"/>
                <w:sz w:val="24"/>
                <w:highlight w:val="none"/>
              </w:rPr>
            </w:pPr>
          </w:p>
        </w:tc>
        <w:tc>
          <w:tcPr>
            <w:tcW w:w="1627" w:type="dxa"/>
            <w:tcBorders>
              <w:top w:val="single" w:color="auto" w:sz="4" w:space="0"/>
              <w:left w:val="single" w:color="auto" w:sz="4" w:space="0"/>
              <w:right w:val="single" w:color="auto" w:sz="4" w:space="0"/>
            </w:tcBorders>
            <w:vAlign w:val="center"/>
          </w:tcPr>
          <w:p w14:paraId="274575A5">
            <w:pPr>
              <w:shd w:val="clear"/>
              <w:jc w:val="center"/>
              <w:rPr>
                <w:rFonts w:ascii="宋体" w:hAnsi="宋体"/>
                <w:bCs/>
                <w:color w:val="auto"/>
                <w:sz w:val="24"/>
                <w:highlight w:val="none"/>
              </w:rPr>
            </w:pPr>
          </w:p>
        </w:tc>
      </w:tr>
      <w:tr w14:paraId="4AB71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45926148">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2859762D">
            <w:pPr>
              <w:shd w:val="clear"/>
              <w:ind w:left="55" w:leftChars="26"/>
              <w:rPr>
                <w:rFonts w:ascii="宋体" w:hAnsi="宋体" w:cs="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00507C04">
            <w:pPr>
              <w:shd w:val="clear"/>
              <w:jc w:val="center"/>
              <w:rPr>
                <w:rFonts w:ascii="宋体" w:hAnsi="宋体"/>
                <w:bCs/>
                <w:color w:val="auto"/>
                <w:sz w:val="24"/>
                <w:highlight w:val="none"/>
              </w:rPr>
            </w:pPr>
          </w:p>
        </w:tc>
      </w:tr>
      <w:tr w14:paraId="06887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263D37F">
            <w:pPr>
              <w:widowControl/>
              <w:shd w:val="clear"/>
              <w:rPr>
                <w:rFonts w:ascii="宋体" w:hAnsi="宋体"/>
                <w:b/>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4494A6E">
            <w:pPr>
              <w:pStyle w:val="16"/>
              <w:shd w:val="clear"/>
              <w:ind w:firstLine="422"/>
              <w:rPr>
                <w:rFonts w:ascii="宋体"/>
                <w:b/>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1A3E6F44">
            <w:pPr>
              <w:pStyle w:val="16"/>
              <w:shd w:val="clear"/>
              <w:ind w:firstLine="422"/>
              <w:jc w:val="center"/>
              <w:rPr>
                <w:rFonts w:ascii="宋体"/>
                <w:b/>
                <w:color w:val="auto"/>
                <w:highlight w:val="none"/>
              </w:rPr>
            </w:pPr>
          </w:p>
        </w:tc>
      </w:tr>
      <w:tr w14:paraId="23824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1C7FDAC">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FCCF89B">
            <w:pPr>
              <w:shd w:val="clear"/>
              <w:spacing w:line="320" w:lineRule="exact"/>
              <w:rPr>
                <w:rFonts w:ascii="宋体" w:hAnsi="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93C94EA">
            <w:pPr>
              <w:shd w:val="clear"/>
              <w:jc w:val="center"/>
              <w:rPr>
                <w:rFonts w:ascii="宋体" w:hAnsi="宋体"/>
                <w:bCs/>
                <w:color w:val="auto"/>
                <w:sz w:val="24"/>
                <w:highlight w:val="none"/>
              </w:rPr>
            </w:pPr>
          </w:p>
        </w:tc>
      </w:tr>
      <w:tr w14:paraId="55873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332D4BF">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4366C13">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684B3CF">
            <w:pPr>
              <w:pStyle w:val="16"/>
              <w:shd w:val="clear"/>
              <w:ind w:firstLine="420"/>
              <w:jc w:val="center"/>
              <w:rPr>
                <w:rFonts w:ascii="宋体"/>
                <w:color w:val="auto"/>
                <w:highlight w:val="none"/>
              </w:rPr>
            </w:pPr>
          </w:p>
        </w:tc>
      </w:tr>
      <w:tr w14:paraId="0229B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91F0C21">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45FDB7A2">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38322B5A">
            <w:pPr>
              <w:pStyle w:val="16"/>
              <w:shd w:val="clear"/>
              <w:ind w:firstLine="420"/>
              <w:jc w:val="center"/>
              <w:rPr>
                <w:rFonts w:ascii="宋体"/>
                <w:color w:val="auto"/>
                <w:highlight w:val="none"/>
              </w:rPr>
            </w:pPr>
          </w:p>
        </w:tc>
      </w:tr>
      <w:tr w14:paraId="34097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1B89CF6A">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4DEA7E05">
            <w:pPr>
              <w:pStyle w:val="16"/>
              <w:shd w:val="clear"/>
              <w:ind w:firstLine="420"/>
              <w:rPr>
                <w:rFonts w:ascii="宋体"/>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BF77640">
            <w:pPr>
              <w:widowControl/>
              <w:shd w:val="clear"/>
              <w:jc w:val="center"/>
              <w:rPr>
                <w:rFonts w:ascii="宋体" w:hAnsi="宋体"/>
                <w:b/>
                <w:color w:val="auto"/>
                <w:sz w:val="24"/>
                <w:highlight w:val="none"/>
              </w:rPr>
            </w:pPr>
          </w:p>
        </w:tc>
      </w:tr>
      <w:tr w14:paraId="292C6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08454FEA">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B2096C6">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D2F345A">
            <w:pPr>
              <w:shd w:val="clear"/>
              <w:jc w:val="center"/>
              <w:rPr>
                <w:rFonts w:ascii="宋体" w:hAnsi="宋体"/>
                <w:bCs/>
                <w:color w:val="auto"/>
                <w:sz w:val="24"/>
                <w:highlight w:val="none"/>
              </w:rPr>
            </w:pPr>
          </w:p>
        </w:tc>
      </w:tr>
      <w:tr w14:paraId="085D6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3993C8E">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48635410">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D7A2EEB">
            <w:pPr>
              <w:shd w:val="clear"/>
              <w:jc w:val="center"/>
              <w:rPr>
                <w:rFonts w:ascii="宋体" w:hAnsi="宋体"/>
                <w:bCs/>
                <w:color w:val="auto"/>
                <w:sz w:val="24"/>
                <w:highlight w:val="none"/>
              </w:rPr>
            </w:pPr>
          </w:p>
        </w:tc>
      </w:tr>
      <w:tr w14:paraId="7C8A7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2626CBF">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39EDEB3">
            <w:pPr>
              <w:shd w:val="clear"/>
              <w:rPr>
                <w:rFonts w:ascii="宋体" w:hAnsi="宋体"/>
                <w:bCs/>
                <w:color w:val="auto"/>
                <w:sz w:val="24"/>
                <w:highlight w:val="none"/>
              </w:rPr>
            </w:pPr>
          </w:p>
        </w:tc>
        <w:tc>
          <w:tcPr>
            <w:tcW w:w="1627" w:type="dxa"/>
            <w:tcBorders>
              <w:top w:val="single" w:color="auto" w:sz="4" w:space="0"/>
              <w:left w:val="single" w:color="auto" w:sz="4" w:space="0"/>
              <w:right w:val="single" w:color="auto" w:sz="4" w:space="0"/>
            </w:tcBorders>
            <w:vAlign w:val="center"/>
          </w:tcPr>
          <w:p w14:paraId="736FE753">
            <w:pPr>
              <w:shd w:val="clear"/>
              <w:jc w:val="center"/>
              <w:rPr>
                <w:rFonts w:ascii="宋体" w:hAnsi="宋体"/>
                <w:bCs/>
                <w:color w:val="auto"/>
                <w:sz w:val="24"/>
                <w:highlight w:val="none"/>
              </w:rPr>
            </w:pPr>
          </w:p>
        </w:tc>
      </w:tr>
    </w:tbl>
    <w:p w14:paraId="76250874">
      <w:pPr>
        <w:shd w:val="clear"/>
        <w:snapToGrid w:val="0"/>
        <w:spacing w:line="360" w:lineRule="auto"/>
        <w:outlineLvl w:val="0"/>
        <w:rPr>
          <w:rFonts w:cs="仿宋" w:asciiTheme="majorEastAsia" w:hAnsiTheme="majorEastAsia" w:eastAsiaTheme="majorEastAsia"/>
          <w:b/>
          <w:color w:val="auto"/>
          <w:kern w:val="0"/>
          <w:sz w:val="32"/>
          <w:szCs w:val="32"/>
          <w:highlight w:val="none"/>
        </w:rPr>
      </w:pPr>
      <w:r>
        <w:rPr>
          <w:rFonts w:cs="仿宋" w:asciiTheme="majorEastAsia" w:hAnsiTheme="majorEastAsia" w:eastAsiaTheme="majorEastAsia"/>
          <w:b/>
          <w:color w:val="auto"/>
          <w:kern w:val="0"/>
          <w:sz w:val="32"/>
          <w:szCs w:val="32"/>
          <w:highlight w:val="none"/>
        </w:rPr>
        <w:br w:type="page"/>
      </w:r>
    </w:p>
    <w:p w14:paraId="3D8D7F07">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二、符合性自查表</w:t>
      </w:r>
    </w:p>
    <w:tbl>
      <w:tblPr>
        <w:tblStyle w:val="19"/>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501C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6E71F769">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4103" w:type="dxa"/>
            <w:vAlign w:val="center"/>
          </w:tcPr>
          <w:p w14:paraId="2C528F06">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实质性要求</w:t>
            </w:r>
          </w:p>
        </w:tc>
        <w:tc>
          <w:tcPr>
            <w:tcW w:w="2518" w:type="dxa"/>
            <w:vAlign w:val="center"/>
          </w:tcPr>
          <w:p w14:paraId="102F674F">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需要提供的符合性审查资料</w:t>
            </w:r>
          </w:p>
        </w:tc>
        <w:tc>
          <w:tcPr>
            <w:tcW w:w="1185" w:type="dxa"/>
            <w:vAlign w:val="center"/>
          </w:tcPr>
          <w:p w14:paraId="170A6AE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自查结论</w:t>
            </w:r>
          </w:p>
        </w:tc>
        <w:tc>
          <w:tcPr>
            <w:tcW w:w="1785" w:type="dxa"/>
            <w:vAlign w:val="center"/>
          </w:tcPr>
          <w:p w14:paraId="4839DE45">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投标文件中的</w:t>
            </w:r>
          </w:p>
          <w:p w14:paraId="65C82CDD">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页码位置</w:t>
            </w:r>
          </w:p>
        </w:tc>
      </w:tr>
      <w:tr w14:paraId="2BEF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501E4651">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4103" w:type="dxa"/>
            <w:vAlign w:val="center"/>
          </w:tcPr>
          <w:p w14:paraId="071DACE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投标文件按照招标文件要求签署、盖章。</w:t>
            </w:r>
          </w:p>
        </w:tc>
        <w:tc>
          <w:tcPr>
            <w:tcW w:w="2518" w:type="dxa"/>
            <w:vAlign w:val="center"/>
          </w:tcPr>
          <w:p w14:paraId="1E24B78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需要使用电子签名或者签字盖章的投标文件的组成部分</w:t>
            </w:r>
          </w:p>
        </w:tc>
        <w:tc>
          <w:tcPr>
            <w:tcW w:w="1185" w:type="dxa"/>
            <w:vAlign w:val="center"/>
          </w:tcPr>
          <w:p w14:paraId="4921E4F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423F58EC">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4A9AF32F">
            <w:pPr>
              <w:shd w:val="clear"/>
              <w:spacing w:line="360" w:lineRule="auto"/>
              <w:rPr>
                <w:rFonts w:cs="仿宋" w:asciiTheme="majorEastAsia" w:hAnsiTheme="majorEastAsia" w:eastAsiaTheme="majorEastAsia"/>
                <w:color w:val="auto"/>
                <w:sz w:val="24"/>
                <w:highlight w:val="none"/>
              </w:rPr>
            </w:pPr>
          </w:p>
          <w:p w14:paraId="51EF4B0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w:t>
            </w:r>
          </w:p>
          <w:p w14:paraId="15522DFD">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0579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5088F4B8">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4103" w:type="dxa"/>
            <w:vAlign w:val="center"/>
          </w:tcPr>
          <w:p w14:paraId="401B1E2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投标文件中承诺的投标有效期不少于招标文件中载明的投标有效期。</w:t>
            </w:r>
          </w:p>
        </w:tc>
        <w:tc>
          <w:tcPr>
            <w:tcW w:w="2518" w:type="dxa"/>
            <w:vAlign w:val="center"/>
          </w:tcPr>
          <w:p w14:paraId="3ADBC0A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投标函</w:t>
            </w:r>
          </w:p>
        </w:tc>
        <w:tc>
          <w:tcPr>
            <w:tcW w:w="1185" w:type="dxa"/>
            <w:vAlign w:val="center"/>
          </w:tcPr>
          <w:p w14:paraId="643CDA7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001DBD3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0F84F8EF">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08BB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703B5400">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4103" w:type="dxa"/>
            <w:vAlign w:val="center"/>
          </w:tcPr>
          <w:p w14:paraId="6796A56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投标文件满足招标文件的其它实质性要求。</w:t>
            </w:r>
          </w:p>
        </w:tc>
        <w:tc>
          <w:tcPr>
            <w:tcW w:w="2518" w:type="dxa"/>
            <w:vAlign w:val="center"/>
          </w:tcPr>
          <w:p w14:paraId="7E13106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1185" w:type="dxa"/>
            <w:vAlign w:val="center"/>
          </w:tcPr>
          <w:p w14:paraId="097EB24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5B2A5780">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730A149C">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27D2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1630AC05">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4103" w:type="dxa"/>
            <w:vAlign w:val="center"/>
          </w:tcPr>
          <w:p w14:paraId="187A3573">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投标文件没有招标文件中规定的其它无效投标条款的。</w:t>
            </w:r>
          </w:p>
        </w:tc>
        <w:tc>
          <w:tcPr>
            <w:tcW w:w="2518" w:type="dxa"/>
            <w:vAlign w:val="center"/>
          </w:tcPr>
          <w:p w14:paraId="5A8AA477">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6B24C2C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1B15FFA1">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1BF09D5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1780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13D0C9A2">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4103" w:type="dxa"/>
            <w:vAlign w:val="center"/>
          </w:tcPr>
          <w:p w14:paraId="76150465">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按有关法律、法规、规章不属于投标无效的。</w:t>
            </w:r>
          </w:p>
        </w:tc>
        <w:tc>
          <w:tcPr>
            <w:tcW w:w="2518" w:type="dxa"/>
            <w:vAlign w:val="center"/>
          </w:tcPr>
          <w:p w14:paraId="494086EE">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138A41D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68957211">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0EADB6E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7A11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6720AAC9">
            <w:pPr>
              <w:shd w:val="clear"/>
              <w:spacing w:line="360" w:lineRule="auto"/>
              <w:jc w:val="center"/>
              <w:rPr>
                <w:rFonts w:cs="仿宋" w:asciiTheme="majorEastAsia" w:hAnsiTheme="majorEastAsia" w:eastAsiaTheme="majorEastAsia"/>
                <w:color w:val="auto"/>
                <w:sz w:val="24"/>
                <w:highlight w:val="none"/>
              </w:rPr>
            </w:pPr>
          </w:p>
        </w:tc>
        <w:tc>
          <w:tcPr>
            <w:tcW w:w="4103" w:type="dxa"/>
            <w:vAlign w:val="center"/>
          </w:tcPr>
          <w:p w14:paraId="5461B0A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tc>
        <w:tc>
          <w:tcPr>
            <w:tcW w:w="2518" w:type="dxa"/>
            <w:vAlign w:val="center"/>
          </w:tcPr>
          <w:p w14:paraId="24D24F09">
            <w:pPr>
              <w:shd w:val="clear"/>
              <w:spacing w:line="360" w:lineRule="auto"/>
              <w:rPr>
                <w:rFonts w:cs="仿宋" w:asciiTheme="majorEastAsia" w:hAnsiTheme="majorEastAsia" w:eastAsiaTheme="majorEastAsia"/>
                <w:color w:val="auto"/>
                <w:kern w:val="0"/>
                <w:sz w:val="24"/>
                <w:highlight w:val="none"/>
              </w:rPr>
            </w:pPr>
          </w:p>
        </w:tc>
        <w:tc>
          <w:tcPr>
            <w:tcW w:w="1185" w:type="dxa"/>
          </w:tcPr>
          <w:p w14:paraId="54586659">
            <w:pPr>
              <w:shd w:val="clear"/>
              <w:spacing w:line="360" w:lineRule="auto"/>
              <w:rPr>
                <w:rFonts w:cs="仿宋" w:asciiTheme="majorEastAsia" w:hAnsiTheme="majorEastAsia" w:eastAsiaTheme="majorEastAsia"/>
                <w:color w:val="auto"/>
                <w:sz w:val="24"/>
                <w:highlight w:val="none"/>
              </w:rPr>
            </w:pPr>
          </w:p>
        </w:tc>
        <w:tc>
          <w:tcPr>
            <w:tcW w:w="1785" w:type="dxa"/>
            <w:vAlign w:val="center"/>
          </w:tcPr>
          <w:p w14:paraId="039F1137">
            <w:pPr>
              <w:shd w:val="clear"/>
              <w:spacing w:line="360" w:lineRule="auto"/>
              <w:rPr>
                <w:rFonts w:cs="仿宋" w:asciiTheme="majorEastAsia" w:hAnsiTheme="majorEastAsia" w:eastAsiaTheme="majorEastAsia"/>
                <w:color w:val="auto"/>
                <w:sz w:val="24"/>
                <w:highlight w:val="none"/>
              </w:rPr>
            </w:pPr>
          </w:p>
        </w:tc>
      </w:tr>
    </w:tbl>
    <w:p w14:paraId="77FA044A">
      <w:pPr>
        <w:shd w:val="clear"/>
        <w:snapToGrid w:val="0"/>
        <w:spacing w:line="360" w:lineRule="auto"/>
        <w:jc w:val="left"/>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2FB0BC23">
      <w:p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三、投标</w:t>
      </w:r>
      <w:r>
        <w:rPr>
          <w:rFonts w:hint="eastAsia" w:cs="仿宋" w:asciiTheme="majorEastAsia" w:hAnsiTheme="majorEastAsia" w:eastAsiaTheme="majorEastAsia"/>
          <w:b/>
          <w:color w:val="auto"/>
          <w:sz w:val="32"/>
          <w:szCs w:val="32"/>
          <w:highlight w:val="none"/>
        </w:rPr>
        <w:t>函</w:t>
      </w:r>
    </w:p>
    <w:p w14:paraId="697939EB">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58004FA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我方参加你方组织的（项目名称）【项目编号：        】招标的有关活动，并对此项目进行投标。为此：</w:t>
      </w:r>
    </w:p>
    <w:p w14:paraId="272B938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1、我方承诺投标有效期从提交投标文件的截止之日起</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天（不少于90天）</w:t>
      </w:r>
      <w:r>
        <w:rPr>
          <w:rFonts w:hint="eastAsia" w:cs="仿宋" w:asciiTheme="majorEastAsia" w:hAnsiTheme="majorEastAsia" w:eastAsiaTheme="majorEastAsia"/>
          <w:color w:val="auto"/>
          <w:highlight w:val="none"/>
        </w:rPr>
        <w:t>，</w:t>
      </w:r>
      <w:r>
        <w:rPr>
          <w:rFonts w:hint="eastAsia" w:cs="仿宋" w:asciiTheme="majorEastAsia" w:hAnsiTheme="majorEastAsia" w:eastAsiaTheme="majorEastAsia"/>
          <w:color w:val="auto"/>
          <w:sz w:val="24"/>
          <w:highlight w:val="none"/>
        </w:rPr>
        <w:t>本投标文件在投标有效期满之前均具有约束力。</w:t>
      </w:r>
    </w:p>
    <w:p w14:paraId="3207D92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2、我方的投标文件包括以下内容：</w:t>
      </w:r>
    </w:p>
    <w:p w14:paraId="7D162332">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2.1资格文件：</w:t>
      </w:r>
    </w:p>
    <w:p w14:paraId="7789A1A9">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2.1.1有效的企业法人营业执照（或事业法人登记证）、其他组织（个体工商户）的营业执照或者民办非企业单位登记证书；</w:t>
      </w:r>
    </w:p>
    <w:p w14:paraId="6635F8BE">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2.1.2符合参加政府采购活动应当具备的一般条件的承诺函；</w:t>
      </w:r>
    </w:p>
    <w:p w14:paraId="7DD9CA36">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2.1.3落实政府采购政策需满足的资格要求（如果有）；</w:t>
      </w:r>
    </w:p>
    <w:p w14:paraId="781F81A1">
      <w:pPr>
        <w:shd w:val="clear"/>
        <w:snapToGrid w:val="0"/>
        <w:spacing w:line="360" w:lineRule="auto"/>
        <w:ind w:firstLine="960" w:firstLineChars="4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2.1.4本项目的特定资格要求（如果有）。</w:t>
      </w:r>
    </w:p>
    <w:p w14:paraId="1D626451">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color w:val="auto"/>
          <w:sz w:val="24"/>
          <w:highlight w:val="none"/>
        </w:rPr>
        <w:t>商务技术</w:t>
      </w:r>
      <w:r>
        <w:rPr>
          <w:rFonts w:hint="eastAsia" w:cs="仿宋" w:asciiTheme="majorEastAsia" w:hAnsiTheme="majorEastAsia" w:eastAsiaTheme="majorEastAsia"/>
          <w:color w:val="auto"/>
          <w:sz w:val="24"/>
          <w:highlight w:val="none"/>
          <w:lang w:val="zh-CN"/>
        </w:rPr>
        <w:t>文件：</w:t>
      </w:r>
    </w:p>
    <w:p w14:paraId="09D6F2A9">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2.2.1评分索引表</w:t>
      </w:r>
    </w:p>
    <w:p w14:paraId="1D27930B">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2.2.2 符合性自查表；</w:t>
      </w:r>
    </w:p>
    <w:p w14:paraId="67D92905">
      <w:pPr>
        <w:shd w:val="clear"/>
        <w:snapToGrid w:val="0"/>
        <w:spacing w:line="360" w:lineRule="auto"/>
        <w:ind w:left="420" w:leftChars="200" w:firstLine="480" w:firstLineChars="200"/>
        <w:rPr>
          <w:rFonts w:cs="仿宋" w:asciiTheme="majorEastAsia" w:hAnsiTheme="majorEastAsia" w:eastAsiaTheme="majorEastAsia"/>
          <w:color w:val="auto"/>
          <w:highlight w:val="none"/>
          <w:lang w:val="zh-CN"/>
        </w:rPr>
      </w:pPr>
      <w:r>
        <w:rPr>
          <w:rFonts w:hint="eastAsia" w:cs="仿宋" w:asciiTheme="majorEastAsia" w:hAnsiTheme="majorEastAsia" w:eastAsiaTheme="majorEastAsia"/>
          <w:color w:val="auto"/>
          <w:sz w:val="24"/>
          <w:highlight w:val="none"/>
        </w:rPr>
        <w:t>2.2.3 投标函；</w:t>
      </w:r>
      <w:r>
        <w:rPr>
          <w:rFonts w:hint="eastAsia" w:cs="仿宋" w:asciiTheme="majorEastAsia" w:hAnsiTheme="majorEastAsia" w:eastAsiaTheme="majorEastAsia"/>
          <w:color w:val="auto"/>
          <w:sz w:val="24"/>
          <w:highlight w:val="none"/>
          <w:lang w:val="zh-CN"/>
        </w:rPr>
        <w:t xml:space="preserve"> </w:t>
      </w:r>
    </w:p>
    <w:p w14:paraId="2D03B188">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2.2.4 授权委托书或法定代表人（单位负责人、自然人本人）身份证明；</w:t>
      </w:r>
    </w:p>
    <w:p w14:paraId="2A044628">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2.2.5 投标人基本情况表；</w:t>
      </w:r>
    </w:p>
    <w:p w14:paraId="58BF53D6">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2.2.6 距采购人最近或者能为本项目提供最优服务的网点情况表；</w:t>
      </w:r>
    </w:p>
    <w:p w14:paraId="19E2D2C2">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2.2.7 评标标准相应的商务技术资料；</w:t>
      </w:r>
    </w:p>
    <w:p w14:paraId="7BC4D79F">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8 商务响应表；</w:t>
      </w:r>
    </w:p>
    <w:p w14:paraId="6DE8C145">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9 服务响应表；</w:t>
      </w:r>
    </w:p>
    <w:p w14:paraId="26DCF0FE">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2.2.10项目实施人员一览表；</w:t>
      </w:r>
    </w:p>
    <w:p w14:paraId="3BC9F366">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11 同类业绩情况一览表；</w:t>
      </w:r>
    </w:p>
    <w:p w14:paraId="25C45118">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 xml:space="preserve">2.2.12 </w:t>
      </w:r>
      <w:r>
        <w:rPr>
          <w:rFonts w:hint="eastAsia" w:cs="仿宋" w:asciiTheme="majorEastAsia" w:hAnsiTheme="majorEastAsia" w:eastAsiaTheme="majorEastAsia"/>
          <w:color w:val="auto"/>
          <w:sz w:val="24"/>
          <w:highlight w:val="none"/>
          <w:lang w:val="zh-CN"/>
        </w:rPr>
        <w:t>政府采购供应商廉洁自律承诺书；</w:t>
      </w:r>
    </w:p>
    <w:p w14:paraId="2914AE77">
      <w:pPr>
        <w:shd w:val="clear"/>
        <w:snapToGrid w:val="0"/>
        <w:spacing w:line="360" w:lineRule="auto"/>
        <w:ind w:left="420" w:leftChars="200" w:firstLine="480" w:firstLineChars="2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2.2.13 其他资料。</w:t>
      </w:r>
    </w:p>
    <w:p w14:paraId="3820F19A">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3报价文件</w:t>
      </w:r>
    </w:p>
    <w:p w14:paraId="4D025EA0">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2.3.1 开标一览表；</w:t>
      </w:r>
    </w:p>
    <w:p w14:paraId="60B7C226">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2.3.2投标报价明细表；</w:t>
      </w:r>
    </w:p>
    <w:p w14:paraId="604287E7">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2.3.3 中小企业声明函（如有）；</w:t>
      </w:r>
    </w:p>
    <w:p w14:paraId="6B752C2D">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2.3.4 残疾人福利性单位声明函（如有）；</w:t>
      </w:r>
    </w:p>
    <w:p w14:paraId="7C336820">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2.3.5 监狱企业的证明文件（如有）；</w:t>
      </w:r>
    </w:p>
    <w:p w14:paraId="6619115D">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2.3.6 政府采购统计基础信息表。</w:t>
      </w:r>
    </w:p>
    <w:p w14:paraId="0697013C">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3、我方承诺除商务响应表列出的偏离外，我方响应招标文件的全部要求。</w:t>
      </w:r>
    </w:p>
    <w:p w14:paraId="7777692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4、如我方中标，我方承诺：</w:t>
      </w:r>
    </w:p>
    <w:p w14:paraId="211AD937">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4.1在收到中标通知书后，在中标通知书规定的期限内与你方签订合同； </w:t>
      </w:r>
    </w:p>
    <w:p w14:paraId="0FA307FB">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4.2在签订合同时不向你方提出附加条件； </w:t>
      </w:r>
    </w:p>
    <w:p w14:paraId="359AE6B4">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4.3按照招标文件要求提交履约保证金； </w:t>
      </w:r>
    </w:p>
    <w:p w14:paraId="5952BF95">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4.4在合同约定的期限内完成合同规定的全部义务。 </w:t>
      </w:r>
    </w:p>
    <w:p w14:paraId="3DED514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5、其他补充说明: </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 xml:space="preserve"> 。</w:t>
      </w:r>
    </w:p>
    <w:p w14:paraId="19930019">
      <w:pPr>
        <w:shd w:val="clear"/>
        <w:spacing w:line="360" w:lineRule="auto"/>
        <w:ind w:firstLine="3600" w:firstLineChars="1500"/>
        <w:rPr>
          <w:rFonts w:cs="仿宋" w:asciiTheme="majorEastAsia" w:hAnsiTheme="majorEastAsia" w:eastAsiaTheme="majorEastAsia"/>
          <w:color w:val="auto"/>
          <w:sz w:val="24"/>
          <w:highlight w:val="none"/>
        </w:rPr>
      </w:pPr>
    </w:p>
    <w:p w14:paraId="71B38B6B">
      <w:pPr>
        <w:shd w:val="clear"/>
        <w:spacing w:line="360" w:lineRule="auto"/>
        <w:ind w:firstLine="3600" w:firstLineChars="1500"/>
        <w:rPr>
          <w:rFonts w:cs="仿宋" w:asciiTheme="majorEastAsia" w:hAnsiTheme="majorEastAsia" w:eastAsiaTheme="majorEastAsia"/>
          <w:color w:val="auto"/>
          <w:sz w:val="24"/>
          <w:highlight w:val="none"/>
        </w:rPr>
      </w:pPr>
    </w:p>
    <w:p w14:paraId="0D02C2A3">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21CA4EF1">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590EC760">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00DF8C62">
      <w:pPr>
        <w:shd w:val="clear"/>
        <w:spacing w:line="360" w:lineRule="auto"/>
        <w:jc w:val="center"/>
        <w:rPr>
          <w:rFonts w:cs="仿宋" w:asciiTheme="majorEastAsia" w:hAnsiTheme="majorEastAsia" w:eastAsiaTheme="majorEastAsia"/>
          <w:b/>
          <w:color w:val="auto"/>
          <w:kern w:val="0"/>
          <w:sz w:val="32"/>
          <w:szCs w:val="32"/>
          <w:highlight w:val="none"/>
        </w:rPr>
      </w:pPr>
    </w:p>
    <w:p w14:paraId="6E76B9E6">
      <w:pPr>
        <w:shd w:val="clear"/>
        <w:spacing w:line="360" w:lineRule="auto"/>
        <w:jc w:val="center"/>
        <w:rPr>
          <w:rFonts w:cs="仿宋" w:asciiTheme="majorEastAsia" w:hAnsiTheme="majorEastAsia" w:eastAsiaTheme="majorEastAsia"/>
          <w:b/>
          <w:color w:val="auto"/>
          <w:kern w:val="0"/>
          <w:sz w:val="32"/>
          <w:szCs w:val="32"/>
          <w:highlight w:val="none"/>
          <w:lang w:val="zh-CN"/>
        </w:rPr>
      </w:pPr>
    </w:p>
    <w:p w14:paraId="03FC1F45">
      <w:pPr>
        <w:shd w:val="clear"/>
        <w:spacing w:line="360" w:lineRule="auto"/>
        <w:rPr>
          <w:rFonts w:cs="仿宋" w:asciiTheme="majorEastAsia" w:hAnsiTheme="majorEastAsia" w:eastAsiaTheme="majorEastAsia"/>
          <w:b/>
          <w:color w:val="auto"/>
          <w:sz w:val="32"/>
          <w:szCs w:val="32"/>
          <w:highlight w:val="none"/>
        </w:rPr>
      </w:pPr>
      <w:bookmarkStart w:id="394" w:name="_Toc483379796"/>
      <w:bookmarkStart w:id="395" w:name="_Toc14746861"/>
      <w:bookmarkStart w:id="396" w:name="_Toc488936100"/>
      <w:bookmarkStart w:id="397" w:name="_Toc479927873"/>
      <w:bookmarkStart w:id="398" w:name="_Toc110393361"/>
      <w:bookmarkStart w:id="399" w:name="_Toc225223761"/>
    </w:p>
    <w:p w14:paraId="1085A313">
      <w:pPr>
        <w:shd w:val="clear"/>
        <w:snapToGrid w:val="0"/>
        <w:spacing w:line="360" w:lineRule="auto"/>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四、授权委托书或法定代表人（单位负责人、自然人本人）身份证明</w:t>
      </w:r>
    </w:p>
    <w:p w14:paraId="3DA4902E">
      <w:pPr>
        <w:shd w:val="clear"/>
        <w:jc w:val="left"/>
        <w:rPr>
          <w:rFonts w:ascii="宋体" w:hAnsi="宋体" w:cs="宋体"/>
          <w:b/>
          <w:color w:val="auto"/>
          <w:sz w:val="32"/>
          <w:szCs w:val="32"/>
          <w:highlight w:val="none"/>
        </w:rPr>
      </w:pPr>
      <w:r>
        <w:rPr>
          <w:rFonts w:hint="eastAsia" w:cs="仿宋" w:asciiTheme="majorEastAsia" w:hAnsiTheme="majorEastAsia" w:eastAsiaTheme="majorEastAsia"/>
          <w:color w:val="auto"/>
          <w:sz w:val="24"/>
          <w:highlight w:val="none"/>
        </w:rPr>
        <w:t xml:space="preserve">                           </w:t>
      </w:r>
    </w:p>
    <w:p w14:paraId="0611557A">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14:paraId="24652D87">
      <w:pPr>
        <w:shd w:val="clear"/>
        <w:spacing w:line="480" w:lineRule="auto"/>
        <w:jc w:val="center"/>
        <w:rPr>
          <w:rFonts w:ascii="宋体" w:hAnsi="宋体" w:cs="宋体"/>
          <w:b/>
          <w:color w:val="auto"/>
          <w:sz w:val="24"/>
          <w:highlight w:val="none"/>
        </w:rPr>
      </w:pPr>
      <w:r>
        <w:rPr>
          <w:rFonts w:hint="eastAsia" w:ascii="宋体" w:hAnsi="宋体" w:cs="宋体"/>
          <w:bCs/>
          <w:color w:val="auto"/>
          <w:sz w:val="24"/>
          <w:highlight w:val="none"/>
        </w:rPr>
        <w:t>（法定代表人不来投标的，此表不用）</w:t>
      </w:r>
    </w:p>
    <w:p w14:paraId="177CC435">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14:paraId="0BAD2555">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180D95F">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429CCE5D">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C5AC487">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825C671">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14:paraId="3B295345">
      <w:pPr>
        <w:shd w:val="clea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4E46AD4C">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w:t>
      </w:r>
    </w:p>
    <w:p w14:paraId="0E2D1620">
      <w:pPr>
        <w:shd w:val="clear"/>
        <w:spacing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14:paraId="53688CEC">
      <w:pPr>
        <w:shd w:val="clear"/>
        <w:spacing w:line="360" w:lineRule="auto"/>
        <w:ind w:firstLine="420" w:firstLineChars="200"/>
        <w:rPr>
          <w:rFonts w:ascii="宋体" w:hAnsi="宋体" w:cs="宋体"/>
          <w:color w:val="auto"/>
          <w:szCs w:val="21"/>
          <w:highlight w:val="none"/>
        </w:rPr>
      </w:pPr>
    </w:p>
    <w:p w14:paraId="72ABABF7">
      <w:pPr>
        <w:shd w:val="clear"/>
        <w:spacing w:line="360" w:lineRule="auto"/>
        <w:ind w:firstLine="420" w:firstLineChars="200"/>
        <w:rPr>
          <w:rFonts w:ascii="宋体" w:hAnsi="宋体" w:cs="宋体"/>
          <w:color w:val="auto"/>
          <w:szCs w:val="21"/>
          <w:highlight w:val="none"/>
        </w:rPr>
      </w:pPr>
    </w:p>
    <w:p w14:paraId="7D3B51B2">
      <w:pPr>
        <w:shd w:val="clea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5FC4B41D">
      <w:pPr>
        <w:shd w:val="clear"/>
        <w:spacing w:line="360" w:lineRule="auto"/>
        <w:ind w:firstLine="4515" w:firstLineChars="2150"/>
        <w:rPr>
          <w:rFonts w:ascii="宋体" w:hAnsi="宋体" w:cs="宋体"/>
          <w:color w:val="auto"/>
          <w:szCs w:val="21"/>
          <w:highlight w:val="none"/>
          <w:u w:val="single"/>
        </w:rPr>
      </w:pPr>
    </w:p>
    <w:p w14:paraId="6674C722">
      <w:pPr>
        <w:shd w:val="clea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E838857">
      <w:pPr>
        <w:shd w:val="clear"/>
        <w:spacing w:line="360" w:lineRule="auto"/>
        <w:rPr>
          <w:rFonts w:ascii="宋体" w:hAnsi="宋体" w:cs="宋体"/>
          <w:color w:val="auto"/>
          <w:sz w:val="24"/>
          <w:highlight w:val="none"/>
        </w:rPr>
      </w:pPr>
    </w:p>
    <w:p w14:paraId="24FA0798">
      <w:pPr>
        <w:shd w:val="clear"/>
        <w:spacing w:line="360" w:lineRule="auto"/>
        <w:rPr>
          <w:rFonts w:ascii="宋体" w:hAnsi="宋体" w:cs="宋体"/>
          <w:b/>
          <w:color w:val="auto"/>
          <w:szCs w:val="21"/>
          <w:highlight w:val="none"/>
        </w:rPr>
      </w:pPr>
    </w:p>
    <w:p w14:paraId="76B0E38A">
      <w:pPr>
        <w:shd w:val="clear"/>
        <w:spacing w:line="360" w:lineRule="auto"/>
        <w:rPr>
          <w:rFonts w:ascii="宋体" w:hAnsi="宋体" w:cs="宋体"/>
          <w:b/>
          <w:color w:val="auto"/>
          <w:szCs w:val="21"/>
          <w:highlight w:val="none"/>
        </w:rPr>
      </w:pPr>
    </w:p>
    <w:p w14:paraId="1800B8E3">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w:t>
      </w:r>
    </w:p>
    <w:p w14:paraId="72B7F98D">
      <w:pPr>
        <w:shd w:val="clear"/>
        <w:rPr>
          <w:rFonts w:ascii="宋体" w:hAnsi="宋体" w:cs="宋体"/>
          <w:b/>
          <w:color w:val="auto"/>
          <w:highlight w:val="none"/>
        </w:rPr>
      </w:pPr>
      <w:r>
        <w:rPr>
          <w:rFonts w:ascii="宋体" w:hAnsi="宋体" w:cs="宋体"/>
          <w:b/>
          <w:color w:val="auto"/>
          <w:highlight w:val="none"/>
        </w:rPr>
        <w:br w:type="page"/>
      </w:r>
    </w:p>
    <w:p w14:paraId="28457661">
      <w:pPr>
        <w:shd w:val="clear"/>
        <w:rPr>
          <w:rFonts w:ascii="宋体" w:hAnsi="宋体" w:cs="宋体"/>
          <w:b/>
          <w:bCs/>
          <w:color w:val="auto"/>
          <w:sz w:val="28"/>
          <w:szCs w:val="28"/>
          <w:highlight w:val="none"/>
        </w:rPr>
      </w:pPr>
    </w:p>
    <w:p w14:paraId="7CB61AD2">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3050165B">
      <w:pPr>
        <w:shd w:val="clea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14:paraId="06523C0A">
      <w:pPr>
        <w:shd w:val="clear"/>
        <w:snapToGrid w:val="0"/>
        <w:spacing w:line="360" w:lineRule="auto"/>
        <w:rPr>
          <w:rFonts w:ascii="宋体" w:hAnsi="宋体" w:cs="宋体"/>
          <w:bCs/>
          <w:color w:val="auto"/>
          <w:sz w:val="24"/>
          <w:highlight w:val="none"/>
        </w:rPr>
      </w:pPr>
    </w:p>
    <w:p w14:paraId="60DDAFE9">
      <w:pPr>
        <w:shd w:val="clea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14:paraId="25736CFA">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（投标人名称）的法定代表人，现授权委托本单位在职职工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项目的投标活动，并代表我方全权办理针对上述项目的投标、开标、评标、签约等具体事务和签署相关文件。</w:t>
      </w:r>
    </w:p>
    <w:p w14:paraId="7C194202">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14:paraId="327748E3">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14:paraId="6ED66246">
      <w:pPr>
        <w:shd w:val="clea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056BFBD6">
      <w:pPr>
        <w:shd w:val="clear"/>
        <w:snapToGrid w:val="0"/>
        <w:spacing w:line="360" w:lineRule="auto"/>
        <w:rPr>
          <w:rFonts w:ascii="宋体" w:hAnsi="宋体" w:cs="宋体"/>
          <w:color w:val="auto"/>
          <w:szCs w:val="21"/>
          <w:highlight w:val="none"/>
        </w:rPr>
      </w:pPr>
    </w:p>
    <w:p w14:paraId="2A7F9E64">
      <w:pPr>
        <w:shd w:val="clear"/>
        <w:snapToGrid w:val="0"/>
        <w:spacing w:line="360" w:lineRule="auto"/>
        <w:rPr>
          <w:rFonts w:ascii="宋体" w:hAnsi="宋体" w:cs="宋体"/>
          <w:color w:val="auto"/>
          <w:szCs w:val="21"/>
          <w:highlight w:val="none"/>
        </w:rPr>
      </w:pPr>
    </w:p>
    <w:p w14:paraId="1FE9FEB8">
      <w:pPr>
        <w:shd w:val="clea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法定代表人签名：</w:t>
      </w:r>
      <w:r>
        <w:rPr>
          <w:rFonts w:hint="eastAsia" w:ascii="宋体" w:hAnsi="宋体" w:cs="宋体"/>
          <w:color w:val="auto"/>
          <w:szCs w:val="21"/>
          <w:highlight w:val="none"/>
          <w:u w:val="single"/>
        </w:rPr>
        <w:t xml:space="preserve">          </w:t>
      </w:r>
    </w:p>
    <w:p w14:paraId="1B873CB0">
      <w:pPr>
        <w:shd w:val="clea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5246C5FE">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7DB13B0">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71DD5F97">
      <w:pPr>
        <w:shd w:val="clear"/>
        <w:snapToGrid w:val="0"/>
        <w:spacing w:line="360" w:lineRule="auto"/>
        <w:rPr>
          <w:rFonts w:ascii="宋体" w:hAnsi="宋体" w:cs="宋体"/>
          <w:color w:val="auto"/>
          <w:szCs w:val="21"/>
          <w:highlight w:val="none"/>
        </w:rPr>
      </w:pPr>
    </w:p>
    <w:p w14:paraId="22D728B7">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7CA07778">
      <w:pPr>
        <w:shd w:val="clear"/>
        <w:spacing w:line="360" w:lineRule="auto"/>
        <w:ind w:firstLine="1260" w:firstLineChars="600"/>
        <w:rPr>
          <w:rFonts w:ascii="宋体" w:hAnsi="宋体" w:cs="宋体"/>
          <w:color w:val="auto"/>
          <w:highlight w:val="none"/>
        </w:rPr>
      </w:pPr>
      <w:r>
        <w:rPr>
          <w:rFonts w:hint="eastAsia" w:ascii="宋体" w:hAnsi="宋体" w:cs="宋体"/>
          <w:color w:val="auto"/>
          <w:highlight w:val="none"/>
        </w:rPr>
        <w:t xml:space="preserve">                                  日期：</w:t>
      </w:r>
    </w:p>
    <w:p w14:paraId="03153538">
      <w:pPr>
        <w:shd w:val="clear"/>
        <w:spacing w:line="360" w:lineRule="auto"/>
        <w:rPr>
          <w:rFonts w:ascii="宋体" w:hAnsi="宋体" w:cs="宋体"/>
          <w:b/>
          <w:color w:val="auto"/>
          <w:szCs w:val="21"/>
          <w:highlight w:val="none"/>
        </w:rPr>
      </w:pPr>
    </w:p>
    <w:p w14:paraId="2F233EE8">
      <w:pPr>
        <w:shd w:val="clear"/>
        <w:spacing w:line="360" w:lineRule="auto"/>
        <w:rPr>
          <w:rFonts w:ascii="宋体" w:hAnsi="宋体" w:cs="宋体"/>
          <w:b/>
          <w:color w:val="auto"/>
          <w:szCs w:val="21"/>
          <w:highlight w:val="none"/>
        </w:rPr>
      </w:pPr>
    </w:p>
    <w:p w14:paraId="500418A4">
      <w:pPr>
        <w:widowControl/>
        <w:shd w:val="clear"/>
        <w:jc w:val="left"/>
        <w:rPr>
          <w:rFonts w:eastAsia="仿宋_GB2312"/>
          <w:color w:val="auto"/>
          <w:sz w:val="28"/>
          <w:highlight w:val="none"/>
          <w:lang w:val="zh-CN"/>
        </w:rPr>
      </w:pPr>
      <w:r>
        <w:rPr>
          <w:rFonts w:hint="eastAsia" w:ascii="宋体" w:hAnsi="宋体" w:cs="宋体"/>
          <w:b/>
          <w:color w:val="auto"/>
          <w:szCs w:val="21"/>
          <w:highlight w:val="none"/>
        </w:rPr>
        <w:t>附：法定代表人身份证复印件（正反面）、授权代表身份证复印件（正反面）：</w:t>
      </w:r>
      <w:r>
        <w:rPr>
          <w:color w:val="auto"/>
          <w:highlight w:val="none"/>
          <w:lang w:val="zh-CN"/>
        </w:rPr>
        <w:br w:type="page"/>
      </w:r>
    </w:p>
    <w:p w14:paraId="17BD4003">
      <w:pPr>
        <w:pStyle w:val="25"/>
        <w:shd w:val="clear"/>
        <w:ind w:firstLine="588"/>
        <w:rPr>
          <w:color w:val="auto"/>
          <w:highlight w:val="none"/>
          <w:lang w:val="zh-CN"/>
        </w:rPr>
      </w:pPr>
    </w:p>
    <w:p w14:paraId="425A3964">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五、投标人基本情况</w:t>
      </w:r>
      <w:bookmarkEnd w:id="394"/>
      <w:bookmarkEnd w:id="395"/>
      <w:bookmarkEnd w:id="396"/>
      <w:bookmarkEnd w:id="397"/>
      <w:bookmarkEnd w:id="398"/>
      <w:bookmarkEnd w:id="399"/>
      <w:r>
        <w:rPr>
          <w:rFonts w:hint="eastAsia" w:cs="仿宋" w:asciiTheme="majorEastAsia" w:hAnsiTheme="majorEastAsia" w:eastAsiaTheme="majorEastAsia"/>
          <w:b/>
          <w:color w:val="auto"/>
          <w:kern w:val="0"/>
          <w:sz w:val="32"/>
          <w:szCs w:val="32"/>
          <w:highlight w:val="none"/>
          <w:lang w:val="zh-CN"/>
        </w:rPr>
        <w:t>表</w:t>
      </w:r>
    </w:p>
    <w:tbl>
      <w:tblPr>
        <w:tblStyle w:val="19"/>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0809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2C8790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投标人名称</w:t>
            </w:r>
          </w:p>
        </w:tc>
        <w:tc>
          <w:tcPr>
            <w:tcW w:w="7647" w:type="dxa"/>
            <w:gridSpan w:val="5"/>
            <w:vAlign w:val="center"/>
          </w:tcPr>
          <w:p w14:paraId="6430E95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324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BE173C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注册地址</w:t>
            </w:r>
          </w:p>
        </w:tc>
        <w:tc>
          <w:tcPr>
            <w:tcW w:w="2809" w:type="dxa"/>
            <w:gridSpan w:val="2"/>
            <w:vAlign w:val="center"/>
          </w:tcPr>
          <w:p w14:paraId="5253D50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03E3DA4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成立时间</w:t>
            </w:r>
          </w:p>
        </w:tc>
        <w:tc>
          <w:tcPr>
            <w:tcW w:w="3052" w:type="dxa"/>
            <w:gridSpan w:val="2"/>
            <w:vAlign w:val="center"/>
          </w:tcPr>
          <w:p w14:paraId="062EBE9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977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74256E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统一信用代码</w:t>
            </w:r>
          </w:p>
        </w:tc>
        <w:tc>
          <w:tcPr>
            <w:tcW w:w="2809" w:type="dxa"/>
            <w:gridSpan w:val="2"/>
            <w:vAlign w:val="center"/>
          </w:tcPr>
          <w:p w14:paraId="12664B3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29F863B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注册资金</w:t>
            </w:r>
          </w:p>
        </w:tc>
        <w:tc>
          <w:tcPr>
            <w:tcW w:w="3052" w:type="dxa"/>
            <w:gridSpan w:val="2"/>
            <w:vAlign w:val="center"/>
          </w:tcPr>
          <w:p w14:paraId="69DCFA2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6C3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20BD81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投标联系人姓名</w:t>
            </w:r>
          </w:p>
        </w:tc>
        <w:tc>
          <w:tcPr>
            <w:tcW w:w="1936" w:type="dxa"/>
            <w:vAlign w:val="center"/>
          </w:tcPr>
          <w:p w14:paraId="14DE784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4B46735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730B2FC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23C5CF8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49140CF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4E9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B27626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法定代表人姓名</w:t>
            </w:r>
          </w:p>
        </w:tc>
        <w:tc>
          <w:tcPr>
            <w:tcW w:w="1936" w:type="dxa"/>
            <w:vAlign w:val="center"/>
          </w:tcPr>
          <w:p w14:paraId="3C9E404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08A08C0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5ED09B2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00977E5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51FFBF4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9DC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82122B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项目负责人姓名</w:t>
            </w:r>
          </w:p>
        </w:tc>
        <w:tc>
          <w:tcPr>
            <w:tcW w:w="1936" w:type="dxa"/>
            <w:vAlign w:val="center"/>
          </w:tcPr>
          <w:p w14:paraId="70F7D70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21CE566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1BC212D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7C2C7B1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技术职称</w:t>
            </w:r>
          </w:p>
        </w:tc>
        <w:tc>
          <w:tcPr>
            <w:tcW w:w="1852" w:type="dxa"/>
            <w:vAlign w:val="center"/>
          </w:tcPr>
          <w:p w14:paraId="07197F7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964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75BB6F3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936" w:type="dxa"/>
            <w:vMerge w:val="restart"/>
            <w:vAlign w:val="center"/>
          </w:tcPr>
          <w:p w14:paraId="2FCE0CB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restart"/>
            <w:vAlign w:val="center"/>
          </w:tcPr>
          <w:p w14:paraId="28AC405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w:t>
            </w:r>
          </w:p>
        </w:tc>
        <w:tc>
          <w:tcPr>
            <w:tcW w:w="1786" w:type="dxa"/>
            <w:vAlign w:val="center"/>
          </w:tcPr>
          <w:p w14:paraId="52C7775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高级职称</w:t>
            </w:r>
          </w:p>
        </w:tc>
        <w:tc>
          <w:tcPr>
            <w:tcW w:w="3052" w:type="dxa"/>
            <w:gridSpan w:val="2"/>
            <w:vAlign w:val="center"/>
          </w:tcPr>
          <w:p w14:paraId="4C58C9D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E40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6C0E4E0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24DC1BC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25850A8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321D8B7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中级职称</w:t>
            </w:r>
          </w:p>
        </w:tc>
        <w:tc>
          <w:tcPr>
            <w:tcW w:w="3052" w:type="dxa"/>
            <w:gridSpan w:val="2"/>
            <w:vAlign w:val="center"/>
          </w:tcPr>
          <w:p w14:paraId="2217F31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E7A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2529186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2F7AD94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5008B5B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7D658E1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各类注册人员</w:t>
            </w:r>
          </w:p>
        </w:tc>
        <w:tc>
          <w:tcPr>
            <w:tcW w:w="3052" w:type="dxa"/>
            <w:gridSpan w:val="2"/>
            <w:vAlign w:val="center"/>
          </w:tcPr>
          <w:p w14:paraId="10158A1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653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525459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基本账户开户银行</w:t>
            </w:r>
          </w:p>
        </w:tc>
        <w:tc>
          <w:tcPr>
            <w:tcW w:w="7647" w:type="dxa"/>
            <w:gridSpan w:val="5"/>
            <w:vAlign w:val="center"/>
          </w:tcPr>
          <w:p w14:paraId="513CF62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11A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35B6C1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基本账户账号</w:t>
            </w:r>
          </w:p>
        </w:tc>
        <w:tc>
          <w:tcPr>
            <w:tcW w:w="7647" w:type="dxa"/>
            <w:gridSpan w:val="5"/>
            <w:vAlign w:val="center"/>
          </w:tcPr>
          <w:p w14:paraId="211B32A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734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6878896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经营范围</w:t>
            </w:r>
          </w:p>
        </w:tc>
        <w:tc>
          <w:tcPr>
            <w:tcW w:w="7647" w:type="dxa"/>
            <w:gridSpan w:val="5"/>
            <w:vAlign w:val="center"/>
          </w:tcPr>
          <w:p w14:paraId="4360D4D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90F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2AA05A2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备注</w:t>
            </w:r>
          </w:p>
        </w:tc>
        <w:tc>
          <w:tcPr>
            <w:tcW w:w="7647" w:type="dxa"/>
            <w:gridSpan w:val="5"/>
            <w:vAlign w:val="center"/>
          </w:tcPr>
          <w:p w14:paraId="5C0C7D7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48A4FEF4">
      <w:pPr>
        <w:shd w:val="clear"/>
        <w:adjustRightInd w:val="0"/>
        <w:snapToGrid w:val="0"/>
        <w:spacing w:line="360" w:lineRule="auto"/>
        <w:ind w:firstLine="482" w:firstLineChars="200"/>
        <w:rPr>
          <w:rFonts w:cs="仿宋" w:asciiTheme="majorEastAsia" w:hAnsiTheme="majorEastAsia" w:eastAsiaTheme="majorEastAsia"/>
          <w:b/>
          <w:bCs/>
          <w:color w:val="auto"/>
          <w:kern w:val="0"/>
          <w:sz w:val="24"/>
          <w:highlight w:val="none"/>
          <w:lang w:val="zh-CN"/>
        </w:rPr>
      </w:pPr>
      <w:r>
        <w:rPr>
          <w:rFonts w:hint="eastAsia" w:cs="仿宋" w:asciiTheme="majorEastAsia" w:hAnsiTheme="majorEastAsia" w:eastAsiaTheme="majorEastAsia"/>
          <w:b/>
          <w:bCs/>
          <w:color w:val="auto"/>
          <w:kern w:val="0"/>
          <w:sz w:val="24"/>
          <w:highlight w:val="none"/>
          <w:lang w:val="zh-CN"/>
        </w:rPr>
        <w:t>兹证明上述声明是真实、正确的，并提供了全部能提供的资料和数据，我们同意遵照贵方要求出示有关证明文件。</w:t>
      </w:r>
    </w:p>
    <w:p w14:paraId="6A40B4B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p w14:paraId="0340324D">
      <w:pPr>
        <w:pStyle w:val="25"/>
        <w:shd w:val="clear"/>
        <w:spacing w:line="360" w:lineRule="auto"/>
        <w:ind w:firstLine="560"/>
        <w:rPr>
          <w:rFonts w:cs="仿宋" w:asciiTheme="majorEastAsia" w:hAnsiTheme="majorEastAsia" w:eastAsiaTheme="majorEastAsia"/>
          <w:color w:val="auto"/>
          <w:highlight w:val="none"/>
          <w:lang w:val="zh-CN"/>
        </w:rPr>
      </w:pPr>
    </w:p>
    <w:p w14:paraId="3641E565">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3CA20925">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7D30186F">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p>
    <w:p w14:paraId="746B097F">
      <w:pPr>
        <w:widowControl/>
        <w:shd w:val="clear"/>
        <w:jc w:val="left"/>
        <w:rPr>
          <w:rFonts w:cs="仿宋" w:asciiTheme="majorEastAsia" w:hAnsiTheme="majorEastAsia" w:eastAsiaTheme="majorEastAsia"/>
          <w:b/>
          <w:color w:val="auto"/>
          <w:kern w:val="0"/>
          <w:sz w:val="32"/>
          <w:szCs w:val="32"/>
          <w:highlight w:val="none"/>
          <w:lang w:val="zh-CN"/>
        </w:rPr>
      </w:pPr>
      <w:r>
        <w:rPr>
          <w:rFonts w:cs="仿宋" w:asciiTheme="majorEastAsia" w:hAnsiTheme="majorEastAsia" w:eastAsiaTheme="majorEastAsia"/>
          <w:b/>
          <w:color w:val="auto"/>
          <w:kern w:val="0"/>
          <w:sz w:val="32"/>
          <w:szCs w:val="32"/>
          <w:highlight w:val="none"/>
          <w:lang w:val="zh-CN"/>
        </w:rPr>
        <w:br w:type="page"/>
      </w:r>
    </w:p>
    <w:p w14:paraId="6B42D74F">
      <w:pPr>
        <w:shd w:val="clear"/>
        <w:snapToGrid w:val="0"/>
        <w:spacing w:line="360" w:lineRule="auto"/>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六、距采购人最近或者能为本项目提供最优服务的网点情况表</w:t>
      </w:r>
    </w:p>
    <w:p w14:paraId="7726350C">
      <w:pPr>
        <w:shd w:val="clear"/>
        <w:spacing w:line="360" w:lineRule="auto"/>
        <w:rPr>
          <w:rFonts w:cs="仿宋" w:asciiTheme="majorEastAsia" w:hAnsiTheme="majorEastAsia" w:eastAsiaTheme="majorEastAsia"/>
          <w:color w:val="auto"/>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7937E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9154F8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697408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8557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55D8ED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A527D9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DD57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19AE0D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470A267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55BFEFD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0125647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2006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99EBF4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3446312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65627A4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224086E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168D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B68E84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B5B5F2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E442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FBD4C1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A8E97E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EEBC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5F5940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67AC63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CE8A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96398B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E71B98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4A0A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D2B3FF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21CF37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69F7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A0A7E5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2F48D40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03A6B1A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53B4308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98C6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005F54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4C9411B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1E4CB5B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37ED287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056AED89">
      <w:pPr>
        <w:shd w:val="clear"/>
        <w:spacing w:line="360" w:lineRule="auto"/>
        <w:rPr>
          <w:rFonts w:cs="仿宋" w:asciiTheme="majorEastAsia" w:hAnsiTheme="majorEastAsia" w:eastAsiaTheme="majorEastAsia"/>
          <w:color w:val="auto"/>
          <w:highlight w:val="none"/>
        </w:rPr>
      </w:pPr>
    </w:p>
    <w:p w14:paraId="10843405">
      <w:pPr>
        <w:shd w:val="clear"/>
        <w:spacing w:line="360" w:lineRule="auto"/>
        <w:rPr>
          <w:rFonts w:cs="仿宋" w:asciiTheme="majorEastAsia" w:hAnsiTheme="majorEastAsia" w:eastAsiaTheme="majorEastAsia"/>
          <w:color w:val="auto"/>
          <w:highlight w:val="none"/>
        </w:rPr>
      </w:pPr>
    </w:p>
    <w:p w14:paraId="7D882C8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highlight w:val="none"/>
        </w:rPr>
        <w:t xml:space="preserve">       </w:t>
      </w:r>
    </w:p>
    <w:p w14:paraId="71FB6B03">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2A048841">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30488EE7">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47E0D968">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七、评标标准相应的商务技术资料</w:t>
      </w:r>
    </w:p>
    <w:p w14:paraId="36F1A36A">
      <w:pPr>
        <w:shd w:val="clear"/>
        <w:snapToGrid w:val="0"/>
        <w:spacing w:line="360" w:lineRule="auto"/>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（按招标文件第四部分评标办法前附表中“投标文件中评标标准相应的商务技术资料目录”提供资料）</w:t>
      </w:r>
    </w:p>
    <w:p w14:paraId="28CE1832">
      <w:pPr>
        <w:pStyle w:val="25"/>
        <w:shd w:val="clear"/>
        <w:ind w:firstLine="560"/>
        <w:rPr>
          <w:rFonts w:asciiTheme="majorEastAsia" w:hAnsiTheme="majorEastAsia" w:eastAsiaTheme="majorEastAsia"/>
          <w:color w:val="auto"/>
          <w:highlight w:val="none"/>
          <w:lang w:val="zh-CN"/>
        </w:rPr>
      </w:pPr>
    </w:p>
    <w:p w14:paraId="0B817846">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八、商务响应表</w:t>
      </w:r>
    </w:p>
    <w:tbl>
      <w:tblPr>
        <w:tblStyle w:val="19"/>
        <w:tblW w:w="50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3"/>
        <w:gridCol w:w="6849"/>
        <w:gridCol w:w="773"/>
        <w:gridCol w:w="1296"/>
      </w:tblGrid>
      <w:tr w14:paraId="70F29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14:paraId="03B13029">
            <w:pPr>
              <w:shd w:val="clear"/>
              <w:jc w:val="center"/>
              <w:rPr>
                <w:rFonts w:ascii="宋体" w:hAnsi="宋体"/>
                <w:color w:val="auto"/>
                <w:sz w:val="24"/>
                <w:highlight w:val="none"/>
              </w:rPr>
            </w:pPr>
            <w:r>
              <w:rPr>
                <w:rFonts w:hint="eastAsia" w:ascii="宋体" w:hAnsi="宋体"/>
                <w:color w:val="auto"/>
                <w:sz w:val="24"/>
                <w:highlight w:val="none"/>
              </w:rPr>
              <w:t>项目</w:t>
            </w:r>
          </w:p>
        </w:tc>
        <w:tc>
          <w:tcPr>
            <w:tcW w:w="3563" w:type="pct"/>
            <w:tcBorders>
              <w:top w:val="single" w:color="auto" w:sz="4" w:space="0"/>
              <w:left w:val="single" w:color="auto" w:sz="4" w:space="0"/>
              <w:bottom w:val="single" w:color="auto" w:sz="4" w:space="0"/>
              <w:right w:val="single" w:color="auto" w:sz="4" w:space="0"/>
            </w:tcBorders>
            <w:vAlign w:val="center"/>
          </w:tcPr>
          <w:p w14:paraId="3FD15F9D">
            <w:pPr>
              <w:shd w:val="clear"/>
              <w:jc w:val="center"/>
              <w:rPr>
                <w:rFonts w:ascii="宋体" w:hAnsi="宋体"/>
                <w:color w:val="auto"/>
                <w:sz w:val="24"/>
                <w:highlight w:val="none"/>
              </w:rPr>
            </w:pPr>
            <w:r>
              <w:rPr>
                <w:rFonts w:hint="eastAsia" w:ascii="宋体" w:hAnsi="宋体"/>
                <w:color w:val="auto"/>
                <w:sz w:val="24"/>
                <w:highlight w:val="none"/>
              </w:rPr>
              <w:t xml:space="preserve">要 求 </w:t>
            </w:r>
          </w:p>
        </w:tc>
        <w:tc>
          <w:tcPr>
            <w:tcW w:w="402" w:type="pct"/>
            <w:tcBorders>
              <w:top w:val="single" w:color="auto" w:sz="4" w:space="0"/>
              <w:left w:val="single" w:color="auto" w:sz="4" w:space="0"/>
              <w:bottom w:val="single" w:color="auto" w:sz="4" w:space="0"/>
              <w:right w:val="single" w:color="auto" w:sz="4" w:space="0"/>
            </w:tcBorders>
            <w:vAlign w:val="center"/>
          </w:tcPr>
          <w:p w14:paraId="0CAEE6A1">
            <w:pPr>
              <w:shd w:val="clear"/>
              <w:jc w:val="center"/>
              <w:rPr>
                <w:rFonts w:ascii="宋体" w:hAnsi="宋体"/>
                <w:color w:val="auto"/>
                <w:sz w:val="24"/>
                <w:highlight w:val="none"/>
              </w:rPr>
            </w:pPr>
            <w:r>
              <w:rPr>
                <w:rFonts w:hint="eastAsia" w:ascii="宋体" w:hAnsi="宋体"/>
                <w:color w:val="auto"/>
                <w:sz w:val="24"/>
                <w:highlight w:val="none"/>
              </w:rPr>
              <w:t>响应情况</w:t>
            </w:r>
          </w:p>
        </w:tc>
        <w:tc>
          <w:tcPr>
            <w:tcW w:w="674" w:type="pct"/>
            <w:tcBorders>
              <w:top w:val="single" w:color="auto" w:sz="4" w:space="0"/>
              <w:left w:val="single" w:color="auto" w:sz="4" w:space="0"/>
              <w:bottom w:val="single" w:color="auto" w:sz="4" w:space="0"/>
              <w:right w:val="single" w:color="auto" w:sz="4" w:space="0"/>
            </w:tcBorders>
            <w:vAlign w:val="center"/>
          </w:tcPr>
          <w:p w14:paraId="10900F45">
            <w:pPr>
              <w:shd w:val="clear"/>
              <w:jc w:val="center"/>
              <w:rPr>
                <w:rFonts w:ascii="宋体" w:hAnsi="宋体"/>
                <w:color w:val="auto"/>
                <w:sz w:val="24"/>
                <w:highlight w:val="none"/>
              </w:rPr>
            </w:pPr>
            <w:r>
              <w:rPr>
                <w:rFonts w:hint="eastAsia" w:ascii="宋体" w:hAnsi="宋体"/>
                <w:color w:val="auto"/>
                <w:sz w:val="24"/>
                <w:highlight w:val="none"/>
              </w:rPr>
              <w:t>投标人承诺或说明</w:t>
            </w:r>
          </w:p>
        </w:tc>
      </w:tr>
      <w:tr w14:paraId="2802F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19F6361">
            <w:pPr>
              <w:widowControl/>
              <w:shd w:val="clear"/>
              <w:spacing w:line="280" w:lineRule="exact"/>
              <w:jc w:val="center"/>
              <w:textAlignment w:val="center"/>
              <w:rPr>
                <w:color w:val="auto"/>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7DF57AE5">
            <w:pPr>
              <w:widowControl/>
              <w:shd w:val="clear"/>
              <w:spacing w:line="280" w:lineRule="exact"/>
              <w:textAlignment w:val="center"/>
              <w:rPr>
                <w:color w:val="auto"/>
                <w:highlight w:val="none"/>
              </w:rPr>
            </w:pPr>
          </w:p>
        </w:tc>
        <w:tc>
          <w:tcPr>
            <w:tcW w:w="402" w:type="pct"/>
            <w:tcBorders>
              <w:top w:val="single" w:color="auto" w:sz="4" w:space="0"/>
              <w:left w:val="single" w:color="auto" w:sz="4" w:space="0"/>
              <w:bottom w:val="single" w:color="auto" w:sz="4" w:space="0"/>
              <w:right w:val="single" w:color="auto" w:sz="4" w:space="0"/>
            </w:tcBorders>
          </w:tcPr>
          <w:p w14:paraId="71CC6A27">
            <w:pPr>
              <w:widowControl/>
              <w:shd w:val="clear"/>
              <w:spacing w:line="280" w:lineRule="exact"/>
              <w:textAlignment w:val="center"/>
              <w:rPr>
                <w:rFonts w:ascii="宋体" w:hAnsi="宋体" w:cs="宋体"/>
                <w:color w:val="auto"/>
                <w:szCs w:val="21"/>
                <w:highlight w:val="none"/>
              </w:rPr>
            </w:pPr>
          </w:p>
        </w:tc>
        <w:tc>
          <w:tcPr>
            <w:tcW w:w="674" w:type="pct"/>
            <w:tcBorders>
              <w:top w:val="single" w:color="auto" w:sz="4" w:space="0"/>
              <w:left w:val="single" w:color="auto" w:sz="4" w:space="0"/>
              <w:bottom w:val="single" w:color="auto" w:sz="4" w:space="0"/>
              <w:right w:val="single" w:color="auto" w:sz="4" w:space="0"/>
            </w:tcBorders>
          </w:tcPr>
          <w:p w14:paraId="5849D6BC">
            <w:pPr>
              <w:widowControl/>
              <w:shd w:val="clear"/>
              <w:spacing w:line="280" w:lineRule="exact"/>
              <w:textAlignment w:val="center"/>
              <w:rPr>
                <w:rFonts w:ascii="宋体" w:hAnsi="宋体" w:cs="宋体"/>
                <w:color w:val="auto"/>
                <w:szCs w:val="21"/>
                <w:highlight w:val="none"/>
              </w:rPr>
            </w:pPr>
          </w:p>
        </w:tc>
      </w:tr>
      <w:tr w14:paraId="4110A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39DC015">
            <w:pPr>
              <w:widowControl/>
              <w:shd w:val="clear"/>
              <w:spacing w:line="280" w:lineRule="exact"/>
              <w:textAlignment w:val="center"/>
              <w:rPr>
                <w:color w:val="auto"/>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7652A523">
            <w:pPr>
              <w:widowControl/>
              <w:shd w:val="clear"/>
              <w:spacing w:line="280" w:lineRule="exact"/>
              <w:textAlignment w:val="center"/>
              <w:rPr>
                <w:color w:val="auto"/>
                <w:highlight w:val="none"/>
              </w:rPr>
            </w:pPr>
          </w:p>
        </w:tc>
        <w:tc>
          <w:tcPr>
            <w:tcW w:w="402" w:type="pct"/>
            <w:tcBorders>
              <w:top w:val="single" w:color="auto" w:sz="4" w:space="0"/>
              <w:left w:val="single" w:color="auto" w:sz="4" w:space="0"/>
              <w:bottom w:val="single" w:color="auto" w:sz="4" w:space="0"/>
              <w:right w:val="single" w:color="auto" w:sz="4" w:space="0"/>
            </w:tcBorders>
          </w:tcPr>
          <w:p w14:paraId="2549B5EC">
            <w:pPr>
              <w:widowControl/>
              <w:shd w:val="clear"/>
              <w:spacing w:line="280" w:lineRule="exact"/>
              <w:textAlignment w:val="center"/>
              <w:rPr>
                <w:color w:val="auto"/>
                <w:highlight w:val="none"/>
              </w:rPr>
            </w:pPr>
          </w:p>
        </w:tc>
        <w:tc>
          <w:tcPr>
            <w:tcW w:w="674" w:type="pct"/>
            <w:tcBorders>
              <w:top w:val="single" w:color="auto" w:sz="4" w:space="0"/>
              <w:left w:val="single" w:color="auto" w:sz="4" w:space="0"/>
              <w:bottom w:val="single" w:color="auto" w:sz="4" w:space="0"/>
              <w:right w:val="single" w:color="auto" w:sz="4" w:space="0"/>
            </w:tcBorders>
          </w:tcPr>
          <w:p w14:paraId="28393BD7">
            <w:pPr>
              <w:widowControl/>
              <w:shd w:val="clear"/>
              <w:spacing w:line="280" w:lineRule="exact"/>
              <w:textAlignment w:val="center"/>
              <w:rPr>
                <w:color w:val="auto"/>
                <w:highlight w:val="none"/>
              </w:rPr>
            </w:pPr>
          </w:p>
        </w:tc>
      </w:tr>
      <w:tr w14:paraId="7E780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055B2D3">
            <w:pPr>
              <w:widowControl/>
              <w:shd w:val="clear"/>
              <w:spacing w:line="280" w:lineRule="exact"/>
              <w:jc w:val="center"/>
              <w:textAlignment w:val="center"/>
              <w:rPr>
                <w:rFonts w:ascii="宋体" w:hAnsi="宋体" w:cs="宋体"/>
                <w:color w:val="auto"/>
                <w:szCs w:val="21"/>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7215BB81">
            <w:pPr>
              <w:widowControl/>
              <w:shd w:val="clear"/>
              <w:spacing w:line="270" w:lineRule="exact"/>
              <w:textAlignment w:val="center"/>
              <w:rPr>
                <w:rFonts w:ascii="宋体" w:hAnsi="宋体" w:cs="宋体"/>
                <w:color w:val="auto"/>
                <w:szCs w:val="21"/>
                <w:highlight w:val="none"/>
              </w:rPr>
            </w:pPr>
          </w:p>
        </w:tc>
        <w:tc>
          <w:tcPr>
            <w:tcW w:w="402" w:type="pct"/>
            <w:tcBorders>
              <w:top w:val="single" w:color="auto" w:sz="4" w:space="0"/>
              <w:left w:val="single" w:color="auto" w:sz="4" w:space="0"/>
              <w:bottom w:val="single" w:color="auto" w:sz="4" w:space="0"/>
              <w:right w:val="single" w:color="auto" w:sz="4" w:space="0"/>
            </w:tcBorders>
          </w:tcPr>
          <w:p w14:paraId="25E3F7F2">
            <w:pPr>
              <w:widowControl/>
              <w:shd w:val="clear"/>
              <w:spacing w:line="270" w:lineRule="exact"/>
              <w:textAlignment w:val="center"/>
              <w:rPr>
                <w:rFonts w:ascii="宋体" w:hAnsi="宋体" w:cs="宋体"/>
                <w:color w:val="auto"/>
                <w:kern w:val="1"/>
                <w:szCs w:val="21"/>
                <w:highlight w:val="none"/>
              </w:rPr>
            </w:pPr>
          </w:p>
        </w:tc>
        <w:tc>
          <w:tcPr>
            <w:tcW w:w="674" w:type="pct"/>
            <w:tcBorders>
              <w:top w:val="single" w:color="auto" w:sz="4" w:space="0"/>
              <w:left w:val="single" w:color="auto" w:sz="4" w:space="0"/>
              <w:bottom w:val="single" w:color="auto" w:sz="4" w:space="0"/>
              <w:right w:val="single" w:color="auto" w:sz="4" w:space="0"/>
            </w:tcBorders>
          </w:tcPr>
          <w:p w14:paraId="39F5FEA0">
            <w:pPr>
              <w:widowControl/>
              <w:shd w:val="clear"/>
              <w:spacing w:line="270" w:lineRule="exact"/>
              <w:textAlignment w:val="center"/>
              <w:rPr>
                <w:rFonts w:ascii="宋体" w:hAnsi="宋体" w:cs="宋体"/>
                <w:color w:val="auto"/>
                <w:kern w:val="1"/>
                <w:szCs w:val="21"/>
                <w:highlight w:val="none"/>
              </w:rPr>
            </w:pPr>
          </w:p>
        </w:tc>
      </w:tr>
      <w:tr w14:paraId="571B7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072BC3C">
            <w:pPr>
              <w:widowControl/>
              <w:shd w:val="clear"/>
              <w:spacing w:line="280" w:lineRule="exact"/>
              <w:jc w:val="center"/>
              <w:textAlignment w:val="center"/>
              <w:rPr>
                <w:rFonts w:ascii="宋体" w:hAnsi="宋体" w:cs="宋体"/>
                <w:color w:val="auto"/>
                <w:szCs w:val="21"/>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7E1A1DE4">
            <w:pPr>
              <w:widowControl/>
              <w:shd w:val="clear"/>
              <w:spacing w:line="270" w:lineRule="exact"/>
              <w:textAlignment w:val="center"/>
              <w:rPr>
                <w:rFonts w:ascii="宋体" w:hAnsi="宋体" w:cs="宋体"/>
                <w:color w:val="auto"/>
                <w:szCs w:val="21"/>
                <w:highlight w:val="none"/>
              </w:rPr>
            </w:pPr>
          </w:p>
        </w:tc>
        <w:tc>
          <w:tcPr>
            <w:tcW w:w="402" w:type="pct"/>
            <w:tcBorders>
              <w:top w:val="single" w:color="auto" w:sz="4" w:space="0"/>
              <w:left w:val="single" w:color="auto" w:sz="4" w:space="0"/>
              <w:bottom w:val="single" w:color="auto" w:sz="4" w:space="0"/>
              <w:right w:val="single" w:color="auto" w:sz="4" w:space="0"/>
            </w:tcBorders>
          </w:tcPr>
          <w:p w14:paraId="6483C961">
            <w:pPr>
              <w:widowControl/>
              <w:shd w:val="clear"/>
              <w:spacing w:line="270" w:lineRule="exact"/>
              <w:textAlignment w:val="center"/>
              <w:rPr>
                <w:rFonts w:ascii="宋体" w:hAnsi="宋体" w:cs="宋体"/>
                <w:color w:val="auto"/>
                <w:szCs w:val="21"/>
                <w:highlight w:val="none"/>
              </w:rPr>
            </w:pPr>
          </w:p>
        </w:tc>
        <w:tc>
          <w:tcPr>
            <w:tcW w:w="674" w:type="pct"/>
            <w:tcBorders>
              <w:top w:val="single" w:color="auto" w:sz="4" w:space="0"/>
              <w:left w:val="single" w:color="auto" w:sz="4" w:space="0"/>
              <w:bottom w:val="single" w:color="auto" w:sz="4" w:space="0"/>
              <w:right w:val="single" w:color="auto" w:sz="4" w:space="0"/>
            </w:tcBorders>
          </w:tcPr>
          <w:p w14:paraId="39631615">
            <w:pPr>
              <w:widowControl/>
              <w:shd w:val="clear"/>
              <w:spacing w:line="270" w:lineRule="exact"/>
              <w:textAlignment w:val="center"/>
              <w:rPr>
                <w:rFonts w:ascii="宋体" w:hAnsi="宋体" w:cs="宋体"/>
                <w:color w:val="auto"/>
                <w:szCs w:val="21"/>
                <w:highlight w:val="none"/>
              </w:rPr>
            </w:pPr>
          </w:p>
        </w:tc>
      </w:tr>
      <w:tr w14:paraId="154C1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348B968F">
            <w:pPr>
              <w:widowControl/>
              <w:shd w:val="clear"/>
              <w:spacing w:line="280" w:lineRule="exact"/>
              <w:jc w:val="center"/>
              <w:textAlignment w:val="center"/>
              <w:rPr>
                <w:rFonts w:ascii="宋体" w:hAnsi="宋体" w:cs="宋体"/>
                <w:color w:val="auto"/>
                <w:szCs w:val="21"/>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244FC853">
            <w:pPr>
              <w:widowControl/>
              <w:shd w:val="clear"/>
              <w:spacing w:line="270" w:lineRule="exact"/>
              <w:textAlignment w:val="center"/>
              <w:rPr>
                <w:rFonts w:ascii="宋体" w:hAnsi="宋体" w:cs="宋体"/>
                <w:color w:val="auto"/>
                <w:szCs w:val="21"/>
                <w:highlight w:val="none"/>
              </w:rPr>
            </w:pPr>
          </w:p>
        </w:tc>
        <w:tc>
          <w:tcPr>
            <w:tcW w:w="402" w:type="pct"/>
            <w:tcBorders>
              <w:top w:val="single" w:color="auto" w:sz="4" w:space="0"/>
              <w:left w:val="single" w:color="auto" w:sz="4" w:space="0"/>
              <w:bottom w:val="single" w:color="auto" w:sz="4" w:space="0"/>
              <w:right w:val="single" w:color="auto" w:sz="4" w:space="0"/>
            </w:tcBorders>
          </w:tcPr>
          <w:p w14:paraId="532F5129">
            <w:pPr>
              <w:widowControl/>
              <w:shd w:val="clear"/>
              <w:spacing w:line="270" w:lineRule="exact"/>
              <w:textAlignment w:val="center"/>
              <w:rPr>
                <w:rFonts w:ascii="宋体" w:hAnsi="宋体" w:cs="宋体"/>
                <w:color w:val="auto"/>
                <w:szCs w:val="21"/>
                <w:highlight w:val="none"/>
              </w:rPr>
            </w:pPr>
          </w:p>
        </w:tc>
        <w:tc>
          <w:tcPr>
            <w:tcW w:w="674" w:type="pct"/>
            <w:tcBorders>
              <w:top w:val="single" w:color="auto" w:sz="4" w:space="0"/>
              <w:left w:val="single" w:color="auto" w:sz="4" w:space="0"/>
              <w:bottom w:val="single" w:color="auto" w:sz="4" w:space="0"/>
              <w:right w:val="single" w:color="auto" w:sz="4" w:space="0"/>
            </w:tcBorders>
          </w:tcPr>
          <w:p w14:paraId="0F4AB976">
            <w:pPr>
              <w:widowControl/>
              <w:shd w:val="clear"/>
              <w:spacing w:line="270" w:lineRule="exact"/>
              <w:textAlignment w:val="center"/>
              <w:rPr>
                <w:rFonts w:ascii="宋体" w:hAnsi="宋体" w:cs="宋体"/>
                <w:color w:val="auto"/>
                <w:szCs w:val="21"/>
                <w:highlight w:val="none"/>
              </w:rPr>
            </w:pPr>
          </w:p>
        </w:tc>
      </w:tr>
      <w:tr w14:paraId="000B7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CD07893">
            <w:pPr>
              <w:widowControl/>
              <w:shd w:val="clear"/>
              <w:spacing w:line="280" w:lineRule="exact"/>
              <w:jc w:val="center"/>
              <w:textAlignment w:val="center"/>
              <w:rPr>
                <w:color w:val="auto"/>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15885181">
            <w:pPr>
              <w:widowControl/>
              <w:shd w:val="clear"/>
              <w:spacing w:line="280" w:lineRule="exact"/>
              <w:textAlignment w:val="center"/>
              <w:rPr>
                <w:color w:val="auto"/>
                <w:highlight w:val="none"/>
              </w:rPr>
            </w:pPr>
          </w:p>
        </w:tc>
        <w:tc>
          <w:tcPr>
            <w:tcW w:w="402" w:type="pct"/>
            <w:tcBorders>
              <w:top w:val="single" w:color="auto" w:sz="4" w:space="0"/>
              <w:left w:val="single" w:color="auto" w:sz="4" w:space="0"/>
              <w:bottom w:val="single" w:color="auto" w:sz="4" w:space="0"/>
              <w:right w:val="single" w:color="auto" w:sz="4" w:space="0"/>
            </w:tcBorders>
          </w:tcPr>
          <w:p w14:paraId="3DD038C7">
            <w:pPr>
              <w:widowControl/>
              <w:shd w:val="clear"/>
              <w:spacing w:line="280" w:lineRule="exact"/>
              <w:textAlignment w:val="center"/>
              <w:rPr>
                <w:color w:val="auto"/>
                <w:highlight w:val="none"/>
              </w:rPr>
            </w:pPr>
          </w:p>
        </w:tc>
        <w:tc>
          <w:tcPr>
            <w:tcW w:w="674" w:type="pct"/>
            <w:tcBorders>
              <w:top w:val="single" w:color="auto" w:sz="4" w:space="0"/>
              <w:left w:val="single" w:color="auto" w:sz="4" w:space="0"/>
              <w:bottom w:val="single" w:color="auto" w:sz="4" w:space="0"/>
              <w:right w:val="single" w:color="auto" w:sz="4" w:space="0"/>
            </w:tcBorders>
          </w:tcPr>
          <w:p w14:paraId="02149752">
            <w:pPr>
              <w:widowControl/>
              <w:shd w:val="clear"/>
              <w:spacing w:line="280" w:lineRule="exact"/>
              <w:textAlignment w:val="center"/>
              <w:rPr>
                <w:color w:val="auto"/>
                <w:highlight w:val="none"/>
              </w:rPr>
            </w:pPr>
          </w:p>
        </w:tc>
      </w:tr>
      <w:tr w14:paraId="02CDF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86C814F">
            <w:pPr>
              <w:widowControl/>
              <w:shd w:val="clear"/>
              <w:spacing w:line="280" w:lineRule="exact"/>
              <w:jc w:val="center"/>
              <w:textAlignment w:val="center"/>
              <w:rPr>
                <w:color w:val="auto"/>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3718A0C8">
            <w:pPr>
              <w:widowControl/>
              <w:shd w:val="clear"/>
              <w:spacing w:line="280" w:lineRule="exact"/>
              <w:textAlignment w:val="center"/>
              <w:rPr>
                <w:color w:val="auto"/>
                <w:highlight w:val="none"/>
              </w:rPr>
            </w:pPr>
          </w:p>
        </w:tc>
        <w:tc>
          <w:tcPr>
            <w:tcW w:w="402" w:type="pct"/>
            <w:tcBorders>
              <w:top w:val="single" w:color="auto" w:sz="4" w:space="0"/>
              <w:left w:val="single" w:color="auto" w:sz="4" w:space="0"/>
              <w:bottom w:val="single" w:color="auto" w:sz="4" w:space="0"/>
              <w:right w:val="single" w:color="auto" w:sz="4" w:space="0"/>
            </w:tcBorders>
          </w:tcPr>
          <w:p w14:paraId="369B87B6">
            <w:pPr>
              <w:widowControl/>
              <w:shd w:val="clear"/>
              <w:spacing w:line="280" w:lineRule="exact"/>
              <w:textAlignment w:val="center"/>
              <w:rPr>
                <w:color w:val="auto"/>
                <w:highlight w:val="none"/>
              </w:rPr>
            </w:pPr>
          </w:p>
        </w:tc>
        <w:tc>
          <w:tcPr>
            <w:tcW w:w="674" w:type="pct"/>
            <w:tcBorders>
              <w:top w:val="single" w:color="auto" w:sz="4" w:space="0"/>
              <w:left w:val="single" w:color="auto" w:sz="4" w:space="0"/>
              <w:bottom w:val="single" w:color="auto" w:sz="4" w:space="0"/>
              <w:right w:val="single" w:color="auto" w:sz="4" w:space="0"/>
            </w:tcBorders>
          </w:tcPr>
          <w:p w14:paraId="664B4B52">
            <w:pPr>
              <w:widowControl/>
              <w:shd w:val="clear"/>
              <w:spacing w:line="280" w:lineRule="exact"/>
              <w:textAlignment w:val="center"/>
              <w:rPr>
                <w:color w:val="auto"/>
                <w:highlight w:val="none"/>
              </w:rPr>
            </w:pPr>
          </w:p>
        </w:tc>
      </w:tr>
      <w:tr w14:paraId="2C424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6A593F7">
            <w:pPr>
              <w:widowControl/>
              <w:shd w:val="clear"/>
              <w:spacing w:line="280" w:lineRule="exact"/>
              <w:jc w:val="center"/>
              <w:textAlignment w:val="center"/>
              <w:rPr>
                <w:color w:val="auto"/>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4A5FABB8">
            <w:pPr>
              <w:widowControl/>
              <w:shd w:val="clear"/>
              <w:spacing w:line="280" w:lineRule="exact"/>
              <w:textAlignment w:val="center"/>
              <w:rPr>
                <w:color w:val="auto"/>
                <w:highlight w:val="none"/>
              </w:rPr>
            </w:pPr>
          </w:p>
        </w:tc>
        <w:tc>
          <w:tcPr>
            <w:tcW w:w="402" w:type="pct"/>
            <w:tcBorders>
              <w:top w:val="single" w:color="auto" w:sz="4" w:space="0"/>
              <w:left w:val="single" w:color="auto" w:sz="4" w:space="0"/>
              <w:bottom w:val="single" w:color="auto" w:sz="4" w:space="0"/>
              <w:right w:val="single" w:color="auto" w:sz="4" w:space="0"/>
            </w:tcBorders>
          </w:tcPr>
          <w:p w14:paraId="2E88BE5D">
            <w:pPr>
              <w:widowControl/>
              <w:shd w:val="clear"/>
              <w:spacing w:line="280" w:lineRule="exact"/>
              <w:textAlignment w:val="center"/>
              <w:rPr>
                <w:color w:val="auto"/>
                <w:highlight w:val="none"/>
              </w:rPr>
            </w:pPr>
          </w:p>
        </w:tc>
        <w:tc>
          <w:tcPr>
            <w:tcW w:w="674" w:type="pct"/>
            <w:tcBorders>
              <w:top w:val="single" w:color="auto" w:sz="4" w:space="0"/>
              <w:left w:val="single" w:color="auto" w:sz="4" w:space="0"/>
              <w:bottom w:val="single" w:color="auto" w:sz="4" w:space="0"/>
              <w:right w:val="single" w:color="auto" w:sz="4" w:space="0"/>
            </w:tcBorders>
          </w:tcPr>
          <w:p w14:paraId="164B9C1B">
            <w:pPr>
              <w:widowControl/>
              <w:shd w:val="clear"/>
              <w:spacing w:line="280" w:lineRule="exact"/>
              <w:textAlignment w:val="center"/>
              <w:rPr>
                <w:color w:val="auto"/>
                <w:highlight w:val="none"/>
              </w:rPr>
            </w:pPr>
          </w:p>
        </w:tc>
      </w:tr>
      <w:tr w14:paraId="04F92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BD2BCFB">
            <w:pPr>
              <w:widowControl/>
              <w:shd w:val="clear"/>
              <w:spacing w:line="280" w:lineRule="exact"/>
              <w:jc w:val="center"/>
              <w:rPr>
                <w:rFonts w:ascii="宋体" w:hAnsi="宋体" w:cs="宋体"/>
                <w:color w:val="auto"/>
                <w:szCs w:val="21"/>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76CCEC1C">
            <w:pPr>
              <w:widowControl/>
              <w:shd w:val="clear"/>
              <w:spacing w:line="270" w:lineRule="exact"/>
              <w:jc w:val="left"/>
              <w:rPr>
                <w:rFonts w:ascii="宋体" w:hAnsi="宋体" w:cs="宋体"/>
                <w:color w:val="auto"/>
                <w:szCs w:val="21"/>
                <w:highlight w:val="none"/>
              </w:rPr>
            </w:pPr>
          </w:p>
        </w:tc>
        <w:tc>
          <w:tcPr>
            <w:tcW w:w="402" w:type="pct"/>
            <w:tcBorders>
              <w:top w:val="single" w:color="auto" w:sz="4" w:space="0"/>
              <w:left w:val="single" w:color="auto" w:sz="4" w:space="0"/>
              <w:bottom w:val="single" w:color="auto" w:sz="4" w:space="0"/>
              <w:right w:val="single" w:color="auto" w:sz="4" w:space="0"/>
            </w:tcBorders>
          </w:tcPr>
          <w:p w14:paraId="09E6C751">
            <w:pPr>
              <w:widowControl/>
              <w:shd w:val="clear"/>
              <w:tabs>
                <w:tab w:val="left" w:pos="0"/>
              </w:tabs>
              <w:spacing w:line="270" w:lineRule="exact"/>
              <w:rPr>
                <w:rFonts w:ascii="宋体" w:hAnsi="宋体" w:cs="宋体"/>
                <w:color w:val="auto"/>
                <w:kern w:val="0"/>
                <w:szCs w:val="21"/>
                <w:highlight w:val="none"/>
              </w:rPr>
            </w:pPr>
          </w:p>
        </w:tc>
        <w:tc>
          <w:tcPr>
            <w:tcW w:w="674" w:type="pct"/>
            <w:tcBorders>
              <w:top w:val="single" w:color="auto" w:sz="4" w:space="0"/>
              <w:left w:val="single" w:color="auto" w:sz="4" w:space="0"/>
              <w:bottom w:val="single" w:color="auto" w:sz="4" w:space="0"/>
              <w:right w:val="single" w:color="auto" w:sz="4" w:space="0"/>
            </w:tcBorders>
          </w:tcPr>
          <w:p w14:paraId="38292366">
            <w:pPr>
              <w:widowControl/>
              <w:shd w:val="clear"/>
              <w:tabs>
                <w:tab w:val="left" w:pos="0"/>
              </w:tabs>
              <w:spacing w:line="270" w:lineRule="exact"/>
              <w:rPr>
                <w:rFonts w:ascii="宋体" w:hAnsi="宋体" w:cs="宋体"/>
                <w:color w:val="auto"/>
                <w:kern w:val="0"/>
                <w:szCs w:val="21"/>
                <w:highlight w:val="none"/>
              </w:rPr>
            </w:pPr>
          </w:p>
        </w:tc>
      </w:tr>
      <w:tr w14:paraId="3F2E8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273ACD2">
            <w:pPr>
              <w:widowControl/>
              <w:shd w:val="clear"/>
              <w:spacing w:line="280" w:lineRule="exact"/>
              <w:jc w:val="center"/>
              <w:textAlignment w:val="center"/>
              <w:rPr>
                <w:color w:val="auto"/>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09C0D616">
            <w:pPr>
              <w:shd w:val="clear"/>
              <w:rPr>
                <w:color w:val="auto"/>
                <w:highlight w:val="none"/>
              </w:rPr>
            </w:pPr>
          </w:p>
        </w:tc>
        <w:tc>
          <w:tcPr>
            <w:tcW w:w="402" w:type="pct"/>
            <w:tcBorders>
              <w:top w:val="single" w:color="auto" w:sz="4" w:space="0"/>
              <w:left w:val="single" w:color="auto" w:sz="4" w:space="0"/>
              <w:bottom w:val="single" w:color="auto" w:sz="4" w:space="0"/>
              <w:right w:val="single" w:color="auto" w:sz="4" w:space="0"/>
            </w:tcBorders>
          </w:tcPr>
          <w:p w14:paraId="68B77AD4">
            <w:pPr>
              <w:shd w:val="clear"/>
              <w:rPr>
                <w:color w:val="auto"/>
                <w:highlight w:val="none"/>
              </w:rPr>
            </w:pPr>
          </w:p>
        </w:tc>
        <w:tc>
          <w:tcPr>
            <w:tcW w:w="674" w:type="pct"/>
            <w:tcBorders>
              <w:top w:val="single" w:color="auto" w:sz="4" w:space="0"/>
              <w:left w:val="single" w:color="auto" w:sz="4" w:space="0"/>
              <w:bottom w:val="single" w:color="auto" w:sz="4" w:space="0"/>
              <w:right w:val="single" w:color="auto" w:sz="4" w:space="0"/>
            </w:tcBorders>
          </w:tcPr>
          <w:p w14:paraId="1AA5E7A1">
            <w:pPr>
              <w:shd w:val="clear"/>
              <w:rPr>
                <w:color w:val="auto"/>
                <w:highlight w:val="none"/>
              </w:rPr>
            </w:pPr>
          </w:p>
        </w:tc>
      </w:tr>
      <w:tr w14:paraId="10CB7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511BEB1">
            <w:pPr>
              <w:widowControl/>
              <w:shd w:val="clear"/>
              <w:spacing w:line="280" w:lineRule="exact"/>
              <w:jc w:val="center"/>
              <w:textAlignment w:val="center"/>
              <w:rPr>
                <w:rFonts w:ascii="宋体" w:hAnsi="宋体" w:cs="宋体"/>
                <w:color w:val="auto"/>
                <w:szCs w:val="21"/>
                <w:highlight w:val="none"/>
              </w:rPr>
            </w:pPr>
          </w:p>
        </w:tc>
        <w:tc>
          <w:tcPr>
            <w:tcW w:w="6744" w:type="dxa"/>
            <w:tcBorders>
              <w:top w:val="single" w:color="auto" w:sz="4" w:space="0"/>
              <w:left w:val="single" w:color="auto" w:sz="4" w:space="0"/>
              <w:bottom w:val="single" w:color="auto" w:sz="4" w:space="0"/>
              <w:right w:val="single" w:color="auto" w:sz="4" w:space="0"/>
            </w:tcBorders>
            <w:vAlign w:val="center"/>
          </w:tcPr>
          <w:p w14:paraId="6F2032EB">
            <w:pPr>
              <w:widowControl/>
              <w:shd w:val="clear"/>
              <w:spacing w:line="270" w:lineRule="exact"/>
              <w:textAlignment w:val="center"/>
              <w:rPr>
                <w:rFonts w:ascii="宋体" w:hAnsi="宋体" w:cs="宋体"/>
                <w:color w:val="auto"/>
                <w:szCs w:val="21"/>
                <w:highlight w:val="none"/>
              </w:rPr>
            </w:pPr>
          </w:p>
        </w:tc>
        <w:tc>
          <w:tcPr>
            <w:tcW w:w="402" w:type="pct"/>
            <w:tcBorders>
              <w:top w:val="single" w:color="auto" w:sz="4" w:space="0"/>
              <w:left w:val="single" w:color="auto" w:sz="4" w:space="0"/>
              <w:bottom w:val="single" w:color="auto" w:sz="4" w:space="0"/>
              <w:right w:val="single" w:color="auto" w:sz="4" w:space="0"/>
            </w:tcBorders>
          </w:tcPr>
          <w:p w14:paraId="1C419FAD">
            <w:pPr>
              <w:widowControl/>
              <w:shd w:val="clear"/>
              <w:spacing w:line="270" w:lineRule="exact"/>
              <w:textAlignment w:val="center"/>
              <w:rPr>
                <w:rFonts w:ascii="宋体" w:hAnsi="宋体" w:cs="宋体"/>
                <w:color w:val="auto"/>
                <w:szCs w:val="21"/>
                <w:highlight w:val="none"/>
              </w:rPr>
            </w:pPr>
          </w:p>
        </w:tc>
        <w:tc>
          <w:tcPr>
            <w:tcW w:w="674" w:type="pct"/>
            <w:tcBorders>
              <w:top w:val="single" w:color="auto" w:sz="4" w:space="0"/>
              <w:left w:val="single" w:color="auto" w:sz="4" w:space="0"/>
              <w:bottom w:val="single" w:color="auto" w:sz="4" w:space="0"/>
              <w:right w:val="single" w:color="auto" w:sz="4" w:space="0"/>
            </w:tcBorders>
          </w:tcPr>
          <w:p w14:paraId="19CF51C4">
            <w:pPr>
              <w:widowControl/>
              <w:shd w:val="clear"/>
              <w:spacing w:line="270" w:lineRule="exact"/>
              <w:textAlignment w:val="center"/>
              <w:rPr>
                <w:rFonts w:ascii="宋体" w:hAnsi="宋体" w:cs="宋体"/>
                <w:color w:val="auto"/>
                <w:szCs w:val="21"/>
                <w:highlight w:val="none"/>
              </w:rPr>
            </w:pPr>
          </w:p>
        </w:tc>
      </w:tr>
    </w:tbl>
    <w:p w14:paraId="1F761781">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24CA197D">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16AAFA83">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2E9705C9">
      <w:pPr>
        <w:widowControl/>
        <w:shd w:val="clear"/>
        <w:jc w:val="left"/>
        <w:rPr>
          <w:rFonts w:asciiTheme="majorEastAsia" w:hAnsiTheme="majorEastAsia" w:eastAsiaTheme="majorEastAsia"/>
          <w:color w:val="auto"/>
          <w:sz w:val="28"/>
          <w:highlight w:val="none"/>
          <w:lang w:val="zh-CN"/>
        </w:rPr>
      </w:pPr>
    </w:p>
    <w:p w14:paraId="4FDD402E">
      <w:pPr>
        <w:pStyle w:val="25"/>
        <w:shd w:val="clear"/>
        <w:ind w:firstLine="560"/>
        <w:rPr>
          <w:rFonts w:asciiTheme="majorEastAsia" w:hAnsiTheme="majorEastAsia" w:eastAsiaTheme="majorEastAsia"/>
          <w:color w:val="auto"/>
          <w:highlight w:val="none"/>
          <w:lang w:val="zh-CN"/>
        </w:rPr>
      </w:pPr>
    </w:p>
    <w:p w14:paraId="060A649C">
      <w:pPr>
        <w:widowControl/>
        <w:shd w:val="clear"/>
        <w:jc w:val="left"/>
        <w:rPr>
          <w:rFonts w:asciiTheme="majorEastAsia" w:hAnsiTheme="majorEastAsia" w:eastAsiaTheme="majorEastAsia"/>
          <w:color w:val="auto"/>
          <w:sz w:val="28"/>
          <w:highlight w:val="none"/>
          <w:lang w:val="zh-CN"/>
        </w:rPr>
      </w:pPr>
      <w:r>
        <w:rPr>
          <w:rFonts w:asciiTheme="majorEastAsia" w:hAnsiTheme="majorEastAsia" w:eastAsiaTheme="majorEastAsia"/>
          <w:color w:val="auto"/>
          <w:highlight w:val="none"/>
          <w:lang w:val="zh-CN"/>
        </w:rPr>
        <w:br w:type="page"/>
      </w:r>
    </w:p>
    <w:p w14:paraId="1966F1F0">
      <w:pPr>
        <w:pStyle w:val="25"/>
        <w:shd w:val="clear"/>
        <w:ind w:firstLine="560"/>
        <w:rPr>
          <w:rFonts w:asciiTheme="majorEastAsia" w:hAnsiTheme="majorEastAsia" w:eastAsiaTheme="majorEastAsia"/>
          <w:color w:val="auto"/>
          <w:highlight w:val="none"/>
          <w:lang w:val="zh-CN"/>
        </w:rPr>
      </w:pPr>
    </w:p>
    <w:p w14:paraId="75E50EA7">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九、服务响应表</w:t>
      </w:r>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27"/>
        <w:gridCol w:w="3270"/>
        <w:gridCol w:w="2008"/>
      </w:tblGrid>
      <w:tr w14:paraId="2073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389F4FD2">
            <w:pPr>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227" w:type="dxa"/>
          </w:tcPr>
          <w:p w14:paraId="5EA91759">
            <w:pPr>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270" w:type="dxa"/>
          </w:tcPr>
          <w:p w14:paraId="5A728766">
            <w:pPr>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2008" w:type="dxa"/>
          </w:tcPr>
          <w:p w14:paraId="0E76F139">
            <w:pPr>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响应或偏离说明</w:t>
            </w:r>
          </w:p>
        </w:tc>
      </w:tr>
      <w:tr w14:paraId="4B0D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4C8AE73">
            <w:pPr>
              <w:shd w:val="clea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227" w:type="dxa"/>
          </w:tcPr>
          <w:p w14:paraId="0E492A0C">
            <w:pPr>
              <w:shd w:val="clear"/>
              <w:spacing w:line="360" w:lineRule="auto"/>
              <w:jc w:val="center"/>
              <w:rPr>
                <w:rFonts w:ascii="仿宋" w:hAnsi="仿宋" w:eastAsia="仿宋" w:cs="仿宋"/>
                <w:b/>
                <w:color w:val="auto"/>
                <w:kern w:val="0"/>
                <w:sz w:val="32"/>
                <w:szCs w:val="32"/>
                <w:highlight w:val="none"/>
              </w:rPr>
            </w:pPr>
          </w:p>
        </w:tc>
        <w:tc>
          <w:tcPr>
            <w:tcW w:w="3270" w:type="dxa"/>
          </w:tcPr>
          <w:p w14:paraId="41D6732D">
            <w:pPr>
              <w:shd w:val="clear"/>
              <w:spacing w:line="360" w:lineRule="auto"/>
              <w:jc w:val="center"/>
              <w:rPr>
                <w:rFonts w:ascii="仿宋" w:hAnsi="仿宋" w:eastAsia="仿宋" w:cs="仿宋"/>
                <w:b/>
                <w:color w:val="auto"/>
                <w:kern w:val="0"/>
                <w:sz w:val="32"/>
                <w:szCs w:val="32"/>
                <w:highlight w:val="none"/>
              </w:rPr>
            </w:pPr>
          </w:p>
        </w:tc>
        <w:tc>
          <w:tcPr>
            <w:tcW w:w="2008" w:type="dxa"/>
          </w:tcPr>
          <w:p w14:paraId="16FAE97A">
            <w:pPr>
              <w:shd w:val="clear"/>
              <w:spacing w:line="360" w:lineRule="auto"/>
              <w:jc w:val="center"/>
              <w:rPr>
                <w:rFonts w:ascii="仿宋" w:hAnsi="仿宋" w:eastAsia="仿宋" w:cs="仿宋"/>
                <w:b/>
                <w:color w:val="auto"/>
                <w:kern w:val="0"/>
                <w:sz w:val="32"/>
                <w:szCs w:val="32"/>
                <w:highlight w:val="none"/>
              </w:rPr>
            </w:pPr>
          </w:p>
        </w:tc>
      </w:tr>
      <w:tr w14:paraId="5CAF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1668F3F">
            <w:pPr>
              <w:shd w:val="clea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227" w:type="dxa"/>
          </w:tcPr>
          <w:p w14:paraId="395D5691">
            <w:pPr>
              <w:shd w:val="clear"/>
              <w:spacing w:line="360" w:lineRule="auto"/>
              <w:jc w:val="center"/>
              <w:rPr>
                <w:rFonts w:ascii="仿宋" w:hAnsi="仿宋" w:eastAsia="仿宋" w:cs="仿宋"/>
                <w:b/>
                <w:color w:val="auto"/>
                <w:kern w:val="0"/>
                <w:sz w:val="32"/>
                <w:szCs w:val="32"/>
                <w:highlight w:val="none"/>
              </w:rPr>
            </w:pPr>
          </w:p>
        </w:tc>
        <w:tc>
          <w:tcPr>
            <w:tcW w:w="3270" w:type="dxa"/>
          </w:tcPr>
          <w:p w14:paraId="468255F9">
            <w:pPr>
              <w:shd w:val="clear"/>
              <w:spacing w:line="360" w:lineRule="auto"/>
              <w:jc w:val="center"/>
              <w:rPr>
                <w:rFonts w:ascii="仿宋" w:hAnsi="仿宋" w:eastAsia="仿宋" w:cs="仿宋"/>
                <w:b/>
                <w:color w:val="auto"/>
                <w:kern w:val="0"/>
                <w:sz w:val="32"/>
                <w:szCs w:val="32"/>
                <w:highlight w:val="none"/>
              </w:rPr>
            </w:pPr>
          </w:p>
        </w:tc>
        <w:tc>
          <w:tcPr>
            <w:tcW w:w="2008" w:type="dxa"/>
          </w:tcPr>
          <w:p w14:paraId="13A83D30">
            <w:pPr>
              <w:shd w:val="clear"/>
              <w:spacing w:line="360" w:lineRule="auto"/>
              <w:jc w:val="center"/>
              <w:rPr>
                <w:rFonts w:ascii="仿宋" w:hAnsi="仿宋" w:eastAsia="仿宋" w:cs="仿宋"/>
                <w:b/>
                <w:color w:val="auto"/>
                <w:kern w:val="0"/>
                <w:sz w:val="32"/>
                <w:szCs w:val="32"/>
                <w:highlight w:val="none"/>
              </w:rPr>
            </w:pPr>
          </w:p>
        </w:tc>
      </w:tr>
      <w:tr w14:paraId="4ED3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328ACA53">
            <w:pPr>
              <w:shd w:val="clea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227" w:type="dxa"/>
          </w:tcPr>
          <w:p w14:paraId="1AEE1438">
            <w:pPr>
              <w:shd w:val="clear"/>
              <w:spacing w:line="360" w:lineRule="auto"/>
              <w:jc w:val="center"/>
              <w:rPr>
                <w:rFonts w:ascii="仿宋" w:hAnsi="仿宋" w:eastAsia="仿宋" w:cs="仿宋"/>
                <w:b/>
                <w:color w:val="auto"/>
                <w:kern w:val="0"/>
                <w:sz w:val="32"/>
                <w:szCs w:val="32"/>
                <w:highlight w:val="none"/>
              </w:rPr>
            </w:pPr>
          </w:p>
        </w:tc>
        <w:tc>
          <w:tcPr>
            <w:tcW w:w="3270" w:type="dxa"/>
          </w:tcPr>
          <w:p w14:paraId="59FA7984">
            <w:pPr>
              <w:shd w:val="clear"/>
              <w:spacing w:line="360" w:lineRule="auto"/>
              <w:jc w:val="center"/>
              <w:rPr>
                <w:rFonts w:ascii="仿宋" w:hAnsi="仿宋" w:eastAsia="仿宋" w:cs="仿宋"/>
                <w:b/>
                <w:color w:val="auto"/>
                <w:kern w:val="0"/>
                <w:sz w:val="32"/>
                <w:szCs w:val="32"/>
                <w:highlight w:val="none"/>
              </w:rPr>
            </w:pPr>
          </w:p>
        </w:tc>
        <w:tc>
          <w:tcPr>
            <w:tcW w:w="2008" w:type="dxa"/>
          </w:tcPr>
          <w:p w14:paraId="54F6DA0D">
            <w:pPr>
              <w:shd w:val="clear"/>
              <w:spacing w:line="360" w:lineRule="auto"/>
              <w:jc w:val="center"/>
              <w:rPr>
                <w:rFonts w:ascii="仿宋" w:hAnsi="仿宋" w:eastAsia="仿宋" w:cs="仿宋"/>
                <w:b/>
                <w:color w:val="auto"/>
                <w:kern w:val="0"/>
                <w:sz w:val="32"/>
                <w:szCs w:val="32"/>
                <w:highlight w:val="none"/>
              </w:rPr>
            </w:pPr>
          </w:p>
        </w:tc>
      </w:tr>
    </w:tbl>
    <w:p w14:paraId="6F91252E">
      <w:pPr>
        <w:shd w:val="clear"/>
        <w:spacing w:line="360" w:lineRule="auto"/>
        <w:ind w:firstLine="3360" w:firstLineChars="1600"/>
        <w:rPr>
          <w:rFonts w:ascii="宋体" w:hAnsi="宋体" w:cs="宋体"/>
          <w:color w:val="auto"/>
          <w:highlight w:val="none"/>
        </w:rPr>
      </w:pPr>
    </w:p>
    <w:p w14:paraId="2B8DA81E">
      <w:pPr>
        <w:shd w:val="clear"/>
        <w:spacing w:line="360" w:lineRule="auto"/>
        <w:ind w:firstLine="3360" w:firstLineChars="1600"/>
        <w:rPr>
          <w:rFonts w:ascii="宋体" w:hAnsi="宋体" w:cs="宋体"/>
          <w:color w:val="auto"/>
          <w:highlight w:val="none"/>
        </w:rPr>
      </w:pPr>
      <w:r>
        <w:rPr>
          <w:rFonts w:hint="eastAsia" w:ascii="宋体" w:hAnsi="宋体" w:cs="宋体"/>
          <w:color w:val="auto"/>
          <w:highlight w:val="none"/>
        </w:rPr>
        <w:t>法定代表人或其授权委托人（签名或印章）：</w:t>
      </w:r>
    </w:p>
    <w:p w14:paraId="6069D2C8">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1BD52681">
      <w:pPr>
        <w:shd w:val="clear"/>
        <w:spacing w:line="360" w:lineRule="auto"/>
        <w:rPr>
          <w:rFonts w:ascii="宋体" w:hAnsi="宋体" w:cs="宋体"/>
          <w:color w:val="auto"/>
          <w:sz w:val="24"/>
          <w:highlight w:val="none"/>
        </w:rPr>
      </w:pPr>
      <w:r>
        <w:rPr>
          <w:rFonts w:hint="eastAsia" w:ascii="宋体" w:hAnsi="宋体" w:cs="宋体"/>
          <w:color w:val="auto"/>
          <w:highlight w:val="none"/>
        </w:rPr>
        <w:t xml:space="preserve">                                              日期：</w:t>
      </w:r>
    </w:p>
    <w:p w14:paraId="784C0BEA">
      <w:pPr>
        <w:pStyle w:val="25"/>
        <w:shd w:val="clear"/>
        <w:ind w:firstLine="588"/>
        <w:rPr>
          <w:color w:val="auto"/>
          <w:highlight w:val="none"/>
        </w:rPr>
      </w:pPr>
    </w:p>
    <w:p w14:paraId="2C5BB18C">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十、同类业绩情况一览表</w:t>
      </w:r>
    </w:p>
    <w:p w14:paraId="17A1E139">
      <w:pPr>
        <w:shd w:val="clear"/>
        <w:spacing w:line="360" w:lineRule="auto"/>
        <w:jc w:val="center"/>
        <w:rPr>
          <w:rFonts w:cs="仿宋" w:asciiTheme="majorEastAsia" w:hAnsiTheme="majorEastAsia" w:eastAsiaTheme="majorEastAsia"/>
          <w:color w:val="auto"/>
          <w:highlight w:val="none"/>
        </w:rPr>
      </w:pPr>
    </w:p>
    <w:tbl>
      <w:tblPr>
        <w:tblStyle w:val="19"/>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76C2C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19385D79">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3A84B564">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采购单位名称</w:t>
            </w:r>
          </w:p>
        </w:tc>
        <w:tc>
          <w:tcPr>
            <w:tcW w:w="1732" w:type="dxa"/>
            <w:tcBorders>
              <w:top w:val="single" w:color="auto" w:sz="4" w:space="0"/>
              <w:left w:val="single" w:color="auto" w:sz="4" w:space="0"/>
              <w:right w:val="single" w:color="auto" w:sz="4" w:space="0"/>
            </w:tcBorders>
            <w:vAlign w:val="center"/>
          </w:tcPr>
          <w:p w14:paraId="71DA53BC">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6D27D537">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合同金额</w:t>
            </w:r>
          </w:p>
          <w:p w14:paraId="29B3D019">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60853C0E">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1AC2CF93">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合同签订时间</w:t>
            </w:r>
          </w:p>
        </w:tc>
      </w:tr>
      <w:tr w14:paraId="1EF53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6D06C0F">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3870EF61">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634C5F6">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335BDDA4">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DB71BAB">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80832D5">
            <w:pPr>
              <w:shd w:val="clear"/>
              <w:spacing w:line="360" w:lineRule="auto"/>
              <w:jc w:val="left"/>
              <w:rPr>
                <w:rFonts w:cs="仿宋" w:asciiTheme="majorEastAsia" w:hAnsiTheme="majorEastAsia" w:eastAsiaTheme="majorEastAsia"/>
                <w:color w:val="auto"/>
                <w:kern w:val="0"/>
                <w:sz w:val="24"/>
                <w:highlight w:val="none"/>
              </w:rPr>
            </w:pPr>
          </w:p>
        </w:tc>
      </w:tr>
      <w:tr w14:paraId="04BEF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DE7E132">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2F138323">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29C56E8C">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559D3D9">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66C7BB6">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7430853">
            <w:pPr>
              <w:shd w:val="clear"/>
              <w:spacing w:line="360" w:lineRule="auto"/>
              <w:jc w:val="left"/>
              <w:rPr>
                <w:rFonts w:cs="仿宋" w:asciiTheme="majorEastAsia" w:hAnsiTheme="majorEastAsia" w:eastAsiaTheme="majorEastAsia"/>
                <w:color w:val="auto"/>
                <w:kern w:val="0"/>
                <w:sz w:val="24"/>
                <w:highlight w:val="none"/>
              </w:rPr>
            </w:pPr>
          </w:p>
        </w:tc>
      </w:tr>
      <w:tr w14:paraId="414C2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57E1C52">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17D326B6">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1732EDC7">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0CD7F45">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50DA55C">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59A914E4">
            <w:pPr>
              <w:shd w:val="clear"/>
              <w:spacing w:line="360" w:lineRule="auto"/>
              <w:jc w:val="left"/>
              <w:rPr>
                <w:rFonts w:cs="仿宋" w:asciiTheme="majorEastAsia" w:hAnsiTheme="majorEastAsia" w:eastAsiaTheme="majorEastAsia"/>
                <w:color w:val="auto"/>
                <w:kern w:val="0"/>
                <w:sz w:val="24"/>
                <w:highlight w:val="none"/>
              </w:rPr>
            </w:pPr>
          </w:p>
        </w:tc>
      </w:tr>
      <w:tr w14:paraId="6D388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4ABAB2D">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17BFD38B">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57ADE3A9">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612ED21F">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4E7A268">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2A4B6EE">
            <w:pPr>
              <w:shd w:val="clear"/>
              <w:spacing w:line="360" w:lineRule="auto"/>
              <w:jc w:val="left"/>
              <w:rPr>
                <w:rFonts w:cs="仿宋" w:asciiTheme="majorEastAsia" w:hAnsiTheme="majorEastAsia" w:eastAsiaTheme="majorEastAsia"/>
                <w:color w:val="auto"/>
                <w:kern w:val="0"/>
                <w:sz w:val="24"/>
                <w:highlight w:val="none"/>
              </w:rPr>
            </w:pPr>
          </w:p>
        </w:tc>
      </w:tr>
      <w:tr w14:paraId="6630A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31500ED4">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7D13F2A4">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5FFD1C58">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C142FDB">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1987FFE">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FEE34B7">
            <w:pPr>
              <w:shd w:val="clear"/>
              <w:spacing w:line="360" w:lineRule="auto"/>
              <w:jc w:val="left"/>
              <w:rPr>
                <w:rFonts w:cs="仿宋" w:asciiTheme="majorEastAsia" w:hAnsiTheme="majorEastAsia" w:eastAsiaTheme="majorEastAsia"/>
                <w:color w:val="auto"/>
                <w:kern w:val="0"/>
                <w:sz w:val="24"/>
                <w:highlight w:val="none"/>
              </w:rPr>
            </w:pPr>
          </w:p>
        </w:tc>
      </w:tr>
    </w:tbl>
    <w:p w14:paraId="712ADD55">
      <w:pPr>
        <w:shd w:val="clear"/>
        <w:spacing w:line="360" w:lineRule="auto"/>
        <w:jc w:val="left"/>
        <w:rPr>
          <w:rFonts w:cs="仿宋" w:asciiTheme="majorEastAsia" w:hAnsiTheme="majorEastAsia" w:eastAsiaTheme="majorEastAsia"/>
          <w:color w:val="auto"/>
          <w:kern w:val="0"/>
          <w:sz w:val="24"/>
          <w:highlight w:val="none"/>
        </w:rPr>
      </w:pPr>
    </w:p>
    <w:p w14:paraId="21931240">
      <w:pPr>
        <w:shd w:val="clear"/>
        <w:spacing w:line="360" w:lineRule="auto"/>
        <w:jc w:val="left"/>
        <w:rPr>
          <w:rFonts w:cs="仿宋" w:asciiTheme="majorEastAsia" w:hAnsiTheme="majorEastAsia" w:eastAsiaTheme="majorEastAsia"/>
          <w:color w:val="auto"/>
          <w:kern w:val="0"/>
          <w:sz w:val="24"/>
          <w:highlight w:val="none"/>
        </w:rPr>
      </w:pPr>
    </w:p>
    <w:p w14:paraId="15E850FC">
      <w:pPr>
        <w:shd w:val="clear"/>
        <w:spacing w:line="360" w:lineRule="auto"/>
        <w:jc w:val="left"/>
        <w:rPr>
          <w:rFonts w:cs="仿宋" w:asciiTheme="majorEastAsia" w:hAnsiTheme="majorEastAsia" w:eastAsiaTheme="majorEastAsia"/>
          <w:color w:val="auto"/>
          <w:kern w:val="0"/>
          <w:sz w:val="24"/>
          <w:highlight w:val="none"/>
        </w:rPr>
      </w:pPr>
    </w:p>
    <w:p w14:paraId="050E2323">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60AE44CE">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1914F3A1">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004A4A57">
      <w:pPr>
        <w:shd w:val="clear"/>
        <w:spacing w:line="360" w:lineRule="auto"/>
        <w:ind w:left="4620" w:leftChars="2200"/>
        <w:jc w:val="left"/>
        <w:rPr>
          <w:rFonts w:cs="仿宋" w:asciiTheme="majorEastAsia" w:hAnsiTheme="majorEastAsia" w:eastAsiaTheme="majorEastAsia"/>
          <w:b/>
          <w:color w:val="auto"/>
          <w:kern w:val="0"/>
          <w:sz w:val="32"/>
          <w:szCs w:val="32"/>
          <w:highlight w:val="none"/>
          <w:lang w:val="zh-CN"/>
        </w:rPr>
      </w:pPr>
      <w:r>
        <w:rPr>
          <w:rFonts w:cs="仿宋" w:asciiTheme="majorEastAsia" w:hAnsiTheme="majorEastAsia" w:eastAsiaTheme="majorEastAsia"/>
          <w:b/>
          <w:color w:val="auto"/>
          <w:kern w:val="0"/>
          <w:sz w:val="32"/>
          <w:szCs w:val="32"/>
          <w:highlight w:val="none"/>
          <w:lang w:val="zh-CN"/>
        </w:rPr>
        <w:br w:type="page"/>
      </w:r>
    </w:p>
    <w:p w14:paraId="7A1B1757">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十一、项目实施人员一览表</w:t>
      </w:r>
    </w:p>
    <w:p w14:paraId="6754167B">
      <w:pPr>
        <w:pStyle w:val="10"/>
        <w:shd w:val="clear"/>
        <w:ind w:left="632" w:hanging="632" w:hangingChars="300"/>
        <w:rPr>
          <w:rFonts w:hAnsi="宋体"/>
          <w:b/>
          <w:color w:val="auto"/>
          <w:highlight w:val="none"/>
        </w:rPr>
      </w:pPr>
      <w:r>
        <w:rPr>
          <w:rFonts w:hint="eastAsia" w:hAnsi="宋体"/>
          <w:b/>
          <w:color w:val="auto"/>
          <w:highlight w:val="none"/>
        </w:rPr>
        <w:t>项目名称：                                            项目编号：</w:t>
      </w:r>
    </w:p>
    <w:p w14:paraId="63B492FC">
      <w:pPr>
        <w:shd w:val="clear"/>
        <w:jc w:val="left"/>
        <w:rPr>
          <w:rFonts w:hint="eastAsia" w:ascii="宋体" w:hAnsi="宋体" w:eastAsia="宋体" w:cs="宋体"/>
          <w:b/>
          <w:color w:val="auto"/>
          <w:sz w:val="24"/>
          <w:highlight w:val="none"/>
        </w:rPr>
      </w:pPr>
    </w:p>
    <w:p w14:paraId="6C8B72F5">
      <w:pPr>
        <w:shd w:val="clear"/>
        <w:jc w:val="left"/>
        <w:rPr>
          <w:rFonts w:hint="eastAsia" w:ascii="宋体" w:hAnsi="宋体" w:eastAsia="宋体" w:cs="宋体"/>
          <w:b/>
          <w:color w:val="auto"/>
          <w:szCs w:val="21"/>
          <w:highlight w:val="none"/>
        </w:rPr>
      </w:pPr>
      <w:r>
        <w:rPr>
          <w:rFonts w:hint="eastAsia" w:ascii="宋体" w:hAnsi="宋体" w:eastAsia="宋体" w:cs="宋体"/>
          <w:b/>
          <w:color w:val="auto"/>
          <w:sz w:val="24"/>
          <w:highlight w:val="none"/>
        </w:rPr>
        <w:t>附表A:本项目的项目负责人情况表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14:paraId="70BA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14:paraId="320D14C5">
            <w:pPr>
              <w:pStyle w:val="10"/>
              <w:shd w:val="clear"/>
              <w:ind w:left="630" w:hanging="630" w:hangingChars="300"/>
              <w:jc w:val="cente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5335C2D4">
            <w:pPr>
              <w:pStyle w:val="10"/>
              <w:shd w:val="clear"/>
              <w:ind w:left="630" w:hanging="630" w:hangingChars="300"/>
              <w:jc w:val="center"/>
              <w:rPr>
                <w:rFonts w:hint="eastAsia" w:ascii="宋体" w:hAnsi="宋体" w:eastAsia="宋体" w:cs="宋体"/>
                <w:color w:val="auto"/>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79F3E72A">
            <w:pPr>
              <w:pStyle w:val="10"/>
              <w:shd w:val="clear"/>
              <w:ind w:left="630" w:hanging="630" w:hangingChars="300"/>
              <w:jc w:val="center"/>
              <w:rPr>
                <w:rFonts w:hint="eastAsia" w:ascii="宋体" w:hAnsi="宋体" w:eastAsia="宋体" w:cs="宋体"/>
                <w:color w:val="auto"/>
                <w:highlight w:val="none"/>
              </w:rPr>
            </w:pPr>
            <w:r>
              <w:rPr>
                <w:rFonts w:hint="eastAsia" w:ascii="宋体" w:hAnsi="宋体" w:eastAsia="宋体" w:cs="宋体"/>
                <w:color w:val="auto"/>
                <w:highlight w:val="none"/>
              </w:rPr>
              <w:t>性 别</w:t>
            </w:r>
          </w:p>
        </w:tc>
        <w:tc>
          <w:tcPr>
            <w:tcW w:w="1761" w:type="dxa"/>
            <w:tcBorders>
              <w:top w:val="single" w:color="auto" w:sz="12" w:space="0"/>
              <w:left w:val="single" w:color="auto" w:sz="6" w:space="0"/>
              <w:bottom w:val="single" w:color="auto" w:sz="6" w:space="0"/>
              <w:right w:val="single" w:color="auto" w:sz="6" w:space="0"/>
            </w:tcBorders>
            <w:vAlign w:val="center"/>
          </w:tcPr>
          <w:p w14:paraId="0CBF9849">
            <w:pPr>
              <w:pStyle w:val="10"/>
              <w:shd w:val="clear"/>
              <w:ind w:left="630" w:hanging="630" w:hangingChars="300"/>
              <w:jc w:val="center"/>
              <w:rPr>
                <w:rFonts w:hint="eastAsia" w:ascii="宋体" w:hAnsi="宋体" w:eastAsia="宋体" w:cs="宋体"/>
                <w:color w:val="auto"/>
                <w:highlight w:val="none"/>
              </w:rPr>
            </w:pPr>
          </w:p>
        </w:tc>
        <w:tc>
          <w:tcPr>
            <w:tcW w:w="1576" w:type="dxa"/>
            <w:tcBorders>
              <w:top w:val="single" w:color="auto" w:sz="12" w:space="0"/>
              <w:left w:val="single" w:color="auto" w:sz="6" w:space="0"/>
              <w:bottom w:val="single" w:color="auto" w:sz="6" w:space="0"/>
              <w:right w:val="single" w:color="auto" w:sz="6" w:space="0"/>
            </w:tcBorders>
            <w:vAlign w:val="center"/>
          </w:tcPr>
          <w:p w14:paraId="43A32C86">
            <w:pPr>
              <w:pStyle w:val="10"/>
              <w:shd w:val="clear"/>
              <w:ind w:left="630" w:hanging="630" w:hangingChars="300"/>
              <w:jc w:val="center"/>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1693" w:type="dxa"/>
            <w:tcBorders>
              <w:top w:val="single" w:color="auto" w:sz="12" w:space="0"/>
              <w:left w:val="single" w:color="auto" w:sz="6" w:space="0"/>
              <w:bottom w:val="single" w:color="auto" w:sz="6" w:space="0"/>
              <w:right w:val="single" w:color="auto" w:sz="12" w:space="0"/>
            </w:tcBorders>
            <w:vAlign w:val="center"/>
          </w:tcPr>
          <w:p w14:paraId="1598E95E">
            <w:pPr>
              <w:pStyle w:val="10"/>
              <w:shd w:val="clear"/>
              <w:ind w:left="630" w:hanging="630" w:hangingChars="300"/>
              <w:jc w:val="center"/>
              <w:rPr>
                <w:rFonts w:hint="eastAsia" w:ascii="宋体" w:hAnsi="宋体" w:eastAsia="宋体" w:cs="宋体"/>
                <w:color w:val="auto"/>
                <w:highlight w:val="none"/>
              </w:rPr>
            </w:pPr>
          </w:p>
        </w:tc>
      </w:tr>
      <w:tr w14:paraId="14DA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07F10EBC">
            <w:pPr>
              <w:pStyle w:val="10"/>
              <w:shd w:val="clear"/>
              <w:ind w:left="630" w:hanging="630" w:hangingChars="300"/>
              <w:jc w:val="center"/>
              <w:rPr>
                <w:rFonts w:hint="eastAsia" w:ascii="宋体" w:hAnsi="宋体" w:eastAsia="宋体" w:cs="宋体"/>
                <w:color w:val="auto"/>
                <w:highlight w:val="none"/>
              </w:rPr>
            </w:pPr>
            <w:r>
              <w:rPr>
                <w:rFonts w:hint="eastAsia" w:ascii="宋体" w:hAnsi="宋体" w:eastAsia="宋体" w:cs="宋体"/>
                <w:color w:val="auto"/>
                <w:highlight w:val="none"/>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09B6662A">
            <w:pPr>
              <w:pStyle w:val="10"/>
              <w:shd w:val="clear"/>
              <w:ind w:left="630" w:hanging="630" w:hangingChars="300"/>
              <w:jc w:val="center"/>
              <w:rPr>
                <w:rFonts w:hint="eastAsia" w:ascii="宋体" w:hAnsi="宋体" w:eastAsia="宋体" w:cs="宋体"/>
                <w:color w:val="auto"/>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7CA8A9C7">
            <w:pPr>
              <w:pStyle w:val="10"/>
              <w:shd w:val="clear"/>
              <w:ind w:left="630" w:hanging="630" w:hangingChars="300"/>
              <w:jc w:val="center"/>
              <w:rPr>
                <w:rFonts w:hint="eastAsia" w:ascii="宋体" w:hAnsi="宋体" w:eastAsia="宋体" w:cs="宋体"/>
                <w:color w:val="auto"/>
                <w:highlight w:val="none"/>
              </w:rPr>
            </w:pPr>
            <w:r>
              <w:rPr>
                <w:rFonts w:hint="eastAsia" w:ascii="宋体" w:hAnsi="宋体" w:eastAsia="宋体" w:cs="宋体"/>
                <w:color w:val="auto"/>
                <w:highlight w:val="none"/>
              </w:rPr>
              <w:t>职 称</w:t>
            </w:r>
          </w:p>
        </w:tc>
        <w:tc>
          <w:tcPr>
            <w:tcW w:w="1761" w:type="dxa"/>
            <w:tcBorders>
              <w:top w:val="single" w:color="auto" w:sz="6" w:space="0"/>
              <w:left w:val="single" w:color="auto" w:sz="6" w:space="0"/>
              <w:bottom w:val="single" w:color="auto" w:sz="6" w:space="0"/>
              <w:right w:val="single" w:color="auto" w:sz="6" w:space="0"/>
            </w:tcBorders>
            <w:vAlign w:val="center"/>
          </w:tcPr>
          <w:p w14:paraId="35FAAB35">
            <w:pPr>
              <w:pStyle w:val="10"/>
              <w:shd w:val="clear"/>
              <w:ind w:left="630" w:hanging="630" w:hangingChars="300"/>
              <w:jc w:val="center"/>
              <w:rPr>
                <w:rFonts w:hint="eastAsia" w:ascii="宋体" w:hAnsi="宋体" w:eastAsia="宋体" w:cs="宋体"/>
                <w:color w:val="auto"/>
                <w:highlight w:val="none"/>
              </w:rPr>
            </w:pPr>
          </w:p>
        </w:tc>
        <w:tc>
          <w:tcPr>
            <w:tcW w:w="1576" w:type="dxa"/>
            <w:tcBorders>
              <w:top w:val="single" w:color="auto" w:sz="6" w:space="0"/>
              <w:left w:val="single" w:color="auto" w:sz="6" w:space="0"/>
              <w:bottom w:val="single" w:color="auto" w:sz="6" w:space="0"/>
              <w:right w:val="single" w:color="auto" w:sz="6" w:space="0"/>
            </w:tcBorders>
            <w:vAlign w:val="center"/>
          </w:tcPr>
          <w:p w14:paraId="30A774C2">
            <w:pPr>
              <w:pStyle w:val="10"/>
              <w:shd w:val="clear"/>
              <w:ind w:left="630" w:hanging="630" w:hangingChars="300"/>
              <w:jc w:val="center"/>
              <w:rPr>
                <w:rFonts w:hint="eastAsia" w:ascii="宋体" w:hAnsi="宋体" w:eastAsia="宋体" w:cs="宋体"/>
                <w:color w:val="auto"/>
                <w:highlight w:val="none"/>
              </w:rPr>
            </w:pPr>
            <w:r>
              <w:rPr>
                <w:rFonts w:hint="eastAsia" w:ascii="宋体" w:hAnsi="宋体" w:eastAsia="宋体" w:cs="宋体"/>
                <w:color w:val="auto"/>
                <w:highlight w:val="none"/>
              </w:rPr>
              <w:t>职 务</w:t>
            </w:r>
          </w:p>
        </w:tc>
        <w:tc>
          <w:tcPr>
            <w:tcW w:w="1693" w:type="dxa"/>
            <w:tcBorders>
              <w:top w:val="single" w:color="auto" w:sz="6" w:space="0"/>
              <w:left w:val="single" w:color="auto" w:sz="6" w:space="0"/>
              <w:bottom w:val="single" w:color="auto" w:sz="6" w:space="0"/>
              <w:right w:val="single" w:color="auto" w:sz="12" w:space="0"/>
            </w:tcBorders>
            <w:vAlign w:val="center"/>
          </w:tcPr>
          <w:p w14:paraId="65545F1D">
            <w:pPr>
              <w:pStyle w:val="10"/>
              <w:shd w:val="clear"/>
              <w:ind w:left="630" w:hanging="630" w:hangingChars="300"/>
              <w:jc w:val="center"/>
              <w:rPr>
                <w:rFonts w:hint="eastAsia" w:ascii="宋体" w:hAnsi="宋体" w:eastAsia="宋体" w:cs="宋体"/>
                <w:color w:val="auto"/>
                <w:highlight w:val="none"/>
              </w:rPr>
            </w:pPr>
          </w:p>
        </w:tc>
      </w:tr>
      <w:tr w14:paraId="011C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4CCEB12E">
            <w:pPr>
              <w:pStyle w:val="10"/>
              <w:shd w:val="clear"/>
              <w:ind w:left="630" w:hanging="630" w:hangingChars="300"/>
              <w:jc w:val="center"/>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51E6A8C7">
            <w:pPr>
              <w:pStyle w:val="10"/>
              <w:shd w:val="clear"/>
              <w:ind w:left="630" w:hanging="630" w:hangingChars="300"/>
              <w:jc w:val="center"/>
              <w:rPr>
                <w:rFonts w:hint="eastAsia" w:ascii="宋体" w:hAnsi="宋体" w:eastAsia="宋体" w:cs="宋体"/>
                <w:color w:val="auto"/>
                <w:highlight w:val="none"/>
              </w:rPr>
            </w:pPr>
          </w:p>
        </w:tc>
        <w:tc>
          <w:tcPr>
            <w:tcW w:w="1761" w:type="dxa"/>
            <w:tcBorders>
              <w:top w:val="single" w:color="auto" w:sz="6" w:space="0"/>
              <w:left w:val="single" w:color="auto" w:sz="6" w:space="0"/>
              <w:bottom w:val="single" w:color="auto" w:sz="6" w:space="0"/>
              <w:right w:val="single" w:color="auto" w:sz="6" w:space="0"/>
            </w:tcBorders>
            <w:vAlign w:val="center"/>
          </w:tcPr>
          <w:p w14:paraId="230C645F">
            <w:pPr>
              <w:pStyle w:val="10"/>
              <w:shd w:val="clear"/>
              <w:ind w:left="630" w:hanging="630" w:hangingChars="300"/>
              <w:jc w:val="center"/>
              <w:rPr>
                <w:rFonts w:hint="eastAsia" w:ascii="宋体" w:hAnsi="宋体" w:eastAsia="宋体" w:cs="宋体"/>
                <w:color w:val="auto"/>
                <w:highlight w:val="none"/>
              </w:rPr>
            </w:pPr>
            <w:r>
              <w:rPr>
                <w:rFonts w:hint="eastAsia" w:ascii="宋体" w:hAnsi="宋体" w:eastAsia="宋体" w:cs="宋体"/>
                <w:color w:val="auto"/>
                <w:highlight w:val="none"/>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14:paraId="13E86D47">
            <w:pPr>
              <w:pStyle w:val="10"/>
              <w:shd w:val="clear"/>
              <w:ind w:left="630" w:hanging="630" w:hangingChars="300"/>
              <w:jc w:val="center"/>
              <w:rPr>
                <w:rFonts w:hint="eastAsia" w:ascii="宋体" w:hAnsi="宋体" w:eastAsia="宋体" w:cs="宋体"/>
                <w:color w:val="auto"/>
                <w:highlight w:val="none"/>
              </w:rPr>
            </w:pPr>
          </w:p>
        </w:tc>
      </w:tr>
      <w:tr w14:paraId="5972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949" w:type="dxa"/>
            <w:gridSpan w:val="6"/>
            <w:tcBorders>
              <w:top w:val="single" w:color="auto" w:sz="6" w:space="0"/>
              <w:left w:val="single" w:color="auto" w:sz="12" w:space="0"/>
              <w:bottom w:val="single" w:color="auto" w:sz="12" w:space="0"/>
              <w:right w:val="single" w:color="auto" w:sz="12" w:space="0"/>
            </w:tcBorders>
          </w:tcPr>
          <w:p w14:paraId="2213E137">
            <w:pPr>
              <w:pStyle w:val="10"/>
              <w:shd w:val="clear"/>
              <w:spacing w:before="120" w:after="120"/>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投标截止时间前三年业绩及承担的主要工作情况，曾担任项目负责人的项目应列明细</w:t>
            </w:r>
          </w:p>
        </w:tc>
      </w:tr>
    </w:tbl>
    <w:p w14:paraId="3EECCA09">
      <w:pPr>
        <w:pStyle w:val="10"/>
        <w:shd w:val="clear"/>
        <w:spacing w:line="320" w:lineRule="exact"/>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注:1、与评分有关的证明材料附后。</w:t>
      </w:r>
    </w:p>
    <w:p w14:paraId="0B1F1468">
      <w:pPr>
        <w:pStyle w:val="10"/>
        <w:shd w:val="clear"/>
        <w:spacing w:line="320" w:lineRule="exact"/>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2、不得随意更换项目负责人，如不经采购人同意擅自更换，则招标人有权解除合同</w:t>
      </w:r>
      <w:r>
        <w:rPr>
          <w:rFonts w:hint="eastAsia" w:ascii="宋体" w:hAnsi="宋体" w:eastAsia="宋体" w:cs="宋体"/>
          <w:b/>
          <w:color w:val="auto"/>
          <w:highlight w:val="none"/>
        </w:rPr>
        <w:t xml:space="preserve">。 </w:t>
      </w:r>
      <w:r>
        <w:rPr>
          <w:rFonts w:hint="eastAsia" w:ascii="宋体" w:hAnsi="宋体" w:eastAsia="宋体" w:cs="宋体"/>
          <w:b/>
          <w:bCs/>
          <w:color w:val="auto"/>
          <w:highlight w:val="none"/>
        </w:rPr>
        <w:t xml:space="preserve"> </w:t>
      </w:r>
      <w:r>
        <w:rPr>
          <w:rFonts w:hint="eastAsia" w:ascii="宋体" w:hAnsi="宋体" w:eastAsia="宋体" w:cs="宋体"/>
          <w:color w:val="auto"/>
          <w:highlight w:val="none"/>
        </w:rPr>
        <w:t xml:space="preserve">      </w:t>
      </w:r>
      <w:bookmarkStart w:id="400" w:name="OLE_LINK9"/>
    </w:p>
    <w:p w14:paraId="116F9BF0">
      <w:pPr>
        <w:pStyle w:val="10"/>
        <w:shd w:val="clear"/>
        <w:spacing w:line="340" w:lineRule="exact"/>
        <w:jc w:val="left"/>
        <w:rPr>
          <w:rFonts w:hint="eastAsia" w:ascii="宋体" w:hAnsi="宋体" w:eastAsia="宋体" w:cs="宋体"/>
          <w:b/>
          <w:color w:val="auto"/>
          <w:highlight w:val="none"/>
        </w:rPr>
      </w:pPr>
    </w:p>
    <w:p w14:paraId="1AE2E979">
      <w:pPr>
        <w:pStyle w:val="10"/>
        <w:shd w:val="clear"/>
        <w:spacing w:line="340" w:lineRule="exact"/>
        <w:jc w:val="left"/>
        <w:rPr>
          <w:rFonts w:hint="eastAsia" w:ascii="宋体" w:hAnsi="宋体" w:eastAsia="宋体" w:cs="宋体"/>
          <w:b/>
          <w:color w:val="auto"/>
          <w:highlight w:val="none"/>
        </w:rPr>
      </w:pPr>
    </w:p>
    <w:p w14:paraId="380E5D83">
      <w:pPr>
        <w:pStyle w:val="10"/>
        <w:shd w:val="clear"/>
        <w:spacing w:line="340" w:lineRule="exact"/>
        <w:jc w:val="left"/>
        <w:rPr>
          <w:rFonts w:hint="eastAsia" w:ascii="宋体" w:hAnsi="宋体" w:eastAsia="宋体" w:cs="宋体"/>
          <w:b/>
          <w:color w:val="auto"/>
          <w:highlight w:val="none"/>
        </w:rPr>
      </w:pPr>
      <w:r>
        <w:rPr>
          <w:rFonts w:hint="eastAsia" w:ascii="宋体" w:hAnsi="宋体" w:eastAsia="宋体" w:cs="宋体"/>
          <w:b/>
          <w:color w:val="auto"/>
          <w:highlight w:val="none"/>
        </w:rPr>
        <w:t>附表B:拟投入的项目实施人员名单</w:t>
      </w:r>
      <w:bookmarkEnd w:id="400"/>
    </w:p>
    <w:tbl>
      <w:tblPr>
        <w:tblStyle w:val="19"/>
        <w:tblW w:w="87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1297"/>
        <w:gridCol w:w="1284"/>
        <w:gridCol w:w="1766"/>
        <w:gridCol w:w="1112"/>
      </w:tblGrid>
      <w:tr w14:paraId="16ADF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42" w:type="dxa"/>
            <w:vAlign w:val="center"/>
          </w:tcPr>
          <w:p w14:paraId="0618DBCC">
            <w:pPr>
              <w:shd w:val="clea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27" w:type="dxa"/>
            <w:vAlign w:val="center"/>
          </w:tcPr>
          <w:p w14:paraId="518F2BF5">
            <w:pPr>
              <w:shd w:val="clea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927" w:type="dxa"/>
            <w:vAlign w:val="center"/>
          </w:tcPr>
          <w:p w14:paraId="76D5EEB5">
            <w:pPr>
              <w:shd w:val="clea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42" w:type="dxa"/>
            <w:vAlign w:val="center"/>
          </w:tcPr>
          <w:p w14:paraId="16BC3038">
            <w:pPr>
              <w:shd w:val="clea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297" w:type="dxa"/>
            <w:vAlign w:val="center"/>
          </w:tcPr>
          <w:p w14:paraId="3265BF52">
            <w:pPr>
              <w:shd w:val="clear"/>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职称/职务</w:t>
            </w:r>
          </w:p>
        </w:tc>
        <w:tc>
          <w:tcPr>
            <w:tcW w:w="1284" w:type="dxa"/>
            <w:vAlign w:val="center"/>
          </w:tcPr>
          <w:p w14:paraId="355D12E4">
            <w:pPr>
              <w:shd w:val="clear"/>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本项目中的岗位</w:t>
            </w:r>
          </w:p>
        </w:tc>
        <w:tc>
          <w:tcPr>
            <w:tcW w:w="1766" w:type="dxa"/>
            <w:vAlign w:val="center"/>
          </w:tcPr>
          <w:p w14:paraId="10A10027">
            <w:pPr>
              <w:shd w:val="clea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从事专业年限</w:t>
            </w:r>
          </w:p>
        </w:tc>
        <w:tc>
          <w:tcPr>
            <w:tcW w:w="1112" w:type="dxa"/>
            <w:vAlign w:val="center"/>
          </w:tcPr>
          <w:p w14:paraId="0F3CAF86">
            <w:pPr>
              <w:shd w:val="clea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E7DD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7F5DA4C5">
            <w:pPr>
              <w:shd w:val="clear"/>
              <w:spacing w:line="360" w:lineRule="auto"/>
              <w:jc w:val="center"/>
              <w:rPr>
                <w:rFonts w:hint="eastAsia" w:ascii="宋体" w:hAnsi="宋体" w:eastAsia="宋体" w:cs="宋体"/>
                <w:color w:val="auto"/>
                <w:szCs w:val="21"/>
                <w:highlight w:val="none"/>
              </w:rPr>
            </w:pPr>
          </w:p>
        </w:tc>
        <w:tc>
          <w:tcPr>
            <w:tcW w:w="927" w:type="dxa"/>
            <w:vAlign w:val="center"/>
          </w:tcPr>
          <w:p w14:paraId="56214B1D">
            <w:pPr>
              <w:shd w:val="clear"/>
              <w:spacing w:line="360" w:lineRule="auto"/>
              <w:jc w:val="center"/>
              <w:rPr>
                <w:rFonts w:hint="eastAsia" w:ascii="宋体" w:hAnsi="宋体" w:eastAsia="宋体" w:cs="宋体"/>
                <w:color w:val="auto"/>
                <w:szCs w:val="21"/>
                <w:highlight w:val="none"/>
              </w:rPr>
            </w:pPr>
          </w:p>
        </w:tc>
        <w:tc>
          <w:tcPr>
            <w:tcW w:w="927" w:type="dxa"/>
            <w:vAlign w:val="center"/>
          </w:tcPr>
          <w:p w14:paraId="3E2A268F">
            <w:pPr>
              <w:shd w:val="clear"/>
              <w:spacing w:line="360" w:lineRule="auto"/>
              <w:jc w:val="center"/>
              <w:rPr>
                <w:rFonts w:hint="eastAsia" w:ascii="宋体" w:hAnsi="宋体" w:eastAsia="宋体" w:cs="宋体"/>
                <w:color w:val="auto"/>
                <w:szCs w:val="21"/>
                <w:highlight w:val="none"/>
              </w:rPr>
            </w:pPr>
          </w:p>
        </w:tc>
        <w:tc>
          <w:tcPr>
            <w:tcW w:w="742" w:type="dxa"/>
            <w:vAlign w:val="center"/>
          </w:tcPr>
          <w:p w14:paraId="12610F0C">
            <w:pPr>
              <w:shd w:val="clear"/>
              <w:spacing w:line="360" w:lineRule="auto"/>
              <w:jc w:val="center"/>
              <w:rPr>
                <w:rFonts w:hint="eastAsia" w:ascii="宋体" w:hAnsi="宋体" w:eastAsia="宋体" w:cs="宋体"/>
                <w:color w:val="auto"/>
                <w:szCs w:val="21"/>
                <w:highlight w:val="none"/>
              </w:rPr>
            </w:pPr>
          </w:p>
        </w:tc>
        <w:tc>
          <w:tcPr>
            <w:tcW w:w="1297" w:type="dxa"/>
            <w:vAlign w:val="center"/>
          </w:tcPr>
          <w:p w14:paraId="2C1378A0">
            <w:pPr>
              <w:shd w:val="clear"/>
              <w:spacing w:line="360" w:lineRule="auto"/>
              <w:jc w:val="center"/>
              <w:rPr>
                <w:rFonts w:hint="eastAsia" w:ascii="宋体" w:hAnsi="宋体" w:eastAsia="宋体" w:cs="宋体"/>
                <w:color w:val="auto"/>
                <w:szCs w:val="21"/>
                <w:highlight w:val="none"/>
              </w:rPr>
            </w:pPr>
          </w:p>
        </w:tc>
        <w:tc>
          <w:tcPr>
            <w:tcW w:w="1284" w:type="dxa"/>
            <w:vAlign w:val="center"/>
          </w:tcPr>
          <w:p w14:paraId="5B7C6060">
            <w:pPr>
              <w:shd w:val="clear"/>
              <w:spacing w:line="360" w:lineRule="auto"/>
              <w:jc w:val="center"/>
              <w:rPr>
                <w:rFonts w:hint="eastAsia" w:ascii="宋体" w:hAnsi="宋体" w:eastAsia="宋体" w:cs="宋体"/>
                <w:color w:val="auto"/>
                <w:szCs w:val="21"/>
                <w:highlight w:val="none"/>
              </w:rPr>
            </w:pPr>
          </w:p>
        </w:tc>
        <w:tc>
          <w:tcPr>
            <w:tcW w:w="1766" w:type="dxa"/>
          </w:tcPr>
          <w:p w14:paraId="2DE80AD0">
            <w:pPr>
              <w:shd w:val="clear"/>
              <w:spacing w:line="360" w:lineRule="auto"/>
              <w:jc w:val="center"/>
              <w:rPr>
                <w:rFonts w:hint="eastAsia" w:ascii="宋体" w:hAnsi="宋体" w:eastAsia="宋体" w:cs="宋体"/>
                <w:color w:val="auto"/>
                <w:szCs w:val="21"/>
                <w:highlight w:val="none"/>
              </w:rPr>
            </w:pPr>
          </w:p>
        </w:tc>
        <w:tc>
          <w:tcPr>
            <w:tcW w:w="1112" w:type="dxa"/>
            <w:vAlign w:val="center"/>
          </w:tcPr>
          <w:p w14:paraId="068706F0">
            <w:pPr>
              <w:shd w:val="clear"/>
              <w:spacing w:line="360" w:lineRule="auto"/>
              <w:jc w:val="center"/>
              <w:rPr>
                <w:rFonts w:hint="eastAsia" w:ascii="宋体" w:hAnsi="宋体" w:eastAsia="宋体" w:cs="宋体"/>
                <w:color w:val="auto"/>
                <w:szCs w:val="21"/>
                <w:highlight w:val="none"/>
              </w:rPr>
            </w:pPr>
          </w:p>
        </w:tc>
      </w:tr>
      <w:tr w14:paraId="2CE4C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5169550D">
            <w:pPr>
              <w:shd w:val="clear"/>
              <w:spacing w:line="360" w:lineRule="auto"/>
              <w:jc w:val="center"/>
              <w:rPr>
                <w:rFonts w:hint="eastAsia" w:ascii="宋体" w:hAnsi="宋体" w:eastAsia="宋体" w:cs="宋体"/>
                <w:color w:val="auto"/>
                <w:szCs w:val="21"/>
                <w:highlight w:val="none"/>
              </w:rPr>
            </w:pPr>
          </w:p>
        </w:tc>
        <w:tc>
          <w:tcPr>
            <w:tcW w:w="927" w:type="dxa"/>
            <w:vAlign w:val="center"/>
          </w:tcPr>
          <w:p w14:paraId="5DF8C636">
            <w:pPr>
              <w:shd w:val="clear"/>
              <w:spacing w:line="360" w:lineRule="auto"/>
              <w:jc w:val="center"/>
              <w:rPr>
                <w:rFonts w:hint="eastAsia" w:ascii="宋体" w:hAnsi="宋体" w:eastAsia="宋体" w:cs="宋体"/>
                <w:color w:val="auto"/>
                <w:szCs w:val="21"/>
                <w:highlight w:val="none"/>
              </w:rPr>
            </w:pPr>
          </w:p>
        </w:tc>
        <w:tc>
          <w:tcPr>
            <w:tcW w:w="927" w:type="dxa"/>
            <w:vAlign w:val="center"/>
          </w:tcPr>
          <w:p w14:paraId="63216C87">
            <w:pPr>
              <w:shd w:val="clear"/>
              <w:spacing w:line="360" w:lineRule="auto"/>
              <w:jc w:val="center"/>
              <w:rPr>
                <w:rFonts w:hint="eastAsia" w:ascii="宋体" w:hAnsi="宋体" w:eastAsia="宋体" w:cs="宋体"/>
                <w:color w:val="auto"/>
                <w:szCs w:val="21"/>
                <w:highlight w:val="none"/>
              </w:rPr>
            </w:pPr>
          </w:p>
        </w:tc>
        <w:tc>
          <w:tcPr>
            <w:tcW w:w="742" w:type="dxa"/>
            <w:vAlign w:val="center"/>
          </w:tcPr>
          <w:p w14:paraId="4B78368E">
            <w:pPr>
              <w:shd w:val="clear"/>
              <w:spacing w:line="360" w:lineRule="auto"/>
              <w:jc w:val="center"/>
              <w:rPr>
                <w:rFonts w:hint="eastAsia" w:ascii="宋体" w:hAnsi="宋体" w:eastAsia="宋体" w:cs="宋体"/>
                <w:color w:val="auto"/>
                <w:szCs w:val="21"/>
                <w:highlight w:val="none"/>
              </w:rPr>
            </w:pPr>
          </w:p>
        </w:tc>
        <w:tc>
          <w:tcPr>
            <w:tcW w:w="1297" w:type="dxa"/>
            <w:vAlign w:val="center"/>
          </w:tcPr>
          <w:p w14:paraId="261F7BA2">
            <w:pPr>
              <w:shd w:val="clear"/>
              <w:spacing w:line="360" w:lineRule="auto"/>
              <w:jc w:val="center"/>
              <w:rPr>
                <w:rFonts w:hint="eastAsia" w:ascii="宋体" w:hAnsi="宋体" w:eastAsia="宋体" w:cs="宋体"/>
                <w:color w:val="auto"/>
                <w:szCs w:val="21"/>
                <w:highlight w:val="none"/>
              </w:rPr>
            </w:pPr>
          </w:p>
        </w:tc>
        <w:tc>
          <w:tcPr>
            <w:tcW w:w="1284" w:type="dxa"/>
            <w:vAlign w:val="center"/>
          </w:tcPr>
          <w:p w14:paraId="591D44A3">
            <w:pPr>
              <w:shd w:val="clear"/>
              <w:spacing w:line="360" w:lineRule="auto"/>
              <w:jc w:val="center"/>
              <w:rPr>
                <w:rFonts w:hint="eastAsia" w:ascii="宋体" w:hAnsi="宋体" w:eastAsia="宋体" w:cs="宋体"/>
                <w:color w:val="auto"/>
                <w:szCs w:val="21"/>
                <w:highlight w:val="none"/>
              </w:rPr>
            </w:pPr>
          </w:p>
        </w:tc>
        <w:tc>
          <w:tcPr>
            <w:tcW w:w="1766" w:type="dxa"/>
          </w:tcPr>
          <w:p w14:paraId="2123562C">
            <w:pPr>
              <w:shd w:val="clear"/>
              <w:spacing w:line="360" w:lineRule="auto"/>
              <w:jc w:val="center"/>
              <w:rPr>
                <w:rFonts w:hint="eastAsia" w:ascii="宋体" w:hAnsi="宋体" w:eastAsia="宋体" w:cs="宋体"/>
                <w:color w:val="auto"/>
                <w:szCs w:val="21"/>
                <w:highlight w:val="none"/>
              </w:rPr>
            </w:pPr>
          </w:p>
        </w:tc>
        <w:tc>
          <w:tcPr>
            <w:tcW w:w="1112" w:type="dxa"/>
            <w:vAlign w:val="center"/>
          </w:tcPr>
          <w:p w14:paraId="7403CF84">
            <w:pPr>
              <w:shd w:val="clear"/>
              <w:spacing w:line="360" w:lineRule="auto"/>
              <w:jc w:val="center"/>
              <w:rPr>
                <w:rFonts w:hint="eastAsia" w:ascii="宋体" w:hAnsi="宋体" w:eastAsia="宋体" w:cs="宋体"/>
                <w:color w:val="auto"/>
                <w:szCs w:val="21"/>
                <w:highlight w:val="none"/>
              </w:rPr>
            </w:pPr>
          </w:p>
        </w:tc>
      </w:tr>
      <w:tr w14:paraId="72D2A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4780169D">
            <w:pPr>
              <w:shd w:val="clear"/>
              <w:spacing w:line="360" w:lineRule="auto"/>
              <w:jc w:val="center"/>
              <w:rPr>
                <w:rFonts w:hint="eastAsia" w:ascii="宋体" w:hAnsi="宋体" w:eastAsia="宋体" w:cs="宋体"/>
                <w:color w:val="auto"/>
                <w:szCs w:val="21"/>
                <w:highlight w:val="none"/>
              </w:rPr>
            </w:pPr>
          </w:p>
        </w:tc>
        <w:tc>
          <w:tcPr>
            <w:tcW w:w="927" w:type="dxa"/>
            <w:vAlign w:val="center"/>
          </w:tcPr>
          <w:p w14:paraId="73D64F2C">
            <w:pPr>
              <w:shd w:val="clear"/>
              <w:spacing w:line="360" w:lineRule="auto"/>
              <w:jc w:val="center"/>
              <w:rPr>
                <w:rFonts w:hint="eastAsia" w:ascii="宋体" w:hAnsi="宋体" w:eastAsia="宋体" w:cs="宋体"/>
                <w:color w:val="auto"/>
                <w:szCs w:val="21"/>
                <w:highlight w:val="none"/>
              </w:rPr>
            </w:pPr>
          </w:p>
        </w:tc>
        <w:tc>
          <w:tcPr>
            <w:tcW w:w="927" w:type="dxa"/>
            <w:vAlign w:val="center"/>
          </w:tcPr>
          <w:p w14:paraId="7B0822B7">
            <w:pPr>
              <w:shd w:val="clear"/>
              <w:spacing w:line="360" w:lineRule="auto"/>
              <w:jc w:val="center"/>
              <w:rPr>
                <w:rFonts w:hint="eastAsia" w:ascii="宋体" w:hAnsi="宋体" w:eastAsia="宋体" w:cs="宋体"/>
                <w:color w:val="auto"/>
                <w:szCs w:val="21"/>
                <w:highlight w:val="none"/>
              </w:rPr>
            </w:pPr>
          </w:p>
        </w:tc>
        <w:tc>
          <w:tcPr>
            <w:tcW w:w="742" w:type="dxa"/>
            <w:vAlign w:val="center"/>
          </w:tcPr>
          <w:p w14:paraId="658D9A03">
            <w:pPr>
              <w:shd w:val="clear"/>
              <w:spacing w:line="360" w:lineRule="auto"/>
              <w:jc w:val="center"/>
              <w:rPr>
                <w:rFonts w:hint="eastAsia" w:ascii="宋体" w:hAnsi="宋体" w:eastAsia="宋体" w:cs="宋体"/>
                <w:color w:val="auto"/>
                <w:szCs w:val="21"/>
                <w:highlight w:val="none"/>
              </w:rPr>
            </w:pPr>
          </w:p>
        </w:tc>
        <w:tc>
          <w:tcPr>
            <w:tcW w:w="1297" w:type="dxa"/>
            <w:vAlign w:val="center"/>
          </w:tcPr>
          <w:p w14:paraId="3B37CFD5">
            <w:pPr>
              <w:shd w:val="clear"/>
              <w:spacing w:line="360" w:lineRule="auto"/>
              <w:jc w:val="center"/>
              <w:rPr>
                <w:rFonts w:hint="eastAsia" w:ascii="宋体" w:hAnsi="宋体" w:eastAsia="宋体" w:cs="宋体"/>
                <w:color w:val="auto"/>
                <w:szCs w:val="21"/>
                <w:highlight w:val="none"/>
              </w:rPr>
            </w:pPr>
          </w:p>
        </w:tc>
        <w:tc>
          <w:tcPr>
            <w:tcW w:w="1284" w:type="dxa"/>
            <w:vAlign w:val="center"/>
          </w:tcPr>
          <w:p w14:paraId="6A4F3745">
            <w:pPr>
              <w:shd w:val="clear"/>
              <w:spacing w:line="360" w:lineRule="auto"/>
              <w:jc w:val="center"/>
              <w:rPr>
                <w:rFonts w:hint="eastAsia" w:ascii="宋体" w:hAnsi="宋体" w:eastAsia="宋体" w:cs="宋体"/>
                <w:color w:val="auto"/>
                <w:szCs w:val="21"/>
                <w:highlight w:val="none"/>
              </w:rPr>
            </w:pPr>
          </w:p>
        </w:tc>
        <w:tc>
          <w:tcPr>
            <w:tcW w:w="1766" w:type="dxa"/>
          </w:tcPr>
          <w:p w14:paraId="7D616470">
            <w:pPr>
              <w:shd w:val="clear"/>
              <w:spacing w:line="360" w:lineRule="auto"/>
              <w:jc w:val="center"/>
              <w:rPr>
                <w:rFonts w:hint="eastAsia" w:ascii="宋体" w:hAnsi="宋体" w:eastAsia="宋体" w:cs="宋体"/>
                <w:color w:val="auto"/>
                <w:szCs w:val="21"/>
                <w:highlight w:val="none"/>
              </w:rPr>
            </w:pPr>
          </w:p>
        </w:tc>
        <w:tc>
          <w:tcPr>
            <w:tcW w:w="1112" w:type="dxa"/>
            <w:vAlign w:val="center"/>
          </w:tcPr>
          <w:p w14:paraId="4CC62BD6">
            <w:pPr>
              <w:shd w:val="clear"/>
              <w:spacing w:line="360" w:lineRule="auto"/>
              <w:jc w:val="center"/>
              <w:rPr>
                <w:rFonts w:hint="eastAsia" w:ascii="宋体" w:hAnsi="宋体" w:eastAsia="宋体" w:cs="宋体"/>
                <w:color w:val="auto"/>
                <w:szCs w:val="21"/>
                <w:highlight w:val="none"/>
              </w:rPr>
            </w:pPr>
          </w:p>
        </w:tc>
      </w:tr>
      <w:tr w14:paraId="33E8C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4456CA89">
            <w:pPr>
              <w:shd w:val="clear"/>
              <w:spacing w:line="360" w:lineRule="auto"/>
              <w:jc w:val="center"/>
              <w:rPr>
                <w:rFonts w:hint="eastAsia" w:ascii="宋体" w:hAnsi="宋体" w:eastAsia="宋体" w:cs="宋体"/>
                <w:color w:val="auto"/>
                <w:szCs w:val="21"/>
                <w:highlight w:val="none"/>
              </w:rPr>
            </w:pPr>
          </w:p>
        </w:tc>
        <w:tc>
          <w:tcPr>
            <w:tcW w:w="927" w:type="dxa"/>
            <w:vAlign w:val="center"/>
          </w:tcPr>
          <w:p w14:paraId="03B796A2">
            <w:pPr>
              <w:shd w:val="clear"/>
              <w:spacing w:line="360" w:lineRule="auto"/>
              <w:jc w:val="center"/>
              <w:rPr>
                <w:rFonts w:hint="eastAsia" w:ascii="宋体" w:hAnsi="宋体" w:eastAsia="宋体" w:cs="宋体"/>
                <w:color w:val="auto"/>
                <w:szCs w:val="21"/>
                <w:highlight w:val="none"/>
              </w:rPr>
            </w:pPr>
          </w:p>
        </w:tc>
        <w:tc>
          <w:tcPr>
            <w:tcW w:w="927" w:type="dxa"/>
            <w:vAlign w:val="center"/>
          </w:tcPr>
          <w:p w14:paraId="7574CC79">
            <w:pPr>
              <w:shd w:val="clear"/>
              <w:spacing w:line="360" w:lineRule="auto"/>
              <w:jc w:val="center"/>
              <w:rPr>
                <w:rFonts w:hint="eastAsia" w:ascii="宋体" w:hAnsi="宋体" w:eastAsia="宋体" w:cs="宋体"/>
                <w:color w:val="auto"/>
                <w:szCs w:val="21"/>
                <w:highlight w:val="none"/>
              </w:rPr>
            </w:pPr>
          </w:p>
        </w:tc>
        <w:tc>
          <w:tcPr>
            <w:tcW w:w="742" w:type="dxa"/>
            <w:vAlign w:val="center"/>
          </w:tcPr>
          <w:p w14:paraId="7C1F0460">
            <w:pPr>
              <w:shd w:val="clear"/>
              <w:spacing w:line="360" w:lineRule="auto"/>
              <w:jc w:val="center"/>
              <w:rPr>
                <w:rFonts w:hint="eastAsia" w:ascii="宋体" w:hAnsi="宋体" w:eastAsia="宋体" w:cs="宋体"/>
                <w:color w:val="auto"/>
                <w:szCs w:val="21"/>
                <w:highlight w:val="none"/>
              </w:rPr>
            </w:pPr>
          </w:p>
        </w:tc>
        <w:tc>
          <w:tcPr>
            <w:tcW w:w="1297" w:type="dxa"/>
            <w:vAlign w:val="center"/>
          </w:tcPr>
          <w:p w14:paraId="0DB422D0">
            <w:pPr>
              <w:shd w:val="clear"/>
              <w:spacing w:line="360" w:lineRule="auto"/>
              <w:jc w:val="center"/>
              <w:rPr>
                <w:rFonts w:hint="eastAsia" w:ascii="宋体" w:hAnsi="宋体" w:eastAsia="宋体" w:cs="宋体"/>
                <w:color w:val="auto"/>
                <w:szCs w:val="21"/>
                <w:highlight w:val="none"/>
              </w:rPr>
            </w:pPr>
          </w:p>
        </w:tc>
        <w:tc>
          <w:tcPr>
            <w:tcW w:w="1284" w:type="dxa"/>
            <w:vAlign w:val="center"/>
          </w:tcPr>
          <w:p w14:paraId="09A1FE32">
            <w:pPr>
              <w:shd w:val="clear"/>
              <w:spacing w:line="360" w:lineRule="auto"/>
              <w:jc w:val="center"/>
              <w:rPr>
                <w:rFonts w:hint="eastAsia" w:ascii="宋体" w:hAnsi="宋体" w:eastAsia="宋体" w:cs="宋体"/>
                <w:color w:val="auto"/>
                <w:szCs w:val="21"/>
                <w:highlight w:val="none"/>
              </w:rPr>
            </w:pPr>
          </w:p>
        </w:tc>
        <w:tc>
          <w:tcPr>
            <w:tcW w:w="1766" w:type="dxa"/>
          </w:tcPr>
          <w:p w14:paraId="4DB0F4C1">
            <w:pPr>
              <w:shd w:val="clear"/>
              <w:spacing w:line="360" w:lineRule="auto"/>
              <w:jc w:val="center"/>
              <w:rPr>
                <w:rFonts w:hint="eastAsia" w:ascii="宋体" w:hAnsi="宋体" w:eastAsia="宋体" w:cs="宋体"/>
                <w:color w:val="auto"/>
                <w:szCs w:val="21"/>
                <w:highlight w:val="none"/>
              </w:rPr>
            </w:pPr>
          </w:p>
        </w:tc>
        <w:tc>
          <w:tcPr>
            <w:tcW w:w="1112" w:type="dxa"/>
            <w:vAlign w:val="center"/>
          </w:tcPr>
          <w:p w14:paraId="562C173E">
            <w:pPr>
              <w:shd w:val="clear"/>
              <w:spacing w:line="360" w:lineRule="auto"/>
              <w:jc w:val="center"/>
              <w:rPr>
                <w:rFonts w:hint="eastAsia" w:ascii="宋体" w:hAnsi="宋体" w:eastAsia="宋体" w:cs="宋体"/>
                <w:color w:val="auto"/>
                <w:szCs w:val="21"/>
                <w:highlight w:val="none"/>
              </w:rPr>
            </w:pPr>
          </w:p>
        </w:tc>
      </w:tr>
      <w:tr w14:paraId="61A30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567F5C3B">
            <w:pPr>
              <w:shd w:val="clear"/>
              <w:spacing w:line="360" w:lineRule="auto"/>
              <w:jc w:val="center"/>
              <w:rPr>
                <w:rFonts w:hint="eastAsia" w:ascii="宋体" w:hAnsi="宋体" w:eastAsia="宋体" w:cs="宋体"/>
                <w:color w:val="auto"/>
                <w:szCs w:val="21"/>
                <w:highlight w:val="none"/>
              </w:rPr>
            </w:pPr>
          </w:p>
        </w:tc>
        <w:tc>
          <w:tcPr>
            <w:tcW w:w="927" w:type="dxa"/>
            <w:vAlign w:val="center"/>
          </w:tcPr>
          <w:p w14:paraId="02E6D0D7">
            <w:pPr>
              <w:shd w:val="clear"/>
              <w:spacing w:line="360" w:lineRule="auto"/>
              <w:jc w:val="center"/>
              <w:rPr>
                <w:rFonts w:hint="eastAsia" w:ascii="宋体" w:hAnsi="宋体" w:eastAsia="宋体" w:cs="宋体"/>
                <w:color w:val="auto"/>
                <w:szCs w:val="21"/>
                <w:highlight w:val="none"/>
              </w:rPr>
            </w:pPr>
          </w:p>
        </w:tc>
        <w:tc>
          <w:tcPr>
            <w:tcW w:w="927" w:type="dxa"/>
            <w:vAlign w:val="center"/>
          </w:tcPr>
          <w:p w14:paraId="064CFC3B">
            <w:pPr>
              <w:shd w:val="clear"/>
              <w:spacing w:line="360" w:lineRule="auto"/>
              <w:jc w:val="center"/>
              <w:rPr>
                <w:rFonts w:hint="eastAsia" w:ascii="宋体" w:hAnsi="宋体" w:eastAsia="宋体" w:cs="宋体"/>
                <w:color w:val="auto"/>
                <w:szCs w:val="21"/>
                <w:highlight w:val="none"/>
              </w:rPr>
            </w:pPr>
          </w:p>
        </w:tc>
        <w:tc>
          <w:tcPr>
            <w:tcW w:w="742" w:type="dxa"/>
            <w:vAlign w:val="center"/>
          </w:tcPr>
          <w:p w14:paraId="7C23A945">
            <w:pPr>
              <w:shd w:val="clear"/>
              <w:spacing w:line="360" w:lineRule="auto"/>
              <w:jc w:val="center"/>
              <w:rPr>
                <w:rFonts w:hint="eastAsia" w:ascii="宋体" w:hAnsi="宋体" w:eastAsia="宋体" w:cs="宋体"/>
                <w:color w:val="auto"/>
                <w:szCs w:val="21"/>
                <w:highlight w:val="none"/>
              </w:rPr>
            </w:pPr>
          </w:p>
        </w:tc>
        <w:tc>
          <w:tcPr>
            <w:tcW w:w="1297" w:type="dxa"/>
            <w:vAlign w:val="center"/>
          </w:tcPr>
          <w:p w14:paraId="76772C0C">
            <w:pPr>
              <w:shd w:val="clear"/>
              <w:spacing w:line="360" w:lineRule="auto"/>
              <w:jc w:val="center"/>
              <w:rPr>
                <w:rFonts w:hint="eastAsia" w:ascii="宋体" w:hAnsi="宋体" w:eastAsia="宋体" w:cs="宋体"/>
                <w:color w:val="auto"/>
                <w:szCs w:val="21"/>
                <w:highlight w:val="none"/>
              </w:rPr>
            </w:pPr>
          </w:p>
        </w:tc>
        <w:tc>
          <w:tcPr>
            <w:tcW w:w="1284" w:type="dxa"/>
            <w:vAlign w:val="center"/>
          </w:tcPr>
          <w:p w14:paraId="45244355">
            <w:pPr>
              <w:shd w:val="clear"/>
              <w:spacing w:line="360" w:lineRule="auto"/>
              <w:jc w:val="center"/>
              <w:rPr>
                <w:rFonts w:hint="eastAsia" w:ascii="宋体" w:hAnsi="宋体" w:eastAsia="宋体" w:cs="宋体"/>
                <w:color w:val="auto"/>
                <w:szCs w:val="21"/>
                <w:highlight w:val="none"/>
              </w:rPr>
            </w:pPr>
          </w:p>
        </w:tc>
        <w:tc>
          <w:tcPr>
            <w:tcW w:w="1766" w:type="dxa"/>
          </w:tcPr>
          <w:p w14:paraId="537AD7A7">
            <w:pPr>
              <w:shd w:val="clear"/>
              <w:spacing w:line="360" w:lineRule="auto"/>
              <w:jc w:val="center"/>
              <w:rPr>
                <w:rFonts w:hint="eastAsia" w:ascii="宋体" w:hAnsi="宋体" w:eastAsia="宋体" w:cs="宋体"/>
                <w:color w:val="auto"/>
                <w:szCs w:val="21"/>
                <w:highlight w:val="none"/>
              </w:rPr>
            </w:pPr>
          </w:p>
        </w:tc>
        <w:tc>
          <w:tcPr>
            <w:tcW w:w="1112" w:type="dxa"/>
            <w:vAlign w:val="center"/>
          </w:tcPr>
          <w:p w14:paraId="59D9572A">
            <w:pPr>
              <w:shd w:val="clear"/>
              <w:spacing w:line="360" w:lineRule="auto"/>
              <w:jc w:val="center"/>
              <w:rPr>
                <w:rFonts w:hint="eastAsia" w:ascii="宋体" w:hAnsi="宋体" w:eastAsia="宋体" w:cs="宋体"/>
                <w:color w:val="auto"/>
                <w:szCs w:val="21"/>
                <w:highlight w:val="none"/>
              </w:rPr>
            </w:pPr>
          </w:p>
        </w:tc>
      </w:tr>
    </w:tbl>
    <w:p w14:paraId="1E2FB50C">
      <w:pPr>
        <w:pStyle w:val="10"/>
        <w:shd w:val="clear"/>
        <w:spacing w:before="120" w:after="120"/>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注：与评分有关的证明材料附后。</w:t>
      </w:r>
    </w:p>
    <w:p w14:paraId="6E176E78">
      <w:pPr>
        <w:shd w:val="clear"/>
        <w:spacing w:line="400" w:lineRule="exact"/>
        <w:ind w:firstLine="3360" w:firstLineChars="1400"/>
        <w:rPr>
          <w:rFonts w:hint="eastAsia" w:ascii="宋体" w:hAnsi="宋体" w:eastAsia="宋体" w:cs="宋体"/>
          <w:color w:val="auto"/>
          <w:sz w:val="24"/>
          <w:highlight w:val="none"/>
        </w:rPr>
      </w:pPr>
    </w:p>
    <w:p w14:paraId="3CA58E31">
      <w:pPr>
        <w:shd w:val="clear"/>
        <w:spacing w:line="400" w:lineRule="exact"/>
        <w:ind w:firstLine="3360" w:firstLineChars="1400"/>
        <w:rPr>
          <w:rFonts w:ascii="宋体" w:hAnsi="宋体"/>
          <w:color w:val="auto"/>
          <w:sz w:val="24"/>
          <w:highlight w:val="none"/>
        </w:rPr>
      </w:pPr>
      <w:r>
        <w:rPr>
          <w:rFonts w:hint="eastAsia" w:ascii="宋体" w:hAnsi="宋体"/>
          <w:color w:val="auto"/>
          <w:sz w:val="24"/>
          <w:highlight w:val="none"/>
        </w:rPr>
        <w:t>法定代表人或其授权委托人（签名或印章）：</w:t>
      </w:r>
    </w:p>
    <w:p w14:paraId="2E089235">
      <w:pPr>
        <w:shd w:val="clear"/>
        <w:spacing w:line="400" w:lineRule="exact"/>
        <w:ind w:firstLine="3360" w:firstLineChars="1400"/>
        <w:rPr>
          <w:rFonts w:ascii="宋体" w:hAnsi="宋体"/>
          <w:color w:val="auto"/>
          <w:sz w:val="24"/>
          <w:highlight w:val="none"/>
        </w:rPr>
      </w:pPr>
      <w:r>
        <w:rPr>
          <w:rFonts w:hint="eastAsia" w:ascii="宋体" w:hAnsi="宋体"/>
          <w:color w:val="auto"/>
          <w:sz w:val="24"/>
          <w:highlight w:val="none"/>
        </w:rPr>
        <w:t>投标人（盖章）：</w:t>
      </w:r>
    </w:p>
    <w:p w14:paraId="3A1D6A8B">
      <w:pPr>
        <w:shd w:val="clear"/>
        <w:rPr>
          <w:color w:val="auto"/>
          <w:highlight w:val="none"/>
        </w:rPr>
      </w:pPr>
      <w:r>
        <w:rPr>
          <w:rFonts w:hint="eastAsia" w:ascii="宋体" w:hAnsi="宋体"/>
          <w:color w:val="auto"/>
          <w:sz w:val="24"/>
          <w:highlight w:val="none"/>
        </w:rPr>
        <w:t xml:space="preserve">                            日期：</w:t>
      </w:r>
    </w:p>
    <w:p w14:paraId="7EEB73FD">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十二、政府采购供应商廉洁自律承诺书</w:t>
      </w:r>
    </w:p>
    <w:p w14:paraId="5DDE7961">
      <w:pPr>
        <w:shd w:val="clear"/>
        <w:snapToGrid w:val="0"/>
        <w:spacing w:line="360" w:lineRule="auto"/>
        <w:rPr>
          <w:rFonts w:cs="仿宋" w:asciiTheme="majorEastAsia" w:hAnsiTheme="majorEastAsia" w:eastAsiaTheme="majorEastAsia"/>
          <w:color w:val="auto"/>
          <w:sz w:val="24"/>
          <w:highlight w:val="none"/>
        </w:rPr>
      </w:pPr>
    </w:p>
    <w:p w14:paraId="43658EC1">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p>
    <w:p w14:paraId="49EF143A">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我单位响应你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14:paraId="7402A6C1">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20B3508B">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4F5EDE1E">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0932F14D">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四、不为项目有关人员及部门出国（境）、旅游等提供方便；</w:t>
      </w:r>
    </w:p>
    <w:p w14:paraId="2C145D38">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五、不为项目有关人员个人装修住房、婚丧嫁娶、配偶子女工作安排等提供</w:t>
      </w:r>
    </w:p>
    <w:p w14:paraId="0024A122">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好处；</w:t>
      </w:r>
    </w:p>
    <w:p w14:paraId="4A5C4571">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六、严格遵守《</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政府采购法》《</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招标投标</w:t>
      </w:r>
    </w:p>
    <w:p w14:paraId="573F1F57">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w:t>
      </w:r>
      <w:r>
        <w:rPr>
          <w:rFonts w:hint="eastAsia" w:cs="仿宋" w:asciiTheme="majorEastAsia" w:hAnsiTheme="majorEastAsia" w:eastAsiaTheme="majorEastAsia"/>
          <w:color w:val="auto"/>
          <w:sz w:val="24"/>
          <w:highlight w:val="none"/>
          <w:lang w:val="zh-CN"/>
        </w:rPr>
        <w:t>《中华人民共和国民法典》</w:t>
      </w:r>
      <w:r>
        <w:rPr>
          <w:rFonts w:hint="eastAsia" w:cs="仿宋" w:asciiTheme="majorEastAsia" w:hAnsiTheme="majorEastAsia" w:eastAsiaTheme="majorEastAsia"/>
          <w:color w:val="auto"/>
          <w:kern w:val="0"/>
          <w:sz w:val="24"/>
          <w:highlight w:val="none"/>
          <w:lang w:val="zh-CN"/>
        </w:rPr>
        <w:t xml:space="preserve">等法律法规，诚实守信，合法经营，坚决抵制各种违法违纪行为。 </w:t>
      </w:r>
    </w:p>
    <w:p w14:paraId="0983FCBA">
      <w:pPr>
        <w:shd w:val="clear"/>
        <w:autoSpaceDE w:val="0"/>
        <w:autoSpaceDN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如违反上述承诺，你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进行项目建设或其他经营活动，并通报监管部门。由此引起的相应损失均由我单位承担。</w:t>
      </w:r>
    </w:p>
    <w:p w14:paraId="1BC2D76A">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2794E8A1">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389E89D0">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07001EA6">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7858F13B">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2E0B6D02">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5C5B2EE7">
      <w:pPr>
        <w:shd w:val="clear"/>
        <w:spacing w:line="360" w:lineRule="auto"/>
        <w:ind w:left="4620" w:leftChars="2200"/>
        <w:rPr>
          <w:rFonts w:cs="仿宋" w:asciiTheme="majorEastAsia" w:hAnsiTheme="majorEastAsia" w:eastAsiaTheme="majorEastAsia"/>
          <w:color w:val="auto"/>
          <w:sz w:val="24"/>
          <w:highlight w:val="none"/>
        </w:rPr>
      </w:pPr>
    </w:p>
    <w:p w14:paraId="4BC3408F">
      <w:pPr>
        <w:shd w:val="clear"/>
        <w:spacing w:line="360" w:lineRule="auto"/>
        <w:jc w:val="center"/>
        <w:rPr>
          <w:rFonts w:cs="仿宋" w:asciiTheme="majorEastAsia" w:hAnsiTheme="majorEastAsia" w:eastAsiaTheme="majorEastAsia"/>
          <w:b/>
          <w:bCs/>
          <w:color w:val="auto"/>
          <w:sz w:val="24"/>
          <w:highlight w:val="none"/>
        </w:rPr>
      </w:pPr>
    </w:p>
    <w:p w14:paraId="04F0E98A">
      <w:pPr>
        <w:shd w:val="clear"/>
        <w:spacing w:line="360" w:lineRule="auto"/>
        <w:jc w:val="center"/>
        <w:rPr>
          <w:rFonts w:cs="仿宋" w:asciiTheme="majorEastAsia" w:hAnsiTheme="majorEastAsia" w:eastAsiaTheme="majorEastAsia"/>
          <w:b/>
          <w:bCs/>
          <w:color w:val="auto"/>
          <w:sz w:val="24"/>
          <w:highlight w:val="none"/>
        </w:rPr>
        <w:sectPr>
          <w:headerReference r:id="rId4" w:type="first"/>
          <w:footerReference r:id="rId6" w:type="first"/>
          <w:headerReference r:id="rId3" w:type="default"/>
          <w:footerReference r:id="rId5" w:type="default"/>
          <w:pgSz w:w="11906" w:h="16838"/>
          <w:pgMar w:top="1276" w:right="1274" w:bottom="1247" w:left="1418" w:header="851" w:footer="992" w:gutter="0"/>
          <w:cols w:space="720" w:num="1"/>
          <w:titlePg/>
          <w:docGrid w:linePitch="312" w:charSpace="0"/>
        </w:sectPr>
      </w:pPr>
    </w:p>
    <w:p w14:paraId="3F159E7E">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52E46DA9">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报价文件部分</w:t>
      </w:r>
    </w:p>
    <w:p w14:paraId="4F579D5C">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0008D52C">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sz w:val="24"/>
          <w:highlight w:val="none"/>
        </w:rPr>
        <w:t xml:space="preserve"> </w:t>
      </w:r>
    </w:p>
    <w:p w14:paraId="282E0538">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开标一览表；</w:t>
      </w:r>
    </w:p>
    <w:p w14:paraId="5DCF589C">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投标报价明细表；</w:t>
      </w:r>
    </w:p>
    <w:p w14:paraId="54954A06">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中小企业声明函（如有）；</w:t>
      </w:r>
    </w:p>
    <w:p w14:paraId="62733DEF">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残疾人福利性单位声明函（如有）；</w:t>
      </w:r>
    </w:p>
    <w:p w14:paraId="7CBF3693">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监狱企业的证明文件（如有）；</w:t>
      </w:r>
    </w:p>
    <w:p w14:paraId="5A2CAB12">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政府采购统计基础信息表；</w:t>
      </w:r>
    </w:p>
    <w:p w14:paraId="594EEF2F">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其他资料（如有）。</w:t>
      </w:r>
    </w:p>
    <w:p w14:paraId="36D59828">
      <w:pPr>
        <w:shd w:val="clear"/>
        <w:snapToGrid w:val="0"/>
        <w:spacing w:line="360" w:lineRule="auto"/>
        <w:ind w:right="480"/>
        <w:rPr>
          <w:rFonts w:cs="仿宋" w:asciiTheme="majorEastAsia" w:hAnsiTheme="majorEastAsia" w:eastAsiaTheme="majorEastAsia"/>
          <w:b/>
          <w:color w:val="auto"/>
          <w:kern w:val="0"/>
          <w:sz w:val="32"/>
          <w:szCs w:val="32"/>
          <w:highlight w:val="none"/>
        </w:rPr>
      </w:pPr>
    </w:p>
    <w:p w14:paraId="198F6E83">
      <w:pPr>
        <w:pStyle w:val="35"/>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69E27CE">
      <w:pPr>
        <w:pStyle w:val="35"/>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一、开标一览表（报价表）</w:t>
      </w:r>
    </w:p>
    <w:p w14:paraId="04161B81">
      <w:pPr>
        <w:shd w:val="clear"/>
        <w:snapToGrid w:val="0"/>
        <w:spacing w:line="360" w:lineRule="auto"/>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u w:val="single"/>
        </w:rPr>
        <w:t xml:space="preserve">                                     </w:t>
      </w:r>
    </w:p>
    <w:p w14:paraId="4A97EB8B">
      <w:pPr>
        <w:shd w:val="clear"/>
        <w:snapToGrid w:val="0"/>
        <w:spacing w:line="360" w:lineRule="auto"/>
        <w:ind w:firstLine="482"/>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highlight w:val="none"/>
        </w:rPr>
        <w:t>（项目名称）</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sz w:val="24"/>
          <w:highlight w:val="none"/>
        </w:rPr>
        <w:t>项目编号：        】的实施</w:t>
      </w:r>
      <w:r>
        <w:rPr>
          <w:rFonts w:hint="eastAsia" w:cs="仿宋" w:asciiTheme="majorEastAsia" w:hAnsiTheme="majorEastAsia" w:eastAsiaTheme="majorEastAsia"/>
          <w:color w:val="auto"/>
          <w:kern w:val="0"/>
          <w:sz w:val="24"/>
          <w:highlight w:val="none"/>
          <w:lang w:val="zh-CN"/>
        </w:rPr>
        <w:t>。</w:t>
      </w:r>
    </w:p>
    <w:p w14:paraId="652C8E8C">
      <w:pPr>
        <w:shd w:val="clear"/>
        <w:spacing w:line="360" w:lineRule="auto"/>
        <w:jc w:val="center"/>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开标一览表（报价表）(单位均为人民币元)</w:t>
      </w:r>
    </w:p>
    <w:tbl>
      <w:tblPr>
        <w:tblStyle w:val="19"/>
        <w:tblpPr w:leftFromText="180" w:rightFromText="180" w:vertAnchor="text" w:tblpX="500"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gridCol w:w="2298"/>
        <w:gridCol w:w="2711"/>
      </w:tblGrid>
      <w:tr w14:paraId="6D2D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897" w:type="dxa"/>
            <w:vAlign w:val="center"/>
          </w:tcPr>
          <w:p w14:paraId="185B73D8">
            <w:pPr>
              <w:pStyle w:val="67"/>
              <w:widowControl w:val="0"/>
              <w:shd w:val="clear"/>
              <w:tabs>
                <w:tab w:val="left" w:pos="1200"/>
              </w:tabs>
              <w:spacing w:after="120" w:line="400" w:lineRule="exact"/>
              <w:ind w:firstLine="0"/>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2298" w:type="dxa"/>
            <w:vAlign w:val="center"/>
          </w:tcPr>
          <w:p w14:paraId="6C5D7BBB">
            <w:pPr>
              <w:pStyle w:val="67"/>
              <w:widowControl w:val="0"/>
              <w:shd w:val="clear"/>
              <w:tabs>
                <w:tab w:val="left" w:pos="1200"/>
              </w:tabs>
              <w:spacing w:after="120" w:line="400" w:lineRule="exact"/>
              <w:ind w:firstLine="0"/>
              <w:jc w:val="center"/>
              <w:rPr>
                <w:rFonts w:ascii="宋体" w:hAnsi="宋体"/>
                <w:color w:val="auto"/>
                <w:sz w:val="21"/>
                <w:szCs w:val="21"/>
                <w:highlight w:val="none"/>
              </w:rPr>
            </w:pPr>
            <w:r>
              <w:rPr>
                <w:rFonts w:hint="eastAsia" w:ascii="宋体" w:hAnsi="宋体"/>
                <w:color w:val="auto"/>
                <w:sz w:val="21"/>
                <w:szCs w:val="21"/>
                <w:highlight w:val="none"/>
              </w:rPr>
              <w:t>投标报价</w:t>
            </w:r>
          </w:p>
        </w:tc>
        <w:tc>
          <w:tcPr>
            <w:tcW w:w="2711" w:type="dxa"/>
            <w:vAlign w:val="center"/>
          </w:tcPr>
          <w:p w14:paraId="6332B3A9">
            <w:pPr>
              <w:shd w:val="clear"/>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服务期限</w:t>
            </w:r>
          </w:p>
        </w:tc>
      </w:tr>
      <w:tr w14:paraId="361C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8897" w:type="dxa"/>
            <w:vAlign w:val="center"/>
          </w:tcPr>
          <w:p w14:paraId="38CFF642">
            <w:pPr>
              <w:pStyle w:val="67"/>
              <w:widowControl w:val="0"/>
              <w:shd w:val="clear"/>
              <w:tabs>
                <w:tab w:val="left" w:pos="1200"/>
              </w:tabs>
              <w:spacing w:after="120" w:line="400" w:lineRule="exact"/>
              <w:ind w:firstLine="0"/>
              <w:jc w:val="center"/>
              <w:rPr>
                <w:rFonts w:hint="eastAsia" w:ascii="宋体" w:hAnsi="宋体" w:eastAsia="宋体"/>
                <w:color w:val="auto"/>
                <w:sz w:val="21"/>
                <w:szCs w:val="21"/>
                <w:highlight w:val="none"/>
                <w:lang w:eastAsia="zh-CN"/>
              </w:rPr>
            </w:pPr>
            <w:r>
              <w:rPr>
                <w:rFonts w:hint="eastAsia" w:cs="仿宋" w:asciiTheme="majorEastAsia" w:hAnsiTheme="majorEastAsia" w:eastAsiaTheme="majorEastAsia"/>
                <w:color w:val="auto"/>
                <w:highlight w:val="none"/>
                <w:lang w:eastAsia="zh-CN"/>
              </w:rPr>
              <w:t>奉化区溪口镇经济薄弱村孵化器项目（一期）物业采购项目</w:t>
            </w:r>
          </w:p>
        </w:tc>
        <w:tc>
          <w:tcPr>
            <w:tcW w:w="2298" w:type="dxa"/>
            <w:vAlign w:val="center"/>
          </w:tcPr>
          <w:p w14:paraId="5BE5AB5F">
            <w:pPr>
              <w:pStyle w:val="67"/>
              <w:widowControl w:val="0"/>
              <w:shd w:val="clear"/>
              <w:tabs>
                <w:tab w:val="left" w:pos="1200"/>
              </w:tabs>
              <w:spacing w:after="120" w:line="400" w:lineRule="exact"/>
              <w:ind w:firstLine="0"/>
              <w:jc w:val="right"/>
              <w:rPr>
                <w:rFonts w:ascii="宋体" w:hAnsi="宋体"/>
                <w:color w:val="auto"/>
                <w:sz w:val="21"/>
                <w:szCs w:val="21"/>
                <w:highlight w:val="none"/>
              </w:rPr>
            </w:pPr>
            <w:r>
              <w:rPr>
                <w:rFonts w:hint="eastAsia" w:ascii="宋体" w:hAnsi="宋体"/>
                <w:color w:val="auto"/>
                <w:sz w:val="21"/>
                <w:szCs w:val="21"/>
                <w:highlight w:val="none"/>
              </w:rPr>
              <w:t>元/年</w:t>
            </w:r>
          </w:p>
        </w:tc>
        <w:tc>
          <w:tcPr>
            <w:tcW w:w="2711" w:type="dxa"/>
          </w:tcPr>
          <w:p w14:paraId="6AFD02B4">
            <w:pPr>
              <w:pStyle w:val="67"/>
              <w:widowControl w:val="0"/>
              <w:shd w:val="clear"/>
              <w:tabs>
                <w:tab w:val="left" w:pos="1200"/>
              </w:tabs>
              <w:spacing w:after="120" w:line="400" w:lineRule="exact"/>
              <w:ind w:firstLine="0"/>
              <w:jc w:val="center"/>
              <w:rPr>
                <w:rFonts w:ascii="宋体" w:hAnsi="宋体"/>
                <w:color w:val="auto"/>
                <w:sz w:val="21"/>
                <w:szCs w:val="21"/>
                <w:highlight w:val="none"/>
              </w:rPr>
            </w:pPr>
          </w:p>
        </w:tc>
      </w:tr>
      <w:tr w14:paraId="1085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906" w:type="dxa"/>
            <w:gridSpan w:val="3"/>
          </w:tcPr>
          <w:p w14:paraId="136DDB71">
            <w:pPr>
              <w:shd w:val="clear"/>
              <w:rPr>
                <w:color w:val="auto"/>
                <w:highlight w:val="none"/>
              </w:rPr>
            </w:pPr>
            <w:r>
              <w:rPr>
                <w:rFonts w:hint="eastAsia" w:cs="仿宋" w:asciiTheme="majorEastAsia" w:hAnsiTheme="majorEastAsia" w:eastAsiaTheme="majorEastAsia"/>
                <w:b/>
                <w:color w:val="auto"/>
                <w:sz w:val="24"/>
                <w:highlight w:val="none"/>
              </w:rPr>
              <w:t>投标报价（小写）</w:t>
            </w:r>
          </w:p>
        </w:tc>
      </w:tr>
      <w:tr w14:paraId="00B5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906" w:type="dxa"/>
            <w:gridSpan w:val="3"/>
          </w:tcPr>
          <w:p w14:paraId="37D2FD3B">
            <w:pPr>
              <w:shd w:val="clear"/>
              <w:rPr>
                <w:color w:val="auto"/>
                <w:highlight w:val="none"/>
              </w:rPr>
            </w:pPr>
            <w:r>
              <w:rPr>
                <w:rFonts w:hint="eastAsia" w:cs="仿宋" w:asciiTheme="majorEastAsia" w:hAnsiTheme="majorEastAsia" w:eastAsiaTheme="majorEastAsia"/>
                <w:b/>
                <w:color w:val="auto"/>
                <w:sz w:val="24"/>
                <w:highlight w:val="none"/>
              </w:rPr>
              <w:t>投标报价（大写）</w:t>
            </w:r>
          </w:p>
        </w:tc>
      </w:tr>
    </w:tbl>
    <w:p w14:paraId="65F0958A">
      <w:pPr>
        <w:shd w:val="clear"/>
        <w:snapToGrid w:val="0"/>
        <w:spacing w:line="360" w:lineRule="auto"/>
        <w:ind w:left="480"/>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注：</w:t>
      </w:r>
    </w:p>
    <w:p w14:paraId="5B7353A5">
      <w:pPr>
        <w:shd w:val="clear"/>
        <w:spacing w:line="360" w:lineRule="auto"/>
        <w:ind w:left="-2" w:leftChars="-1"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rPr>
        <w:t>1</w:t>
      </w:r>
      <w:r>
        <w:rPr>
          <w:rFonts w:hint="eastAsia" w:cs="仿宋" w:asciiTheme="majorEastAsia" w:hAnsiTheme="majorEastAsia" w:eastAsiaTheme="majorEastAsia"/>
          <w:color w:val="auto"/>
          <w:kern w:val="0"/>
          <w:sz w:val="24"/>
          <w:highlight w:val="none"/>
          <w:lang w:val="zh-CN"/>
        </w:rPr>
        <w:t>、投标人需按本表格式填写，不得自行更改。</w:t>
      </w:r>
    </w:p>
    <w:p w14:paraId="7AF8B885">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rPr>
        <w:t>2</w:t>
      </w:r>
      <w:r>
        <w:rPr>
          <w:rFonts w:hint="eastAsia" w:cs="仿宋" w:asciiTheme="majorEastAsia" w:hAnsiTheme="majorEastAsia" w:eastAsiaTheme="majorEastAsia"/>
          <w:color w:val="auto"/>
          <w:kern w:val="0"/>
          <w:sz w:val="24"/>
          <w:highlight w:val="none"/>
          <w:lang w:val="zh-CN"/>
        </w:rPr>
        <w:t>、有关本项目实施所涉及的一切费用均计入报价。</w:t>
      </w:r>
      <w:r>
        <w:rPr>
          <w:rFonts w:hint="eastAsia" w:cs="仿宋" w:asciiTheme="majorEastAsia" w:hAnsiTheme="majorEastAsia" w:eastAsiaTheme="majorEastAsia"/>
          <w:b/>
          <w:color w:val="auto"/>
          <w:kern w:val="0"/>
          <w:sz w:val="24"/>
          <w:highlight w:val="none"/>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b/>
          <w:color w:val="auto"/>
          <w:kern w:val="0"/>
          <w:sz w:val="24"/>
          <w:highlight w:val="none"/>
          <w:lang w:val="zh-CN"/>
        </w:rPr>
        <w:t>不得出现“0元”“免费赠送”等形式的无偿报价，</w:t>
      </w:r>
      <w:r>
        <w:rPr>
          <w:rFonts w:hint="eastAsia" w:cs="仿宋" w:asciiTheme="majorEastAsia" w:hAnsiTheme="majorEastAsia" w:eastAsiaTheme="majorEastAsia"/>
          <w:b/>
          <w:color w:val="auto"/>
          <w:kern w:val="0"/>
          <w:sz w:val="24"/>
          <w:highlight w:val="none"/>
        </w:rPr>
        <w:t>否则视为</w:t>
      </w:r>
      <w:r>
        <w:rPr>
          <w:rFonts w:hint="eastAsia" w:cs="仿宋" w:asciiTheme="majorEastAsia" w:hAnsiTheme="majorEastAsia" w:eastAsiaTheme="majorEastAsia"/>
          <w:b/>
          <w:color w:val="auto"/>
          <w:sz w:val="24"/>
          <w:highlight w:val="none"/>
        </w:rPr>
        <w:t>投标文件含有采购人不能接受的附加条件的，投标无效</w:t>
      </w:r>
      <w:r>
        <w:rPr>
          <w:rFonts w:hint="eastAsia" w:cs="仿宋" w:asciiTheme="majorEastAsia" w:hAnsiTheme="majorEastAsia" w:eastAsiaTheme="majorEastAsia"/>
          <w:b/>
          <w:color w:val="auto"/>
          <w:kern w:val="0"/>
          <w:sz w:val="24"/>
          <w:highlight w:val="none"/>
          <w:lang w:val="zh-CN"/>
        </w:rPr>
        <w:t>。</w:t>
      </w:r>
    </w:p>
    <w:p w14:paraId="4AE84483">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0BC531EB">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7B7248D0">
      <w:pPr>
        <w:shd w:val="clear"/>
        <w:spacing w:line="360" w:lineRule="auto"/>
        <w:ind w:left="7560" w:leftChars="3600"/>
        <w:rPr>
          <w:rFonts w:asciiTheme="majorEastAsia" w:hAnsiTheme="majorEastAsia" w:eastAsiaTheme="majorEastAsia"/>
          <w:color w:val="auto"/>
          <w:highlight w:val="none"/>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color w:val="auto"/>
          <w:sz w:val="24"/>
          <w:highlight w:val="none"/>
        </w:rPr>
        <w:t xml:space="preserve">日  期： </w:t>
      </w:r>
    </w:p>
    <w:p w14:paraId="37454541">
      <w:pPr>
        <w:pStyle w:val="35"/>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二、投标报价明细表</w:t>
      </w:r>
    </w:p>
    <w:p w14:paraId="568DADF2">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投标人名称：</w:t>
      </w:r>
      <w:r>
        <w:rPr>
          <w:rFonts w:hint="eastAsia" w:cs="仿宋" w:asciiTheme="majorEastAsia" w:hAnsiTheme="majorEastAsia" w:eastAsiaTheme="majorEastAsia"/>
          <w:color w:val="auto"/>
          <w:kern w:val="0"/>
          <w:sz w:val="24"/>
          <w:highlight w:val="none"/>
          <w:u w:val="single"/>
        </w:rPr>
        <w:t xml:space="preserve">                            </w:t>
      </w:r>
    </w:p>
    <w:p w14:paraId="3820522F">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标    项：</w:t>
      </w:r>
      <w:r>
        <w:rPr>
          <w:rFonts w:hint="eastAsia" w:cs="仿宋" w:asciiTheme="majorEastAsia" w:hAnsiTheme="majorEastAsia" w:eastAsiaTheme="majorEastAsia"/>
          <w:color w:val="auto"/>
          <w:kern w:val="0"/>
          <w:sz w:val="24"/>
          <w:highlight w:val="none"/>
          <w:u w:val="single"/>
        </w:rPr>
        <w:t xml:space="preserve">                              </w:t>
      </w:r>
    </w:p>
    <w:p w14:paraId="5EE6C416">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项目编号： </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sz w:val="24"/>
          <w:highlight w:val="none"/>
        </w:rPr>
        <w:t xml:space="preserve">           </w:t>
      </w:r>
    </w:p>
    <w:tbl>
      <w:tblPr>
        <w:tblStyle w:val="19"/>
        <w:tblW w:w="95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2693"/>
        <w:gridCol w:w="1590"/>
        <w:gridCol w:w="1954"/>
        <w:gridCol w:w="2410"/>
      </w:tblGrid>
      <w:tr w14:paraId="57050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vAlign w:val="center"/>
          </w:tcPr>
          <w:p w14:paraId="050608C0">
            <w:pPr>
              <w:shd w:val="clear"/>
              <w:rPr>
                <w:rFonts w:ascii="宋体" w:hAnsi="宋体"/>
                <w:color w:val="auto"/>
                <w:highlight w:val="none"/>
              </w:rPr>
            </w:pPr>
            <w:r>
              <w:rPr>
                <w:rFonts w:hint="eastAsia" w:ascii="宋体" w:hAnsi="宋体"/>
                <w:color w:val="auto"/>
                <w:highlight w:val="none"/>
              </w:rPr>
              <w:t>序号</w:t>
            </w:r>
          </w:p>
        </w:tc>
        <w:tc>
          <w:tcPr>
            <w:tcW w:w="2693" w:type="dxa"/>
            <w:tcBorders>
              <w:top w:val="single" w:color="auto" w:sz="4" w:space="0"/>
              <w:left w:val="single" w:color="auto" w:sz="4" w:space="0"/>
              <w:bottom w:val="single" w:color="auto" w:sz="4" w:space="0"/>
              <w:right w:val="single" w:color="auto" w:sz="4" w:space="0"/>
            </w:tcBorders>
            <w:vAlign w:val="center"/>
          </w:tcPr>
          <w:p w14:paraId="6FDF16C7">
            <w:pPr>
              <w:shd w:val="clear"/>
              <w:jc w:val="center"/>
              <w:rPr>
                <w:rFonts w:ascii="宋体" w:hAnsi="宋体"/>
                <w:color w:val="auto"/>
                <w:highlight w:val="none"/>
              </w:rPr>
            </w:pPr>
            <w:r>
              <w:rPr>
                <w:rFonts w:hint="eastAsia" w:ascii="宋体" w:hAnsi="宋体"/>
                <w:color w:val="auto"/>
                <w:highlight w:val="none"/>
              </w:rPr>
              <w:t>服务内容</w:t>
            </w:r>
          </w:p>
        </w:tc>
        <w:tc>
          <w:tcPr>
            <w:tcW w:w="1590" w:type="dxa"/>
            <w:tcBorders>
              <w:top w:val="single" w:color="auto" w:sz="4" w:space="0"/>
              <w:left w:val="single" w:color="auto" w:sz="4" w:space="0"/>
              <w:bottom w:val="single" w:color="auto" w:sz="4" w:space="0"/>
              <w:right w:val="single" w:color="auto" w:sz="4" w:space="0"/>
            </w:tcBorders>
            <w:vAlign w:val="center"/>
          </w:tcPr>
          <w:p w14:paraId="6DAFDE0D">
            <w:pPr>
              <w:shd w:val="clear"/>
              <w:jc w:val="center"/>
              <w:rPr>
                <w:rFonts w:ascii="宋体" w:hAnsi="宋体"/>
                <w:color w:val="auto"/>
                <w:highlight w:val="none"/>
              </w:rPr>
            </w:pPr>
            <w:r>
              <w:rPr>
                <w:rFonts w:hint="eastAsia" w:ascii="宋体" w:hAnsi="宋体"/>
                <w:color w:val="auto"/>
                <w:highlight w:val="none"/>
              </w:rPr>
              <w:t>数量</w:t>
            </w:r>
          </w:p>
        </w:tc>
        <w:tc>
          <w:tcPr>
            <w:tcW w:w="1954" w:type="dxa"/>
            <w:tcBorders>
              <w:top w:val="single" w:color="auto" w:sz="4" w:space="0"/>
              <w:left w:val="single" w:color="auto" w:sz="4" w:space="0"/>
              <w:bottom w:val="single" w:color="auto" w:sz="4" w:space="0"/>
              <w:right w:val="single" w:color="auto" w:sz="4" w:space="0"/>
            </w:tcBorders>
            <w:vAlign w:val="center"/>
          </w:tcPr>
          <w:p w14:paraId="5370FDC4">
            <w:pPr>
              <w:shd w:val="clear"/>
              <w:jc w:val="center"/>
              <w:rPr>
                <w:rFonts w:ascii="宋体" w:hAnsi="宋体"/>
                <w:color w:val="auto"/>
                <w:highlight w:val="none"/>
              </w:rPr>
            </w:pPr>
            <w:r>
              <w:rPr>
                <w:rFonts w:hint="eastAsia" w:ascii="宋体" w:hAnsi="宋体"/>
                <w:color w:val="auto"/>
                <w:highlight w:val="none"/>
              </w:rPr>
              <w:t>单价</w:t>
            </w:r>
          </w:p>
        </w:tc>
        <w:tc>
          <w:tcPr>
            <w:tcW w:w="2410" w:type="dxa"/>
            <w:tcBorders>
              <w:top w:val="single" w:color="auto" w:sz="4" w:space="0"/>
              <w:left w:val="single" w:color="auto" w:sz="4" w:space="0"/>
              <w:bottom w:val="single" w:color="auto" w:sz="4" w:space="0"/>
              <w:right w:val="single" w:color="auto" w:sz="4" w:space="0"/>
            </w:tcBorders>
            <w:vAlign w:val="center"/>
          </w:tcPr>
          <w:p w14:paraId="727EEB2B">
            <w:pPr>
              <w:shd w:val="clear"/>
              <w:jc w:val="center"/>
              <w:rPr>
                <w:rFonts w:ascii="宋体" w:hAnsi="宋体"/>
                <w:color w:val="auto"/>
                <w:highlight w:val="none"/>
              </w:rPr>
            </w:pPr>
            <w:r>
              <w:rPr>
                <w:rFonts w:hint="eastAsia" w:ascii="宋体" w:hAnsi="宋体"/>
                <w:color w:val="auto"/>
                <w:highlight w:val="none"/>
              </w:rPr>
              <w:t>金额</w:t>
            </w:r>
          </w:p>
        </w:tc>
      </w:tr>
      <w:tr w14:paraId="09E0C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3D165AB4">
            <w:pPr>
              <w:shd w:val="clear"/>
              <w:jc w:val="center"/>
              <w:rPr>
                <w:rFonts w:ascii="宋体" w:hAnsi="宋体"/>
                <w:color w:val="auto"/>
                <w:highlight w:val="none"/>
              </w:rPr>
            </w:pPr>
            <w:r>
              <w:rPr>
                <w:rFonts w:hint="eastAsia" w:ascii="宋体" w:hAnsi="宋体"/>
                <w:color w:val="auto"/>
                <w:highlight w:val="none"/>
              </w:rPr>
              <w:t>1</w:t>
            </w:r>
          </w:p>
        </w:tc>
        <w:tc>
          <w:tcPr>
            <w:tcW w:w="2693" w:type="dxa"/>
            <w:tcBorders>
              <w:top w:val="single" w:color="auto" w:sz="4" w:space="0"/>
              <w:left w:val="single" w:color="auto" w:sz="4" w:space="0"/>
              <w:bottom w:val="single" w:color="auto" w:sz="4" w:space="0"/>
              <w:right w:val="single" w:color="auto" w:sz="4" w:space="0"/>
            </w:tcBorders>
            <w:vAlign w:val="center"/>
          </w:tcPr>
          <w:p w14:paraId="5B949328">
            <w:pPr>
              <w:shd w:val="clear"/>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2111B37B">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tcPr>
          <w:p w14:paraId="2D76C98F">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521D234E">
            <w:pPr>
              <w:shd w:val="clear"/>
              <w:rPr>
                <w:rFonts w:ascii="宋体" w:hAnsi="宋体"/>
                <w:color w:val="auto"/>
                <w:highlight w:val="none"/>
              </w:rPr>
            </w:pPr>
          </w:p>
        </w:tc>
      </w:tr>
      <w:tr w14:paraId="1233D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6A843BD7">
            <w:pPr>
              <w:shd w:val="clear"/>
              <w:jc w:val="center"/>
              <w:rPr>
                <w:rFonts w:ascii="宋体" w:hAnsi="宋体"/>
                <w:color w:val="auto"/>
                <w:highlight w:val="none"/>
              </w:rPr>
            </w:pPr>
            <w:r>
              <w:rPr>
                <w:rFonts w:hint="eastAsia" w:ascii="宋体" w:hAnsi="宋体"/>
                <w:color w:val="auto"/>
                <w:highlight w:val="none"/>
              </w:rPr>
              <w:t>2</w:t>
            </w:r>
          </w:p>
        </w:tc>
        <w:tc>
          <w:tcPr>
            <w:tcW w:w="2693" w:type="dxa"/>
            <w:tcBorders>
              <w:top w:val="single" w:color="auto" w:sz="4" w:space="0"/>
              <w:left w:val="single" w:color="auto" w:sz="4" w:space="0"/>
              <w:bottom w:val="single" w:color="auto" w:sz="4" w:space="0"/>
              <w:right w:val="single" w:color="auto" w:sz="4" w:space="0"/>
            </w:tcBorders>
            <w:vAlign w:val="center"/>
          </w:tcPr>
          <w:p w14:paraId="319B24FA">
            <w:pPr>
              <w:shd w:val="clear"/>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0A575F66">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tcPr>
          <w:p w14:paraId="1D99E62F">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7EF2997A">
            <w:pPr>
              <w:shd w:val="clear"/>
              <w:rPr>
                <w:rFonts w:ascii="宋体" w:hAnsi="宋体"/>
                <w:color w:val="auto"/>
                <w:highlight w:val="none"/>
              </w:rPr>
            </w:pPr>
          </w:p>
        </w:tc>
      </w:tr>
      <w:tr w14:paraId="6B017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174BEA79">
            <w:pPr>
              <w:shd w:val="clear"/>
              <w:jc w:val="center"/>
              <w:rPr>
                <w:rFonts w:ascii="宋体" w:hAnsi="宋体"/>
                <w:color w:val="auto"/>
                <w:highlight w:val="none"/>
              </w:rPr>
            </w:pPr>
            <w:r>
              <w:rPr>
                <w:rFonts w:hint="eastAsia" w:ascii="宋体" w:hAnsi="宋体"/>
                <w:color w:val="auto"/>
                <w:highlight w:val="none"/>
              </w:rPr>
              <w:t>3</w:t>
            </w:r>
          </w:p>
        </w:tc>
        <w:tc>
          <w:tcPr>
            <w:tcW w:w="2693" w:type="dxa"/>
            <w:tcBorders>
              <w:top w:val="single" w:color="auto" w:sz="4" w:space="0"/>
              <w:left w:val="single" w:color="auto" w:sz="4" w:space="0"/>
              <w:bottom w:val="single" w:color="auto" w:sz="4" w:space="0"/>
              <w:right w:val="single" w:color="auto" w:sz="4" w:space="0"/>
            </w:tcBorders>
            <w:vAlign w:val="center"/>
          </w:tcPr>
          <w:p w14:paraId="13404CAC">
            <w:pPr>
              <w:shd w:val="clear"/>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1A2F2EEE">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tcPr>
          <w:p w14:paraId="5826F4B6">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24FBDE61">
            <w:pPr>
              <w:shd w:val="clear"/>
              <w:rPr>
                <w:rFonts w:ascii="宋体" w:hAnsi="宋体"/>
                <w:color w:val="auto"/>
                <w:highlight w:val="none"/>
              </w:rPr>
            </w:pPr>
          </w:p>
        </w:tc>
      </w:tr>
      <w:tr w14:paraId="5705F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35B1419F">
            <w:pPr>
              <w:shd w:val="clear"/>
              <w:jc w:val="center"/>
              <w:rPr>
                <w:rFonts w:ascii="宋体" w:hAnsi="宋体"/>
                <w:color w:val="auto"/>
                <w:highlight w:val="none"/>
              </w:rPr>
            </w:pPr>
            <w:r>
              <w:rPr>
                <w:rFonts w:hint="eastAsia" w:ascii="宋体" w:hAnsi="宋体"/>
                <w:color w:val="auto"/>
                <w:highlight w:val="none"/>
              </w:rPr>
              <w:t>4</w:t>
            </w:r>
          </w:p>
        </w:tc>
        <w:tc>
          <w:tcPr>
            <w:tcW w:w="2693" w:type="dxa"/>
            <w:tcBorders>
              <w:top w:val="single" w:color="auto" w:sz="4" w:space="0"/>
              <w:left w:val="single" w:color="auto" w:sz="4" w:space="0"/>
              <w:bottom w:val="single" w:color="auto" w:sz="4" w:space="0"/>
              <w:right w:val="single" w:color="auto" w:sz="4" w:space="0"/>
            </w:tcBorders>
            <w:vAlign w:val="center"/>
          </w:tcPr>
          <w:p w14:paraId="3CBFC2D5">
            <w:pPr>
              <w:shd w:val="clear"/>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269EBE3A">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tcPr>
          <w:p w14:paraId="048D9386">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259DAC1C">
            <w:pPr>
              <w:shd w:val="clear"/>
              <w:rPr>
                <w:rFonts w:ascii="宋体" w:hAnsi="宋体"/>
                <w:color w:val="auto"/>
                <w:highlight w:val="none"/>
              </w:rPr>
            </w:pPr>
          </w:p>
        </w:tc>
      </w:tr>
      <w:tr w14:paraId="257B4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2722F420">
            <w:pPr>
              <w:shd w:val="clear"/>
              <w:jc w:val="center"/>
              <w:rPr>
                <w:rFonts w:ascii="宋体" w:hAnsi="宋体"/>
                <w:color w:val="auto"/>
                <w:highlight w:val="none"/>
              </w:rPr>
            </w:pPr>
            <w:r>
              <w:rPr>
                <w:rFonts w:hint="eastAsia" w:ascii="宋体" w:hAnsi="宋体"/>
                <w:color w:val="auto"/>
                <w:highlight w:val="none"/>
              </w:rPr>
              <w:t>5</w:t>
            </w:r>
          </w:p>
        </w:tc>
        <w:tc>
          <w:tcPr>
            <w:tcW w:w="2693" w:type="dxa"/>
            <w:tcBorders>
              <w:top w:val="single" w:color="auto" w:sz="4" w:space="0"/>
              <w:left w:val="single" w:color="auto" w:sz="4" w:space="0"/>
              <w:bottom w:val="single" w:color="auto" w:sz="4" w:space="0"/>
              <w:right w:val="single" w:color="auto" w:sz="4" w:space="0"/>
            </w:tcBorders>
            <w:vAlign w:val="center"/>
          </w:tcPr>
          <w:p w14:paraId="20140537">
            <w:pPr>
              <w:shd w:val="clear"/>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7602AF12">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tcPr>
          <w:p w14:paraId="3480E01E">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5227B503">
            <w:pPr>
              <w:shd w:val="clear"/>
              <w:rPr>
                <w:rFonts w:ascii="宋体" w:hAnsi="宋体"/>
                <w:color w:val="auto"/>
                <w:highlight w:val="none"/>
              </w:rPr>
            </w:pPr>
          </w:p>
        </w:tc>
      </w:tr>
      <w:tr w14:paraId="25934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1E6AF1FC">
            <w:pPr>
              <w:shd w:val="clear"/>
              <w:jc w:val="center"/>
              <w:rPr>
                <w:rFonts w:ascii="宋体" w:hAnsi="宋体"/>
                <w:color w:val="auto"/>
                <w:highlight w:val="none"/>
              </w:rPr>
            </w:pPr>
            <w:r>
              <w:rPr>
                <w:rFonts w:hint="eastAsia" w:ascii="宋体" w:hAnsi="宋体"/>
                <w:color w:val="auto"/>
                <w:highlight w:val="none"/>
              </w:rPr>
              <w:t>6</w:t>
            </w:r>
          </w:p>
        </w:tc>
        <w:tc>
          <w:tcPr>
            <w:tcW w:w="2693" w:type="dxa"/>
            <w:tcBorders>
              <w:top w:val="single" w:color="auto" w:sz="4" w:space="0"/>
              <w:left w:val="single" w:color="auto" w:sz="4" w:space="0"/>
              <w:bottom w:val="single" w:color="auto" w:sz="4" w:space="0"/>
              <w:right w:val="single" w:color="auto" w:sz="4" w:space="0"/>
            </w:tcBorders>
            <w:vAlign w:val="center"/>
          </w:tcPr>
          <w:p w14:paraId="0BB72C0C">
            <w:pPr>
              <w:shd w:val="clear"/>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34492F2B">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tcPr>
          <w:p w14:paraId="54E2A3E6">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3FCCF25B">
            <w:pPr>
              <w:shd w:val="clear"/>
              <w:rPr>
                <w:rFonts w:ascii="宋体" w:hAnsi="宋体"/>
                <w:color w:val="auto"/>
                <w:highlight w:val="none"/>
              </w:rPr>
            </w:pPr>
          </w:p>
        </w:tc>
      </w:tr>
      <w:tr w14:paraId="2083A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55131093">
            <w:pPr>
              <w:shd w:val="clear"/>
              <w:jc w:val="center"/>
              <w:rPr>
                <w:rFonts w:ascii="宋体" w:hAnsi="宋体"/>
                <w:color w:val="auto"/>
                <w:highlight w:val="none"/>
              </w:rPr>
            </w:pPr>
            <w:r>
              <w:rPr>
                <w:rFonts w:hint="eastAsia" w:ascii="宋体" w:hAnsi="宋体"/>
                <w:color w:val="auto"/>
                <w:highlight w:val="none"/>
              </w:rPr>
              <w:t>7</w:t>
            </w:r>
          </w:p>
        </w:tc>
        <w:tc>
          <w:tcPr>
            <w:tcW w:w="2693" w:type="dxa"/>
            <w:tcBorders>
              <w:top w:val="single" w:color="auto" w:sz="4" w:space="0"/>
              <w:left w:val="single" w:color="auto" w:sz="4" w:space="0"/>
              <w:bottom w:val="single" w:color="auto" w:sz="4" w:space="0"/>
              <w:right w:val="single" w:color="auto" w:sz="4" w:space="0"/>
            </w:tcBorders>
            <w:vAlign w:val="center"/>
          </w:tcPr>
          <w:p w14:paraId="4C673D4C">
            <w:pPr>
              <w:shd w:val="clear"/>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517A3BBB">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tcPr>
          <w:p w14:paraId="0EA41BCE">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6CEEA19C">
            <w:pPr>
              <w:shd w:val="clear"/>
              <w:rPr>
                <w:rFonts w:ascii="宋体" w:hAnsi="宋体"/>
                <w:color w:val="auto"/>
                <w:highlight w:val="none"/>
              </w:rPr>
            </w:pPr>
          </w:p>
        </w:tc>
      </w:tr>
      <w:tr w14:paraId="74636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tcPr>
          <w:p w14:paraId="7518B91B">
            <w:pPr>
              <w:shd w:val="clear"/>
              <w:jc w:val="center"/>
              <w:rPr>
                <w:rFonts w:ascii="宋体" w:hAnsi="宋体"/>
                <w:color w:val="auto"/>
                <w:highlight w:val="none"/>
              </w:rPr>
            </w:pPr>
            <w:r>
              <w:rPr>
                <w:rFonts w:hint="eastAsia" w:ascii="宋体" w:hAnsi="宋体"/>
                <w:color w:val="auto"/>
                <w:highlight w:val="none"/>
              </w:rPr>
              <w:t>8</w:t>
            </w:r>
          </w:p>
        </w:tc>
        <w:tc>
          <w:tcPr>
            <w:tcW w:w="2693" w:type="dxa"/>
            <w:tcBorders>
              <w:top w:val="single" w:color="auto" w:sz="4" w:space="0"/>
              <w:left w:val="single" w:color="auto" w:sz="4" w:space="0"/>
              <w:bottom w:val="single" w:color="auto" w:sz="4" w:space="0"/>
              <w:right w:val="single" w:color="auto" w:sz="4" w:space="0"/>
            </w:tcBorders>
            <w:vAlign w:val="center"/>
          </w:tcPr>
          <w:p w14:paraId="7241A063">
            <w:pPr>
              <w:shd w:val="clear"/>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5D5C4079">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tcPr>
          <w:p w14:paraId="111C6213">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0749C030">
            <w:pPr>
              <w:shd w:val="clear"/>
              <w:rPr>
                <w:rFonts w:ascii="宋体" w:hAnsi="宋体"/>
                <w:color w:val="auto"/>
                <w:highlight w:val="none"/>
              </w:rPr>
            </w:pPr>
          </w:p>
        </w:tc>
      </w:tr>
      <w:tr w14:paraId="6772D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tcPr>
          <w:p w14:paraId="3CBD3C42">
            <w:pPr>
              <w:shd w:val="clear"/>
              <w:jc w:val="center"/>
              <w:rPr>
                <w:rFonts w:ascii="宋体" w:hAnsi="宋体"/>
                <w:color w:val="auto"/>
                <w:highlight w:val="none"/>
              </w:rPr>
            </w:pPr>
            <w:r>
              <w:rPr>
                <w:rFonts w:hint="eastAsia" w:ascii="宋体" w:hAnsi="宋体"/>
                <w:color w:val="auto"/>
                <w:highlight w:val="none"/>
              </w:rPr>
              <w:t>9</w:t>
            </w:r>
          </w:p>
        </w:tc>
        <w:tc>
          <w:tcPr>
            <w:tcW w:w="2693" w:type="dxa"/>
            <w:tcBorders>
              <w:top w:val="single" w:color="auto" w:sz="4" w:space="0"/>
              <w:left w:val="single" w:color="auto" w:sz="4" w:space="0"/>
              <w:bottom w:val="single" w:color="auto" w:sz="4" w:space="0"/>
              <w:right w:val="single" w:color="auto" w:sz="4" w:space="0"/>
            </w:tcBorders>
            <w:vAlign w:val="center"/>
          </w:tcPr>
          <w:p w14:paraId="09A49C7B">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3F2172D3">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tcPr>
          <w:p w14:paraId="760A1FBB">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21F4DFCE">
            <w:pPr>
              <w:shd w:val="clear"/>
              <w:rPr>
                <w:rFonts w:ascii="宋体" w:hAnsi="宋体"/>
                <w:color w:val="auto"/>
                <w:highlight w:val="none"/>
              </w:rPr>
            </w:pPr>
          </w:p>
        </w:tc>
      </w:tr>
      <w:tr w14:paraId="1E797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tcPr>
          <w:p w14:paraId="462AF3B3">
            <w:pPr>
              <w:shd w:val="clear"/>
              <w:jc w:val="center"/>
              <w:rPr>
                <w:rFonts w:ascii="宋体" w:hAnsi="宋体"/>
                <w:color w:val="auto"/>
                <w:highlight w:val="none"/>
              </w:rPr>
            </w:pPr>
            <w:r>
              <w:rPr>
                <w:rFonts w:hint="eastAsia" w:ascii="宋体" w:hAnsi="宋体"/>
                <w:color w:val="auto"/>
                <w:highlight w:val="none"/>
              </w:rPr>
              <w:t>10</w:t>
            </w:r>
          </w:p>
        </w:tc>
        <w:tc>
          <w:tcPr>
            <w:tcW w:w="2693" w:type="dxa"/>
            <w:tcBorders>
              <w:top w:val="single" w:color="auto" w:sz="4" w:space="0"/>
              <w:left w:val="single" w:color="auto" w:sz="4" w:space="0"/>
              <w:bottom w:val="single" w:color="auto" w:sz="4" w:space="0"/>
              <w:right w:val="single" w:color="auto" w:sz="4" w:space="0"/>
            </w:tcBorders>
            <w:vAlign w:val="center"/>
          </w:tcPr>
          <w:p w14:paraId="7A42F719">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28A8774D">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tcPr>
          <w:p w14:paraId="171A8AA1">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7C2EAF7D">
            <w:pPr>
              <w:shd w:val="clear"/>
              <w:rPr>
                <w:rFonts w:ascii="宋体" w:hAnsi="宋体"/>
                <w:color w:val="auto"/>
                <w:highlight w:val="none"/>
              </w:rPr>
            </w:pPr>
          </w:p>
        </w:tc>
      </w:tr>
      <w:tr w14:paraId="029B6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5CA362BC">
            <w:pPr>
              <w:shd w:val="clear"/>
              <w:jc w:val="center"/>
              <w:rPr>
                <w:rFonts w:ascii="宋体" w:hAnsi="宋体"/>
                <w:color w:val="auto"/>
                <w:highlight w:val="none"/>
              </w:rPr>
            </w:pPr>
            <w:r>
              <w:rPr>
                <w:rFonts w:hint="eastAsia" w:ascii="宋体" w:hAnsi="宋体"/>
                <w:color w:val="auto"/>
                <w:highlight w:val="none"/>
              </w:rPr>
              <w:t>11</w:t>
            </w:r>
          </w:p>
        </w:tc>
        <w:tc>
          <w:tcPr>
            <w:tcW w:w="2693" w:type="dxa"/>
            <w:tcBorders>
              <w:top w:val="single" w:color="auto" w:sz="4" w:space="0"/>
              <w:left w:val="single" w:color="auto" w:sz="4" w:space="0"/>
              <w:bottom w:val="single" w:color="auto" w:sz="4" w:space="0"/>
              <w:right w:val="single" w:color="auto" w:sz="4" w:space="0"/>
            </w:tcBorders>
            <w:vAlign w:val="center"/>
          </w:tcPr>
          <w:p w14:paraId="68418E12">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tcPr>
          <w:p w14:paraId="4EDE4573">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tcPr>
          <w:p w14:paraId="26A4F051">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2E45F525">
            <w:pPr>
              <w:shd w:val="clear"/>
              <w:rPr>
                <w:rFonts w:ascii="宋体" w:hAnsi="宋体"/>
                <w:color w:val="auto"/>
                <w:highlight w:val="none"/>
              </w:rPr>
            </w:pPr>
          </w:p>
        </w:tc>
      </w:tr>
      <w:tr w14:paraId="0A31A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019C5131">
            <w:pPr>
              <w:shd w:val="clear"/>
              <w:rPr>
                <w:rFonts w:ascii="宋体" w:hAnsi="宋体"/>
                <w:color w:val="auto"/>
                <w:highlight w:val="none"/>
              </w:rPr>
            </w:pPr>
          </w:p>
        </w:tc>
        <w:tc>
          <w:tcPr>
            <w:tcW w:w="6237" w:type="dxa"/>
            <w:gridSpan w:val="3"/>
            <w:tcBorders>
              <w:top w:val="single" w:color="auto" w:sz="4" w:space="0"/>
              <w:left w:val="single" w:color="auto" w:sz="4" w:space="0"/>
              <w:bottom w:val="single" w:color="auto" w:sz="4" w:space="0"/>
              <w:right w:val="single" w:color="auto" w:sz="4" w:space="0"/>
            </w:tcBorders>
          </w:tcPr>
          <w:p w14:paraId="203401F2">
            <w:pPr>
              <w:shd w:val="clear"/>
              <w:rPr>
                <w:rFonts w:ascii="宋体" w:hAnsi="宋体"/>
                <w:color w:val="auto"/>
                <w:highlight w:val="none"/>
              </w:rPr>
            </w:pPr>
            <w:r>
              <w:rPr>
                <w:rFonts w:hint="eastAsia" w:ascii="宋体" w:hAnsi="宋体"/>
                <w:color w:val="auto"/>
                <w:highlight w:val="none"/>
              </w:rPr>
              <w:t>投 标 总  价</w:t>
            </w:r>
          </w:p>
        </w:tc>
        <w:tc>
          <w:tcPr>
            <w:tcW w:w="2410" w:type="dxa"/>
            <w:tcBorders>
              <w:top w:val="single" w:color="auto" w:sz="4" w:space="0"/>
              <w:left w:val="single" w:color="auto" w:sz="4" w:space="0"/>
              <w:bottom w:val="single" w:color="auto" w:sz="4" w:space="0"/>
              <w:right w:val="single" w:color="auto" w:sz="4" w:space="0"/>
            </w:tcBorders>
          </w:tcPr>
          <w:p w14:paraId="01BD2E32">
            <w:pPr>
              <w:shd w:val="clear"/>
              <w:ind w:firstLine="1470" w:firstLineChars="700"/>
              <w:rPr>
                <w:rFonts w:ascii="宋体" w:hAnsi="宋体"/>
                <w:color w:val="auto"/>
                <w:highlight w:val="none"/>
              </w:rPr>
            </w:pPr>
            <w:r>
              <w:rPr>
                <w:rFonts w:hint="eastAsia" w:ascii="宋体" w:hAnsi="宋体"/>
                <w:color w:val="auto"/>
                <w:szCs w:val="21"/>
                <w:highlight w:val="none"/>
              </w:rPr>
              <w:t>元/年</w:t>
            </w:r>
          </w:p>
        </w:tc>
      </w:tr>
    </w:tbl>
    <w:p w14:paraId="591F8D3C">
      <w:pPr>
        <w:pStyle w:val="8"/>
        <w:shd w:val="clear"/>
        <w:spacing w:line="360" w:lineRule="auto"/>
        <w:ind w:left="-178" w:leftChars="-85" w:firstLine="0" w:firstLineChars="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注：</w:t>
      </w:r>
    </w:p>
    <w:p w14:paraId="113CFC6F">
      <w:pPr>
        <w:pStyle w:val="8"/>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1.本表格仅供参考，投标人可根据项目实际情况扩展表格。</w:t>
      </w:r>
    </w:p>
    <w:p w14:paraId="1311E2C0">
      <w:pPr>
        <w:pStyle w:val="8"/>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2.投标报价应与开标一览表的投标报价一致。</w:t>
      </w:r>
    </w:p>
    <w:p w14:paraId="1BEB53B5">
      <w:pPr>
        <w:shd w:val="clear"/>
        <w:spacing w:line="360" w:lineRule="auto"/>
        <w:rPr>
          <w:rFonts w:cs="仿宋" w:asciiTheme="majorEastAsia" w:hAnsiTheme="majorEastAsia" w:eastAsiaTheme="majorEastAsia"/>
          <w:color w:val="auto"/>
          <w:sz w:val="24"/>
          <w:highlight w:val="none"/>
        </w:rPr>
      </w:pPr>
    </w:p>
    <w:p w14:paraId="6BD1DE6A">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166C7020">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18EBC8D9">
      <w:pPr>
        <w:pStyle w:val="35"/>
        <w:keepNext w:val="0"/>
        <w:pageBreakBefore w:val="0"/>
        <w:shd w:val="clear"/>
        <w:tabs>
          <w:tab w:val="clear" w:pos="720"/>
        </w:tabs>
        <w:snapToGrid w:val="0"/>
        <w:spacing w:before="120" w:after="120"/>
        <w:ind w:left="3780" w:leftChars="1800"/>
        <w:jc w:val="both"/>
        <w:outlineLvl w:val="9"/>
        <w:rPr>
          <w:rFonts w:cs="仿宋" w:asciiTheme="majorEastAsia" w:hAnsiTheme="majorEastAsia" w:eastAsiaTheme="majorEastAsia"/>
          <w:b w:val="0"/>
          <w:color w:val="auto"/>
          <w:kern w:val="2"/>
          <w:sz w:val="24"/>
          <w:szCs w:val="24"/>
          <w:highlight w:val="none"/>
        </w:rPr>
      </w:pPr>
      <w:r>
        <w:rPr>
          <w:rFonts w:hint="eastAsia" w:cs="仿宋" w:asciiTheme="majorEastAsia" w:hAnsiTheme="majorEastAsia" w:eastAsiaTheme="majorEastAsia"/>
          <w:b w:val="0"/>
          <w:color w:val="auto"/>
          <w:kern w:val="2"/>
          <w:sz w:val="24"/>
          <w:szCs w:val="24"/>
          <w:highlight w:val="none"/>
        </w:rPr>
        <w:t xml:space="preserve">日  期：  </w:t>
      </w:r>
    </w:p>
    <w:p w14:paraId="7B913CB7">
      <w:pPr>
        <w:pStyle w:val="35"/>
        <w:keepNext w:val="0"/>
        <w:pageBreakBefore w:val="0"/>
        <w:shd w:val="clear"/>
        <w:tabs>
          <w:tab w:val="clear" w:pos="720"/>
        </w:tabs>
        <w:snapToGrid w:val="0"/>
        <w:spacing w:before="120" w:after="120"/>
        <w:outlineLvl w:val="9"/>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val="0"/>
          <w:color w:val="auto"/>
          <w:kern w:val="2"/>
          <w:sz w:val="24"/>
          <w:szCs w:val="24"/>
          <w:highlight w:val="none"/>
        </w:rPr>
        <w:br w:type="page"/>
      </w:r>
      <w:r>
        <w:rPr>
          <w:rFonts w:hint="eastAsia" w:cs="仿宋" w:asciiTheme="majorEastAsia" w:hAnsiTheme="majorEastAsia" w:eastAsiaTheme="majorEastAsia"/>
          <w:color w:val="auto"/>
          <w:kern w:val="2"/>
          <w:sz w:val="32"/>
          <w:szCs w:val="32"/>
          <w:highlight w:val="none"/>
        </w:rPr>
        <w:t>三、</w:t>
      </w:r>
      <w:r>
        <w:rPr>
          <w:rFonts w:hint="eastAsia" w:cs="仿宋" w:asciiTheme="majorEastAsia" w:hAnsiTheme="majorEastAsia" w:eastAsiaTheme="majorEastAsia"/>
          <w:color w:val="auto"/>
          <w:sz w:val="32"/>
          <w:szCs w:val="32"/>
          <w:highlight w:val="none"/>
        </w:rPr>
        <w:t>中小企业声明函</w:t>
      </w:r>
    </w:p>
    <w:p w14:paraId="43FA35BA">
      <w:pPr>
        <w:widowControl/>
        <w:shd w:val="clear"/>
        <w:spacing w:line="360" w:lineRule="auto"/>
        <w:ind w:firstLine="120" w:firstLineChars="5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17EE602A">
      <w:pPr>
        <w:shd w:val="clear"/>
        <w:spacing w:line="360" w:lineRule="auto"/>
        <w:jc w:val="center"/>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中小企业声明函（服务）</w:t>
      </w:r>
    </w:p>
    <w:p w14:paraId="5F17266C">
      <w:pPr>
        <w:shd w:val="clear"/>
        <w:snapToGrid w:val="0"/>
        <w:spacing w:line="400" w:lineRule="exact"/>
        <w:ind w:firstLine="480" w:firstLineChars="200"/>
        <w:rPr>
          <w:rFonts w:ascii="宋体" w:hAnsi="宋体"/>
          <w:color w:val="auto"/>
          <w:sz w:val="24"/>
          <w:highlight w:val="none"/>
        </w:rPr>
      </w:pPr>
      <w:r>
        <w:rPr>
          <w:rFonts w:hint="eastAsia" w:ascii="宋体" w:hAnsi="宋体" w:cs="仿宋"/>
          <w:color w:val="auto"/>
          <w:kern w:val="0"/>
          <w:sz w:val="24"/>
          <w:highlight w:val="none"/>
        </w:rPr>
        <w:t>本公司郑重声明，根据《政府采购促进中小企业发展管理办法》（财库</w:t>
      </w:r>
      <w:r>
        <w:rPr>
          <w:rFonts w:hint="eastAsia" w:ascii="宋体" w:hAnsi="宋体" w:cs="宋体"/>
          <w:color w:val="auto"/>
          <w:kern w:val="0"/>
          <w:sz w:val="24"/>
          <w:highlight w:val="none"/>
        </w:rPr>
        <w:t>﹝</w:t>
      </w:r>
      <w:r>
        <w:rPr>
          <w:rFonts w:ascii="宋体" w:hAnsi="宋体" w:cs="仿宋"/>
          <w:color w:val="auto"/>
          <w:kern w:val="0"/>
          <w:sz w:val="24"/>
          <w:highlight w:val="none"/>
        </w:rPr>
        <w:t>2020</w:t>
      </w:r>
      <w:r>
        <w:rPr>
          <w:rFonts w:hint="eastAsia" w:ascii="宋体" w:hAnsi="宋体" w:cs="宋体"/>
          <w:color w:val="auto"/>
          <w:kern w:val="0"/>
          <w:sz w:val="24"/>
          <w:highlight w:val="none"/>
        </w:rPr>
        <w:t>﹞</w:t>
      </w:r>
      <w:r>
        <w:rPr>
          <w:rFonts w:ascii="宋体" w:hAnsi="宋体" w:cs="仿宋"/>
          <w:color w:val="auto"/>
          <w:kern w:val="0"/>
          <w:sz w:val="24"/>
          <w:highlight w:val="none"/>
        </w:rPr>
        <w:t xml:space="preserve">46 </w:t>
      </w:r>
      <w:r>
        <w:rPr>
          <w:rFonts w:hint="eastAsia" w:ascii="宋体" w:hAnsi="宋体" w:cs="仿宋"/>
          <w:color w:val="auto"/>
          <w:kern w:val="0"/>
          <w:sz w:val="24"/>
          <w:highlight w:val="none"/>
        </w:rPr>
        <w:t>号）的规定，本公司参加</w:t>
      </w:r>
      <w:r>
        <w:rPr>
          <w:rFonts w:hint="eastAsia" w:ascii="宋体" w:hAnsi="宋体" w:cs="仿宋"/>
          <w:color w:val="auto"/>
          <w:kern w:val="0"/>
          <w:sz w:val="24"/>
          <w:highlight w:val="none"/>
          <w:u w:val="single"/>
          <w:lang w:eastAsia="zh-CN"/>
        </w:rPr>
        <w:t>宁波茗山新农村建设投资有限公司</w:t>
      </w:r>
      <w:r>
        <w:rPr>
          <w:rFonts w:hint="eastAsia" w:ascii="宋体" w:hAnsi="宋体" w:cs="仿宋"/>
          <w:color w:val="auto"/>
          <w:kern w:val="0"/>
          <w:sz w:val="24"/>
          <w:highlight w:val="none"/>
          <w:u w:val="single"/>
        </w:rPr>
        <w:t>（单位名称）</w:t>
      </w:r>
      <w:r>
        <w:rPr>
          <w:rFonts w:hint="eastAsia" w:ascii="宋体" w:hAnsi="宋体" w:cs="仿宋"/>
          <w:color w:val="auto"/>
          <w:kern w:val="0"/>
          <w:sz w:val="24"/>
          <w:highlight w:val="none"/>
        </w:rPr>
        <w:t>的</w:t>
      </w:r>
      <w:r>
        <w:rPr>
          <w:rFonts w:hint="eastAsia" w:ascii="宋体" w:hAnsi="宋体" w:cs="仿宋"/>
          <w:color w:val="auto"/>
          <w:kern w:val="0"/>
          <w:sz w:val="24"/>
          <w:highlight w:val="none"/>
          <w:u w:val="single"/>
          <w:lang w:eastAsia="zh-CN"/>
        </w:rPr>
        <w:t>奉化区溪口镇经济薄弱村孵化器项目（一期）物业采购项目</w:t>
      </w:r>
      <w:r>
        <w:rPr>
          <w:rFonts w:hint="eastAsia" w:ascii="宋体" w:hAnsi="宋体" w:cs="仿宋"/>
          <w:color w:val="auto"/>
          <w:kern w:val="0"/>
          <w:sz w:val="24"/>
          <w:highlight w:val="none"/>
          <w:u w:val="single"/>
        </w:rPr>
        <w:t>（项目名称）</w:t>
      </w:r>
      <w:r>
        <w:rPr>
          <w:rFonts w:hint="eastAsia" w:ascii="宋体" w:hAnsi="宋体" w:cs="仿宋"/>
          <w:color w:val="auto"/>
          <w:kern w:val="0"/>
          <w:sz w:val="24"/>
          <w:highlight w:val="none"/>
        </w:rPr>
        <w:t>采购活动，服务全部由符合政策要求的中小企业承接。相关企业（含签订分包意向协议的中小企业）的具体情况如下：</w:t>
      </w:r>
      <w:r>
        <w:rPr>
          <w:rFonts w:ascii="宋体" w:hAnsi="宋体"/>
          <w:color w:val="auto"/>
          <w:sz w:val="24"/>
          <w:highlight w:val="none"/>
        </w:rPr>
        <w:t xml:space="preserve"> </w:t>
      </w:r>
    </w:p>
    <w:p w14:paraId="410DAAF2">
      <w:pPr>
        <w:shd w:val="clear"/>
        <w:autoSpaceDE w:val="0"/>
        <w:autoSpaceDN w:val="0"/>
        <w:adjustRightInd w:val="0"/>
        <w:spacing w:line="400" w:lineRule="exact"/>
        <w:ind w:firstLine="640"/>
        <w:jc w:val="left"/>
        <w:rPr>
          <w:rFonts w:ascii="宋体" w:hAnsi="宋体" w:cs="仿宋"/>
          <w:color w:val="auto"/>
          <w:kern w:val="0"/>
          <w:sz w:val="24"/>
          <w:highlight w:val="none"/>
        </w:rPr>
      </w:pPr>
      <w:r>
        <w:rPr>
          <w:rFonts w:hint="eastAsia" w:cs="仿宋" w:asciiTheme="majorEastAsia" w:hAnsiTheme="majorEastAsia" w:eastAsiaTheme="majorEastAsia"/>
          <w:color w:val="auto"/>
          <w:sz w:val="24"/>
          <w:highlight w:val="none"/>
          <w:u w:val="single"/>
        </w:rPr>
        <w:t>物业服务</w:t>
      </w:r>
      <w:r>
        <w:rPr>
          <w:rFonts w:hint="eastAsia" w:ascii="宋体" w:hAnsi="宋体" w:cs="仿宋"/>
          <w:color w:val="auto"/>
          <w:kern w:val="0"/>
          <w:sz w:val="24"/>
          <w:highlight w:val="none"/>
        </w:rPr>
        <w:t>，属于</w:t>
      </w:r>
      <w:r>
        <w:rPr>
          <w:rFonts w:hint="eastAsia" w:cs="仿宋" w:asciiTheme="majorEastAsia" w:hAnsiTheme="majorEastAsia" w:eastAsiaTheme="majorEastAsia"/>
          <w:color w:val="auto"/>
          <w:sz w:val="24"/>
          <w:highlight w:val="none"/>
          <w:u w:val="single"/>
        </w:rPr>
        <w:t>物业管理</w:t>
      </w:r>
      <w:r>
        <w:rPr>
          <w:rFonts w:hint="eastAsia" w:ascii="宋体" w:hAnsi="宋体" w:cs="仿宋"/>
          <w:color w:val="auto"/>
          <w:kern w:val="0"/>
          <w:sz w:val="24"/>
          <w:highlight w:val="none"/>
        </w:rPr>
        <w:t>；承接企业为</w:t>
      </w:r>
      <w:r>
        <w:rPr>
          <w:rFonts w:hint="eastAsia" w:ascii="宋体" w:hAnsi="宋体" w:cs="仿宋"/>
          <w:color w:val="auto"/>
          <w:kern w:val="0"/>
          <w:sz w:val="24"/>
          <w:highlight w:val="none"/>
          <w:u w:val="single"/>
        </w:rPr>
        <w:t xml:space="preserve">（企业名称）  </w:t>
      </w:r>
      <w:r>
        <w:rPr>
          <w:rFonts w:hint="eastAsia" w:ascii="宋体" w:hAnsi="宋体" w:cs="仿宋"/>
          <w:color w:val="auto"/>
          <w:kern w:val="0"/>
          <w:sz w:val="24"/>
          <w:highlight w:val="none"/>
        </w:rPr>
        <w:t>，从业人员</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人，营业收入为</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万元，资产总额为</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万元</w:t>
      </w:r>
      <w:r>
        <w:rPr>
          <w:rFonts w:hint="eastAsia" w:ascii="宋体" w:hAnsi="宋体" w:cs="仿宋"/>
          <w:color w:val="auto"/>
          <w:kern w:val="0"/>
          <w:sz w:val="24"/>
          <w:highlight w:val="none"/>
          <w:vertAlign w:val="superscript"/>
        </w:rPr>
        <w:t>1</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6D4EB246">
      <w:pPr>
        <w:shd w:val="clear"/>
        <w:snapToGrid w:val="0"/>
        <w:spacing w:line="400" w:lineRule="exact"/>
        <w:ind w:firstLine="600" w:firstLineChars="250"/>
        <w:rPr>
          <w:rFonts w:ascii="宋体" w:hAnsi="宋体" w:cs="仿宋"/>
          <w:color w:val="auto"/>
          <w:kern w:val="0"/>
          <w:sz w:val="24"/>
          <w:highlight w:val="none"/>
        </w:rPr>
      </w:pPr>
      <w:r>
        <w:rPr>
          <w:rFonts w:hint="eastAsia" w:ascii="宋体" w:hAnsi="宋体" w:cs="仿宋"/>
          <w:color w:val="auto"/>
          <w:kern w:val="0"/>
          <w:sz w:val="24"/>
          <w:highlight w:val="none"/>
        </w:rPr>
        <w:t>以上企业，不属于大企业的分支机构，不存在控股股东为大企业的情形，也不存在与大企业的负责人为同一人的情形。</w:t>
      </w:r>
    </w:p>
    <w:p w14:paraId="52D3962E">
      <w:pPr>
        <w:shd w:val="clear"/>
        <w:snapToGrid w:val="0"/>
        <w:spacing w:line="400" w:lineRule="exact"/>
        <w:ind w:firstLine="600" w:firstLineChars="250"/>
        <w:rPr>
          <w:rFonts w:ascii="宋体" w:hAnsi="宋体"/>
          <w:color w:val="auto"/>
          <w:sz w:val="24"/>
          <w:highlight w:val="none"/>
        </w:rPr>
      </w:pPr>
      <w:r>
        <w:rPr>
          <w:rFonts w:hint="eastAsia" w:ascii="宋体" w:hAnsi="宋体" w:cs="仿宋"/>
          <w:color w:val="auto"/>
          <w:kern w:val="0"/>
          <w:sz w:val="24"/>
          <w:highlight w:val="none"/>
        </w:rPr>
        <w:t>本企业对上述声明内容的真实性负责。如有虚假，将依法承担相应责任。</w:t>
      </w:r>
    </w:p>
    <w:p w14:paraId="5A34A20A">
      <w:pPr>
        <w:shd w:val="clear"/>
        <w:snapToGrid w:val="0"/>
        <w:spacing w:line="312" w:lineRule="auto"/>
        <w:ind w:firstLine="600" w:firstLineChars="250"/>
        <w:rPr>
          <w:rFonts w:ascii="宋体" w:hAnsi="宋体"/>
          <w:color w:val="auto"/>
          <w:sz w:val="24"/>
          <w:highlight w:val="none"/>
        </w:rPr>
      </w:pPr>
    </w:p>
    <w:p w14:paraId="64E1DD35">
      <w:pPr>
        <w:shd w:val="clear"/>
        <w:snapToGrid w:val="0"/>
        <w:spacing w:line="312" w:lineRule="auto"/>
        <w:ind w:firstLine="3960" w:firstLineChars="1650"/>
        <w:rPr>
          <w:rFonts w:ascii="宋体" w:hAnsi="宋体"/>
          <w:color w:val="auto"/>
          <w:sz w:val="24"/>
          <w:highlight w:val="none"/>
        </w:rPr>
      </w:pPr>
      <w:r>
        <w:rPr>
          <w:rFonts w:hint="eastAsia" w:ascii="宋体" w:hAnsi="宋体"/>
          <w:color w:val="auto"/>
          <w:sz w:val="24"/>
          <w:highlight w:val="none"/>
        </w:rPr>
        <w:t>投标人</w:t>
      </w:r>
      <w:r>
        <w:rPr>
          <w:rFonts w:ascii="宋体" w:hAnsi="宋体"/>
          <w:color w:val="auto"/>
          <w:sz w:val="24"/>
          <w:highlight w:val="none"/>
        </w:rPr>
        <w:t xml:space="preserve">名称（盖章）： </w:t>
      </w:r>
    </w:p>
    <w:p w14:paraId="13107885">
      <w:pPr>
        <w:shd w:val="clear"/>
        <w:snapToGrid w:val="0"/>
        <w:spacing w:line="312" w:lineRule="auto"/>
        <w:ind w:firstLine="3960" w:firstLineChars="1650"/>
        <w:rPr>
          <w:rFonts w:ascii="宋体" w:hAnsi="宋体"/>
          <w:color w:val="auto"/>
          <w:sz w:val="24"/>
          <w:highlight w:val="none"/>
        </w:rPr>
      </w:pPr>
      <w:r>
        <w:rPr>
          <w:rFonts w:ascii="宋体" w:hAnsi="宋体"/>
          <w:color w:val="auto"/>
          <w:sz w:val="24"/>
          <w:highlight w:val="none"/>
        </w:rPr>
        <w:t>日 期：</w:t>
      </w:r>
    </w:p>
    <w:p w14:paraId="48820E21">
      <w:pPr>
        <w:shd w:val="clear"/>
        <w:spacing w:line="360" w:lineRule="auto"/>
        <w:ind w:firstLine="310" w:firstLineChars="147"/>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Cs w:val="21"/>
          <w:highlight w:val="none"/>
        </w:rPr>
        <w:t>从业人员、营业收入、资产总额填报上一年度数据，无上一年度数据的新成立企业可不填报。</w:t>
      </w:r>
    </w:p>
    <w:p w14:paraId="62DA6228">
      <w:pPr>
        <w:shd w:val="clear"/>
        <w:spacing w:line="360" w:lineRule="auto"/>
        <w:jc w:val="cente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ABFDB9B">
      <w:pPr>
        <w:pStyle w:val="25"/>
        <w:rPr>
          <w:rFonts w:hint="eastAsia" w:cs="仿宋" w:asciiTheme="minorEastAsia" w:hAnsiTheme="minorEastAsia" w:eastAsiaTheme="minorEastAsia"/>
          <w:color w:val="auto"/>
          <w:sz w:val="24"/>
          <w:highlight w:val="none"/>
        </w:rPr>
      </w:pPr>
    </w:p>
    <w:p w14:paraId="18F4EC87">
      <w:pP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br w:type="page"/>
      </w:r>
    </w:p>
    <w:p w14:paraId="001FED74">
      <w:pPr>
        <w:pStyle w:val="25"/>
        <w:rPr>
          <w:rFonts w:hint="eastAsia" w:cs="仿宋" w:asciiTheme="minorEastAsia" w:hAnsiTheme="minorEastAsia" w:eastAsiaTheme="minorEastAsia"/>
          <w:color w:val="auto"/>
          <w:sz w:val="24"/>
          <w:highlight w:val="none"/>
        </w:rPr>
        <w:sectPr>
          <w:pgSz w:w="11906" w:h="16838"/>
          <w:pgMar w:top="1440" w:right="1800" w:bottom="1440" w:left="1800" w:header="851" w:footer="992" w:gutter="0"/>
          <w:cols w:space="425" w:num="1"/>
          <w:docGrid w:type="lines" w:linePitch="312" w:charSpace="0"/>
        </w:sectPr>
      </w:pPr>
    </w:p>
    <w:p w14:paraId="2F971D38">
      <w:pPr>
        <w:pStyle w:val="25"/>
        <w:rPr>
          <w:rFonts w:hint="eastAsia" w:cs="仿宋" w:asciiTheme="minorEastAsia" w:hAnsiTheme="minorEastAsia" w:eastAsiaTheme="minorEastAsia"/>
          <w:color w:val="auto"/>
          <w:sz w:val="24"/>
          <w:highlight w:val="none"/>
        </w:rPr>
      </w:pPr>
    </w:p>
    <w:tbl>
      <w:tblPr>
        <w:tblStyle w:val="19"/>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4DD12B88">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5DD236C5">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中小微行业划型标准规定（根据工信部联企业〔2011〕300号制定）</w:t>
            </w:r>
          </w:p>
        </w:tc>
      </w:tr>
      <w:tr w14:paraId="52B74510">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310C646F">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21" w:type="dxa"/>
            <w:gridSpan w:val="3"/>
            <w:tcBorders>
              <w:top w:val="single" w:color="auto" w:sz="8" w:space="0"/>
              <w:left w:val="nil"/>
              <w:bottom w:val="single" w:color="auto" w:sz="4" w:space="0"/>
              <w:right w:val="single" w:color="000000" w:sz="8" w:space="0"/>
            </w:tcBorders>
            <w:vAlign w:val="bottom"/>
          </w:tcPr>
          <w:p w14:paraId="09BB1C9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437583CB">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4F1A47BB">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7A317041">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0C83231A">
            <w:pPr>
              <w:widowControl/>
              <w:jc w:val="left"/>
              <w:rPr>
                <w:rFonts w:ascii="宋体" w:hAnsi="宋体" w:cs="宋体"/>
                <w:b/>
                <w:bCs/>
                <w:color w:val="auto"/>
                <w:kern w:val="0"/>
                <w:sz w:val="24"/>
                <w:highlight w:val="none"/>
              </w:rPr>
            </w:pPr>
          </w:p>
        </w:tc>
        <w:tc>
          <w:tcPr>
            <w:tcW w:w="1498" w:type="dxa"/>
            <w:tcBorders>
              <w:top w:val="nil"/>
              <w:left w:val="nil"/>
              <w:bottom w:val="single" w:color="auto" w:sz="4" w:space="0"/>
              <w:right w:val="single" w:color="auto" w:sz="4" w:space="0"/>
            </w:tcBorders>
            <w:vAlign w:val="bottom"/>
          </w:tcPr>
          <w:p w14:paraId="7149CEA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763" w:type="dxa"/>
            <w:tcBorders>
              <w:top w:val="nil"/>
              <w:left w:val="nil"/>
              <w:bottom w:val="single" w:color="auto" w:sz="4" w:space="0"/>
              <w:right w:val="single" w:color="auto" w:sz="4" w:space="0"/>
            </w:tcBorders>
            <w:vAlign w:val="bottom"/>
          </w:tcPr>
          <w:p w14:paraId="0D83E7D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营业收入Y</w:t>
            </w:r>
          </w:p>
          <w:p w14:paraId="741AC4C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60" w:type="dxa"/>
            <w:tcBorders>
              <w:top w:val="nil"/>
              <w:left w:val="nil"/>
              <w:bottom w:val="single" w:color="auto" w:sz="4" w:space="0"/>
              <w:right w:val="single" w:color="auto" w:sz="8" w:space="0"/>
            </w:tcBorders>
            <w:vAlign w:val="bottom"/>
          </w:tcPr>
          <w:p w14:paraId="1ACEDAA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资产总额Z</w:t>
            </w:r>
          </w:p>
          <w:p w14:paraId="5019CFC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40" w:type="dxa"/>
            <w:tcBorders>
              <w:top w:val="nil"/>
              <w:left w:val="nil"/>
              <w:bottom w:val="single" w:color="auto" w:sz="4" w:space="0"/>
              <w:right w:val="single" w:color="auto" w:sz="4" w:space="0"/>
            </w:tcBorders>
            <w:vAlign w:val="bottom"/>
          </w:tcPr>
          <w:p w14:paraId="732E1D7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636" w:type="dxa"/>
            <w:tcBorders>
              <w:top w:val="nil"/>
              <w:left w:val="nil"/>
              <w:bottom w:val="single" w:color="auto" w:sz="4" w:space="0"/>
              <w:right w:val="single" w:color="auto" w:sz="4" w:space="0"/>
            </w:tcBorders>
            <w:vAlign w:val="bottom"/>
          </w:tcPr>
          <w:p w14:paraId="784D23F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营业收入Y</w:t>
            </w:r>
          </w:p>
          <w:p w14:paraId="6FDB0B7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20" w:type="dxa"/>
            <w:tcBorders>
              <w:top w:val="nil"/>
              <w:left w:val="nil"/>
              <w:bottom w:val="single" w:color="auto" w:sz="4" w:space="0"/>
              <w:right w:val="single" w:color="auto" w:sz="8" w:space="0"/>
            </w:tcBorders>
            <w:vAlign w:val="bottom"/>
          </w:tcPr>
          <w:p w14:paraId="45B8420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资产总额Z</w:t>
            </w:r>
          </w:p>
          <w:p w14:paraId="6AFF0F2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85" w:type="dxa"/>
            <w:tcBorders>
              <w:top w:val="nil"/>
              <w:left w:val="nil"/>
              <w:bottom w:val="single" w:color="auto" w:sz="4" w:space="0"/>
              <w:right w:val="single" w:color="auto" w:sz="4" w:space="0"/>
            </w:tcBorders>
            <w:vAlign w:val="bottom"/>
          </w:tcPr>
          <w:p w14:paraId="426E6D3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275" w:type="dxa"/>
            <w:tcBorders>
              <w:top w:val="nil"/>
              <w:left w:val="nil"/>
              <w:bottom w:val="single" w:color="auto" w:sz="4" w:space="0"/>
              <w:right w:val="single" w:color="auto" w:sz="4" w:space="0"/>
            </w:tcBorders>
            <w:vAlign w:val="bottom"/>
          </w:tcPr>
          <w:p w14:paraId="16DCD2F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营业收入Y（万元）</w:t>
            </w:r>
          </w:p>
        </w:tc>
        <w:tc>
          <w:tcPr>
            <w:tcW w:w="1221" w:type="dxa"/>
            <w:tcBorders>
              <w:top w:val="nil"/>
              <w:left w:val="nil"/>
              <w:bottom w:val="single" w:color="auto" w:sz="4" w:space="0"/>
              <w:right w:val="single" w:color="auto" w:sz="8" w:space="0"/>
            </w:tcBorders>
            <w:vAlign w:val="bottom"/>
          </w:tcPr>
          <w:p w14:paraId="5989BB3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资产总额Z（万元）</w:t>
            </w:r>
          </w:p>
        </w:tc>
      </w:tr>
      <w:tr w14:paraId="2D6827B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F9590A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1、农林牧渔业</w:t>
            </w:r>
          </w:p>
        </w:tc>
        <w:tc>
          <w:tcPr>
            <w:tcW w:w="1498" w:type="dxa"/>
            <w:tcBorders>
              <w:top w:val="nil"/>
              <w:left w:val="nil"/>
              <w:bottom w:val="single" w:color="auto" w:sz="4" w:space="0"/>
              <w:right w:val="single" w:color="auto" w:sz="4" w:space="0"/>
            </w:tcBorders>
            <w:vAlign w:val="bottom"/>
          </w:tcPr>
          <w:p w14:paraId="26F8ABC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2074AE8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500≤Y＜20000</w:t>
            </w:r>
          </w:p>
        </w:tc>
        <w:tc>
          <w:tcPr>
            <w:tcW w:w="1660" w:type="dxa"/>
            <w:tcBorders>
              <w:top w:val="nil"/>
              <w:left w:val="nil"/>
              <w:bottom w:val="single" w:color="auto" w:sz="4" w:space="0"/>
              <w:right w:val="single" w:color="auto" w:sz="8" w:space="0"/>
            </w:tcBorders>
            <w:vAlign w:val="bottom"/>
          </w:tcPr>
          <w:p w14:paraId="68EB599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2E3D232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0468DF9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50≤Y＜500</w:t>
            </w:r>
          </w:p>
        </w:tc>
        <w:tc>
          <w:tcPr>
            <w:tcW w:w="1520" w:type="dxa"/>
            <w:tcBorders>
              <w:top w:val="nil"/>
              <w:left w:val="nil"/>
              <w:bottom w:val="single" w:color="auto" w:sz="4" w:space="0"/>
              <w:right w:val="single" w:color="auto" w:sz="8" w:space="0"/>
            </w:tcBorders>
            <w:vAlign w:val="bottom"/>
          </w:tcPr>
          <w:p w14:paraId="35AA958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1CA3D09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06424F5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Y＜50</w:t>
            </w:r>
          </w:p>
        </w:tc>
        <w:tc>
          <w:tcPr>
            <w:tcW w:w="1221" w:type="dxa"/>
            <w:tcBorders>
              <w:top w:val="nil"/>
              <w:left w:val="nil"/>
              <w:bottom w:val="single" w:color="auto" w:sz="4" w:space="0"/>
              <w:right w:val="single" w:color="auto" w:sz="8" w:space="0"/>
            </w:tcBorders>
            <w:vAlign w:val="bottom"/>
          </w:tcPr>
          <w:p w14:paraId="7D0C1F7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2BC9E2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982A8B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2、工业</w:t>
            </w:r>
          </w:p>
        </w:tc>
        <w:tc>
          <w:tcPr>
            <w:tcW w:w="1498" w:type="dxa"/>
            <w:tcBorders>
              <w:top w:val="nil"/>
              <w:left w:val="nil"/>
              <w:bottom w:val="single" w:color="auto" w:sz="4" w:space="0"/>
              <w:right w:val="single" w:color="auto" w:sz="4" w:space="0"/>
            </w:tcBorders>
            <w:vAlign w:val="bottom"/>
          </w:tcPr>
          <w:p w14:paraId="7C55799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41E5970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2000≤Y＜40000</w:t>
            </w:r>
          </w:p>
        </w:tc>
        <w:tc>
          <w:tcPr>
            <w:tcW w:w="1660" w:type="dxa"/>
            <w:tcBorders>
              <w:top w:val="nil"/>
              <w:left w:val="nil"/>
              <w:bottom w:val="single" w:color="auto" w:sz="4" w:space="0"/>
              <w:right w:val="single" w:color="auto" w:sz="8" w:space="0"/>
            </w:tcBorders>
            <w:vAlign w:val="bottom"/>
          </w:tcPr>
          <w:p w14:paraId="7BF3196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4D5D082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1B0A99F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300≤Y＜2000</w:t>
            </w:r>
          </w:p>
        </w:tc>
        <w:tc>
          <w:tcPr>
            <w:tcW w:w="1520" w:type="dxa"/>
            <w:tcBorders>
              <w:top w:val="nil"/>
              <w:left w:val="nil"/>
              <w:bottom w:val="single" w:color="auto" w:sz="4" w:space="0"/>
              <w:right w:val="single" w:color="auto" w:sz="8" w:space="0"/>
            </w:tcBorders>
            <w:vAlign w:val="bottom"/>
          </w:tcPr>
          <w:p w14:paraId="0BC19D5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38CA366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5847984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Y＜300</w:t>
            </w:r>
          </w:p>
        </w:tc>
        <w:tc>
          <w:tcPr>
            <w:tcW w:w="1221" w:type="dxa"/>
            <w:tcBorders>
              <w:top w:val="nil"/>
              <w:left w:val="nil"/>
              <w:bottom w:val="single" w:color="auto" w:sz="4" w:space="0"/>
              <w:right w:val="single" w:color="auto" w:sz="8" w:space="0"/>
            </w:tcBorders>
            <w:vAlign w:val="bottom"/>
          </w:tcPr>
          <w:p w14:paraId="75C6EBB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3E51AA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753EC4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3、建筑业</w:t>
            </w:r>
          </w:p>
        </w:tc>
        <w:tc>
          <w:tcPr>
            <w:tcW w:w="1498" w:type="dxa"/>
            <w:tcBorders>
              <w:top w:val="nil"/>
              <w:left w:val="nil"/>
              <w:bottom w:val="single" w:color="auto" w:sz="4" w:space="0"/>
              <w:right w:val="single" w:color="auto" w:sz="4" w:space="0"/>
            </w:tcBorders>
            <w:vAlign w:val="bottom"/>
          </w:tcPr>
          <w:p w14:paraId="56B3754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4DFED08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6000≤Y＜80000</w:t>
            </w:r>
          </w:p>
        </w:tc>
        <w:tc>
          <w:tcPr>
            <w:tcW w:w="1660" w:type="dxa"/>
            <w:tcBorders>
              <w:top w:val="nil"/>
              <w:left w:val="nil"/>
              <w:bottom w:val="single" w:color="auto" w:sz="4" w:space="0"/>
              <w:right w:val="single" w:color="auto" w:sz="8" w:space="0"/>
            </w:tcBorders>
            <w:vAlign w:val="bottom"/>
          </w:tcPr>
          <w:p w14:paraId="5A83E0F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5000≤Z＜80000</w:t>
            </w:r>
          </w:p>
        </w:tc>
        <w:tc>
          <w:tcPr>
            <w:tcW w:w="1240" w:type="dxa"/>
            <w:tcBorders>
              <w:top w:val="nil"/>
              <w:left w:val="nil"/>
              <w:bottom w:val="single" w:color="auto" w:sz="4" w:space="0"/>
              <w:right w:val="single" w:color="auto" w:sz="4" w:space="0"/>
            </w:tcBorders>
            <w:vAlign w:val="bottom"/>
          </w:tcPr>
          <w:p w14:paraId="29986BC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4766E27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300≤Y＜6000</w:t>
            </w:r>
          </w:p>
        </w:tc>
        <w:tc>
          <w:tcPr>
            <w:tcW w:w="1520" w:type="dxa"/>
            <w:tcBorders>
              <w:top w:val="nil"/>
              <w:left w:val="nil"/>
              <w:bottom w:val="single" w:color="auto" w:sz="4" w:space="0"/>
              <w:right w:val="single" w:color="auto" w:sz="8" w:space="0"/>
            </w:tcBorders>
            <w:vAlign w:val="bottom"/>
          </w:tcPr>
          <w:p w14:paraId="1A92B9C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300≤Z＜5000</w:t>
            </w:r>
          </w:p>
        </w:tc>
        <w:tc>
          <w:tcPr>
            <w:tcW w:w="1285" w:type="dxa"/>
            <w:tcBorders>
              <w:top w:val="nil"/>
              <w:left w:val="nil"/>
              <w:bottom w:val="single" w:color="auto" w:sz="4" w:space="0"/>
              <w:right w:val="single" w:color="auto" w:sz="4" w:space="0"/>
            </w:tcBorders>
            <w:vAlign w:val="bottom"/>
          </w:tcPr>
          <w:p w14:paraId="0D93230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2D8FBA4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Y＜300</w:t>
            </w:r>
          </w:p>
        </w:tc>
        <w:tc>
          <w:tcPr>
            <w:tcW w:w="1221" w:type="dxa"/>
            <w:tcBorders>
              <w:top w:val="nil"/>
              <w:left w:val="nil"/>
              <w:bottom w:val="single" w:color="auto" w:sz="4" w:space="0"/>
              <w:right w:val="single" w:color="auto" w:sz="8" w:space="0"/>
            </w:tcBorders>
            <w:vAlign w:val="bottom"/>
          </w:tcPr>
          <w:p w14:paraId="13942BB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Z＜300</w:t>
            </w:r>
          </w:p>
        </w:tc>
      </w:tr>
      <w:tr w14:paraId="0BAE244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61C3F7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4、批发业</w:t>
            </w:r>
          </w:p>
        </w:tc>
        <w:tc>
          <w:tcPr>
            <w:tcW w:w="1498" w:type="dxa"/>
            <w:tcBorders>
              <w:top w:val="nil"/>
              <w:left w:val="nil"/>
              <w:bottom w:val="single" w:color="auto" w:sz="4" w:space="0"/>
              <w:right w:val="single" w:color="auto" w:sz="4" w:space="0"/>
            </w:tcBorders>
            <w:vAlign w:val="bottom"/>
          </w:tcPr>
          <w:p w14:paraId="74EFEE5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20≤X＜200</w:t>
            </w:r>
          </w:p>
        </w:tc>
        <w:tc>
          <w:tcPr>
            <w:tcW w:w="1763" w:type="dxa"/>
            <w:tcBorders>
              <w:top w:val="nil"/>
              <w:left w:val="nil"/>
              <w:bottom w:val="single" w:color="auto" w:sz="4" w:space="0"/>
              <w:right w:val="single" w:color="auto" w:sz="4" w:space="0"/>
            </w:tcBorders>
            <w:vAlign w:val="bottom"/>
          </w:tcPr>
          <w:p w14:paraId="70FE637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5000≤Y＜40000</w:t>
            </w:r>
          </w:p>
        </w:tc>
        <w:tc>
          <w:tcPr>
            <w:tcW w:w="1660" w:type="dxa"/>
            <w:tcBorders>
              <w:top w:val="nil"/>
              <w:left w:val="nil"/>
              <w:bottom w:val="single" w:color="auto" w:sz="4" w:space="0"/>
              <w:right w:val="single" w:color="auto" w:sz="8" w:space="0"/>
            </w:tcBorders>
            <w:vAlign w:val="bottom"/>
          </w:tcPr>
          <w:p w14:paraId="5B63018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D85B4F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5≤X＜20</w:t>
            </w:r>
          </w:p>
        </w:tc>
        <w:tc>
          <w:tcPr>
            <w:tcW w:w="1636" w:type="dxa"/>
            <w:tcBorders>
              <w:top w:val="nil"/>
              <w:left w:val="nil"/>
              <w:bottom w:val="single" w:color="auto" w:sz="4" w:space="0"/>
              <w:right w:val="single" w:color="auto" w:sz="4" w:space="0"/>
            </w:tcBorders>
            <w:vAlign w:val="bottom"/>
          </w:tcPr>
          <w:p w14:paraId="23220C9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1000≤Y＜5000</w:t>
            </w:r>
          </w:p>
        </w:tc>
        <w:tc>
          <w:tcPr>
            <w:tcW w:w="1520" w:type="dxa"/>
            <w:tcBorders>
              <w:top w:val="nil"/>
              <w:left w:val="nil"/>
              <w:bottom w:val="single" w:color="auto" w:sz="4" w:space="0"/>
              <w:right w:val="single" w:color="auto" w:sz="8" w:space="0"/>
            </w:tcBorders>
            <w:vAlign w:val="bottom"/>
          </w:tcPr>
          <w:p w14:paraId="056F008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6F33F3B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X＜5</w:t>
            </w:r>
          </w:p>
        </w:tc>
        <w:tc>
          <w:tcPr>
            <w:tcW w:w="1275" w:type="dxa"/>
            <w:tcBorders>
              <w:top w:val="nil"/>
              <w:left w:val="nil"/>
              <w:bottom w:val="single" w:color="auto" w:sz="4" w:space="0"/>
              <w:right w:val="single" w:color="auto" w:sz="4" w:space="0"/>
            </w:tcBorders>
            <w:vAlign w:val="bottom"/>
          </w:tcPr>
          <w:p w14:paraId="1A7828B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Y＜1000</w:t>
            </w:r>
          </w:p>
        </w:tc>
        <w:tc>
          <w:tcPr>
            <w:tcW w:w="1221" w:type="dxa"/>
            <w:tcBorders>
              <w:top w:val="nil"/>
              <w:left w:val="nil"/>
              <w:bottom w:val="single" w:color="auto" w:sz="4" w:space="0"/>
              <w:right w:val="single" w:color="auto" w:sz="8" w:space="0"/>
            </w:tcBorders>
            <w:vAlign w:val="bottom"/>
          </w:tcPr>
          <w:p w14:paraId="6F4195B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F20DC1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35448F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5、零售业</w:t>
            </w:r>
          </w:p>
        </w:tc>
        <w:tc>
          <w:tcPr>
            <w:tcW w:w="1498" w:type="dxa"/>
            <w:tcBorders>
              <w:top w:val="nil"/>
              <w:left w:val="nil"/>
              <w:bottom w:val="single" w:color="auto" w:sz="4" w:space="0"/>
              <w:right w:val="single" w:color="auto" w:sz="4" w:space="0"/>
            </w:tcBorders>
            <w:vAlign w:val="bottom"/>
          </w:tcPr>
          <w:p w14:paraId="6CCC816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50≤X＜300</w:t>
            </w:r>
          </w:p>
        </w:tc>
        <w:tc>
          <w:tcPr>
            <w:tcW w:w="1763" w:type="dxa"/>
            <w:tcBorders>
              <w:top w:val="nil"/>
              <w:left w:val="nil"/>
              <w:bottom w:val="single" w:color="auto" w:sz="4" w:space="0"/>
              <w:right w:val="single" w:color="auto" w:sz="4" w:space="0"/>
            </w:tcBorders>
            <w:vAlign w:val="bottom"/>
          </w:tcPr>
          <w:p w14:paraId="3FAFB07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500≤Y＜20000</w:t>
            </w:r>
          </w:p>
        </w:tc>
        <w:tc>
          <w:tcPr>
            <w:tcW w:w="1660" w:type="dxa"/>
            <w:tcBorders>
              <w:top w:val="nil"/>
              <w:left w:val="nil"/>
              <w:bottom w:val="single" w:color="auto" w:sz="4" w:space="0"/>
              <w:right w:val="single" w:color="auto" w:sz="8" w:space="0"/>
            </w:tcBorders>
            <w:vAlign w:val="bottom"/>
          </w:tcPr>
          <w:p w14:paraId="16FBBF5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6B885F7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10≤X＜50</w:t>
            </w:r>
          </w:p>
        </w:tc>
        <w:tc>
          <w:tcPr>
            <w:tcW w:w="1636" w:type="dxa"/>
            <w:tcBorders>
              <w:top w:val="nil"/>
              <w:left w:val="nil"/>
              <w:bottom w:val="single" w:color="auto" w:sz="4" w:space="0"/>
              <w:right w:val="single" w:color="auto" w:sz="4" w:space="0"/>
            </w:tcBorders>
            <w:vAlign w:val="bottom"/>
          </w:tcPr>
          <w:p w14:paraId="435E326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100≤Y＜500</w:t>
            </w:r>
          </w:p>
        </w:tc>
        <w:tc>
          <w:tcPr>
            <w:tcW w:w="1520" w:type="dxa"/>
            <w:tcBorders>
              <w:top w:val="nil"/>
              <w:left w:val="nil"/>
              <w:bottom w:val="single" w:color="auto" w:sz="4" w:space="0"/>
              <w:right w:val="single" w:color="auto" w:sz="8" w:space="0"/>
            </w:tcBorders>
            <w:vAlign w:val="bottom"/>
          </w:tcPr>
          <w:p w14:paraId="05E46EE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6D2095F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0B95D9B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39744DE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F7387F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A40BE3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6、交通运输业</w:t>
            </w:r>
          </w:p>
        </w:tc>
        <w:tc>
          <w:tcPr>
            <w:tcW w:w="1498" w:type="dxa"/>
            <w:tcBorders>
              <w:top w:val="nil"/>
              <w:left w:val="nil"/>
              <w:bottom w:val="single" w:color="auto" w:sz="4" w:space="0"/>
              <w:right w:val="single" w:color="auto" w:sz="4" w:space="0"/>
            </w:tcBorders>
            <w:vAlign w:val="bottom"/>
          </w:tcPr>
          <w:p w14:paraId="081A114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74A76EA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3000≤Y＜30000</w:t>
            </w:r>
          </w:p>
        </w:tc>
        <w:tc>
          <w:tcPr>
            <w:tcW w:w="1660" w:type="dxa"/>
            <w:tcBorders>
              <w:top w:val="nil"/>
              <w:left w:val="nil"/>
              <w:bottom w:val="single" w:color="auto" w:sz="4" w:space="0"/>
              <w:right w:val="single" w:color="auto" w:sz="8" w:space="0"/>
            </w:tcBorders>
            <w:vAlign w:val="bottom"/>
          </w:tcPr>
          <w:p w14:paraId="2637471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473CC5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057BD5D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200≤Y＜3000</w:t>
            </w:r>
          </w:p>
        </w:tc>
        <w:tc>
          <w:tcPr>
            <w:tcW w:w="1520" w:type="dxa"/>
            <w:tcBorders>
              <w:top w:val="nil"/>
              <w:left w:val="nil"/>
              <w:bottom w:val="single" w:color="auto" w:sz="4" w:space="0"/>
              <w:right w:val="single" w:color="auto" w:sz="8" w:space="0"/>
            </w:tcBorders>
            <w:vAlign w:val="bottom"/>
          </w:tcPr>
          <w:p w14:paraId="38446A0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16564B0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2FD1FDB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V＜200</w:t>
            </w:r>
          </w:p>
        </w:tc>
        <w:tc>
          <w:tcPr>
            <w:tcW w:w="1221" w:type="dxa"/>
            <w:tcBorders>
              <w:top w:val="nil"/>
              <w:left w:val="nil"/>
              <w:bottom w:val="single" w:color="auto" w:sz="4" w:space="0"/>
              <w:right w:val="single" w:color="auto" w:sz="8" w:space="0"/>
            </w:tcBorders>
            <w:vAlign w:val="bottom"/>
          </w:tcPr>
          <w:p w14:paraId="561F4E2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71AC2E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B96B61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7、仓储业</w:t>
            </w:r>
          </w:p>
        </w:tc>
        <w:tc>
          <w:tcPr>
            <w:tcW w:w="1498" w:type="dxa"/>
            <w:tcBorders>
              <w:top w:val="nil"/>
              <w:left w:val="nil"/>
              <w:bottom w:val="single" w:color="auto" w:sz="4" w:space="0"/>
              <w:right w:val="single" w:color="auto" w:sz="4" w:space="0"/>
            </w:tcBorders>
            <w:vAlign w:val="bottom"/>
          </w:tcPr>
          <w:p w14:paraId="047A7A0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100≤X＜200</w:t>
            </w:r>
          </w:p>
        </w:tc>
        <w:tc>
          <w:tcPr>
            <w:tcW w:w="1763" w:type="dxa"/>
            <w:tcBorders>
              <w:top w:val="nil"/>
              <w:left w:val="nil"/>
              <w:bottom w:val="single" w:color="auto" w:sz="4" w:space="0"/>
              <w:right w:val="single" w:color="auto" w:sz="4" w:space="0"/>
            </w:tcBorders>
            <w:vAlign w:val="bottom"/>
          </w:tcPr>
          <w:p w14:paraId="077884E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1000≤Y＜30000</w:t>
            </w:r>
          </w:p>
        </w:tc>
        <w:tc>
          <w:tcPr>
            <w:tcW w:w="1660" w:type="dxa"/>
            <w:tcBorders>
              <w:top w:val="nil"/>
              <w:left w:val="nil"/>
              <w:bottom w:val="single" w:color="auto" w:sz="4" w:space="0"/>
              <w:right w:val="single" w:color="auto" w:sz="8" w:space="0"/>
            </w:tcBorders>
            <w:vAlign w:val="bottom"/>
          </w:tcPr>
          <w:p w14:paraId="46E0E78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634319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20≤X＜100</w:t>
            </w:r>
          </w:p>
        </w:tc>
        <w:tc>
          <w:tcPr>
            <w:tcW w:w="1636" w:type="dxa"/>
            <w:tcBorders>
              <w:top w:val="nil"/>
              <w:left w:val="nil"/>
              <w:bottom w:val="single" w:color="auto" w:sz="4" w:space="0"/>
              <w:right w:val="single" w:color="auto" w:sz="4" w:space="0"/>
            </w:tcBorders>
            <w:vAlign w:val="bottom"/>
          </w:tcPr>
          <w:p w14:paraId="69AE387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760E24C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2A43BF1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082D279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045BC52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640FD9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741BF5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8、邮政业</w:t>
            </w:r>
          </w:p>
        </w:tc>
        <w:tc>
          <w:tcPr>
            <w:tcW w:w="1498" w:type="dxa"/>
            <w:tcBorders>
              <w:top w:val="nil"/>
              <w:left w:val="nil"/>
              <w:bottom w:val="single" w:color="auto" w:sz="4" w:space="0"/>
              <w:right w:val="single" w:color="auto" w:sz="4" w:space="0"/>
            </w:tcBorders>
            <w:vAlign w:val="bottom"/>
          </w:tcPr>
          <w:p w14:paraId="70EB5C1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1F66F33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2000≤Y＜30000</w:t>
            </w:r>
          </w:p>
        </w:tc>
        <w:tc>
          <w:tcPr>
            <w:tcW w:w="1660" w:type="dxa"/>
            <w:tcBorders>
              <w:top w:val="nil"/>
              <w:left w:val="nil"/>
              <w:bottom w:val="single" w:color="auto" w:sz="4" w:space="0"/>
              <w:right w:val="single" w:color="auto" w:sz="8" w:space="0"/>
            </w:tcBorders>
            <w:vAlign w:val="bottom"/>
          </w:tcPr>
          <w:p w14:paraId="113ED9E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313028E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3A6DBB9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096D944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319D0F4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42E2F81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7A0F7B1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ECAE6E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BBAAE1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9、住宿业</w:t>
            </w:r>
          </w:p>
        </w:tc>
        <w:tc>
          <w:tcPr>
            <w:tcW w:w="1498" w:type="dxa"/>
            <w:tcBorders>
              <w:top w:val="nil"/>
              <w:left w:val="nil"/>
              <w:bottom w:val="single" w:color="auto" w:sz="4" w:space="0"/>
              <w:right w:val="single" w:color="auto" w:sz="4" w:space="0"/>
            </w:tcBorders>
            <w:vAlign w:val="bottom"/>
          </w:tcPr>
          <w:p w14:paraId="1D4C445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7AD6F28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2000≤Y＜10000</w:t>
            </w:r>
          </w:p>
        </w:tc>
        <w:tc>
          <w:tcPr>
            <w:tcW w:w="1660" w:type="dxa"/>
            <w:tcBorders>
              <w:top w:val="nil"/>
              <w:left w:val="nil"/>
              <w:bottom w:val="single" w:color="auto" w:sz="4" w:space="0"/>
              <w:right w:val="single" w:color="auto" w:sz="8" w:space="0"/>
            </w:tcBorders>
            <w:vAlign w:val="bottom"/>
          </w:tcPr>
          <w:p w14:paraId="1BA9059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7D54C09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0405111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1EB1F7D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36BA374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75745DC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0F10921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122549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6EB01F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10、餐饮业</w:t>
            </w:r>
          </w:p>
        </w:tc>
        <w:tc>
          <w:tcPr>
            <w:tcW w:w="1498" w:type="dxa"/>
            <w:tcBorders>
              <w:top w:val="nil"/>
              <w:left w:val="nil"/>
              <w:bottom w:val="single" w:color="auto" w:sz="4" w:space="0"/>
              <w:right w:val="single" w:color="auto" w:sz="4" w:space="0"/>
            </w:tcBorders>
            <w:vAlign w:val="bottom"/>
          </w:tcPr>
          <w:p w14:paraId="414625D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1E7A641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2000≤Y＜10000</w:t>
            </w:r>
          </w:p>
        </w:tc>
        <w:tc>
          <w:tcPr>
            <w:tcW w:w="1660" w:type="dxa"/>
            <w:tcBorders>
              <w:top w:val="nil"/>
              <w:left w:val="nil"/>
              <w:bottom w:val="single" w:color="auto" w:sz="4" w:space="0"/>
              <w:right w:val="single" w:color="auto" w:sz="8" w:space="0"/>
            </w:tcBorders>
            <w:vAlign w:val="bottom"/>
          </w:tcPr>
          <w:p w14:paraId="418FF53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22E7A73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775E4AE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55442E5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7FA237A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7ACD5A6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V＜100</w:t>
            </w:r>
          </w:p>
        </w:tc>
        <w:tc>
          <w:tcPr>
            <w:tcW w:w="1221" w:type="dxa"/>
            <w:tcBorders>
              <w:top w:val="nil"/>
              <w:left w:val="nil"/>
              <w:bottom w:val="single" w:color="auto" w:sz="4" w:space="0"/>
              <w:right w:val="single" w:color="auto" w:sz="8" w:space="0"/>
            </w:tcBorders>
            <w:vAlign w:val="bottom"/>
          </w:tcPr>
          <w:p w14:paraId="08ABB98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CFFF83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E1A8D9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11、信息传输业</w:t>
            </w:r>
          </w:p>
        </w:tc>
        <w:tc>
          <w:tcPr>
            <w:tcW w:w="1498" w:type="dxa"/>
            <w:tcBorders>
              <w:top w:val="nil"/>
              <w:left w:val="nil"/>
              <w:bottom w:val="single" w:color="auto" w:sz="4" w:space="0"/>
              <w:right w:val="single" w:color="auto" w:sz="4" w:space="0"/>
            </w:tcBorders>
            <w:vAlign w:val="bottom"/>
          </w:tcPr>
          <w:p w14:paraId="6FD4C11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100≤X＜2000</w:t>
            </w:r>
          </w:p>
        </w:tc>
        <w:tc>
          <w:tcPr>
            <w:tcW w:w="1763" w:type="dxa"/>
            <w:tcBorders>
              <w:top w:val="nil"/>
              <w:left w:val="nil"/>
              <w:bottom w:val="single" w:color="auto" w:sz="4" w:space="0"/>
              <w:right w:val="single" w:color="auto" w:sz="4" w:space="0"/>
            </w:tcBorders>
            <w:vAlign w:val="bottom"/>
          </w:tcPr>
          <w:p w14:paraId="34B5ABD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1000≤Y＜100000</w:t>
            </w:r>
          </w:p>
        </w:tc>
        <w:tc>
          <w:tcPr>
            <w:tcW w:w="1660" w:type="dxa"/>
            <w:tcBorders>
              <w:top w:val="nil"/>
              <w:left w:val="nil"/>
              <w:bottom w:val="single" w:color="auto" w:sz="4" w:space="0"/>
              <w:right w:val="single" w:color="auto" w:sz="8" w:space="0"/>
            </w:tcBorders>
            <w:vAlign w:val="bottom"/>
          </w:tcPr>
          <w:p w14:paraId="2F95D64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4D0633C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0D3A18D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73EE5F7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391105F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2B92EC2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4AABEC5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11BC4D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9E23A16">
            <w:pPr>
              <w:widowControl/>
              <w:jc w:val="left"/>
              <w:rPr>
                <w:rFonts w:ascii="宋体" w:hAnsi="宋体" w:cs="宋体"/>
                <w:color w:val="auto"/>
                <w:kern w:val="0"/>
                <w:sz w:val="20"/>
                <w:highlight w:val="none"/>
              </w:rPr>
            </w:pPr>
            <w:r>
              <w:rPr>
                <w:rFonts w:hint="eastAsia" w:ascii="宋体" w:hAnsi="宋体" w:cs="宋体"/>
                <w:color w:val="auto"/>
                <w:kern w:val="0"/>
                <w:sz w:val="15"/>
                <w:highlight w:val="none"/>
              </w:rPr>
              <w:t>12、软件和信息技术服务业</w:t>
            </w:r>
          </w:p>
        </w:tc>
        <w:tc>
          <w:tcPr>
            <w:tcW w:w="1498" w:type="dxa"/>
            <w:tcBorders>
              <w:top w:val="nil"/>
              <w:left w:val="nil"/>
              <w:bottom w:val="single" w:color="auto" w:sz="4" w:space="0"/>
              <w:right w:val="single" w:color="auto" w:sz="4" w:space="0"/>
            </w:tcBorders>
            <w:vAlign w:val="bottom"/>
          </w:tcPr>
          <w:p w14:paraId="717C5AE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6A94870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1000≤Y＜10000</w:t>
            </w:r>
          </w:p>
        </w:tc>
        <w:tc>
          <w:tcPr>
            <w:tcW w:w="1660" w:type="dxa"/>
            <w:tcBorders>
              <w:top w:val="nil"/>
              <w:left w:val="nil"/>
              <w:bottom w:val="single" w:color="auto" w:sz="4" w:space="0"/>
              <w:right w:val="single" w:color="auto" w:sz="8" w:space="0"/>
            </w:tcBorders>
            <w:vAlign w:val="bottom"/>
          </w:tcPr>
          <w:p w14:paraId="58C301C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29DC14C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4C5A2BB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50≤Y＜1000</w:t>
            </w:r>
          </w:p>
        </w:tc>
        <w:tc>
          <w:tcPr>
            <w:tcW w:w="1520" w:type="dxa"/>
            <w:tcBorders>
              <w:top w:val="nil"/>
              <w:left w:val="nil"/>
              <w:bottom w:val="single" w:color="auto" w:sz="4" w:space="0"/>
              <w:right w:val="single" w:color="auto" w:sz="8" w:space="0"/>
            </w:tcBorders>
            <w:vAlign w:val="bottom"/>
          </w:tcPr>
          <w:p w14:paraId="7D6F3CC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72FEA68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2EEA87F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Y＜50</w:t>
            </w:r>
          </w:p>
        </w:tc>
        <w:tc>
          <w:tcPr>
            <w:tcW w:w="1221" w:type="dxa"/>
            <w:tcBorders>
              <w:top w:val="nil"/>
              <w:left w:val="nil"/>
              <w:bottom w:val="single" w:color="auto" w:sz="4" w:space="0"/>
              <w:right w:val="single" w:color="auto" w:sz="8" w:space="0"/>
            </w:tcBorders>
            <w:vAlign w:val="bottom"/>
          </w:tcPr>
          <w:p w14:paraId="41B25E4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D4AA6DD">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1E2E5D7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13、房地产开发经营</w:t>
            </w:r>
          </w:p>
        </w:tc>
        <w:tc>
          <w:tcPr>
            <w:tcW w:w="1498" w:type="dxa"/>
            <w:tcBorders>
              <w:top w:val="nil"/>
              <w:left w:val="nil"/>
              <w:bottom w:val="single" w:color="auto" w:sz="4" w:space="0"/>
              <w:right w:val="single" w:color="auto" w:sz="4" w:space="0"/>
            </w:tcBorders>
            <w:vAlign w:val="bottom"/>
          </w:tcPr>
          <w:p w14:paraId="33CFA72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730065F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1000≤Y＜200000</w:t>
            </w:r>
          </w:p>
        </w:tc>
        <w:tc>
          <w:tcPr>
            <w:tcW w:w="1660" w:type="dxa"/>
            <w:tcBorders>
              <w:top w:val="nil"/>
              <w:left w:val="nil"/>
              <w:bottom w:val="single" w:color="auto" w:sz="4" w:space="0"/>
              <w:right w:val="single" w:color="auto" w:sz="8" w:space="0"/>
            </w:tcBorders>
            <w:vAlign w:val="bottom"/>
          </w:tcPr>
          <w:p w14:paraId="4364624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5000≤Z＜10000</w:t>
            </w:r>
          </w:p>
        </w:tc>
        <w:tc>
          <w:tcPr>
            <w:tcW w:w="1240" w:type="dxa"/>
            <w:tcBorders>
              <w:top w:val="nil"/>
              <w:left w:val="nil"/>
              <w:bottom w:val="single" w:color="auto" w:sz="4" w:space="0"/>
              <w:right w:val="single" w:color="auto" w:sz="4" w:space="0"/>
            </w:tcBorders>
            <w:vAlign w:val="bottom"/>
          </w:tcPr>
          <w:p w14:paraId="5A0FB1D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0EC13CB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55DDC96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2000≤Z＜5000</w:t>
            </w:r>
          </w:p>
        </w:tc>
        <w:tc>
          <w:tcPr>
            <w:tcW w:w="1285" w:type="dxa"/>
            <w:tcBorders>
              <w:top w:val="nil"/>
              <w:left w:val="nil"/>
              <w:bottom w:val="single" w:color="auto" w:sz="4" w:space="0"/>
              <w:right w:val="single" w:color="auto" w:sz="4" w:space="0"/>
            </w:tcBorders>
            <w:vAlign w:val="bottom"/>
          </w:tcPr>
          <w:p w14:paraId="39E007D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5B65E30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036D953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Z＜2000</w:t>
            </w:r>
          </w:p>
        </w:tc>
      </w:tr>
      <w:tr w14:paraId="392E35C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6DC88B2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14、物业管理</w:t>
            </w:r>
          </w:p>
        </w:tc>
        <w:tc>
          <w:tcPr>
            <w:tcW w:w="1498" w:type="dxa"/>
            <w:tcBorders>
              <w:top w:val="nil"/>
              <w:left w:val="nil"/>
              <w:bottom w:val="single" w:color="auto" w:sz="4" w:space="0"/>
              <w:right w:val="single" w:color="auto" w:sz="4" w:space="0"/>
            </w:tcBorders>
            <w:vAlign w:val="bottom"/>
          </w:tcPr>
          <w:p w14:paraId="761A327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40DB22D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1000≤Y＜5000</w:t>
            </w:r>
          </w:p>
        </w:tc>
        <w:tc>
          <w:tcPr>
            <w:tcW w:w="1660" w:type="dxa"/>
            <w:tcBorders>
              <w:top w:val="nil"/>
              <w:left w:val="nil"/>
              <w:bottom w:val="single" w:color="auto" w:sz="4" w:space="0"/>
              <w:right w:val="single" w:color="auto" w:sz="8" w:space="0"/>
            </w:tcBorders>
            <w:vAlign w:val="bottom"/>
          </w:tcPr>
          <w:p w14:paraId="3632B92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0CED8F9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636" w:type="dxa"/>
            <w:tcBorders>
              <w:top w:val="nil"/>
              <w:left w:val="nil"/>
              <w:bottom w:val="single" w:color="auto" w:sz="4" w:space="0"/>
              <w:right w:val="single" w:color="auto" w:sz="4" w:space="0"/>
            </w:tcBorders>
            <w:vAlign w:val="bottom"/>
          </w:tcPr>
          <w:p w14:paraId="3148788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500≤Y＜1000</w:t>
            </w:r>
          </w:p>
        </w:tc>
        <w:tc>
          <w:tcPr>
            <w:tcW w:w="1520" w:type="dxa"/>
            <w:tcBorders>
              <w:top w:val="nil"/>
              <w:left w:val="nil"/>
              <w:bottom w:val="single" w:color="auto" w:sz="4" w:space="0"/>
              <w:right w:val="single" w:color="auto" w:sz="8" w:space="0"/>
            </w:tcBorders>
            <w:vAlign w:val="bottom"/>
          </w:tcPr>
          <w:p w14:paraId="14BABE0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50596B4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X＜100</w:t>
            </w:r>
          </w:p>
        </w:tc>
        <w:tc>
          <w:tcPr>
            <w:tcW w:w="1275" w:type="dxa"/>
            <w:tcBorders>
              <w:top w:val="nil"/>
              <w:left w:val="nil"/>
              <w:bottom w:val="single" w:color="auto" w:sz="4" w:space="0"/>
              <w:right w:val="single" w:color="auto" w:sz="4" w:space="0"/>
            </w:tcBorders>
            <w:vAlign w:val="bottom"/>
          </w:tcPr>
          <w:p w14:paraId="570485A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Y＜500</w:t>
            </w:r>
          </w:p>
        </w:tc>
        <w:tc>
          <w:tcPr>
            <w:tcW w:w="1221" w:type="dxa"/>
            <w:tcBorders>
              <w:top w:val="nil"/>
              <w:left w:val="nil"/>
              <w:bottom w:val="single" w:color="auto" w:sz="4" w:space="0"/>
              <w:right w:val="single" w:color="auto" w:sz="8" w:space="0"/>
            </w:tcBorders>
            <w:vAlign w:val="bottom"/>
          </w:tcPr>
          <w:p w14:paraId="75F8FEB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87590DD">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56E8C179">
            <w:pPr>
              <w:widowControl/>
              <w:jc w:val="left"/>
              <w:rPr>
                <w:rFonts w:ascii="宋体" w:hAnsi="宋体" w:cs="宋体"/>
                <w:color w:val="auto"/>
                <w:kern w:val="0"/>
                <w:sz w:val="20"/>
                <w:highlight w:val="none"/>
              </w:rPr>
            </w:pPr>
            <w:r>
              <w:rPr>
                <w:rFonts w:hint="eastAsia" w:ascii="宋体" w:hAnsi="宋体" w:cs="宋体"/>
                <w:color w:val="auto"/>
                <w:kern w:val="0"/>
                <w:sz w:val="18"/>
                <w:highlight w:val="none"/>
              </w:rPr>
              <w:t>15、租赁和商务服务业</w:t>
            </w:r>
          </w:p>
        </w:tc>
        <w:tc>
          <w:tcPr>
            <w:tcW w:w="1498" w:type="dxa"/>
            <w:tcBorders>
              <w:top w:val="nil"/>
              <w:left w:val="nil"/>
              <w:bottom w:val="single" w:color="auto" w:sz="4" w:space="0"/>
              <w:right w:val="single" w:color="auto" w:sz="4" w:space="0"/>
            </w:tcBorders>
            <w:vAlign w:val="bottom"/>
          </w:tcPr>
          <w:p w14:paraId="37B29C1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462F46F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60" w:type="dxa"/>
            <w:tcBorders>
              <w:top w:val="nil"/>
              <w:left w:val="nil"/>
              <w:bottom w:val="single" w:color="auto" w:sz="4" w:space="0"/>
              <w:right w:val="single" w:color="auto" w:sz="8" w:space="0"/>
            </w:tcBorders>
            <w:vAlign w:val="bottom"/>
          </w:tcPr>
          <w:p w14:paraId="6414BD5B">
            <w:pPr>
              <w:widowControl/>
              <w:jc w:val="left"/>
              <w:rPr>
                <w:rFonts w:ascii="宋体" w:hAnsi="宋体" w:cs="宋体"/>
                <w:color w:val="auto"/>
                <w:kern w:val="0"/>
                <w:sz w:val="20"/>
                <w:highlight w:val="none"/>
              </w:rPr>
            </w:pPr>
            <w:r>
              <w:rPr>
                <w:rFonts w:hint="eastAsia" w:ascii="宋体" w:hAnsi="宋体" w:cs="宋体"/>
                <w:color w:val="auto"/>
                <w:kern w:val="0"/>
                <w:sz w:val="18"/>
                <w:highlight w:val="none"/>
              </w:rPr>
              <w:t>8000≤Z＜120000</w:t>
            </w:r>
          </w:p>
        </w:tc>
        <w:tc>
          <w:tcPr>
            <w:tcW w:w="1240" w:type="dxa"/>
            <w:tcBorders>
              <w:top w:val="nil"/>
              <w:left w:val="nil"/>
              <w:bottom w:val="single" w:color="auto" w:sz="4" w:space="0"/>
              <w:right w:val="single" w:color="auto" w:sz="4" w:space="0"/>
            </w:tcBorders>
            <w:vAlign w:val="bottom"/>
          </w:tcPr>
          <w:p w14:paraId="7EE6BA6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18DD9EC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20" w:type="dxa"/>
            <w:tcBorders>
              <w:top w:val="nil"/>
              <w:left w:val="nil"/>
              <w:bottom w:val="single" w:color="auto" w:sz="4" w:space="0"/>
              <w:right w:val="single" w:color="auto" w:sz="8" w:space="0"/>
            </w:tcBorders>
            <w:vAlign w:val="bottom"/>
          </w:tcPr>
          <w:p w14:paraId="60DAE03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100≤Z＜8000</w:t>
            </w:r>
          </w:p>
        </w:tc>
        <w:tc>
          <w:tcPr>
            <w:tcW w:w="1285" w:type="dxa"/>
            <w:tcBorders>
              <w:top w:val="nil"/>
              <w:left w:val="nil"/>
              <w:bottom w:val="single" w:color="auto" w:sz="4" w:space="0"/>
              <w:right w:val="single" w:color="auto" w:sz="4" w:space="0"/>
            </w:tcBorders>
            <w:vAlign w:val="bottom"/>
          </w:tcPr>
          <w:p w14:paraId="246F92E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25B786E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21" w:type="dxa"/>
            <w:tcBorders>
              <w:top w:val="nil"/>
              <w:left w:val="nil"/>
              <w:bottom w:val="single" w:color="auto" w:sz="4" w:space="0"/>
              <w:right w:val="single" w:color="auto" w:sz="8" w:space="0"/>
            </w:tcBorders>
            <w:vAlign w:val="bottom"/>
          </w:tcPr>
          <w:p w14:paraId="249D60E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Z＜100</w:t>
            </w:r>
          </w:p>
        </w:tc>
      </w:tr>
      <w:tr w14:paraId="5D68961D">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0327865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16、其他未列明行业</w:t>
            </w:r>
          </w:p>
        </w:tc>
        <w:tc>
          <w:tcPr>
            <w:tcW w:w="1498" w:type="dxa"/>
            <w:tcBorders>
              <w:top w:val="nil"/>
              <w:left w:val="nil"/>
              <w:bottom w:val="single" w:color="auto" w:sz="8" w:space="0"/>
              <w:right w:val="single" w:color="auto" w:sz="4" w:space="0"/>
            </w:tcBorders>
            <w:vAlign w:val="bottom"/>
          </w:tcPr>
          <w:p w14:paraId="4648284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8" w:space="0"/>
              <w:right w:val="single" w:color="auto" w:sz="4" w:space="0"/>
            </w:tcBorders>
            <w:vAlign w:val="bottom"/>
          </w:tcPr>
          <w:p w14:paraId="3A4BBF6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60" w:type="dxa"/>
            <w:tcBorders>
              <w:top w:val="nil"/>
              <w:left w:val="nil"/>
              <w:bottom w:val="single" w:color="auto" w:sz="8" w:space="0"/>
              <w:right w:val="single" w:color="auto" w:sz="8" w:space="0"/>
            </w:tcBorders>
            <w:vAlign w:val="bottom"/>
          </w:tcPr>
          <w:p w14:paraId="24DDF19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8" w:space="0"/>
              <w:right w:val="single" w:color="auto" w:sz="4" w:space="0"/>
            </w:tcBorders>
            <w:vAlign w:val="bottom"/>
          </w:tcPr>
          <w:p w14:paraId="53F360F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8" w:space="0"/>
              <w:right w:val="single" w:color="auto" w:sz="4" w:space="0"/>
            </w:tcBorders>
            <w:vAlign w:val="bottom"/>
          </w:tcPr>
          <w:p w14:paraId="4F50037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20" w:type="dxa"/>
            <w:tcBorders>
              <w:top w:val="nil"/>
              <w:left w:val="nil"/>
              <w:bottom w:val="single" w:color="auto" w:sz="8" w:space="0"/>
              <w:right w:val="single" w:color="auto" w:sz="8" w:space="0"/>
            </w:tcBorders>
            <w:vAlign w:val="bottom"/>
          </w:tcPr>
          <w:p w14:paraId="325B170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8" w:space="0"/>
              <w:right w:val="single" w:color="auto" w:sz="4" w:space="0"/>
            </w:tcBorders>
            <w:vAlign w:val="bottom"/>
          </w:tcPr>
          <w:p w14:paraId="62C57C2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8" w:space="0"/>
              <w:right w:val="single" w:color="auto" w:sz="4" w:space="0"/>
            </w:tcBorders>
            <w:vAlign w:val="bottom"/>
          </w:tcPr>
          <w:p w14:paraId="5CE51D2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21" w:type="dxa"/>
            <w:tcBorders>
              <w:top w:val="nil"/>
              <w:left w:val="nil"/>
              <w:bottom w:val="single" w:color="auto" w:sz="8" w:space="0"/>
              <w:right w:val="single" w:color="auto" w:sz="8" w:space="0"/>
            </w:tcBorders>
            <w:vAlign w:val="bottom"/>
          </w:tcPr>
          <w:p w14:paraId="2A544A2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bl>
    <w:p w14:paraId="65CFBA5D">
      <w:pPr>
        <w:rPr>
          <w:rFonts w:cs="仿宋" w:asciiTheme="minorEastAsia" w:hAnsiTheme="minorEastAsia" w:eastAsiaTheme="minorEastAsia"/>
          <w:b/>
          <w:bCs/>
          <w:color w:val="auto"/>
          <w:sz w:val="32"/>
          <w:szCs w:val="32"/>
          <w:highlight w:val="none"/>
        </w:rPr>
      </w:pPr>
      <w:r>
        <w:rPr>
          <w:rFonts w:hint="eastAsia" w:cs="仿宋" w:asciiTheme="minorEastAsia" w:hAnsiTheme="minorEastAsia" w:eastAsiaTheme="minorEastAsia"/>
          <w:b/>
          <w:color w:val="auto"/>
          <w:sz w:val="32"/>
          <w:szCs w:val="32"/>
          <w:highlight w:val="none"/>
        </w:rPr>
        <w:br w:type="page"/>
      </w:r>
    </w:p>
    <w:p w14:paraId="756273D6">
      <w:pPr>
        <w:shd w:val="clear"/>
        <w:spacing w:line="360" w:lineRule="auto"/>
        <w:jc w:val="center"/>
        <w:rPr>
          <w:rFonts w:hint="eastAsia" w:cs="仿宋" w:asciiTheme="majorEastAsia" w:hAnsiTheme="majorEastAsia" w:eastAsiaTheme="majorEastAsia"/>
          <w:b/>
          <w:bCs/>
          <w:color w:val="auto"/>
          <w:sz w:val="32"/>
          <w:szCs w:val="32"/>
          <w:highlight w:val="none"/>
        </w:rPr>
        <w:sectPr>
          <w:pgSz w:w="16838" w:h="11906" w:orient="landscape"/>
          <w:pgMar w:top="1800" w:right="1440" w:bottom="1800" w:left="1440" w:header="851" w:footer="992" w:gutter="0"/>
          <w:cols w:space="425" w:num="1"/>
          <w:docGrid w:type="lines" w:linePitch="312" w:charSpace="0"/>
        </w:sectPr>
      </w:pPr>
    </w:p>
    <w:p w14:paraId="1986EDF0">
      <w:pPr>
        <w:shd w:val="clear"/>
        <w:spacing w:line="360" w:lineRule="auto"/>
        <w:jc w:val="center"/>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bCs/>
          <w:color w:val="auto"/>
          <w:sz w:val="32"/>
          <w:szCs w:val="32"/>
          <w:highlight w:val="none"/>
        </w:rPr>
        <w:t>四、残疾人福利性单位声明函</w:t>
      </w:r>
    </w:p>
    <w:p w14:paraId="22C0373A">
      <w:pPr>
        <w:shd w:val="clear"/>
        <w:spacing w:line="360" w:lineRule="auto"/>
        <w:rPr>
          <w:rFonts w:cs="仿宋" w:asciiTheme="majorEastAsia" w:hAnsiTheme="majorEastAsia" w:eastAsiaTheme="majorEastAsia"/>
          <w:b/>
          <w:color w:val="auto"/>
          <w:spacing w:val="6"/>
          <w:sz w:val="28"/>
          <w:szCs w:val="30"/>
          <w:highlight w:val="none"/>
        </w:rPr>
      </w:pPr>
    </w:p>
    <w:p w14:paraId="42790E3C">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6443C1">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本单位对上述声明的真实性负责。如有虚假，将依法承担相应责任。</w:t>
      </w:r>
    </w:p>
    <w:p w14:paraId="2130843B">
      <w:pPr>
        <w:shd w:val="clear"/>
        <w:spacing w:line="360" w:lineRule="auto"/>
        <w:ind w:firstLine="480" w:firstLineChars="200"/>
        <w:jc w:val="left"/>
        <w:rPr>
          <w:rFonts w:cs="仿宋" w:asciiTheme="majorEastAsia" w:hAnsiTheme="majorEastAsia" w:eastAsiaTheme="majorEastAsia"/>
          <w:color w:val="auto"/>
          <w:sz w:val="24"/>
          <w:highlight w:val="none"/>
        </w:rPr>
      </w:pPr>
    </w:p>
    <w:p w14:paraId="3FB381B7">
      <w:pPr>
        <w:shd w:val="clear"/>
        <w:spacing w:line="360" w:lineRule="auto"/>
        <w:ind w:firstLine="480" w:firstLineChars="200"/>
        <w:jc w:val="left"/>
        <w:rPr>
          <w:rFonts w:cs="仿宋" w:asciiTheme="majorEastAsia" w:hAnsiTheme="majorEastAsia" w:eastAsiaTheme="majorEastAsia"/>
          <w:color w:val="auto"/>
          <w:sz w:val="24"/>
          <w:highlight w:val="none"/>
        </w:rPr>
      </w:pPr>
    </w:p>
    <w:p w14:paraId="70B33E89">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法定代表人或其授权委托人（签名或印章）：</w:t>
      </w:r>
    </w:p>
    <w:p w14:paraId="14CAD062">
      <w:pPr>
        <w:shd w:val="clear"/>
        <w:adjustRightInd w:val="0"/>
        <w:spacing w:line="360" w:lineRule="auto"/>
        <w:ind w:firstLine="3840" w:firstLineChars="16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62B162D8">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p w14:paraId="51FA4FAB">
      <w:pPr>
        <w:shd w:val="clear"/>
        <w:spacing w:line="360" w:lineRule="auto"/>
        <w:ind w:firstLine="643" w:firstLineChars="200"/>
        <w:jc w:val="left"/>
        <w:rPr>
          <w:rFonts w:cs="仿宋" w:asciiTheme="majorEastAsia" w:hAnsiTheme="majorEastAsia" w:eastAsiaTheme="majorEastAsia"/>
          <w:b/>
          <w:color w:val="auto"/>
          <w:sz w:val="32"/>
          <w:szCs w:val="32"/>
          <w:highlight w:val="none"/>
        </w:rPr>
      </w:pPr>
    </w:p>
    <w:p w14:paraId="4C2F73AB">
      <w:pPr>
        <w:shd w:val="clear"/>
        <w:spacing w:line="360" w:lineRule="auto"/>
        <w:rPr>
          <w:rFonts w:cs="仿宋" w:asciiTheme="majorEastAsia" w:hAnsiTheme="majorEastAsia" w:eastAsiaTheme="majorEastAsia"/>
          <w:b/>
          <w:color w:val="auto"/>
          <w:sz w:val="32"/>
          <w:szCs w:val="32"/>
          <w:highlight w:val="none"/>
        </w:rPr>
      </w:pPr>
    </w:p>
    <w:p w14:paraId="5D7C09B9">
      <w:pPr>
        <w:numPr>
          <w:ilvl w:val="0"/>
          <w:numId w:val="3"/>
        </w:numPr>
        <w:shd w:val="clear"/>
        <w:spacing w:line="360" w:lineRule="auto"/>
        <w:jc w:val="center"/>
        <w:rPr>
          <w:rFonts w:cs="仿宋" w:asciiTheme="majorEastAsia" w:hAnsiTheme="majorEastAsia" w:eastAsiaTheme="majorEastAsia"/>
          <w:b/>
          <w:color w:val="auto"/>
          <w:spacing w:val="6"/>
          <w:sz w:val="32"/>
          <w:szCs w:val="32"/>
          <w:highlight w:val="none"/>
        </w:rPr>
      </w:pPr>
      <w:r>
        <w:rPr>
          <w:rFonts w:hint="eastAsia" w:cs="仿宋" w:asciiTheme="majorEastAsia" w:hAnsiTheme="majorEastAsia" w:eastAsiaTheme="majorEastAsia"/>
          <w:b/>
          <w:color w:val="auto"/>
          <w:spacing w:val="6"/>
          <w:sz w:val="32"/>
          <w:szCs w:val="32"/>
          <w:highlight w:val="none"/>
        </w:rPr>
        <w:br w:type="page"/>
      </w:r>
      <w:r>
        <w:rPr>
          <w:rFonts w:hint="eastAsia" w:cs="仿宋" w:asciiTheme="majorEastAsia" w:hAnsiTheme="majorEastAsia" w:eastAsiaTheme="majorEastAsia"/>
          <w:b/>
          <w:color w:val="auto"/>
          <w:spacing w:val="6"/>
          <w:sz w:val="32"/>
          <w:szCs w:val="32"/>
          <w:highlight w:val="none"/>
        </w:rPr>
        <w:t>政府采购统计基础信息表</w:t>
      </w:r>
    </w:p>
    <w:p w14:paraId="1D3789C3">
      <w:pPr>
        <w:pStyle w:val="25"/>
        <w:shd w:val="clear"/>
        <w:spacing w:line="360" w:lineRule="auto"/>
        <w:ind w:firstLine="0" w:firstLineChars="0"/>
        <w:rPr>
          <w:rFonts w:cs="仿宋" w:asciiTheme="majorEastAsia" w:hAnsiTheme="majorEastAsia" w:eastAsiaTheme="majorEastAsia"/>
          <w:color w:val="auto"/>
          <w:highlight w:val="none"/>
        </w:rPr>
      </w:pPr>
    </w:p>
    <w:tbl>
      <w:tblPr>
        <w:tblStyle w:val="19"/>
        <w:tblW w:w="8537" w:type="dxa"/>
        <w:jc w:val="center"/>
        <w:tblLayout w:type="fixed"/>
        <w:tblCellMar>
          <w:top w:w="0" w:type="dxa"/>
          <w:left w:w="108" w:type="dxa"/>
          <w:bottom w:w="0" w:type="dxa"/>
          <w:right w:w="108" w:type="dxa"/>
        </w:tblCellMar>
      </w:tblPr>
      <w:tblGrid>
        <w:gridCol w:w="4998"/>
        <w:gridCol w:w="3539"/>
      </w:tblGrid>
      <w:tr w14:paraId="7B05134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B10F62C">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5CEE7524">
            <w:pPr>
              <w:shd w:val="clear"/>
              <w:spacing w:line="360" w:lineRule="auto"/>
              <w:rPr>
                <w:rFonts w:cs="仿宋" w:asciiTheme="majorEastAsia" w:hAnsiTheme="majorEastAsia" w:eastAsiaTheme="majorEastAsia"/>
                <w:color w:val="auto"/>
                <w:highlight w:val="none"/>
              </w:rPr>
            </w:pPr>
          </w:p>
        </w:tc>
      </w:tr>
      <w:tr w14:paraId="716AC10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BCE099D">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投标单位名称</w:t>
            </w:r>
          </w:p>
        </w:tc>
        <w:tc>
          <w:tcPr>
            <w:tcW w:w="3539" w:type="dxa"/>
            <w:tcBorders>
              <w:top w:val="single" w:color="000000" w:sz="4" w:space="0"/>
              <w:left w:val="nil"/>
              <w:bottom w:val="single" w:color="000000" w:sz="4" w:space="0"/>
              <w:right w:val="single" w:color="000000" w:sz="4" w:space="0"/>
            </w:tcBorders>
          </w:tcPr>
          <w:p w14:paraId="1AF9D7EE">
            <w:pPr>
              <w:shd w:val="clear"/>
              <w:spacing w:line="360" w:lineRule="auto"/>
              <w:rPr>
                <w:rFonts w:cs="仿宋" w:asciiTheme="majorEastAsia" w:hAnsiTheme="majorEastAsia" w:eastAsiaTheme="majorEastAsia"/>
                <w:color w:val="auto"/>
                <w:highlight w:val="none"/>
              </w:rPr>
            </w:pPr>
          </w:p>
        </w:tc>
      </w:tr>
      <w:tr w14:paraId="48757A2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3DEFE54">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14:paraId="0F4214B5">
            <w:pPr>
              <w:shd w:val="clear"/>
              <w:spacing w:line="360" w:lineRule="auto"/>
              <w:rPr>
                <w:rFonts w:cs="仿宋" w:asciiTheme="majorEastAsia" w:hAnsiTheme="majorEastAsia" w:eastAsiaTheme="majorEastAsia"/>
                <w:color w:val="auto"/>
                <w:highlight w:val="none"/>
              </w:rPr>
            </w:pPr>
          </w:p>
        </w:tc>
      </w:tr>
      <w:tr w14:paraId="2A1694A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4B1E3B7">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14:paraId="4043A30F">
            <w:pPr>
              <w:shd w:val="clear"/>
              <w:spacing w:line="360" w:lineRule="auto"/>
              <w:rPr>
                <w:rFonts w:cs="仿宋" w:asciiTheme="majorEastAsia" w:hAnsiTheme="majorEastAsia" w:eastAsiaTheme="majorEastAsia"/>
                <w:color w:val="auto"/>
                <w:highlight w:val="none"/>
              </w:rPr>
            </w:pPr>
          </w:p>
        </w:tc>
      </w:tr>
      <w:tr w14:paraId="0C892CA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EB6CC5D">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0A56FFB5">
            <w:pPr>
              <w:shd w:val="clear"/>
              <w:spacing w:line="360" w:lineRule="auto"/>
              <w:rPr>
                <w:rFonts w:cs="仿宋" w:asciiTheme="majorEastAsia" w:hAnsiTheme="majorEastAsia" w:eastAsiaTheme="majorEastAsia"/>
                <w:color w:val="auto"/>
                <w:highlight w:val="none"/>
              </w:rPr>
            </w:pPr>
          </w:p>
        </w:tc>
      </w:tr>
      <w:tr w14:paraId="2761171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D5E34C4">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48259D0E">
            <w:pPr>
              <w:shd w:val="clear"/>
              <w:spacing w:line="360" w:lineRule="auto"/>
              <w:rPr>
                <w:rFonts w:cs="仿宋" w:asciiTheme="majorEastAsia" w:hAnsiTheme="majorEastAsia" w:eastAsiaTheme="majorEastAsia"/>
                <w:color w:val="auto"/>
                <w:highlight w:val="none"/>
              </w:rPr>
            </w:pPr>
          </w:p>
        </w:tc>
      </w:tr>
      <w:tr w14:paraId="2207DBC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26594DB">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7D18002C">
            <w:pPr>
              <w:shd w:val="clear"/>
              <w:spacing w:line="360" w:lineRule="auto"/>
              <w:rPr>
                <w:rFonts w:cs="仿宋" w:asciiTheme="majorEastAsia" w:hAnsiTheme="majorEastAsia" w:eastAsiaTheme="majorEastAsia"/>
                <w:color w:val="auto"/>
                <w:highlight w:val="none"/>
              </w:rPr>
            </w:pPr>
          </w:p>
        </w:tc>
      </w:tr>
      <w:tr w14:paraId="5F793FF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4CE6D64">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0129E63A">
            <w:pPr>
              <w:shd w:val="clear"/>
              <w:spacing w:line="360" w:lineRule="auto"/>
              <w:rPr>
                <w:rFonts w:cs="仿宋" w:asciiTheme="majorEastAsia" w:hAnsiTheme="majorEastAsia" w:eastAsiaTheme="majorEastAsia"/>
                <w:color w:val="auto"/>
                <w:highlight w:val="none"/>
              </w:rPr>
            </w:pPr>
          </w:p>
        </w:tc>
      </w:tr>
      <w:tr w14:paraId="00635A8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1EA64CE">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19C56157">
            <w:pPr>
              <w:shd w:val="clear"/>
              <w:spacing w:line="360" w:lineRule="auto"/>
              <w:rPr>
                <w:rFonts w:cs="仿宋" w:asciiTheme="majorEastAsia" w:hAnsiTheme="majorEastAsia" w:eastAsiaTheme="majorEastAsia"/>
                <w:color w:val="auto"/>
                <w:highlight w:val="none"/>
              </w:rPr>
            </w:pPr>
          </w:p>
        </w:tc>
      </w:tr>
      <w:tr w14:paraId="6884EA3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1AC41C1">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09A2D87B">
            <w:pPr>
              <w:shd w:val="clear"/>
              <w:spacing w:line="360" w:lineRule="auto"/>
              <w:rPr>
                <w:rFonts w:cs="仿宋" w:asciiTheme="majorEastAsia" w:hAnsiTheme="majorEastAsia" w:eastAsiaTheme="majorEastAsia"/>
                <w:color w:val="auto"/>
                <w:highlight w:val="none"/>
              </w:rPr>
            </w:pPr>
          </w:p>
        </w:tc>
      </w:tr>
    </w:tbl>
    <w:p w14:paraId="1C455E06">
      <w:pPr>
        <w:shd w:val="clear"/>
        <w:adjustRightInd w:val="0"/>
        <w:spacing w:line="360" w:lineRule="auto"/>
        <w:jc w:val="left"/>
        <w:rPr>
          <w:rFonts w:cs="仿宋" w:asciiTheme="majorEastAsia" w:hAnsiTheme="majorEastAsia" w:eastAsiaTheme="majorEastAsia"/>
          <w:color w:val="auto"/>
          <w:sz w:val="24"/>
          <w:highlight w:val="none"/>
        </w:rPr>
      </w:pPr>
    </w:p>
    <w:p w14:paraId="7A1D7A72">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备注：请各投标人务必填写此表作为投标文件的组成部分。</w:t>
      </w:r>
    </w:p>
    <w:p w14:paraId="53AE89B1">
      <w:pPr>
        <w:shd w:val="clear"/>
        <w:adjustRightInd w:val="0"/>
        <w:spacing w:line="360" w:lineRule="auto"/>
        <w:jc w:val="left"/>
        <w:rPr>
          <w:rFonts w:cs="仿宋" w:asciiTheme="majorEastAsia" w:hAnsiTheme="majorEastAsia" w:eastAsiaTheme="majorEastAsia"/>
          <w:color w:val="auto"/>
          <w:sz w:val="24"/>
          <w:highlight w:val="none"/>
        </w:rPr>
      </w:pPr>
    </w:p>
    <w:p w14:paraId="1F462A56">
      <w:pPr>
        <w:shd w:val="clear"/>
        <w:adjustRightInd w:val="0"/>
        <w:spacing w:line="360" w:lineRule="auto"/>
        <w:jc w:val="left"/>
        <w:rPr>
          <w:rFonts w:cs="仿宋" w:asciiTheme="majorEastAsia" w:hAnsiTheme="majorEastAsia" w:eastAsiaTheme="majorEastAsia"/>
          <w:color w:val="auto"/>
          <w:sz w:val="24"/>
          <w:highlight w:val="none"/>
        </w:rPr>
      </w:pPr>
    </w:p>
    <w:p w14:paraId="7D5ECF0E">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法定代表人或其授权委托人（签名或印章）：</w:t>
      </w:r>
    </w:p>
    <w:p w14:paraId="6A6BF6D6">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7F4094EE">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宋体..鍼笁鍼.">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68BE1">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3DBE34EB">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6DD13">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035E014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28A65">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079E197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24164">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560F96B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7561B">
    <w:pPr>
      <w:pStyle w:val="14"/>
      <w:pBdr>
        <w:bottom w:val="none" w:color="auto" w:sz="0" w:space="0"/>
      </w:pBdr>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D722D">
    <w:pPr>
      <w:pStyle w:val="14"/>
      <w:pBdr>
        <w:bottom w:val="none" w:color="auto" w:sz="0" w:space="0"/>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C8D3D">
    <w:pPr>
      <w:pStyle w:val="14"/>
      <w:pBdr>
        <w:bottom w:val="none" w:color="auto" w:sz="0" w:space="1"/>
      </w:pBdr>
      <w:jc w:val="right"/>
      <w:rPr>
        <w:rFonts w:ascii="仿宋_GB2312" w:eastAsia="仿宋_GB2312"/>
        <w:b/>
        <w:i/>
        <w:u w:val="single"/>
      </w:rPr>
    </w:pPr>
    <w:r>
      <w:rPr>
        <w:rFonts w:hint="eastAsia"/>
      </w:rPr>
      <w:t xml:space="preserve">                                 </w:t>
    </w:r>
  </w:p>
  <w:p w14:paraId="286963EC">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08A1D">
    <w:pPr>
      <w:pStyle w:val="14"/>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N2JhZGZmMWI3MWVmYTE3OGU3NDIxZjlkZTA2NzcifQ=="/>
    <w:docVar w:name="KSO_WPS_MARK_KEY" w:val="6d7d52ba-f90f-4917-bd7e-c9c86d2c8cc4"/>
  </w:docVars>
  <w:rsids>
    <w:rsidRoot w:val="00982EB4"/>
    <w:rsid w:val="000011ED"/>
    <w:rsid w:val="000046B5"/>
    <w:rsid w:val="00010A61"/>
    <w:rsid w:val="000144B5"/>
    <w:rsid w:val="0001472B"/>
    <w:rsid w:val="00014D9D"/>
    <w:rsid w:val="00014F03"/>
    <w:rsid w:val="000150EC"/>
    <w:rsid w:val="000154BE"/>
    <w:rsid w:val="00015BE4"/>
    <w:rsid w:val="00016457"/>
    <w:rsid w:val="00016734"/>
    <w:rsid w:val="000204A3"/>
    <w:rsid w:val="00020909"/>
    <w:rsid w:val="00021C41"/>
    <w:rsid w:val="00022FC4"/>
    <w:rsid w:val="00023528"/>
    <w:rsid w:val="00023916"/>
    <w:rsid w:val="00023D09"/>
    <w:rsid w:val="00025E9B"/>
    <w:rsid w:val="00027ECE"/>
    <w:rsid w:val="0003356F"/>
    <w:rsid w:val="00033F77"/>
    <w:rsid w:val="000358F6"/>
    <w:rsid w:val="000366D5"/>
    <w:rsid w:val="00037CE2"/>
    <w:rsid w:val="00041DC5"/>
    <w:rsid w:val="00042466"/>
    <w:rsid w:val="00046CAD"/>
    <w:rsid w:val="00047851"/>
    <w:rsid w:val="0004797E"/>
    <w:rsid w:val="000505A0"/>
    <w:rsid w:val="00052F8F"/>
    <w:rsid w:val="00053BDC"/>
    <w:rsid w:val="000543F0"/>
    <w:rsid w:val="00054F94"/>
    <w:rsid w:val="00055F5F"/>
    <w:rsid w:val="00060644"/>
    <w:rsid w:val="00060A91"/>
    <w:rsid w:val="000615E7"/>
    <w:rsid w:val="00062BC2"/>
    <w:rsid w:val="00064291"/>
    <w:rsid w:val="000662E9"/>
    <w:rsid w:val="000730A5"/>
    <w:rsid w:val="00073B9D"/>
    <w:rsid w:val="0007494D"/>
    <w:rsid w:val="0007527E"/>
    <w:rsid w:val="000764DA"/>
    <w:rsid w:val="0007678D"/>
    <w:rsid w:val="00076A37"/>
    <w:rsid w:val="000815E8"/>
    <w:rsid w:val="00083EF5"/>
    <w:rsid w:val="00084523"/>
    <w:rsid w:val="00086C83"/>
    <w:rsid w:val="00087589"/>
    <w:rsid w:val="00087622"/>
    <w:rsid w:val="0009005F"/>
    <w:rsid w:val="00090D70"/>
    <w:rsid w:val="00091E8D"/>
    <w:rsid w:val="00092EAF"/>
    <w:rsid w:val="00093D04"/>
    <w:rsid w:val="00094D20"/>
    <w:rsid w:val="00094D89"/>
    <w:rsid w:val="00095D46"/>
    <w:rsid w:val="00095F04"/>
    <w:rsid w:val="00097FC4"/>
    <w:rsid w:val="000A186C"/>
    <w:rsid w:val="000A2043"/>
    <w:rsid w:val="000A27C5"/>
    <w:rsid w:val="000A45BD"/>
    <w:rsid w:val="000A5057"/>
    <w:rsid w:val="000A5320"/>
    <w:rsid w:val="000A601D"/>
    <w:rsid w:val="000A7FEF"/>
    <w:rsid w:val="000B193F"/>
    <w:rsid w:val="000B2165"/>
    <w:rsid w:val="000B2934"/>
    <w:rsid w:val="000C52D5"/>
    <w:rsid w:val="000C548A"/>
    <w:rsid w:val="000C6603"/>
    <w:rsid w:val="000D19A5"/>
    <w:rsid w:val="000D6323"/>
    <w:rsid w:val="000D7CE4"/>
    <w:rsid w:val="000E067D"/>
    <w:rsid w:val="000E0F41"/>
    <w:rsid w:val="000E1A4E"/>
    <w:rsid w:val="000E30EB"/>
    <w:rsid w:val="000E448A"/>
    <w:rsid w:val="000E5235"/>
    <w:rsid w:val="000E56FF"/>
    <w:rsid w:val="000F14C4"/>
    <w:rsid w:val="000F2A44"/>
    <w:rsid w:val="000F38C1"/>
    <w:rsid w:val="000F55C9"/>
    <w:rsid w:val="00100B42"/>
    <w:rsid w:val="001019FD"/>
    <w:rsid w:val="00103C3E"/>
    <w:rsid w:val="00103F7B"/>
    <w:rsid w:val="00104D81"/>
    <w:rsid w:val="00104D98"/>
    <w:rsid w:val="001078AD"/>
    <w:rsid w:val="001078BB"/>
    <w:rsid w:val="001144A5"/>
    <w:rsid w:val="00115832"/>
    <w:rsid w:val="0011590F"/>
    <w:rsid w:val="00116B7A"/>
    <w:rsid w:val="001178F8"/>
    <w:rsid w:val="00120D94"/>
    <w:rsid w:val="00121C41"/>
    <w:rsid w:val="00121CF9"/>
    <w:rsid w:val="001231D3"/>
    <w:rsid w:val="001255D8"/>
    <w:rsid w:val="0012746D"/>
    <w:rsid w:val="00130C36"/>
    <w:rsid w:val="0013188E"/>
    <w:rsid w:val="00131BC3"/>
    <w:rsid w:val="001369B4"/>
    <w:rsid w:val="00136A9C"/>
    <w:rsid w:val="001401C9"/>
    <w:rsid w:val="00141811"/>
    <w:rsid w:val="001428D4"/>
    <w:rsid w:val="001435DE"/>
    <w:rsid w:val="00143AD2"/>
    <w:rsid w:val="00143C3D"/>
    <w:rsid w:val="001440F6"/>
    <w:rsid w:val="001464D2"/>
    <w:rsid w:val="00146AA0"/>
    <w:rsid w:val="00147E47"/>
    <w:rsid w:val="00153E97"/>
    <w:rsid w:val="001553AB"/>
    <w:rsid w:val="00155FBB"/>
    <w:rsid w:val="00160E61"/>
    <w:rsid w:val="0016183A"/>
    <w:rsid w:val="00163B23"/>
    <w:rsid w:val="001649DB"/>
    <w:rsid w:val="00167C34"/>
    <w:rsid w:val="00170BE2"/>
    <w:rsid w:val="001716B0"/>
    <w:rsid w:val="00172F02"/>
    <w:rsid w:val="001758DF"/>
    <w:rsid w:val="0018155A"/>
    <w:rsid w:val="001863A2"/>
    <w:rsid w:val="0018796E"/>
    <w:rsid w:val="00191458"/>
    <w:rsid w:val="00193804"/>
    <w:rsid w:val="00195E57"/>
    <w:rsid w:val="00197D87"/>
    <w:rsid w:val="001A0DB1"/>
    <w:rsid w:val="001A107C"/>
    <w:rsid w:val="001A1C08"/>
    <w:rsid w:val="001A2E09"/>
    <w:rsid w:val="001A44C9"/>
    <w:rsid w:val="001A4C25"/>
    <w:rsid w:val="001A4F22"/>
    <w:rsid w:val="001A540E"/>
    <w:rsid w:val="001B0FCD"/>
    <w:rsid w:val="001B1710"/>
    <w:rsid w:val="001B2FBB"/>
    <w:rsid w:val="001B5465"/>
    <w:rsid w:val="001C099B"/>
    <w:rsid w:val="001C1283"/>
    <w:rsid w:val="001C2776"/>
    <w:rsid w:val="001C6485"/>
    <w:rsid w:val="001D3F10"/>
    <w:rsid w:val="001D4D8B"/>
    <w:rsid w:val="001D5532"/>
    <w:rsid w:val="001D5A71"/>
    <w:rsid w:val="001D5B74"/>
    <w:rsid w:val="001D711D"/>
    <w:rsid w:val="001D7220"/>
    <w:rsid w:val="001D7782"/>
    <w:rsid w:val="001E0F49"/>
    <w:rsid w:val="001E10FC"/>
    <w:rsid w:val="001E1527"/>
    <w:rsid w:val="001E47B3"/>
    <w:rsid w:val="001E50C6"/>
    <w:rsid w:val="001E6407"/>
    <w:rsid w:val="001E7FAD"/>
    <w:rsid w:val="001F3EFC"/>
    <w:rsid w:val="001F402A"/>
    <w:rsid w:val="001F4193"/>
    <w:rsid w:val="00202528"/>
    <w:rsid w:val="00205130"/>
    <w:rsid w:val="0020676C"/>
    <w:rsid w:val="00210774"/>
    <w:rsid w:val="002120B2"/>
    <w:rsid w:val="00212673"/>
    <w:rsid w:val="002127C8"/>
    <w:rsid w:val="00215736"/>
    <w:rsid w:val="0021616E"/>
    <w:rsid w:val="0021637F"/>
    <w:rsid w:val="00216A68"/>
    <w:rsid w:val="00217AE1"/>
    <w:rsid w:val="00220845"/>
    <w:rsid w:val="00221431"/>
    <w:rsid w:val="00222F68"/>
    <w:rsid w:val="00223803"/>
    <w:rsid w:val="002245AE"/>
    <w:rsid w:val="002260F7"/>
    <w:rsid w:val="00226ED1"/>
    <w:rsid w:val="0023288D"/>
    <w:rsid w:val="0023451A"/>
    <w:rsid w:val="00236877"/>
    <w:rsid w:val="00236B13"/>
    <w:rsid w:val="00240211"/>
    <w:rsid w:val="0024092E"/>
    <w:rsid w:val="00240D1B"/>
    <w:rsid w:val="002431CB"/>
    <w:rsid w:val="002435CF"/>
    <w:rsid w:val="00243E11"/>
    <w:rsid w:val="002452BE"/>
    <w:rsid w:val="00245FC6"/>
    <w:rsid w:val="0024645B"/>
    <w:rsid w:val="00251F45"/>
    <w:rsid w:val="00252EDB"/>
    <w:rsid w:val="0025491A"/>
    <w:rsid w:val="00256625"/>
    <w:rsid w:val="00257FDF"/>
    <w:rsid w:val="00262BF2"/>
    <w:rsid w:val="00262F04"/>
    <w:rsid w:val="002663C6"/>
    <w:rsid w:val="0027141A"/>
    <w:rsid w:val="00272D28"/>
    <w:rsid w:val="00275F3F"/>
    <w:rsid w:val="00280BA4"/>
    <w:rsid w:val="00282754"/>
    <w:rsid w:val="00286DF5"/>
    <w:rsid w:val="0028702B"/>
    <w:rsid w:val="00287944"/>
    <w:rsid w:val="00287ACF"/>
    <w:rsid w:val="00290164"/>
    <w:rsid w:val="00290B8D"/>
    <w:rsid w:val="00291EE2"/>
    <w:rsid w:val="00292B0C"/>
    <w:rsid w:val="00295368"/>
    <w:rsid w:val="00297C92"/>
    <w:rsid w:val="002A0793"/>
    <w:rsid w:val="002A457C"/>
    <w:rsid w:val="002B287B"/>
    <w:rsid w:val="002B7339"/>
    <w:rsid w:val="002C2431"/>
    <w:rsid w:val="002C24E7"/>
    <w:rsid w:val="002C5A5E"/>
    <w:rsid w:val="002C6827"/>
    <w:rsid w:val="002C7D5B"/>
    <w:rsid w:val="002D03A0"/>
    <w:rsid w:val="002D064E"/>
    <w:rsid w:val="002D146F"/>
    <w:rsid w:val="002D2354"/>
    <w:rsid w:val="002D366B"/>
    <w:rsid w:val="002E0B2F"/>
    <w:rsid w:val="002E181C"/>
    <w:rsid w:val="002E47C6"/>
    <w:rsid w:val="002E7FF8"/>
    <w:rsid w:val="002F0CBD"/>
    <w:rsid w:val="002F313C"/>
    <w:rsid w:val="002F4F00"/>
    <w:rsid w:val="002F5C5B"/>
    <w:rsid w:val="002F5D99"/>
    <w:rsid w:val="002F7A41"/>
    <w:rsid w:val="003009F4"/>
    <w:rsid w:val="00300F06"/>
    <w:rsid w:val="00301564"/>
    <w:rsid w:val="00304AB9"/>
    <w:rsid w:val="0030528E"/>
    <w:rsid w:val="003058C4"/>
    <w:rsid w:val="00305B75"/>
    <w:rsid w:val="003133F1"/>
    <w:rsid w:val="00314521"/>
    <w:rsid w:val="003146F6"/>
    <w:rsid w:val="00314FA4"/>
    <w:rsid w:val="00316342"/>
    <w:rsid w:val="003216B0"/>
    <w:rsid w:val="00323BB1"/>
    <w:rsid w:val="00324984"/>
    <w:rsid w:val="00324DF9"/>
    <w:rsid w:val="003257F8"/>
    <w:rsid w:val="00331A77"/>
    <w:rsid w:val="0033341C"/>
    <w:rsid w:val="003339FD"/>
    <w:rsid w:val="0033776F"/>
    <w:rsid w:val="003422B6"/>
    <w:rsid w:val="003437A4"/>
    <w:rsid w:val="00343C3F"/>
    <w:rsid w:val="003440E1"/>
    <w:rsid w:val="00344FB6"/>
    <w:rsid w:val="00346755"/>
    <w:rsid w:val="0034703A"/>
    <w:rsid w:val="00350BEC"/>
    <w:rsid w:val="00351F0C"/>
    <w:rsid w:val="003549BF"/>
    <w:rsid w:val="00360D8F"/>
    <w:rsid w:val="00361CE7"/>
    <w:rsid w:val="00364B5E"/>
    <w:rsid w:val="00364CAB"/>
    <w:rsid w:val="00367520"/>
    <w:rsid w:val="00372D42"/>
    <w:rsid w:val="00376391"/>
    <w:rsid w:val="003773A8"/>
    <w:rsid w:val="0037760F"/>
    <w:rsid w:val="00381FDF"/>
    <w:rsid w:val="00383A29"/>
    <w:rsid w:val="00385CC7"/>
    <w:rsid w:val="00393738"/>
    <w:rsid w:val="00394254"/>
    <w:rsid w:val="003954E9"/>
    <w:rsid w:val="0039596A"/>
    <w:rsid w:val="00395AE8"/>
    <w:rsid w:val="003963DE"/>
    <w:rsid w:val="00396B70"/>
    <w:rsid w:val="00397055"/>
    <w:rsid w:val="00397322"/>
    <w:rsid w:val="003A0205"/>
    <w:rsid w:val="003A4A64"/>
    <w:rsid w:val="003A5059"/>
    <w:rsid w:val="003A51B4"/>
    <w:rsid w:val="003A523F"/>
    <w:rsid w:val="003B07C5"/>
    <w:rsid w:val="003B161B"/>
    <w:rsid w:val="003B27A3"/>
    <w:rsid w:val="003B455D"/>
    <w:rsid w:val="003B4C59"/>
    <w:rsid w:val="003B71D0"/>
    <w:rsid w:val="003C30E2"/>
    <w:rsid w:val="003C3185"/>
    <w:rsid w:val="003C3485"/>
    <w:rsid w:val="003C65C7"/>
    <w:rsid w:val="003C7C5E"/>
    <w:rsid w:val="003C7FC6"/>
    <w:rsid w:val="003D03D0"/>
    <w:rsid w:val="003D63E2"/>
    <w:rsid w:val="003D6D44"/>
    <w:rsid w:val="003E0550"/>
    <w:rsid w:val="003E0920"/>
    <w:rsid w:val="003E192F"/>
    <w:rsid w:val="003E4CF0"/>
    <w:rsid w:val="003E4E12"/>
    <w:rsid w:val="003E7C3A"/>
    <w:rsid w:val="003F0F37"/>
    <w:rsid w:val="003F45A2"/>
    <w:rsid w:val="003F47A1"/>
    <w:rsid w:val="003F6862"/>
    <w:rsid w:val="00400CA7"/>
    <w:rsid w:val="00400E16"/>
    <w:rsid w:val="004011A8"/>
    <w:rsid w:val="004025D4"/>
    <w:rsid w:val="00410F05"/>
    <w:rsid w:val="00410F89"/>
    <w:rsid w:val="00410FF5"/>
    <w:rsid w:val="00412A6C"/>
    <w:rsid w:val="00414840"/>
    <w:rsid w:val="00415E07"/>
    <w:rsid w:val="0042068D"/>
    <w:rsid w:val="004213CC"/>
    <w:rsid w:val="00423A7A"/>
    <w:rsid w:val="0043035E"/>
    <w:rsid w:val="00431CCC"/>
    <w:rsid w:val="0043204C"/>
    <w:rsid w:val="00434975"/>
    <w:rsid w:val="00435258"/>
    <w:rsid w:val="00435595"/>
    <w:rsid w:val="00440FC8"/>
    <w:rsid w:val="00441AC4"/>
    <w:rsid w:val="00444534"/>
    <w:rsid w:val="00444ACF"/>
    <w:rsid w:val="004454DA"/>
    <w:rsid w:val="00445B7C"/>
    <w:rsid w:val="00445FAC"/>
    <w:rsid w:val="00446974"/>
    <w:rsid w:val="00446AFD"/>
    <w:rsid w:val="0044702C"/>
    <w:rsid w:val="00450690"/>
    <w:rsid w:val="00452882"/>
    <w:rsid w:val="0045620E"/>
    <w:rsid w:val="00456929"/>
    <w:rsid w:val="00457152"/>
    <w:rsid w:val="004572C7"/>
    <w:rsid w:val="00460BD6"/>
    <w:rsid w:val="00461269"/>
    <w:rsid w:val="004625BC"/>
    <w:rsid w:val="004625F6"/>
    <w:rsid w:val="00462A44"/>
    <w:rsid w:val="00463C90"/>
    <w:rsid w:val="00465485"/>
    <w:rsid w:val="004673EF"/>
    <w:rsid w:val="00467FB8"/>
    <w:rsid w:val="00470313"/>
    <w:rsid w:val="00470DBA"/>
    <w:rsid w:val="00472AF2"/>
    <w:rsid w:val="00475DC4"/>
    <w:rsid w:val="0047696E"/>
    <w:rsid w:val="00480329"/>
    <w:rsid w:val="00482203"/>
    <w:rsid w:val="00482EBD"/>
    <w:rsid w:val="004834C1"/>
    <w:rsid w:val="00483F96"/>
    <w:rsid w:val="0049271C"/>
    <w:rsid w:val="004930B2"/>
    <w:rsid w:val="0049467F"/>
    <w:rsid w:val="004954C1"/>
    <w:rsid w:val="00496907"/>
    <w:rsid w:val="00497A1D"/>
    <w:rsid w:val="004A02D5"/>
    <w:rsid w:val="004A0BD3"/>
    <w:rsid w:val="004A2B10"/>
    <w:rsid w:val="004A3ECA"/>
    <w:rsid w:val="004A5502"/>
    <w:rsid w:val="004A6310"/>
    <w:rsid w:val="004A7B34"/>
    <w:rsid w:val="004B17EA"/>
    <w:rsid w:val="004B29B5"/>
    <w:rsid w:val="004B474D"/>
    <w:rsid w:val="004B4AEE"/>
    <w:rsid w:val="004B5A96"/>
    <w:rsid w:val="004B69B8"/>
    <w:rsid w:val="004B6F44"/>
    <w:rsid w:val="004B6F99"/>
    <w:rsid w:val="004B7097"/>
    <w:rsid w:val="004B79BD"/>
    <w:rsid w:val="004C14B3"/>
    <w:rsid w:val="004C59E7"/>
    <w:rsid w:val="004C5FBD"/>
    <w:rsid w:val="004C6A31"/>
    <w:rsid w:val="004C7903"/>
    <w:rsid w:val="004D0D8A"/>
    <w:rsid w:val="004E054E"/>
    <w:rsid w:val="004E0729"/>
    <w:rsid w:val="004E11CE"/>
    <w:rsid w:val="004E23EB"/>
    <w:rsid w:val="004E3BEF"/>
    <w:rsid w:val="004E4757"/>
    <w:rsid w:val="004E4BC8"/>
    <w:rsid w:val="004E5283"/>
    <w:rsid w:val="004E7910"/>
    <w:rsid w:val="004F087F"/>
    <w:rsid w:val="004F1E9D"/>
    <w:rsid w:val="004F34F3"/>
    <w:rsid w:val="004F6782"/>
    <w:rsid w:val="004F6E1E"/>
    <w:rsid w:val="004F7996"/>
    <w:rsid w:val="005047BD"/>
    <w:rsid w:val="0050526E"/>
    <w:rsid w:val="0050607E"/>
    <w:rsid w:val="00506277"/>
    <w:rsid w:val="00507B69"/>
    <w:rsid w:val="00513D4C"/>
    <w:rsid w:val="00514863"/>
    <w:rsid w:val="00514AD2"/>
    <w:rsid w:val="00515950"/>
    <w:rsid w:val="005220A1"/>
    <w:rsid w:val="0052733C"/>
    <w:rsid w:val="00533590"/>
    <w:rsid w:val="00533994"/>
    <w:rsid w:val="005369E7"/>
    <w:rsid w:val="00537E78"/>
    <w:rsid w:val="00541D3F"/>
    <w:rsid w:val="00542029"/>
    <w:rsid w:val="005431DD"/>
    <w:rsid w:val="005436D2"/>
    <w:rsid w:val="00543EDC"/>
    <w:rsid w:val="005443FD"/>
    <w:rsid w:val="00544682"/>
    <w:rsid w:val="005446A5"/>
    <w:rsid w:val="00544748"/>
    <w:rsid w:val="00545385"/>
    <w:rsid w:val="00545EB5"/>
    <w:rsid w:val="0054639F"/>
    <w:rsid w:val="00550EE6"/>
    <w:rsid w:val="005537BE"/>
    <w:rsid w:val="005541B3"/>
    <w:rsid w:val="00555D80"/>
    <w:rsid w:val="00556D68"/>
    <w:rsid w:val="00557E5F"/>
    <w:rsid w:val="00560D13"/>
    <w:rsid w:val="005635D3"/>
    <w:rsid w:val="00564CAE"/>
    <w:rsid w:val="00565FE9"/>
    <w:rsid w:val="005706BD"/>
    <w:rsid w:val="00570812"/>
    <w:rsid w:val="00570869"/>
    <w:rsid w:val="0057454A"/>
    <w:rsid w:val="00574688"/>
    <w:rsid w:val="00574D46"/>
    <w:rsid w:val="00575B98"/>
    <w:rsid w:val="00575EE5"/>
    <w:rsid w:val="00580464"/>
    <w:rsid w:val="00580564"/>
    <w:rsid w:val="00583E31"/>
    <w:rsid w:val="00586185"/>
    <w:rsid w:val="00586285"/>
    <w:rsid w:val="0059027A"/>
    <w:rsid w:val="0059234E"/>
    <w:rsid w:val="00592796"/>
    <w:rsid w:val="00594340"/>
    <w:rsid w:val="0059460D"/>
    <w:rsid w:val="0059679F"/>
    <w:rsid w:val="00596D1F"/>
    <w:rsid w:val="0059710A"/>
    <w:rsid w:val="005A0CED"/>
    <w:rsid w:val="005A1D68"/>
    <w:rsid w:val="005A26DF"/>
    <w:rsid w:val="005A26EB"/>
    <w:rsid w:val="005A2829"/>
    <w:rsid w:val="005A3627"/>
    <w:rsid w:val="005A3E88"/>
    <w:rsid w:val="005B0674"/>
    <w:rsid w:val="005B08DE"/>
    <w:rsid w:val="005B09B1"/>
    <w:rsid w:val="005B22AE"/>
    <w:rsid w:val="005B23B3"/>
    <w:rsid w:val="005B5C67"/>
    <w:rsid w:val="005B684D"/>
    <w:rsid w:val="005B7719"/>
    <w:rsid w:val="005B7DEA"/>
    <w:rsid w:val="005C02F0"/>
    <w:rsid w:val="005C0BCE"/>
    <w:rsid w:val="005C2E9B"/>
    <w:rsid w:val="005C3300"/>
    <w:rsid w:val="005C424D"/>
    <w:rsid w:val="005C5BA0"/>
    <w:rsid w:val="005D0794"/>
    <w:rsid w:val="005D1053"/>
    <w:rsid w:val="005D37FA"/>
    <w:rsid w:val="005D4BC8"/>
    <w:rsid w:val="005D65FC"/>
    <w:rsid w:val="005D7531"/>
    <w:rsid w:val="005E0FA8"/>
    <w:rsid w:val="005E1708"/>
    <w:rsid w:val="005E2947"/>
    <w:rsid w:val="005E3CC0"/>
    <w:rsid w:val="005E660E"/>
    <w:rsid w:val="005F177A"/>
    <w:rsid w:val="005F1CF8"/>
    <w:rsid w:val="0060018C"/>
    <w:rsid w:val="00601264"/>
    <w:rsid w:val="00601F5A"/>
    <w:rsid w:val="00602A12"/>
    <w:rsid w:val="00603FB2"/>
    <w:rsid w:val="006055B8"/>
    <w:rsid w:val="00606364"/>
    <w:rsid w:val="0061022C"/>
    <w:rsid w:val="00611470"/>
    <w:rsid w:val="0061552D"/>
    <w:rsid w:val="00616488"/>
    <w:rsid w:val="00616533"/>
    <w:rsid w:val="00617486"/>
    <w:rsid w:val="0062223F"/>
    <w:rsid w:val="00622360"/>
    <w:rsid w:val="006225F8"/>
    <w:rsid w:val="00624FCC"/>
    <w:rsid w:val="006253D8"/>
    <w:rsid w:val="006255E6"/>
    <w:rsid w:val="00630BCF"/>
    <w:rsid w:val="00630C20"/>
    <w:rsid w:val="00632A6C"/>
    <w:rsid w:val="00633F41"/>
    <w:rsid w:val="006344A5"/>
    <w:rsid w:val="00635F6C"/>
    <w:rsid w:val="006367B8"/>
    <w:rsid w:val="006418C1"/>
    <w:rsid w:val="00652AB5"/>
    <w:rsid w:val="0065305C"/>
    <w:rsid w:val="00654A7E"/>
    <w:rsid w:val="0065579D"/>
    <w:rsid w:val="00656082"/>
    <w:rsid w:val="0066203B"/>
    <w:rsid w:val="006620CA"/>
    <w:rsid w:val="00662AC8"/>
    <w:rsid w:val="006641F5"/>
    <w:rsid w:val="006660A3"/>
    <w:rsid w:val="006661D1"/>
    <w:rsid w:val="00666E4C"/>
    <w:rsid w:val="006678C4"/>
    <w:rsid w:val="00671383"/>
    <w:rsid w:val="00673A8F"/>
    <w:rsid w:val="00673D9C"/>
    <w:rsid w:val="00674B88"/>
    <w:rsid w:val="006760F1"/>
    <w:rsid w:val="00681105"/>
    <w:rsid w:val="00682C81"/>
    <w:rsid w:val="00684FDB"/>
    <w:rsid w:val="006851D7"/>
    <w:rsid w:val="0068569C"/>
    <w:rsid w:val="0068590B"/>
    <w:rsid w:val="00685B46"/>
    <w:rsid w:val="00686437"/>
    <w:rsid w:val="006912D6"/>
    <w:rsid w:val="00691994"/>
    <w:rsid w:val="00693022"/>
    <w:rsid w:val="00693366"/>
    <w:rsid w:val="00696B63"/>
    <w:rsid w:val="006A2512"/>
    <w:rsid w:val="006A35F8"/>
    <w:rsid w:val="006A4BCC"/>
    <w:rsid w:val="006B3C28"/>
    <w:rsid w:val="006B593D"/>
    <w:rsid w:val="006B6888"/>
    <w:rsid w:val="006C040E"/>
    <w:rsid w:val="006C15CA"/>
    <w:rsid w:val="006C245C"/>
    <w:rsid w:val="006C4943"/>
    <w:rsid w:val="006C4F92"/>
    <w:rsid w:val="006C59BC"/>
    <w:rsid w:val="006C7215"/>
    <w:rsid w:val="006D1912"/>
    <w:rsid w:val="006D43F3"/>
    <w:rsid w:val="006D4B6D"/>
    <w:rsid w:val="006D63C7"/>
    <w:rsid w:val="006E0F18"/>
    <w:rsid w:val="006E6940"/>
    <w:rsid w:val="006F00BA"/>
    <w:rsid w:val="006F0CE9"/>
    <w:rsid w:val="006F395B"/>
    <w:rsid w:val="006F4CA1"/>
    <w:rsid w:val="006F531A"/>
    <w:rsid w:val="006F5524"/>
    <w:rsid w:val="006F71FA"/>
    <w:rsid w:val="0070306D"/>
    <w:rsid w:val="0070418C"/>
    <w:rsid w:val="007050CF"/>
    <w:rsid w:val="00706C27"/>
    <w:rsid w:val="00706C4B"/>
    <w:rsid w:val="00711367"/>
    <w:rsid w:val="00711985"/>
    <w:rsid w:val="0071227C"/>
    <w:rsid w:val="00712BFE"/>
    <w:rsid w:val="00715BE4"/>
    <w:rsid w:val="00716A98"/>
    <w:rsid w:val="00720675"/>
    <w:rsid w:val="00723483"/>
    <w:rsid w:val="007253F9"/>
    <w:rsid w:val="00725F88"/>
    <w:rsid w:val="00726349"/>
    <w:rsid w:val="00730AAA"/>
    <w:rsid w:val="007310F6"/>
    <w:rsid w:val="00733994"/>
    <w:rsid w:val="0073414E"/>
    <w:rsid w:val="007342D3"/>
    <w:rsid w:val="00734528"/>
    <w:rsid w:val="007365B4"/>
    <w:rsid w:val="00736F35"/>
    <w:rsid w:val="00737407"/>
    <w:rsid w:val="00740762"/>
    <w:rsid w:val="007410C3"/>
    <w:rsid w:val="0074116A"/>
    <w:rsid w:val="0074259E"/>
    <w:rsid w:val="00746408"/>
    <w:rsid w:val="00746E8A"/>
    <w:rsid w:val="00747384"/>
    <w:rsid w:val="0075065E"/>
    <w:rsid w:val="00751058"/>
    <w:rsid w:val="007531E4"/>
    <w:rsid w:val="00753F9F"/>
    <w:rsid w:val="00754BBB"/>
    <w:rsid w:val="00755C74"/>
    <w:rsid w:val="007562D7"/>
    <w:rsid w:val="00756F7D"/>
    <w:rsid w:val="00762BDE"/>
    <w:rsid w:val="007649C2"/>
    <w:rsid w:val="00764A69"/>
    <w:rsid w:val="00770339"/>
    <w:rsid w:val="00771835"/>
    <w:rsid w:val="00773362"/>
    <w:rsid w:val="0077439A"/>
    <w:rsid w:val="00774D6B"/>
    <w:rsid w:val="00774F61"/>
    <w:rsid w:val="00777931"/>
    <w:rsid w:val="00780FC3"/>
    <w:rsid w:val="00780FC8"/>
    <w:rsid w:val="00781561"/>
    <w:rsid w:val="00782793"/>
    <w:rsid w:val="00783CCA"/>
    <w:rsid w:val="00784AC6"/>
    <w:rsid w:val="00784E33"/>
    <w:rsid w:val="00785270"/>
    <w:rsid w:val="00785611"/>
    <w:rsid w:val="0078598C"/>
    <w:rsid w:val="00785DD2"/>
    <w:rsid w:val="0078781F"/>
    <w:rsid w:val="0079093C"/>
    <w:rsid w:val="00790C91"/>
    <w:rsid w:val="00794FE8"/>
    <w:rsid w:val="00795A3C"/>
    <w:rsid w:val="0079615B"/>
    <w:rsid w:val="00797798"/>
    <w:rsid w:val="00797985"/>
    <w:rsid w:val="007A0810"/>
    <w:rsid w:val="007A127C"/>
    <w:rsid w:val="007A1EE7"/>
    <w:rsid w:val="007A2595"/>
    <w:rsid w:val="007A3B05"/>
    <w:rsid w:val="007A5490"/>
    <w:rsid w:val="007A670F"/>
    <w:rsid w:val="007B0322"/>
    <w:rsid w:val="007B68D4"/>
    <w:rsid w:val="007C004B"/>
    <w:rsid w:val="007C03BD"/>
    <w:rsid w:val="007C1F94"/>
    <w:rsid w:val="007C2E2D"/>
    <w:rsid w:val="007C2EBD"/>
    <w:rsid w:val="007C460B"/>
    <w:rsid w:val="007C4AE2"/>
    <w:rsid w:val="007C552A"/>
    <w:rsid w:val="007C5DE1"/>
    <w:rsid w:val="007C62FF"/>
    <w:rsid w:val="007D03E8"/>
    <w:rsid w:val="007D1086"/>
    <w:rsid w:val="007D294D"/>
    <w:rsid w:val="007D3BC9"/>
    <w:rsid w:val="007D4676"/>
    <w:rsid w:val="007D4789"/>
    <w:rsid w:val="007D52EB"/>
    <w:rsid w:val="007D7D83"/>
    <w:rsid w:val="007E33EC"/>
    <w:rsid w:val="007E4043"/>
    <w:rsid w:val="007E4855"/>
    <w:rsid w:val="007E5A2D"/>
    <w:rsid w:val="007F035F"/>
    <w:rsid w:val="007F10EA"/>
    <w:rsid w:val="007F298B"/>
    <w:rsid w:val="007F496E"/>
    <w:rsid w:val="007F6636"/>
    <w:rsid w:val="007F791E"/>
    <w:rsid w:val="007F7998"/>
    <w:rsid w:val="008002F7"/>
    <w:rsid w:val="008004B9"/>
    <w:rsid w:val="00802FB3"/>
    <w:rsid w:val="00803119"/>
    <w:rsid w:val="00803A0E"/>
    <w:rsid w:val="00805BBD"/>
    <w:rsid w:val="008113EC"/>
    <w:rsid w:val="00811547"/>
    <w:rsid w:val="00813169"/>
    <w:rsid w:val="0081439D"/>
    <w:rsid w:val="00816994"/>
    <w:rsid w:val="0082053C"/>
    <w:rsid w:val="008207E5"/>
    <w:rsid w:val="0082243C"/>
    <w:rsid w:val="00823A8D"/>
    <w:rsid w:val="008244F0"/>
    <w:rsid w:val="00824EC3"/>
    <w:rsid w:val="008279DD"/>
    <w:rsid w:val="00827ECD"/>
    <w:rsid w:val="00830884"/>
    <w:rsid w:val="008325E3"/>
    <w:rsid w:val="00834124"/>
    <w:rsid w:val="0083502E"/>
    <w:rsid w:val="008355B9"/>
    <w:rsid w:val="00835E9C"/>
    <w:rsid w:val="008365BE"/>
    <w:rsid w:val="00837008"/>
    <w:rsid w:val="00841C93"/>
    <w:rsid w:val="00843C61"/>
    <w:rsid w:val="00846F52"/>
    <w:rsid w:val="00847575"/>
    <w:rsid w:val="0085034E"/>
    <w:rsid w:val="00850A81"/>
    <w:rsid w:val="00850B5D"/>
    <w:rsid w:val="00850D15"/>
    <w:rsid w:val="008510F0"/>
    <w:rsid w:val="008572D4"/>
    <w:rsid w:val="00860DAF"/>
    <w:rsid w:val="0086247D"/>
    <w:rsid w:val="008639F5"/>
    <w:rsid w:val="0086557A"/>
    <w:rsid w:val="008671E1"/>
    <w:rsid w:val="00867DAE"/>
    <w:rsid w:val="00871E21"/>
    <w:rsid w:val="008720E1"/>
    <w:rsid w:val="008749CE"/>
    <w:rsid w:val="00874D20"/>
    <w:rsid w:val="008815BB"/>
    <w:rsid w:val="008840A9"/>
    <w:rsid w:val="008859E4"/>
    <w:rsid w:val="00885BE4"/>
    <w:rsid w:val="00886BF0"/>
    <w:rsid w:val="008878F0"/>
    <w:rsid w:val="008905AD"/>
    <w:rsid w:val="00890CA6"/>
    <w:rsid w:val="00892419"/>
    <w:rsid w:val="00892F4F"/>
    <w:rsid w:val="00893D1C"/>
    <w:rsid w:val="00894729"/>
    <w:rsid w:val="0089560C"/>
    <w:rsid w:val="008A1566"/>
    <w:rsid w:val="008A4300"/>
    <w:rsid w:val="008A5EE5"/>
    <w:rsid w:val="008A6CFD"/>
    <w:rsid w:val="008A74E4"/>
    <w:rsid w:val="008B0156"/>
    <w:rsid w:val="008B0252"/>
    <w:rsid w:val="008B2421"/>
    <w:rsid w:val="008B3A8B"/>
    <w:rsid w:val="008B483C"/>
    <w:rsid w:val="008B496C"/>
    <w:rsid w:val="008B4E59"/>
    <w:rsid w:val="008B6056"/>
    <w:rsid w:val="008B6C06"/>
    <w:rsid w:val="008C02A5"/>
    <w:rsid w:val="008C0466"/>
    <w:rsid w:val="008C24B9"/>
    <w:rsid w:val="008C3E90"/>
    <w:rsid w:val="008C40C2"/>
    <w:rsid w:val="008C7259"/>
    <w:rsid w:val="008D0B9F"/>
    <w:rsid w:val="008D1410"/>
    <w:rsid w:val="008D2C3A"/>
    <w:rsid w:val="008D4A88"/>
    <w:rsid w:val="008D76EA"/>
    <w:rsid w:val="008E07C6"/>
    <w:rsid w:val="008E2249"/>
    <w:rsid w:val="008E3062"/>
    <w:rsid w:val="008E3CAA"/>
    <w:rsid w:val="008E6241"/>
    <w:rsid w:val="008E62C8"/>
    <w:rsid w:val="008F005A"/>
    <w:rsid w:val="008F0AEA"/>
    <w:rsid w:val="008F0B84"/>
    <w:rsid w:val="008F2FC4"/>
    <w:rsid w:val="008F371C"/>
    <w:rsid w:val="008F3DB5"/>
    <w:rsid w:val="008F4D46"/>
    <w:rsid w:val="008F739E"/>
    <w:rsid w:val="008F76DF"/>
    <w:rsid w:val="00901575"/>
    <w:rsid w:val="009024C2"/>
    <w:rsid w:val="00907489"/>
    <w:rsid w:val="00913C8F"/>
    <w:rsid w:val="00914D88"/>
    <w:rsid w:val="00914FE4"/>
    <w:rsid w:val="00916743"/>
    <w:rsid w:val="00917910"/>
    <w:rsid w:val="00917A7F"/>
    <w:rsid w:val="009210D6"/>
    <w:rsid w:val="00921DD0"/>
    <w:rsid w:val="00921EF2"/>
    <w:rsid w:val="0092202C"/>
    <w:rsid w:val="009221E7"/>
    <w:rsid w:val="009237A8"/>
    <w:rsid w:val="00926B13"/>
    <w:rsid w:val="00933DCF"/>
    <w:rsid w:val="0093466D"/>
    <w:rsid w:val="00935A1D"/>
    <w:rsid w:val="00937272"/>
    <w:rsid w:val="009372A4"/>
    <w:rsid w:val="00942A71"/>
    <w:rsid w:val="00943644"/>
    <w:rsid w:val="00946125"/>
    <w:rsid w:val="00946737"/>
    <w:rsid w:val="00946850"/>
    <w:rsid w:val="00947E31"/>
    <w:rsid w:val="009522DD"/>
    <w:rsid w:val="00952749"/>
    <w:rsid w:val="00955025"/>
    <w:rsid w:val="00960128"/>
    <w:rsid w:val="009650F5"/>
    <w:rsid w:val="009677CD"/>
    <w:rsid w:val="009702C9"/>
    <w:rsid w:val="0097255E"/>
    <w:rsid w:val="00972EE7"/>
    <w:rsid w:val="00973AC5"/>
    <w:rsid w:val="009749CE"/>
    <w:rsid w:val="0097530F"/>
    <w:rsid w:val="00976455"/>
    <w:rsid w:val="00976C57"/>
    <w:rsid w:val="009811E5"/>
    <w:rsid w:val="00982EB4"/>
    <w:rsid w:val="00985B25"/>
    <w:rsid w:val="00987955"/>
    <w:rsid w:val="0099041F"/>
    <w:rsid w:val="00993F98"/>
    <w:rsid w:val="00995301"/>
    <w:rsid w:val="00997117"/>
    <w:rsid w:val="009A18E2"/>
    <w:rsid w:val="009A1948"/>
    <w:rsid w:val="009A2354"/>
    <w:rsid w:val="009A2C19"/>
    <w:rsid w:val="009A50B9"/>
    <w:rsid w:val="009B0114"/>
    <w:rsid w:val="009B0D0C"/>
    <w:rsid w:val="009B1A5F"/>
    <w:rsid w:val="009B43E8"/>
    <w:rsid w:val="009B48A9"/>
    <w:rsid w:val="009B720F"/>
    <w:rsid w:val="009B7226"/>
    <w:rsid w:val="009B73C3"/>
    <w:rsid w:val="009C2190"/>
    <w:rsid w:val="009C4647"/>
    <w:rsid w:val="009C4D30"/>
    <w:rsid w:val="009C5231"/>
    <w:rsid w:val="009C63DB"/>
    <w:rsid w:val="009D2E89"/>
    <w:rsid w:val="009D3FDF"/>
    <w:rsid w:val="009D4DDE"/>
    <w:rsid w:val="009D6515"/>
    <w:rsid w:val="009E005F"/>
    <w:rsid w:val="009E1B5A"/>
    <w:rsid w:val="009F0DBE"/>
    <w:rsid w:val="009F1905"/>
    <w:rsid w:val="009F238E"/>
    <w:rsid w:val="009F4A3D"/>
    <w:rsid w:val="009F5B94"/>
    <w:rsid w:val="009F5C0E"/>
    <w:rsid w:val="009F6271"/>
    <w:rsid w:val="009F7159"/>
    <w:rsid w:val="00A0095E"/>
    <w:rsid w:val="00A02793"/>
    <w:rsid w:val="00A03BA1"/>
    <w:rsid w:val="00A04E8F"/>
    <w:rsid w:val="00A058E4"/>
    <w:rsid w:val="00A0747C"/>
    <w:rsid w:val="00A07928"/>
    <w:rsid w:val="00A10C67"/>
    <w:rsid w:val="00A112CA"/>
    <w:rsid w:val="00A112D6"/>
    <w:rsid w:val="00A13336"/>
    <w:rsid w:val="00A133FD"/>
    <w:rsid w:val="00A13CFB"/>
    <w:rsid w:val="00A158F9"/>
    <w:rsid w:val="00A15C2A"/>
    <w:rsid w:val="00A213F0"/>
    <w:rsid w:val="00A23418"/>
    <w:rsid w:val="00A23DA0"/>
    <w:rsid w:val="00A25D9B"/>
    <w:rsid w:val="00A265EB"/>
    <w:rsid w:val="00A279F0"/>
    <w:rsid w:val="00A306BC"/>
    <w:rsid w:val="00A33543"/>
    <w:rsid w:val="00A3437A"/>
    <w:rsid w:val="00A343D5"/>
    <w:rsid w:val="00A34C57"/>
    <w:rsid w:val="00A35F42"/>
    <w:rsid w:val="00A367FF"/>
    <w:rsid w:val="00A370A7"/>
    <w:rsid w:val="00A4186A"/>
    <w:rsid w:val="00A41E00"/>
    <w:rsid w:val="00A52831"/>
    <w:rsid w:val="00A53D1C"/>
    <w:rsid w:val="00A54E54"/>
    <w:rsid w:val="00A56144"/>
    <w:rsid w:val="00A56508"/>
    <w:rsid w:val="00A62B52"/>
    <w:rsid w:val="00A64780"/>
    <w:rsid w:val="00A66355"/>
    <w:rsid w:val="00A70A55"/>
    <w:rsid w:val="00A71669"/>
    <w:rsid w:val="00A72A86"/>
    <w:rsid w:val="00A72AF1"/>
    <w:rsid w:val="00A74B9F"/>
    <w:rsid w:val="00A758A5"/>
    <w:rsid w:val="00A76C46"/>
    <w:rsid w:val="00A83143"/>
    <w:rsid w:val="00A83E65"/>
    <w:rsid w:val="00A84F6E"/>
    <w:rsid w:val="00AA0906"/>
    <w:rsid w:val="00AA0BD5"/>
    <w:rsid w:val="00AA10EB"/>
    <w:rsid w:val="00AA19E9"/>
    <w:rsid w:val="00AA1C1C"/>
    <w:rsid w:val="00AA2369"/>
    <w:rsid w:val="00AA279A"/>
    <w:rsid w:val="00AA3375"/>
    <w:rsid w:val="00AA3B57"/>
    <w:rsid w:val="00AA45D3"/>
    <w:rsid w:val="00AA4F88"/>
    <w:rsid w:val="00AA6AD3"/>
    <w:rsid w:val="00AA73BE"/>
    <w:rsid w:val="00AB06C3"/>
    <w:rsid w:val="00AB0742"/>
    <w:rsid w:val="00AB22BB"/>
    <w:rsid w:val="00AB5787"/>
    <w:rsid w:val="00AC2090"/>
    <w:rsid w:val="00AC387D"/>
    <w:rsid w:val="00AD0D51"/>
    <w:rsid w:val="00AD2436"/>
    <w:rsid w:val="00AD3B18"/>
    <w:rsid w:val="00AD54A8"/>
    <w:rsid w:val="00AD5DC8"/>
    <w:rsid w:val="00AE043C"/>
    <w:rsid w:val="00AE203B"/>
    <w:rsid w:val="00AE66B2"/>
    <w:rsid w:val="00AE6C3A"/>
    <w:rsid w:val="00AF377A"/>
    <w:rsid w:val="00AF59E6"/>
    <w:rsid w:val="00B0523E"/>
    <w:rsid w:val="00B0542A"/>
    <w:rsid w:val="00B0548E"/>
    <w:rsid w:val="00B05CA2"/>
    <w:rsid w:val="00B06A23"/>
    <w:rsid w:val="00B07C82"/>
    <w:rsid w:val="00B11B21"/>
    <w:rsid w:val="00B11E7A"/>
    <w:rsid w:val="00B204BD"/>
    <w:rsid w:val="00B2153A"/>
    <w:rsid w:val="00B2185F"/>
    <w:rsid w:val="00B26578"/>
    <w:rsid w:val="00B31C64"/>
    <w:rsid w:val="00B3263F"/>
    <w:rsid w:val="00B338A2"/>
    <w:rsid w:val="00B3449C"/>
    <w:rsid w:val="00B357F0"/>
    <w:rsid w:val="00B3783F"/>
    <w:rsid w:val="00B400E7"/>
    <w:rsid w:val="00B408F1"/>
    <w:rsid w:val="00B40BAB"/>
    <w:rsid w:val="00B424F6"/>
    <w:rsid w:val="00B50D57"/>
    <w:rsid w:val="00B520DE"/>
    <w:rsid w:val="00B52526"/>
    <w:rsid w:val="00B56A07"/>
    <w:rsid w:val="00B601E5"/>
    <w:rsid w:val="00B61BDD"/>
    <w:rsid w:val="00B638F0"/>
    <w:rsid w:val="00B65494"/>
    <w:rsid w:val="00B66961"/>
    <w:rsid w:val="00B66D3A"/>
    <w:rsid w:val="00B6708C"/>
    <w:rsid w:val="00B67C8E"/>
    <w:rsid w:val="00B67EBD"/>
    <w:rsid w:val="00B7229A"/>
    <w:rsid w:val="00B72424"/>
    <w:rsid w:val="00B73711"/>
    <w:rsid w:val="00B73B4A"/>
    <w:rsid w:val="00B73E44"/>
    <w:rsid w:val="00B753CB"/>
    <w:rsid w:val="00B76487"/>
    <w:rsid w:val="00B7663E"/>
    <w:rsid w:val="00B777A2"/>
    <w:rsid w:val="00B778AD"/>
    <w:rsid w:val="00B8009F"/>
    <w:rsid w:val="00B80194"/>
    <w:rsid w:val="00B81579"/>
    <w:rsid w:val="00B81ACD"/>
    <w:rsid w:val="00B86608"/>
    <w:rsid w:val="00B901BE"/>
    <w:rsid w:val="00B924A6"/>
    <w:rsid w:val="00B9380D"/>
    <w:rsid w:val="00B93A7D"/>
    <w:rsid w:val="00B93C08"/>
    <w:rsid w:val="00B951E7"/>
    <w:rsid w:val="00B95561"/>
    <w:rsid w:val="00B95BE5"/>
    <w:rsid w:val="00BA7716"/>
    <w:rsid w:val="00BA7F9C"/>
    <w:rsid w:val="00BB1AA3"/>
    <w:rsid w:val="00BB36C4"/>
    <w:rsid w:val="00BB61FB"/>
    <w:rsid w:val="00BB6C1C"/>
    <w:rsid w:val="00BC0D6E"/>
    <w:rsid w:val="00BC1B52"/>
    <w:rsid w:val="00BC40FA"/>
    <w:rsid w:val="00BC5060"/>
    <w:rsid w:val="00BC61BA"/>
    <w:rsid w:val="00BC6942"/>
    <w:rsid w:val="00BC7ED7"/>
    <w:rsid w:val="00BD1D55"/>
    <w:rsid w:val="00BD3929"/>
    <w:rsid w:val="00BD5039"/>
    <w:rsid w:val="00BD5E02"/>
    <w:rsid w:val="00BD65C0"/>
    <w:rsid w:val="00BD7905"/>
    <w:rsid w:val="00BD7947"/>
    <w:rsid w:val="00BE16E7"/>
    <w:rsid w:val="00BE2B85"/>
    <w:rsid w:val="00BE34AA"/>
    <w:rsid w:val="00BE54DE"/>
    <w:rsid w:val="00BF51AE"/>
    <w:rsid w:val="00BF59AF"/>
    <w:rsid w:val="00BF5AED"/>
    <w:rsid w:val="00BF605B"/>
    <w:rsid w:val="00BF61E2"/>
    <w:rsid w:val="00C01D11"/>
    <w:rsid w:val="00C04CF6"/>
    <w:rsid w:val="00C05391"/>
    <w:rsid w:val="00C07A10"/>
    <w:rsid w:val="00C07D5F"/>
    <w:rsid w:val="00C11693"/>
    <w:rsid w:val="00C13AC7"/>
    <w:rsid w:val="00C16AD0"/>
    <w:rsid w:val="00C172BD"/>
    <w:rsid w:val="00C17351"/>
    <w:rsid w:val="00C20233"/>
    <w:rsid w:val="00C2043D"/>
    <w:rsid w:val="00C2092F"/>
    <w:rsid w:val="00C232A8"/>
    <w:rsid w:val="00C3211E"/>
    <w:rsid w:val="00C3488E"/>
    <w:rsid w:val="00C3500D"/>
    <w:rsid w:val="00C35B44"/>
    <w:rsid w:val="00C37E44"/>
    <w:rsid w:val="00C40CB2"/>
    <w:rsid w:val="00C41A86"/>
    <w:rsid w:val="00C43471"/>
    <w:rsid w:val="00C43865"/>
    <w:rsid w:val="00C460EC"/>
    <w:rsid w:val="00C50435"/>
    <w:rsid w:val="00C50871"/>
    <w:rsid w:val="00C5399F"/>
    <w:rsid w:val="00C54B97"/>
    <w:rsid w:val="00C56A2B"/>
    <w:rsid w:val="00C60DD7"/>
    <w:rsid w:val="00C60F50"/>
    <w:rsid w:val="00C61B33"/>
    <w:rsid w:val="00C627D6"/>
    <w:rsid w:val="00C633F5"/>
    <w:rsid w:val="00C64CA7"/>
    <w:rsid w:val="00C658D7"/>
    <w:rsid w:val="00C659A1"/>
    <w:rsid w:val="00C66242"/>
    <w:rsid w:val="00C66AEF"/>
    <w:rsid w:val="00C66C58"/>
    <w:rsid w:val="00C67456"/>
    <w:rsid w:val="00C67650"/>
    <w:rsid w:val="00C6770F"/>
    <w:rsid w:val="00C70F66"/>
    <w:rsid w:val="00C72131"/>
    <w:rsid w:val="00C721AB"/>
    <w:rsid w:val="00C73083"/>
    <w:rsid w:val="00C750DF"/>
    <w:rsid w:val="00C76AA7"/>
    <w:rsid w:val="00C8035C"/>
    <w:rsid w:val="00C80C39"/>
    <w:rsid w:val="00C80D8E"/>
    <w:rsid w:val="00C82E86"/>
    <w:rsid w:val="00C85F78"/>
    <w:rsid w:val="00C860CA"/>
    <w:rsid w:val="00C87C3F"/>
    <w:rsid w:val="00C901CE"/>
    <w:rsid w:val="00C91FCF"/>
    <w:rsid w:val="00C93756"/>
    <w:rsid w:val="00C94815"/>
    <w:rsid w:val="00CA1326"/>
    <w:rsid w:val="00CA35DC"/>
    <w:rsid w:val="00CA4102"/>
    <w:rsid w:val="00CB0DD2"/>
    <w:rsid w:val="00CB17EC"/>
    <w:rsid w:val="00CB1A95"/>
    <w:rsid w:val="00CB2491"/>
    <w:rsid w:val="00CB4E9E"/>
    <w:rsid w:val="00CB676C"/>
    <w:rsid w:val="00CB6A4F"/>
    <w:rsid w:val="00CC5721"/>
    <w:rsid w:val="00CC673C"/>
    <w:rsid w:val="00CC7089"/>
    <w:rsid w:val="00CC79B9"/>
    <w:rsid w:val="00CD0170"/>
    <w:rsid w:val="00CD2828"/>
    <w:rsid w:val="00CD4F0C"/>
    <w:rsid w:val="00CD56FB"/>
    <w:rsid w:val="00CD58EA"/>
    <w:rsid w:val="00CD593D"/>
    <w:rsid w:val="00CD703C"/>
    <w:rsid w:val="00CE0B05"/>
    <w:rsid w:val="00CE2BD9"/>
    <w:rsid w:val="00CE4039"/>
    <w:rsid w:val="00CE45DE"/>
    <w:rsid w:val="00CE4DEA"/>
    <w:rsid w:val="00CE600B"/>
    <w:rsid w:val="00CE6B66"/>
    <w:rsid w:val="00CF14CD"/>
    <w:rsid w:val="00CF2471"/>
    <w:rsid w:val="00CF37C0"/>
    <w:rsid w:val="00CF4ADA"/>
    <w:rsid w:val="00D02C38"/>
    <w:rsid w:val="00D04E03"/>
    <w:rsid w:val="00D0598F"/>
    <w:rsid w:val="00D1079A"/>
    <w:rsid w:val="00D13BB4"/>
    <w:rsid w:val="00D14851"/>
    <w:rsid w:val="00D1508F"/>
    <w:rsid w:val="00D153F0"/>
    <w:rsid w:val="00D17D3D"/>
    <w:rsid w:val="00D227BE"/>
    <w:rsid w:val="00D22DC0"/>
    <w:rsid w:val="00D249BB"/>
    <w:rsid w:val="00D2688B"/>
    <w:rsid w:val="00D27C3C"/>
    <w:rsid w:val="00D307B7"/>
    <w:rsid w:val="00D316B7"/>
    <w:rsid w:val="00D31FA8"/>
    <w:rsid w:val="00D32545"/>
    <w:rsid w:val="00D32C13"/>
    <w:rsid w:val="00D32F26"/>
    <w:rsid w:val="00D32F29"/>
    <w:rsid w:val="00D33BC7"/>
    <w:rsid w:val="00D357C6"/>
    <w:rsid w:val="00D36A5D"/>
    <w:rsid w:val="00D40A6C"/>
    <w:rsid w:val="00D41927"/>
    <w:rsid w:val="00D4276C"/>
    <w:rsid w:val="00D4349A"/>
    <w:rsid w:val="00D437E3"/>
    <w:rsid w:val="00D4652C"/>
    <w:rsid w:val="00D46650"/>
    <w:rsid w:val="00D46749"/>
    <w:rsid w:val="00D46E86"/>
    <w:rsid w:val="00D470A1"/>
    <w:rsid w:val="00D50B0B"/>
    <w:rsid w:val="00D51520"/>
    <w:rsid w:val="00D51826"/>
    <w:rsid w:val="00D51A8E"/>
    <w:rsid w:val="00D52231"/>
    <w:rsid w:val="00D53316"/>
    <w:rsid w:val="00D5331A"/>
    <w:rsid w:val="00D5720C"/>
    <w:rsid w:val="00D57F86"/>
    <w:rsid w:val="00D61644"/>
    <w:rsid w:val="00D617E5"/>
    <w:rsid w:val="00D61DF3"/>
    <w:rsid w:val="00D62310"/>
    <w:rsid w:val="00D63890"/>
    <w:rsid w:val="00D64438"/>
    <w:rsid w:val="00D64663"/>
    <w:rsid w:val="00D64D66"/>
    <w:rsid w:val="00D7192F"/>
    <w:rsid w:val="00D72681"/>
    <w:rsid w:val="00D72972"/>
    <w:rsid w:val="00D75034"/>
    <w:rsid w:val="00D75BB4"/>
    <w:rsid w:val="00D80926"/>
    <w:rsid w:val="00D823D9"/>
    <w:rsid w:val="00D82D6C"/>
    <w:rsid w:val="00D852B1"/>
    <w:rsid w:val="00D86B58"/>
    <w:rsid w:val="00D87798"/>
    <w:rsid w:val="00D87C56"/>
    <w:rsid w:val="00D901AF"/>
    <w:rsid w:val="00D931E5"/>
    <w:rsid w:val="00D932BB"/>
    <w:rsid w:val="00DA050A"/>
    <w:rsid w:val="00DA356F"/>
    <w:rsid w:val="00DA373C"/>
    <w:rsid w:val="00DA4175"/>
    <w:rsid w:val="00DA640C"/>
    <w:rsid w:val="00DA67C4"/>
    <w:rsid w:val="00DA74B3"/>
    <w:rsid w:val="00DB091B"/>
    <w:rsid w:val="00DB2829"/>
    <w:rsid w:val="00DB3710"/>
    <w:rsid w:val="00DB4C1B"/>
    <w:rsid w:val="00DB5A28"/>
    <w:rsid w:val="00DB6BBF"/>
    <w:rsid w:val="00DB6ED1"/>
    <w:rsid w:val="00DB7BF5"/>
    <w:rsid w:val="00DC0798"/>
    <w:rsid w:val="00DC4A7E"/>
    <w:rsid w:val="00DC596C"/>
    <w:rsid w:val="00DC5B41"/>
    <w:rsid w:val="00DC73EA"/>
    <w:rsid w:val="00DD22D6"/>
    <w:rsid w:val="00DD282A"/>
    <w:rsid w:val="00DE0CDD"/>
    <w:rsid w:val="00DE2AC6"/>
    <w:rsid w:val="00DE306E"/>
    <w:rsid w:val="00DE5C35"/>
    <w:rsid w:val="00DE7356"/>
    <w:rsid w:val="00DE7795"/>
    <w:rsid w:val="00DE7D6A"/>
    <w:rsid w:val="00DF0E54"/>
    <w:rsid w:val="00DF19CE"/>
    <w:rsid w:val="00DF3CE6"/>
    <w:rsid w:val="00DF3D43"/>
    <w:rsid w:val="00DF70DC"/>
    <w:rsid w:val="00DF7BC5"/>
    <w:rsid w:val="00E001CD"/>
    <w:rsid w:val="00E026FB"/>
    <w:rsid w:val="00E02F48"/>
    <w:rsid w:val="00E06289"/>
    <w:rsid w:val="00E07CC5"/>
    <w:rsid w:val="00E105D7"/>
    <w:rsid w:val="00E111BB"/>
    <w:rsid w:val="00E128DB"/>
    <w:rsid w:val="00E1331F"/>
    <w:rsid w:val="00E13DA0"/>
    <w:rsid w:val="00E14FB6"/>
    <w:rsid w:val="00E1799B"/>
    <w:rsid w:val="00E208EB"/>
    <w:rsid w:val="00E22942"/>
    <w:rsid w:val="00E23AD0"/>
    <w:rsid w:val="00E25150"/>
    <w:rsid w:val="00E2687C"/>
    <w:rsid w:val="00E26B10"/>
    <w:rsid w:val="00E30379"/>
    <w:rsid w:val="00E30866"/>
    <w:rsid w:val="00E31EC6"/>
    <w:rsid w:val="00E330A6"/>
    <w:rsid w:val="00E34205"/>
    <w:rsid w:val="00E34210"/>
    <w:rsid w:val="00E350FD"/>
    <w:rsid w:val="00E406E0"/>
    <w:rsid w:val="00E43225"/>
    <w:rsid w:val="00E448EB"/>
    <w:rsid w:val="00E45C68"/>
    <w:rsid w:val="00E50840"/>
    <w:rsid w:val="00E614D5"/>
    <w:rsid w:val="00E62DCE"/>
    <w:rsid w:val="00E630D7"/>
    <w:rsid w:val="00E65E39"/>
    <w:rsid w:val="00E667C7"/>
    <w:rsid w:val="00E66AB1"/>
    <w:rsid w:val="00E714AD"/>
    <w:rsid w:val="00E71598"/>
    <w:rsid w:val="00E7312D"/>
    <w:rsid w:val="00E73AFB"/>
    <w:rsid w:val="00E7476D"/>
    <w:rsid w:val="00E758EF"/>
    <w:rsid w:val="00E75BEE"/>
    <w:rsid w:val="00E76258"/>
    <w:rsid w:val="00E767E6"/>
    <w:rsid w:val="00E80B1D"/>
    <w:rsid w:val="00E81192"/>
    <w:rsid w:val="00E82EE1"/>
    <w:rsid w:val="00E8462C"/>
    <w:rsid w:val="00E84CAA"/>
    <w:rsid w:val="00E91417"/>
    <w:rsid w:val="00E92FE0"/>
    <w:rsid w:val="00E94CC5"/>
    <w:rsid w:val="00E96290"/>
    <w:rsid w:val="00E9708E"/>
    <w:rsid w:val="00EA31CC"/>
    <w:rsid w:val="00EA349F"/>
    <w:rsid w:val="00EA4A8F"/>
    <w:rsid w:val="00EB2459"/>
    <w:rsid w:val="00EB25A8"/>
    <w:rsid w:val="00EB771E"/>
    <w:rsid w:val="00EC0820"/>
    <w:rsid w:val="00EC0C3D"/>
    <w:rsid w:val="00EC2A50"/>
    <w:rsid w:val="00EC3260"/>
    <w:rsid w:val="00EC3572"/>
    <w:rsid w:val="00EC468D"/>
    <w:rsid w:val="00EC5ADC"/>
    <w:rsid w:val="00ED08D3"/>
    <w:rsid w:val="00ED1DA0"/>
    <w:rsid w:val="00ED30EB"/>
    <w:rsid w:val="00ED5B26"/>
    <w:rsid w:val="00ED5F39"/>
    <w:rsid w:val="00ED669C"/>
    <w:rsid w:val="00ED6A1C"/>
    <w:rsid w:val="00ED6C40"/>
    <w:rsid w:val="00EE031A"/>
    <w:rsid w:val="00EE22E0"/>
    <w:rsid w:val="00EE2BCF"/>
    <w:rsid w:val="00EE4446"/>
    <w:rsid w:val="00EE45B4"/>
    <w:rsid w:val="00EE5B08"/>
    <w:rsid w:val="00EE63FC"/>
    <w:rsid w:val="00EE7CFA"/>
    <w:rsid w:val="00EF0203"/>
    <w:rsid w:val="00EF0ECC"/>
    <w:rsid w:val="00EF536E"/>
    <w:rsid w:val="00EF5A56"/>
    <w:rsid w:val="00EF629C"/>
    <w:rsid w:val="00EF68FF"/>
    <w:rsid w:val="00EF7195"/>
    <w:rsid w:val="00F00530"/>
    <w:rsid w:val="00F014E6"/>
    <w:rsid w:val="00F0217B"/>
    <w:rsid w:val="00F02812"/>
    <w:rsid w:val="00F045F5"/>
    <w:rsid w:val="00F07773"/>
    <w:rsid w:val="00F07801"/>
    <w:rsid w:val="00F07EF5"/>
    <w:rsid w:val="00F10969"/>
    <w:rsid w:val="00F11015"/>
    <w:rsid w:val="00F11819"/>
    <w:rsid w:val="00F12482"/>
    <w:rsid w:val="00F127BE"/>
    <w:rsid w:val="00F128C1"/>
    <w:rsid w:val="00F12D8A"/>
    <w:rsid w:val="00F134A9"/>
    <w:rsid w:val="00F156AB"/>
    <w:rsid w:val="00F15E1E"/>
    <w:rsid w:val="00F1611E"/>
    <w:rsid w:val="00F27406"/>
    <w:rsid w:val="00F3011D"/>
    <w:rsid w:val="00F31936"/>
    <w:rsid w:val="00F321D7"/>
    <w:rsid w:val="00F32CBD"/>
    <w:rsid w:val="00F3552A"/>
    <w:rsid w:val="00F35BBA"/>
    <w:rsid w:val="00F35BC4"/>
    <w:rsid w:val="00F36291"/>
    <w:rsid w:val="00F36900"/>
    <w:rsid w:val="00F37464"/>
    <w:rsid w:val="00F377EE"/>
    <w:rsid w:val="00F37D84"/>
    <w:rsid w:val="00F40287"/>
    <w:rsid w:val="00F40E27"/>
    <w:rsid w:val="00F439AF"/>
    <w:rsid w:val="00F446D5"/>
    <w:rsid w:val="00F51917"/>
    <w:rsid w:val="00F521B7"/>
    <w:rsid w:val="00F55454"/>
    <w:rsid w:val="00F573FA"/>
    <w:rsid w:val="00F60919"/>
    <w:rsid w:val="00F62276"/>
    <w:rsid w:val="00F62977"/>
    <w:rsid w:val="00F65ABB"/>
    <w:rsid w:val="00F71132"/>
    <w:rsid w:val="00F727D4"/>
    <w:rsid w:val="00F7635B"/>
    <w:rsid w:val="00F76661"/>
    <w:rsid w:val="00F814D9"/>
    <w:rsid w:val="00F81882"/>
    <w:rsid w:val="00F82205"/>
    <w:rsid w:val="00F85EC7"/>
    <w:rsid w:val="00F869DB"/>
    <w:rsid w:val="00F86B70"/>
    <w:rsid w:val="00F86C61"/>
    <w:rsid w:val="00F87613"/>
    <w:rsid w:val="00F877D0"/>
    <w:rsid w:val="00F900F1"/>
    <w:rsid w:val="00F9089D"/>
    <w:rsid w:val="00F90F5C"/>
    <w:rsid w:val="00F9135E"/>
    <w:rsid w:val="00F94E6B"/>
    <w:rsid w:val="00F96800"/>
    <w:rsid w:val="00FA0D8D"/>
    <w:rsid w:val="00FA1E31"/>
    <w:rsid w:val="00FA2BED"/>
    <w:rsid w:val="00FA7439"/>
    <w:rsid w:val="00FA7B86"/>
    <w:rsid w:val="00FB0031"/>
    <w:rsid w:val="00FB1C5E"/>
    <w:rsid w:val="00FB2965"/>
    <w:rsid w:val="00FB2B54"/>
    <w:rsid w:val="00FB491F"/>
    <w:rsid w:val="00FB64B2"/>
    <w:rsid w:val="00FB6F26"/>
    <w:rsid w:val="00FB7063"/>
    <w:rsid w:val="00FB72BE"/>
    <w:rsid w:val="00FC03D5"/>
    <w:rsid w:val="00FC2DC7"/>
    <w:rsid w:val="00FC3027"/>
    <w:rsid w:val="00FC45CC"/>
    <w:rsid w:val="00FC4965"/>
    <w:rsid w:val="00FC56AF"/>
    <w:rsid w:val="00FC6540"/>
    <w:rsid w:val="00FC750E"/>
    <w:rsid w:val="00FD11C8"/>
    <w:rsid w:val="00FD1D75"/>
    <w:rsid w:val="00FD3DFF"/>
    <w:rsid w:val="00FD3F44"/>
    <w:rsid w:val="00FD43B5"/>
    <w:rsid w:val="00FD4965"/>
    <w:rsid w:val="00FE1CA2"/>
    <w:rsid w:val="00FE3B15"/>
    <w:rsid w:val="00FE486A"/>
    <w:rsid w:val="00FE49C2"/>
    <w:rsid w:val="00FE59B8"/>
    <w:rsid w:val="00FE5DE6"/>
    <w:rsid w:val="00FE75F4"/>
    <w:rsid w:val="00FE7B94"/>
    <w:rsid w:val="00FF2980"/>
    <w:rsid w:val="00FF3F84"/>
    <w:rsid w:val="00FF410A"/>
    <w:rsid w:val="00FF4FB6"/>
    <w:rsid w:val="00FF50E7"/>
    <w:rsid w:val="00FF527D"/>
    <w:rsid w:val="00FF710F"/>
    <w:rsid w:val="00FF796A"/>
    <w:rsid w:val="00FF7CB2"/>
    <w:rsid w:val="01437C9C"/>
    <w:rsid w:val="01694227"/>
    <w:rsid w:val="025F5514"/>
    <w:rsid w:val="02D77DDC"/>
    <w:rsid w:val="03887BE8"/>
    <w:rsid w:val="03E2379C"/>
    <w:rsid w:val="04096F7B"/>
    <w:rsid w:val="041E3605"/>
    <w:rsid w:val="044B117C"/>
    <w:rsid w:val="04581CB1"/>
    <w:rsid w:val="049820AD"/>
    <w:rsid w:val="04D72D2F"/>
    <w:rsid w:val="050D2A9B"/>
    <w:rsid w:val="051A139F"/>
    <w:rsid w:val="053C6183"/>
    <w:rsid w:val="05882D55"/>
    <w:rsid w:val="05922FA0"/>
    <w:rsid w:val="05B945AD"/>
    <w:rsid w:val="05D834B2"/>
    <w:rsid w:val="064268A3"/>
    <w:rsid w:val="064C389E"/>
    <w:rsid w:val="067B5FB4"/>
    <w:rsid w:val="06AA2E86"/>
    <w:rsid w:val="072E144C"/>
    <w:rsid w:val="07373DFF"/>
    <w:rsid w:val="074C6282"/>
    <w:rsid w:val="07950C44"/>
    <w:rsid w:val="07A72626"/>
    <w:rsid w:val="083B16CD"/>
    <w:rsid w:val="08A01223"/>
    <w:rsid w:val="08D4741A"/>
    <w:rsid w:val="09391BDB"/>
    <w:rsid w:val="098E5E5E"/>
    <w:rsid w:val="09A82D92"/>
    <w:rsid w:val="09E56AA1"/>
    <w:rsid w:val="0A026946"/>
    <w:rsid w:val="0A0D57B2"/>
    <w:rsid w:val="0A122902"/>
    <w:rsid w:val="0A283ED3"/>
    <w:rsid w:val="0A330730"/>
    <w:rsid w:val="0AA10745"/>
    <w:rsid w:val="0AF85654"/>
    <w:rsid w:val="0AFA5B66"/>
    <w:rsid w:val="0B1A5ED8"/>
    <w:rsid w:val="0B444D3D"/>
    <w:rsid w:val="0B8D2240"/>
    <w:rsid w:val="0BAB5F31"/>
    <w:rsid w:val="0BAF4476"/>
    <w:rsid w:val="0C0D4E92"/>
    <w:rsid w:val="0D1D3A97"/>
    <w:rsid w:val="0D7336B7"/>
    <w:rsid w:val="0D8502ED"/>
    <w:rsid w:val="0DAD63DF"/>
    <w:rsid w:val="0DAE62A1"/>
    <w:rsid w:val="0E4D3F08"/>
    <w:rsid w:val="0ECC307F"/>
    <w:rsid w:val="0ECF2EC8"/>
    <w:rsid w:val="0F9D0EBF"/>
    <w:rsid w:val="0FA55392"/>
    <w:rsid w:val="0FBA35C3"/>
    <w:rsid w:val="0FC202BE"/>
    <w:rsid w:val="108F6A5A"/>
    <w:rsid w:val="10964FB1"/>
    <w:rsid w:val="10B62239"/>
    <w:rsid w:val="1102076E"/>
    <w:rsid w:val="114415F3"/>
    <w:rsid w:val="1157698A"/>
    <w:rsid w:val="11712A15"/>
    <w:rsid w:val="119B76A9"/>
    <w:rsid w:val="11B24292"/>
    <w:rsid w:val="11C264F4"/>
    <w:rsid w:val="11F957D3"/>
    <w:rsid w:val="12110198"/>
    <w:rsid w:val="12166FBF"/>
    <w:rsid w:val="12183B00"/>
    <w:rsid w:val="123F3A00"/>
    <w:rsid w:val="12565D9E"/>
    <w:rsid w:val="128D521B"/>
    <w:rsid w:val="12A6008B"/>
    <w:rsid w:val="12CA5B28"/>
    <w:rsid w:val="1323199E"/>
    <w:rsid w:val="133D279D"/>
    <w:rsid w:val="13547AE7"/>
    <w:rsid w:val="13A06637"/>
    <w:rsid w:val="13F82B68"/>
    <w:rsid w:val="14213E6D"/>
    <w:rsid w:val="1427103E"/>
    <w:rsid w:val="143611AC"/>
    <w:rsid w:val="143D4D2B"/>
    <w:rsid w:val="145558C5"/>
    <w:rsid w:val="148166BA"/>
    <w:rsid w:val="14ED0FA3"/>
    <w:rsid w:val="15176FE3"/>
    <w:rsid w:val="1582093B"/>
    <w:rsid w:val="16557DFE"/>
    <w:rsid w:val="167D52E5"/>
    <w:rsid w:val="16924B89"/>
    <w:rsid w:val="170D7506"/>
    <w:rsid w:val="173043C7"/>
    <w:rsid w:val="175B2533"/>
    <w:rsid w:val="178A7F7B"/>
    <w:rsid w:val="1844012A"/>
    <w:rsid w:val="1850112A"/>
    <w:rsid w:val="18CE5C46"/>
    <w:rsid w:val="18DF60A5"/>
    <w:rsid w:val="18F7519C"/>
    <w:rsid w:val="191C2E55"/>
    <w:rsid w:val="197917AB"/>
    <w:rsid w:val="19C90394"/>
    <w:rsid w:val="19CC6629"/>
    <w:rsid w:val="19D87F95"/>
    <w:rsid w:val="1A0933D9"/>
    <w:rsid w:val="1A213024"/>
    <w:rsid w:val="1A8E1193"/>
    <w:rsid w:val="1ABF7F3C"/>
    <w:rsid w:val="1B1F09DB"/>
    <w:rsid w:val="1BE7774A"/>
    <w:rsid w:val="1BF41E67"/>
    <w:rsid w:val="1C3B19B0"/>
    <w:rsid w:val="1C512E16"/>
    <w:rsid w:val="1C5D17BA"/>
    <w:rsid w:val="1C675B02"/>
    <w:rsid w:val="1D0B56BA"/>
    <w:rsid w:val="1D905BC0"/>
    <w:rsid w:val="1DAD6998"/>
    <w:rsid w:val="1DBC0763"/>
    <w:rsid w:val="1DEE3DF0"/>
    <w:rsid w:val="1E2E78B2"/>
    <w:rsid w:val="1E4E1D03"/>
    <w:rsid w:val="1E982151"/>
    <w:rsid w:val="1EBF330F"/>
    <w:rsid w:val="1F220A99"/>
    <w:rsid w:val="1F35399F"/>
    <w:rsid w:val="1F996FAD"/>
    <w:rsid w:val="1FB66D36"/>
    <w:rsid w:val="1FFB7C68"/>
    <w:rsid w:val="20311F06"/>
    <w:rsid w:val="203F0E15"/>
    <w:rsid w:val="20AE4A1B"/>
    <w:rsid w:val="20B120D5"/>
    <w:rsid w:val="20E64474"/>
    <w:rsid w:val="20EC135F"/>
    <w:rsid w:val="213351E0"/>
    <w:rsid w:val="213B45E6"/>
    <w:rsid w:val="214D3F8A"/>
    <w:rsid w:val="21627873"/>
    <w:rsid w:val="21645399"/>
    <w:rsid w:val="218907FA"/>
    <w:rsid w:val="21A41C3A"/>
    <w:rsid w:val="21E10E12"/>
    <w:rsid w:val="220324D3"/>
    <w:rsid w:val="223F7389"/>
    <w:rsid w:val="22491B20"/>
    <w:rsid w:val="229F74E7"/>
    <w:rsid w:val="22A83C43"/>
    <w:rsid w:val="22AD4B1E"/>
    <w:rsid w:val="22B1460E"/>
    <w:rsid w:val="231B23CF"/>
    <w:rsid w:val="23C915DE"/>
    <w:rsid w:val="2418246B"/>
    <w:rsid w:val="241E4CD1"/>
    <w:rsid w:val="247D5068"/>
    <w:rsid w:val="24BB1774"/>
    <w:rsid w:val="24EC7B7F"/>
    <w:rsid w:val="24F1659B"/>
    <w:rsid w:val="24F962BE"/>
    <w:rsid w:val="2530697A"/>
    <w:rsid w:val="259721E1"/>
    <w:rsid w:val="25AA57FC"/>
    <w:rsid w:val="25C52E16"/>
    <w:rsid w:val="26211AAB"/>
    <w:rsid w:val="264019D3"/>
    <w:rsid w:val="26442428"/>
    <w:rsid w:val="26543C2E"/>
    <w:rsid w:val="26976211"/>
    <w:rsid w:val="26D22DA5"/>
    <w:rsid w:val="27121167"/>
    <w:rsid w:val="2713284B"/>
    <w:rsid w:val="271B7F35"/>
    <w:rsid w:val="27306174"/>
    <w:rsid w:val="27351CB2"/>
    <w:rsid w:val="274D41F8"/>
    <w:rsid w:val="27A01DF3"/>
    <w:rsid w:val="284D6B87"/>
    <w:rsid w:val="28B81F9E"/>
    <w:rsid w:val="29074A85"/>
    <w:rsid w:val="290C6A42"/>
    <w:rsid w:val="29224760"/>
    <w:rsid w:val="29424212"/>
    <w:rsid w:val="297C2079"/>
    <w:rsid w:val="297D7915"/>
    <w:rsid w:val="29A547A1"/>
    <w:rsid w:val="29D56857"/>
    <w:rsid w:val="29E17581"/>
    <w:rsid w:val="29E614B4"/>
    <w:rsid w:val="29E66F73"/>
    <w:rsid w:val="29F97883"/>
    <w:rsid w:val="2A315DF7"/>
    <w:rsid w:val="2AAA1B21"/>
    <w:rsid w:val="2ABC6246"/>
    <w:rsid w:val="2ACE2709"/>
    <w:rsid w:val="2AD64354"/>
    <w:rsid w:val="2B863EAA"/>
    <w:rsid w:val="2BBC44AD"/>
    <w:rsid w:val="2C3E5975"/>
    <w:rsid w:val="2C4D096C"/>
    <w:rsid w:val="2C647927"/>
    <w:rsid w:val="2CBE44F7"/>
    <w:rsid w:val="2CD2255C"/>
    <w:rsid w:val="2CE1615C"/>
    <w:rsid w:val="2D17544E"/>
    <w:rsid w:val="2D1E4F96"/>
    <w:rsid w:val="2D4367AA"/>
    <w:rsid w:val="2DBB4593"/>
    <w:rsid w:val="2E5F7614"/>
    <w:rsid w:val="2E62055B"/>
    <w:rsid w:val="2EC214A0"/>
    <w:rsid w:val="2EC43EFC"/>
    <w:rsid w:val="2F0E364C"/>
    <w:rsid w:val="2FCE2CA3"/>
    <w:rsid w:val="2FE058E5"/>
    <w:rsid w:val="2FE87CD4"/>
    <w:rsid w:val="30064108"/>
    <w:rsid w:val="302C3259"/>
    <w:rsid w:val="30717AD3"/>
    <w:rsid w:val="30B96527"/>
    <w:rsid w:val="30D81900"/>
    <w:rsid w:val="30E65DCB"/>
    <w:rsid w:val="315C4AA4"/>
    <w:rsid w:val="31813D45"/>
    <w:rsid w:val="31851764"/>
    <w:rsid w:val="31C81974"/>
    <w:rsid w:val="31CA2B27"/>
    <w:rsid w:val="320E7262"/>
    <w:rsid w:val="32584DB3"/>
    <w:rsid w:val="32CC2D9E"/>
    <w:rsid w:val="32EB3B6C"/>
    <w:rsid w:val="33B201E6"/>
    <w:rsid w:val="33C02440"/>
    <w:rsid w:val="33E12879"/>
    <w:rsid w:val="340D0144"/>
    <w:rsid w:val="341C02B0"/>
    <w:rsid w:val="34353EF5"/>
    <w:rsid w:val="348334AE"/>
    <w:rsid w:val="34C27A75"/>
    <w:rsid w:val="34D80120"/>
    <w:rsid w:val="35301D0A"/>
    <w:rsid w:val="35CB558F"/>
    <w:rsid w:val="35D867C1"/>
    <w:rsid w:val="35EA69BF"/>
    <w:rsid w:val="36203B2D"/>
    <w:rsid w:val="36700DA4"/>
    <w:rsid w:val="367D5540"/>
    <w:rsid w:val="368816D2"/>
    <w:rsid w:val="36C00E6C"/>
    <w:rsid w:val="36E30FED"/>
    <w:rsid w:val="373D24BC"/>
    <w:rsid w:val="377838EB"/>
    <w:rsid w:val="37F657FF"/>
    <w:rsid w:val="37FA03AE"/>
    <w:rsid w:val="37FC7D5B"/>
    <w:rsid w:val="3807783E"/>
    <w:rsid w:val="386A72E1"/>
    <w:rsid w:val="387E6AA8"/>
    <w:rsid w:val="38EF191E"/>
    <w:rsid w:val="38FB618B"/>
    <w:rsid w:val="39376BB9"/>
    <w:rsid w:val="39663EE5"/>
    <w:rsid w:val="397064DC"/>
    <w:rsid w:val="397A3554"/>
    <w:rsid w:val="39AD1B7B"/>
    <w:rsid w:val="39C44666"/>
    <w:rsid w:val="39CD5D7A"/>
    <w:rsid w:val="39D23390"/>
    <w:rsid w:val="39DE5B1E"/>
    <w:rsid w:val="39F650A0"/>
    <w:rsid w:val="39FF1CAB"/>
    <w:rsid w:val="3A085004"/>
    <w:rsid w:val="3AB900AC"/>
    <w:rsid w:val="3AC30F2B"/>
    <w:rsid w:val="3B0E72EA"/>
    <w:rsid w:val="3BCB453B"/>
    <w:rsid w:val="3BE50622"/>
    <w:rsid w:val="3C241E9D"/>
    <w:rsid w:val="3C414989"/>
    <w:rsid w:val="3C926E07"/>
    <w:rsid w:val="3C991F43"/>
    <w:rsid w:val="3CA01523"/>
    <w:rsid w:val="3D6F433B"/>
    <w:rsid w:val="3D8351D6"/>
    <w:rsid w:val="3DBA7E08"/>
    <w:rsid w:val="3EAD43CC"/>
    <w:rsid w:val="3EC6723B"/>
    <w:rsid w:val="3EDE5D10"/>
    <w:rsid w:val="3EF5367D"/>
    <w:rsid w:val="3EF94F1B"/>
    <w:rsid w:val="3F710F55"/>
    <w:rsid w:val="3F870779"/>
    <w:rsid w:val="3FA22C79"/>
    <w:rsid w:val="3FA57E56"/>
    <w:rsid w:val="3FA806EF"/>
    <w:rsid w:val="40642868"/>
    <w:rsid w:val="40842F0A"/>
    <w:rsid w:val="40907652"/>
    <w:rsid w:val="40FF030E"/>
    <w:rsid w:val="413D1A37"/>
    <w:rsid w:val="419D24D5"/>
    <w:rsid w:val="41D81760"/>
    <w:rsid w:val="42162288"/>
    <w:rsid w:val="423D627C"/>
    <w:rsid w:val="424C6791"/>
    <w:rsid w:val="42A2120F"/>
    <w:rsid w:val="42AD6567"/>
    <w:rsid w:val="42D62BD9"/>
    <w:rsid w:val="42ED123B"/>
    <w:rsid w:val="42F848B2"/>
    <w:rsid w:val="432C1A93"/>
    <w:rsid w:val="43346E69"/>
    <w:rsid w:val="433F5EB4"/>
    <w:rsid w:val="434370AD"/>
    <w:rsid w:val="44243AA4"/>
    <w:rsid w:val="44337121"/>
    <w:rsid w:val="443D5DCC"/>
    <w:rsid w:val="44526957"/>
    <w:rsid w:val="448C0A7D"/>
    <w:rsid w:val="44F763A1"/>
    <w:rsid w:val="450F41FE"/>
    <w:rsid w:val="45936891"/>
    <w:rsid w:val="45DB5C32"/>
    <w:rsid w:val="45E07589"/>
    <w:rsid w:val="46843C64"/>
    <w:rsid w:val="46E666CD"/>
    <w:rsid w:val="47353C1C"/>
    <w:rsid w:val="47613FA5"/>
    <w:rsid w:val="478A7058"/>
    <w:rsid w:val="47AF4671"/>
    <w:rsid w:val="482C0A84"/>
    <w:rsid w:val="484863C2"/>
    <w:rsid w:val="489E48D3"/>
    <w:rsid w:val="48AB723A"/>
    <w:rsid w:val="48FA1FBB"/>
    <w:rsid w:val="494F67AB"/>
    <w:rsid w:val="49677999"/>
    <w:rsid w:val="4A791606"/>
    <w:rsid w:val="4A7A7858"/>
    <w:rsid w:val="4B0435C5"/>
    <w:rsid w:val="4B4A51F9"/>
    <w:rsid w:val="4B724EA6"/>
    <w:rsid w:val="4B990304"/>
    <w:rsid w:val="4C1E4213"/>
    <w:rsid w:val="4C52210E"/>
    <w:rsid w:val="4C602A7D"/>
    <w:rsid w:val="4CEA151E"/>
    <w:rsid w:val="4D072EF9"/>
    <w:rsid w:val="4D115B26"/>
    <w:rsid w:val="4D700A9E"/>
    <w:rsid w:val="4DA53212"/>
    <w:rsid w:val="4DE15BF9"/>
    <w:rsid w:val="4DE84AD8"/>
    <w:rsid w:val="4E096FF8"/>
    <w:rsid w:val="4E710F32"/>
    <w:rsid w:val="4EB250E6"/>
    <w:rsid w:val="4ED3235B"/>
    <w:rsid w:val="4EDB3604"/>
    <w:rsid w:val="4EE77ADA"/>
    <w:rsid w:val="4F5F0DCA"/>
    <w:rsid w:val="4FAF687C"/>
    <w:rsid w:val="50615CE1"/>
    <w:rsid w:val="509C7DFC"/>
    <w:rsid w:val="50A40F18"/>
    <w:rsid w:val="514C537E"/>
    <w:rsid w:val="521B01C1"/>
    <w:rsid w:val="52565EF7"/>
    <w:rsid w:val="52CB6777"/>
    <w:rsid w:val="52F57143"/>
    <w:rsid w:val="53260AAE"/>
    <w:rsid w:val="535449BE"/>
    <w:rsid w:val="535B3F9E"/>
    <w:rsid w:val="535D1AC5"/>
    <w:rsid w:val="53CB162D"/>
    <w:rsid w:val="54344E94"/>
    <w:rsid w:val="54A87175"/>
    <w:rsid w:val="54DC6984"/>
    <w:rsid w:val="54F1464A"/>
    <w:rsid w:val="54F40211"/>
    <w:rsid w:val="55100FA0"/>
    <w:rsid w:val="55532E16"/>
    <w:rsid w:val="55811362"/>
    <w:rsid w:val="55992B5C"/>
    <w:rsid w:val="55C84413"/>
    <w:rsid w:val="55D22F2C"/>
    <w:rsid w:val="55EB7F77"/>
    <w:rsid w:val="56772E9D"/>
    <w:rsid w:val="567809C3"/>
    <w:rsid w:val="56A4716E"/>
    <w:rsid w:val="572823EA"/>
    <w:rsid w:val="57805D82"/>
    <w:rsid w:val="578E252E"/>
    <w:rsid w:val="580F0297"/>
    <w:rsid w:val="58794897"/>
    <w:rsid w:val="58B36D82"/>
    <w:rsid w:val="58F85DEC"/>
    <w:rsid w:val="59301A29"/>
    <w:rsid w:val="596A4F3B"/>
    <w:rsid w:val="598558D1"/>
    <w:rsid w:val="59B1606A"/>
    <w:rsid w:val="59BD150F"/>
    <w:rsid w:val="59EB0C37"/>
    <w:rsid w:val="5A026F22"/>
    <w:rsid w:val="5A6F2E19"/>
    <w:rsid w:val="5AA93FD1"/>
    <w:rsid w:val="5ACC4545"/>
    <w:rsid w:val="5B2D290B"/>
    <w:rsid w:val="5B3F7D02"/>
    <w:rsid w:val="5BA87F9D"/>
    <w:rsid w:val="5BAB20D1"/>
    <w:rsid w:val="5BAD6FD7"/>
    <w:rsid w:val="5BEA58E3"/>
    <w:rsid w:val="5BF00249"/>
    <w:rsid w:val="5BF76EF1"/>
    <w:rsid w:val="5C050B30"/>
    <w:rsid w:val="5C0A1DD1"/>
    <w:rsid w:val="5C553C81"/>
    <w:rsid w:val="5C89392A"/>
    <w:rsid w:val="5D07484F"/>
    <w:rsid w:val="5D235C93"/>
    <w:rsid w:val="5D323FC2"/>
    <w:rsid w:val="5D880074"/>
    <w:rsid w:val="5D977EC8"/>
    <w:rsid w:val="5E5F57D9"/>
    <w:rsid w:val="5E684992"/>
    <w:rsid w:val="5E7F38D6"/>
    <w:rsid w:val="5E93283E"/>
    <w:rsid w:val="5EC7569F"/>
    <w:rsid w:val="5F556B23"/>
    <w:rsid w:val="5F7061EF"/>
    <w:rsid w:val="5F7206A6"/>
    <w:rsid w:val="5F73441E"/>
    <w:rsid w:val="5F8E3526"/>
    <w:rsid w:val="5FFE462F"/>
    <w:rsid w:val="602607A0"/>
    <w:rsid w:val="604A1623"/>
    <w:rsid w:val="605B6755"/>
    <w:rsid w:val="60745DB1"/>
    <w:rsid w:val="60747737"/>
    <w:rsid w:val="60E70C20"/>
    <w:rsid w:val="60F52D71"/>
    <w:rsid w:val="6118702B"/>
    <w:rsid w:val="611B75ED"/>
    <w:rsid w:val="613D2F35"/>
    <w:rsid w:val="613F280A"/>
    <w:rsid w:val="61D571F7"/>
    <w:rsid w:val="62022F85"/>
    <w:rsid w:val="621A512E"/>
    <w:rsid w:val="62326812"/>
    <w:rsid w:val="625B18C5"/>
    <w:rsid w:val="62782477"/>
    <w:rsid w:val="6288402C"/>
    <w:rsid w:val="62B27782"/>
    <w:rsid w:val="6345638C"/>
    <w:rsid w:val="63546B42"/>
    <w:rsid w:val="637B1AF3"/>
    <w:rsid w:val="63BC0104"/>
    <w:rsid w:val="63C82F8A"/>
    <w:rsid w:val="64344599"/>
    <w:rsid w:val="64874BF3"/>
    <w:rsid w:val="648C7798"/>
    <w:rsid w:val="64B83652"/>
    <w:rsid w:val="64BA118E"/>
    <w:rsid w:val="65050CB9"/>
    <w:rsid w:val="658B08FF"/>
    <w:rsid w:val="65A1330E"/>
    <w:rsid w:val="65B765B1"/>
    <w:rsid w:val="65D34D72"/>
    <w:rsid w:val="66415054"/>
    <w:rsid w:val="664B6CF2"/>
    <w:rsid w:val="666A7FC1"/>
    <w:rsid w:val="668F3FBD"/>
    <w:rsid w:val="66C20165"/>
    <w:rsid w:val="67082BCA"/>
    <w:rsid w:val="6714289E"/>
    <w:rsid w:val="673F5780"/>
    <w:rsid w:val="67B07AF8"/>
    <w:rsid w:val="68260326"/>
    <w:rsid w:val="682E63BC"/>
    <w:rsid w:val="68604D23"/>
    <w:rsid w:val="68A452E5"/>
    <w:rsid w:val="68A66F33"/>
    <w:rsid w:val="68B74555"/>
    <w:rsid w:val="68D4417F"/>
    <w:rsid w:val="68EC18C7"/>
    <w:rsid w:val="68EC771B"/>
    <w:rsid w:val="69335730"/>
    <w:rsid w:val="69690D6B"/>
    <w:rsid w:val="69751960"/>
    <w:rsid w:val="698A2A90"/>
    <w:rsid w:val="69C064B2"/>
    <w:rsid w:val="69D32689"/>
    <w:rsid w:val="6A066A76"/>
    <w:rsid w:val="6A0A337A"/>
    <w:rsid w:val="6A3D28D6"/>
    <w:rsid w:val="6AD678EF"/>
    <w:rsid w:val="6AF64881"/>
    <w:rsid w:val="6B0D363F"/>
    <w:rsid w:val="6B1116BB"/>
    <w:rsid w:val="6B170353"/>
    <w:rsid w:val="6B7E4556"/>
    <w:rsid w:val="6BB67058"/>
    <w:rsid w:val="6BCB4E14"/>
    <w:rsid w:val="6C315445"/>
    <w:rsid w:val="6C3F3EF8"/>
    <w:rsid w:val="6C722402"/>
    <w:rsid w:val="6C9003BD"/>
    <w:rsid w:val="6D5F7BD0"/>
    <w:rsid w:val="6D721389"/>
    <w:rsid w:val="6DA32021"/>
    <w:rsid w:val="6DAD4F9F"/>
    <w:rsid w:val="6DC112A8"/>
    <w:rsid w:val="6DF5610C"/>
    <w:rsid w:val="6E05302D"/>
    <w:rsid w:val="6E75084A"/>
    <w:rsid w:val="6EFC1D3A"/>
    <w:rsid w:val="6F0C0D6C"/>
    <w:rsid w:val="6F0C4BCD"/>
    <w:rsid w:val="6F6E34E9"/>
    <w:rsid w:val="6FDE58E3"/>
    <w:rsid w:val="702F27B0"/>
    <w:rsid w:val="70B07280"/>
    <w:rsid w:val="70DA669F"/>
    <w:rsid w:val="7133290F"/>
    <w:rsid w:val="71461992"/>
    <w:rsid w:val="717C53B4"/>
    <w:rsid w:val="7270702D"/>
    <w:rsid w:val="727A5D97"/>
    <w:rsid w:val="729F57FE"/>
    <w:rsid w:val="72B017B9"/>
    <w:rsid w:val="72C60F35"/>
    <w:rsid w:val="72DD1E82"/>
    <w:rsid w:val="73010267"/>
    <w:rsid w:val="73065405"/>
    <w:rsid w:val="730E4732"/>
    <w:rsid w:val="73ED1E08"/>
    <w:rsid w:val="74275AAB"/>
    <w:rsid w:val="742F2BB2"/>
    <w:rsid w:val="749D7B1B"/>
    <w:rsid w:val="74B17A6A"/>
    <w:rsid w:val="74B45753"/>
    <w:rsid w:val="74DC333B"/>
    <w:rsid w:val="752323D0"/>
    <w:rsid w:val="75812F99"/>
    <w:rsid w:val="75823BEA"/>
    <w:rsid w:val="758E734C"/>
    <w:rsid w:val="75C2614E"/>
    <w:rsid w:val="75E55C1E"/>
    <w:rsid w:val="76403B69"/>
    <w:rsid w:val="765D3A06"/>
    <w:rsid w:val="76960CC6"/>
    <w:rsid w:val="769B4BEA"/>
    <w:rsid w:val="76A900F9"/>
    <w:rsid w:val="76E71522"/>
    <w:rsid w:val="76EE62B6"/>
    <w:rsid w:val="76F50512"/>
    <w:rsid w:val="770C27E3"/>
    <w:rsid w:val="772A6B6C"/>
    <w:rsid w:val="7730111A"/>
    <w:rsid w:val="775259B2"/>
    <w:rsid w:val="775C313C"/>
    <w:rsid w:val="777234E1"/>
    <w:rsid w:val="77995C9A"/>
    <w:rsid w:val="78217095"/>
    <w:rsid w:val="782218D5"/>
    <w:rsid w:val="78793C48"/>
    <w:rsid w:val="78E977D3"/>
    <w:rsid w:val="78F91413"/>
    <w:rsid w:val="79181E66"/>
    <w:rsid w:val="79433046"/>
    <w:rsid w:val="7945044D"/>
    <w:rsid w:val="795E6702"/>
    <w:rsid w:val="796F62A7"/>
    <w:rsid w:val="79E82658"/>
    <w:rsid w:val="7A38338F"/>
    <w:rsid w:val="7A755DD7"/>
    <w:rsid w:val="7A8121B4"/>
    <w:rsid w:val="7AE822A8"/>
    <w:rsid w:val="7BAB3043"/>
    <w:rsid w:val="7BF10175"/>
    <w:rsid w:val="7C197107"/>
    <w:rsid w:val="7C38637B"/>
    <w:rsid w:val="7CA65B89"/>
    <w:rsid w:val="7CC778A3"/>
    <w:rsid w:val="7CF875F2"/>
    <w:rsid w:val="7D360B0D"/>
    <w:rsid w:val="7D8F43DC"/>
    <w:rsid w:val="7DC802F3"/>
    <w:rsid w:val="7DE71E07"/>
    <w:rsid w:val="7E332C6B"/>
    <w:rsid w:val="7E6478FC"/>
    <w:rsid w:val="7E8E6727"/>
    <w:rsid w:val="7EB459DD"/>
    <w:rsid w:val="7F2C21C7"/>
    <w:rsid w:val="7F3E1EFB"/>
    <w:rsid w:val="7F476E19"/>
    <w:rsid w:val="7FB87EFF"/>
    <w:rsid w:val="7FD9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9"/>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1"/>
    <w:link w:val="43"/>
    <w:autoRedefine/>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44"/>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60"/>
    <w:autoRedefine/>
    <w:semiHidden/>
    <w:unhideWhenUsed/>
    <w:qFormat/>
    <w:uiPriority w:val="9"/>
    <w:pPr>
      <w:keepNext/>
      <w:keepLines/>
      <w:spacing w:before="280" w:after="290" w:line="376" w:lineRule="auto"/>
      <w:outlineLvl w:val="4"/>
    </w:pPr>
    <w:rPr>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53"/>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link w:val="33"/>
    <w:autoRedefine/>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next w:val="1"/>
    <w:link w:val="30"/>
    <w:autoRedefine/>
    <w:qFormat/>
    <w:uiPriority w:val="0"/>
    <w:pPr>
      <w:spacing w:line="480" w:lineRule="exact"/>
      <w:ind w:firstLine="480" w:firstLineChars="200"/>
    </w:pPr>
    <w:rPr>
      <w:rFonts w:ascii="宋体" w:hAnsi="宋体"/>
      <w:sz w:val="24"/>
    </w:rPr>
  </w:style>
  <w:style w:type="paragraph" w:styleId="9">
    <w:name w:val="toc 3"/>
    <w:basedOn w:val="1"/>
    <w:next w:val="1"/>
    <w:autoRedefine/>
    <w:qFormat/>
    <w:uiPriority w:val="0"/>
    <w:pPr>
      <w:ind w:left="840" w:leftChars="400"/>
    </w:pPr>
    <w:rPr>
      <w:rFonts w:ascii="Times New Roman" w:hAnsi="Times New Roman"/>
    </w:rPr>
  </w:style>
  <w:style w:type="paragraph" w:styleId="10">
    <w:name w:val="Plain Text"/>
    <w:basedOn w:val="1"/>
    <w:link w:val="32"/>
    <w:autoRedefine/>
    <w:qFormat/>
    <w:uiPriority w:val="0"/>
    <w:rPr>
      <w:rFonts w:ascii="宋体" w:hAnsi="Courier New" w:cs="Arial"/>
      <w:snapToGrid w:val="0"/>
      <w:szCs w:val="21"/>
    </w:rPr>
  </w:style>
  <w:style w:type="paragraph" w:styleId="11">
    <w:name w:val="Date"/>
    <w:basedOn w:val="1"/>
    <w:next w:val="1"/>
    <w:link w:val="31"/>
    <w:autoRedefine/>
    <w:qFormat/>
    <w:uiPriority w:val="0"/>
    <w:pPr>
      <w:ind w:left="100" w:leftChars="2500"/>
    </w:pPr>
    <w:rPr>
      <w:rFonts w:ascii="宋体"/>
      <w:sz w:val="24"/>
      <w:szCs w:val="21"/>
      <w:lang w:val="zh-CN"/>
    </w:rPr>
  </w:style>
  <w:style w:type="paragraph" w:styleId="12">
    <w:name w:val="Balloon Text"/>
    <w:basedOn w:val="1"/>
    <w:link w:val="46"/>
    <w:autoRedefine/>
    <w:semiHidden/>
    <w:unhideWhenUsed/>
    <w:qFormat/>
    <w:uiPriority w:val="99"/>
    <w:rPr>
      <w:sz w:val="18"/>
      <w:szCs w:val="18"/>
    </w:rPr>
  </w:style>
  <w:style w:type="paragraph" w:styleId="13">
    <w:name w:val="footer"/>
    <w:basedOn w:val="1"/>
    <w:link w:val="28"/>
    <w:autoRedefine/>
    <w:unhideWhenUsed/>
    <w:qFormat/>
    <w:uiPriority w:val="99"/>
    <w:pPr>
      <w:tabs>
        <w:tab w:val="center" w:pos="4153"/>
        <w:tab w:val="right" w:pos="8306"/>
      </w:tabs>
      <w:snapToGrid w:val="0"/>
      <w:jc w:val="left"/>
    </w:pPr>
    <w:rPr>
      <w:sz w:val="18"/>
      <w:szCs w:val="18"/>
    </w:rPr>
  </w:style>
  <w:style w:type="paragraph" w:styleId="14">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52"/>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6">
    <w:name w:val="Body Text Indent 3"/>
    <w:basedOn w:val="1"/>
    <w:link w:val="51"/>
    <w:autoRedefine/>
    <w:qFormat/>
    <w:uiPriority w:val="0"/>
    <w:pPr>
      <w:spacing w:after="120"/>
      <w:ind w:left="420" w:leftChars="200"/>
    </w:pPr>
    <w:rPr>
      <w:rFonts w:ascii="Times New Roman" w:hAnsi="Times New Roman"/>
      <w:sz w:val="16"/>
      <w:szCs w:val="16"/>
    </w:rPr>
  </w:style>
  <w:style w:type="paragraph" w:styleId="17">
    <w:name w:val="Body Text First Indent"/>
    <w:basedOn w:val="7"/>
    <w:next w:val="1"/>
    <w:autoRedefine/>
    <w:qFormat/>
    <w:uiPriority w:val="0"/>
    <w:pPr>
      <w:ind w:firstLine="420" w:firstLineChars="100"/>
    </w:pPr>
  </w:style>
  <w:style w:type="paragraph" w:styleId="18">
    <w:name w:val="Body Text First Indent 2"/>
    <w:basedOn w:val="8"/>
    <w:link w:val="55"/>
    <w:autoRedefine/>
    <w:semiHidden/>
    <w:unhideWhenUsed/>
    <w:qFormat/>
    <w:uiPriority w:val="99"/>
    <w:pPr>
      <w:spacing w:after="120" w:line="240" w:lineRule="auto"/>
      <w:ind w:left="420" w:leftChars="200" w:firstLine="420"/>
    </w:pPr>
    <w:rPr>
      <w:rFonts w:ascii="Calibri" w:hAnsi="Calibri"/>
      <w:sz w:val="21"/>
    </w:rPr>
  </w:style>
  <w:style w:type="table" w:styleId="20">
    <w:name w:val="Table Grid"/>
    <w:basedOn w:val="19"/>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rPr>
      <w:rFonts w:ascii="Arial" w:hAnsi="Arial" w:eastAsia="黑体" w:cs="Arial"/>
      <w:snapToGrid w:val="0"/>
      <w:kern w:val="0"/>
      <w:szCs w:val="21"/>
    </w:rPr>
  </w:style>
  <w:style w:type="character" w:styleId="23">
    <w:name w:val="FollowedHyperlink"/>
    <w:basedOn w:val="21"/>
    <w:autoRedefine/>
    <w:semiHidden/>
    <w:unhideWhenUsed/>
    <w:qFormat/>
    <w:uiPriority w:val="99"/>
    <w:rPr>
      <w:color w:val="800080"/>
      <w:u w:val="none"/>
    </w:rPr>
  </w:style>
  <w:style w:type="character" w:styleId="24">
    <w:name w:val="Hyperlink"/>
    <w:autoRedefine/>
    <w:qFormat/>
    <w:uiPriority w:val="99"/>
    <w:rPr>
      <w:rFonts w:ascii="Arial" w:hAnsi="Arial" w:eastAsia="黑体" w:cs="Arial"/>
      <w:snapToGrid w:val="0"/>
      <w:color w:val="000000"/>
      <w:kern w:val="0"/>
      <w:sz w:val="18"/>
      <w:szCs w:val="18"/>
      <w:u w:val="none"/>
    </w:rPr>
  </w:style>
  <w:style w:type="paragraph" w:customStyle="1" w:styleId="25">
    <w:name w:val="_Style 3"/>
    <w:basedOn w:val="1"/>
    <w:autoRedefine/>
    <w:qFormat/>
    <w:uiPriority w:val="1"/>
    <w:pPr>
      <w:ind w:firstLine="420" w:firstLineChars="200"/>
    </w:pPr>
    <w:rPr>
      <w:rFonts w:eastAsia="仿宋_GB2312"/>
      <w:sz w:val="28"/>
    </w:rPr>
  </w:style>
  <w:style w:type="paragraph" w:styleId="26">
    <w:name w:val="List Paragraph"/>
    <w:basedOn w:val="1"/>
    <w:autoRedefine/>
    <w:qFormat/>
    <w:uiPriority w:val="34"/>
    <w:pPr>
      <w:ind w:firstLine="420" w:firstLineChars="200"/>
    </w:pPr>
    <w:rPr>
      <w:szCs w:val="22"/>
    </w:rPr>
  </w:style>
  <w:style w:type="character" w:customStyle="1" w:styleId="27">
    <w:name w:val="页眉 Char"/>
    <w:basedOn w:val="21"/>
    <w:link w:val="14"/>
    <w:autoRedefine/>
    <w:qFormat/>
    <w:uiPriority w:val="99"/>
    <w:rPr>
      <w:sz w:val="18"/>
      <w:szCs w:val="18"/>
    </w:rPr>
  </w:style>
  <w:style w:type="character" w:customStyle="1" w:styleId="28">
    <w:name w:val="页脚 Char"/>
    <w:basedOn w:val="21"/>
    <w:link w:val="13"/>
    <w:autoRedefine/>
    <w:qFormat/>
    <w:uiPriority w:val="99"/>
    <w:rPr>
      <w:sz w:val="18"/>
      <w:szCs w:val="18"/>
    </w:rPr>
  </w:style>
  <w:style w:type="character" w:customStyle="1" w:styleId="29">
    <w:name w:val="标题 2 Char"/>
    <w:basedOn w:val="21"/>
    <w:link w:val="2"/>
    <w:autoRedefine/>
    <w:qFormat/>
    <w:uiPriority w:val="0"/>
    <w:rPr>
      <w:rFonts w:ascii="仿宋_GB2312" w:hAnsi="仿宋" w:eastAsia="仿宋_GB2312" w:cs="Times New Roman"/>
      <w:b/>
      <w:bCs/>
      <w:sz w:val="32"/>
      <w:szCs w:val="32"/>
      <w:lang w:val="zh-CN"/>
    </w:rPr>
  </w:style>
  <w:style w:type="character" w:customStyle="1" w:styleId="30">
    <w:name w:val="正文文本缩进 Char"/>
    <w:basedOn w:val="21"/>
    <w:link w:val="8"/>
    <w:autoRedefine/>
    <w:qFormat/>
    <w:uiPriority w:val="0"/>
    <w:rPr>
      <w:rFonts w:ascii="宋体" w:hAnsi="宋体" w:eastAsia="宋体" w:cs="Times New Roman"/>
      <w:sz w:val="24"/>
      <w:szCs w:val="24"/>
    </w:rPr>
  </w:style>
  <w:style w:type="character" w:customStyle="1" w:styleId="31">
    <w:name w:val="日期 Char"/>
    <w:basedOn w:val="21"/>
    <w:link w:val="11"/>
    <w:autoRedefine/>
    <w:qFormat/>
    <w:uiPriority w:val="0"/>
    <w:rPr>
      <w:rFonts w:ascii="宋体" w:hAnsi="Calibri" w:eastAsia="宋体" w:cs="Times New Roman"/>
      <w:sz w:val="24"/>
      <w:szCs w:val="21"/>
      <w:lang w:val="zh-CN"/>
    </w:rPr>
  </w:style>
  <w:style w:type="character" w:customStyle="1" w:styleId="32">
    <w:name w:val="纯文本 Char"/>
    <w:basedOn w:val="21"/>
    <w:link w:val="10"/>
    <w:autoRedefine/>
    <w:qFormat/>
    <w:uiPriority w:val="0"/>
    <w:rPr>
      <w:rFonts w:ascii="宋体" w:hAnsi="Courier New" w:eastAsia="宋体" w:cs="Arial"/>
      <w:snapToGrid w:val="0"/>
      <w:szCs w:val="21"/>
    </w:rPr>
  </w:style>
  <w:style w:type="character" w:customStyle="1" w:styleId="33">
    <w:name w:val="正文文本 Char"/>
    <w:basedOn w:val="21"/>
    <w:link w:val="7"/>
    <w:autoRedefine/>
    <w:qFormat/>
    <w:uiPriority w:val="0"/>
    <w:rPr>
      <w:rFonts w:ascii="宋体" w:hAnsi="Arial" w:eastAsia="宋体" w:cs="Arial"/>
      <w:snapToGrid w:val="0"/>
      <w:sz w:val="24"/>
      <w:szCs w:val="21"/>
      <w:lang w:val="zh-CN"/>
    </w:rPr>
  </w:style>
  <w:style w:type="paragraph" w:customStyle="1" w:styleId="34">
    <w:name w:val="索引 11"/>
    <w:basedOn w:val="1"/>
    <w:next w:val="1"/>
    <w:autoRedefine/>
    <w:qFormat/>
    <w:uiPriority w:val="99"/>
    <w:pPr>
      <w:spacing w:line="360" w:lineRule="auto"/>
    </w:pPr>
    <w:rPr>
      <w:rFonts w:ascii="仿宋_GB2312" w:eastAsia="仿宋_GB2312"/>
      <w:sz w:val="24"/>
      <w:szCs w:val="20"/>
    </w:rPr>
  </w:style>
  <w:style w:type="paragraph" w:customStyle="1" w:styleId="3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38">
    <w:name w:val="纯文本1"/>
    <w:basedOn w:val="1"/>
    <w:autoRedefine/>
    <w:qFormat/>
    <w:uiPriority w:val="0"/>
    <w:rPr>
      <w:rFonts w:ascii="宋体" w:hAnsi="Courier New"/>
      <w:kern w:val="0"/>
      <w:sz w:val="20"/>
      <w:szCs w:val="20"/>
    </w:rPr>
  </w:style>
  <w:style w:type="paragraph" w:customStyle="1" w:styleId="3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0_0"/>
    <w:basedOn w:val="39"/>
    <w:autoRedefine/>
    <w:qFormat/>
    <w:uiPriority w:val="0"/>
    <w:rPr>
      <w:rFonts w:ascii="宋体" w:hAnsi="Courier New"/>
      <w:szCs w:val="21"/>
    </w:rPr>
  </w:style>
  <w:style w:type="paragraph" w:customStyle="1" w:styleId="41">
    <w:name w:val="正文2"/>
    <w:basedOn w:val="1"/>
    <w:autoRedefine/>
    <w:qFormat/>
    <w:uiPriority w:val="0"/>
    <w:pPr>
      <w:spacing w:before="156" w:line="360" w:lineRule="auto"/>
      <w:ind w:firstLine="510" w:firstLineChars="200"/>
    </w:pPr>
    <w:rPr>
      <w:sz w:val="24"/>
      <w:szCs w:val="20"/>
    </w:rPr>
  </w:style>
  <w:style w:type="paragraph" w:customStyle="1" w:styleId="42">
    <w:name w:val="正文缩进1"/>
    <w:basedOn w:val="1"/>
    <w:next w:val="8"/>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3">
    <w:name w:val="标题 3 Char"/>
    <w:basedOn w:val="21"/>
    <w:link w:val="3"/>
    <w:autoRedefine/>
    <w:semiHidden/>
    <w:qFormat/>
    <w:uiPriority w:val="9"/>
    <w:rPr>
      <w:rFonts w:ascii="Calibri" w:hAnsi="Calibri" w:eastAsia="宋体" w:cs="Times New Roman"/>
      <w:b/>
      <w:bCs/>
      <w:sz w:val="32"/>
      <w:szCs w:val="32"/>
    </w:rPr>
  </w:style>
  <w:style w:type="character" w:customStyle="1" w:styleId="44">
    <w:name w:val="标题 4 Char"/>
    <w:basedOn w:val="21"/>
    <w:link w:val="4"/>
    <w:autoRedefine/>
    <w:semiHidden/>
    <w:qFormat/>
    <w:uiPriority w:val="9"/>
    <w:rPr>
      <w:rFonts w:asciiTheme="majorHAnsi" w:hAnsiTheme="majorHAnsi" w:eastAsiaTheme="majorEastAsia" w:cstheme="majorBidi"/>
      <w:b/>
      <w:bCs/>
      <w:sz w:val="28"/>
      <w:szCs w:val="28"/>
    </w:rPr>
  </w:style>
  <w:style w:type="paragraph" w:customStyle="1" w:styleId="45">
    <w:name w:val="标题4"/>
    <w:basedOn w:val="1"/>
    <w:autoRedefine/>
    <w:qFormat/>
    <w:uiPriority w:val="0"/>
    <w:rPr>
      <w:rFonts w:ascii="Times New Roman" w:hAnsi="Times New Roman" w:eastAsia="仿宋_GB2312"/>
      <w:sz w:val="32"/>
      <w:szCs w:val="20"/>
    </w:rPr>
  </w:style>
  <w:style w:type="character" w:customStyle="1" w:styleId="46">
    <w:name w:val="批注框文本 Char"/>
    <w:basedOn w:val="21"/>
    <w:link w:val="12"/>
    <w:autoRedefine/>
    <w:semiHidden/>
    <w:qFormat/>
    <w:uiPriority w:val="99"/>
    <w:rPr>
      <w:rFonts w:ascii="Calibri" w:hAnsi="Calibri" w:eastAsia="宋体" w:cs="Times New Roman"/>
      <w:sz w:val="18"/>
      <w:szCs w:val="18"/>
    </w:rPr>
  </w:style>
  <w:style w:type="character" w:customStyle="1" w:styleId="47">
    <w:name w:val="List Paragraph Char"/>
    <w:link w:val="48"/>
    <w:autoRedefine/>
    <w:qFormat/>
    <w:locked/>
    <w:uiPriority w:val="0"/>
    <w:rPr>
      <w:rFonts w:ascii="Times New Roman" w:hAnsi="Times New Roman"/>
      <w:szCs w:val="24"/>
    </w:rPr>
  </w:style>
  <w:style w:type="paragraph" w:customStyle="1" w:styleId="48">
    <w:name w:val="列出段落1"/>
    <w:basedOn w:val="1"/>
    <w:link w:val="47"/>
    <w:autoRedefine/>
    <w:qFormat/>
    <w:uiPriority w:val="0"/>
    <w:pPr>
      <w:ind w:firstLine="420" w:firstLineChars="200"/>
    </w:pPr>
    <w:rPr>
      <w:rFonts w:ascii="Times New Roman" w:hAnsi="Times New Roman" w:eastAsiaTheme="minorEastAsia" w:cstheme="minorBidi"/>
    </w:rPr>
  </w:style>
  <w:style w:type="paragraph" w:customStyle="1" w:styleId="49">
    <w:name w:val="p18"/>
    <w:basedOn w:val="1"/>
    <w:autoRedefine/>
    <w:qFormat/>
    <w:uiPriority w:val="0"/>
    <w:pPr>
      <w:widowControl/>
    </w:pPr>
    <w:rPr>
      <w:kern w:val="0"/>
      <w:sz w:val="24"/>
    </w:rPr>
  </w:style>
  <w:style w:type="paragraph" w:customStyle="1" w:styleId="50">
    <w:name w:val="列表段落1"/>
    <w:basedOn w:val="1"/>
    <w:autoRedefine/>
    <w:qFormat/>
    <w:uiPriority w:val="34"/>
    <w:pPr>
      <w:ind w:firstLine="420" w:firstLineChars="200"/>
    </w:pPr>
    <w:rPr>
      <w:rFonts w:asciiTheme="minorHAnsi" w:hAnsiTheme="minorHAnsi" w:eastAsiaTheme="minorEastAsia" w:cstheme="minorBidi"/>
      <w:szCs w:val="22"/>
    </w:rPr>
  </w:style>
  <w:style w:type="character" w:customStyle="1" w:styleId="51">
    <w:name w:val="正文文本缩进 3 Char"/>
    <w:basedOn w:val="21"/>
    <w:link w:val="16"/>
    <w:autoRedefine/>
    <w:qFormat/>
    <w:uiPriority w:val="0"/>
    <w:rPr>
      <w:rFonts w:ascii="Times New Roman" w:hAnsi="Times New Roman" w:eastAsia="宋体" w:cs="Times New Roman"/>
      <w:kern w:val="2"/>
      <w:sz w:val="16"/>
      <w:szCs w:val="16"/>
    </w:rPr>
  </w:style>
  <w:style w:type="character" w:customStyle="1" w:styleId="52">
    <w:name w:val="副标题 Char"/>
    <w:basedOn w:val="21"/>
    <w:link w:val="15"/>
    <w:autoRedefine/>
    <w:qFormat/>
    <w:uiPriority w:val="11"/>
    <w:rPr>
      <w:rFonts w:eastAsia="宋体" w:asciiTheme="majorHAnsi" w:hAnsiTheme="majorHAnsi" w:cstheme="majorBidi"/>
      <w:b/>
      <w:bCs/>
      <w:kern w:val="28"/>
      <w:sz w:val="32"/>
      <w:szCs w:val="32"/>
    </w:rPr>
  </w:style>
  <w:style w:type="character" w:customStyle="1" w:styleId="53">
    <w:name w:val="正文缩进 Char"/>
    <w:link w:val="6"/>
    <w:autoRedefine/>
    <w:qFormat/>
    <w:uiPriority w:val="0"/>
    <w:rPr>
      <w:rFonts w:ascii="宋体" w:hAnsi="Calibri" w:eastAsia="宋体" w:cs="Times New Roman"/>
      <w:snapToGrid w:val="0"/>
      <w:color w:val="000000"/>
      <w:kern w:val="28"/>
      <w:sz w:val="28"/>
    </w:rPr>
  </w:style>
  <w:style w:type="paragraph" w:customStyle="1" w:styleId="54">
    <w:name w:val="MY正文"/>
    <w:basedOn w:val="1"/>
    <w:autoRedefine/>
    <w:qFormat/>
    <w:uiPriority w:val="0"/>
    <w:pPr>
      <w:spacing w:line="360" w:lineRule="auto"/>
      <w:ind w:firstLine="560" w:firstLineChars="200"/>
    </w:pPr>
    <w:rPr>
      <w:rFonts w:ascii="Times New Roman" w:hAnsi="Times New Roman" w:eastAsia="仿宋" w:cstheme="minorBidi"/>
      <w:szCs w:val="28"/>
    </w:rPr>
  </w:style>
  <w:style w:type="character" w:customStyle="1" w:styleId="55">
    <w:name w:val="正文首行缩进 2 Char"/>
    <w:basedOn w:val="30"/>
    <w:link w:val="18"/>
    <w:autoRedefine/>
    <w:semiHidden/>
    <w:qFormat/>
    <w:uiPriority w:val="99"/>
    <w:rPr>
      <w:rFonts w:ascii="Calibri" w:hAnsi="Calibri" w:eastAsia="宋体" w:cs="Times New Roman"/>
      <w:kern w:val="2"/>
      <w:sz w:val="21"/>
      <w:szCs w:val="24"/>
    </w:rPr>
  </w:style>
  <w:style w:type="character" w:customStyle="1" w:styleId="56">
    <w:name w:val="font11"/>
    <w:basedOn w:val="21"/>
    <w:autoRedefine/>
    <w:qFormat/>
    <w:uiPriority w:val="0"/>
    <w:rPr>
      <w:rFonts w:hint="eastAsia" w:ascii="宋体" w:hAnsi="宋体" w:eastAsia="宋体" w:cs="宋体"/>
      <w:color w:val="000000"/>
      <w:sz w:val="22"/>
      <w:szCs w:val="22"/>
      <w:u w:val="none"/>
    </w:rPr>
  </w:style>
  <w:style w:type="paragraph" w:customStyle="1" w:styleId="57">
    <w:name w:val="正文-正文"/>
    <w:basedOn w:val="1"/>
    <w:autoRedefine/>
    <w:qFormat/>
    <w:uiPriority w:val="0"/>
    <w:pPr>
      <w:spacing w:line="360" w:lineRule="auto"/>
      <w:ind w:firstLine="200" w:firstLineChars="200"/>
    </w:pPr>
    <w:rPr>
      <w:rFonts w:ascii="Times New Roman" w:hAnsi="Times New Roman" w:eastAsia="仿宋_GB2312" w:cstheme="minorBidi"/>
      <w:sz w:val="28"/>
      <w:szCs w:val="22"/>
    </w:rPr>
  </w:style>
  <w:style w:type="paragraph" w:customStyle="1" w:styleId="58">
    <w:name w:val="p17"/>
    <w:basedOn w:val="1"/>
    <w:autoRedefine/>
    <w:qFormat/>
    <w:uiPriority w:val="0"/>
    <w:pPr>
      <w:ind w:firstLine="420"/>
    </w:pPr>
    <w:rPr>
      <w:rFonts w:ascii="Times New Roman" w:hAnsi="Times New Roman" w:cs="黑体"/>
      <w:b/>
      <w:bCs/>
      <w:sz w:val="28"/>
      <w:szCs w:val="28"/>
    </w:rPr>
  </w:style>
  <w:style w:type="character" w:customStyle="1" w:styleId="59">
    <w:name w:val="textcolor1"/>
    <w:basedOn w:val="21"/>
    <w:autoRedefine/>
    <w:qFormat/>
    <w:uiPriority w:val="0"/>
    <w:rPr>
      <w:color w:val="FF6600"/>
    </w:rPr>
  </w:style>
  <w:style w:type="character" w:customStyle="1" w:styleId="60">
    <w:name w:val="标题 5 Char"/>
    <w:basedOn w:val="21"/>
    <w:link w:val="5"/>
    <w:autoRedefine/>
    <w:semiHidden/>
    <w:qFormat/>
    <w:uiPriority w:val="9"/>
    <w:rPr>
      <w:rFonts w:ascii="Calibri" w:hAnsi="Calibri"/>
      <w:b/>
      <w:bCs/>
      <w:kern w:val="2"/>
      <w:sz w:val="28"/>
      <w:szCs w:val="28"/>
    </w:rPr>
  </w:style>
  <w:style w:type="character" w:customStyle="1" w:styleId="61">
    <w:name w:val="font21"/>
    <w:basedOn w:val="21"/>
    <w:autoRedefine/>
    <w:qFormat/>
    <w:uiPriority w:val="0"/>
    <w:rPr>
      <w:rFonts w:hint="eastAsia" w:ascii="宋体" w:hAnsi="宋体" w:eastAsia="宋体" w:cs="宋体"/>
      <w:color w:val="000000"/>
      <w:sz w:val="24"/>
      <w:szCs w:val="24"/>
      <w:u w:val="none"/>
    </w:rPr>
  </w:style>
  <w:style w:type="paragraph" w:customStyle="1" w:styleId="62">
    <w:name w:val="列出段落2"/>
    <w:basedOn w:val="1"/>
    <w:autoRedefine/>
    <w:qFormat/>
    <w:uiPriority w:val="0"/>
    <w:pPr>
      <w:spacing w:line="360" w:lineRule="auto"/>
      <w:ind w:firstLine="420" w:firstLineChars="200"/>
    </w:pPr>
    <w:rPr>
      <w:szCs w:val="20"/>
    </w:rPr>
  </w:style>
  <w:style w:type="paragraph" w:customStyle="1" w:styleId="63">
    <w:name w:val="BodyText1I"/>
    <w:basedOn w:val="64"/>
    <w:autoRedefine/>
    <w:qFormat/>
    <w:uiPriority w:val="0"/>
    <w:pPr>
      <w:spacing w:after="120" w:line="240" w:lineRule="auto"/>
      <w:ind w:firstLine="420" w:firstLineChars="100"/>
    </w:pPr>
    <w:rPr>
      <w:sz w:val="21"/>
    </w:rPr>
  </w:style>
  <w:style w:type="paragraph" w:customStyle="1" w:styleId="64">
    <w:name w:val="BodyText"/>
    <w:basedOn w:val="1"/>
    <w:next w:val="1"/>
    <w:autoRedefine/>
    <w:qFormat/>
    <w:uiPriority w:val="0"/>
    <w:pPr>
      <w:spacing w:line="360" w:lineRule="auto"/>
      <w:textAlignment w:val="baseline"/>
    </w:pPr>
    <w:rPr>
      <w:sz w:val="24"/>
    </w:rPr>
  </w:style>
  <w:style w:type="character" w:customStyle="1" w:styleId="65">
    <w:name w:val="font41"/>
    <w:basedOn w:val="21"/>
    <w:autoRedefine/>
    <w:qFormat/>
    <w:uiPriority w:val="0"/>
    <w:rPr>
      <w:rFonts w:hint="eastAsia" w:ascii="宋体" w:hAnsi="宋体" w:eastAsia="宋体" w:cs="宋体"/>
      <w:color w:val="000000"/>
      <w:sz w:val="22"/>
      <w:szCs w:val="22"/>
      <w:u w:val="none"/>
      <w:vertAlign w:val="superscript"/>
    </w:rPr>
  </w:style>
  <w:style w:type="paragraph" w:customStyle="1" w:styleId="66">
    <w:name w:val="Default"/>
    <w:autoRedefine/>
    <w:qFormat/>
    <w:uiPriority w:val="0"/>
    <w:pPr>
      <w:widowControl w:val="0"/>
      <w:autoSpaceDE w:val="0"/>
      <w:autoSpaceDN w:val="0"/>
      <w:adjustRightInd w:val="0"/>
    </w:pPr>
    <w:rPr>
      <w:rFonts w:ascii="宋体..鍼笁鍼." w:hAnsi="Calibri" w:eastAsia="宋体..鍼笁鍼." w:cs="宋体..鍼笁鍼."/>
      <w:color w:val="000000"/>
      <w:sz w:val="24"/>
      <w:szCs w:val="24"/>
      <w:lang w:val="en-US" w:eastAsia="zh-CN" w:bidi="ar-SA"/>
    </w:rPr>
  </w:style>
  <w:style w:type="paragraph" w:customStyle="1" w:styleId="67">
    <w:name w:val="正文段"/>
    <w:basedOn w:val="1"/>
    <w:autoRedefine/>
    <w:qFormat/>
    <w:uiPriority w:val="0"/>
    <w:pPr>
      <w:widowControl/>
      <w:snapToGrid w:val="0"/>
      <w:spacing w:afterLines="50"/>
      <w:ind w:firstLine="400"/>
    </w:pPr>
    <w:rPr>
      <w:rFonts w:ascii="Times New Roman" w:hAnsi="Times New Roman"/>
      <w:kern w:val="0"/>
      <w:sz w:val="24"/>
      <w:szCs w:val="20"/>
    </w:rPr>
  </w:style>
  <w:style w:type="paragraph" w:customStyle="1" w:styleId="68">
    <w:name w:val="Table Text"/>
    <w:basedOn w:val="1"/>
    <w:autoRedefine/>
    <w:semiHidden/>
    <w:qFormat/>
    <w:uiPriority w:val="0"/>
    <w:rPr>
      <w:rFonts w:ascii="宋体" w:hAnsi="宋体" w:cs="宋体"/>
      <w:sz w:val="14"/>
      <w:szCs w:val="14"/>
      <w:lang w:eastAsia="en-US"/>
    </w:rPr>
  </w:style>
  <w:style w:type="table" w:customStyle="1" w:styleId="69">
    <w:name w:val="Table Normal"/>
    <w:autoRedefine/>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paragraph" w:customStyle="1" w:styleId="70">
    <w:name w:val="表格文字"/>
    <w:basedOn w:val="1"/>
    <w:next w:val="7"/>
    <w:autoRedefine/>
    <w:qFormat/>
    <w:uiPriority w:val="0"/>
    <w:pPr>
      <w:adjustRightInd w:val="0"/>
      <w:spacing w:line="420" w:lineRule="atLeast"/>
      <w:jc w:val="left"/>
      <w:textAlignment w:val="baseline"/>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65</Pages>
  <Words>12308</Words>
  <Characters>13460</Characters>
  <Lines>53</Lines>
  <Paragraphs>73</Paragraphs>
  <TotalTime>45</TotalTime>
  <ScaleCrop>false</ScaleCrop>
  <LinksUpToDate>false</LinksUpToDate>
  <CharactersWithSpaces>13704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2022-10-12T02:01:00Z</dcterms:created>
  <dc:creator>Microsoft</dc:creator>
  <cp:lastModifiedBy>飞翔</cp:lastModifiedBy>
  <cp:lastPrinted>2024-01-19T00:18:00Z</cp:lastPrinted>
  <dcterms:modified xsi:type="dcterms:W3CDTF">2025-01-08T00:33:47Z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57E14E8F53D3412FBFF8E86979823DD3_13</vt:lpwstr>
  </property>
  <property fmtid="{D5CDD505-2E9C-101B-9397-08002B2CF9AE}" pid="4" name="KSOTemplateDocerSaveRecord">
    <vt:lpwstr>eyJoZGlkIjoiZjg2ZjcxNmM2MGY1ZjUwMzExZTc2YTkxYzM2ZTM5NTQiLCJ1c2VySWQiOiIzNzk4MDI4NTgifQ==</vt:lpwstr>
  </property>
</Properties>
</file>