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C11F3">
      <w:pPr>
        <w:autoSpaceDE/>
        <w:autoSpaceDN/>
        <w:spacing w:line="360" w:lineRule="auto"/>
        <w:jc w:val="center"/>
        <w:rPr>
          <w:rFonts w:hint="eastAsia" w:ascii="宋体" w:hAnsi="宋体" w:cs="宋体"/>
          <w:b/>
          <w:bCs/>
          <w:color w:val="auto"/>
          <w:sz w:val="52"/>
          <w:szCs w:val="52"/>
          <w:highlight w:val="none"/>
          <w:lang w:val="en-US" w:eastAsia="zh-CN"/>
        </w:rPr>
      </w:pPr>
      <w:bookmarkStart w:id="0" w:name="_Toc125344502"/>
      <w:r>
        <w:rPr>
          <w:rFonts w:hint="eastAsia" w:ascii="宋体" w:hAnsi="宋体" w:cs="宋体"/>
          <w:b/>
          <w:bCs/>
          <w:color w:val="auto"/>
          <w:sz w:val="52"/>
          <w:szCs w:val="52"/>
          <w:highlight w:val="none"/>
          <w:lang w:val="en-US" w:eastAsia="zh-CN"/>
        </w:rPr>
        <w:t>诸暨市城市生活污水治理扩面提效项目--暨南街道雨污水管网建设工程道路交通安全评估服务采购项目</w:t>
      </w:r>
    </w:p>
    <w:p w14:paraId="17B0CE46">
      <w:pPr>
        <w:autoSpaceDE/>
        <w:autoSpaceDN/>
        <w:spacing w:line="360" w:lineRule="auto"/>
        <w:jc w:val="center"/>
        <w:rPr>
          <w:rFonts w:hint="eastAsia" w:ascii="仿宋" w:hAnsi="仿宋" w:eastAsia="仿宋" w:cs="黑体"/>
          <w:b/>
          <w:bCs/>
          <w:color w:val="auto"/>
          <w:sz w:val="32"/>
          <w:szCs w:val="32"/>
          <w:highlight w:val="none"/>
        </w:rPr>
      </w:pPr>
      <w:r>
        <w:rPr>
          <w:rFonts w:hint="eastAsia" w:ascii="仿宋" w:hAnsi="仿宋" w:eastAsia="仿宋" w:cs="黑体"/>
          <w:b/>
          <w:bCs/>
          <w:color w:val="auto"/>
          <w:sz w:val="32"/>
          <w:szCs w:val="32"/>
          <w:highlight w:val="none"/>
        </w:rPr>
        <w:t>（编号：</w:t>
      </w:r>
      <w:r>
        <w:rPr>
          <w:rFonts w:hint="eastAsia" w:ascii="仿宋" w:hAnsi="仿宋" w:eastAsia="仿宋" w:cs="黑体"/>
          <w:b/>
          <w:bCs/>
          <w:color w:val="auto"/>
          <w:sz w:val="32"/>
          <w:szCs w:val="32"/>
          <w:highlight w:val="none"/>
          <w:lang w:eastAsia="zh-CN"/>
        </w:rPr>
        <w:t>诸宸佳2025-01-09</w:t>
      </w:r>
      <w:r>
        <w:rPr>
          <w:rFonts w:hint="eastAsia" w:ascii="仿宋" w:hAnsi="仿宋" w:eastAsia="仿宋" w:cs="黑体"/>
          <w:b/>
          <w:bCs/>
          <w:color w:val="auto"/>
          <w:sz w:val="32"/>
          <w:szCs w:val="32"/>
          <w:highlight w:val="none"/>
        </w:rPr>
        <w:t>）</w:t>
      </w:r>
    </w:p>
    <w:p w14:paraId="677E92EE">
      <w:pPr>
        <w:pStyle w:val="63"/>
      </w:pPr>
    </w:p>
    <w:p w14:paraId="0F945C44">
      <w:pPr>
        <w:keepNext w:val="0"/>
        <w:keepLines w:val="0"/>
        <w:pageBreakBefore w:val="0"/>
        <w:widowControl w:val="0"/>
        <w:kinsoku/>
        <w:wordWrap/>
        <w:overflowPunct/>
        <w:topLinePunct w:val="0"/>
        <w:autoSpaceDE w:val="0"/>
        <w:autoSpaceDN w:val="0"/>
        <w:bidi w:val="0"/>
        <w:adjustRightInd w:val="0"/>
        <w:snapToGrid/>
        <w:spacing w:before="1586" w:beforeLines="500" w:line="360" w:lineRule="auto"/>
        <w:jc w:val="center"/>
        <w:textAlignment w:val="auto"/>
        <w:rPr>
          <w:rFonts w:ascii="宋体" w:hAnsi="宋体"/>
          <w:b/>
          <w:color w:val="auto"/>
          <w:spacing w:val="-6"/>
          <w:sz w:val="84"/>
          <w:szCs w:val="84"/>
          <w:highlight w:val="none"/>
        </w:rPr>
      </w:pPr>
      <w:r>
        <w:rPr>
          <w:rFonts w:hint="eastAsia" w:ascii="宋体" w:hAnsi="宋体"/>
          <w:b/>
          <w:color w:val="auto"/>
          <w:spacing w:val="-6"/>
          <w:sz w:val="84"/>
          <w:szCs w:val="84"/>
          <w:highlight w:val="none"/>
        </w:rPr>
        <w:t>招 标 文 件</w:t>
      </w:r>
    </w:p>
    <w:p w14:paraId="193DC7F3">
      <w:pPr>
        <w:autoSpaceDE/>
        <w:autoSpaceDN/>
        <w:spacing w:afterLines="600" w:line="360" w:lineRule="auto"/>
        <w:jc w:val="center"/>
        <w:rPr>
          <w:rFonts w:hint="eastAsia" w:ascii="宋体" w:hAnsi="宋体"/>
          <w:b/>
          <w:color w:val="auto"/>
          <w:spacing w:val="36"/>
          <w:sz w:val="36"/>
          <w:highlight w:val="none"/>
        </w:rPr>
      </w:pPr>
      <w:r>
        <w:rPr>
          <w:rFonts w:hint="eastAsia" w:ascii="宋体" w:hAnsi="宋体"/>
          <w:b/>
          <w:color w:val="auto"/>
          <w:spacing w:val="36"/>
          <w:sz w:val="36"/>
          <w:highlight w:val="none"/>
        </w:rPr>
        <w:t>（电子招投标）</w:t>
      </w:r>
    </w:p>
    <w:p w14:paraId="25DB1093">
      <w:pPr>
        <w:pStyle w:val="63"/>
      </w:pPr>
    </w:p>
    <w:tbl>
      <w:tblPr>
        <w:tblStyle w:val="5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0"/>
      </w:tblGrid>
      <w:tr w14:paraId="566D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40" w:type="dxa"/>
            <w:vAlign w:val="bottom"/>
          </w:tcPr>
          <w:p w14:paraId="641DA1B3">
            <w:pPr>
              <w:tabs>
                <w:tab w:val="left" w:pos="3570"/>
              </w:tabs>
              <w:spacing w:line="360" w:lineRule="auto"/>
              <w:rPr>
                <w:rFonts w:ascii="仿宋" w:hAnsi="仿宋" w:eastAsia="仿宋" w:cs="楷体_GB2312"/>
                <w:b/>
                <w:bCs/>
                <w:color w:val="auto"/>
                <w:w w:val="95"/>
                <w:sz w:val="32"/>
                <w:szCs w:val="32"/>
                <w:highlight w:val="none"/>
              </w:rPr>
            </w:pPr>
            <w:r>
              <w:rPr>
                <w:rFonts w:hint="eastAsia" w:ascii="仿宋" w:hAnsi="仿宋" w:eastAsia="仿宋" w:cs="楷体_GB2312"/>
                <w:b/>
                <w:bCs/>
                <w:color w:val="auto"/>
                <w:w w:val="95"/>
                <w:sz w:val="32"/>
                <w:szCs w:val="32"/>
                <w:highlight w:val="none"/>
              </w:rPr>
              <w:t>采购单位：</w:t>
            </w:r>
            <w:r>
              <w:rPr>
                <w:rFonts w:hint="eastAsia" w:ascii="仿宋" w:hAnsi="仿宋" w:eastAsia="仿宋" w:cs="楷体_GB2312"/>
                <w:b/>
                <w:bCs/>
                <w:color w:val="auto"/>
                <w:w w:val="95"/>
                <w:sz w:val="32"/>
                <w:szCs w:val="32"/>
                <w:highlight w:val="none"/>
                <w:lang w:eastAsia="zh-CN"/>
              </w:rPr>
              <w:t>诸暨市暨阳排水管理有限公司</w:t>
            </w:r>
          </w:p>
        </w:tc>
      </w:tr>
      <w:tr w14:paraId="1C2B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740" w:type="dxa"/>
            <w:vAlign w:val="bottom"/>
          </w:tcPr>
          <w:p w14:paraId="4F3F4FBC">
            <w:pPr>
              <w:pStyle w:val="26"/>
              <w:snapToGrid w:val="0"/>
              <w:spacing w:before="120" w:after="120" w:line="360" w:lineRule="auto"/>
              <w:rPr>
                <w:rFonts w:ascii="仿宋" w:hAnsi="仿宋" w:eastAsia="仿宋" w:cs="楷体_GB2312"/>
                <w:b/>
                <w:bCs/>
                <w:color w:val="auto"/>
                <w:w w:val="95"/>
                <w:kern w:val="0"/>
                <w:sz w:val="32"/>
                <w:szCs w:val="32"/>
                <w:highlight w:val="none"/>
              </w:rPr>
            </w:pPr>
            <w:r>
              <w:rPr>
                <w:rFonts w:hint="eastAsia" w:ascii="仿宋" w:hAnsi="仿宋" w:eastAsia="仿宋" w:cs="楷体_GB2312"/>
                <w:b/>
                <w:bCs/>
                <w:color w:val="auto"/>
                <w:w w:val="95"/>
                <w:kern w:val="0"/>
                <w:sz w:val="32"/>
                <w:szCs w:val="32"/>
                <w:highlight w:val="none"/>
              </w:rPr>
              <w:t>采购代理机构：诸暨市宸佳工程管理有限公司</w:t>
            </w:r>
          </w:p>
        </w:tc>
      </w:tr>
    </w:tbl>
    <w:p w14:paraId="31D952CD">
      <w:pPr>
        <w:spacing w:line="360" w:lineRule="auto"/>
        <w:jc w:val="center"/>
        <w:rPr>
          <w:rFonts w:ascii="仿宋" w:hAnsi="仿宋" w:eastAsia="仿宋" w:cs="楷体_GB2312"/>
          <w:b/>
          <w:bCs/>
          <w:color w:val="auto"/>
          <w:w w:val="95"/>
          <w:sz w:val="30"/>
          <w:szCs w:val="30"/>
          <w:highlight w:val="none"/>
        </w:rPr>
      </w:pPr>
      <w:r>
        <w:rPr>
          <w:rFonts w:hint="eastAsia" w:ascii="仿宋" w:hAnsi="仿宋" w:eastAsia="仿宋"/>
          <w:b/>
          <w:bCs/>
          <w:color w:val="auto"/>
          <w:w w:val="95"/>
          <w:sz w:val="30"/>
          <w:szCs w:val="30"/>
          <w:highlight w:val="none"/>
        </w:rPr>
        <w:t>二</w:t>
      </w:r>
      <w:r>
        <w:rPr>
          <w:rFonts w:hint="eastAsia" w:ascii="仿宋" w:hAnsi="仿宋" w:eastAsia="仿宋" w:cs="宋体"/>
          <w:b/>
          <w:bCs/>
          <w:color w:val="auto"/>
          <w:w w:val="95"/>
          <w:sz w:val="30"/>
          <w:szCs w:val="30"/>
          <w:highlight w:val="none"/>
        </w:rPr>
        <w:t>〇</w:t>
      </w:r>
      <w:r>
        <w:rPr>
          <w:rFonts w:hint="eastAsia" w:ascii="仿宋" w:hAnsi="仿宋" w:eastAsia="仿宋" w:cs="楷体_GB2312"/>
          <w:b/>
          <w:bCs/>
          <w:color w:val="auto"/>
          <w:w w:val="95"/>
          <w:sz w:val="30"/>
          <w:szCs w:val="30"/>
          <w:highlight w:val="none"/>
        </w:rPr>
        <w:t>二</w:t>
      </w:r>
      <w:r>
        <w:rPr>
          <w:rFonts w:hint="eastAsia" w:ascii="仿宋" w:hAnsi="仿宋" w:eastAsia="仿宋" w:cs="楷体_GB2312"/>
          <w:b/>
          <w:bCs/>
          <w:color w:val="auto"/>
          <w:w w:val="95"/>
          <w:sz w:val="30"/>
          <w:szCs w:val="30"/>
          <w:highlight w:val="none"/>
          <w:lang w:val="en-US" w:eastAsia="zh-CN"/>
        </w:rPr>
        <w:t>五</w:t>
      </w:r>
      <w:r>
        <w:rPr>
          <w:rFonts w:hint="eastAsia" w:ascii="仿宋" w:hAnsi="仿宋" w:eastAsia="仿宋" w:cs="楷体_GB2312"/>
          <w:b/>
          <w:bCs/>
          <w:color w:val="auto"/>
          <w:w w:val="95"/>
          <w:sz w:val="30"/>
          <w:szCs w:val="30"/>
          <w:highlight w:val="none"/>
        </w:rPr>
        <w:t>年</w:t>
      </w:r>
      <w:r>
        <w:rPr>
          <w:rFonts w:hint="eastAsia" w:ascii="仿宋" w:hAnsi="仿宋" w:eastAsia="仿宋" w:cs="楷体_GB2312"/>
          <w:b/>
          <w:bCs/>
          <w:color w:val="auto"/>
          <w:w w:val="95"/>
          <w:sz w:val="30"/>
          <w:szCs w:val="30"/>
          <w:highlight w:val="none"/>
          <w:lang w:val="en-US" w:eastAsia="zh-CN"/>
        </w:rPr>
        <w:t>一</w:t>
      </w:r>
      <w:r>
        <w:rPr>
          <w:rFonts w:hint="eastAsia" w:ascii="仿宋" w:hAnsi="仿宋" w:eastAsia="仿宋" w:cs="楷体_GB2312"/>
          <w:b/>
          <w:bCs/>
          <w:color w:val="auto"/>
          <w:w w:val="95"/>
          <w:sz w:val="30"/>
          <w:szCs w:val="30"/>
          <w:highlight w:val="none"/>
        </w:rPr>
        <w:t>月</w:t>
      </w:r>
    </w:p>
    <w:p w14:paraId="0ED2B713">
      <w:pPr>
        <w:spacing w:line="360" w:lineRule="auto"/>
        <w:rPr>
          <w:rFonts w:ascii="宋体" w:hAnsi="宋体" w:cs="楷体_GB2312"/>
          <w:b/>
          <w:bCs/>
          <w:color w:val="auto"/>
          <w:w w:val="95"/>
          <w:sz w:val="30"/>
          <w:szCs w:val="30"/>
          <w:highlight w:val="none"/>
        </w:rPr>
        <w:sectPr>
          <w:headerReference r:id="rId4" w:type="first"/>
          <w:headerReference r:id="rId3" w:type="default"/>
          <w:footerReference r:id="rId5" w:type="default"/>
          <w:pgSz w:w="11905" w:h="16838"/>
          <w:pgMar w:top="1440" w:right="1083" w:bottom="1440" w:left="1083" w:header="850" w:footer="964" w:gutter="0"/>
          <w:pgBorders>
            <w:top w:val="none" w:sz="0" w:space="0"/>
            <w:left w:val="none" w:sz="0" w:space="0"/>
            <w:bottom w:val="none" w:sz="0" w:space="0"/>
            <w:right w:val="none" w:sz="0" w:space="0"/>
          </w:pgBorders>
          <w:pgNumType w:fmt="numberInDash"/>
          <w:cols w:space="0" w:num="1"/>
          <w:titlePg/>
          <w:rtlGutter w:val="0"/>
          <w:docGrid w:type="lines" w:linePitch="317" w:charSpace="0"/>
        </w:sectPr>
      </w:pPr>
    </w:p>
    <w:p w14:paraId="1EC73FD0">
      <w:pPr>
        <w:keepNext w:val="0"/>
        <w:keepLines w:val="0"/>
        <w:pageBreakBefore w:val="0"/>
        <w:widowControl w:val="0"/>
        <w:kinsoku/>
        <w:wordWrap/>
        <w:overflowPunct/>
        <w:topLinePunct w:val="0"/>
        <w:autoSpaceDE w:val="0"/>
        <w:autoSpaceDN w:val="0"/>
        <w:bidi w:val="0"/>
        <w:adjustRightInd w:val="0"/>
        <w:snapToGrid/>
        <w:spacing w:before="120" w:after="120" w:line="360" w:lineRule="auto"/>
        <w:jc w:val="center"/>
        <w:textAlignment w:val="auto"/>
        <w:rPr>
          <w:rFonts w:ascii="仿宋" w:hAnsi="仿宋" w:eastAsia="仿宋"/>
          <w:b/>
          <w:color w:val="auto"/>
          <w:sz w:val="44"/>
          <w:szCs w:val="44"/>
          <w:highlight w:val="none"/>
        </w:rPr>
      </w:pPr>
      <w:r>
        <w:rPr>
          <w:rFonts w:hint="eastAsia" w:ascii="仿宋" w:hAnsi="仿宋" w:eastAsia="仿宋"/>
          <w:b/>
          <w:color w:val="auto"/>
          <w:sz w:val="44"/>
          <w:szCs w:val="44"/>
          <w:highlight w:val="none"/>
        </w:rPr>
        <w:t>目</w:t>
      </w:r>
      <w:r>
        <w:rPr>
          <w:rFonts w:hint="eastAsia" w:ascii="仿宋" w:hAnsi="仿宋" w:eastAsia="仿宋"/>
          <w:b/>
          <w:color w:val="auto"/>
          <w:sz w:val="44"/>
          <w:szCs w:val="44"/>
          <w:highlight w:val="none"/>
          <w:lang w:val="en-US" w:eastAsia="zh-CN"/>
        </w:rPr>
        <w:t xml:space="preserve"> </w:t>
      </w:r>
      <w:r>
        <w:rPr>
          <w:rFonts w:hint="eastAsia" w:ascii="仿宋" w:hAnsi="仿宋" w:eastAsia="仿宋"/>
          <w:b/>
          <w:color w:val="auto"/>
          <w:sz w:val="44"/>
          <w:szCs w:val="44"/>
          <w:highlight w:val="none"/>
        </w:rPr>
        <w:t>录</w:t>
      </w:r>
    </w:p>
    <w:p w14:paraId="3561F045">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第一章    招标公告</w:t>
      </w:r>
    </w:p>
    <w:p w14:paraId="2081607C">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第二章    投标人须知</w:t>
      </w:r>
    </w:p>
    <w:p w14:paraId="605058F7">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第三章    评标方法及评分标准</w:t>
      </w:r>
    </w:p>
    <w:p w14:paraId="230D4C9D">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第四章    采购需求</w:t>
      </w:r>
    </w:p>
    <w:p w14:paraId="12EDDD91">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lang w:val="en-US" w:eastAsia="zh-CN"/>
        </w:rPr>
      </w:pPr>
      <w:r>
        <w:rPr>
          <w:rFonts w:hint="eastAsia" w:ascii="仿宋" w:hAnsi="仿宋" w:eastAsia="仿宋" w:cs="Times New Roman"/>
          <w:b/>
          <w:color w:val="auto"/>
          <w:sz w:val="36"/>
          <w:szCs w:val="36"/>
        </w:rPr>
        <w:t xml:space="preserve">第五章    </w:t>
      </w:r>
      <w:r>
        <w:rPr>
          <w:rFonts w:hint="eastAsia" w:ascii="仿宋" w:hAnsi="仿宋" w:eastAsia="仿宋" w:cs="Times New Roman"/>
          <w:b/>
          <w:color w:val="auto"/>
          <w:sz w:val="36"/>
          <w:szCs w:val="36"/>
          <w:lang w:val="en-US" w:eastAsia="zh-CN"/>
        </w:rPr>
        <w:t>采购项目采购合同</w:t>
      </w:r>
    </w:p>
    <w:p w14:paraId="0373A95D">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第六章    应提交的有关格式范例</w:t>
      </w:r>
    </w:p>
    <w:p w14:paraId="601A769E">
      <w:pPr>
        <w:spacing w:beforeLines="100" w:line="360" w:lineRule="auto"/>
        <w:jc w:val="center"/>
        <w:rPr>
          <w:rStyle w:val="57"/>
          <w:rFonts w:ascii="宋体" w:hAnsi="宋体"/>
          <w:color w:val="auto"/>
          <w:sz w:val="30"/>
          <w:highlight w:val="none"/>
        </w:rPr>
        <w:sectPr>
          <w:footerReference r:id="rId6" w:type="default"/>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r>
        <w:rPr>
          <w:rFonts w:hint="eastAsia" w:ascii="仿宋" w:hAnsi="仿宋" w:eastAsia="仿宋"/>
          <w:b/>
          <w:color w:val="auto"/>
          <w:sz w:val="28"/>
          <w:szCs w:val="28"/>
          <w:highlight w:val="none"/>
        </w:rPr>
        <w:t>请各位投标人详细阅读各项条款</w:t>
      </w:r>
    </w:p>
    <w:p w14:paraId="374CD4F8">
      <w:pPr>
        <w:pStyle w:val="5"/>
        <w:tabs>
          <w:tab w:val="left" w:pos="7607"/>
          <w:tab w:val="left" w:pos="8837"/>
        </w:tabs>
        <w:spacing w:before="0" w:after="240" w:line="400" w:lineRule="exact"/>
        <w:jc w:val="center"/>
        <w:rPr>
          <w:rFonts w:ascii="华文中宋" w:hAnsi="华文中宋" w:eastAsia="华文中宋"/>
          <w:color w:val="auto"/>
          <w:sz w:val="36"/>
          <w:szCs w:val="36"/>
          <w:highlight w:val="none"/>
        </w:rPr>
      </w:pPr>
      <w:bookmarkStart w:id="1" w:name="_Toc125344501"/>
      <w:r>
        <w:rPr>
          <w:rFonts w:hint="eastAsia" w:ascii="华文中宋" w:hAnsi="华文中宋" w:eastAsia="华文中宋"/>
          <w:color w:val="auto"/>
          <w:sz w:val="36"/>
          <w:szCs w:val="36"/>
          <w:highlight w:val="none"/>
        </w:rPr>
        <w:t>第一章  招标公告</w:t>
      </w:r>
      <w:bookmarkEnd w:id="1"/>
      <w:r>
        <w:rPr>
          <w:rFonts w:hint="eastAsia" w:ascii="华文中宋" w:hAnsi="华文中宋" w:eastAsia="华文中宋"/>
          <w:color w:val="auto"/>
          <w:sz w:val="36"/>
          <w:szCs w:val="36"/>
          <w:highlight w:val="none"/>
        </w:rPr>
        <w:t>（非政府采购）</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2A7A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76121EE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color w:val="auto"/>
                <w:sz w:val="24"/>
                <w:highlight w:val="none"/>
                <w:vertAlign w:val="baseline"/>
              </w:rPr>
            </w:pPr>
            <w:r>
              <w:rPr>
                <w:rFonts w:hint="eastAsia" w:ascii="仿宋" w:hAnsi="仿宋" w:eastAsia="仿宋" w:cs="仿宋"/>
                <w:b/>
                <w:color w:val="auto"/>
                <w:sz w:val="24"/>
                <w:highlight w:val="none"/>
                <w:vertAlign w:val="baseline"/>
              </w:rPr>
              <w:t>项目概况</w:t>
            </w:r>
          </w:p>
          <w:p w14:paraId="1AF0596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color w:val="auto"/>
                <w:sz w:val="24"/>
                <w:highlight w:val="none"/>
                <w:vertAlign w:val="baseline"/>
              </w:rPr>
            </w:pPr>
            <w:r>
              <w:rPr>
                <w:rFonts w:hint="eastAsia" w:ascii="仿宋" w:hAnsi="仿宋" w:eastAsia="仿宋" w:cs="仿宋"/>
                <w:b w:val="0"/>
                <w:bCs/>
                <w:color w:val="auto"/>
                <w:kern w:val="2"/>
                <w:sz w:val="24"/>
                <w:szCs w:val="22"/>
                <w:highlight w:val="none"/>
                <w:u w:val="single"/>
                <w:lang w:val="en-US" w:eastAsia="zh-CN" w:bidi="ar-SA"/>
              </w:rPr>
              <w:t>诸暨市城市生活污水治理扩面提效项目--暨南街道雨污水管网建设工程道路交通安全评估服务采购项目</w:t>
            </w:r>
            <w:r>
              <w:rPr>
                <w:rFonts w:hint="eastAsia" w:ascii="仿宋" w:hAnsi="仿宋" w:eastAsia="仿宋" w:cs="仿宋"/>
                <w:b w:val="0"/>
                <w:bCs/>
                <w:color w:val="auto"/>
                <w:kern w:val="2"/>
                <w:sz w:val="24"/>
                <w:szCs w:val="22"/>
                <w:highlight w:val="none"/>
                <w:lang w:val="en-US" w:eastAsia="zh-CN" w:bidi="ar-SA"/>
              </w:rPr>
              <w:t>的潜在投标人应</w:t>
            </w:r>
            <w:r>
              <w:rPr>
                <w:rFonts w:hint="eastAsia" w:ascii="仿宋" w:hAnsi="仿宋" w:eastAsia="仿宋" w:cs="仿宋"/>
                <w:bCs/>
                <w:color w:val="auto"/>
                <w:sz w:val="24"/>
              </w:rPr>
              <w:t>在</w:t>
            </w:r>
            <w:r>
              <w:rPr>
                <w:rFonts w:hint="eastAsia" w:ascii="仿宋" w:hAnsi="仿宋" w:eastAsia="仿宋" w:cs="仿宋"/>
                <w:bCs/>
                <w:color w:val="auto"/>
                <w:sz w:val="24"/>
                <w:u w:val="single"/>
              </w:rPr>
              <w:t>乐采云平台（www.lecaiyun.com）</w:t>
            </w:r>
            <w:r>
              <w:rPr>
                <w:rFonts w:hint="eastAsia" w:ascii="仿宋" w:hAnsi="仿宋" w:eastAsia="仿宋" w:cs="仿宋"/>
                <w:bCs/>
                <w:color w:val="auto"/>
                <w:sz w:val="24"/>
              </w:rPr>
              <w:t>获取（下载）招标文件，并于</w:t>
            </w:r>
            <w:r>
              <w:rPr>
                <w:rFonts w:hint="eastAsia" w:ascii="仿宋" w:hAnsi="仿宋" w:eastAsia="仿宋" w:cs="仿宋"/>
                <w:bCs/>
                <w:color w:val="auto"/>
                <w:sz w:val="24"/>
                <w:u w:val="single"/>
              </w:rPr>
              <w:t>202</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02</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11</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lang w:eastAsia="zh-CN"/>
              </w:rPr>
              <w:t>：</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rPr>
              <w:t>（北京时间）前递交（上传）投标文件。</w:t>
            </w:r>
          </w:p>
        </w:tc>
      </w:tr>
    </w:tbl>
    <w:p w14:paraId="4BFF7E3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33E7515">
      <w:pPr>
        <w:pStyle w:val="26"/>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val="en-US" w:eastAsia="zh-CN"/>
        </w:rPr>
        <w:t>诸暨市城市生活污水治理扩面提效项目--暨南街道雨污水管网建设工程道路交通安全评估服务采购项目</w:t>
      </w:r>
    </w:p>
    <w:p w14:paraId="127FA352">
      <w:pPr>
        <w:pStyle w:val="26"/>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jc w:val="left"/>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rPr>
        <w:t>项目编号：</w:t>
      </w:r>
      <w:r>
        <w:rPr>
          <w:rFonts w:hint="eastAsia" w:ascii="仿宋" w:hAnsi="仿宋" w:eastAsia="仿宋" w:cs="仿宋"/>
          <w:bCs/>
          <w:color w:val="auto"/>
          <w:highlight w:val="none"/>
          <w:lang w:eastAsia="zh-CN"/>
        </w:rPr>
        <w:t>诸宸佳2025-01-09</w:t>
      </w:r>
    </w:p>
    <w:p w14:paraId="288CB268">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采购组织类型：</w:t>
      </w:r>
      <w:r>
        <w:rPr>
          <w:rFonts w:hint="eastAsia" w:ascii="仿宋" w:hAnsi="仿宋" w:eastAsia="仿宋" w:cs="仿宋"/>
          <w:bCs/>
          <w:color w:val="auto"/>
          <w:sz w:val="24"/>
          <w:highlight w:val="none"/>
        </w:rPr>
        <w:t>公司采购委托代理</w:t>
      </w:r>
    </w:p>
    <w:p w14:paraId="6F90C1EC">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25</w:t>
      </w:r>
      <w:r>
        <w:rPr>
          <w:rFonts w:hint="eastAsia" w:ascii="仿宋" w:hAnsi="仿宋" w:eastAsia="仿宋" w:cs="仿宋"/>
          <w:bCs/>
          <w:color w:val="auto"/>
          <w:sz w:val="24"/>
          <w:highlight w:val="none"/>
          <w:lang w:val="en-US" w:eastAsia="zh-CN"/>
        </w:rPr>
        <w:t>万元</w:t>
      </w:r>
    </w:p>
    <w:p w14:paraId="6FC61856">
      <w:pPr>
        <w:pStyle w:val="17"/>
        <w:pageBreakBefore w:val="0"/>
        <w:kinsoku/>
        <w:wordWrap/>
        <w:overflowPunct/>
        <w:topLinePunct w:val="0"/>
        <w:bidi w:val="0"/>
        <w:adjustRightInd w:val="0"/>
        <w:spacing w:line="420" w:lineRule="exact"/>
        <w:ind w:firstLine="480"/>
        <w:textAlignment w:val="auto"/>
        <w:rPr>
          <w:rFonts w:hint="eastAsia" w:ascii="仿宋" w:hAnsi="仿宋" w:eastAsia="仿宋" w:cs="仿宋"/>
          <w:sz w:val="24"/>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z w:val="24"/>
          <w:lang w:val="en-US" w:eastAsia="zh-CN"/>
        </w:rPr>
        <w:t>诸暨市城市生活污水治理扩面提效项目--暨南街道雨污水管网建设工程道路交通安全评估服务采购项目，采购预算金额为人民币贰拾伍万元整（¥250000.00），按固定单价招标</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sz w:val="24"/>
          <w:lang w:val="en-US" w:eastAsia="zh-CN"/>
        </w:rPr>
        <w:t>数量按实结算，具体内容详见采购需求。</w:t>
      </w:r>
    </w:p>
    <w:p w14:paraId="065C87CB">
      <w:pPr>
        <w:pStyle w:val="17"/>
        <w:pageBreakBefore w:val="0"/>
        <w:kinsoku/>
        <w:wordWrap/>
        <w:overflowPunct/>
        <w:topLinePunct w:val="0"/>
        <w:bidi w:val="0"/>
        <w:adjustRightInd w:val="0"/>
        <w:spacing w:line="420" w:lineRule="exact"/>
        <w:ind w:firstLine="480"/>
        <w:textAlignment w:val="auto"/>
        <w:rPr>
          <w:rFonts w:ascii="仿宋" w:hAnsi="仿宋" w:eastAsia="仿宋" w:cs="仿宋"/>
          <w:b w:val="0"/>
          <w:bCs/>
          <w:color w:val="auto"/>
          <w:sz w:val="24"/>
          <w:highlight w:val="none"/>
        </w:rPr>
      </w:pPr>
      <w:r>
        <w:rPr>
          <w:rFonts w:hint="eastAsia" w:ascii="仿宋" w:hAnsi="仿宋" w:eastAsia="仿宋" w:cs="仿宋"/>
          <w:b/>
          <w:color w:val="auto"/>
          <w:sz w:val="24"/>
          <w:highlight w:val="none"/>
        </w:rPr>
        <w:t>评标办法：</w:t>
      </w:r>
      <w:r>
        <w:rPr>
          <w:rFonts w:hint="eastAsia" w:ascii="仿宋" w:hAnsi="仿宋" w:eastAsia="仿宋" w:cs="仿宋"/>
          <w:b w:val="0"/>
          <w:bCs/>
          <w:color w:val="auto"/>
          <w:sz w:val="24"/>
          <w:highlight w:val="none"/>
        </w:rPr>
        <w:t>综合评分法</w:t>
      </w:r>
    </w:p>
    <w:p w14:paraId="44A2748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default" w:ascii="仿宋" w:hAnsi="仿宋" w:eastAsia="仿宋" w:cs="仿宋"/>
          <w:color w:val="auto"/>
          <w:sz w:val="24"/>
          <w:highlight w:val="none"/>
          <w:lang w:val="en-US"/>
        </w:rPr>
      </w:pPr>
      <w:r>
        <w:rPr>
          <w:rFonts w:hint="eastAsia" w:ascii="仿宋" w:hAnsi="仿宋" w:eastAsia="仿宋" w:cs="仿宋"/>
          <w:b/>
          <w:color w:val="auto"/>
          <w:kern w:val="2"/>
          <w:sz w:val="24"/>
          <w:szCs w:val="22"/>
          <w:highlight w:val="none"/>
          <w:lang w:val="en-US" w:eastAsia="zh-CN" w:bidi="ar-SA"/>
        </w:rPr>
        <w:t>合同履约期限：</w:t>
      </w:r>
      <w:r>
        <w:rPr>
          <w:rFonts w:hint="eastAsia" w:ascii="仿宋" w:hAnsi="仿宋" w:eastAsia="仿宋" w:cs="仿宋"/>
          <w:b w:val="0"/>
          <w:bCs/>
          <w:color w:val="auto"/>
          <w:kern w:val="2"/>
          <w:sz w:val="24"/>
          <w:szCs w:val="22"/>
          <w:highlight w:val="none"/>
          <w:lang w:val="en-US" w:eastAsia="zh-CN" w:bidi="ar-SA"/>
        </w:rPr>
        <w:t>按招标文件要求执行。</w:t>
      </w:r>
    </w:p>
    <w:p w14:paraId="2E5825A2">
      <w:pPr>
        <w:pageBreakBefore w:val="0"/>
        <w:kinsoku/>
        <w:wordWrap/>
        <w:overflowPunct/>
        <w:topLinePunct w:val="0"/>
        <w:autoSpaceDE/>
        <w:autoSpaceDN/>
        <w:bidi w:val="0"/>
        <w:snapToGrid w:val="0"/>
        <w:spacing w:line="420" w:lineRule="exact"/>
        <w:textAlignment w:val="auto"/>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highlight w:val="none"/>
        </w:rPr>
        <w:t>投</w:t>
      </w:r>
      <w:r>
        <w:rPr>
          <w:rFonts w:hint="eastAsia" w:ascii="仿宋" w:hAnsi="仿宋" w:eastAsia="仿宋" w:cs="仿宋"/>
          <w:b/>
          <w:color w:val="auto"/>
          <w:sz w:val="24"/>
          <w:highlight w:val="none"/>
        </w:rPr>
        <w:t>标人（供应商）资格要求</w:t>
      </w:r>
    </w:p>
    <w:p w14:paraId="32365581">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lang w:eastAsia="zh-CN"/>
        </w:rPr>
      </w:pPr>
      <w:r>
        <w:rPr>
          <w:rFonts w:hint="eastAsia" w:ascii="仿宋" w:hAnsi="仿宋" w:eastAsia="仿宋" w:cs="仿宋"/>
        </w:rPr>
        <w:t>1、满足《中华人民共和国政府采购法》第二十二条规定</w:t>
      </w:r>
      <w:r>
        <w:rPr>
          <w:rFonts w:hint="eastAsia" w:ascii="仿宋" w:hAnsi="仿宋" w:eastAsia="仿宋" w:cs="仿宋"/>
          <w:lang w:eastAsia="zh-CN"/>
        </w:rPr>
        <w:t>；</w:t>
      </w:r>
    </w:p>
    <w:p w14:paraId="6979CBD5">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lang w:eastAsia="zh-CN"/>
        </w:rPr>
      </w:pPr>
      <w:r>
        <w:rPr>
          <w:rFonts w:hint="eastAsia" w:ascii="仿宋" w:hAnsi="仿宋" w:eastAsia="仿宋" w:cs="仿宋"/>
        </w:rPr>
        <w:t>2、未被“信用中国”（www.creditchina.gov.cn）、中国政府采购网（www.ccgp.gov.cn）列入失信被执行人、重大税收违法案件当事人名单、政府采购严重违法失信行为记录名单</w:t>
      </w:r>
      <w:r>
        <w:rPr>
          <w:rFonts w:hint="eastAsia" w:ascii="仿宋" w:hAnsi="仿宋" w:eastAsia="仿宋" w:cs="仿宋"/>
          <w:lang w:eastAsia="zh-CN"/>
        </w:rPr>
        <w:t>；</w:t>
      </w:r>
    </w:p>
    <w:p w14:paraId="18B028F0">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rPr>
        <w:t>3、</w:t>
      </w:r>
      <w:r>
        <w:rPr>
          <w:rFonts w:ascii="仿宋" w:hAnsi="仿宋" w:eastAsia="仿宋" w:cs="宋体"/>
          <w:bCs/>
          <w:sz w:val="24"/>
          <w:szCs w:val="24"/>
        </w:rPr>
        <w:t>本项目的特定资格要求</w:t>
      </w:r>
      <w:r>
        <w:rPr>
          <w:rFonts w:ascii="仿宋" w:hAnsi="仿宋" w:eastAsia="仿宋" w:cs="宋体"/>
          <w:b w:val="0"/>
          <w:bCs/>
          <w:color w:val="auto"/>
          <w:sz w:val="24"/>
          <w:szCs w:val="24"/>
          <w:highlight w:val="none"/>
        </w:rPr>
        <w:t>：</w:t>
      </w:r>
      <w:r>
        <w:rPr>
          <w:rFonts w:hint="eastAsia" w:ascii="仿宋" w:hAnsi="仿宋" w:eastAsia="仿宋" w:cs="宋体"/>
          <w:b w:val="0"/>
          <w:bCs/>
          <w:color w:val="auto"/>
          <w:sz w:val="24"/>
          <w:szCs w:val="24"/>
          <w:highlight w:val="none"/>
          <w:lang w:val="en-US" w:eastAsia="zh-CN"/>
        </w:rPr>
        <w:t>具有</w:t>
      </w:r>
      <w:r>
        <w:rPr>
          <w:rFonts w:hint="eastAsia" w:ascii="仿宋" w:hAnsi="仿宋" w:eastAsia="仿宋" w:cs="宋体"/>
          <w:b w:val="0"/>
          <w:bCs/>
          <w:color w:val="auto"/>
          <w:sz w:val="24"/>
          <w:szCs w:val="24"/>
          <w:highlight w:val="none"/>
        </w:rPr>
        <w:t>工程咨询单位乙级资信预评价及以上（专业：公路）</w:t>
      </w:r>
      <w:r>
        <w:rPr>
          <w:rFonts w:hint="eastAsia" w:ascii="仿宋" w:hAnsi="仿宋" w:eastAsia="仿宋" w:cs="宋体"/>
          <w:b w:val="0"/>
          <w:bCs/>
          <w:color w:val="auto"/>
          <w:sz w:val="24"/>
          <w:szCs w:val="24"/>
          <w:highlight w:val="none"/>
          <w:lang w:val="en-US" w:eastAsia="zh-CN"/>
        </w:rPr>
        <w:t>证书</w:t>
      </w:r>
      <w:r>
        <w:rPr>
          <w:rFonts w:hint="eastAsia" w:ascii="仿宋" w:hAnsi="仿宋" w:eastAsia="仿宋" w:cs="仿宋"/>
          <w:color w:val="000000"/>
          <w:kern w:val="2"/>
          <w:sz w:val="24"/>
          <w:szCs w:val="24"/>
          <w:lang w:val="en-US" w:eastAsia="zh-CN" w:bidi="ar-SA"/>
        </w:rPr>
        <w:t>；</w:t>
      </w:r>
    </w:p>
    <w:p w14:paraId="639CA08C">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、本项目</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不 </w:t>
      </w:r>
      <w:r>
        <w:rPr>
          <w:rFonts w:hint="eastAsia" w:ascii="仿宋" w:hAnsi="仿宋" w:eastAsia="仿宋" w:cs="仿宋"/>
          <w:color w:val="auto"/>
          <w:highlight w:val="none"/>
        </w:rPr>
        <w:t>接受联合体投标。</w:t>
      </w:r>
    </w:p>
    <w:p w14:paraId="6D98A1AE">
      <w:pPr>
        <w:pageBreakBefore w:val="0"/>
        <w:kinsoku/>
        <w:wordWrap/>
        <w:overflowPunct/>
        <w:topLinePunct w:val="0"/>
        <w:bidi w:val="0"/>
        <w:spacing w:line="420" w:lineRule="exact"/>
        <w:textAlignment w:val="auto"/>
        <w:rPr>
          <w:rFonts w:ascii="仿宋" w:hAnsi="仿宋" w:eastAsia="仿宋" w:cs="仿宋"/>
          <w:b/>
          <w:bCs/>
          <w:color w:val="auto"/>
          <w:highlight w:val="none"/>
        </w:rPr>
      </w:pPr>
      <w:r>
        <w:rPr>
          <w:rFonts w:hint="eastAsia" w:ascii="仿宋" w:hAnsi="仿宋" w:eastAsia="仿宋" w:cs="仿宋"/>
          <w:b/>
          <w:bCs/>
          <w:color w:val="auto"/>
          <w:sz w:val="24"/>
          <w:szCs w:val="24"/>
          <w:highlight w:val="none"/>
        </w:rPr>
        <w:t>三、获取招标文件</w:t>
      </w:r>
    </w:p>
    <w:p w14:paraId="343362F9">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，下午</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23:59</w:t>
      </w:r>
      <w:r>
        <w:rPr>
          <w:rFonts w:hint="eastAsia" w:ascii="仿宋" w:hAnsi="仿宋" w:eastAsia="仿宋" w:cs="仿宋"/>
          <w:color w:val="auto"/>
          <w:highlight w:val="none"/>
        </w:rPr>
        <w:t>（北京时间，线上获取法定节假日均可，线下获取文件法定节假日除外）</w:t>
      </w:r>
    </w:p>
    <w:p w14:paraId="1D5265BB">
      <w:pPr>
        <w:pStyle w:val="45"/>
        <w:pageBreakBefore w:val="0"/>
        <w:kinsoku/>
        <w:wordWrap/>
        <w:overflowPunct/>
        <w:topLinePunct w:val="0"/>
        <w:bidi w:val="0"/>
        <w:spacing w:before="0" w:beforeAutospacing="0" w:after="0" w:afterAutospacing="0" w:line="420" w:lineRule="exact"/>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地点（网址）：乐采云平台（www.lecaiyun.com）</w:t>
      </w:r>
    </w:p>
    <w:p w14:paraId="5BEC6FDA">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方式：</w:t>
      </w:r>
      <w:r>
        <w:rPr>
          <w:rStyle w:val="54"/>
          <w:rFonts w:hint="eastAsia" w:ascii="仿宋" w:hAnsi="仿宋" w:eastAsia="仿宋" w:cs="仿宋"/>
          <w:b w:val="0"/>
          <w:color w:val="auto"/>
          <w:highlight w:val="none"/>
        </w:rPr>
        <w:t>潜在供应商登录</w:t>
      </w:r>
      <w:r>
        <w:rPr>
          <w:rStyle w:val="54"/>
          <w:rFonts w:hint="eastAsia" w:ascii="仿宋" w:hAnsi="仿宋" w:eastAsia="仿宋" w:cs="仿宋"/>
          <w:b w:val="0"/>
          <w:color w:val="auto"/>
          <w:highlight w:val="none"/>
          <w:lang w:val="en-US" w:eastAsia="zh-CN"/>
        </w:rPr>
        <w:t>乐</w:t>
      </w:r>
      <w:r>
        <w:rPr>
          <w:rStyle w:val="54"/>
          <w:rFonts w:hint="eastAsia" w:ascii="仿宋" w:hAnsi="仿宋" w:eastAsia="仿宋" w:cs="仿宋"/>
          <w:b w:val="0"/>
          <w:color w:val="auto"/>
          <w:highlight w:val="none"/>
        </w:rPr>
        <w:t>采云平台，在线申请获取招标文件（进入“项目采购”应用，在获取招标文件菜单中选择项目，申请获取招标文件）。</w:t>
      </w:r>
      <w:r>
        <w:rPr>
          <w:rFonts w:hint="eastAsia" w:ascii="仿宋" w:hAnsi="仿宋" w:eastAsia="仿宋" w:cs="仿宋"/>
          <w:color w:val="auto"/>
          <w:highlight w:val="none"/>
        </w:rPr>
        <w:t>仅需浏览招标文件的供应商可点击“游客，浏览招标文件”直接下载招标文件浏览。招标文件发布截止时间之后有潜在供应商提出要求获取招标文件的，允许获取。</w:t>
      </w:r>
    </w:p>
    <w:p w14:paraId="27DBE676">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售价（元）：0元。</w:t>
      </w:r>
    </w:p>
    <w:p w14:paraId="25D14A53">
      <w:pPr>
        <w:pStyle w:val="6"/>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四、提交投标文件截止时间、开标时间和地点</w:t>
      </w:r>
    </w:p>
    <w:p w14:paraId="18A0E2F4">
      <w:pPr>
        <w:pStyle w:val="45"/>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4EB97CE">
      <w:pPr>
        <w:pStyle w:val="45"/>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投标地点（网址）：乐采云平台（www.lecaiyun.com）</w:t>
      </w:r>
    </w:p>
    <w:p w14:paraId="4857FB98">
      <w:pPr>
        <w:pStyle w:val="45"/>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25DF05D8">
      <w:pPr>
        <w:pStyle w:val="45"/>
        <w:pageBreakBefore w:val="0"/>
        <w:kinsoku/>
        <w:wordWrap/>
        <w:overflowPunct/>
        <w:topLinePunct w:val="0"/>
        <w:bidi w:val="0"/>
        <w:spacing w:before="0" w:beforeAutospacing="0" w:after="0" w:afterAutospacing="0" w:line="420" w:lineRule="exact"/>
        <w:ind w:firstLine="480" w:firstLineChars="200"/>
        <w:textAlignment w:val="auto"/>
        <w:rPr>
          <w:rStyle w:val="54"/>
          <w:rFonts w:ascii="仿宋" w:hAnsi="仿宋" w:eastAsia="仿宋" w:cs="仿宋"/>
          <w:b w:val="0"/>
          <w:color w:val="auto"/>
          <w:highlight w:val="none"/>
          <w:shd w:val="clear" w:color="auto" w:fill="FFFFFF"/>
        </w:rPr>
      </w:pPr>
      <w:r>
        <w:rPr>
          <w:rFonts w:hint="eastAsia" w:ascii="仿宋" w:hAnsi="仿宋" w:eastAsia="仿宋" w:cs="仿宋"/>
          <w:color w:val="auto"/>
          <w:highlight w:val="none"/>
        </w:rPr>
        <w:t>开标地点（网址）：</w:t>
      </w:r>
      <w:r>
        <w:rPr>
          <w:rStyle w:val="54"/>
          <w:rFonts w:hint="eastAsia" w:ascii="仿宋" w:hAnsi="仿宋" w:eastAsia="仿宋" w:cs="仿宋"/>
          <w:b w:val="0"/>
          <w:color w:val="auto"/>
          <w:highlight w:val="none"/>
          <w:shd w:val="clear" w:color="auto" w:fill="FFFFFF"/>
        </w:rPr>
        <w:t>诸暨市宸佳工程管理有限公司</w:t>
      </w:r>
      <w:r>
        <w:rPr>
          <w:rStyle w:val="54"/>
          <w:rFonts w:hint="eastAsia" w:ascii="仿宋" w:hAnsi="仿宋" w:eastAsia="仿宋" w:cs="仿宋"/>
          <w:b w:val="0"/>
          <w:color w:val="auto"/>
          <w:highlight w:val="none"/>
          <w:shd w:val="clear" w:color="auto" w:fill="FFFFFF"/>
          <w:lang w:val="en-US" w:eastAsia="zh-CN"/>
        </w:rPr>
        <w:t>二</w:t>
      </w:r>
      <w:r>
        <w:rPr>
          <w:rStyle w:val="54"/>
          <w:rFonts w:hint="eastAsia" w:ascii="仿宋" w:hAnsi="仿宋" w:eastAsia="仿宋" w:cs="仿宋"/>
          <w:b w:val="0"/>
          <w:color w:val="auto"/>
          <w:highlight w:val="none"/>
          <w:shd w:val="clear" w:color="auto" w:fill="FFFFFF"/>
        </w:rPr>
        <w:t>楼评标室（</w:t>
      </w:r>
      <w:r>
        <w:rPr>
          <w:rStyle w:val="54"/>
          <w:rFonts w:hint="eastAsia" w:ascii="仿宋" w:hAnsi="仿宋" w:eastAsia="仿宋" w:cs="仿宋"/>
          <w:b w:val="0"/>
          <w:color w:val="auto"/>
          <w:highlight w:val="none"/>
          <w:shd w:val="clear" w:color="auto" w:fill="FFFFFF"/>
          <w:lang w:eastAsia="zh-CN"/>
        </w:rPr>
        <w:t>诸暨市暨阳街道苎萝东路218号金悦华庭商铺232号</w:t>
      </w:r>
      <w:r>
        <w:rPr>
          <w:rStyle w:val="54"/>
          <w:rFonts w:hint="eastAsia" w:ascii="仿宋" w:hAnsi="仿宋" w:eastAsia="仿宋" w:cs="仿宋"/>
          <w:b w:val="0"/>
          <w:color w:val="auto"/>
          <w:highlight w:val="none"/>
          <w:shd w:val="clear" w:color="auto" w:fill="FFFFFF"/>
        </w:rPr>
        <w:t>）（本项目通过“乐采云平台（www.lecaiyun.com）”实行在线开标）。</w:t>
      </w:r>
    </w:p>
    <w:p w14:paraId="3F33EF75">
      <w:pPr>
        <w:pStyle w:val="6"/>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五、公告期限</w:t>
      </w:r>
    </w:p>
    <w:p w14:paraId="6FFD523E">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68D1C2D3">
      <w:pPr>
        <w:pStyle w:val="6"/>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六、其他补充事宜</w:t>
      </w:r>
    </w:p>
    <w:p w14:paraId="0674A30C">
      <w:pPr>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1、投标人应在开标截止时间10天前以书面形式向采购代理机构提出质疑，逾期提出的，采购代理机构不予受理、答复。采购代理机构与采购人研究后，对认为有必要回答的问题，</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将在开标前将答疑内容以网上发布公告的形式通知所有投标人，投标人自行在网上查阅、下载答疑回复答疑内容是招标文件的组成部分。</w:t>
      </w:r>
    </w:p>
    <w:p w14:paraId="2A6BD3A7">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2、其他事项</w:t>
      </w:r>
      <w:r>
        <w:rPr>
          <w:rFonts w:hint="eastAsia" w:ascii="仿宋" w:hAnsi="仿宋" w:eastAsia="仿宋" w:cs="仿宋"/>
          <w:b/>
          <w:bCs/>
          <w:color w:val="auto"/>
          <w:kern w:val="2"/>
          <w:sz w:val="24"/>
          <w:szCs w:val="24"/>
          <w:highlight w:val="none"/>
        </w:rPr>
        <w:t>：详见</w:t>
      </w:r>
      <w:r>
        <w:rPr>
          <w:rFonts w:hint="eastAsia" w:ascii="仿宋" w:hAnsi="仿宋" w:eastAsia="仿宋" w:cs="仿宋"/>
          <w:b/>
          <w:bCs/>
          <w:color w:val="auto"/>
          <w:sz w:val="24"/>
          <w:highlight w:val="none"/>
        </w:rPr>
        <w:t>招标文件。</w:t>
      </w:r>
    </w:p>
    <w:p w14:paraId="0B3183C9">
      <w:pPr>
        <w:pageBreakBefore w:val="0"/>
        <w:kinsoku/>
        <w:wordWrap/>
        <w:overflowPunct/>
        <w:topLinePunct w:val="0"/>
        <w:autoSpaceDE/>
        <w:autoSpaceDN/>
        <w:bidi w:val="0"/>
        <w:spacing w:line="420" w:lineRule="exact"/>
        <w:textAlignment w:val="auto"/>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七、投标保证金</w:t>
      </w:r>
    </w:p>
    <w:p w14:paraId="08E86856">
      <w:pPr>
        <w:pageBreakBefore w:val="0"/>
        <w:kinsoku/>
        <w:wordWrap/>
        <w:overflowPunct/>
        <w:topLinePunct w:val="0"/>
        <w:autoSpaceDE/>
        <w:autoSpaceDN/>
        <w:bidi w:val="0"/>
        <w:spacing w:line="42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本项目免收投标保证金。</w:t>
      </w:r>
    </w:p>
    <w:p w14:paraId="460A093F">
      <w:pPr>
        <w:pageBreakBefore w:val="0"/>
        <w:kinsoku/>
        <w:wordWrap/>
        <w:overflowPunct/>
        <w:topLinePunct w:val="0"/>
        <w:autoSpaceDE/>
        <w:autoSpaceDN/>
        <w:bidi w:val="0"/>
        <w:spacing w:line="42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八、其他注意事项</w:t>
      </w:r>
    </w:p>
    <w:p w14:paraId="46DE9CC1">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color w:val="auto"/>
          <w:sz w:val="24"/>
          <w:szCs w:val="32"/>
          <w:highlight w:val="none"/>
        </w:rPr>
      </w:pPr>
      <w:r>
        <w:rPr>
          <w:rFonts w:hint="eastAsia" w:ascii="仿宋" w:hAnsi="仿宋" w:eastAsia="仿宋" w:cs="仿宋"/>
          <w:b/>
          <w:bCs/>
          <w:color w:val="auto"/>
          <w:sz w:val="24"/>
          <w:highlight w:val="none"/>
        </w:rPr>
        <w:t>投标人应于开标时间前按照电子投标要求将电子加密标书上传到“</w:t>
      </w:r>
      <w:r>
        <w:rPr>
          <w:rFonts w:hint="eastAsia" w:ascii="仿宋" w:hAnsi="仿宋" w:eastAsia="仿宋" w:cs="仿宋"/>
          <w:b/>
          <w:bCs/>
          <w:color w:val="auto"/>
          <w:sz w:val="24"/>
          <w:highlight w:val="none"/>
          <w:lang w:eastAsia="zh-CN"/>
        </w:rPr>
        <w:t>乐采云</w:t>
      </w:r>
      <w:r>
        <w:rPr>
          <w:rFonts w:hint="eastAsia" w:ascii="仿宋" w:hAnsi="仿宋" w:eastAsia="仿宋" w:cs="仿宋"/>
          <w:b/>
          <w:bCs/>
          <w:color w:val="auto"/>
          <w:sz w:val="24"/>
          <w:highlight w:val="none"/>
        </w:rPr>
        <w:t>”平台，逾期或未上传成功的将导致无法投标或投标无效。</w:t>
      </w:r>
      <w:r>
        <w:rPr>
          <w:rFonts w:hint="eastAsia" w:ascii="仿宋" w:hAnsi="仿宋" w:eastAsia="仿宋" w:cs="仿宋"/>
          <w:color w:val="auto"/>
          <w:sz w:val="24"/>
          <w:szCs w:val="32"/>
          <w:highlight w:val="none"/>
        </w:rPr>
        <w:t>备注：为确保采购项目顺利实施，避免因</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上电子投标文件解密失败导致投标方投标无效，投标方可在开标时间前将在</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平台上最后生成的具备电子签章的备份加密投标文件（文件名后缀为备份文件四字的首字母）以电子邮件方式传送至诸暨市宸佳工程管理有限公司邮箱2028562254@qq.com，传送的备份电子投标文件需打包压缩并加密，加密密码由投标方自行保管，如</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电子投标文件出现解密失败情况（开标后30分钟内进行解密），投标方可按照自身意愿确认是否同意提供加密密码解密传送至诸暨市宸佳工程管理有限公司邮箱的备份文件，并以备份文件作为替代电子投标文件，如投标方未按照规定时间前按要求提供有效备份文件，同时</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上投标文件解密失败的，将导致投标无效。</w:t>
      </w:r>
    </w:p>
    <w:p w14:paraId="69D47005">
      <w:pPr>
        <w:pStyle w:val="26"/>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color w:val="auto"/>
          <w:kern w:val="0"/>
          <w:szCs w:val="24"/>
          <w:highlight w:val="none"/>
          <w:u w:val="single"/>
        </w:rPr>
      </w:pPr>
      <w:r>
        <w:rPr>
          <w:rFonts w:hint="eastAsia" w:ascii="仿宋" w:hAnsi="仿宋" w:eastAsia="仿宋" w:cs="仿宋"/>
          <w:b/>
          <w:color w:val="auto"/>
          <w:kern w:val="0"/>
          <w:szCs w:val="24"/>
          <w:highlight w:val="none"/>
          <w:u w:val="single"/>
        </w:rPr>
        <w:t>投标方无需在开标当天到达开标现场对电子投标进行解密，可在公司办公场地在规定时间内对电子投标文件进行解密。</w:t>
      </w:r>
    </w:p>
    <w:p w14:paraId="4048BDAC">
      <w:pPr>
        <w:pStyle w:val="26"/>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开标时间后30分钟内供应商可以登录“</w:t>
      </w:r>
      <w:r>
        <w:rPr>
          <w:rFonts w:hint="eastAsia" w:ascii="仿宋" w:hAnsi="仿宋" w:eastAsia="仿宋" w:cs="仿宋"/>
          <w:b/>
          <w:color w:val="auto"/>
          <w:szCs w:val="24"/>
          <w:highlight w:val="none"/>
          <w:lang w:eastAsia="zh-CN"/>
        </w:rPr>
        <w:t>乐采云</w:t>
      </w:r>
      <w:r>
        <w:rPr>
          <w:rFonts w:hint="eastAsia" w:ascii="仿宋" w:hAnsi="仿宋" w:eastAsia="仿宋" w:cs="仿宋"/>
          <w:b/>
          <w:color w:val="auto"/>
          <w:szCs w:val="24"/>
          <w:highlight w:val="none"/>
        </w:rPr>
        <w:t>”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5BB266DC">
      <w:pPr>
        <w:pStyle w:val="6"/>
        <w:pageBreakBefore w:val="0"/>
        <w:kinsoku/>
        <w:wordWrap/>
        <w:overflowPunct/>
        <w:topLinePunct w:val="0"/>
        <w:autoSpaceDE/>
        <w:autoSpaceDN/>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九、业务咨询</w:t>
      </w:r>
    </w:p>
    <w:p w14:paraId="7A64ED11">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1.采购人信息</w:t>
      </w:r>
    </w:p>
    <w:p w14:paraId="2CDEF7F4">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诸暨市暨阳排水管理有限公司</w:t>
      </w:r>
    </w:p>
    <w:p w14:paraId="497553D0">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 址：诸暨市陶朱街道环城北路228号</w:t>
      </w:r>
    </w:p>
    <w:p w14:paraId="2929B6B0">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项目联系人：朱华飞</w:t>
      </w:r>
    </w:p>
    <w:p w14:paraId="7CCC3F65">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项目联系方式：15988200310 </w:t>
      </w:r>
    </w:p>
    <w:p w14:paraId="5EB86D9A">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2.采购代理机构信息</w:t>
      </w:r>
    </w:p>
    <w:p w14:paraId="3020A5EF">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名 称：诸暨市宸佳工程管理有限公司</w:t>
      </w:r>
    </w:p>
    <w:p w14:paraId="5B1E8866">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地 址：</w:t>
      </w:r>
      <w:r>
        <w:rPr>
          <w:rFonts w:hint="eastAsia" w:ascii="仿宋" w:hAnsi="仿宋" w:eastAsia="仿宋" w:cs="仿宋"/>
          <w:color w:val="auto"/>
          <w:highlight w:val="none"/>
          <w:lang w:eastAsia="zh-CN"/>
        </w:rPr>
        <w:t>诸暨市暨阳街道苎萝东路218号金悦华庭商铺232号</w:t>
      </w:r>
    </w:p>
    <w:p w14:paraId="7B5F4876">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项目联系人：寿程佳</w:t>
      </w:r>
    </w:p>
    <w:p w14:paraId="62D2A7A3">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项目联系方式：13758513307</w:t>
      </w:r>
    </w:p>
    <w:p w14:paraId="2E3B20E6">
      <w:pPr>
        <w:autoSpaceDE/>
        <w:autoSpaceDN/>
        <w:spacing w:line="420" w:lineRule="exact"/>
        <w:ind w:firstLine="420" w:firstLineChars="200"/>
        <w:rPr>
          <w:rFonts w:ascii="仿宋" w:hAnsi="仿宋" w:eastAsia="仿宋" w:cs="仿宋"/>
          <w:color w:val="auto"/>
          <w:highlight w:val="none"/>
        </w:rPr>
      </w:pPr>
    </w:p>
    <w:p w14:paraId="727F1DAB">
      <w:pPr>
        <w:autoSpaceDE/>
        <w:autoSpaceDN/>
        <w:spacing w:line="420" w:lineRule="exact"/>
        <w:ind w:firstLine="420" w:firstLineChars="200"/>
        <w:rPr>
          <w:rFonts w:ascii="仿宋" w:hAnsi="仿宋" w:eastAsia="仿宋" w:cs="仿宋"/>
          <w:color w:val="auto"/>
          <w:highlight w:val="none"/>
        </w:rPr>
      </w:pPr>
    </w:p>
    <w:p w14:paraId="165A7D2D">
      <w:pPr>
        <w:autoSpaceDE/>
        <w:autoSpaceDN/>
        <w:spacing w:line="42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w:t>
      </w:r>
      <w:r>
        <w:rPr>
          <w:rFonts w:hint="eastAsia" w:ascii="仿宋" w:hAnsi="仿宋" w:eastAsia="仿宋" w:cs="仿宋"/>
          <w:color w:val="auto"/>
          <w:highlight w:val="none"/>
          <w:lang w:eastAsia="zh-CN"/>
        </w:rPr>
        <w:t>乐采云</w:t>
      </w:r>
      <w:r>
        <w:rPr>
          <w:rFonts w:hint="eastAsia" w:ascii="仿宋" w:hAnsi="仿宋" w:eastAsia="仿宋" w:cs="仿宋"/>
          <w:color w:val="auto"/>
          <w:highlight w:val="none"/>
        </w:rPr>
        <w:t>（https://www.lecaiyun.com/），点击右侧咨询小采，获取采小蜜智能服务管家帮助，或拨打</w:t>
      </w:r>
      <w:r>
        <w:rPr>
          <w:rFonts w:hint="eastAsia" w:ascii="仿宋" w:hAnsi="仿宋" w:eastAsia="仿宋" w:cs="仿宋"/>
          <w:color w:val="auto"/>
          <w:highlight w:val="none"/>
          <w:lang w:eastAsia="zh-CN"/>
        </w:rPr>
        <w:t>乐采云</w:t>
      </w:r>
      <w:r>
        <w:rPr>
          <w:rFonts w:hint="eastAsia" w:ascii="仿宋" w:hAnsi="仿宋" w:eastAsia="仿宋" w:cs="仿宋"/>
          <w:color w:val="auto"/>
          <w:highlight w:val="none"/>
        </w:rPr>
        <w:t>服务热线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获取热线服务帮助。CA问题联系电话（人工）：汇信CA 400-888-4636；天谷CA 400-087-8198。</w:t>
      </w:r>
    </w:p>
    <w:p w14:paraId="6B328472">
      <w:pPr>
        <w:spacing w:line="420" w:lineRule="exact"/>
        <w:rPr>
          <w:rFonts w:ascii="仿宋" w:hAnsi="仿宋" w:eastAsia="仿宋" w:cs="仿宋"/>
          <w:color w:val="auto"/>
          <w:highlight w:val="none"/>
        </w:rPr>
        <w:sectPr>
          <w:headerReference r:id="rId8" w:type="first"/>
          <w:footerReference r:id="rId11" w:type="first"/>
          <w:headerReference r:id="rId7" w:type="default"/>
          <w:footerReference r:id="rId9" w:type="default"/>
          <w:footerReference r:id="rId10" w:type="even"/>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p>
    <w:bookmarkEnd w:id="0"/>
    <w:p w14:paraId="2268EE86">
      <w:pPr>
        <w:pStyle w:val="5"/>
        <w:spacing w:before="0" w:after="240" w:line="400" w:lineRule="exact"/>
        <w:jc w:val="center"/>
        <w:rPr>
          <w:rFonts w:ascii="华文中宋" w:hAnsi="华文中宋" w:eastAsia="华文中宋"/>
          <w:color w:val="auto"/>
          <w:sz w:val="36"/>
          <w:szCs w:val="36"/>
          <w:highlight w:val="none"/>
        </w:rPr>
      </w:pPr>
      <w:bookmarkStart w:id="2" w:name="_Toc125344503"/>
      <w:r>
        <w:rPr>
          <w:rFonts w:hint="eastAsia" w:ascii="华文中宋" w:hAnsi="华文中宋" w:eastAsia="华文中宋"/>
          <w:color w:val="auto"/>
          <w:sz w:val="36"/>
          <w:szCs w:val="36"/>
          <w:highlight w:val="none"/>
        </w:rPr>
        <w:t>第二章</w:t>
      </w:r>
      <w:r>
        <w:rPr>
          <w:rFonts w:hint="eastAsia" w:ascii="华文中宋" w:hAnsi="华文中宋" w:eastAsia="华文中宋"/>
          <w:color w:val="auto"/>
          <w:sz w:val="36"/>
          <w:szCs w:val="36"/>
          <w:highlight w:val="none"/>
          <w:lang w:val="en-US" w:eastAsia="zh-CN"/>
        </w:rPr>
        <w:t xml:space="preserve">  </w:t>
      </w:r>
      <w:r>
        <w:rPr>
          <w:rFonts w:hint="eastAsia" w:ascii="华文中宋" w:hAnsi="华文中宋" w:eastAsia="华文中宋"/>
          <w:color w:val="auto"/>
          <w:sz w:val="36"/>
          <w:szCs w:val="36"/>
          <w:highlight w:val="none"/>
        </w:rPr>
        <w:t>投标人须知</w:t>
      </w:r>
    </w:p>
    <w:p w14:paraId="09BDF2E3">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前  附  表</w:t>
      </w:r>
    </w:p>
    <w:tbl>
      <w:tblPr>
        <w:tblStyle w:val="51"/>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47"/>
        <w:gridCol w:w="7618"/>
      </w:tblGrid>
      <w:tr w14:paraId="666B9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blHeader/>
          <w:jc w:val="center"/>
        </w:trPr>
        <w:tc>
          <w:tcPr>
            <w:tcW w:w="704" w:type="dxa"/>
            <w:tcBorders>
              <w:top w:val="single" w:color="auto" w:sz="12" w:space="0"/>
              <w:bottom w:val="single" w:color="auto" w:sz="6" w:space="0"/>
            </w:tcBorders>
            <w:shd w:val="clear" w:color="auto" w:fill="DAEBFB"/>
            <w:vAlign w:val="center"/>
          </w:tcPr>
          <w:p w14:paraId="6D87CFE4">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747" w:type="dxa"/>
            <w:tcBorders>
              <w:top w:val="single" w:color="auto" w:sz="12" w:space="0"/>
              <w:bottom w:val="single" w:color="auto" w:sz="6" w:space="0"/>
            </w:tcBorders>
            <w:shd w:val="clear" w:color="auto" w:fill="DAEBFB"/>
            <w:vAlign w:val="center"/>
          </w:tcPr>
          <w:p w14:paraId="55E38C0C">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内容</w:t>
            </w:r>
          </w:p>
        </w:tc>
        <w:tc>
          <w:tcPr>
            <w:tcW w:w="7618" w:type="dxa"/>
            <w:tcBorders>
              <w:top w:val="single" w:color="auto" w:sz="12" w:space="0"/>
              <w:bottom w:val="single" w:color="auto" w:sz="6" w:space="0"/>
            </w:tcBorders>
            <w:shd w:val="clear" w:color="auto" w:fill="DAEBFB"/>
            <w:vAlign w:val="center"/>
          </w:tcPr>
          <w:p w14:paraId="27693268">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本项目说明与特别规定</w:t>
            </w:r>
          </w:p>
        </w:tc>
      </w:tr>
      <w:tr w14:paraId="24EDD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vAlign w:val="center"/>
          </w:tcPr>
          <w:p w14:paraId="1719AADD">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w:t>
            </w:r>
          </w:p>
        </w:tc>
        <w:tc>
          <w:tcPr>
            <w:tcW w:w="1747" w:type="dxa"/>
            <w:tcBorders>
              <w:top w:val="single" w:color="auto" w:sz="6" w:space="0"/>
            </w:tcBorders>
            <w:vAlign w:val="center"/>
          </w:tcPr>
          <w:p w14:paraId="0A404CEC">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项目名称</w:t>
            </w:r>
          </w:p>
        </w:tc>
        <w:tc>
          <w:tcPr>
            <w:tcW w:w="7618" w:type="dxa"/>
            <w:tcBorders>
              <w:top w:val="single" w:color="auto" w:sz="6" w:space="0"/>
            </w:tcBorders>
            <w:vAlign w:val="center"/>
          </w:tcPr>
          <w:p w14:paraId="773B4235">
            <w:pPr>
              <w:keepNext w:val="0"/>
              <w:keepLines w:val="0"/>
              <w:pageBreakBefore w:val="0"/>
              <w:widowControl w:val="0"/>
              <w:kinsoku/>
              <w:wordWrap/>
              <w:overflowPunct/>
              <w:topLinePunct w:val="0"/>
              <w:bidi w:val="0"/>
              <w:spacing w:line="320" w:lineRule="exact"/>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诸暨市城市生活污水治理扩面提效项目--暨南街道雨污水管网建设工程道路交通安全评估服务采购项目</w:t>
            </w:r>
          </w:p>
        </w:tc>
      </w:tr>
      <w:tr w14:paraId="706D5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8224780">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w:t>
            </w:r>
          </w:p>
        </w:tc>
        <w:tc>
          <w:tcPr>
            <w:tcW w:w="1747" w:type="dxa"/>
            <w:vAlign w:val="center"/>
          </w:tcPr>
          <w:p w14:paraId="1DFC62A6">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采购方式</w:t>
            </w:r>
          </w:p>
        </w:tc>
        <w:tc>
          <w:tcPr>
            <w:tcW w:w="7618" w:type="dxa"/>
            <w:vAlign w:val="center"/>
          </w:tcPr>
          <w:p w14:paraId="14EA84C6">
            <w:pPr>
              <w:keepNext w:val="0"/>
              <w:keepLines w:val="0"/>
              <w:pageBreakBefore w:val="0"/>
              <w:widowControl w:val="0"/>
              <w:kinsoku/>
              <w:wordWrap/>
              <w:overflowPunct/>
              <w:topLinePunct w:val="0"/>
              <w:bidi w:val="0"/>
              <w:spacing w:line="32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公开招标</w:t>
            </w:r>
          </w:p>
        </w:tc>
      </w:tr>
      <w:tr w14:paraId="399BC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2DB3F8F">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3</w:t>
            </w:r>
          </w:p>
        </w:tc>
        <w:tc>
          <w:tcPr>
            <w:tcW w:w="1747" w:type="dxa"/>
            <w:vAlign w:val="center"/>
          </w:tcPr>
          <w:p w14:paraId="5FD07441">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评标方法</w:t>
            </w:r>
          </w:p>
        </w:tc>
        <w:tc>
          <w:tcPr>
            <w:tcW w:w="7618" w:type="dxa"/>
            <w:vAlign w:val="center"/>
          </w:tcPr>
          <w:p w14:paraId="2C4FEA3B">
            <w:pPr>
              <w:keepNext w:val="0"/>
              <w:keepLines w:val="0"/>
              <w:pageBreakBefore w:val="0"/>
              <w:widowControl w:val="0"/>
              <w:kinsoku/>
              <w:wordWrap/>
              <w:overflowPunct/>
              <w:topLinePunct w:val="0"/>
              <w:bidi w:val="0"/>
              <w:spacing w:line="32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综合评分法</w:t>
            </w:r>
          </w:p>
        </w:tc>
      </w:tr>
      <w:tr w14:paraId="7453A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704" w:type="dxa"/>
            <w:vAlign w:val="center"/>
          </w:tcPr>
          <w:p w14:paraId="06A7385D">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4</w:t>
            </w:r>
          </w:p>
        </w:tc>
        <w:tc>
          <w:tcPr>
            <w:tcW w:w="1747" w:type="dxa"/>
            <w:vAlign w:val="center"/>
          </w:tcPr>
          <w:p w14:paraId="71EA3D28">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最高限价</w:t>
            </w:r>
          </w:p>
        </w:tc>
        <w:tc>
          <w:tcPr>
            <w:tcW w:w="7618" w:type="dxa"/>
            <w:vAlign w:val="center"/>
          </w:tcPr>
          <w:p w14:paraId="25985BE2">
            <w:pPr>
              <w:pStyle w:val="153"/>
              <w:keepNext w:val="0"/>
              <w:keepLines w:val="0"/>
              <w:pageBreakBefore w:val="0"/>
              <w:widowControl w:val="0"/>
              <w:kinsoku/>
              <w:wordWrap/>
              <w:overflowPunct/>
              <w:topLinePunct w:val="0"/>
              <w:bidi w:val="0"/>
              <w:spacing w:line="320" w:lineRule="exact"/>
              <w:ind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按固定单价招标，数量按实结算，单个项目最高限价为人民币伍万元整，任何超过最高限价的报价将被认定为无效报价（报价包括履行本项目所有规定服务所产生的全部税金、利润和费用，投标人应充分考虑并将有关本项目实施所涉及的一切费用均计入报价）。</w:t>
            </w:r>
          </w:p>
        </w:tc>
      </w:tr>
      <w:tr w14:paraId="3580E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88531C9">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5</w:t>
            </w:r>
          </w:p>
        </w:tc>
        <w:tc>
          <w:tcPr>
            <w:tcW w:w="1747" w:type="dxa"/>
            <w:vAlign w:val="center"/>
          </w:tcPr>
          <w:p w14:paraId="0EF61F26">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投标人（供应商）资格要求</w:t>
            </w:r>
          </w:p>
        </w:tc>
        <w:tc>
          <w:tcPr>
            <w:tcW w:w="7618" w:type="dxa"/>
            <w:vAlign w:val="center"/>
          </w:tcPr>
          <w:p w14:paraId="71598621">
            <w:pPr>
              <w:pStyle w:val="26"/>
              <w:keepNext w:val="0"/>
              <w:keepLines w:val="0"/>
              <w:pageBreakBefore w:val="0"/>
              <w:widowControl w:val="0"/>
              <w:kinsoku/>
              <w:wordWrap/>
              <w:overflowPunct/>
              <w:topLinePunct w:val="0"/>
              <w:bidi w:val="0"/>
              <w:spacing w:line="320" w:lineRule="exact"/>
              <w:jc w:val="left"/>
              <w:textAlignment w:val="auto"/>
              <w:rPr>
                <w:rFonts w:ascii="仿宋" w:hAnsi="仿宋" w:eastAsia="仿宋" w:cs="仿宋"/>
                <w:b/>
                <w:color w:val="auto"/>
                <w:szCs w:val="24"/>
                <w:highlight w:val="none"/>
              </w:rPr>
            </w:pPr>
            <w:r>
              <w:rPr>
                <w:rFonts w:hint="eastAsia" w:ascii="仿宋" w:hAnsi="仿宋" w:eastAsia="仿宋" w:cs="仿宋"/>
                <w:color w:val="auto"/>
                <w:szCs w:val="24"/>
                <w:highlight w:val="none"/>
              </w:rPr>
              <w:t>详见《第一章 招标公告》</w:t>
            </w:r>
          </w:p>
        </w:tc>
      </w:tr>
      <w:tr w14:paraId="6D95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2311667">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6</w:t>
            </w:r>
          </w:p>
        </w:tc>
        <w:tc>
          <w:tcPr>
            <w:tcW w:w="1747" w:type="dxa"/>
            <w:vAlign w:val="center"/>
          </w:tcPr>
          <w:p w14:paraId="04E32A73">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是否接受联合体投标</w:t>
            </w:r>
          </w:p>
        </w:tc>
        <w:tc>
          <w:tcPr>
            <w:tcW w:w="7618" w:type="dxa"/>
            <w:vAlign w:val="center"/>
          </w:tcPr>
          <w:p w14:paraId="637CC42B">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b/>
                <w:bCs/>
                <w:color w:val="auto"/>
                <w:sz w:val="24"/>
                <w:szCs w:val="24"/>
                <w:highlight w:val="none"/>
                <w:u w:val="single"/>
              </w:rPr>
              <w:t>不</w:t>
            </w:r>
            <w:r>
              <w:rPr>
                <w:rFonts w:hint="eastAsia" w:ascii="仿宋" w:hAnsi="仿宋" w:eastAsia="仿宋" w:cs="仿宋"/>
                <w:b w:val="0"/>
                <w:bCs w:val="0"/>
                <w:color w:val="auto"/>
                <w:sz w:val="24"/>
                <w:szCs w:val="24"/>
                <w:highlight w:val="none"/>
                <w:u w:val="none"/>
              </w:rPr>
              <w:t>接收</w:t>
            </w:r>
            <w:r>
              <w:rPr>
                <w:rFonts w:hint="eastAsia" w:ascii="仿宋" w:hAnsi="仿宋" w:eastAsia="仿宋" w:cs="仿宋"/>
                <w:color w:val="auto"/>
                <w:sz w:val="24"/>
                <w:szCs w:val="24"/>
                <w:highlight w:val="none"/>
              </w:rPr>
              <w:t>联合体投标</w:t>
            </w:r>
          </w:p>
        </w:tc>
      </w:tr>
      <w:tr w14:paraId="1460A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5465A7A">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7</w:t>
            </w:r>
          </w:p>
        </w:tc>
        <w:tc>
          <w:tcPr>
            <w:tcW w:w="1747" w:type="dxa"/>
            <w:vAlign w:val="center"/>
          </w:tcPr>
          <w:p w14:paraId="38B42DC9">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标的划分</w:t>
            </w:r>
          </w:p>
        </w:tc>
        <w:tc>
          <w:tcPr>
            <w:tcW w:w="7618" w:type="dxa"/>
            <w:vAlign w:val="center"/>
          </w:tcPr>
          <w:p w14:paraId="545F9C6F">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position w:val="2"/>
                <w:sz w:val="16"/>
                <w:szCs w:val="24"/>
                <w:highlight w:val="none"/>
              </w:rPr>
              <w:instrText xml:space="preserve">√</w:instrText>
            </w:r>
            <w:r>
              <w:rPr>
                <w:rFonts w:hint="eastAsia" w:ascii="仿宋" w:hAnsi="仿宋" w:eastAsia="仿宋" w:cs="仿宋"/>
                <w:color w:val="auto"/>
                <w:sz w:val="24"/>
                <w:szCs w:val="24"/>
                <w:highlight w:val="none"/>
              </w:rPr>
              <w:instrText xml:space="preserve">)</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本次招标采购共分</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个标的，采购人将整体择定中标人。</w:t>
            </w:r>
          </w:p>
        </w:tc>
      </w:tr>
      <w:tr w14:paraId="64211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0C56211">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8</w:t>
            </w:r>
          </w:p>
        </w:tc>
        <w:tc>
          <w:tcPr>
            <w:tcW w:w="1747" w:type="dxa"/>
            <w:vAlign w:val="center"/>
          </w:tcPr>
          <w:p w14:paraId="1DCC16DA">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资格审查方式</w:t>
            </w:r>
          </w:p>
        </w:tc>
        <w:tc>
          <w:tcPr>
            <w:tcW w:w="7618" w:type="dxa"/>
            <w:vAlign w:val="center"/>
          </w:tcPr>
          <w:p w14:paraId="7C3E7242">
            <w:pPr>
              <w:keepNext w:val="0"/>
              <w:keepLines w:val="0"/>
              <w:pageBreakBefore w:val="0"/>
              <w:widowControl w:val="0"/>
              <w:kinsoku/>
              <w:wordWrap/>
              <w:overflowPunct/>
              <w:topLinePunct w:val="0"/>
              <w:bidi w:val="0"/>
              <w:snapToGrid w:val="0"/>
              <w:spacing w:line="32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资格后审，由</w:t>
            </w:r>
            <w:r>
              <w:rPr>
                <w:rFonts w:hint="eastAsia" w:ascii="仿宋" w:hAnsi="仿宋" w:eastAsia="仿宋" w:cs="仿宋"/>
                <w:color w:val="auto"/>
                <w:kern w:val="2"/>
                <w:sz w:val="24"/>
                <w:szCs w:val="24"/>
                <w:highlight w:val="none"/>
              </w:rPr>
              <w:t>采购人或委托采购代理机构对投标人进行资格审查</w:t>
            </w:r>
            <w:r>
              <w:rPr>
                <w:rFonts w:hint="eastAsia" w:ascii="仿宋" w:hAnsi="仿宋" w:eastAsia="仿宋" w:cs="仿宋"/>
                <w:color w:val="auto"/>
                <w:kern w:val="2"/>
                <w:sz w:val="24"/>
                <w:szCs w:val="24"/>
                <w:highlight w:val="none"/>
                <w:lang w:eastAsia="zh-CN"/>
              </w:rPr>
              <w:t>。</w:t>
            </w:r>
          </w:p>
        </w:tc>
      </w:tr>
      <w:tr w14:paraId="76CBE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04" w:type="dxa"/>
            <w:vAlign w:val="center"/>
          </w:tcPr>
          <w:p w14:paraId="71F03968">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9</w:t>
            </w:r>
          </w:p>
        </w:tc>
        <w:tc>
          <w:tcPr>
            <w:tcW w:w="1747" w:type="dxa"/>
            <w:vAlign w:val="center"/>
          </w:tcPr>
          <w:p w14:paraId="0A162731">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招标文件的</w:t>
            </w:r>
          </w:p>
          <w:p w14:paraId="19C72DBB">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获取</w:t>
            </w:r>
          </w:p>
        </w:tc>
        <w:tc>
          <w:tcPr>
            <w:tcW w:w="7618" w:type="dxa"/>
            <w:vAlign w:val="center"/>
          </w:tcPr>
          <w:p w14:paraId="7015663F">
            <w:pPr>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sz w:val="24"/>
                <w:highlight w:val="none"/>
              </w:rPr>
            </w:pPr>
            <w:r>
              <w:rPr>
                <w:rFonts w:hint="eastAsia" w:ascii="仿宋" w:hAnsi="仿宋" w:eastAsia="仿宋" w:cs="仿宋"/>
                <w:color w:val="auto"/>
                <w:kern w:val="2"/>
                <w:sz w:val="24"/>
                <w:szCs w:val="24"/>
                <w:highlight w:val="none"/>
              </w:rPr>
              <w:t>详见《第一章 招标公告》</w:t>
            </w:r>
          </w:p>
        </w:tc>
      </w:tr>
      <w:tr w14:paraId="69953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D167A84">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10</w:t>
            </w:r>
          </w:p>
        </w:tc>
        <w:tc>
          <w:tcPr>
            <w:tcW w:w="1747" w:type="dxa"/>
            <w:vAlign w:val="center"/>
          </w:tcPr>
          <w:p w14:paraId="78998947">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投标保证金</w:t>
            </w:r>
          </w:p>
        </w:tc>
        <w:tc>
          <w:tcPr>
            <w:tcW w:w="7618" w:type="dxa"/>
            <w:vAlign w:val="center"/>
          </w:tcPr>
          <w:p w14:paraId="29ED4594">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本项目免收投标保证金</w:t>
            </w:r>
          </w:p>
        </w:tc>
      </w:tr>
      <w:tr w14:paraId="74228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4" w:type="dxa"/>
            <w:vAlign w:val="center"/>
          </w:tcPr>
          <w:p w14:paraId="63C26CBD">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11</w:t>
            </w:r>
          </w:p>
        </w:tc>
        <w:tc>
          <w:tcPr>
            <w:tcW w:w="1747" w:type="dxa"/>
            <w:vAlign w:val="center"/>
          </w:tcPr>
          <w:p w14:paraId="0CF405A8">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资格文件</w:t>
            </w:r>
          </w:p>
        </w:tc>
        <w:tc>
          <w:tcPr>
            <w:tcW w:w="7618" w:type="dxa"/>
            <w:vAlign w:val="center"/>
          </w:tcPr>
          <w:p w14:paraId="59F76FC9">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（1）营业执照复印件（加盖单位公章）；</w:t>
            </w:r>
          </w:p>
          <w:p w14:paraId="5856CA9A">
            <w:pPr>
              <w:keepNext w:val="0"/>
              <w:keepLines w:val="0"/>
              <w:pageBreakBefore w:val="0"/>
              <w:widowControl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（2）符合参与采购活动资格条件的承诺函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格式见第六章</w:t>
            </w:r>
            <w:r>
              <w:rPr>
                <w:rFonts w:hint="eastAsia" w:ascii="仿宋" w:hAnsi="仿宋" w:eastAsia="仿宋" w:cs="仿宋"/>
                <w:color w:val="auto"/>
                <w:sz w:val="24"/>
                <w:szCs w:val="24"/>
                <w:highlight w:val="none"/>
                <w:lang w:eastAsia="zh-CN"/>
              </w:rPr>
              <w:t>）；</w:t>
            </w:r>
          </w:p>
          <w:p w14:paraId="2E06AB06">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授权委托书》（说明：法定代表人（或单位负责人）亲自参加的，只需提供法定代表人（或单位负责人）身份证（正反面）复印件并加盖单位公章；法定代表人（或单位负责人）授权委托代表参加的，需提供授权委托书，</w:t>
            </w:r>
            <w:r>
              <w:rPr>
                <w:rFonts w:hint="eastAsia" w:ascii="仿宋" w:hAnsi="仿宋" w:eastAsia="仿宋" w:cs="仿宋"/>
                <w:color w:val="auto"/>
                <w:sz w:val="24"/>
                <w:szCs w:val="24"/>
                <w:highlight w:val="none"/>
                <w:u w:val="none"/>
              </w:rPr>
              <w:t>格式见第六章)</w:t>
            </w:r>
            <w:r>
              <w:rPr>
                <w:rFonts w:hint="eastAsia" w:ascii="仿宋" w:hAnsi="仿宋" w:eastAsia="仿宋" w:cs="仿宋"/>
                <w:color w:val="auto"/>
                <w:sz w:val="24"/>
                <w:szCs w:val="24"/>
                <w:highlight w:val="none"/>
              </w:rPr>
              <w:t>；</w:t>
            </w:r>
          </w:p>
          <w:p w14:paraId="3068893E">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szCs w:val="24"/>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4</w:t>
            </w:r>
            <w:r>
              <w:rPr>
                <w:rFonts w:hint="eastAsia" w:ascii="仿宋" w:hAnsi="仿宋" w:eastAsia="仿宋" w:cs="仿宋"/>
                <w:color w:val="auto"/>
                <w:szCs w:val="24"/>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37A42BE2">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lang w:eastAsia="zh-CN"/>
              </w:rPr>
              <w:t>）特定资格要求证明材料：</w:t>
            </w:r>
            <w:r>
              <w:rPr>
                <w:rFonts w:hint="eastAsia" w:ascii="仿宋" w:hAnsi="仿宋" w:eastAsia="仿宋" w:cs="仿宋"/>
                <w:color w:val="auto"/>
                <w:kern w:val="2"/>
                <w:sz w:val="24"/>
                <w:szCs w:val="24"/>
                <w:highlight w:val="none"/>
                <w:lang w:val="en-US" w:eastAsia="zh-CN"/>
              </w:rPr>
              <w:t>提供</w:t>
            </w:r>
            <w:r>
              <w:rPr>
                <w:rFonts w:hint="eastAsia" w:ascii="仿宋" w:hAnsi="仿宋" w:eastAsia="仿宋" w:cs="仿宋"/>
                <w:b/>
                <w:bCs/>
                <w:color w:val="auto"/>
                <w:kern w:val="2"/>
                <w:sz w:val="24"/>
                <w:szCs w:val="24"/>
                <w:highlight w:val="none"/>
                <w:lang w:val="en-US" w:eastAsia="zh-CN"/>
              </w:rPr>
              <w:t>工程咨询单位乙级资信预评价及以上（专业：公路）</w:t>
            </w:r>
            <w:r>
              <w:rPr>
                <w:rFonts w:hint="eastAsia" w:ascii="仿宋" w:hAnsi="仿宋" w:eastAsia="仿宋" w:cs="仿宋"/>
                <w:color w:val="auto"/>
                <w:kern w:val="2"/>
                <w:sz w:val="24"/>
                <w:szCs w:val="24"/>
                <w:highlight w:val="none"/>
                <w:lang w:val="en-US" w:eastAsia="zh-CN"/>
              </w:rPr>
              <w:t>证书</w:t>
            </w:r>
            <w:r>
              <w:rPr>
                <w:rFonts w:hint="eastAsia" w:ascii="仿宋" w:hAnsi="仿宋" w:eastAsia="仿宋" w:cs="仿宋"/>
                <w:color w:val="auto"/>
                <w:kern w:val="2"/>
                <w:sz w:val="24"/>
                <w:szCs w:val="24"/>
                <w:highlight w:val="none"/>
                <w:lang w:eastAsia="zh-CN"/>
              </w:rPr>
              <w:t>复印件（加盖单位公章）</w:t>
            </w:r>
            <w:r>
              <w:rPr>
                <w:rFonts w:hint="eastAsia" w:ascii="仿宋" w:hAnsi="仿宋" w:eastAsia="仿宋" w:cs="仿宋"/>
                <w:color w:val="auto"/>
                <w:szCs w:val="24"/>
                <w:highlight w:val="none"/>
              </w:rPr>
              <w:t>；</w:t>
            </w:r>
          </w:p>
          <w:p w14:paraId="09E7966C">
            <w:pPr>
              <w:keepNext w:val="0"/>
              <w:keepLines w:val="0"/>
              <w:pageBreakBefore w:val="0"/>
              <w:widowControl w:val="0"/>
              <w:kinsoku/>
              <w:wordWrap/>
              <w:overflowPunct/>
              <w:topLinePunct w:val="0"/>
              <w:autoSpaceDE/>
              <w:autoSpaceDN/>
              <w:bidi w:val="0"/>
              <w:spacing w:line="320" w:lineRule="exact"/>
              <w:textAlignment w:val="auto"/>
              <w:rPr>
                <w:rFonts w:ascii="仿宋" w:hAnsi="仿宋" w:eastAsia="仿宋" w:cs="仿宋"/>
                <w:b/>
                <w:color w:val="auto"/>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其他资格证书（如需要，加盖单位公章）</w:t>
            </w:r>
            <w:r>
              <w:rPr>
                <w:rFonts w:hint="eastAsia" w:ascii="仿宋" w:hAnsi="仿宋" w:eastAsia="仿宋" w:cs="仿宋"/>
                <w:color w:val="auto"/>
                <w:kern w:val="2"/>
                <w:sz w:val="24"/>
                <w:szCs w:val="24"/>
                <w:highlight w:val="none"/>
                <w:lang w:eastAsia="zh-CN"/>
              </w:rPr>
              <w:t>。</w:t>
            </w:r>
          </w:p>
        </w:tc>
      </w:tr>
      <w:tr w14:paraId="0A034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4" w:type="dxa"/>
            <w:vAlign w:val="center"/>
          </w:tcPr>
          <w:p w14:paraId="709608A2">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12</w:t>
            </w:r>
          </w:p>
        </w:tc>
        <w:tc>
          <w:tcPr>
            <w:tcW w:w="1747" w:type="dxa"/>
            <w:vAlign w:val="center"/>
          </w:tcPr>
          <w:p w14:paraId="102BC71B">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Cs w:val="24"/>
                <w:highlight w:val="none"/>
              </w:rPr>
              <w:t>商务技术文件</w:t>
            </w:r>
          </w:p>
        </w:tc>
        <w:tc>
          <w:tcPr>
            <w:tcW w:w="7618" w:type="dxa"/>
            <w:vAlign w:val="center"/>
          </w:tcPr>
          <w:p w14:paraId="33CA429B">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（1）投标人基本情况介绍；</w:t>
            </w:r>
          </w:p>
          <w:p w14:paraId="4757EADB">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（2）相关资质证明或文件复印件（如需要，加盖单位公章）；</w:t>
            </w:r>
          </w:p>
          <w:p w14:paraId="67E33ED9">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（3）成功案例和业绩证明（如有）；</w:t>
            </w:r>
          </w:p>
          <w:p w14:paraId="143328B1">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（4）对本项目总体要求的理解及投标方案描述，提供服务方案说明（如需要）；</w:t>
            </w:r>
          </w:p>
          <w:p w14:paraId="1C91419A">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（5）技术（服务）偏离表（格式见第六章）；</w:t>
            </w:r>
          </w:p>
          <w:p w14:paraId="72296428">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（6）评分标准相对应的商务技术资料（按商务技术评分细则的顺序提供评分标准中相对应的商务技术资料）；</w:t>
            </w:r>
          </w:p>
          <w:p w14:paraId="3DC4B66C">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（7）招标文件标明的影响投标人资格的其他证明文件（如实质性响应条款、相关承诺、特别约定内容等）（如需要）；</w:t>
            </w:r>
          </w:p>
          <w:p w14:paraId="4317DF4A">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（8）投标人需要说明的其他文件和说明（格式自拟）。</w:t>
            </w:r>
          </w:p>
          <w:p w14:paraId="05DBC387">
            <w:pPr>
              <w:keepNext w:val="0"/>
              <w:keepLines w:val="0"/>
              <w:pageBreakBefore w:val="0"/>
              <w:widowControl w:val="0"/>
              <w:kinsoku/>
              <w:wordWrap/>
              <w:overflowPunct/>
              <w:topLinePunct w:val="0"/>
              <w:bidi w:val="0"/>
              <w:snapToGrid w:val="0"/>
              <w:spacing w:line="320" w:lineRule="exact"/>
              <w:jc w:val="left"/>
              <w:textAlignment w:val="auto"/>
              <w:rPr>
                <w:rFonts w:hint="eastAsia" w:ascii="仿宋" w:hAnsi="仿宋" w:eastAsia="仿宋" w:cs="仿宋"/>
                <w:b/>
                <w:color w:val="auto"/>
                <w:sz w:val="21"/>
                <w:szCs w:val="24"/>
                <w:highlight w:val="none"/>
                <w:lang w:val="en-US" w:eastAsia="zh-CN" w:bidi="ar-SA"/>
              </w:rPr>
            </w:pPr>
            <w:r>
              <w:rPr>
                <w:rFonts w:hint="eastAsia" w:ascii="仿宋" w:hAnsi="仿宋" w:eastAsia="仿宋" w:cs="宋体"/>
                <w:b/>
                <w:bCs/>
                <w:i w:val="0"/>
                <w:iCs w:val="0"/>
                <w:color w:val="auto"/>
                <w:sz w:val="24"/>
                <w:szCs w:val="24"/>
                <w:highlight w:val="none"/>
                <w:lang w:val="en-US" w:eastAsia="zh-CN"/>
              </w:rPr>
              <w:t>注：投标人需按上述要求（包含但不限于）提供相应材料，投标人在“商务技术文件”中应对招标文件作实质性响应，该项内容将作为评标重</w:t>
            </w:r>
            <w:r>
              <w:rPr>
                <w:rFonts w:hint="eastAsia" w:ascii="仿宋" w:hAnsi="仿宋" w:eastAsia="仿宋" w:cs="仿宋"/>
                <w:b/>
                <w:bCs/>
                <w:color w:val="auto"/>
                <w:sz w:val="24"/>
                <w:szCs w:val="24"/>
                <w:highlight w:val="none"/>
              </w:rPr>
              <w:t>要指标。</w:t>
            </w:r>
          </w:p>
        </w:tc>
      </w:tr>
      <w:tr w14:paraId="3464B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08A9F3F">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p>
        </w:tc>
        <w:tc>
          <w:tcPr>
            <w:tcW w:w="1747" w:type="dxa"/>
            <w:vAlign w:val="center"/>
          </w:tcPr>
          <w:p w14:paraId="1EEE8464">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报价</w:t>
            </w:r>
            <w:r>
              <w:rPr>
                <w:rFonts w:hint="eastAsia" w:ascii="仿宋" w:hAnsi="仿宋" w:eastAsia="仿宋" w:cs="仿宋"/>
                <w:b/>
                <w:color w:val="auto"/>
                <w:szCs w:val="24"/>
                <w:highlight w:val="none"/>
              </w:rPr>
              <w:t>文件</w:t>
            </w:r>
          </w:p>
        </w:tc>
        <w:tc>
          <w:tcPr>
            <w:tcW w:w="7618" w:type="dxa"/>
            <w:vAlign w:val="center"/>
          </w:tcPr>
          <w:p w14:paraId="137D69A6">
            <w:pPr>
              <w:keepNext w:val="0"/>
              <w:keepLines w:val="0"/>
              <w:pageBreakBefore w:val="0"/>
              <w:widowControl w:val="0"/>
              <w:tabs>
                <w:tab w:val="left" w:pos="3870"/>
                <w:tab w:val="left" w:pos="4085"/>
              </w:tabs>
              <w:kinsoku/>
              <w:wordWrap/>
              <w:overflowPunct/>
              <w:topLinePunct w:val="0"/>
              <w:bidi w:val="0"/>
              <w:snapToGrid w:val="0"/>
              <w:spacing w:line="32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（1）投标函（格式见第六章）；</w:t>
            </w:r>
          </w:p>
          <w:p w14:paraId="212A6B9D">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（2）开标一览表（格式见第六章）；</w:t>
            </w:r>
          </w:p>
          <w:p w14:paraId="027BDE14">
            <w:pPr>
              <w:keepNext w:val="0"/>
              <w:keepLines w:val="0"/>
              <w:pageBreakBefore w:val="0"/>
              <w:widowControl w:val="0"/>
              <w:kinsoku/>
              <w:wordWrap/>
              <w:overflowPunct/>
              <w:topLinePunct w:val="0"/>
              <w:bidi w:val="0"/>
              <w:snapToGrid w:val="0"/>
              <w:spacing w:line="320" w:lineRule="exact"/>
              <w:jc w:val="lef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（3）投标承诺书（格式见第六章）</w:t>
            </w:r>
            <w:r>
              <w:rPr>
                <w:rFonts w:hint="eastAsia" w:ascii="仿宋" w:hAnsi="仿宋" w:eastAsia="仿宋"/>
                <w:color w:val="auto"/>
                <w:sz w:val="24"/>
                <w:szCs w:val="24"/>
                <w:highlight w:val="none"/>
                <w:lang w:eastAsia="zh-CN"/>
              </w:rPr>
              <w:t>；</w:t>
            </w:r>
          </w:p>
          <w:p w14:paraId="5C0AEEAB">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w:t>
            </w:r>
            <w:r>
              <w:rPr>
                <w:rFonts w:ascii="仿宋" w:hAnsi="仿宋" w:eastAsia="仿宋"/>
                <w:color w:val="auto"/>
                <w:sz w:val="24"/>
                <w:szCs w:val="24"/>
                <w:highlight w:val="none"/>
              </w:rPr>
              <w:t>标人需要说明的其他文件和说明（格式自拟）</w:t>
            </w:r>
            <w:r>
              <w:rPr>
                <w:rFonts w:hint="eastAsia" w:ascii="仿宋" w:hAnsi="仿宋" w:eastAsia="仿宋"/>
                <w:color w:val="auto"/>
                <w:sz w:val="24"/>
                <w:szCs w:val="24"/>
                <w:highlight w:val="none"/>
              </w:rPr>
              <w:t>。</w:t>
            </w:r>
          </w:p>
          <w:p w14:paraId="19E026F6">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b/>
                <w:color w:val="auto"/>
                <w:szCs w:val="24"/>
                <w:highlight w:val="none"/>
              </w:rPr>
            </w:pPr>
            <w:r>
              <w:rPr>
                <w:rFonts w:ascii="仿宋" w:hAnsi="仿宋" w:eastAsia="仿宋"/>
                <w:b/>
                <w:color w:val="auto"/>
                <w:sz w:val="24"/>
                <w:szCs w:val="24"/>
                <w:highlight w:val="none"/>
              </w:rPr>
              <w:t>注：</w:t>
            </w:r>
            <w:r>
              <w:rPr>
                <w:rFonts w:hint="eastAsia" w:ascii="仿宋" w:hAnsi="仿宋" w:eastAsia="仿宋"/>
                <w:b/>
                <w:color w:val="auto"/>
                <w:sz w:val="24"/>
                <w:szCs w:val="24"/>
                <w:highlight w:val="none"/>
              </w:rPr>
              <w:t>投标函、开标一览表必须加盖单位公章。</w:t>
            </w:r>
          </w:p>
        </w:tc>
      </w:tr>
      <w:tr w14:paraId="45058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4C6BE07">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4</w:t>
            </w:r>
          </w:p>
        </w:tc>
        <w:tc>
          <w:tcPr>
            <w:tcW w:w="1747" w:type="dxa"/>
            <w:vAlign w:val="center"/>
          </w:tcPr>
          <w:p w14:paraId="7986D590">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现场演示</w:t>
            </w:r>
          </w:p>
        </w:tc>
        <w:tc>
          <w:tcPr>
            <w:tcW w:w="7618" w:type="dxa"/>
            <w:vAlign w:val="center"/>
          </w:tcPr>
          <w:p w14:paraId="4E14293F">
            <w:pPr>
              <w:keepNext w:val="0"/>
              <w:keepLines w:val="0"/>
              <w:pageBreakBefore w:val="0"/>
              <w:widowControl w:val="0"/>
              <w:tabs>
                <w:tab w:val="left" w:pos="3870"/>
                <w:tab w:val="left" w:pos="4085"/>
              </w:tabs>
              <w:kinsoku/>
              <w:wordWrap/>
              <w:overflowPunct/>
              <w:topLinePunct w:val="0"/>
              <w:bidi w:val="0"/>
              <w:snapToGrid w:val="0"/>
              <w:spacing w:line="32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按招标文件相关要求执行。</w:t>
            </w:r>
          </w:p>
        </w:tc>
      </w:tr>
      <w:tr w14:paraId="0B21B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AF5A832">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p>
        </w:tc>
        <w:tc>
          <w:tcPr>
            <w:tcW w:w="1747" w:type="dxa"/>
            <w:vAlign w:val="center"/>
          </w:tcPr>
          <w:p w14:paraId="099315D7">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投标样品</w:t>
            </w:r>
          </w:p>
        </w:tc>
        <w:tc>
          <w:tcPr>
            <w:tcW w:w="7618" w:type="dxa"/>
            <w:vAlign w:val="center"/>
          </w:tcPr>
          <w:p w14:paraId="623E4540">
            <w:pPr>
              <w:keepNext w:val="0"/>
              <w:keepLines w:val="0"/>
              <w:pageBreakBefore w:val="0"/>
              <w:widowControl w:val="0"/>
              <w:tabs>
                <w:tab w:val="left" w:pos="3870"/>
                <w:tab w:val="left" w:pos="4085"/>
              </w:tabs>
              <w:kinsoku/>
              <w:wordWrap/>
              <w:overflowPunct/>
              <w:topLinePunct w:val="0"/>
              <w:bidi w:val="0"/>
              <w:snapToGrid w:val="0"/>
              <w:spacing w:line="32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按招标文件相关要求执行。</w:t>
            </w:r>
          </w:p>
        </w:tc>
      </w:tr>
      <w:tr w14:paraId="6D2B9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33134D0">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p>
        </w:tc>
        <w:tc>
          <w:tcPr>
            <w:tcW w:w="1747" w:type="dxa"/>
            <w:vAlign w:val="center"/>
          </w:tcPr>
          <w:p w14:paraId="58CAF2EB">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上传电子投标文件时间</w:t>
            </w:r>
          </w:p>
        </w:tc>
        <w:tc>
          <w:tcPr>
            <w:tcW w:w="7618" w:type="dxa"/>
            <w:vAlign w:val="center"/>
          </w:tcPr>
          <w:p w14:paraId="0B006F2F">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kern w:val="0"/>
                <w:szCs w:val="24"/>
                <w:highlight w:val="none"/>
              </w:rPr>
            </w:pPr>
            <w:r>
              <w:rPr>
                <w:rFonts w:hint="eastAsia" w:ascii="仿宋" w:hAnsi="仿宋" w:eastAsia="仿宋" w:cs="仿宋"/>
                <w:b w:val="0"/>
                <w:bCs w:val="0"/>
                <w:color w:val="auto"/>
                <w:kern w:val="0"/>
                <w:szCs w:val="24"/>
                <w:highlight w:val="none"/>
              </w:rPr>
              <w:t>供应商应于202</w:t>
            </w:r>
            <w:r>
              <w:rPr>
                <w:rFonts w:hint="eastAsia" w:ascii="仿宋" w:hAnsi="仿宋" w:eastAsia="仿宋" w:cs="仿宋"/>
                <w:b w:val="0"/>
                <w:bCs w:val="0"/>
                <w:color w:val="auto"/>
                <w:kern w:val="0"/>
                <w:szCs w:val="24"/>
                <w:highlight w:val="none"/>
                <w:lang w:val="en-US" w:eastAsia="zh-CN"/>
              </w:rPr>
              <w:t>5</w:t>
            </w:r>
            <w:r>
              <w:rPr>
                <w:rFonts w:hint="eastAsia" w:ascii="仿宋" w:hAnsi="仿宋" w:eastAsia="仿宋" w:cs="仿宋"/>
                <w:b w:val="0"/>
                <w:bCs w:val="0"/>
                <w:color w:val="auto"/>
                <w:kern w:val="0"/>
                <w:szCs w:val="24"/>
                <w:highlight w:val="none"/>
              </w:rPr>
              <w:t>年</w:t>
            </w:r>
            <w:r>
              <w:rPr>
                <w:rFonts w:hint="eastAsia" w:ascii="仿宋" w:hAnsi="仿宋" w:eastAsia="仿宋" w:cs="仿宋"/>
                <w:b w:val="0"/>
                <w:bCs w:val="0"/>
                <w:color w:val="auto"/>
                <w:kern w:val="0"/>
                <w:szCs w:val="24"/>
                <w:highlight w:val="none"/>
                <w:lang w:val="en-US" w:eastAsia="zh-CN"/>
              </w:rPr>
              <w:t>02</w:t>
            </w:r>
            <w:r>
              <w:rPr>
                <w:rFonts w:hint="eastAsia" w:ascii="仿宋" w:hAnsi="仿宋" w:eastAsia="仿宋" w:cs="仿宋"/>
                <w:b w:val="0"/>
                <w:bCs w:val="0"/>
                <w:color w:val="auto"/>
                <w:kern w:val="0"/>
                <w:szCs w:val="24"/>
                <w:highlight w:val="none"/>
              </w:rPr>
              <w:t>月</w:t>
            </w:r>
            <w:r>
              <w:rPr>
                <w:rFonts w:hint="eastAsia" w:ascii="仿宋" w:hAnsi="仿宋" w:eastAsia="仿宋" w:cs="仿宋"/>
                <w:b w:val="0"/>
                <w:bCs w:val="0"/>
                <w:color w:val="auto"/>
                <w:kern w:val="0"/>
                <w:szCs w:val="24"/>
                <w:highlight w:val="none"/>
                <w:lang w:val="en-US" w:eastAsia="zh-CN"/>
              </w:rPr>
              <w:t>11</w:t>
            </w:r>
            <w:r>
              <w:rPr>
                <w:rFonts w:hint="eastAsia" w:ascii="仿宋" w:hAnsi="仿宋" w:eastAsia="仿宋" w:cs="仿宋"/>
                <w:b w:val="0"/>
                <w:bCs w:val="0"/>
                <w:color w:val="auto"/>
                <w:kern w:val="0"/>
                <w:szCs w:val="24"/>
                <w:highlight w:val="none"/>
              </w:rPr>
              <w:t>日</w:t>
            </w:r>
            <w:r>
              <w:rPr>
                <w:rFonts w:hint="eastAsia" w:ascii="仿宋" w:hAnsi="仿宋" w:eastAsia="仿宋" w:cs="仿宋"/>
                <w:b w:val="0"/>
                <w:bCs w:val="0"/>
                <w:color w:val="auto"/>
                <w:kern w:val="0"/>
                <w:szCs w:val="24"/>
                <w:highlight w:val="none"/>
                <w:lang w:val="en-US" w:eastAsia="zh-CN"/>
              </w:rPr>
              <w:t>14</w:t>
            </w:r>
            <w:r>
              <w:rPr>
                <w:rFonts w:hint="eastAsia" w:ascii="仿宋" w:hAnsi="仿宋" w:eastAsia="仿宋" w:cs="仿宋"/>
                <w:b w:val="0"/>
                <w:bCs w:val="0"/>
                <w:color w:val="auto"/>
                <w:kern w:val="0"/>
                <w:szCs w:val="24"/>
                <w:highlight w:val="none"/>
              </w:rPr>
              <w:t>:</w:t>
            </w:r>
            <w:r>
              <w:rPr>
                <w:rFonts w:hint="eastAsia" w:ascii="仿宋" w:hAnsi="仿宋" w:eastAsia="仿宋" w:cs="仿宋"/>
                <w:b w:val="0"/>
                <w:bCs w:val="0"/>
                <w:color w:val="auto"/>
                <w:kern w:val="0"/>
                <w:szCs w:val="24"/>
                <w:highlight w:val="none"/>
                <w:lang w:val="en-US" w:eastAsia="zh-CN"/>
              </w:rPr>
              <w:t>00</w:t>
            </w:r>
            <w:r>
              <w:rPr>
                <w:rFonts w:hint="eastAsia" w:ascii="仿宋" w:hAnsi="仿宋" w:eastAsia="仿宋" w:cs="仿宋"/>
                <w:b w:val="0"/>
                <w:bCs w:val="0"/>
                <w:color w:val="auto"/>
                <w:kern w:val="0"/>
                <w:szCs w:val="24"/>
                <w:highlight w:val="none"/>
              </w:rPr>
              <w:t>时整前在“</w:t>
            </w:r>
            <w:r>
              <w:rPr>
                <w:rFonts w:hint="eastAsia" w:ascii="仿宋" w:hAnsi="仿宋" w:eastAsia="仿宋" w:cs="仿宋"/>
                <w:b w:val="0"/>
                <w:bCs w:val="0"/>
                <w:color w:val="auto"/>
                <w:kern w:val="0"/>
                <w:szCs w:val="24"/>
                <w:highlight w:val="none"/>
                <w:lang w:eastAsia="zh-CN"/>
              </w:rPr>
              <w:t>乐采云</w:t>
            </w:r>
            <w:r>
              <w:rPr>
                <w:rFonts w:hint="eastAsia" w:ascii="仿宋" w:hAnsi="仿宋" w:eastAsia="仿宋" w:cs="仿宋"/>
                <w:b w:val="0"/>
                <w:bCs w:val="0"/>
                <w:color w:val="auto"/>
                <w:kern w:val="0"/>
                <w:szCs w:val="24"/>
                <w:highlight w:val="none"/>
              </w:rPr>
              <w:t>”上自行加密上传电子投标文件，逾期上传或未按要求上传的投标文件将予以拒收。</w:t>
            </w:r>
          </w:p>
        </w:tc>
      </w:tr>
      <w:tr w14:paraId="27DDC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A764B5F">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7</w:t>
            </w:r>
          </w:p>
        </w:tc>
        <w:tc>
          <w:tcPr>
            <w:tcW w:w="1747" w:type="dxa"/>
            <w:vAlign w:val="center"/>
          </w:tcPr>
          <w:p w14:paraId="208B09A0">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投标有效期</w:t>
            </w:r>
          </w:p>
        </w:tc>
        <w:tc>
          <w:tcPr>
            <w:tcW w:w="7618" w:type="dxa"/>
            <w:vAlign w:val="center"/>
          </w:tcPr>
          <w:p w14:paraId="4F48B416">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highlight w:val="none"/>
              </w:rPr>
            </w:pPr>
            <w:r>
              <w:rPr>
                <w:rFonts w:hint="eastAsia" w:ascii="仿宋" w:hAnsi="仿宋" w:eastAsia="仿宋" w:cs="仿宋"/>
                <w:color w:val="auto"/>
                <w:szCs w:val="24"/>
                <w:highlight w:val="none"/>
              </w:rPr>
              <w:t>自投标截止日起90天。如采购代理机构认为必要，可延长投标有效期。</w:t>
            </w:r>
          </w:p>
        </w:tc>
      </w:tr>
      <w:tr w14:paraId="70653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217D234">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bCs/>
                <w:color w:val="auto"/>
                <w:szCs w:val="24"/>
                <w:highlight w:val="none"/>
              </w:rPr>
              <w:t>1</w:t>
            </w:r>
            <w:r>
              <w:rPr>
                <w:rFonts w:hint="eastAsia" w:ascii="仿宋" w:hAnsi="仿宋" w:eastAsia="仿宋" w:cs="仿宋"/>
                <w:b/>
                <w:bCs/>
                <w:color w:val="auto"/>
                <w:szCs w:val="24"/>
                <w:highlight w:val="none"/>
                <w:lang w:val="en-US" w:eastAsia="zh-CN"/>
              </w:rPr>
              <w:t>8</w:t>
            </w:r>
          </w:p>
        </w:tc>
        <w:tc>
          <w:tcPr>
            <w:tcW w:w="1747" w:type="dxa"/>
            <w:vAlign w:val="center"/>
          </w:tcPr>
          <w:p w14:paraId="5E958D0A">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签订合同时间</w:t>
            </w:r>
          </w:p>
        </w:tc>
        <w:tc>
          <w:tcPr>
            <w:tcW w:w="7618" w:type="dxa"/>
            <w:vAlign w:val="center"/>
          </w:tcPr>
          <w:p w14:paraId="11C11BA7">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szCs w:val="24"/>
                <w:highlight w:val="none"/>
              </w:rPr>
            </w:pPr>
            <w:r>
              <w:rPr>
                <w:rFonts w:hint="eastAsia" w:ascii="仿宋" w:hAnsi="仿宋" w:eastAsia="仿宋" w:cs="仿宋"/>
                <w:color w:val="auto"/>
                <w:sz w:val="24"/>
                <w:highlight w:val="none"/>
              </w:rPr>
              <w:t>《中标通知书》</w:t>
            </w:r>
            <w:r>
              <w:rPr>
                <w:rFonts w:hint="eastAsia" w:ascii="仿宋" w:hAnsi="仿宋" w:eastAsia="仿宋" w:cs="仿宋"/>
                <w:color w:val="auto"/>
                <w:szCs w:val="24"/>
                <w:highlight w:val="none"/>
              </w:rPr>
              <w:t>发出后30日内。</w:t>
            </w:r>
          </w:p>
        </w:tc>
      </w:tr>
      <w:tr w14:paraId="18149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DDE4A4C">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lang w:val="en-US" w:eastAsia="zh-CN"/>
              </w:rPr>
              <w:t>19</w:t>
            </w:r>
          </w:p>
        </w:tc>
        <w:tc>
          <w:tcPr>
            <w:tcW w:w="1747" w:type="dxa"/>
            <w:vAlign w:val="center"/>
          </w:tcPr>
          <w:p w14:paraId="47002004">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转包与分包</w:t>
            </w:r>
          </w:p>
        </w:tc>
        <w:tc>
          <w:tcPr>
            <w:tcW w:w="7618" w:type="dxa"/>
            <w:vAlign w:val="center"/>
          </w:tcPr>
          <w:p w14:paraId="3A8B2C31">
            <w:pPr>
              <w:pStyle w:val="26"/>
              <w:keepNext w:val="0"/>
              <w:keepLines w:val="0"/>
              <w:pageBreakBefore w:val="0"/>
              <w:widowControl w:val="0"/>
              <w:kinsoku/>
              <w:wordWrap/>
              <w:overflowPunct/>
              <w:topLinePunct w:val="0"/>
              <w:bidi w:val="0"/>
              <w:spacing w:line="32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本项目不允许转包和分包。</w:t>
            </w:r>
          </w:p>
        </w:tc>
      </w:tr>
      <w:tr w14:paraId="4026A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F93C155">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0</w:t>
            </w:r>
          </w:p>
        </w:tc>
        <w:tc>
          <w:tcPr>
            <w:tcW w:w="1747" w:type="dxa"/>
            <w:vAlign w:val="center"/>
          </w:tcPr>
          <w:p w14:paraId="058DE39F">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履约保证金</w:t>
            </w:r>
          </w:p>
        </w:tc>
        <w:tc>
          <w:tcPr>
            <w:tcW w:w="7618" w:type="dxa"/>
            <w:vAlign w:val="center"/>
          </w:tcPr>
          <w:p w14:paraId="6CDFF45D">
            <w:pPr>
              <w:keepNext w:val="0"/>
              <w:keepLines w:val="0"/>
              <w:pageBreakBefore w:val="0"/>
              <w:widowControl w:val="0"/>
              <w:numPr>
                <w:ilvl w:val="0"/>
                <w:numId w:val="0"/>
              </w:numPr>
              <w:kinsoku/>
              <w:wordWrap/>
              <w:overflowPunct/>
              <w:topLinePunct w:val="0"/>
              <w:bidi w:val="0"/>
              <w:spacing w:line="320" w:lineRule="exact"/>
              <w:ind w:left="0" w:leftChars="0" w:firstLine="0" w:firstLineChars="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按招标文件相关要求执行。</w:t>
            </w:r>
          </w:p>
        </w:tc>
      </w:tr>
      <w:tr w14:paraId="5F02B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A3980CB">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p>
        </w:tc>
        <w:tc>
          <w:tcPr>
            <w:tcW w:w="1747" w:type="dxa"/>
            <w:vAlign w:val="center"/>
          </w:tcPr>
          <w:p w14:paraId="70892EF9">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投标文件递交</w:t>
            </w:r>
          </w:p>
          <w:p w14:paraId="768327FE">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地点</w:t>
            </w:r>
          </w:p>
        </w:tc>
        <w:tc>
          <w:tcPr>
            <w:tcW w:w="7618" w:type="dxa"/>
            <w:vAlign w:val="center"/>
          </w:tcPr>
          <w:p w14:paraId="5F01BC60">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lang w:eastAsia="zh-CN"/>
              </w:rPr>
              <w:t>乐采云平台</w:t>
            </w:r>
            <w:r>
              <w:rPr>
                <w:rFonts w:hint="eastAsia" w:ascii="仿宋" w:hAnsi="仿宋" w:eastAsia="仿宋" w:cs="仿宋"/>
                <w:color w:val="auto"/>
                <w:kern w:val="2"/>
                <w:sz w:val="24"/>
                <w:szCs w:val="24"/>
              </w:rPr>
              <w:t>（https://</w:t>
            </w:r>
            <w:r>
              <w:rPr>
                <w:rFonts w:hint="eastAsia" w:ascii="仿宋" w:hAnsi="仿宋" w:eastAsia="仿宋" w:cs="仿宋"/>
                <w:color w:val="auto"/>
                <w:kern w:val="2"/>
                <w:sz w:val="24"/>
                <w:szCs w:val="24"/>
                <w:lang w:eastAsia="zh-CN"/>
              </w:rPr>
              <w:t>www.lecaiyun.com</w:t>
            </w:r>
            <w:r>
              <w:rPr>
                <w:rFonts w:hint="eastAsia" w:ascii="仿宋" w:hAnsi="仿宋" w:eastAsia="仿宋" w:cs="仿宋"/>
                <w:color w:val="auto"/>
                <w:kern w:val="2"/>
                <w:sz w:val="24"/>
                <w:szCs w:val="24"/>
              </w:rPr>
              <w:t>/）</w:t>
            </w:r>
          </w:p>
        </w:tc>
      </w:tr>
      <w:tr w14:paraId="34AA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EC6F9A">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p>
        </w:tc>
        <w:tc>
          <w:tcPr>
            <w:tcW w:w="1747" w:type="dxa"/>
            <w:vAlign w:val="center"/>
          </w:tcPr>
          <w:p w14:paraId="01E16864">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投标文件上传截止时间</w:t>
            </w:r>
          </w:p>
        </w:tc>
        <w:tc>
          <w:tcPr>
            <w:tcW w:w="7618" w:type="dxa"/>
            <w:vAlign w:val="center"/>
          </w:tcPr>
          <w:p w14:paraId="059BFB1D">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02</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rPr>
              <w:t>日</w:t>
            </w:r>
            <w:r>
              <w:rPr>
                <w:rFonts w:hint="eastAsia" w:ascii="仿宋" w:hAnsi="仿宋" w:eastAsia="仿宋" w:cs="仿宋"/>
                <w:b w:val="0"/>
                <w:bCs/>
                <w:color w:val="auto"/>
                <w:sz w:val="24"/>
                <w:szCs w:val="24"/>
                <w:highlight w:val="none"/>
                <w:lang w:val="en-US" w:eastAsia="zh-CN"/>
              </w:rPr>
              <w:t>14</w:t>
            </w:r>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00</w:t>
            </w:r>
            <w:r>
              <w:rPr>
                <w:rFonts w:hint="eastAsia" w:ascii="仿宋" w:hAnsi="仿宋" w:eastAsia="仿宋" w:cs="仿宋"/>
                <w:b w:val="0"/>
                <w:bCs/>
                <w:color w:val="auto"/>
                <w:sz w:val="24"/>
                <w:szCs w:val="24"/>
                <w:highlight w:val="none"/>
              </w:rPr>
              <w:t>分（北京时间）</w:t>
            </w:r>
          </w:p>
        </w:tc>
      </w:tr>
      <w:tr w14:paraId="55457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926EDCD">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3</w:t>
            </w:r>
          </w:p>
        </w:tc>
        <w:tc>
          <w:tcPr>
            <w:tcW w:w="1747" w:type="dxa"/>
            <w:vAlign w:val="center"/>
          </w:tcPr>
          <w:p w14:paraId="27B421D2">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开标时间</w:t>
            </w:r>
          </w:p>
        </w:tc>
        <w:tc>
          <w:tcPr>
            <w:tcW w:w="7618" w:type="dxa"/>
            <w:vAlign w:val="center"/>
          </w:tcPr>
          <w:p w14:paraId="0778497D">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02</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rPr>
              <w:t>日</w:t>
            </w:r>
            <w:r>
              <w:rPr>
                <w:rFonts w:hint="eastAsia" w:ascii="仿宋" w:hAnsi="仿宋" w:eastAsia="仿宋" w:cs="仿宋"/>
                <w:b w:val="0"/>
                <w:bCs/>
                <w:color w:val="auto"/>
                <w:sz w:val="24"/>
                <w:szCs w:val="24"/>
                <w:highlight w:val="none"/>
                <w:lang w:val="en-US" w:eastAsia="zh-CN"/>
              </w:rPr>
              <w:t>14</w:t>
            </w:r>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00</w:t>
            </w:r>
            <w:r>
              <w:rPr>
                <w:rFonts w:hint="eastAsia" w:ascii="仿宋" w:hAnsi="仿宋" w:eastAsia="仿宋" w:cs="仿宋"/>
                <w:b w:val="0"/>
                <w:bCs/>
                <w:color w:val="auto"/>
                <w:sz w:val="24"/>
                <w:szCs w:val="24"/>
                <w:highlight w:val="none"/>
              </w:rPr>
              <w:t>分（北京时间）</w:t>
            </w:r>
          </w:p>
        </w:tc>
      </w:tr>
      <w:tr w14:paraId="2EC0C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04" w:type="dxa"/>
            <w:vAlign w:val="center"/>
          </w:tcPr>
          <w:p w14:paraId="66CE0309">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4</w:t>
            </w:r>
          </w:p>
        </w:tc>
        <w:tc>
          <w:tcPr>
            <w:tcW w:w="1747" w:type="dxa"/>
            <w:vAlign w:val="center"/>
          </w:tcPr>
          <w:p w14:paraId="51B3B0CB">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开标地点</w:t>
            </w:r>
          </w:p>
        </w:tc>
        <w:tc>
          <w:tcPr>
            <w:tcW w:w="7618" w:type="dxa"/>
            <w:vAlign w:val="center"/>
          </w:tcPr>
          <w:p w14:paraId="67610B6F">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rPr>
              <w:t>诸暨市宸佳工程管理有限公司</w:t>
            </w:r>
            <w:r>
              <w:rPr>
                <w:rFonts w:hint="eastAsia" w:ascii="仿宋" w:hAnsi="仿宋" w:eastAsia="仿宋" w:cs="仿宋"/>
                <w:color w:val="auto"/>
                <w:kern w:val="2"/>
                <w:sz w:val="24"/>
                <w:szCs w:val="24"/>
                <w:highlight w:val="none"/>
                <w:lang w:val="en-US" w:eastAsia="zh-CN"/>
              </w:rPr>
              <w:t>二</w:t>
            </w:r>
            <w:r>
              <w:rPr>
                <w:rFonts w:hint="eastAsia" w:ascii="仿宋" w:hAnsi="仿宋" w:eastAsia="仿宋" w:cs="仿宋"/>
                <w:color w:val="auto"/>
                <w:kern w:val="2"/>
                <w:sz w:val="24"/>
                <w:szCs w:val="24"/>
                <w:highlight w:val="none"/>
              </w:rPr>
              <w:t>楼评标室（</w:t>
            </w:r>
            <w:r>
              <w:rPr>
                <w:rFonts w:hint="eastAsia" w:ascii="仿宋" w:hAnsi="仿宋" w:eastAsia="仿宋" w:cs="仿宋"/>
                <w:color w:val="auto"/>
                <w:kern w:val="2"/>
                <w:sz w:val="24"/>
                <w:szCs w:val="24"/>
                <w:highlight w:val="none"/>
                <w:lang w:eastAsia="zh-CN"/>
              </w:rPr>
              <w:t>诸暨市暨阳街道苎萝东路218号金悦华庭商铺232号</w:t>
            </w:r>
            <w:r>
              <w:rPr>
                <w:rFonts w:hint="eastAsia" w:ascii="仿宋" w:hAnsi="仿宋" w:eastAsia="仿宋" w:cs="仿宋"/>
                <w:color w:val="auto"/>
                <w:kern w:val="2"/>
                <w:sz w:val="24"/>
                <w:szCs w:val="24"/>
                <w:highlight w:val="none"/>
              </w:rPr>
              <w:t>）</w:t>
            </w:r>
          </w:p>
        </w:tc>
      </w:tr>
      <w:tr w14:paraId="38897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7" w:hRule="atLeast"/>
          <w:jc w:val="center"/>
        </w:trPr>
        <w:tc>
          <w:tcPr>
            <w:tcW w:w="704" w:type="dxa"/>
            <w:vAlign w:val="center"/>
          </w:tcPr>
          <w:p w14:paraId="460F4673">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25</w:t>
            </w:r>
          </w:p>
        </w:tc>
        <w:tc>
          <w:tcPr>
            <w:tcW w:w="1747" w:type="dxa"/>
            <w:vAlign w:val="center"/>
          </w:tcPr>
          <w:p w14:paraId="6B3E978D">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其他</w:t>
            </w:r>
          </w:p>
        </w:tc>
        <w:tc>
          <w:tcPr>
            <w:tcW w:w="7618" w:type="dxa"/>
            <w:vAlign w:val="center"/>
          </w:tcPr>
          <w:p w14:paraId="5F8B2CED">
            <w:pPr>
              <w:pStyle w:val="45"/>
              <w:keepNext w:val="0"/>
              <w:keepLines w:val="0"/>
              <w:pageBreakBefore w:val="0"/>
              <w:widowControl w:val="0"/>
              <w:numPr>
                <w:ilvl w:val="0"/>
                <w:numId w:val="0"/>
              </w:numPr>
              <w:kinsoku/>
              <w:wordWrap/>
              <w:overflowPunct/>
              <w:topLinePunct w:val="0"/>
              <w:autoSpaceDE w:val="0"/>
              <w:bidi w:val="0"/>
              <w:spacing w:before="0" w:beforeAutospacing="0" w:after="0" w:afterAutospacing="0" w:line="320" w:lineRule="exact"/>
              <w:textAlignment w:val="auto"/>
              <w:rPr>
                <w:rFonts w:ascii="仿宋" w:hAnsi="仿宋" w:eastAsia="仿宋" w:cs="仿宋"/>
                <w:color w:val="auto"/>
                <w:highlight w:val="none"/>
                <w:lang w:bidi="ar"/>
              </w:rPr>
            </w:pPr>
            <w:r>
              <w:rPr>
                <w:rFonts w:ascii="仿宋" w:hAnsi="仿宋" w:eastAsia="仿宋" w:cs="仿宋"/>
                <w:color w:val="auto"/>
                <w:kern w:val="2"/>
                <w:sz w:val="24"/>
                <w:szCs w:val="24"/>
                <w:highlight w:val="none"/>
                <w:lang w:val="en-US" w:eastAsia="zh-CN" w:bidi="ar"/>
              </w:rPr>
              <w:t>（1）</w:t>
            </w:r>
            <w:r>
              <w:rPr>
                <w:rFonts w:hint="eastAsia" w:ascii="仿宋" w:hAnsi="仿宋" w:eastAsia="仿宋" w:cs="仿宋"/>
                <w:color w:val="auto"/>
                <w:highlight w:val="none"/>
                <w:lang w:bidi="ar"/>
              </w:rPr>
              <w:t>具体收费标准按诸国资办【2021】5号关于印发《诸暨市国有企业货物和服务采购管理办法》的通知文件执行。</w:t>
            </w:r>
            <w:r>
              <w:rPr>
                <w:rFonts w:hint="eastAsia" w:ascii="仿宋" w:hAnsi="仿宋" w:eastAsia="仿宋" w:cs="仿宋"/>
                <w:color w:val="auto"/>
                <w:highlight w:val="none"/>
                <w:lang w:val="en-US" w:eastAsia="zh-CN" w:bidi="ar"/>
              </w:rPr>
              <w:t>不足3000元按3000元收取，最高不超过15000元。</w:t>
            </w:r>
            <w:r>
              <w:rPr>
                <w:rFonts w:hint="eastAsia" w:ascii="仿宋" w:hAnsi="仿宋" w:eastAsia="仿宋" w:cs="仿宋"/>
                <w:color w:val="auto"/>
                <w:highlight w:val="none"/>
                <w:lang w:bidi="ar"/>
              </w:rPr>
              <w:t>（以上费用请供应商在报价时一并考虑）</w:t>
            </w:r>
          </w:p>
          <w:p w14:paraId="73144CA1">
            <w:pPr>
              <w:pStyle w:val="45"/>
              <w:keepNext w:val="0"/>
              <w:keepLines w:val="0"/>
              <w:pageBreakBefore w:val="0"/>
              <w:widowControl w:val="0"/>
              <w:kinsoku/>
              <w:wordWrap/>
              <w:overflowPunct/>
              <w:topLinePunct w:val="0"/>
              <w:autoSpaceDE w:val="0"/>
              <w:bidi w:val="0"/>
              <w:spacing w:before="0" w:beforeAutospacing="0" w:after="0" w:afterAutospacing="0" w:line="320" w:lineRule="exact"/>
              <w:textAlignment w:val="auto"/>
              <w:rPr>
                <w:rFonts w:ascii="仿宋" w:hAnsi="仿宋" w:eastAsia="仿宋" w:cs="仿宋"/>
                <w:color w:val="auto"/>
                <w:highlight w:val="none"/>
                <w:lang w:bidi="ar"/>
              </w:rPr>
            </w:pPr>
            <w:r>
              <w:rPr>
                <w:rFonts w:hint="eastAsia" w:ascii="仿宋" w:hAnsi="仿宋" w:eastAsia="仿宋" w:cs="仿宋"/>
                <w:color w:val="auto"/>
                <w:highlight w:val="none"/>
                <w:lang w:bidi="ar"/>
              </w:rPr>
              <w:t>（2）收取方式：本项目的招标代理服务费由中标人支付，在领取</w:t>
            </w:r>
            <w:r>
              <w:rPr>
                <w:rFonts w:hint="eastAsia" w:ascii="仿宋" w:hAnsi="仿宋" w:eastAsia="仿宋" w:cs="仿宋"/>
                <w:color w:val="auto"/>
                <w:highlight w:val="none"/>
                <w:lang w:eastAsia="zh-CN" w:bidi="ar"/>
              </w:rPr>
              <w:t>《</w:t>
            </w:r>
            <w:r>
              <w:rPr>
                <w:rFonts w:hint="eastAsia" w:ascii="仿宋" w:hAnsi="仿宋" w:eastAsia="仿宋" w:cs="仿宋"/>
                <w:color w:val="auto"/>
                <w:highlight w:val="none"/>
                <w:lang w:bidi="ar"/>
              </w:rPr>
              <w:t>中标通知书</w:t>
            </w:r>
            <w:r>
              <w:rPr>
                <w:rFonts w:hint="eastAsia" w:ascii="仿宋" w:hAnsi="仿宋" w:eastAsia="仿宋" w:cs="仿宋"/>
                <w:color w:val="auto"/>
                <w:highlight w:val="none"/>
                <w:lang w:eastAsia="zh-CN" w:bidi="ar"/>
              </w:rPr>
              <w:t>》</w:t>
            </w:r>
            <w:r>
              <w:rPr>
                <w:rFonts w:hint="eastAsia" w:ascii="仿宋" w:hAnsi="仿宋" w:eastAsia="仿宋" w:cs="仿宋"/>
                <w:color w:val="auto"/>
                <w:highlight w:val="none"/>
                <w:lang w:bidi="ar"/>
              </w:rPr>
              <w:t>前，一次性向采购代理机构付清。</w:t>
            </w:r>
          </w:p>
          <w:p w14:paraId="2B1534D8">
            <w:pPr>
              <w:keepNext w:val="0"/>
              <w:keepLines w:val="0"/>
              <w:pageBreakBefore w:val="0"/>
              <w:widowControl w:val="0"/>
              <w:kinsoku/>
              <w:wordWrap/>
              <w:overflowPunct/>
              <w:topLinePunct w:val="0"/>
              <w:bidi w:val="0"/>
              <w:spacing w:line="32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bidi="ar"/>
              </w:rPr>
              <w:t>（3）代理费缴纳账户：诸暨市宸佳工程管理有限公司，开户行：诸暨农村商业银行股份有限公司暨阳支行，账号：201000274056269</w:t>
            </w:r>
          </w:p>
        </w:tc>
      </w:tr>
      <w:tr w14:paraId="29B90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E3BBC5D">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26</w:t>
            </w:r>
          </w:p>
        </w:tc>
        <w:tc>
          <w:tcPr>
            <w:tcW w:w="1747" w:type="dxa"/>
            <w:vAlign w:val="center"/>
          </w:tcPr>
          <w:p w14:paraId="3CF7038C">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特别提醒</w:t>
            </w:r>
          </w:p>
        </w:tc>
        <w:tc>
          <w:tcPr>
            <w:tcW w:w="7618" w:type="dxa"/>
            <w:vAlign w:val="center"/>
          </w:tcPr>
          <w:p w14:paraId="0C43349D">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color w:val="auto"/>
                <w:szCs w:val="24"/>
                <w:highlight w:val="none"/>
              </w:rPr>
            </w:pPr>
            <w:r>
              <w:rPr>
                <w:rFonts w:hint="eastAsia" w:ascii="仿宋" w:hAnsi="仿宋" w:eastAsia="仿宋" w:cs="仿宋"/>
                <w:b/>
                <w:color w:val="auto"/>
                <w:sz w:val="24"/>
                <w:szCs w:val="24"/>
                <w:highlight w:val="none"/>
              </w:rPr>
              <w:t>请投标人仔细阅读本招标文件，其中若带有“★”标记的条款为实质性内容及要求，投标人必须对带有“★”标记的条款作出实质性响应。</w:t>
            </w:r>
            <w:r>
              <w:rPr>
                <w:rFonts w:hint="eastAsia" w:ascii="仿宋" w:hAnsi="仿宋" w:eastAsia="仿宋" w:cs="仿宋"/>
                <w:b/>
                <w:color w:val="auto"/>
                <w:sz w:val="24"/>
                <w:highlight w:val="none"/>
              </w:rPr>
              <w:t>如任意一条打“★”的条款出现负偏离视为实质性不响应招标文件要求，作无效投标处理。</w:t>
            </w:r>
          </w:p>
        </w:tc>
      </w:tr>
    </w:tbl>
    <w:p w14:paraId="688750A0">
      <w:pPr>
        <w:rPr>
          <w:rFonts w:ascii="宋体" w:hAnsi="宋体"/>
          <w:color w:val="auto"/>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bookmarkEnd w:id="2"/>
    <w:p w14:paraId="60E4030B">
      <w:pPr>
        <w:pStyle w:val="6"/>
        <w:spacing w:before="0" w:after="0" w:line="24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一、总</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则</w:t>
      </w:r>
    </w:p>
    <w:p w14:paraId="737A250B">
      <w:pPr>
        <w:spacing w:line="4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适用范围</w:t>
      </w:r>
    </w:p>
    <w:p w14:paraId="31E2A151">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本招标文件适用于本次所述项目的招标。</w:t>
      </w:r>
    </w:p>
    <w:p w14:paraId="0157EA02">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98C20A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2.1“采购人”系指组织本次招标的单位。</w:t>
      </w:r>
    </w:p>
    <w:p w14:paraId="31AF7A5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2.2“采购代理机构”系指诸暨市宸佳工程管理有限公司。</w:t>
      </w:r>
    </w:p>
    <w:p w14:paraId="0AF57B44">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2.3“投标人”系指向采购人和采购代理机构提交投标文件的供应商。</w:t>
      </w:r>
    </w:p>
    <w:p w14:paraId="45AC18DE">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2.4“货物”系指供方按招标文件规定，须向采购人提供的一切设备、保险、税金、备品备件、工具、手册及其它有关技术资料和材料。</w:t>
      </w:r>
    </w:p>
    <w:p w14:paraId="414810DF">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2.5“服务”系指招标文件规定投标人须承担的安装、调试、技术协助、校准、培训、技术指导以及其他类似的义务。</w:t>
      </w:r>
    </w:p>
    <w:p w14:paraId="3F5E8FD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2.6“项目”系指投标人按招标文件规定向采购人提供的货物和服务。</w:t>
      </w:r>
    </w:p>
    <w:p w14:paraId="466BC82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2.7“书面形式”包括信函、传真、电报等。</w:t>
      </w:r>
    </w:p>
    <w:p w14:paraId="148C2367">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400D7314">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3.采购方式</w:t>
      </w:r>
    </w:p>
    <w:p w14:paraId="2B772BFA">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本次采购采用公开招标方式进行。</w:t>
      </w:r>
    </w:p>
    <w:p w14:paraId="6D4A7D7B">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4.投标人及投标委托有关说明</w:t>
      </w:r>
    </w:p>
    <w:p w14:paraId="5A68B3BA">
      <w:pPr>
        <w:snapToGrid w:val="0"/>
        <w:spacing w:line="42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4.1供应商代表须提供居民身份证复印件。如供应商代表不是法定代表人，须有法定代表人出具的授权委托书。</w:t>
      </w:r>
    </w:p>
    <w:p w14:paraId="3B68E0A7">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5.投标费用</w:t>
      </w:r>
    </w:p>
    <w:p w14:paraId="0D30118E">
      <w:pPr>
        <w:snapToGrid w:val="0"/>
        <w:spacing w:line="420" w:lineRule="exact"/>
        <w:ind w:firstLine="480" w:firstLineChars="200"/>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投标人应自行承担获得招标文件和编制、提交投标文件所涉及的一切费用。不论投标结果如何，投标人均应自行承担所有与投标有关的全部费用。对中标人收取采购代理服务费。</w:t>
      </w:r>
    </w:p>
    <w:p w14:paraId="3B26FE24">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6.特别说明</w:t>
      </w:r>
    </w:p>
    <w:p w14:paraId="3599FCCB">
      <w:pPr>
        <w:pStyle w:val="26"/>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6.1投标人应仔细阅读招标文件的所有内容，按照招标文件的要求提交投标文件，并对所提供的全部资料的真实性承担法律责任。</w:t>
      </w:r>
    </w:p>
    <w:p w14:paraId="0154E9C5">
      <w:pPr>
        <w:pStyle w:val="26"/>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61D1EFA">
      <w:pPr>
        <w:pStyle w:val="26"/>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235BF389">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14:paraId="7F3990EE">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6.5本项目涉及采购货物必须是全新、未使用过的原装合格正品（包括零部件），如安装或配置了软件的，须为正版软件。</w:t>
      </w:r>
    </w:p>
    <w:p w14:paraId="09CAF055">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6.6国产的货物及其有关服务必须符合中华人民共和国的设计和制造生产标准或行业标准。招标公告有其他要求的，亦应符合其要求。</w:t>
      </w:r>
    </w:p>
    <w:p w14:paraId="46C805EB">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9069451">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7.询问、质疑和投诉</w:t>
      </w:r>
    </w:p>
    <w:p w14:paraId="113C3116">
      <w:pPr>
        <w:pStyle w:val="26"/>
        <w:snapToGrid w:val="0"/>
        <w:spacing w:line="420" w:lineRule="exact"/>
        <w:ind w:firstLine="480" w:firstLineChars="200"/>
        <w:rPr>
          <w:rFonts w:ascii="仿宋" w:hAnsi="仿宋" w:eastAsia="仿宋" w:cs="仿宋"/>
          <w:color w:val="auto"/>
          <w:highlight w:val="none"/>
        </w:rPr>
      </w:pPr>
      <w:bookmarkStart w:id="3" w:name="_Toc125344504"/>
      <w:r>
        <w:rPr>
          <w:rFonts w:hint="eastAsia" w:ascii="仿宋" w:hAnsi="仿宋" w:eastAsia="仿宋" w:cs="仿宋"/>
          <w:bCs/>
          <w:color w:val="auto"/>
          <w:highlight w:val="none"/>
        </w:rPr>
        <w:t>7.1投标人认为招标文件、招标过程和中标结果使自己的合法权益受到损害的，应当在知道或者</w:t>
      </w:r>
      <w:r>
        <w:rPr>
          <w:rFonts w:hint="eastAsia" w:ascii="仿宋" w:hAnsi="仿宋" w:eastAsia="仿宋" w:cs="仿宋"/>
          <w:color w:val="auto"/>
          <w:highlight w:val="none"/>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14:paraId="7A7A690E">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color w:val="auto"/>
          <w:highlight w:val="none"/>
        </w:rPr>
        <w:t>其来源或线索，便于有关单位调查、答复和处理。</w:t>
      </w:r>
    </w:p>
    <w:p w14:paraId="5D8E0ED7">
      <w:pPr>
        <w:pStyle w:val="26"/>
        <w:snapToGrid w:val="0"/>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7.3</w:t>
      </w:r>
      <w:r>
        <w:rPr>
          <w:rFonts w:hint="eastAsia" w:ascii="仿宋" w:hAnsi="仿宋" w:eastAsia="仿宋" w:cs="仿宋"/>
          <w:color w:val="auto"/>
          <w:szCs w:val="24"/>
          <w:highlight w:val="none"/>
        </w:rPr>
        <w:t>采购代理机构与采购人研究后，对认为有</w:t>
      </w:r>
      <w:r>
        <w:rPr>
          <w:rFonts w:hint="eastAsia" w:ascii="仿宋" w:hAnsi="仿宋" w:eastAsia="仿宋" w:cs="仿宋"/>
          <w:color w:val="auto"/>
          <w:highlight w:val="none"/>
        </w:rPr>
        <w:t>必要</w:t>
      </w:r>
      <w:r>
        <w:rPr>
          <w:rFonts w:hint="eastAsia" w:ascii="仿宋" w:hAnsi="仿宋" w:eastAsia="仿宋" w:cs="仿宋"/>
          <w:color w:val="auto"/>
          <w:szCs w:val="24"/>
          <w:highlight w:val="none"/>
        </w:rPr>
        <w:t>回答的问题，采购人和采购代理机构将补充（更正）以网上发布公告的形式通知所有投标人，补充（更正）是招标文件的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w:t>
      </w:r>
    </w:p>
    <w:p w14:paraId="0955721E">
      <w:pPr>
        <w:pStyle w:val="26"/>
        <w:snapToGrid w:val="0"/>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7.4</w:t>
      </w:r>
      <w:r>
        <w:rPr>
          <w:rFonts w:hint="eastAsia" w:ascii="仿宋" w:hAnsi="仿宋" w:eastAsia="仿宋" w:cs="仿宋"/>
          <w:b/>
          <w:color w:val="auto"/>
          <w:highlight w:val="none"/>
          <w:u w:val="single"/>
        </w:rPr>
        <w:t>质疑供应商在收到该更正（补充）公告后应于1日内，以书面或传真形式（签署意见并加盖公章）向采购代理机构回函给予确认。过期未回复的，视为默认接受。</w:t>
      </w:r>
    </w:p>
    <w:p w14:paraId="5186B7D7">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w:t>
      </w:r>
      <w:bookmarkEnd w:id="3"/>
    </w:p>
    <w:p w14:paraId="311927F1">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8.招标文件的构成。</w:t>
      </w:r>
    </w:p>
    <w:p w14:paraId="0F00ED8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本招标文件由以下部</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rPr>
        <w:t>组成：</w:t>
      </w:r>
    </w:p>
    <w:p w14:paraId="79CE4F5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8.1招标公告；</w:t>
      </w:r>
    </w:p>
    <w:p w14:paraId="10674C9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8.2投标人须知；</w:t>
      </w:r>
    </w:p>
    <w:p w14:paraId="5F0BFFB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8.3评标办法及评分标准；</w:t>
      </w:r>
    </w:p>
    <w:p w14:paraId="575C1D1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8.4采购需求；</w:t>
      </w:r>
    </w:p>
    <w:p w14:paraId="2A2CF25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8.5应提交的有关格式范例；</w:t>
      </w:r>
    </w:p>
    <w:p w14:paraId="2750C006">
      <w:pPr>
        <w:snapToGrid w:val="0"/>
        <w:spacing w:line="42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8.6本项目招标文件的澄清、答复、修改、补充的内容（如有）。</w:t>
      </w:r>
    </w:p>
    <w:p w14:paraId="2D724C9B">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9.投标人的风险</w:t>
      </w:r>
    </w:p>
    <w:p w14:paraId="71FD3C8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76C5033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7A6D3D5">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10.招标文件的澄清与修改</w:t>
      </w:r>
    </w:p>
    <w:p w14:paraId="5827F646">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10.1</w:t>
      </w:r>
      <w:r>
        <w:rPr>
          <w:rFonts w:hint="eastAsia" w:ascii="仿宋" w:hAnsi="仿宋" w:eastAsia="仿宋" w:cs="仿宋"/>
          <w:bCs/>
          <w:color w:val="auto"/>
          <w:highlight w:val="none"/>
        </w:rPr>
        <w:t>投标人下载招标文件后，应认真阅读本招标文件的所有内容，发现其中有误或有不合理要求的，投标人必须按前附表规定的时间前以书面形式</w:t>
      </w:r>
      <w:r>
        <w:rPr>
          <w:rFonts w:hint="eastAsia" w:ascii="仿宋" w:hAnsi="仿宋" w:eastAsia="仿宋" w:cs="仿宋"/>
          <w:color w:val="auto"/>
          <w:highlight w:val="none"/>
        </w:rPr>
        <w:t>(包括书面文字、传真等)</w:t>
      </w:r>
      <w:r>
        <w:rPr>
          <w:rFonts w:hint="eastAsia" w:ascii="仿宋" w:hAnsi="仿宋" w:eastAsia="仿宋" w:cs="仿宋"/>
          <w:bCs/>
          <w:color w:val="auto"/>
          <w:highlight w:val="none"/>
        </w:rPr>
        <w:t>要求采购人澄清</w:t>
      </w:r>
      <w:r>
        <w:rPr>
          <w:rFonts w:hint="eastAsia" w:ascii="仿宋" w:hAnsi="仿宋" w:eastAsia="仿宋" w:cs="仿宋"/>
          <w:color w:val="auto"/>
          <w:highlight w:val="none"/>
        </w:rPr>
        <w:t>。逾期提出的，采购人将不予受理。</w:t>
      </w:r>
      <w:r>
        <w:rPr>
          <w:rFonts w:hint="eastAsia" w:ascii="仿宋" w:hAnsi="仿宋" w:eastAsia="仿宋" w:cs="仿宋"/>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w:t>
      </w:r>
      <w:r>
        <w:rPr>
          <w:rFonts w:hint="eastAsia" w:ascii="仿宋" w:hAnsi="仿宋" w:eastAsia="仿宋" w:cs="仿宋"/>
          <w:color w:val="auto"/>
          <w:highlight w:val="none"/>
        </w:rPr>
        <w:t>投标人可以通过</w:t>
      </w:r>
      <w:r>
        <w:rPr>
          <w:rFonts w:hint="eastAsia" w:ascii="仿宋" w:hAnsi="仿宋" w:eastAsia="仿宋" w:cs="仿宋"/>
          <w:color w:val="auto"/>
          <w:highlight w:val="none"/>
          <w:lang w:val="en-US" w:eastAsia="zh-CN"/>
        </w:rPr>
        <w:t>浙江政府采购网</w:t>
      </w:r>
      <w:r>
        <w:rPr>
          <w:rFonts w:hint="eastAsia" w:ascii="仿宋" w:hAnsi="仿宋" w:eastAsia="仿宋" w:cs="仿宋"/>
          <w:color w:val="auto"/>
          <w:highlight w:val="none"/>
        </w:rPr>
        <w:t>自行下载，以确认已阅知该澄清或修改内容，否则，由此导致的风险由投标人自行承担，采购人不承担任何责任。</w:t>
      </w:r>
    </w:p>
    <w:p w14:paraId="37D8B939">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szCs w:val="24"/>
          <w:highlight w:val="none"/>
        </w:rPr>
        <w:t>10.2</w:t>
      </w:r>
      <w:r>
        <w:rPr>
          <w:rFonts w:hint="eastAsia" w:ascii="仿宋" w:hAnsi="仿宋" w:eastAsia="仿宋" w:cs="仿宋"/>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46027C96">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38BA332E">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10.4为使投标人在编制投标文件时，把补充公告内容进行研究，采购代理机构可以酌情推迟递交投标文件的截止时间。</w:t>
      </w:r>
    </w:p>
    <w:p w14:paraId="734C750E">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10.5投标文件未按招标文件的澄清、修改的内容编制，又不符合实质性要求的，投标无效。</w:t>
      </w:r>
    </w:p>
    <w:p w14:paraId="5CE40331">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10.6投标人一旦参与本次招标活动，即被视为接受了本招标文件的所有内容，如有任何异议，均须在答疑截止时间前提出。</w:t>
      </w:r>
    </w:p>
    <w:p w14:paraId="5BA4835F">
      <w:pPr>
        <w:spacing w:line="480" w:lineRule="exact"/>
        <w:jc w:val="center"/>
        <w:rPr>
          <w:rFonts w:ascii="仿宋" w:hAnsi="仿宋" w:eastAsia="仿宋" w:cs="仿宋"/>
          <w:b/>
          <w:color w:val="auto"/>
          <w:sz w:val="28"/>
          <w:szCs w:val="28"/>
          <w:highlight w:val="none"/>
        </w:rPr>
      </w:pPr>
      <w:bookmarkStart w:id="4" w:name="_Toc125344505"/>
      <w:r>
        <w:rPr>
          <w:rFonts w:hint="eastAsia" w:ascii="仿宋" w:hAnsi="仿宋" w:eastAsia="仿宋" w:cs="仿宋"/>
          <w:b/>
          <w:color w:val="auto"/>
          <w:sz w:val="28"/>
          <w:szCs w:val="28"/>
          <w:highlight w:val="none"/>
        </w:rPr>
        <w:t>三、投标文件编制</w:t>
      </w:r>
      <w:bookmarkEnd w:id="4"/>
      <w:r>
        <w:rPr>
          <w:rFonts w:hint="eastAsia" w:ascii="仿宋" w:hAnsi="仿宋" w:eastAsia="仿宋" w:cs="仿宋"/>
          <w:b/>
          <w:color w:val="auto"/>
          <w:sz w:val="28"/>
          <w:szCs w:val="28"/>
          <w:highlight w:val="none"/>
        </w:rPr>
        <w:t>和提交</w:t>
      </w:r>
    </w:p>
    <w:p w14:paraId="77DEE7BF">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11.投标文件的组成</w:t>
      </w:r>
    </w:p>
    <w:p w14:paraId="1243BFF1">
      <w:pPr>
        <w:snapToGrid w:val="0"/>
        <w:spacing w:line="42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投标文件由资格文件、商务技术文件、报价文件三部分组成。详见前附表。</w:t>
      </w:r>
    </w:p>
    <w:p w14:paraId="68A5A79E">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12.投标文件的语言及计量</w:t>
      </w:r>
    </w:p>
    <w:p w14:paraId="26A6EFA0">
      <w:pPr>
        <w:pStyle w:val="26"/>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14:paraId="602F5AB9">
      <w:pPr>
        <w:pStyle w:val="26"/>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12.2投标计量单位，招标文件已有明确规定的，使用招标文件规定的计量单位；招标文件没有规定的，应采用中华人民共和国法定计量单位（货币单位：人民币元），否则视同未响应。</w:t>
      </w:r>
    </w:p>
    <w:p w14:paraId="6C7C4F59">
      <w:pPr>
        <w:snapToGrid w:val="0"/>
        <w:spacing w:line="42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13.投标报价</w:t>
      </w:r>
    </w:p>
    <w:p w14:paraId="2EF03120">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13.1投标报价应按招标文件中相关附表格式填写。本项目的投标应以人民币计。</w:t>
      </w:r>
    </w:p>
    <w:p w14:paraId="468C90D2">
      <w:pPr>
        <w:pStyle w:val="26"/>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其它项目中，合同总价和单价不做调整。</w:t>
      </w:r>
    </w:p>
    <w:p w14:paraId="671B102D">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13.3投标文件只允许有一个报价，有选择的或有条件的报价将不予接受。</w:t>
      </w:r>
    </w:p>
    <w:p w14:paraId="431529E6">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13.4招标文件未列明，而投标人认为必需的费用也需列入报价。</w:t>
      </w:r>
    </w:p>
    <w:p w14:paraId="31E9C04E">
      <w:pPr>
        <w:pStyle w:val="26"/>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13.5</w:t>
      </w:r>
      <w:r>
        <w:rPr>
          <w:rFonts w:hint="eastAsia" w:ascii="仿宋" w:hAnsi="仿宋" w:eastAsia="仿宋" w:cs="仿宋"/>
          <w:color w:val="auto"/>
          <w:szCs w:val="24"/>
          <w:highlight w:val="none"/>
        </w:rPr>
        <w:t>中标后，中标人所填写的单价在合同实施期间不因市场变化因素而变动，投标人在计算报价时应考虑一定的风险系数。</w:t>
      </w:r>
    </w:p>
    <w:p w14:paraId="290784E7">
      <w:pPr>
        <w:pStyle w:val="26"/>
        <w:snapToGrid w:val="0"/>
        <w:spacing w:line="42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13.6投标人若有方案和报价未被唱标，应在开标时及时声明或提请采购代理机构宣读，否则是投标人自己的风险，采购代理机构对此不承担任何责任。</w:t>
      </w:r>
    </w:p>
    <w:p w14:paraId="2937F20C">
      <w:pPr>
        <w:pStyle w:val="26"/>
        <w:snapToGrid w:val="0"/>
        <w:spacing w:line="42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14.投标文件的有效期</w:t>
      </w:r>
    </w:p>
    <w:p w14:paraId="522737A9">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14.1投标有效期为从投标截止之日算起的日历天数，自投标截止日起90天投标书应保持有效。如采购人认为必要，可延长投标有效期。有效期短于这个规定期限的投标将被拒绝。</w:t>
      </w:r>
    </w:p>
    <w:p w14:paraId="63966B0E">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14.2在特殊情况下，采购人可与投标人协商延长投标书的有效期，这种要求和答复均以书面形式进行。</w:t>
      </w:r>
    </w:p>
    <w:p w14:paraId="0D60824B">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14.3投标人可拒绝接受延期要求，但其投标在原投标有效期满后不再有效。同意延长有效期的投标人不能修改投标文件。</w:t>
      </w:r>
    </w:p>
    <w:p w14:paraId="6B7B3243">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14.4中标人的投标文件自开标之日起至合同履行完毕止均应保持有效。</w:t>
      </w:r>
    </w:p>
    <w:p w14:paraId="15549888">
      <w:pPr>
        <w:snapToGrid w:val="0"/>
        <w:spacing w:line="42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15.投标保证金</w:t>
      </w:r>
    </w:p>
    <w:p w14:paraId="2B0B732A">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15.1投标人应提供前附表规定的投标保证金，作为投标文件的一个组成部分。否则，其投标将被拒绝。</w:t>
      </w:r>
    </w:p>
    <w:p w14:paraId="7B6B2523">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15.2投标保证金可以以电汇、转帐、汇票等非现金形式提交，且必须在投标文件提交截止时间前缴入前附表中的指定账户，以到账为准。采购代理机构将拒绝未能按规定时间和数额提交投标保证金的投标人。</w:t>
      </w:r>
    </w:p>
    <w:p w14:paraId="0A4DE171">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15.3未中标人的投标保证金在中标通知书发出后5个工作日退还。</w:t>
      </w:r>
    </w:p>
    <w:p w14:paraId="0EF5BC2D">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15.4中标人的投标保证金，在中标人按招标文件规定签订合同后5个工作日内无息退还。</w:t>
      </w:r>
    </w:p>
    <w:p w14:paraId="21805C2D">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15.5投标保证金均以转账或电汇或汇票方式退还，恕不退还现金。保证金不计息。</w:t>
      </w:r>
    </w:p>
    <w:p w14:paraId="1BF87A79">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15.6下列情况，投标保证金将不予退还，已缴纳年度保证金的，其保证金或相应数额的年度保证金将不予退还，并按有关规定处理：</w:t>
      </w:r>
    </w:p>
    <w:p w14:paraId="6DA00ADB">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15.6.1投标人在投标有效期内撤回投标文件的；</w:t>
      </w:r>
    </w:p>
    <w:p w14:paraId="1D592AB8">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15.6.2未按规定提交履约保证金的；</w:t>
      </w:r>
    </w:p>
    <w:p w14:paraId="42CB6BC9">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15.6.3投标人在投标过程中弄虚作假，提供虚假材料的；</w:t>
      </w:r>
    </w:p>
    <w:p w14:paraId="7628B6E3">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15.6.4中标人无正当理由在规定的时间内不与采购单位签订合同的；</w:t>
      </w:r>
    </w:p>
    <w:p w14:paraId="6D9888C9">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15.6.5将中标项目转让给他人或者在投标文件中未说明且未经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同意，将中标项目分包给他人的；</w:t>
      </w:r>
    </w:p>
    <w:p w14:paraId="4709F6DC">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15.6.6拒绝履行合同义务的；</w:t>
      </w:r>
    </w:p>
    <w:p w14:paraId="11D26C83">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15.6.7其他严重扰乱招投标程序的；</w:t>
      </w:r>
    </w:p>
    <w:p w14:paraId="42570D2E">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15.6.8向有关人员行贿或者采取其他不正当手段谋取中标的；</w:t>
      </w:r>
    </w:p>
    <w:p w14:paraId="450B4FD3">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15.6.9中标人无正当理由放弃中标的；</w:t>
      </w:r>
    </w:p>
    <w:p w14:paraId="429B7C65">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15.6.10存在法律、法规规定的其它损害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或用户单位利益或社会公共利益的情形的。</w:t>
      </w:r>
    </w:p>
    <w:p w14:paraId="2F606655">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15.7如投标人或</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有下列情形之一的，应按串通投标行为认定，除有关方投标保证金不予退还外，禁止其一至三年内进入本市采购市场，情节严重的移送有关部门依法处理。</w:t>
      </w:r>
    </w:p>
    <w:p w14:paraId="7EF1F80E">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15.7.1不同投标人的投标文件由同一单位或人员编制的； </w:t>
      </w:r>
    </w:p>
    <w:p w14:paraId="17D35DE1">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15.7.2不同投标人使用同一单位或人员的资金交纳投标保证金的； </w:t>
      </w:r>
    </w:p>
    <w:p w14:paraId="590534F4">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15.7.3不同供应商委托同一单位或人员办理投标事宜的；</w:t>
      </w:r>
    </w:p>
    <w:p w14:paraId="79214031">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15.7.4不同投标人的投标文件中的内容出现非正常的一致，或者报价细目呈明显规律性变化，或在完全可比的情况下投标总价均高于市场平均价的； </w:t>
      </w:r>
    </w:p>
    <w:p w14:paraId="7DC830A7">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15.7.5不同投标人的投标文件载明的项目管理或实施人员出现同一单位的工作人员或同一人的；</w:t>
      </w:r>
    </w:p>
    <w:p w14:paraId="6C1A7D42">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15.7.6不同投标人的授权代表为同一单位的工作人员的； </w:t>
      </w:r>
    </w:p>
    <w:p w14:paraId="5F1C93B8">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15.7.7不同投标人的投标文件相互混装，或在一个投标人的投标文件内遗留有其他投标人的签名、盖章等不属于本投标人参加采购必需的信息资料的； </w:t>
      </w:r>
    </w:p>
    <w:p w14:paraId="6805D2E5">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15.7.8采购响应截止时间后，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 xml:space="preserve">协助投标人撤换或更改投标文件的； </w:t>
      </w:r>
    </w:p>
    <w:p w14:paraId="5392DD24">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15.7.9</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泄露有意向参加采购的投标人名称、数量等应当保密的事项的；</w:t>
      </w:r>
    </w:p>
    <w:p w14:paraId="75DAD61C">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15.7.10不同投标人之间私下达成书面或口头协议，指定一家投标人中标或轮流中标的；</w:t>
      </w:r>
    </w:p>
    <w:p w14:paraId="6E3E1FB7">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15.7.11法律、法规或规章规定的其他串通行为。</w:t>
      </w:r>
    </w:p>
    <w:p w14:paraId="39E2513B">
      <w:pPr>
        <w:snapToGrid w:val="0"/>
        <w:spacing w:line="420" w:lineRule="exact"/>
        <w:ind w:firstLine="482" w:firstLineChars="200"/>
        <w:jc w:val="left"/>
        <w:outlineLvl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16.投标文件的制作</w:t>
      </w:r>
    </w:p>
    <w:p w14:paraId="0E113118">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16.1投标人应按招标文件前附表规定的内容编制投标文件。</w:t>
      </w:r>
    </w:p>
    <w:p w14:paraId="69C5E3BD">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r>
        <w:rPr>
          <w:rFonts w:hint="eastAsia" w:ascii="仿宋" w:hAnsi="仿宋" w:eastAsia="仿宋" w:cs="仿宋"/>
          <w:b/>
          <w:color w:val="auto"/>
          <w:sz w:val="24"/>
          <w:highlight w:val="none"/>
        </w:rPr>
        <w:t>投标文件未按规定的格式编制的，投标无效。</w:t>
      </w:r>
    </w:p>
    <w:p w14:paraId="77CF6433">
      <w:pPr>
        <w:snapToGrid w:val="0"/>
        <w:spacing w:line="420" w:lineRule="exact"/>
        <w:ind w:firstLine="480" w:firstLineChars="200"/>
        <w:jc w:val="left"/>
        <w:rPr>
          <w:rFonts w:ascii="仿宋" w:hAnsi="仿宋" w:eastAsia="仿宋" w:cs="仿宋"/>
          <w:b/>
          <w:color w:val="auto"/>
          <w:highlight w:val="none"/>
          <w:u w:val="single"/>
        </w:rPr>
      </w:pPr>
      <w:r>
        <w:rPr>
          <w:rFonts w:hint="eastAsia" w:ascii="仿宋" w:hAnsi="仿宋" w:eastAsia="仿宋" w:cs="仿宋"/>
          <w:color w:val="auto"/>
          <w:sz w:val="24"/>
          <w:szCs w:val="24"/>
          <w:highlight w:val="none"/>
        </w:rPr>
        <w:t>16.3投标文件须由投标人在规定位置盖章，投标人应写全称。</w:t>
      </w:r>
      <w:r>
        <w:rPr>
          <w:rFonts w:hint="eastAsia" w:ascii="仿宋" w:hAnsi="仿宋" w:eastAsia="仿宋" w:cs="仿宋"/>
          <w:b/>
          <w:color w:val="auto"/>
          <w:sz w:val="24"/>
          <w:szCs w:val="24"/>
          <w:highlight w:val="none"/>
        </w:rPr>
        <w:t>电子投标文件中所有加盖公章均采用CA签章，投标人的投标文件未按照招标文件要求签署、盖章的，其投标无效。</w:t>
      </w:r>
    </w:p>
    <w:p w14:paraId="75432625">
      <w:pPr>
        <w:snapToGrid w:val="0"/>
        <w:spacing w:line="420" w:lineRule="exact"/>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16.4投标文件不得涂改，若有修改错漏处，须加盖单位公章。投标文件因表达不清所引起的后果由投标人负责。</w:t>
      </w:r>
    </w:p>
    <w:p w14:paraId="3022DA34">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16.5投标人应认真阅读招标文件中所有的内容。</w:t>
      </w:r>
      <w:r>
        <w:rPr>
          <w:rFonts w:hint="eastAsia" w:ascii="仿宋" w:hAnsi="仿宋" w:eastAsia="仿宋" w:cs="仿宋"/>
          <w:b/>
          <w:color w:val="auto"/>
          <w:sz w:val="24"/>
          <w:szCs w:val="24"/>
          <w:highlight w:val="none"/>
        </w:rPr>
        <w:t>如果投标人编制的投标文件实质上不响应招标文件的要求，其投标文件将作无效标处理。</w:t>
      </w:r>
    </w:p>
    <w:p w14:paraId="4ECB3552">
      <w:pPr>
        <w:snapToGrid w:val="0"/>
        <w:spacing w:line="42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17.投标文件的递交、补充、修改和撤回</w:t>
      </w:r>
    </w:p>
    <w:p w14:paraId="61EEA434">
      <w:pPr>
        <w:pStyle w:val="17"/>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b/>
          <w:color w:val="auto"/>
          <w:sz w:val="24"/>
          <w:szCs w:val="24"/>
          <w:highlight w:val="none"/>
        </w:rPr>
        <w:t>投标人应在开标前在“</w:t>
      </w:r>
      <w:r>
        <w:rPr>
          <w:rFonts w:hint="eastAsia" w:ascii="仿宋" w:hAnsi="仿宋" w:eastAsia="仿宋" w:cs="仿宋"/>
          <w:b/>
          <w:color w:val="auto"/>
          <w:sz w:val="24"/>
          <w:szCs w:val="24"/>
          <w:highlight w:val="none"/>
          <w:lang w:eastAsia="zh-CN"/>
        </w:rPr>
        <w:t>乐采云</w:t>
      </w:r>
      <w:r>
        <w:rPr>
          <w:rFonts w:hint="eastAsia" w:ascii="仿宋" w:hAnsi="仿宋" w:eastAsia="仿宋" w:cs="仿宋"/>
          <w:b/>
          <w:color w:val="auto"/>
          <w:sz w:val="24"/>
          <w:szCs w:val="24"/>
          <w:highlight w:val="none"/>
        </w:rPr>
        <w:t>”上自行加密上传电子投标文件，逾期上传或未按要求上传的投标文件将予以拒收。</w:t>
      </w:r>
    </w:p>
    <w:p w14:paraId="5F579E11">
      <w:pPr>
        <w:pStyle w:val="17"/>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sz w:val="24"/>
          <w:szCs w:val="24"/>
          <w:highlight w:val="none"/>
        </w:rPr>
        <w:t>投标人在投标截止时间之前，可以对已提交的投标文件进行修改或撤回，补充、修改的内容为投标文件的组成部分。补充或者修改投标文件的，应当先行撤回原文件，补充、修改后重新传输递交。</w:t>
      </w:r>
    </w:p>
    <w:p w14:paraId="36205B7A">
      <w:pPr>
        <w:pStyle w:val="17"/>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投标截止时间后，投标人不得撤回、修改投标文件。</w:t>
      </w:r>
    </w:p>
    <w:p w14:paraId="542C8BAE">
      <w:pPr>
        <w:pStyle w:val="17"/>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不论投标人中标与否，投标人文件均不得撤回其投标。</w:t>
      </w:r>
    </w:p>
    <w:p w14:paraId="56534775">
      <w:pPr>
        <w:pStyle w:val="17"/>
        <w:snapToGrid w:val="0"/>
        <w:spacing w:line="42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未按时解密的，视为投标文件撤回。</w:t>
      </w:r>
    </w:p>
    <w:p w14:paraId="63B5D90C">
      <w:pPr>
        <w:snapToGrid w:val="0"/>
        <w:spacing w:line="42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18.投标无效的情形</w:t>
      </w:r>
    </w:p>
    <w:p w14:paraId="06A6B8D8">
      <w:pPr>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14:paraId="4DEA48AF">
      <w:pPr>
        <w:pStyle w:val="22"/>
        <w:snapToGrid w:val="0"/>
        <w:spacing w:after="0" w:line="420" w:lineRule="exact"/>
        <w:ind w:left="0" w:leftChars="0"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18.1在符合性审查和资格性审查时，如发现下列情形之一的，投标文件将被视为无效投标：</w:t>
      </w:r>
    </w:p>
    <w:p w14:paraId="02B8D85F">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18.1.1资格证明文件不全的，或者不符合招标文件标明的资格要求的；</w:t>
      </w:r>
    </w:p>
    <w:p w14:paraId="5F1A5F94">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18.1.2未按照招标文件规定要求盖章；</w:t>
      </w:r>
    </w:p>
    <w:p w14:paraId="0DEA93DA">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18.1.3投标文件项目不齐全或者内容虚假的；</w:t>
      </w:r>
    </w:p>
    <w:p w14:paraId="1C5B9882">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18.1.4投标文件的实质性内容未使用中文表述、意思表述不明确、前后矛盾或者使用计量单位不符合招标文件要求的；</w:t>
      </w:r>
    </w:p>
    <w:p w14:paraId="498B5621">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18.1.5投标有效期、交货时间、质保期、售后服务承诺等条款不能满足招标文件要求的；</w:t>
      </w:r>
    </w:p>
    <w:p w14:paraId="5FD3C27A">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18.1.6投标文件的资格文件、商务技术文件内容含有报价的内容；</w:t>
      </w:r>
    </w:p>
    <w:p w14:paraId="0405CB92">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18.1.7投标文件含有采购人不能接受的附加条件的；</w:t>
      </w:r>
    </w:p>
    <w:p w14:paraId="11853E6A">
      <w:pPr>
        <w:snapToGrid w:val="0"/>
        <w:spacing w:line="420" w:lineRule="exact"/>
        <w:ind w:firstLine="528" w:firstLineChars="2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18.1.8不符合法律、法规或未实质性响应招标文件要求。</w:t>
      </w:r>
    </w:p>
    <w:p w14:paraId="7BC6B03F">
      <w:pPr>
        <w:pStyle w:val="22"/>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18.2在技术评审时，如发现下列情形之一的，投标文件将被视为无效：</w:t>
      </w:r>
    </w:p>
    <w:p w14:paraId="0C31C947">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18.2.1未提供或未如实提供投标货物的技术参数，或者投标文件标明的响应或偏离与事实不符或虚假投标的；</w:t>
      </w:r>
    </w:p>
    <w:p w14:paraId="15C11899">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18.2.2明显不符合招标文件要求的规格型号、质量标准，或者与招标文件中标“★”的技术指标、主要功能项目发生实质性偏离的；</w:t>
      </w:r>
    </w:p>
    <w:p w14:paraId="20A7A21B">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18.2.3允许偏离的技术、性能指标或者辅助功能项目发生负偏离达20项（含）以上的；</w:t>
      </w:r>
    </w:p>
    <w:p w14:paraId="3B9591B3">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18.2.4投标技术方案不明确，存在一个或一个以上备选（替代）投标方案的；</w:t>
      </w:r>
    </w:p>
    <w:p w14:paraId="4CBF58F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18.2.5</w:t>
      </w:r>
      <w:r>
        <w:rPr>
          <w:rFonts w:hint="eastAsia" w:ascii="仿宋" w:hAnsi="仿宋" w:eastAsia="仿宋" w:cs="仿宋"/>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4FE59DC3">
      <w:pPr>
        <w:pStyle w:val="22"/>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18.3在报价评审时，如发现下列情形之一的，投标文件将被视为无效：</w:t>
      </w:r>
    </w:p>
    <w:p w14:paraId="3C25CA74">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14:paraId="6E149581">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（2）投标报价超过招标文件中规定的最高限价的；</w:t>
      </w:r>
    </w:p>
    <w:p w14:paraId="000B7D36">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45FDC4B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（4）投标人不接受报价文件中修正后的报价的；</w:t>
      </w:r>
    </w:p>
    <w:p w14:paraId="1FFA099B">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（5）投标报价具有选择性。</w:t>
      </w:r>
    </w:p>
    <w:p w14:paraId="587AF9F0">
      <w:pPr>
        <w:pStyle w:val="22"/>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18.4符合招标文件明确规定的其他无效投标条款的。</w:t>
      </w:r>
    </w:p>
    <w:p w14:paraId="7F7FC6EE">
      <w:pPr>
        <w:pStyle w:val="6"/>
        <w:spacing w:before="0" w:after="0" w:line="480" w:lineRule="exact"/>
        <w:jc w:val="center"/>
        <w:rPr>
          <w:rFonts w:ascii="仿宋" w:hAnsi="仿宋" w:eastAsia="仿宋" w:cs="仿宋"/>
          <w:color w:val="auto"/>
          <w:sz w:val="28"/>
          <w:szCs w:val="28"/>
          <w:highlight w:val="none"/>
        </w:rPr>
      </w:pPr>
      <w:bookmarkStart w:id="5" w:name="_Toc125344507"/>
      <w:r>
        <w:rPr>
          <w:rFonts w:hint="eastAsia" w:ascii="仿宋" w:hAnsi="仿宋" w:eastAsia="仿宋" w:cs="仿宋"/>
          <w:color w:val="auto"/>
          <w:sz w:val="28"/>
          <w:szCs w:val="28"/>
          <w:highlight w:val="none"/>
        </w:rPr>
        <w:t>四、开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bookmarkEnd w:id="5"/>
    </w:p>
    <w:p w14:paraId="4B7F2E88">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19.</w:t>
      </w:r>
      <w:r>
        <w:rPr>
          <w:rFonts w:hint="eastAsia" w:ascii="仿宋" w:hAnsi="仿宋" w:eastAsia="仿宋" w:cs="仿宋"/>
          <w:b/>
          <w:color w:val="auto"/>
          <w:sz w:val="24"/>
          <w:highlight w:val="none"/>
        </w:rPr>
        <w:t>开标</w:t>
      </w:r>
    </w:p>
    <w:p w14:paraId="199A90AD">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19.1采购代理机构将在前附表规定的时间、地点进行开标。无关人员不得进入开标现场。</w:t>
      </w:r>
    </w:p>
    <w:p w14:paraId="627A516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19.2本项目实行电子开评标，投标人无需前往开评标现场，只需在规定时间内在“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”平台上上传电子投标文件。</w:t>
      </w:r>
    </w:p>
    <w:p w14:paraId="70330B37">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20.开标程序</w:t>
      </w:r>
    </w:p>
    <w:p w14:paraId="52B296DF">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3C96BCD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20.2评标委员会对投标人的资格和商务技术响应文件进行评审；</w:t>
      </w:r>
    </w:p>
    <w:p w14:paraId="0983D43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20.3对技术标有效的投标单位的投标报价在“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”平台上予以公开；</w:t>
      </w:r>
    </w:p>
    <w:p w14:paraId="39FB484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20.4评标委员会对技术标有效的投标单位进行投标报价评审，确定投标报价评审有效投标单位；</w:t>
      </w:r>
    </w:p>
    <w:p w14:paraId="52DCA00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20.5确定预中标人。</w:t>
      </w:r>
    </w:p>
    <w:p w14:paraId="789221E6">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123BC87C">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公司如对电子化开标及评审程序有调整的，按调整后的程序操作。</w:t>
      </w:r>
    </w:p>
    <w:p w14:paraId="552C18DC">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2.如中标单位投标文件和招标文件要求不一致，且评审过程中未发现的，履约应按有利于采购人的要求执行。</w:t>
      </w:r>
    </w:p>
    <w:p w14:paraId="2BE2F112">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3.采购过程中出现以下情形，导致电子交易平台无法正常运行，或者无法保证电子交易的公平、公正和安全时，采购组织机构可中止电子交易活动：</w:t>
      </w:r>
    </w:p>
    <w:p w14:paraId="23DD5605">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（一）电子交易平台发生故障而无法登录访问的；</w:t>
      </w:r>
    </w:p>
    <w:p w14:paraId="6AE2F31B">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（二）电子交易平台应用或数据库出现错误，不能进行正常操作的；</w:t>
      </w:r>
    </w:p>
    <w:p w14:paraId="2D4B246D">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（三）电子交易平台发现严重安全漏洞，有潜在泄密危险的；</w:t>
      </w:r>
    </w:p>
    <w:p w14:paraId="3751D74E">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（四）病毒发作导致不能进行正常操作的；</w:t>
      </w:r>
    </w:p>
    <w:p w14:paraId="24F14955">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14:paraId="2F583C03">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出现前款规定情形，不影响采购公平、公正性的，采购组织机构可以待上述情形消除后继续组织电子交易活动；影响或可能影响采购公平、公正性的，应当重新采购。</w:t>
      </w:r>
    </w:p>
    <w:p w14:paraId="0ABA1154">
      <w:pPr>
        <w:pStyle w:val="6"/>
        <w:spacing w:before="0" w:after="0" w:line="480" w:lineRule="exact"/>
        <w:jc w:val="center"/>
        <w:rPr>
          <w:rFonts w:ascii="仿宋" w:hAnsi="仿宋" w:eastAsia="仿宋" w:cs="仿宋"/>
          <w:color w:val="auto"/>
          <w:sz w:val="28"/>
          <w:szCs w:val="28"/>
          <w:highlight w:val="none"/>
        </w:rPr>
      </w:pPr>
      <w:bookmarkStart w:id="6" w:name="_Toc125344508"/>
      <w:r>
        <w:rPr>
          <w:rFonts w:hint="eastAsia" w:ascii="仿宋" w:hAnsi="仿宋" w:eastAsia="仿宋" w:cs="仿宋"/>
          <w:color w:val="auto"/>
          <w:sz w:val="28"/>
          <w:szCs w:val="28"/>
          <w:highlight w:val="none"/>
        </w:rPr>
        <w:t>五、评</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bookmarkEnd w:id="6"/>
    </w:p>
    <w:p w14:paraId="7455CB19">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21.组建评标委员会</w:t>
      </w:r>
    </w:p>
    <w:p w14:paraId="16A68A7C">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评标委员会按照有关规定组建。</w:t>
      </w:r>
    </w:p>
    <w:p w14:paraId="5B949656">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22.评标原则</w:t>
      </w:r>
    </w:p>
    <w:p w14:paraId="35F96FE1">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22.1评标委员会必须公平、公正、客观，不带任何倾向性和启发性；</w:t>
      </w:r>
    </w:p>
    <w:p w14:paraId="21D2AFDD">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22.2不得向外界透露任何与评标有关的内容；</w:t>
      </w:r>
    </w:p>
    <w:p w14:paraId="563DE7D1">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22.3任何单位和个人不得干扰、影响评标的正常进行；</w:t>
      </w:r>
    </w:p>
    <w:p w14:paraId="31F509EF">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22.4评标委员会及有关工作人员不得私下与投标人接触。</w:t>
      </w:r>
    </w:p>
    <w:p w14:paraId="0279C4A2">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4390FA8">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5A36E3">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5F9052AF">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22.7</w:t>
      </w:r>
      <w:r>
        <w:rPr>
          <w:rFonts w:hint="eastAsia" w:ascii="仿宋" w:hAnsi="仿宋" w:eastAsia="仿宋" w:cs="仿宋"/>
          <w:color w:val="auto"/>
          <w:sz w:val="24"/>
          <w:highlight w:val="none"/>
        </w:rPr>
        <w:t>以联合体形式参加采购活动的，联合体各方不得再单独参加或者与其他供应商另外组成联合体参加同一合同项下的采购活动。</w:t>
      </w:r>
    </w:p>
    <w:p w14:paraId="4AA3F12F">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22.8除单一来源采购以外，为采购项目提供整体设计、规范编制或者项目管理、监理、检测等服务的供应商，不得参加本采购项目。</w:t>
      </w:r>
    </w:p>
    <w:p w14:paraId="63B972F2">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22.9单位负责人为同一人或者存在直接控股、管理关系的不同供应商，不得参加同一合同项下的采购活动。</w:t>
      </w:r>
    </w:p>
    <w:p w14:paraId="31A03446">
      <w:pPr>
        <w:pStyle w:val="26"/>
        <w:snapToGrid w:val="0"/>
        <w:spacing w:line="420" w:lineRule="exact"/>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74683D39">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3F9A1D57">
      <w:pPr>
        <w:pStyle w:val="5"/>
        <w:spacing w:before="0" w:after="0" w:line="420" w:lineRule="exact"/>
        <w:ind w:firstLine="482" w:firstLineChars="200"/>
        <w:rPr>
          <w:rFonts w:ascii="仿宋" w:hAnsi="仿宋" w:eastAsia="仿宋" w:cs="仿宋"/>
          <w:b w:val="0"/>
          <w:color w:val="auto"/>
          <w:kern w:val="0"/>
          <w:sz w:val="24"/>
          <w:highlight w:val="none"/>
        </w:rPr>
      </w:pPr>
      <w:r>
        <w:rPr>
          <w:rFonts w:hint="eastAsia" w:ascii="仿宋" w:hAnsi="仿宋" w:eastAsia="仿宋" w:cs="仿宋"/>
          <w:bCs/>
          <w:color w:val="auto"/>
          <w:sz w:val="24"/>
          <w:highlight w:val="none"/>
        </w:rPr>
        <w:t>23.1</w:t>
      </w:r>
      <w:r>
        <w:rPr>
          <w:rFonts w:hint="eastAsia" w:ascii="仿宋" w:hAnsi="仿宋" w:eastAsia="仿宋" w:cs="仿宋"/>
          <w:bCs/>
          <w:color w:val="auto"/>
          <w:kern w:val="0"/>
          <w:sz w:val="24"/>
          <w:highlight w:val="none"/>
        </w:rPr>
        <w:t>在评审专家中推选评标委员会组长</w:t>
      </w:r>
    </w:p>
    <w:p w14:paraId="5B5B3DF4">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23.2资格及形式审查</w:t>
      </w:r>
    </w:p>
    <w:p w14:paraId="1264A330">
      <w:pPr>
        <w:snapToGrid w:val="0"/>
        <w:spacing w:line="420" w:lineRule="exact"/>
        <w:ind w:firstLine="470" w:firstLineChars="196"/>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依据法律、法规和招标文件规定，采购人或采购人委托的代理机构对投标人进行资格审查，以确定投标人是否具备投标资格。</w:t>
      </w:r>
    </w:p>
    <w:p w14:paraId="2896ADBC">
      <w:pPr>
        <w:snapToGrid w:val="0"/>
        <w:spacing w:line="420" w:lineRule="exact"/>
        <w:ind w:firstLine="472" w:firstLineChars="196"/>
        <w:rPr>
          <w:rFonts w:ascii="仿宋" w:hAnsi="仿宋" w:eastAsia="仿宋" w:cs="仿宋"/>
          <w:b/>
          <w:bCs/>
          <w:color w:val="auto"/>
          <w:sz w:val="24"/>
          <w:szCs w:val="20"/>
          <w:highlight w:val="none"/>
        </w:rPr>
      </w:pPr>
      <w:r>
        <w:rPr>
          <w:rFonts w:hint="eastAsia" w:ascii="仿宋" w:hAnsi="仿宋" w:eastAsia="仿宋" w:cs="仿宋"/>
          <w:b/>
          <w:bCs/>
          <w:color w:val="auto"/>
          <w:sz w:val="24"/>
          <w:highlight w:val="none"/>
        </w:rPr>
        <w:t>23.3实质审查与比较</w:t>
      </w:r>
    </w:p>
    <w:p w14:paraId="75663A23">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1549FD55">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23.3.2评标委员会将根据投标人的投标文件进行审查、核对,如有疑问,将对投标人进行询标,投标人要向评标委员会澄清有关问题,并最终以“</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”在线询标或其他有效形式形式进行答复。“</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”在线询标时间由评标委员会根据项目实际情况决定，投标人代表拒绝澄清或者澄清的内容改变了投标文件的实质性内容的，评标委员会有权对该投标文件作出不利于投标人的评判。</w:t>
      </w:r>
    </w:p>
    <w:p w14:paraId="0CEFEF4B">
      <w:pPr>
        <w:pStyle w:val="39"/>
        <w:spacing w:line="42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23.3.3投标人应详细说明投标技术方案中产品的具体参数，不得照搬照抄招标文件的技术要求。否则，评标委员会有权认定为投标技术方案不合格响应，其相关分数予以扣减或作无效标处理。</w:t>
      </w:r>
    </w:p>
    <w:p w14:paraId="50767FBB">
      <w:pPr>
        <w:pStyle w:val="39"/>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23.3.4如</w:t>
      </w:r>
      <w:r>
        <w:rPr>
          <w:rFonts w:hint="eastAsia" w:ascii="仿宋" w:hAnsi="仿宋" w:eastAsia="仿宋" w:cs="仿宋"/>
          <w:color w:val="auto"/>
          <w:sz w:val="24"/>
          <w:highlight w:val="none"/>
        </w:rPr>
        <w:t>果投标文件实质不响应招标文件的各项要求，评标委员会将予以拒绝，并且不允许投标人通过修改或撤销其不符合要求的差异或保留，使之成为具有响应性的投标。</w:t>
      </w:r>
    </w:p>
    <w:p w14:paraId="52B4A5A0">
      <w:pPr>
        <w:pStyle w:val="39"/>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23.3.5各投标人的商务技术得分为所有评委的有效评分的算术平均数。</w:t>
      </w:r>
    </w:p>
    <w:p w14:paraId="327CA05B">
      <w:pPr>
        <w:pStyle w:val="39"/>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23.3.6评标委员会完成评标后,评委对各部分得分汇总,计算出本项目最终得分。</w:t>
      </w:r>
    </w:p>
    <w:p w14:paraId="5DF094EA">
      <w:pPr>
        <w:pStyle w:val="39"/>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23.3.7</w:t>
      </w:r>
      <w:r>
        <w:rPr>
          <w:rFonts w:hint="eastAsia" w:ascii="仿宋" w:hAnsi="仿宋" w:eastAsia="仿宋" w:cs="仿宋"/>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7ABCAA8A">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458949CF">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9209F04">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24.</w:t>
      </w:r>
      <w:r>
        <w:rPr>
          <w:rFonts w:hint="eastAsia" w:ascii="仿宋" w:hAnsi="仿宋" w:eastAsia="仿宋" w:cs="仿宋"/>
          <w:color w:val="auto"/>
          <w:sz w:val="24"/>
          <w:szCs w:val="24"/>
          <w:highlight w:val="none"/>
        </w:rPr>
        <w:t>如投标人或采购人有下列情形之一的，应按串通投标行为认定，禁止其一至三年内进入本市采购市场，情节严重的移送有关部门依法处理。</w:t>
      </w:r>
    </w:p>
    <w:p w14:paraId="66F30FF3">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24.1不同投标人的投标文件由同一单位或人员编制； </w:t>
      </w:r>
    </w:p>
    <w:p w14:paraId="05C0BAB7">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24.2不同投标人委托同一单位或个人办理投标事宜；</w:t>
      </w:r>
    </w:p>
    <w:p w14:paraId="320FDB01">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24.3不同投标人的投标文件载明的项目管理或联系人员为同一人；</w:t>
      </w:r>
    </w:p>
    <w:p w14:paraId="548A592D">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24.4不同投标人的投标文件异常一致或者投标报价呈规律性差异； </w:t>
      </w:r>
    </w:p>
    <w:p w14:paraId="0FB52F10">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24.5不同投标人的投标文件遗留其他投标人不属于本投标人参加采购必需的信息资料的；</w:t>
      </w:r>
    </w:p>
    <w:p w14:paraId="76638513">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24.6不同投标人的授权代表为同一单位的工作人员的；</w:t>
      </w:r>
    </w:p>
    <w:p w14:paraId="168D2FB1">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24.7不同投标人的投标文件相互混装，或在一个投标人的投标文件内遗留有其他供应商的签名、盖章等不属于本投标人参加采购必需的信息资料的；</w:t>
      </w:r>
    </w:p>
    <w:p w14:paraId="34B25BC0">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24.8采购响应截止时间后，采购人协助投标人撤换或更改投标文件的；</w:t>
      </w:r>
    </w:p>
    <w:p w14:paraId="39D102CB">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24.9采购人泄露有意向参加采购的投标人名称、数量等应当保密的事项的；</w:t>
      </w:r>
    </w:p>
    <w:p w14:paraId="77744568">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24.10不同投标人之间私下达成书面或口头协议，指定一家投标人中标或轮流中标的；</w:t>
      </w:r>
    </w:p>
    <w:p w14:paraId="547B67BF">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24.11属于同一集团、协会、商会等组织成员的投标人按照该组织要求协同的投标；</w:t>
      </w:r>
    </w:p>
    <w:p w14:paraId="1E2E1C64">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24.12投标人之间为谋取中标或者排斥特定投标人而采取的其他联合行动；</w:t>
      </w:r>
    </w:p>
    <w:p w14:paraId="10E314FA">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24.13不同投标人与同一投标人联合投标的；</w:t>
      </w:r>
    </w:p>
    <w:p w14:paraId="69BD5A05">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24.14采购人（或采购代理机构）明示或者暗示投标人压低或者抬高投标报价；</w:t>
      </w:r>
    </w:p>
    <w:p w14:paraId="0ED53F8F">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24.15采购人（或采购代理机构）明示或者暗示投标人为特定投标人中标提供方便；</w:t>
      </w:r>
    </w:p>
    <w:p w14:paraId="2A4D8E8E">
      <w:pPr>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24.16采购人（或采购代理机构）与投标人为谋求特定投标人中标而采取的其他串通行为；</w:t>
      </w:r>
    </w:p>
    <w:p w14:paraId="0A340BDC">
      <w:pPr>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24.17法律、法规或规章规定的其他串通行为。</w:t>
      </w:r>
    </w:p>
    <w:p w14:paraId="56FA3C1D">
      <w:pPr>
        <w:spacing w:line="42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25.投标文件的澄清</w:t>
      </w:r>
    </w:p>
    <w:p w14:paraId="6CDA538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对投标文件中含义不明确、同类问题表述不一致或者有明显文字错误的内容，评标委员会可以在“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4416C014">
      <w:pPr>
        <w:pStyle w:val="26"/>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26.错误修正</w:t>
      </w:r>
    </w:p>
    <w:p w14:paraId="3BCAB8EF">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投标文件报价出现前后不一致的，按照下列规定修正：</w:t>
      </w:r>
    </w:p>
    <w:p w14:paraId="277C3DE2">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26.1投标文件中开标一览表（报价表）内容与投标文件中相应内容不一致的，以开标一览表（报价表）为准。</w:t>
      </w:r>
    </w:p>
    <w:p w14:paraId="08448E38">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26.2大写金额和小写金额不一致的，以大写金额为准。</w:t>
      </w:r>
    </w:p>
    <w:p w14:paraId="2E736D3E">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26.3单价金额小数点或者百分比有明显错位的，以开标一览表的总价为准，并修改单价。</w:t>
      </w:r>
    </w:p>
    <w:p w14:paraId="3BEA4731">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26.4总价金额与按单价汇总金额不一致的，以单价金额计算结果为准。</w:t>
      </w:r>
    </w:p>
    <w:p w14:paraId="2C4F6434">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w:t>
      </w:r>
    </w:p>
    <w:p w14:paraId="03F1DFA9">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159FE3A6">
      <w:pPr>
        <w:pStyle w:val="39"/>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27.评标办法</w:t>
      </w:r>
    </w:p>
    <w:p w14:paraId="36A05FB3">
      <w:pPr>
        <w:pStyle w:val="39"/>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本项目评标办法是综合评分法，具体评标内容及评分标准等详见《第三章：评标办法及评分标准》。</w:t>
      </w:r>
    </w:p>
    <w:p w14:paraId="151B389D">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28.</w:t>
      </w:r>
      <w:r>
        <w:rPr>
          <w:rFonts w:hint="eastAsia" w:ascii="仿宋" w:hAnsi="仿宋" w:eastAsia="仿宋" w:cs="仿宋"/>
          <w:b/>
          <w:bCs/>
          <w:color w:val="auto"/>
          <w:sz w:val="24"/>
          <w:highlight w:val="none"/>
        </w:rPr>
        <w:t>评标过程的保密</w:t>
      </w:r>
    </w:p>
    <w:p w14:paraId="5302749C">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08E258BD">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4E664EE0">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28.3中标人确定后，采购人不对未中标人就评标过程以及未能中标原因作出任何解释。未中标人不得向评标委员会或其他有关人员索问评标过程的情况和材料。</w:t>
      </w:r>
    </w:p>
    <w:p w14:paraId="7F2CAA00">
      <w:pPr>
        <w:pStyle w:val="6"/>
        <w:spacing w:before="0" w:after="0" w:line="480" w:lineRule="exact"/>
        <w:jc w:val="center"/>
        <w:rPr>
          <w:rFonts w:ascii="仿宋" w:hAnsi="仿宋" w:eastAsia="仿宋" w:cs="仿宋"/>
          <w:color w:val="auto"/>
          <w:sz w:val="28"/>
          <w:szCs w:val="28"/>
          <w:highlight w:val="none"/>
        </w:rPr>
      </w:pPr>
      <w:bookmarkStart w:id="7" w:name="_Toc125344509"/>
      <w:r>
        <w:rPr>
          <w:rFonts w:hint="eastAsia" w:ascii="仿宋" w:hAnsi="仿宋" w:eastAsia="仿宋" w:cs="仿宋"/>
          <w:color w:val="auto"/>
          <w:sz w:val="28"/>
          <w:szCs w:val="28"/>
          <w:highlight w:val="none"/>
        </w:rPr>
        <w:t>六、</w:t>
      </w:r>
      <w:bookmarkEnd w:id="7"/>
      <w:r>
        <w:rPr>
          <w:rFonts w:hint="eastAsia" w:ascii="仿宋" w:hAnsi="仿宋" w:eastAsia="仿宋" w:cs="仿宋"/>
          <w:color w:val="auto"/>
          <w:sz w:val="28"/>
          <w:szCs w:val="28"/>
          <w:highlight w:val="none"/>
        </w:rPr>
        <w:t>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p>
    <w:p w14:paraId="4CE27622">
      <w:pPr>
        <w:pStyle w:val="39"/>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29.确定中标人。本项目由采购人确定中标人。</w:t>
      </w:r>
    </w:p>
    <w:p w14:paraId="0AFDFB7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的中标候选人为中标人。</w:t>
      </w:r>
    </w:p>
    <w:p w14:paraId="017DBD4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29.2中标候选人无正当理由放弃中标成交或被取消中标资格的，同时上报诸暨市水务集团招投标监管领导小组办公室，诸暨市水务集团招投标监管领导小组办公室将按《诸暨市招投标市场不良行为记录暂行规定》等有关法律、法规、制度进行处理。</w:t>
      </w:r>
      <w:r>
        <w:rPr>
          <w:rFonts w:hint="eastAsia" w:ascii="仿宋" w:hAnsi="仿宋" w:eastAsia="仿宋" w:cs="仿宋"/>
          <w:b/>
          <w:color w:val="auto"/>
          <w:sz w:val="24"/>
          <w:highlight w:val="none"/>
        </w:rPr>
        <w:t>此标的将另行组织采购</w:t>
      </w:r>
      <w:r>
        <w:rPr>
          <w:rFonts w:hint="eastAsia" w:ascii="仿宋" w:hAnsi="仿宋" w:eastAsia="仿宋" w:cs="仿宋"/>
          <w:color w:val="auto"/>
          <w:sz w:val="24"/>
          <w:highlight w:val="none"/>
        </w:rPr>
        <w:t>。</w:t>
      </w:r>
    </w:p>
    <w:p w14:paraId="4E95100E">
      <w:pPr>
        <w:pStyle w:val="39"/>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30.中标通知与中标结果公告</w:t>
      </w:r>
    </w:p>
    <w:p w14:paraId="6D22B051">
      <w:pPr>
        <w:snapToGrid w:val="0"/>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30.1中标公示期满后，无异议的，采购人确认中标结果，诸暨市宸佳工程管理有限公司核发《中标通知书》。《中标通知书》一经发出即发生法律效力。</w:t>
      </w:r>
    </w:p>
    <w:p w14:paraId="3035A5C0">
      <w:pPr>
        <w:snapToGrid w:val="0"/>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30.2中标结果将于公示期满后在相关网站以中标公告形式发布，中标人须在中标公告发布后到诸暨市宸佳工程管理有限公司领取书面通知。</w:t>
      </w:r>
    </w:p>
    <w:p w14:paraId="4AB07ED5">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31.中标无效情形</w:t>
      </w:r>
    </w:p>
    <w:p w14:paraId="149240CB">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中标人存在下列情形之一的，中标无效：</w:t>
      </w:r>
    </w:p>
    <w:p w14:paraId="570BDB12">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31.1提供虚假材料谋取中标的；</w:t>
      </w:r>
    </w:p>
    <w:p w14:paraId="76AC4A15">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31.2采取不正当手段诋毁、排挤其他投标人的；</w:t>
      </w:r>
    </w:p>
    <w:p w14:paraId="153E9BDA">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31.3与采购人、其他投标人恶意串通的；</w:t>
      </w:r>
    </w:p>
    <w:p w14:paraId="3AD5D708">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31.4向采购人、采购代理机构行贿或者提供其他不正当利益的；</w:t>
      </w:r>
    </w:p>
    <w:p w14:paraId="40C2FC15">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31.5在招标过程中与采购人进行协商谈判；不按照招标文件和投标文件订立合同或者与采购人另行背离合同实质性内容的协议的；</w:t>
      </w:r>
    </w:p>
    <w:p w14:paraId="296F6E39">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31.6拖延、拒签合同的；</w:t>
      </w:r>
    </w:p>
    <w:p w14:paraId="6247AA21">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31.7存在法律、法规规定的其它损害采购人或采购单位利益或社会公共利益的情形的</w:t>
      </w:r>
      <w:r>
        <w:rPr>
          <w:rFonts w:hint="eastAsia" w:ascii="仿宋" w:hAnsi="仿宋" w:eastAsia="仿宋" w:cs="仿宋"/>
          <w:color w:val="auto"/>
          <w:sz w:val="24"/>
          <w:szCs w:val="24"/>
          <w:highlight w:val="none"/>
        </w:rPr>
        <w:t>。</w:t>
      </w:r>
    </w:p>
    <w:p w14:paraId="5A06E13C">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32.重新招标</w:t>
      </w:r>
    </w:p>
    <w:p w14:paraId="08AC7C96">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根据诸国资办〔2021〕5号文件有关事项的通知，通过公开招标方式进行采购的，经评审，只有二家单位符合采购条件，且采购文件公告期间无异议，专家组一致认为采购文件没有限制性、排他性条款的，可以继续开标。</w:t>
      </w:r>
    </w:p>
    <w:p w14:paraId="4CABE6AF">
      <w:pPr>
        <w:pStyle w:val="6"/>
        <w:spacing w:before="0" w:after="0"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七、授予合同</w:t>
      </w:r>
    </w:p>
    <w:p w14:paraId="3F395BB8">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33.签订合同</w:t>
      </w:r>
    </w:p>
    <w:p w14:paraId="224F4B82">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33.1采购人与中标人应当在《中标通知书》发出之日起30日内签订采购合同。</w:t>
      </w:r>
    </w:p>
    <w:p w14:paraId="33A8054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33.2招标文件、中标人的投标文件和评标过程中投标人的询标时作出的承诺及其澄清文件等作为合同签订的依据和主要附件。</w:t>
      </w:r>
    </w:p>
    <w:p w14:paraId="708A6C7D">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33.3合同一式</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rPr>
        <w:t>份，用户单位和中标人各执</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代理公司、</w:t>
      </w:r>
      <w:r>
        <w:rPr>
          <w:rFonts w:hint="eastAsia" w:ascii="仿宋" w:hAnsi="仿宋" w:eastAsia="仿宋" w:cs="仿宋"/>
          <w:color w:val="auto"/>
          <w:sz w:val="24"/>
          <w:szCs w:val="24"/>
          <w:highlight w:val="none"/>
          <w:lang w:val="en-US" w:eastAsia="zh-CN"/>
        </w:rPr>
        <w:t>招标办</w:t>
      </w:r>
      <w:r>
        <w:rPr>
          <w:rFonts w:hint="eastAsia" w:ascii="仿宋" w:hAnsi="仿宋" w:eastAsia="仿宋" w:cs="仿宋"/>
          <w:color w:val="auto"/>
          <w:sz w:val="24"/>
          <w:szCs w:val="24"/>
          <w:highlight w:val="none"/>
        </w:rPr>
        <w:t>存档</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份。</w:t>
      </w:r>
    </w:p>
    <w:p w14:paraId="2A85304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33.4中标人和采购单位不得擅自变更、中止或者终止合同，不得另外订立背离合同实质性内容的其它协议。</w:t>
      </w:r>
    </w:p>
    <w:p w14:paraId="07ECA344">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34.履约保证金</w:t>
      </w:r>
    </w:p>
    <w:p w14:paraId="587FECD8">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34.1中标人应按招标文件要求向采购人提交履约保证金，履约保证金作为中标人在履行合同合服务承诺的保证。</w:t>
      </w:r>
    </w:p>
    <w:p w14:paraId="275230B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34.2中标人应当以支票、汇票、本票等非现金形式提交。中标人在履行完合同约定事项后，采购人应及时退还履约保证金。履约保证金不计息。</w:t>
      </w:r>
    </w:p>
    <w:p w14:paraId="5026031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34.3签订合同后，如中标人不按双方合同约定履约，则没收其全部履约保证金，履约保证金不足以赔偿损失的，按实际损失赔偿。</w:t>
      </w:r>
    </w:p>
    <w:p w14:paraId="5BAAE9E9">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35.合同备案</w:t>
      </w:r>
    </w:p>
    <w:p w14:paraId="5B11D121">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采购人应当自采购合同签订之日起七个工作日内，</w:t>
      </w:r>
      <w:r>
        <w:rPr>
          <w:rFonts w:hint="eastAsia" w:ascii="仿宋" w:hAnsi="仿宋" w:eastAsia="仿宋" w:cs="仿宋"/>
          <w:color w:val="auto"/>
          <w:sz w:val="24"/>
          <w:szCs w:val="24"/>
          <w:highlight w:val="none"/>
        </w:rPr>
        <w:t>按照有关规定将采购合同送至诸暨市宸佳工程管理有限公司备案。</w:t>
      </w:r>
    </w:p>
    <w:p w14:paraId="45F52FA0">
      <w:pPr>
        <w:pStyle w:val="26"/>
        <w:tabs>
          <w:tab w:val="left" w:pos="900"/>
        </w:tabs>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八、质疑和投诉</w:t>
      </w:r>
    </w:p>
    <w:p w14:paraId="12BFFB4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36.1开标过程中，投标人对开标有异议的，应当在“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”平台上及时提出，评审委员应对异常情况制作相关记录。</w:t>
      </w:r>
    </w:p>
    <w:p w14:paraId="3D1B919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63B6A1F8">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36.3质疑投诉的相关规定</w:t>
      </w:r>
    </w:p>
    <w:p w14:paraId="7940644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（一）质疑投诉递交的资料需为书面材料。质疑投诉书面材料需法人代表人（或负责人）或授权代表签字并加盖公章。</w:t>
      </w:r>
    </w:p>
    <w:p w14:paraId="2DE0B34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（二）质疑投诉属于以下情况之一的，将不予受理：</w:t>
      </w:r>
    </w:p>
    <w:p w14:paraId="16637BE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(1)质疑投诉人不是所投诉项目的参与者，或者与质疑投诉项目无任何利害关系。</w:t>
      </w:r>
    </w:p>
    <w:p w14:paraId="52BA117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(2)质疑投诉事项不具体，且未提供有效线索，难以查证。</w:t>
      </w:r>
    </w:p>
    <w:p w14:paraId="52A5898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(3)未提供书面质疑或者质疑未加盖公章的；投诉人为法人或者其他组织，其投诉书未经法定代表人或者主要负责人签字并加盖公章的。</w:t>
      </w:r>
    </w:p>
    <w:p w14:paraId="2FE44C8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(4)已超过招标文件规定质疑投诉提出期限的事项。</w:t>
      </w:r>
    </w:p>
    <w:p w14:paraId="734FE028">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(5)投诉事项已作出处理决定，并且投诉人没有提出新的证据</w:t>
      </w:r>
    </w:p>
    <w:p w14:paraId="0DE9AA2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(6)质疑投诉的事项已经进入行政复议或者行政诉讼程序的；投诉事项应先提出质疑而没有提出质疑的。</w:t>
      </w:r>
    </w:p>
    <w:p w14:paraId="7B2255E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(7)不符合采购相关法律法规等有关规定的投诉。</w:t>
      </w:r>
    </w:p>
    <w:p w14:paraId="466A8CE7">
      <w:pPr>
        <w:pStyle w:val="6"/>
        <w:spacing w:before="0" w:after="0" w:line="480" w:lineRule="exact"/>
        <w:ind w:firstLine="562"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九、不良行为记录</w:t>
      </w:r>
    </w:p>
    <w:p w14:paraId="1B7051B6">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投标人在采购活动中出现下列违规行为的将记入</w:t>
      </w:r>
      <w:r>
        <w:rPr>
          <w:rFonts w:hint="eastAsia" w:ascii="仿宋" w:hAnsi="仿宋" w:eastAsia="仿宋" w:cs="仿宋"/>
          <w:color w:val="auto"/>
          <w:sz w:val="24"/>
          <w:highlight w:val="none"/>
        </w:rPr>
        <w:t>诸暨市水务集团</w:t>
      </w:r>
      <w:r>
        <w:rPr>
          <w:rFonts w:hint="eastAsia" w:ascii="仿宋" w:hAnsi="仿宋" w:eastAsia="仿宋" w:cs="仿宋"/>
          <w:color w:val="auto"/>
          <w:sz w:val="24"/>
          <w:szCs w:val="24"/>
          <w:highlight w:val="none"/>
        </w:rPr>
        <w:t>采购不良行为记录，并在记录时限内暂停其</w:t>
      </w:r>
      <w:r>
        <w:rPr>
          <w:rFonts w:hint="eastAsia" w:ascii="仿宋" w:hAnsi="仿宋" w:eastAsia="仿宋" w:cs="仿宋"/>
          <w:color w:val="auto"/>
          <w:sz w:val="24"/>
          <w:highlight w:val="none"/>
        </w:rPr>
        <w:t>诸暨市水务集团</w:t>
      </w:r>
      <w:r>
        <w:rPr>
          <w:rFonts w:hint="eastAsia" w:ascii="仿宋" w:hAnsi="仿宋" w:eastAsia="仿宋" w:cs="仿宋"/>
          <w:color w:val="auto"/>
          <w:sz w:val="24"/>
          <w:szCs w:val="24"/>
          <w:highlight w:val="none"/>
        </w:rPr>
        <w:t>及下属公司范围内采购交易资格，同时将在诸暨市公共资源交易中心公示。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47E0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47" w:type="dxa"/>
            <w:noWrap/>
            <w:vAlign w:val="center"/>
          </w:tcPr>
          <w:p w14:paraId="7E65715B">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433" w:type="dxa"/>
            <w:noWrap/>
            <w:vAlign w:val="center"/>
          </w:tcPr>
          <w:p w14:paraId="6E1858BB">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不良行为</w:t>
            </w:r>
          </w:p>
        </w:tc>
        <w:tc>
          <w:tcPr>
            <w:tcW w:w="1326" w:type="dxa"/>
            <w:noWrap/>
            <w:vAlign w:val="center"/>
          </w:tcPr>
          <w:p w14:paraId="7C8CC31F">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记录时限</w:t>
            </w:r>
          </w:p>
        </w:tc>
      </w:tr>
      <w:tr w14:paraId="6CDF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7E39745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433" w:type="dxa"/>
            <w:noWrap/>
            <w:vAlign w:val="center"/>
          </w:tcPr>
          <w:p w14:paraId="7B5B93E6">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在招标采购过程中，与采购人进行协商谈判的</w:t>
            </w:r>
          </w:p>
        </w:tc>
        <w:tc>
          <w:tcPr>
            <w:tcW w:w="1326" w:type="dxa"/>
            <w:noWrap/>
            <w:vAlign w:val="center"/>
          </w:tcPr>
          <w:p w14:paraId="2FCA4F6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6BD1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70AD04F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433" w:type="dxa"/>
            <w:noWrap/>
            <w:vAlign w:val="center"/>
          </w:tcPr>
          <w:p w14:paraId="764463C5">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投标有效期内撤回其采购响应文件的</w:t>
            </w:r>
          </w:p>
        </w:tc>
        <w:tc>
          <w:tcPr>
            <w:tcW w:w="1326" w:type="dxa"/>
            <w:noWrap/>
            <w:vAlign w:val="center"/>
          </w:tcPr>
          <w:p w14:paraId="788D7F0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6E9B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57E4577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433" w:type="dxa"/>
            <w:noWrap/>
            <w:vAlign w:val="center"/>
          </w:tcPr>
          <w:p w14:paraId="38604532">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拒绝有关部门监督检查或提供虚假情况的</w:t>
            </w:r>
          </w:p>
        </w:tc>
        <w:tc>
          <w:tcPr>
            <w:tcW w:w="1326" w:type="dxa"/>
            <w:noWrap/>
            <w:vAlign w:val="center"/>
          </w:tcPr>
          <w:p w14:paraId="674A438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6D28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4AF0A579">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433" w:type="dxa"/>
            <w:noWrap/>
            <w:vAlign w:val="center"/>
          </w:tcPr>
          <w:p w14:paraId="6A49198F">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不积极配合采购单位做好标的验收工作的</w:t>
            </w:r>
          </w:p>
        </w:tc>
        <w:tc>
          <w:tcPr>
            <w:tcW w:w="1326" w:type="dxa"/>
            <w:noWrap/>
            <w:vAlign w:val="center"/>
          </w:tcPr>
          <w:p w14:paraId="7561DE9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38D1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67F2B52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433" w:type="dxa"/>
            <w:noWrap/>
            <w:vAlign w:val="center"/>
          </w:tcPr>
          <w:p w14:paraId="3F3710F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在有关部门的监督检查或考核中被通报批评或处以警告及以上处罚的</w:t>
            </w:r>
          </w:p>
        </w:tc>
        <w:tc>
          <w:tcPr>
            <w:tcW w:w="1326" w:type="dxa"/>
            <w:noWrap/>
            <w:vAlign w:val="center"/>
          </w:tcPr>
          <w:p w14:paraId="5DF4B37C">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0EF3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168D3C3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433" w:type="dxa"/>
            <w:noWrap/>
            <w:vAlign w:val="center"/>
          </w:tcPr>
          <w:p w14:paraId="7507FCA8">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不遵守投标会场纪律，无理取闹，扰乱交易秩序的</w:t>
            </w:r>
          </w:p>
        </w:tc>
        <w:tc>
          <w:tcPr>
            <w:tcW w:w="1326" w:type="dxa"/>
            <w:noWrap/>
            <w:vAlign w:val="center"/>
          </w:tcPr>
          <w:p w14:paraId="09F1ABA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212B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0BF1D7C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433" w:type="dxa"/>
            <w:noWrap/>
            <w:vAlign w:val="center"/>
          </w:tcPr>
          <w:p w14:paraId="30A0FD0E">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中标后无正当理由放弃中标，或在规定时间内不与采购人签订政府采购合同，或在签订合同时提出附加条件或更改合同实质性内容，或拒不提交所要求的履约保证金的</w:t>
            </w:r>
          </w:p>
        </w:tc>
        <w:tc>
          <w:tcPr>
            <w:tcW w:w="1326" w:type="dxa"/>
            <w:noWrap/>
            <w:vAlign w:val="center"/>
          </w:tcPr>
          <w:p w14:paraId="2BCBF6C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1C1A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6EA0E75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433" w:type="dxa"/>
            <w:noWrap/>
            <w:vAlign w:val="center"/>
          </w:tcPr>
          <w:p w14:paraId="643D609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不按照与采购人订立的合同履行义务（包括提供标的、售后服务、技术支持等），严重违反合同规定和廉政合同要求的</w:t>
            </w:r>
          </w:p>
        </w:tc>
        <w:tc>
          <w:tcPr>
            <w:tcW w:w="1326" w:type="dxa"/>
            <w:noWrap/>
            <w:vAlign w:val="center"/>
          </w:tcPr>
          <w:p w14:paraId="6667463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72F7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5E2C413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433" w:type="dxa"/>
            <w:noWrap/>
            <w:vAlign w:val="center"/>
          </w:tcPr>
          <w:p w14:paraId="77A68585">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项目负责人不到位，或擅自变换项目负责人，或不认真履行职责造成采购人损失的</w:t>
            </w:r>
          </w:p>
        </w:tc>
        <w:tc>
          <w:tcPr>
            <w:tcW w:w="1326" w:type="dxa"/>
            <w:noWrap/>
            <w:vAlign w:val="center"/>
          </w:tcPr>
          <w:p w14:paraId="14B7BBE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4CCD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64E2A41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433" w:type="dxa"/>
            <w:noWrap/>
            <w:vAlign w:val="center"/>
          </w:tcPr>
          <w:p w14:paraId="20AB2C98">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ign w:val="center"/>
          </w:tcPr>
          <w:p w14:paraId="6052613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667C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39AFF05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433" w:type="dxa"/>
            <w:noWrap/>
            <w:vAlign w:val="center"/>
          </w:tcPr>
          <w:p w14:paraId="0132C20C">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与采购人、其他供应商或者采购代理机构相互串通的</w:t>
            </w:r>
          </w:p>
        </w:tc>
        <w:tc>
          <w:tcPr>
            <w:tcW w:w="1326" w:type="dxa"/>
            <w:noWrap/>
            <w:vAlign w:val="center"/>
          </w:tcPr>
          <w:p w14:paraId="2F1F96A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44B9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2C60EBC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433" w:type="dxa"/>
            <w:noWrap/>
            <w:vAlign w:val="center"/>
          </w:tcPr>
          <w:p w14:paraId="1278DA7C">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采取不正当手段排挤其他供应商，进行不公平竞争的</w:t>
            </w:r>
          </w:p>
        </w:tc>
        <w:tc>
          <w:tcPr>
            <w:tcW w:w="1326" w:type="dxa"/>
            <w:noWrap/>
            <w:vAlign w:val="center"/>
          </w:tcPr>
          <w:p w14:paraId="1FEBBDB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7061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36402BD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433" w:type="dxa"/>
            <w:noWrap/>
            <w:vAlign w:val="center"/>
          </w:tcPr>
          <w:p w14:paraId="526DE13B">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中标后与采购人另行订立背离合同实质内容的协议的</w:t>
            </w:r>
          </w:p>
        </w:tc>
        <w:tc>
          <w:tcPr>
            <w:tcW w:w="1326" w:type="dxa"/>
            <w:noWrap/>
            <w:vAlign w:val="center"/>
          </w:tcPr>
          <w:p w14:paraId="0983FBC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5550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6D88820C">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433" w:type="dxa"/>
            <w:noWrap/>
            <w:vAlign w:val="center"/>
          </w:tcPr>
          <w:p w14:paraId="2B44D3B7">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事先有承诺，而事后违反承诺内容的</w:t>
            </w:r>
          </w:p>
        </w:tc>
        <w:tc>
          <w:tcPr>
            <w:tcW w:w="1326" w:type="dxa"/>
            <w:noWrap/>
            <w:vAlign w:val="center"/>
          </w:tcPr>
          <w:p w14:paraId="030C80A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3566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47F9996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433" w:type="dxa"/>
            <w:noWrap/>
            <w:vAlign w:val="center"/>
          </w:tcPr>
          <w:p w14:paraId="3003A1EA">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将中标项目转包或违反规定进行分包的</w:t>
            </w:r>
          </w:p>
        </w:tc>
        <w:tc>
          <w:tcPr>
            <w:tcW w:w="1326" w:type="dxa"/>
            <w:noWrap/>
            <w:vAlign w:val="center"/>
          </w:tcPr>
          <w:p w14:paraId="6B11DEC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5963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3AAD8A2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433" w:type="dxa"/>
            <w:noWrap/>
            <w:vAlign w:val="center"/>
          </w:tcPr>
          <w:p w14:paraId="08CA00FF">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以他人名义投标或允许他人以自己名义投标，或者以其他方式弄虚作假的</w:t>
            </w:r>
          </w:p>
        </w:tc>
        <w:tc>
          <w:tcPr>
            <w:tcW w:w="1326" w:type="dxa"/>
            <w:noWrap/>
            <w:vAlign w:val="center"/>
          </w:tcPr>
          <w:p w14:paraId="30B7EDE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6E3A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1F71849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433" w:type="dxa"/>
            <w:noWrap/>
            <w:vAlign w:val="center"/>
          </w:tcPr>
          <w:p w14:paraId="60C9CD1D">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未按照采购合同约定及时提供全部货物的，或无故拖延工期的</w:t>
            </w:r>
          </w:p>
        </w:tc>
        <w:tc>
          <w:tcPr>
            <w:tcW w:w="1326" w:type="dxa"/>
            <w:noWrap/>
            <w:vAlign w:val="center"/>
          </w:tcPr>
          <w:p w14:paraId="074B562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45C3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476A371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433" w:type="dxa"/>
            <w:noWrap/>
            <w:vAlign w:val="center"/>
          </w:tcPr>
          <w:p w14:paraId="36A43895">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无故不提供中标要求的型号、配置等产品的，或有拆换、调换、截留产品零部件和备品备件的行为的</w:t>
            </w:r>
          </w:p>
        </w:tc>
        <w:tc>
          <w:tcPr>
            <w:tcW w:w="1326" w:type="dxa"/>
            <w:noWrap/>
            <w:vAlign w:val="center"/>
          </w:tcPr>
          <w:p w14:paraId="3B7CDB4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4D3E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59A8882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433" w:type="dxa"/>
            <w:noWrap/>
            <w:vAlign w:val="center"/>
          </w:tcPr>
          <w:p w14:paraId="64E32B4B">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为获取自身利益，向采购人及其他有利害关系的单位或个人提供不正当利益的</w:t>
            </w:r>
          </w:p>
        </w:tc>
        <w:tc>
          <w:tcPr>
            <w:tcW w:w="1326" w:type="dxa"/>
            <w:noWrap/>
            <w:vAlign w:val="center"/>
          </w:tcPr>
          <w:p w14:paraId="52A5A55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40B2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54F0499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433" w:type="dxa"/>
            <w:noWrap/>
            <w:vAlign w:val="center"/>
          </w:tcPr>
          <w:p w14:paraId="2711A5A0">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投标人、采购相关利益人、自然人</w:t>
            </w:r>
            <w:r>
              <w:rPr>
                <w:rFonts w:hint="eastAsia" w:ascii="仿宋" w:hAnsi="仿宋" w:eastAsia="仿宋" w:cs="仿宋"/>
                <w:color w:val="auto"/>
                <w:sz w:val="24"/>
                <w:szCs w:val="24"/>
                <w:highlight w:val="none"/>
              </w:rPr>
              <w:t>不按程序、规定时间进行质疑投诉；</w:t>
            </w:r>
            <w:r>
              <w:rPr>
                <w:rFonts w:hint="eastAsia" w:ascii="仿宋" w:hAnsi="仿宋" w:eastAsia="仿宋" w:cs="仿宋"/>
                <w:color w:val="auto"/>
                <w:sz w:val="24"/>
                <w:highlight w:val="none"/>
              </w:rPr>
              <w:t>虚假质疑投诉；非正规渠道质疑投诉（信访、网络炒作等）；并对采购工作造成不利影响的</w:t>
            </w:r>
          </w:p>
        </w:tc>
        <w:tc>
          <w:tcPr>
            <w:tcW w:w="1326" w:type="dxa"/>
            <w:noWrap/>
            <w:vAlign w:val="center"/>
          </w:tcPr>
          <w:p w14:paraId="5C107AA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1A57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611BB5D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433" w:type="dxa"/>
            <w:noWrap/>
            <w:vAlign w:val="center"/>
          </w:tcPr>
          <w:p w14:paraId="388ACDE6">
            <w:pPr>
              <w:spacing w:line="3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投标人、采购相关利益人、自然人利用质疑投诉、非正规渠道质疑投诉达到自身目的，并对采购工作造成不利影响的</w:t>
            </w:r>
          </w:p>
        </w:tc>
        <w:tc>
          <w:tcPr>
            <w:tcW w:w="1326" w:type="dxa"/>
            <w:noWrap/>
            <w:vAlign w:val="center"/>
          </w:tcPr>
          <w:p w14:paraId="61504CE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105A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01664C5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433" w:type="dxa"/>
            <w:noWrap/>
            <w:vAlign w:val="center"/>
          </w:tcPr>
          <w:p w14:paraId="5252D3D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提供假冒伪劣产品或走私物品的</w:t>
            </w:r>
          </w:p>
        </w:tc>
        <w:tc>
          <w:tcPr>
            <w:tcW w:w="1326" w:type="dxa"/>
            <w:noWrap/>
            <w:vAlign w:val="center"/>
          </w:tcPr>
          <w:p w14:paraId="7569FD6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036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268F596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6433" w:type="dxa"/>
            <w:noWrap/>
            <w:vAlign w:val="center"/>
          </w:tcPr>
          <w:p w14:paraId="74006318">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擅自变更、中止、终止或解除政府采购合同的</w:t>
            </w:r>
          </w:p>
        </w:tc>
        <w:tc>
          <w:tcPr>
            <w:tcW w:w="1326" w:type="dxa"/>
            <w:noWrap/>
            <w:vAlign w:val="center"/>
          </w:tcPr>
          <w:p w14:paraId="3BAE3B2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1157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5D263F99">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6433" w:type="dxa"/>
            <w:noWrap/>
            <w:vAlign w:val="center"/>
          </w:tcPr>
          <w:p w14:paraId="107D3B2C">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向有关人员行贿或者提供不正当利益谋取中标的</w:t>
            </w:r>
          </w:p>
        </w:tc>
        <w:tc>
          <w:tcPr>
            <w:tcW w:w="1326" w:type="dxa"/>
            <w:noWrap/>
            <w:vAlign w:val="center"/>
          </w:tcPr>
          <w:p w14:paraId="5EC83B5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72C1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7FA0630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433" w:type="dxa"/>
            <w:noWrap/>
            <w:vAlign w:val="center"/>
          </w:tcPr>
          <w:p w14:paraId="539DBA3B">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在政府采购活动期间，对管理机构、采购人、其他采购响应人、评标专家、中介机构等政府采购相关机构和人员，采取诋毁、诽谤、胁迫、暴力等不正当手段的</w:t>
            </w:r>
          </w:p>
        </w:tc>
        <w:tc>
          <w:tcPr>
            <w:tcW w:w="1326" w:type="dxa"/>
            <w:noWrap/>
            <w:vAlign w:val="center"/>
          </w:tcPr>
          <w:p w14:paraId="22ADA86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449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7" w:type="dxa"/>
            <w:noWrap/>
            <w:vAlign w:val="center"/>
          </w:tcPr>
          <w:p w14:paraId="17158C65">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433" w:type="dxa"/>
            <w:noWrap/>
            <w:vAlign w:val="center"/>
          </w:tcPr>
          <w:p w14:paraId="32268770">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诸暨市水务集团</w:t>
            </w:r>
            <w:r>
              <w:rPr>
                <w:rFonts w:hint="eastAsia" w:ascii="仿宋" w:hAnsi="仿宋" w:eastAsia="仿宋" w:cs="仿宋"/>
                <w:color w:val="auto"/>
                <w:sz w:val="24"/>
                <w:szCs w:val="24"/>
                <w:highlight w:val="none"/>
              </w:rPr>
              <w:t>招投标监管领导小组办公室认定的其他违反政府采购管理的行为</w:t>
            </w:r>
          </w:p>
        </w:tc>
        <w:tc>
          <w:tcPr>
            <w:tcW w:w="1326" w:type="dxa"/>
            <w:noWrap/>
            <w:vAlign w:val="center"/>
          </w:tcPr>
          <w:p w14:paraId="72CBC2A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酌情处理</w:t>
            </w:r>
          </w:p>
        </w:tc>
      </w:tr>
    </w:tbl>
    <w:p w14:paraId="78275F1E">
      <w:pPr>
        <w:pStyle w:val="6"/>
        <w:spacing w:before="0" w:after="0"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十、监督和解释</w:t>
      </w:r>
    </w:p>
    <w:p w14:paraId="4F8975ED">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37.</w:t>
      </w:r>
      <w:r>
        <w:rPr>
          <w:rFonts w:hint="eastAsia" w:ascii="仿宋" w:hAnsi="仿宋" w:eastAsia="仿宋" w:cs="仿宋"/>
          <w:color w:val="auto"/>
          <w:sz w:val="24"/>
          <w:highlight w:val="none"/>
          <w:lang w:val="en-US" w:eastAsia="zh-CN"/>
        </w:rPr>
        <w:t>本次招标活动接受诸暨市国资办、诸暨市暨阳排水管理有限公司的监督。</w:t>
      </w:r>
    </w:p>
    <w:p w14:paraId="59A43F73">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38.</w:t>
      </w:r>
      <w:r>
        <w:rPr>
          <w:rFonts w:hint="eastAsia" w:ascii="仿宋" w:hAnsi="仿宋" w:eastAsia="仿宋" w:cs="仿宋"/>
          <w:color w:val="auto"/>
          <w:sz w:val="24"/>
          <w:highlight w:val="none"/>
        </w:rPr>
        <w:t>本招标文件的解释权属于采购单位和诸暨市宸佳工程管理有限公司。</w:t>
      </w:r>
    </w:p>
    <w:p w14:paraId="624E2512">
      <w:pPr>
        <w:pStyle w:val="5"/>
        <w:spacing w:before="0" w:after="0" w:line="240" w:lineRule="auto"/>
        <w:jc w:val="center"/>
        <w:rPr>
          <w:rFonts w:hint="eastAsia" w:ascii="华文中宋" w:hAnsi="华文中宋" w:eastAsia="华文中宋"/>
          <w:color w:val="auto"/>
          <w:sz w:val="36"/>
          <w:szCs w:val="36"/>
          <w:highlight w:val="none"/>
        </w:rPr>
        <w:sectPr>
          <w:headerReference r:id="rId12" w:type="default"/>
          <w:footerReference r:id="rId13" w:type="defaul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bookmarkStart w:id="8" w:name="_Toc125344512"/>
    </w:p>
    <w:p w14:paraId="3073E531">
      <w:pPr>
        <w:pStyle w:val="5"/>
        <w:spacing w:before="0" w:after="120" w:line="300" w:lineRule="auto"/>
        <w:jc w:val="center"/>
        <w:rPr>
          <w:rFonts w:ascii="华文中宋" w:hAnsi="华文中宋" w:eastAsia="华文中宋"/>
          <w:color w:val="auto"/>
          <w:sz w:val="36"/>
          <w:szCs w:val="36"/>
          <w:highlight w:val="none"/>
        </w:rPr>
      </w:pPr>
      <w:r>
        <w:rPr>
          <w:rFonts w:hint="eastAsia" w:ascii="华文中宋" w:hAnsi="华文中宋" w:eastAsia="华文中宋"/>
          <w:color w:val="auto"/>
          <w:sz w:val="36"/>
          <w:szCs w:val="36"/>
          <w:highlight w:val="none"/>
        </w:rPr>
        <w:t xml:space="preserve">第三章  </w:t>
      </w:r>
      <w:bookmarkEnd w:id="8"/>
      <w:r>
        <w:rPr>
          <w:rFonts w:hint="eastAsia" w:ascii="华文中宋" w:hAnsi="华文中宋" w:eastAsia="华文中宋"/>
          <w:color w:val="auto"/>
          <w:sz w:val="36"/>
          <w:szCs w:val="36"/>
          <w:highlight w:val="none"/>
        </w:rPr>
        <w:t>评标方法及评分标准</w:t>
      </w:r>
    </w:p>
    <w:p w14:paraId="25F7AE0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综合评分法</w:t>
      </w:r>
      <w:r>
        <w:rPr>
          <w:rFonts w:hint="eastAsia" w:ascii="仿宋" w:hAnsi="仿宋" w:eastAsia="仿宋" w:cs="仿宋"/>
          <w:color w:val="auto"/>
          <w:sz w:val="24"/>
          <w:highlight w:val="none"/>
        </w:rPr>
        <w:t>。即在符合招标文件要求的前提下，择定最高得分者为第一中标候选人，即预中标人。</w:t>
      </w:r>
    </w:p>
    <w:p w14:paraId="5757746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2、合格投标人的评标得分为各项目汇总得分，中标候选资格按评标得分由高到低顺序排列，得分相同的，按投标报价由低到高顺序排列；得分且投标报价相同的，按商务技术得分由高到低顺序排列。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7FBF77C9">
      <w:pPr>
        <w:keepNext w:val="0"/>
        <w:keepLines w:val="0"/>
        <w:pageBreakBefore w:val="0"/>
        <w:widowControl w:val="0"/>
        <w:kinsoku/>
        <w:wordWrap/>
        <w:overflowPunct/>
        <w:topLinePunct w:val="0"/>
        <w:autoSpaceDE w:val="0"/>
        <w:autoSpaceDN w:val="0"/>
        <w:bidi w:val="0"/>
        <w:adjustRightInd w:val="0"/>
        <w:snapToGrid/>
        <w:spacing w:after="0" w:line="420" w:lineRule="exact"/>
        <w:ind w:firstLine="480" w:firstLineChars="200"/>
        <w:textAlignment w:val="auto"/>
        <w:rPr>
          <w:rFonts w:hint="eastAsia" w:eastAsia="仿宋"/>
          <w:color w:val="auto"/>
          <w:highlight w:val="none"/>
          <w:lang w:val="en-US" w:eastAsia="zh-CN"/>
        </w:rPr>
      </w:pPr>
      <w:r>
        <w:rPr>
          <w:rFonts w:hint="eastAsia" w:ascii="仿宋" w:hAnsi="仿宋" w:eastAsia="仿宋" w:cs="仿宋"/>
          <w:color w:val="auto"/>
          <w:sz w:val="24"/>
          <w:highlight w:val="none"/>
          <w:lang w:val="en-US" w:eastAsia="zh-CN"/>
        </w:rPr>
        <w:t>3、评分办法</w:t>
      </w:r>
    </w:p>
    <w:p w14:paraId="6D9034B4">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（1）满分为100分。总得分=商务技术得分+报价得分；</w:t>
      </w:r>
    </w:p>
    <w:p w14:paraId="5A278C67">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（2）商务技术得分=商务技术评分，商务技术评分=所有评委的有效评分的算术平均数。</w:t>
      </w:r>
    </w:p>
    <w:p w14:paraId="0705406A">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（3）报价得分=（评标基准价/投标</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）*价格权值*100，评标基准价=有效投标人的最低投标报价，价格权值=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p w14:paraId="422A9554">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（4）商务技术分评分细则（</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w:t>
      </w:r>
    </w:p>
    <w:tbl>
      <w:tblPr>
        <w:tblStyle w:val="51"/>
        <w:tblW w:w="10125" w:type="dxa"/>
        <w:tblInd w:w="-2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1190"/>
        <w:gridCol w:w="6905"/>
        <w:gridCol w:w="885"/>
      </w:tblGrid>
      <w:tr w14:paraId="0A0A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45" w:type="dxa"/>
            <w:noWrap w:val="0"/>
            <w:vAlign w:val="center"/>
          </w:tcPr>
          <w:p w14:paraId="29BD64C8">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190" w:type="dxa"/>
            <w:noWrap w:val="0"/>
            <w:vAlign w:val="center"/>
          </w:tcPr>
          <w:p w14:paraId="60FAB723">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905" w:type="dxa"/>
            <w:noWrap w:val="0"/>
            <w:vAlign w:val="center"/>
          </w:tcPr>
          <w:p w14:paraId="5F4EEBF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885" w:type="dxa"/>
            <w:noWrap w:val="0"/>
            <w:vAlign w:val="center"/>
          </w:tcPr>
          <w:p w14:paraId="74CEC961">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2D64D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restart"/>
            <w:noWrap w:val="0"/>
            <w:vAlign w:val="center"/>
          </w:tcPr>
          <w:p w14:paraId="57EFB37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190" w:type="dxa"/>
            <w:vMerge w:val="restart"/>
            <w:noWrap w:val="0"/>
            <w:vAlign w:val="center"/>
          </w:tcPr>
          <w:p w14:paraId="186FA80A">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企业资信</w:t>
            </w:r>
          </w:p>
        </w:tc>
        <w:tc>
          <w:tcPr>
            <w:tcW w:w="6905" w:type="dxa"/>
            <w:noWrap w:val="0"/>
            <w:vAlign w:val="center"/>
          </w:tcPr>
          <w:p w14:paraId="4B24F230">
            <w:pPr>
              <w:keepNext w:val="0"/>
              <w:keepLines w:val="0"/>
              <w:pageBreakBefore w:val="0"/>
              <w:widowControl w:val="0"/>
              <w:tabs>
                <w:tab w:val="left" w:pos="1376"/>
              </w:tabs>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投标人具有有效期内质量管理体系认证</w:t>
            </w:r>
            <w:r>
              <w:rPr>
                <w:rFonts w:hint="eastAsia" w:ascii="仿宋" w:hAnsi="仿宋" w:eastAsia="仿宋" w:cs="仿宋"/>
                <w:sz w:val="24"/>
                <w:szCs w:val="24"/>
                <w:lang w:val="en-US" w:eastAsia="zh-CN"/>
              </w:rPr>
              <w:t>证书</w:t>
            </w:r>
            <w:r>
              <w:rPr>
                <w:rFonts w:hint="eastAsia" w:ascii="仿宋" w:hAnsi="仿宋" w:eastAsia="仿宋" w:cs="仿宋"/>
                <w:sz w:val="24"/>
                <w:szCs w:val="24"/>
              </w:rPr>
              <w:t>、环境管理体系认证</w:t>
            </w:r>
            <w:r>
              <w:rPr>
                <w:rFonts w:hint="eastAsia" w:ascii="仿宋" w:hAnsi="仿宋" w:eastAsia="仿宋" w:cs="仿宋"/>
                <w:sz w:val="24"/>
                <w:szCs w:val="24"/>
                <w:lang w:val="en-US" w:eastAsia="zh-CN"/>
              </w:rPr>
              <w:t>证书</w:t>
            </w:r>
            <w:r>
              <w:rPr>
                <w:rFonts w:hint="eastAsia" w:ascii="仿宋" w:hAnsi="仿宋" w:eastAsia="仿宋" w:cs="仿宋"/>
                <w:sz w:val="24"/>
                <w:szCs w:val="24"/>
              </w:rPr>
              <w:t>、职业健康安全管理体系认证</w:t>
            </w:r>
            <w:r>
              <w:rPr>
                <w:rFonts w:hint="eastAsia" w:ascii="仿宋" w:hAnsi="仿宋" w:eastAsia="仿宋" w:cs="仿宋"/>
                <w:sz w:val="24"/>
                <w:szCs w:val="24"/>
                <w:lang w:val="en-US" w:eastAsia="zh-CN"/>
              </w:rPr>
              <w:t>证书</w:t>
            </w:r>
            <w:r>
              <w:rPr>
                <w:rFonts w:hint="eastAsia" w:ascii="仿宋" w:hAnsi="仿宋" w:eastAsia="仿宋" w:cs="仿宋"/>
                <w:sz w:val="24"/>
                <w:szCs w:val="24"/>
              </w:rPr>
              <w:t>的</w:t>
            </w:r>
            <w:r>
              <w:rPr>
                <w:rFonts w:hint="eastAsia" w:ascii="仿宋" w:hAnsi="仿宋" w:eastAsia="仿宋" w:cs="仿宋"/>
                <w:color w:val="auto"/>
                <w:sz w:val="24"/>
                <w:szCs w:val="24"/>
                <w:highlight w:val="none"/>
              </w:rPr>
              <w:t>，每项得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76AE092F">
            <w:pPr>
              <w:keepNext w:val="0"/>
              <w:keepLines w:val="0"/>
              <w:pageBreakBefore w:val="0"/>
              <w:widowControl w:val="0"/>
              <w:tabs>
                <w:tab w:val="left" w:pos="1376"/>
              </w:tabs>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需提供相关体系认证证书复印件加盖投标人</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否则不得分。</w:t>
            </w:r>
          </w:p>
        </w:tc>
        <w:tc>
          <w:tcPr>
            <w:tcW w:w="885" w:type="dxa"/>
            <w:noWrap w:val="0"/>
            <w:vAlign w:val="center"/>
          </w:tcPr>
          <w:p w14:paraId="14D8380D">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p>
        </w:tc>
      </w:tr>
      <w:tr w14:paraId="7A99B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3C586A5C">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78717E00">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p>
        </w:tc>
        <w:tc>
          <w:tcPr>
            <w:tcW w:w="6905" w:type="dxa"/>
            <w:noWrap w:val="0"/>
            <w:vAlign w:val="center"/>
          </w:tcPr>
          <w:p w14:paraId="3A0BD2E4">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具有</w:t>
            </w:r>
            <w:r>
              <w:rPr>
                <w:rFonts w:hint="eastAsia" w:ascii="仿宋" w:hAnsi="仿宋" w:eastAsia="仿宋" w:cs="仿宋"/>
                <w:sz w:val="24"/>
                <w:szCs w:val="24"/>
              </w:rPr>
              <w:t>工程设计公路行业(公路)专业乙级</w:t>
            </w:r>
            <w:r>
              <w:rPr>
                <w:rFonts w:hint="eastAsia" w:ascii="仿宋" w:hAnsi="仿宋" w:eastAsia="仿宋" w:cs="仿宋"/>
                <w:sz w:val="24"/>
                <w:szCs w:val="24"/>
                <w:lang w:val="en-US" w:eastAsia="zh-CN"/>
              </w:rPr>
              <w:t>及以上</w:t>
            </w:r>
            <w:r>
              <w:rPr>
                <w:rFonts w:hint="eastAsia" w:ascii="仿宋" w:hAnsi="仿宋" w:eastAsia="仿宋" w:cs="仿宋"/>
                <w:sz w:val="24"/>
                <w:szCs w:val="24"/>
              </w:rPr>
              <w:t>资质证书</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992B9B8">
            <w:pPr>
              <w:keepNext w:val="0"/>
              <w:keepLines w:val="0"/>
              <w:pageBreakBefore w:val="0"/>
              <w:widowControl w:val="0"/>
              <w:tabs>
                <w:tab w:val="left" w:pos="1376"/>
              </w:tabs>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需提供相关证书复印件加盖投标人</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否则不得分。</w:t>
            </w:r>
          </w:p>
        </w:tc>
        <w:tc>
          <w:tcPr>
            <w:tcW w:w="885" w:type="dxa"/>
            <w:noWrap w:val="0"/>
            <w:vAlign w:val="center"/>
          </w:tcPr>
          <w:p w14:paraId="5A7B0248">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3分</w:t>
            </w:r>
          </w:p>
        </w:tc>
      </w:tr>
      <w:tr w14:paraId="7A845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0B07823E">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190" w:type="dxa"/>
            <w:noWrap w:val="0"/>
            <w:vAlign w:val="center"/>
          </w:tcPr>
          <w:p w14:paraId="7075AF2B">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业绩经验</w:t>
            </w:r>
          </w:p>
        </w:tc>
        <w:tc>
          <w:tcPr>
            <w:tcW w:w="6905" w:type="dxa"/>
            <w:noWrap w:val="0"/>
            <w:vAlign w:val="center"/>
          </w:tcPr>
          <w:p w14:paraId="0DE6C6F2">
            <w:pPr>
              <w:keepNext w:val="0"/>
              <w:keepLines w:val="0"/>
              <w:pageBreakBefore w:val="0"/>
              <w:widowControl w:val="0"/>
              <w:numPr>
                <w:ilvl w:val="0"/>
                <w:numId w:val="0"/>
              </w:numPr>
              <w:tabs>
                <w:tab w:val="left" w:pos="1376"/>
              </w:tabs>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投标人自 2021年1 月1日以来（以合同签订日期为准）完成过类似安全影响评估项目的，</w:t>
            </w:r>
            <w:r>
              <w:rPr>
                <w:rFonts w:hint="eastAsia" w:ascii="仿宋" w:hAnsi="仿宋" w:eastAsia="仿宋" w:cs="仿宋"/>
                <w:color w:val="auto"/>
                <w:sz w:val="24"/>
                <w:szCs w:val="24"/>
                <w:highlight w:val="none"/>
                <w:lang w:val="en-US" w:eastAsia="zh-CN"/>
              </w:rPr>
              <w:t>每提供1个业绩合同得1分，最高得2分。</w:t>
            </w:r>
          </w:p>
          <w:p w14:paraId="24DF967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注：需提供合同复印件并加盖投标人</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r>
              <w:rPr>
                <w:rFonts w:hint="eastAsia" w:ascii="仿宋" w:hAnsi="仿宋" w:eastAsia="仿宋" w:cs="仿宋"/>
                <w:sz w:val="24"/>
                <w:szCs w:val="24"/>
              </w:rPr>
              <w:t>如合同中不能体现相关评审因素的，可以补充提供加盖业主单位公章的业主证明材料</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否则不得分。</w:t>
            </w:r>
          </w:p>
        </w:tc>
        <w:tc>
          <w:tcPr>
            <w:tcW w:w="885" w:type="dxa"/>
            <w:noWrap w:val="0"/>
            <w:vAlign w:val="center"/>
          </w:tcPr>
          <w:p w14:paraId="2EE98029">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w:t>
            </w:r>
          </w:p>
        </w:tc>
      </w:tr>
      <w:tr w14:paraId="2E69F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restart"/>
            <w:noWrap w:val="0"/>
            <w:vAlign w:val="center"/>
          </w:tcPr>
          <w:p w14:paraId="14511316">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190" w:type="dxa"/>
            <w:vMerge w:val="restart"/>
            <w:noWrap w:val="0"/>
            <w:vAlign w:val="center"/>
          </w:tcPr>
          <w:p w14:paraId="53ECA439">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拟派项目组人员情况</w:t>
            </w:r>
          </w:p>
        </w:tc>
        <w:tc>
          <w:tcPr>
            <w:tcW w:w="6905" w:type="dxa"/>
            <w:noWrap w:val="0"/>
            <w:vAlign w:val="center"/>
          </w:tcPr>
          <w:p w14:paraId="5AA35AB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rPr>
              <w:t>拟派项目负责人：</w:t>
            </w:r>
          </w:p>
          <w:p w14:paraId="0D47B4BC">
            <w:pPr>
              <w:keepNext w:val="0"/>
              <w:keepLines w:val="0"/>
              <w:pageBreakBefore w:val="0"/>
              <w:kinsoku/>
              <w:wordWrap/>
              <w:overflowPunct/>
              <w:topLinePunct w:val="0"/>
              <w:bidi w:val="0"/>
              <w:adjustRightInd/>
              <w:snapToGrid/>
              <w:spacing w:line="360" w:lineRule="exact"/>
              <w:ind w:left="0" w:leftChars="0" w:firstLine="0" w:firstLineChars="0"/>
              <w:textAlignment w:val="auto"/>
              <w:rPr>
                <w:rFonts w:hint="default" w:ascii="仿宋" w:hAnsi="仿宋" w:eastAsia="仿宋" w:cs="仿宋_GB2312"/>
                <w:color w:val="FF0000"/>
                <w:sz w:val="24"/>
                <w:szCs w:val="24"/>
                <w:lang w:val="en-US" w:eastAsia="zh-CN"/>
              </w:rPr>
            </w:pPr>
            <w:r>
              <w:rPr>
                <w:rFonts w:hint="eastAsia" w:ascii="仿宋" w:hAnsi="仿宋" w:eastAsia="仿宋" w:cs="仿宋_GB2312"/>
                <w:sz w:val="24"/>
                <w:szCs w:val="24"/>
              </w:rPr>
              <w:t>具有公路类（路桥、交通、造价等）高级及以上工程师的，同时具有咨询工程师（投资）登记证书（公路）的得5分，本项最高得5分。</w:t>
            </w:r>
          </w:p>
          <w:p w14:paraId="62B8556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rPr>
              <w:t>注：需提供</w:t>
            </w:r>
            <w:r>
              <w:rPr>
                <w:rFonts w:hint="eastAsia" w:ascii="仿宋" w:hAnsi="仿宋" w:eastAsia="仿宋" w:cs="仿宋"/>
                <w:color w:val="000000"/>
                <w:kern w:val="0"/>
                <w:sz w:val="24"/>
                <w:lang w:val="en-US" w:eastAsia="zh-CN"/>
              </w:rPr>
              <w:t>相关</w:t>
            </w:r>
            <w:r>
              <w:rPr>
                <w:rFonts w:hint="eastAsia" w:ascii="仿宋" w:hAnsi="仿宋" w:eastAsia="仿宋" w:cs="仿宋"/>
                <w:color w:val="000000"/>
                <w:kern w:val="0"/>
                <w:sz w:val="24"/>
              </w:rPr>
              <w:t>证书复印件以及投标人为其缴纳的近3个月社保证明并加盖投标人</w:t>
            </w:r>
            <w:r>
              <w:rPr>
                <w:rFonts w:hint="eastAsia" w:ascii="仿宋" w:hAnsi="仿宋" w:eastAsia="仿宋" w:cs="仿宋"/>
                <w:color w:val="000000"/>
                <w:kern w:val="0"/>
                <w:sz w:val="24"/>
                <w:szCs w:val="21"/>
                <w:highlight w:val="none"/>
              </w:rPr>
              <w:t>CA签章</w:t>
            </w:r>
            <w:r>
              <w:rPr>
                <w:rFonts w:hint="eastAsia" w:ascii="仿宋" w:hAnsi="仿宋" w:eastAsia="仿宋" w:cs="仿宋"/>
                <w:color w:val="000000"/>
                <w:kern w:val="0"/>
                <w:sz w:val="24"/>
              </w:rPr>
              <w:t>，</w:t>
            </w:r>
            <w:r>
              <w:rPr>
                <w:rFonts w:hint="eastAsia" w:ascii="仿宋" w:hAnsi="仿宋" w:eastAsia="仿宋" w:cs="仿宋"/>
                <w:color w:val="000000"/>
                <w:kern w:val="0"/>
                <w:sz w:val="24"/>
                <w:highlight w:val="none"/>
              </w:rPr>
              <w:t>不提供或提供不全不得分</w:t>
            </w:r>
            <w:r>
              <w:rPr>
                <w:rFonts w:hint="eastAsia" w:ascii="仿宋" w:hAnsi="仿宋" w:eastAsia="仿宋" w:cs="仿宋"/>
                <w:color w:val="000000"/>
                <w:kern w:val="0"/>
                <w:sz w:val="24"/>
              </w:rPr>
              <w:t>。</w:t>
            </w:r>
          </w:p>
        </w:tc>
        <w:tc>
          <w:tcPr>
            <w:tcW w:w="885" w:type="dxa"/>
            <w:noWrap w:val="0"/>
            <w:vAlign w:val="center"/>
          </w:tcPr>
          <w:p w14:paraId="3367227C">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p w14:paraId="1F6EBEF0">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r>
      <w:tr w14:paraId="3A164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16194FBE">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048A5958">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p>
        </w:tc>
        <w:tc>
          <w:tcPr>
            <w:tcW w:w="6905" w:type="dxa"/>
            <w:noWrap w:val="0"/>
            <w:vAlign w:val="center"/>
          </w:tcPr>
          <w:p w14:paraId="15822F8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拟派评估专业负责人：</w:t>
            </w:r>
          </w:p>
          <w:p w14:paraId="66E6638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_GB2312"/>
                <w:sz w:val="24"/>
                <w:szCs w:val="24"/>
                <w:lang w:eastAsia="zh-CN"/>
              </w:rPr>
            </w:pPr>
            <w:r>
              <w:rPr>
                <w:rFonts w:hint="eastAsia" w:ascii="仿宋" w:hAnsi="仿宋" w:eastAsia="仿宋" w:cs="仿宋_GB2312"/>
                <w:sz w:val="24"/>
                <w:szCs w:val="24"/>
              </w:rPr>
              <w:t>具有公路类（路桥、交通、造价等）高级及以上工程师职称的，同时具有一级公路注册类工程师（建造师、造价师、咨询师等）或注册土木工程师（道路工程）的得3分</w:t>
            </w:r>
            <w:r>
              <w:rPr>
                <w:rFonts w:hint="eastAsia" w:ascii="仿宋" w:hAnsi="仿宋" w:eastAsia="仿宋" w:cs="仿宋_GB2312"/>
                <w:sz w:val="24"/>
                <w:szCs w:val="24"/>
                <w:lang w:eastAsia="zh-CN"/>
              </w:rPr>
              <w:t>，</w:t>
            </w:r>
            <w:r>
              <w:rPr>
                <w:rFonts w:hint="eastAsia" w:ascii="仿宋" w:hAnsi="仿宋" w:eastAsia="仿宋" w:cs="仿宋_GB2312"/>
                <w:sz w:val="24"/>
                <w:szCs w:val="24"/>
              </w:rPr>
              <w:t>本项最高得3分</w:t>
            </w:r>
            <w:r>
              <w:rPr>
                <w:rFonts w:hint="eastAsia" w:ascii="仿宋" w:hAnsi="仿宋" w:eastAsia="仿宋" w:cs="仿宋_GB2312"/>
                <w:sz w:val="24"/>
                <w:szCs w:val="24"/>
                <w:lang w:eastAsia="zh-CN"/>
              </w:rPr>
              <w:t>。</w:t>
            </w:r>
          </w:p>
          <w:p w14:paraId="29C2188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_GB2312"/>
                <w:sz w:val="24"/>
                <w:szCs w:val="24"/>
                <w:lang w:eastAsia="zh-CN"/>
              </w:rPr>
            </w:pPr>
            <w:r>
              <w:rPr>
                <w:rFonts w:hint="eastAsia" w:ascii="仿宋" w:hAnsi="仿宋" w:eastAsia="仿宋" w:cs="仿宋"/>
                <w:color w:val="000000"/>
                <w:kern w:val="0"/>
                <w:sz w:val="24"/>
              </w:rPr>
              <w:t>注：需提供</w:t>
            </w:r>
            <w:r>
              <w:rPr>
                <w:rFonts w:hint="eastAsia" w:ascii="仿宋" w:hAnsi="仿宋" w:eastAsia="仿宋" w:cs="仿宋"/>
                <w:color w:val="000000"/>
                <w:kern w:val="0"/>
                <w:sz w:val="24"/>
                <w:lang w:val="en-US" w:eastAsia="zh-CN"/>
              </w:rPr>
              <w:t>相关</w:t>
            </w:r>
            <w:r>
              <w:rPr>
                <w:rFonts w:hint="eastAsia" w:ascii="仿宋" w:hAnsi="仿宋" w:eastAsia="仿宋" w:cs="仿宋"/>
                <w:color w:val="000000"/>
                <w:kern w:val="0"/>
                <w:sz w:val="24"/>
              </w:rPr>
              <w:t>证书复印件以及投标人为其缴纳的近3个月社保证明并加盖投标人</w:t>
            </w:r>
            <w:r>
              <w:rPr>
                <w:rFonts w:hint="eastAsia" w:ascii="仿宋" w:hAnsi="仿宋" w:eastAsia="仿宋" w:cs="仿宋"/>
                <w:color w:val="000000"/>
                <w:kern w:val="0"/>
                <w:sz w:val="24"/>
                <w:szCs w:val="21"/>
                <w:highlight w:val="none"/>
              </w:rPr>
              <w:t>CA签章</w:t>
            </w:r>
            <w:r>
              <w:rPr>
                <w:rFonts w:hint="eastAsia" w:ascii="仿宋" w:hAnsi="仿宋" w:eastAsia="仿宋" w:cs="仿宋"/>
                <w:color w:val="000000"/>
                <w:kern w:val="0"/>
                <w:sz w:val="24"/>
              </w:rPr>
              <w:t>，</w:t>
            </w:r>
            <w:r>
              <w:rPr>
                <w:rFonts w:hint="eastAsia" w:ascii="仿宋" w:hAnsi="仿宋" w:eastAsia="仿宋" w:cs="仿宋"/>
                <w:color w:val="000000"/>
                <w:kern w:val="0"/>
                <w:sz w:val="24"/>
                <w:highlight w:val="none"/>
              </w:rPr>
              <w:t>不提供或提供不全不得分</w:t>
            </w:r>
            <w:r>
              <w:rPr>
                <w:rFonts w:hint="eastAsia" w:ascii="仿宋" w:hAnsi="仿宋" w:eastAsia="仿宋" w:cs="仿宋"/>
                <w:color w:val="000000"/>
                <w:kern w:val="0"/>
                <w:sz w:val="24"/>
              </w:rPr>
              <w:t>。</w:t>
            </w:r>
          </w:p>
        </w:tc>
        <w:tc>
          <w:tcPr>
            <w:tcW w:w="885" w:type="dxa"/>
            <w:noWrap w:val="0"/>
            <w:vAlign w:val="center"/>
          </w:tcPr>
          <w:p w14:paraId="7CF2A38D">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3分</w:t>
            </w:r>
          </w:p>
        </w:tc>
      </w:tr>
      <w:tr w14:paraId="1F719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3E9D9059">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6DA5B8FA">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center"/>
          </w:tcPr>
          <w:p w14:paraId="129AC29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拟派项目组人员（不含项目负责人</w:t>
            </w:r>
            <w:r>
              <w:rPr>
                <w:rFonts w:hint="eastAsia" w:ascii="仿宋" w:hAnsi="仿宋" w:eastAsia="仿宋" w:cs="仿宋"/>
                <w:b/>
                <w:bCs/>
                <w:color w:val="000000"/>
                <w:kern w:val="0"/>
                <w:sz w:val="24"/>
                <w:highlight w:val="none"/>
                <w:lang w:val="en-US" w:eastAsia="zh-CN"/>
              </w:rPr>
              <w:t>与</w:t>
            </w:r>
            <w:r>
              <w:rPr>
                <w:rFonts w:hint="eastAsia" w:ascii="仿宋" w:hAnsi="仿宋" w:eastAsia="仿宋" w:cs="仿宋"/>
                <w:b/>
                <w:bCs/>
                <w:color w:val="000000"/>
                <w:kern w:val="0"/>
                <w:sz w:val="24"/>
                <w:highlight w:val="none"/>
              </w:rPr>
              <w:t>评估专业负责人）：</w:t>
            </w:r>
          </w:p>
          <w:p w14:paraId="1906DAF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Cs/>
                <w:color w:val="000000"/>
                <w:kern w:val="0"/>
                <w:sz w:val="24"/>
                <w:highlight w:val="none"/>
                <w:lang w:eastAsia="zh-CN"/>
              </w:rPr>
            </w:pPr>
            <w:bookmarkStart w:id="10" w:name="_GoBack"/>
            <w:r>
              <w:rPr>
                <w:rFonts w:hint="eastAsia" w:ascii="仿宋" w:hAnsi="仿宋" w:eastAsia="仿宋" w:cs="仿宋_GB2312"/>
                <w:sz w:val="24"/>
                <w:szCs w:val="24"/>
              </w:rPr>
              <w:t>具有道桥或交通高级工程师及以上职称的每</w:t>
            </w:r>
            <w:r>
              <w:rPr>
                <w:rFonts w:hint="eastAsia" w:ascii="仿宋" w:hAnsi="仿宋" w:eastAsia="仿宋" w:cs="仿宋_GB2312"/>
                <w:sz w:val="24"/>
                <w:szCs w:val="24"/>
                <w:lang w:val="en-US" w:eastAsia="zh-CN"/>
              </w:rPr>
              <w:t>人</w:t>
            </w:r>
            <w:r>
              <w:rPr>
                <w:rFonts w:hint="eastAsia" w:ascii="仿宋" w:hAnsi="仿宋" w:eastAsia="仿宋" w:cs="仿宋_GB2312"/>
                <w:sz w:val="24"/>
                <w:szCs w:val="24"/>
              </w:rPr>
              <w:t>得</w:t>
            </w:r>
            <w:r>
              <w:rPr>
                <w:rFonts w:hint="eastAsia" w:ascii="仿宋" w:hAnsi="仿宋" w:eastAsia="仿宋" w:cs="仿宋_GB2312"/>
                <w:sz w:val="24"/>
                <w:szCs w:val="24"/>
                <w:lang w:val="en-US" w:eastAsia="zh-CN"/>
              </w:rPr>
              <w:t>3</w:t>
            </w:r>
            <w:r>
              <w:rPr>
                <w:rFonts w:hint="eastAsia" w:ascii="仿宋" w:hAnsi="仿宋" w:eastAsia="仿宋" w:cs="仿宋_GB2312"/>
                <w:sz w:val="24"/>
                <w:szCs w:val="24"/>
              </w:rPr>
              <w:t>分，具有道桥或交通中级工程师职称的每</w:t>
            </w:r>
            <w:r>
              <w:rPr>
                <w:rFonts w:hint="eastAsia" w:ascii="仿宋" w:hAnsi="仿宋" w:eastAsia="仿宋" w:cs="仿宋_GB2312"/>
                <w:sz w:val="24"/>
                <w:szCs w:val="24"/>
                <w:lang w:val="en-US" w:eastAsia="zh-CN"/>
              </w:rPr>
              <w:t>人</w:t>
            </w:r>
            <w:r>
              <w:rPr>
                <w:rFonts w:hint="eastAsia" w:ascii="仿宋" w:hAnsi="仿宋" w:eastAsia="仿宋" w:cs="仿宋_GB2312"/>
                <w:sz w:val="24"/>
                <w:szCs w:val="24"/>
              </w:rPr>
              <w:t>得</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分</w:t>
            </w:r>
            <w:r>
              <w:rPr>
                <w:rFonts w:hint="eastAsia" w:ascii="仿宋" w:hAnsi="仿宋" w:eastAsia="仿宋" w:cs="仿宋_GB2312"/>
                <w:sz w:val="24"/>
                <w:szCs w:val="24"/>
                <w:lang w:eastAsia="zh-CN"/>
              </w:rPr>
              <w:t>，</w:t>
            </w:r>
            <w:r>
              <w:rPr>
                <w:rFonts w:hint="eastAsia" w:ascii="仿宋" w:hAnsi="仿宋" w:eastAsia="仿宋" w:cs="仿宋_GB2312"/>
                <w:sz w:val="24"/>
                <w:szCs w:val="24"/>
              </w:rPr>
              <w:t>本项合计最高得</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分</w:t>
            </w:r>
            <w:r>
              <w:rPr>
                <w:rFonts w:hint="eastAsia" w:ascii="仿宋" w:hAnsi="仿宋" w:eastAsia="仿宋" w:cs="仿宋"/>
                <w:color w:val="000000"/>
                <w:kern w:val="0"/>
                <w:sz w:val="24"/>
                <w:highlight w:val="none"/>
                <w:lang w:eastAsia="zh-CN"/>
              </w:rPr>
              <w:t>（同一人按最高资质得分，不得累加计分）</w:t>
            </w:r>
            <w:r>
              <w:rPr>
                <w:rFonts w:hint="eastAsia" w:ascii="仿宋" w:hAnsi="仿宋" w:eastAsia="仿宋" w:cs="仿宋_GB2312"/>
                <w:sz w:val="24"/>
                <w:szCs w:val="24"/>
              </w:rPr>
              <w:t>。</w:t>
            </w:r>
            <w:bookmarkEnd w:id="10"/>
          </w:p>
          <w:p w14:paraId="1C2FE6D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highlight w:val="none"/>
              </w:rPr>
              <w:t>注：</w:t>
            </w:r>
            <w:r>
              <w:rPr>
                <w:rFonts w:hint="eastAsia" w:ascii="仿宋" w:hAnsi="仿宋" w:eastAsia="仿宋" w:cs="仿宋"/>
                <w:color w:val="000000"/>
                <w:kern w:val="0"/>
                <w:sz w:val="24"/>
              </w:rPr>
              <w:t>需提供</w:t>
            </w:r>
            <w:r>
              <w:rPr>
                <w:rFonts w:hint="eastAsia" w:ascii="仿宋" w:hAnsi="仿宋" w:eastAsia="仿宋" w:cs="仿宋"/>
                <w:color w:val="000000"/>
                <w:kern w:val="0"/>
                <w:sz w:val="24"/>
                <w:lang w:val="en-US" w:eastAsia="zh-CN"/>
              </w:rPr>
              <w:t>相关</w:t>
            </w:r>
            <w:r>
              <w:rPr>
                <w:rFonts w:hint="eastAsia" w:ascii="仿宋" w:hAnsi="仿宋" w:eastAsia="仿宋" w:cs="仿宋"/>
                <w:color w:val="000000"/>
                <w:kern w:val="0"/>
                <w:sz w:val="24"/>
              </w:rPr>
              <w:t>证书复印件</w:t>
            </w:r>
            <w:r>
              <w:rPr>
                <w:rFonts w:hint="eastAsia" w:ascii="仿宋" w:hAnsi="仿宋" w:eastAsia="仿宋" w:cs="仿宋"/>
                <w:color w:val="000000"/>
                <w:kern w:val="0"/>
                <w:sz w:val="24"/>
                <w:highlight w:val="none"/>
              </w:rPr>
              <w:t>以及投标人为其缴纳的近3个月社保证明</w:t>
            </w:r>
            <w:r>
              <w:rPr>
                <w:rFonts w:hint="eastAsia" w:ascii="仿宋" w:hAnsi="仿宋" w:eastAsia="仿宋" w:cs="仿宋"/>
                <w:color w:val="000000"/>
                <w:kern w:val="0"/>
                <w:sz w:val="24"/>
                <w:szCs w:val="21"/>
                <w:highlight w:val="none"/>
              </w:rPr>
              <w:t>并加盖投标人CA签章</w:t>
            </w:r>
            <w:r>
              <w:rPr>
                <w:rFonts w:hint="eastAsia" w:ascii="仿宋" w:hAnsi="仿宋" w:eastAsia="仿宋" w:cs="仿宋"/>
                <w:color w:val="000000"/>
                <w:kern w:val="0"/>
                <w:sz w:val="24"/>
                <w:highlight w:val="none"/>
              </w:rPr>
              <w:t>，不提供或提供不全不得分。</w:t>
            </w:r>
          </w:p>
        </w:tc>
        <w:tc>
          <w:tcPr>
            <w:tcW w:w="885" w:type="dxa"/>
            <w:noWrap w:val="0"/>
            <w:vAlign w:val="center"/>
          </w:tcPr>
          <w:p w14:paraId="0DE8FC49">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12分</w:t>
            </w:r>
          </w:p>
        </w:tc>
      </w:tr>
      <w:tr w14:paraId="3F789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restart"/>
            <w:noWrap w:val="0"/>
            <w:vAlign w:val="center"/>
          </w:tcPr>
          <w:p w14:paraId="28CA048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p>
        </w:tc>
        <w:tc>
          <w:tcPr>
            <w:tcW w:w="1190" w:type="dxa"/>
            <w:vMerge w:val="restart"/>
            <w:noWrap w:val="0"/>
            <w:vAlign w:val="center"/>
          </w:tcPr>
          <w:p w14:paraId="0AFF3BC2">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方案与措施</w:t>
            </w:r>
          </w:p>
        </w:tc>
        <w:tc>
          <w:tcPr>
            <w:tcW w:w="6905" w:type="dxa"/>
            <w:noWrap w:val="0"/>
            <w:vAlign w:val="top"/>
          </w:tcPr>
          <w:p w14:paraId="598EB1C3">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rPr>
              <w:t>根据投标人提供的管理组织机构是否健全、管理运作流程的合理性、科学性</w:t>
            </w:r>
            <w:r>
              <w:rPr>
                <w:rFonts w:hint="eastAsia" w:ascii="仿宋" w:hAnsi="仿宋" w:eastAsia="仿宋" w:cs="仿宋"/>
                <w:color w:val="auto"/>
                <w:sz w:val="24"/>
                <w:szCs w:val="24"/>
                <w:highlight w:val="none"/>
                <w:lang w:val="en-US" w:eastAsia="zh-CN"/>
              </w:rPr>
              <w:t>，由评审专家进行综合打分。</w:t>
            </w:r>
          </w:p>
          <w:p w14:paraId="142CA491">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1" w:firstLine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]分；内容粗略、层次模糊、针对性较差的得(0,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885" w:type="dxa"/>
            <w:noWrap w:val="0"/>
            <w:vAlign w:val="center"/>
          </w:tcPr>
          <w:p w14:paraId="31AF89C0">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r w14:paraId="63664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321BEB8B">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6D08ECE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149FBBCF">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rPr>
              <w:t>根据投标人提供的项目实施进度方案（包括项目进度计划及相应的进度控制措施）的合理性、可行性</w:t>
            </w:r>
            <w:r>
              <w:rPr>
                <w:rFonts w:hint="eastAsia" w:ascii="仿宋" w:hAnsi="仿宋" w:eastAsia="仿宋" w:cs="仿宋"/>
                <w:color w:val="auto"/>
                <w:sz w:val="24"/>
                <w:szCs w:val="24"/>
                <w:highlight w:val="none"/>
                <w:lang w:val="en-US" w:eastAsia="zh-CN"/>
              </w:rPr>
              <w:t>，由评审专家进行综合打分。</w:t>
            </w:r>
          </w:p>
          <w:p w14:paraId="175FB81C">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]分；内容粗略、层次模糊、针对性较差的得(0,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885" w:type="dxa"/>
            <w:noWrap w:val="0"/>
            <w:vAlign w:val="center"/>
          </w:tcPr>
          <w:p w14:paraId="1CCCE62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r w14:paraId="3C6B7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187C253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19E3D64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61672CE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rPr>
              <w:t>根据投标人提供的针对本项目的质量保证方案（包括质量目标、质量承诺及相应的质量保障措施的完整性、合理性</w:t>
            </w:r>
            <w:r>
              <w:rPr>
                <w:rFonts w:hint="eastAsia" w:ascii="仿宋" w:hAnsi="仿宋" w:eastAsia="仿宋" w:cs="仿宋"/>
                <w:color w:val="auto"/>
                <w:sz w:val="24"/>
                <w:szCs w:val="24"/>
                <w:highlight w:val="none"/>
                <w:lang w:val="en-US" w:eastAsia="zh-CN"/>
              </w:rPr>
              <w:t>，由评审专家进行综合打分。</w:t>
            </w:r>
          </w:p>
          <w:p w14:paraId="29C428A8">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4" w:firstLine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]分；内容粗略、层次模糊、针对性较差的得(0,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885" w:type="dxa"/>
            <w:noWrap w:val="0"/>
            <w:vAlign w:val="center"/>
          </w:tcPr>
          <w:p w14:paraId="26FC686B">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r w14:paraId="61C9B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18B6415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3DF4D47E">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5403FF39">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rPr>
              <w:t>根据投标人提供的针对本项目的前期对接、设计过程及项目实施中与各方沟通协调的措施的合理性、可行性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由评审专家进行综合打分。</w:t>
            </w:r>
          </w:p>
          <w:p w14:paraId="1AF800F8">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]分；内容粗略、层次模糊、针对性较差的得(0,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885" w:type="dxa"/>
            <w:noWrap w:val="0"/>
            <w:vAlign w:val="center"/>
          </w:tcPr>
          <w:p w14:paraId="7288B859">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r w14:paraId="5C714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4D46E5F1">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p>
        </w:tc>
        <w:tc>
          <w:tcPr>
            <w:tcW w:w="1190" w:type="dxa"/>
            <w:noWrap w:val="0"/>
            <w:vAlign w:val="center"/>
          </w:tcPr>
          <w:p w14:paraId="3B08F28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en-US"/>
              </w:rPr>
              <w:t>应急服务方案</w:t>
            </w:r>
          </w:p>
        </w:tc>
        <w:tc>
          <w:tcPr>
            <w:tcW w:w="6905" w:type="dxa"/>
            <w:noWrap w:val="0"/>
            <w:vAlign w:val="center"/>
          </w:tcPr>
          <w:p w14:paraId="54AE87D1">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rPr>
              <w:t>根据投标人针对本项目编制的应急服务方案，包括但不限于项目实施过程中可能出现的应急情况的判断与分析、应急处理措施等 内容的合理及完整程度等是否科学可行</w:t>
            </w:r>
            <w:r>
              <w:rPr>
                <w:rFonts w:hint="eastAsia" w:ascii="仿宋" w:hAnsi="仿宋" w:eastAsia="仿宋" w:cs="仿宋"/>
                <w:color w:val="auto"/>
                <w:sz w:val="24"/>
                <w:szCs w:val="24"/>
                <w:highlight w:val="none"/>
                <w:lang w:val="en-US" w:eastAsia="zh-CN"/>
              </w:rPr>
              <w:t>，由评审专家进行综合打分。</w:t>
            </w:r>
          </w:p>
          <w:p w14:paraId="0CF439C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]分；内容粗略、层次模糊、针对性较差的得(0,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885" w:type="dxa"/>
            <w:noWrap w:val="0"/>
            <w:vAlign w:val="center"/>
          </w:tcPr>
          <w:p w14:paraId="38CAF00E">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r w14:paraId="5F05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22AA3D65">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p>
        </w:tc>
        <w:tc>
          <w:tcPr>
            <w:tcW w:w="1190" w:type="dxa"/>
            <w:noWrap w:val="0"/>
            <w:vAlign w:val="center"/>
          </w:tcPr>
          <w:p w14:paraId="65BE8A1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en-US"/>
              </w:rPr>
              <w:t>廉洁服务措施</w:t>
            </w:r>
          </w:p>
        </w:tc>
        <w:tc>
          <w:tcPr>
            <w:tcW w:w="6905" w:type="dxa"/>
            <w:noWrap w:val="0"/>
            <w:vAlign w:val="top"/>
          </w:tcPr>
          <w:p w14:paraId="7571F834">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rPr>
              <w:t>根据从业人员廉洁方面的控制及采取的措施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由评审专家进行综合打分。</w:t>
            </w:r>
          </w:p>
          <w:p w14:paraId="32844298">
            <w:pPr>
              <w:keepNext w:val="0"/>
              <w:keepLines w:val="0"/>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]分；内容粗略、层次模糊、针对性较差的得(0,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885" w:type="dxa"/>
            <w:noWrap w:val="0"/>
            <w:vAlign w:val="center"/>
          </w:tcPr>
          <w:p w14:paraId="311BDACC">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r w14:paraId="598F3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3941849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p>
        </w:tc>
        <w:tc>
          <w:tcPr>
            <w:tcW w:w="1190" w:type="dxa"/>
            <w:noWrap w:val="0"/>
            <w:vAlign w:val="center"/>
          </w:tcPr>
          <w:p w14:paraId="57B629A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en-US"/>
              </w:rPr>
              <w:t>售后服务方案</w:t>
            </w:r>
          </w:p>
        </w:tc>
        <w:tc>
          <w:tcPr>
            <w:tcW w:w="6905" w:type="dxa"/>
            <w:noWrap w:val="0"/>
            <w:vAlign w:val="top"/>
          </w:tcPr>
          <w:p w14:paraId="2E6B5142">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rPr>
              <w:t>根据投标人对拟投入人员制定的服务工作计划，确保技术人员到位的保障措施，承诺的其他增值服务的详细性、完整性、可行性进行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由评审专家进行综合打分。</w:t>
            </w:r>
          </w:p>
          <w:p w14:paraId="474F8E97">
            <w:pPr>
              <w:keepNext w:val="0"/>
              <w:keepLines w:val="0"/>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]分；内容粗略、层次模糊、针对性较差的得(0,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885" w:type="dxa"/>
            <w:noWrap w:val="0"/>
            <w:vAlign w:val="center"/>
          </w:tcPr>
          <w:p w14:paraId="175C9868">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bl>
    <w:p w14:paraId="3D213FFB">
      <w:pPr>
        <w:keepNext w:val="0"/>
        <w:keepLines w:val="0"/>
        <w:pageBreakBefore w:val="0"/>
        <w:kinsoku/>
        <w:wordWrap/>
        <w:overflowPunct/>
        <w:topLinePunct w:val="0"/>
        <w:autoSpaceDE/>
        <w:autoSpaceDN/>
        <w:bidi w:val="0"/>
        <w:snapToGrid w:val="0"/>
        <w:spacing w:line="420" w:lineRule="exact"/>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本次评审通过资格审查和符合性评审的单位全部入围进行商务评审。</w:t>
      </w:r>
    </w:p>
    <w:p w14:paraId="55424E3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华文中宋" w:hAnsi="华文中宋" w:eastAsia="华文中宋"/>
          <w:color w:val="auto"/>
          <w:sz w:val="36"/>
          <w:szCs w:val="36"/>
          <w:highlight w:val="none"/>
        </w:rPr>
      </w:pPr>
      <w:r>
        <w:rPr>
          <w:rFonts w:hint="eastAsia" w:ascii="仿宋" w:hAnsi="仿宋" w:eastAsia="仿宋" w:cs="宋体"/>
          <w:b/>
          <w:bCs/>
          <w:color w:val="auto"/>
          <w:sz w:val="24"/>
          <w:szCs w:val="24"/>
          <w:lang w:val="en-US" w:eastAsia="zh-CN"/>
        </w:rPr>
        <w:t>备</w:t>
      </w:r>
      <w:r>
        <w:rPr>
          <w:rFonts w:hint="eastAsia" w:ascii="仿宋" w:hAnsi="仿宋" w:eastAsia="仿宋" w:cs="宋体"/>
          <w:b/>
          <w:bCs/>
          <w:color w:val="auto"/>
          <w:sz w:val="24"/>
          <w:szCs w:val="24"/>
        </w:rPr>
        <w:t>注：</w:t>
      </w:r>
      <w:r>
        <w:rPr>
          <w:rFonts w:hint="eastAsia" w:ascii="仿宋" w:hAnsi="仿宋" w:eastAsia="仿宋" w:cs="宋体"/>
          <w:color w:val="auto"/>
          <w:sz w:val="24"/>
          <w:szCs w:val="24"/>
        </w:rPr>
        <w:t>投标人编制投标文件（商务技术文件部分）时，</w:t>
      </w:r>
      <w:r>
        <w:rPr>
          <w:rFonts w:hint="eastAsia" w:ascii="仿宋" w:hAnsi="仿宋" w:eastAsia="仿宋" w:cs="宋体"/>
          <w:color w:val="auto"/>
          <w:sz w:val="24"/>
          <w:szCs w:val="24"/>
          <w:lang w:eastAsia="zh-CN"/>
        </w:rPr>
        <w:t>建议按此目录（序号和内容）提供评标标准相应的商务技术资料。</w:t>
      </w:r>
    </w:p>
    <w:p w14:paraId="6C3781CE">
      <w:pPr>
        <w:pStyle w:val="5"/>
        <w:spacing w:before="0" w:after="240" w:line="400" w:lineRule="exact"/>
        <w:jc w:val="center"/>
        <w:rPr>
          <w:rFonts w:hint="eastAsia" w:ascii="华文中宋" w:hAnsi="华文中宋" w:eastAsia="华文中宋"/>
          <w:color w:val="auto"/>
          <w:sz w:val="36"/>
          <w:szCs w:val="36"/>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6CC3A01A">
      <w:pPr>
        <w:pStyle w:val="5"/>
        <w:spacing w:before="0" w:after="240" w:line="400" w:lineRule="exact"/>
        <w:jc w:val="center"/>
        <w:rPr>
          <w:rFonts w:ascii="华文中宋" w:hAnsi="华文中宋" w:eastAsia="华文中宋"/>
          <w:color w:val="auto"/>
          <w:sz w:val="36"/>
          <w:szCs w:val="36"/>
          <w:highlight w:val="none"/>
        </w:rPr>
      </w:pPr>
      <w:r>
        <w:rPr>
          <w:rFonts w:hint="eastAsia" w:ascii="华文中宋" w:hAnsi="华文中宋" w:eastAsia="华文中宋"/>
          <w:color w:val="auto"/>
          <w:sz w:val="36"/>
          <w:szCs w:val="36"/>
          <w:highlight w:val="none"/>
        </w:rPr>
        <w:t xml:space="preserve">第四章 </w:t>
      </w:r>
      <w:r>
        <w:rPr>
          <w:rFonts w:hint="eastAsia" w:ascii="华文中宋" w:hAnsi="华文中宋" w:eastAsia="华文中宋"/>
          <w:color w:val="auto"/>
          <w:sz w:val="36"/>
          <w:szCs w:val="36"/>
          <w:highlight w:val="none"/>
          <w:lang w:val="en-US" w:eastAsia="zh-CN"/>
        </w:rPr>
        <w:t xml:space="preserve"> </w:t>
      </w:r>
      <w:r>
        <w:rPr>
          <w:rFonts w:hint="eastAsia" w:ascii="华文中宋" w:hAnsi="华文中宋" w:eastAsia="华文中宋"/>
          <w:color w:val="auto"/>
          <w:sz w:val="36"/>
          <w:szCs w:val="36"/>
          <w:highlight w:val="none"/>
        </w:rPr>
        <w:t>采购需求</w:t>
      </w:r>
    </w:p>
    <w:p w14:paraId="1C26559D">
      <w:pPr>
        <w:pStyle w:val="2"/>
        <w:keepNext w:val="0"/>
        <w:keepLines w:val="0"/>
        <w:pageBreakBefore w:val="0"/>
        <w:widowControl w:val="0"/>
        <w:numPr>
          <w:ilvl w:val="0"/>
          <w:numId w:val="0"/>
        </w:numPr>
        <w:kinsoku/>
        <w:wordWrap/>
        <w:overflowPunct/>
        <w:topLinePunct w:val="0"/>
        <w:autoSpaceDE/>
        <w:autoSpaceDN/>
        <w:bidi w:val="0"/>
        <w:adjustRightInd w:val="0"/>
        <w:snapToGrid/>
        <w:spacing w:line="420" w:lineRule="exact"/>
        <w:textAlignment w:val="baseline"/>
        <w:rPr>
          <w:rFonts w:hint="default" w:ascii="仿宋" w:hAnsi="仿宋" w:eastAsia="仿宋" w:cs="仿宋"/>
          <w:b w:val="0"/>
          <w:bCs/>
          <w:snapToGrid w:val="0"/>
          <w:color w:val="auto"/>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（一）项目概况</w:t>
      </w:r>
    </w:p>
    <w:p w14:paraId="0798220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1、按照国家相关规范，因工程建设对现状和规划公路影响而编制的涉路安全评估报告、承担组织专家审查、负责完成公路报批的手续办理及成果审批等相关技术服务咨询工作。主要包括高速公路、地方道路（国道、省道、县道）、市政道路。</w:t>
      </w:r>
    </w:p>
    <w:p w14:paraId="1713BF4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2、按照国家相关规范，因工程建设对沿线道路的交通产生影响，在施工期间能够在确保周边居民和过往行人以及来往车辆交通顺畅、安全的前提下，保证区域道路的协调运行，需编制专项交通组织方案，承担组织专家审查、负责完成交警部门报批手续办理及成果审批等相关技术服务咨询工作。交通组织主要包括诸暨市境内道路。</w:t>
      </w:r>
    </w:p>
    <w:p w14:paraId="3528554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b/>
          <w:bCs/>
          <w:color w:val="auto"/>
          <w:sz w:val="24"/>
          <w:highlight w:val="none"/>
          <w:u w:val="none"/>
          <w:lang w:val="en-US" w:eastAsia="zh-CN"/>
        </w:rPr>
      </w:pPr>
      <w:r>
        <w:rPr>
          <w:rFonts w:hint="eastAsia" w:ascii="仿宋" w:hAnsi="仿宋" w:eastAsia="仿宋" w:cs="仿宋"/>
          <w:color w:val="auto"/>
          <w:kern w:val="0"/>
          <w:sz w:val="24"/>
          <w:szCs w:val="24"/>
          <w:lang w:val="en-US" w:eastAsia="zh-CN" w:bidi="ar"/>
        </w:rPr>
        <w:t>中标人</w:t>
      </w:r>
      <w:r>
        <w:rPr>
          <w:rFonts w:hint="default" w:ascii="仿宋" w:hAnsi="仿宋" w:eastAsia="仿宋" w:cs="仿宋"/>
          <w:color w:val="auto"/>
          <w:kern w:val="0"/>
          <w:sz w:val="24"/>
          <w:szCs w:val="24"/>
          <w:lang w:val="en-US" w:eastAsia="zh-CN" w:bidi="ar"/>
        </w:rPr>
        <w:t>需代替</w:t>
      </w:r>
      <w:r>
        <w:rPr>
          <w:rFonts w:hint="eastAsia" w:ascii="仿宋" w:hAnsi="仿宋" w:eastAsia="仿宋" w:cs="仿宋"/>
          <w:color w:val="auto"/>
          <w:kern w:val="0"/>
          <w:sz w:val="24"/>
          <w:szCs w:val="24"/>
          <w:lang w:val="en-US" w:eastAsia="zh-CN" w:bidi="ar"/>
        </w:rPr>
        <w:t>采购人</w:t>
      </w:r>
      <w:r>
        <w:rPr>
          <w:rFonts w:hint="default" w:ascii="仿宋" w:hAnsi="仿宋" w:eastAsia="仿宋" w:cs="仿宋"/>
          <w:color w:val="auto"/>
          <w:kern w:val="0"/>
          <w:sz w:val="24"/>
          <w:szCs w:val="24"/>
          <w:lang w:val="en-US" w:eastAsia="zh-CN" w:bidi="ar"/>
        </w:rPr>
        <w:t>与主管单位和其他第三方单位对接，包括但不限于上述工作内容，直至项目通过批复为止。</w:t>
      </w:r>
      <w:r>
        <w:rPr>
          <w:rFonts w:hint="eastAsia" w:ascii="仿宋" w:hAnsi="仿宋" w:eastAsia="仿宋" w:cs="仿宋"/>
          <w:color w:val="auto"/>
          <w:kern w:val="0"/>
          <w:sz w:val="24"/>
          <w:szCs w:val="24"/>
          <w:lang w:val="en-US" w:eastAsia="zh-CN" w:bidi="ar"/>
        </w:rPr>
        <w:t xml:space="preserve"> </w:t>
      </w:r>
    </w:p>
    <w:p w14:paraId="3A2FAF5B">
      <w:pPr>
        <w:pStyle w:val="2"/>
        <w:keepNext w:val="0"/>
        <w:keepLines w:val="0"/>
        <w:pageBreakBefore w:val="0"/>
        <w:widowControl w:val="0"/>
        <w:numPr>
          <w:ilvl w:val="0"/>
          <w:numId w:val="0"/>
        </w:numPr>
        <w:kinsoku/>
        <w:wordWrap/>
        <w:overflowPunct/>
        <w:topLinePunct w:val="0"/>
        <w:autoSpaceDE/>
        <w:autoSpaceDN/>
        <w:bidi w:val="0"/>
        <w:adjustRightInd w:val="0"/>
        <w:snapToGrid/>
        <w:spacing w:line="420" w:lineRule="exact"/>
        <w:textAlignment w:val="baseline"/>
        <w:rPr>
          <w:rFonts w:hint="default" w:ascii="仿宋" w:hAnsi="仿宋" w:eastAsia="仿宋" w:cs="仿宋"/>
          <w:b/>
          <w:bCs w:val="0"/>
          <w:snapToGrid w:val="0"/>
          <w:color w:val="auto"/>
          <w:kern w:val="2"/>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（二）</w:t>
      </w:r>
      <w:r>
        <w:rPr>
          <w:rFonts w:hint="default" w:ascii="仿宋" w:hAnsi="仿宋" w:eastAsia="仿宋" w:cs="仿宋"/>
          <w:b/>
          <w:bCs w:val="0"/>
          <w:snapToGrid w:val="0"/>
          <w:color w:val="auto"/>
          <w:kern w:val="2"/>
          <w:sz w:val="24"/>
          <w:szCs w:val="24"/>
          <w:highlight w:val="none"/>
          <w:lang w:val="en-US" w:eastAsia="zh-CN" w:bidi="ar"/>
        </w:rPr>
        <w:t>质量要求</w:t>
      </w:r>
      <w:bookmarkStart w:id="9" w:name="_Hlk41246781"/>
    </w:p>
    <w:p w14:paraId="04B7626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b/>
          <w:bCs w:val="0"/>
          <w:color w:val="auto"/>
          <w:highlight w:val="none"/>
          <w:lang w:val="en-US" w:eastAsia="zh-CN"/>
        </w:rPr>
      </w:pPr>
      <w:r>
        <w:rPr>
          <w:rFonts w:hint="default" w:ascii="仿宋" w:hAnsi="仿宋" w:eastAsia="仿宋" w:cs="仿宋"/>
          <w:color w:val="auto"/>
          <w:kern w:val="0"/>
          <w:sz w:val="24"/>
          <w:szCs w:val="24"/>
          <w:lang w:val="en-US" w:eastAsia="zh-CN" w:bidi="ar"/>
        </w:rPr>
        <w:t>符合现行国家技术规范、标准及规程要求，对工程涉及的公路进行涉路评价，并编制涉路安全评价报告及施工期交组方案，报告须获得相关主管部门审查通过并批复。</w:t>
      </w:r>
      <w:bookmarkEnd w:id="9"/>
      <w:r>
        <w:rPr>
          <w:rFonts w:hint="eastAsia" w:ascii="仿宋" w:hAnsi="仿宋" w:eastAsia="仿宋" w:cs="仿宋"/>
          <w:color w:val="auto"/>
          <w:kern w:val="0"/>
          <w:sz w:val="24"/>
          <w:szCs w:val="24"/>
          <w:lang w:val="en-US" w:eastAsia="zh-CN" w:bidi="ar"/>
        </w:rPr>
        <w:t xml:space="preserve"> </w:t>
      </w:r>
    </w:p>
    <w:p w14:paraId="43AE6A5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仿宋" w:hAnsi="仿宋" w:eastAsia="仿宋" w:cs="仿宋"/>
          <w:b/>
          <w:bCs w:val="0"/>
          <w:color w:val="auto"/>
          <w:kern w:val="2"/>
          <w:sz w:val="24"/>
          <w:szCs w:val="20"/>
          <w:highlight w:val="none"/>
          <w:lang w:val="en-US" w:eastAsia="zh-CN" w:bidi="ar-SA"/>
        </w:rPr>
      </w:pPr>
      <w:r>
        <w:rPr>
          <w:rFonts w:hint="eastAsia" w:ascii="仿宋" w:hAnsi="仿宋" w:eastAsia="仿宋" w:cs="仿宋"/>
          <w:b/>
          <w:bCs w:val="0"/>
          <w:color w:val="auto"/>
          <w:kern w:val="2"/>
          <w:sz w:val="24"/>
          <w:szCs w:val="20"/>
          <w:lang w:val="en-US" w:eastAsia="zh-CN" w:bidi="ar-SA"/>
        </w:rPr>
        <w:t>（三）</w:t>
      </w:r>
      <w:r>
        <w:rPr>
          <w:rFonts w:hint="default" w:ascii="仿宋" w:hAnsi="仿宋" w:eastAsia="仿宋" w:cs="仿宋"/>
          <w:b/>
          <w:bCs w:val="0"/>
          <w:color w:val="auto"/>
          <w:kern w:val="2"/>
          <w:sz w:val="24"/>
          <w:szCs w:val="20"/>
          <w:highlight w:val="none"/>
          <w:lang w:val="en-US" w:eastAsia="zh-CN" w:bidi="ar-SA"/>
        </w:rPr>
        <w:t>成果的提交</w:t>
      </w:r>
    </w:p>
    <w:p w14:paraId="2C08B9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宋体"/>
          <w:color w:val="auto"/>
          <w:sz w:val="24"/>
          <w:szCs w:val="24"/>
        </w:rPr>
      </w:pPr>
      <w:r>
        <w:rPr>
          <w:rFonts w:hint="default" w:ascii="仿宋" w:hAnsi="仿宋" w:eastAsia="仿宋" w:cs="宋体"/>
          <w:color w:val="auto"/>
          <w:sz w:val="24"/>
          <w:szCs w:val="24"/>
        </w:rPr>
        <w:t>提交相关论证报告一式四份。若</w:t>
      </w:r>
      <w:r>
        <w:rPr>
          <w:rFonts w:hint="eastAsia" w:ascii="仿宋" w:hAnsi="仿宋" w:eastAsia="仿宋" w:cs="宋体"/>
          <w:color w:val="auto"/>
          <w:sz w:val="24"/>
          <w:szCs w:val="24"/>
          <w:lang w:val="en-US" w:eastAsia="zh-CN"/>
        </w:rPr>
        <w:t>采购人</w:t>
      </w:r>
      <w:r>
        <w:rPr>
          <w:rFonts w:hint="default" w:ascii="仿宋" w:hAnsi="仿宋" w:eastAsia="仿宋" w:cs="宋体"/>
          <w:color w:val="auto"/>
          <w:sz w:val="24"/>
          <w:szCs w:val="24"/>
        </w:rPr>
        <w:t>需要增加份数，增加报告份数的成本费用不另行支付。</w:t>
      </w:r>
    </w:p>
    <w:p w14:paraId="67B0A345">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20" w:lineRule="exact"/>
        <w:textAlignment w:val="auto"/>
        <w:rPr>
          <w:rFonts w:hint="default" w:ascii="Times New Roman" w:hAnsi="Times New Roman" w:eastAsia="宋体" w:cs="Times New Roman"/>
          <w:b/>
          <w:bCs w:val="0"/>
          <w:color w:val="auto"/>
          <w:kern w:val="2"/>
          <w:sz w:val="24"/>
          <w:szCs w:val="24"/>
          <w:lang w:val="en-US" w:eastAsia="zh-CN"/>
        </w:rPr>
      </w:pPr>
      <w:r>
        <w:rPr>
          <w:rFonts w:hint="eastAsia" w:ascii="仿宋" w:hAnsi="仿宋" w:eastAsia="仿宋" w:cs="仿宋"/>
          <w:b/>
          <w:bCs w:val="0"/>
          <w:snapToGrid w:val="0"/>
          <w:color w:val="auto"/>
          <w:kern w:val="2"/>
          <w:sz w:val="24"/>
          <w:szCs w:val="24"/>
          <w:highlight w:val="none"/>
          <w:lang w:val="en-US" w:eastAsia="zh-CN" w:bidi="ar"/>
        </w:rPr>
        <w:t>（四）</w:t>
      </w:r>
      <w:r>
        <w:rPr>
          <w:rFonts w:hint="default" w:ascii="仿宋" w:hAnsi="仿宋" w:eastAsia="仿宋" w:cs="仿宋"/>
          <w:b/>
          <w:bCs w:val="0"/>
          <w:snapToGrid w:val="0"/>
          <w:color w:val="auto"/>
          <w:kern w:val="2"/>
          <w:sz w:val="24"/>
          <w:szCs w:val="24"/>
          <w:highlight w:val="none"/>
          <w:lang w:val="en-US" w:eastAsia="zh-CN" w:bidi="ar"/>
        </w:rPr>
        <w:t>工期</w:t>
      </w:r>
    </w:p>
    <w:p w14:paraId="0952E1A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宋体"/>
          <w:color w:val="auto"/>
          <w:sz w:val="24"/>
          <w:szCs w:val="24"/>
        </w:rPr>
      </w:pPr>
      <w:r>
        <w:rPr>
          <w:rFonts w:hint="default" w:ascii="仿宋" w:hAnsi="仿宋" w:eastAsia="仿宋" w:cs="宋体"/>
          <w:color w:val="auto"/>
          <w:sz w:val="24"/>
          <w:szCs w:val="24"/>
          <w:highlight w:val="none"/>
          <w:lang w:val="en-US" w:eastAsia="zh-CN"/>
        </w:rPr>
        <w:t>单个项目接到</w:t>
      </w:r>
      <w:r>
        <w:rPr>
          <w:rFonts w:hint="default" w:ascii="仿宋" w:hAnsi="仿宋" w:eastAsia="仿宋" w:cs="宋体"/>
          <w:color w:val="auto"/>
          <w:sz w:val="24"/>
          <w:szCs w:val="24"/>
          <w:lang w:val="en-US" w:eastAsia="zh-CN"/>
        </w:rPr>
        <w:t>通知后15日历天内完成评价报告书编制，直至获得相关管理部门审批通过止。</w:t>
      </w:r>
    </w:p>
    <w:p w14:paraId="5CAC705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b/>
          <w:bCs w:val="0"/>
          <w:color w:val="auto"/>
          <w:kern w:val="2"/>
          <w:sz w:val="24"/>
          <w:szCs w:val="20"/>
          <w:highlight w:val="none"/>
          <w:lang w:val="en-US" w:eastAsia="zh-CN" w:bidi="ar-SA"/>
        </w:rPr>
      </w:pPr>
      <w:r>
        <w:rPr>
          <w:rFonts w:hint="eastAsia" w:ascii="仿宋" w:hAnsi="仿宋" w:eastAsia="仿宋" w:cs="仿宋"/>
          <w:b/>
          <w:bCs w:val="0"/>
          <w:snapToGrid w:val="0"/>
          <w:color w:val="auto"/>
          <w:kern w:val="2"/>
          <w:sz w:val="24"/>
          <w:szCs w:val="24"/>
          <w:highlight w:val="none"/>
          <w:lang w:val="en-US" w:eastAsia="zh-CN" w:bidi="ar"/>
        </w:rPr>
        <w:t>（五）</w:t>
      </w:r>
      <w:r>
        <w:rPr>
          <w:rFonts w:hint="eastAsia" w:ascii="仿宋" w:hAnsi="仿宋" w:eastAsia="仿宋" w:cs="仿宋"/>
          <w:b/>
          <w:bCs w:val="0"/>
          <w:color w:val="auto"/>
          <w:kern w:val="2"/>
          <w:sz w:val="24"/>
          <w:szCs w:val="20"/>
          <w:highlight w:val="none"/>
          <w:lang w:val="en-US" w:eastAsia="zh-CN" w:bidi="ar-SA"/>
        </w:rPr>
        <w:t>履约保证金及付款方式</w:t>
      </w:r>
    </w:p>
    <w:p w14:paraId="4A5A6C7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r>
        <w:rPr>
          <w:rFonts w:hint="eastAsia" w:ascii="仿宋" w:hAnsi="仿宋" w:eastAsia="仿宋" w:cs="仿宋"/>
          <w:sz w:val="24"/>
          <w:lang w:val="en-US" w:eastAsia="zh-CN"/>
        </w:rPr>
        <w:t>项目实施前，</w:t>
      </w:r>
      <w:r>
        <w:rPr>
          <w:rFonts w:hint="eastAsia" w:ascii="仿宋" w:hAnsi="仿宋" w:eastAsia="仿宋" w:cs="仿宋"/>
          <w:color w:val="auto"/>
          <w:kern w:val="0"/>
          <w:sz w:val="24"/>
          <w:szCs w:val="24"/>
          <w:lang w:val="en-US" w:eastAsia="zh-CN" w:bidi="ar"/>
        </w:rPr>
        <w:t>中标人须向采购单位缴纳</w:t>
      </w:r>
      <w:r>
        <w:rPr>
          <w:rFonts w:hint="eastAsia" w:ascii="仿宋" w:hAnsi="仿宋" w:eastAsia="仿宋" w:cs="宋体"/>
          <w:color w:val="auto"/>
          <w:sz w:val="24"/>
          <w:szCs w:val="24"/>
          <w:lang w:val="en-US" w:eastAsia="zh-CN"/>
        </w:rPr>
        <w:t>合同</w:t>
      </w:r>
      <w:r>
        <w:rPr>
          <w:rFonts w:hint="eastAsia" w:ascii="仿宋" w:hAnsi="仿宋" w:eastAsia="仿宋" w:cs="宋体"/>
          <w:color w:val="auto"/>
          <w:sz w:val="24"/>
          <w:szCs w:val="24"/>
        </w:rPr>
        <w:t>金额的1%</w:t>
      </w:r>
      <w:r>
        <w:rPr>
          <w:rFonts w:hint="eastAsia" w:ascii="仿宋" w:hAnsi="仿宋" w:eastAsia="仿宋" w:cs="仿宋"/>
          <w:color w:val="auto"/>
          <w:kern w:val="0"/>
          <w:sz w:val="24"/>
          <w:szCs w:val="24"/>
          <w:lang w:val="en-US" w:eastAsia="zh-CN" w:bidi="ar"/>
        </w:rPr>
        <w:t>履约保证金</w:t>
      </w:r>
      <w:r>
        <w:rPr>
          <w:rFonts w:hint="eastAsia" w:ascii="仿宋" w:hAnsi="仿宋" w:eastAsia="仿宋" w:cs="仿宋"/>
          <w:sz w:val="24"/>
          <w:lang w:val="en-US" w:eastAsia="zh-CN"/>
        </w:rPr>
        <w:t>【】元，服务期满后</w:t>
      </w:r>
      <w:r>
        <w:rPr>
          <w:rFonts w:hint="eastAsia" w:ascii="仿宋" w:hAnsi="仿宋" w:eastAsia="仿宋" w:cs="仿宋"/>
          <w:color w:val="auto"/>
          <w:sz w:val="24"/>
          <w:szCs w:val="24"/>
          <w:highlight w:val="none"/>
          <w:lang w:val="en-US" w:eastAsia="zh-CN"/>
        </w:rPr>
        <w:t>30天内退回，不计息。</w:t>
      </w:r>
    </w:p>
    <w:p w14:paraId="21F9F75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付款方式：</w:t>
      </w:r>
      <w:r>
        <w:rPr>
          <w:rFonts w:hint="eastAsia" w:ascii="仿宋" w:hAnsi="仿宋" w:eastAsia="仿宋" w:cs="仿宋"/>
          <w:color w:val="auto"/>
          <w:kern w:val="0"/>
          <w:sz w:val="24"/>
          <w:szCs w:val="24"/>
          <w:lang w:val="en-US" w:eastAsia="zh-CN" w:bidi="ar"/>
        </w:rPr>
        <w:t>中标人提交每个报批稿并通过专家审查后，报告获得相关主管部门审查通过并批复后15个工作日内，采购人向中标人一次性付清相对应的项目报告费用（每次付款时中标人需提供符合采购人要求的增值税正规发票，经采购人审核通过后支付）。</w:t>
      </w:r>
    </w:p>
    <w:p w14:paraId="5F1A8C6A">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Times New Roman"/>
          <w:b/>
          <w:bCs/>
          <w:color w:val="auto"/>
          <w:sz w:val="24"/>
          <w:szCs w:val="24"/>
          <w:highlight w:val="none"/>
          <w:u w:val="none"/>
          <w:lang w:val="en-US" w:eastAsia="zh-CN"/>
        </w:rPr>
        <w:t>（六）</w:t>
      </w:r>
      <w:r>
        <w:rPr>
          <w:rFonts w:hint="eastAsia" w:ascii="仿宋" w:hAnsi="仿宋" w:eastAsia="仿宋" w:cs="仿宋"/>
          <w:b/>
          <w:color w:val="auto"/>
          <w:sz w:val="24"/>
          <w:szCs w:val="24"/>
          <w:highlight w:val="none"/>
          <w:lang w:val="en-US" w:eastAsia="zh-CN"/>
        </w:rPr>
        <w:t>最高限价</w:t>
      </w:r>
    </w:p>
    <w:p w14:paraId="60C3073A">
      <w:pPr>
        <w:pStyle w:val="276"/>
        <w:keepNext w:val="0"/>
        <w:keepLines w:val="0"/>
        <w:pageBreakBefore w:val="0"/>
        <w:kinsoku/>
        <w:wordWrap/>
        <w:overflowPunct/>
        <w:topLinePunct w:val="0"/>
        <w:bidi w:val="0"/>
        <w:adjustRightInd w:val="0"/>
        <w:snapToGrid/>
        <w:spacing w:line="42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本项目按固定单价招标，数量按实结算，单个项目最高限价为人民币伍万元整，任何超过最高限价的报价将被认定为无效报价</w:t>
      </w:r>
      <w:r>
        <w:rPr>
          <w:rFonts w:hint="eastAsia" w:ascii="仿宋" w:hAnsi="仿宋" w:eastAsia="仿宋" w:cs="仿宋"/>
          <w:b/>
          <w:color w:val="auto"/>
          <w:sz w:val="24"/>
          <w:szCs w:val="24"/>
          <w:highlight w:val="none"/>
          <w:lang w:val="en-US" w:eastAsia="zh-CN"/>
        </w:rPr>
        <w:t>（报价包括履行本项目所有规定服务所产生的全部税金、利润和费用，投标人应充分考虑并将有关本项目实施所涉及的一切费用均计入报价）。</w:t>
      </w:r>
    </w:p>
    <w:p w14:paraId="7A146E5C">
      <w:pPr>
        <w:pStyle w:val="276"/>
        <w:keepNext w:val="0"/>
        <w:keepLines w:val="0"/>
        <w:pageBreakBefore w:val="0"/>
        <w:kinsoku/>
        <w:wordWrap/>
        <w:overflowPunct/>
        <w:topLinePunct w:val="0"/>
        <w:bidi w:val="0"/>
        <w:adjustRightInd w:val="0"/>
        <w:snapToGrid/>
        <w:spacing w:line="420" w:lineRule="exact"/>
        <w:ind w:firstLine="482" w:firstLineChars="200"/>
        <w:textAlignment w:val="auto"/>
        <w:rPr>
          <w:rFonts w:hint="eastAsia" w:ascii="仿宋" w:hAnsi="仿宋" w:eastAsia="仿宋" w:cs="宋体"/>
          <w:b/>
          <w:bCs/>
          <w:color w:val="auto"/>
          <w:sz w:val="24"/>
          <w:szCs w:val="24"/>
          <w:highlight w:val="none"/>
          <w:u w:val="none"/>
          <w:lang w:eastAsia="zh-CN"/>
        </w:rPr>
      </w:pPr>
      <w:r>
        <w:rPr>
          <w:rFonts w:hint="eastAsia" w:ascii="仿宋" w:hAnsi="仿宋" w:eastAsia="仿宋" w:cs="仿宋"/>
          <w:b/>
          <w:bCs/>
          <w:color w:val="auto"/>
          <w:sz w:val="24"/>
          <w:szCs w:val="24"/>
          <w:highlight w:val="none"/>
          <w:lang w:val="en-US" w:eastAsia="zh-CN"/>
        </w:rPr>
        <w:t>最高结算金额不超过人民币贰拾伍万元整（¥250000.00）</w:t>
      </w:r>
      <w:r>
        <w:rPr>
          <w:rFonts w:hint="eastAsia" w:ascii="仿宋" w:hAnsi="仿宋" w:eastAsia="仿宋" w:cs="仿宋"/>
          <w:b/>
          <w:color w:val="auto"/>
          <w:sz w:val="24"/>
          <w:szCs w:val="24"/>
          <w:highlight w:val="none"/>
          <w:lang w:val="en-US" w:eastAsia="zh-CN"/>
        </w:rPr>
        <w:t>。</w:t>
      </w:r>
    </w:p>
    <w:p w14:paraId="6D64336F">
      <w:pPr>
        <w:pStyle w:val="276"/>
        <w:keepNext w:val="0"/>
        <w:keepLines w:val="0"/>
        <w:pageBreakBefore w:val="0"/>
        <w:kinsoku/>
        <w:wordWrap/>
        <w:overflowPunct/>
        <w:topLinePunct w:val="0"/>
        <w:bidi w:val="0"/>
        <w:adjustRightInd w:val="0"/>
        <w:snapToGrid/>
        <w:spacing w:line="420" w:lineRule="exact"/>
        <w:ind w:firstLine="482" w:firstLineChars="200"/>
        <w:textAlignment w:val="auto"/>
        <w:rPr>
          <w:rFonts w:hint="eastAsia" w:ascii="仿宋" w:hAnsi="仿宋" w:eastAsia="仿宋" w:cs="宋体"/>
          <w:b/>
          <w:bCs/>
          <w:color w:val="auto"/>
          <w:sz w:val="24"/>
          <w:szCs w:val="24"/>
          <w:highlight w:val="none"/>
          <w:u w:val="none"/>
          <w:lang w:eastAsia="zh-CN"/>
        </w:rPr>
      </w:pPr>
    </w:p>
    <w:p w14:paraId="02E1FEDD">
      <w:pPr>
        <w:spacing w:line="420" w:lineRule="exact"/>
        <w:ind w:firstLine="413" w:firstLineChars="196"/>
        <w:rPr>
          <w:rFonts w:ascii="仿宋" w:hAnsi="仿宋" w:eastAsia="仿宋" w:cs="仿宋"/>
          <w:b/>
          <w:color w:val="auto"/>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7D75F04E">
      <w:pPr>
        <w:pStyle w:val="5"/>
        <w:keepNext/>
        <w:keepLines/>
        <w:pageBreakBefore w:val="0"/>
        <w:widowControl w:val="0"/>
        <w:kinsoku/>
        <w:wordWrap/>
        <w:overflowPunct/>
        <w:topLinePunct w:val="0"/>
        <w:autoSpaceDE w:val="0"/>
        <w:autoSpaceDN w:val="0"/>
        <w:bidi w:val="0"/>
        <w:adjustRightInd w:val="0"/>
        <w:snapToGrid/>
        <w:spacing w:before="240" w:after="240" w:line="420" w:lineRule="exact"/>
        <w:jc w:val="center"/>
        <w:textAlignment w:val="auto"/>
        <w:rPr>
          <w:rFonts w:hint="eastAsia" w:ascii="华文中宋" w:hAnsi="华文中宋" w:eastAsia="华文中宋"/>
          <w:color w:val="auto"/>
          <w:sz w:val="36"/>
          <w:szCs w:val="36"/>
          <w:highlight w:val="none"/>
          <w:lang w:val="en-US" w:eastAsia="zh-CN"/>
        </w:rPr>
      </w:pPr>
      <w:r>
        <w:rPr>
          <w:rFonts w:hint="eastAsia" w:ascii="华文中宋" w:hAnsi="华文中宋" w:eastAsia="华文中宋"/>
          <w:color w:val="auto"/>
          <w:sz w:val="36"/>
          <w:szCs w:val="36"/>
          <w:highlight w:val="none"/>
          <w:lang w:val="en-US" w:eastAsia="zh-CN"/>
        </w:rPr>
        <w:t>第五章  采购项目采购合同</w:t>
      </w:r>
    </w:p>
    <w:p w14:paraId="6018346C">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甲方（采购单位）：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13EE5C6">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80F030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》《中华人民共和国政府采购法》等有关规定，以及</w:t>
      </w:r>
      <w:r>
        <w:rPr>
          <w:rFonts w:hint="eastAsia" w:ascii="仿宋" w:hAnsi="仿宋" w:eastAsia="仿宋" w:cs="仿宋"/>
          <w:color w:val="auto"/>
          <w:highlight w:val="none"/>
          <w:lang w:val="en-US" w:eastAsia="zh-CN"/>
        </w:rPr>
        <w:t>诸暨宸佳工程管理有限公司</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诸宸佳</w:t>
      </w:r>
      <w:r>
        <w:rPr>
          <w:rFonts w:hint="eastAsia" w:ascii="仿宋" w:hAnsi="仿宋" w:eastAsia="仿宋" w:cs="仿宋"/>
          <w:color w:val="auto"/>
          <w:highlight w:val="none"/>
        </w:rPr>
        <w:t>20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相关要求，经法定程序采购，双方同意签订以下合同条款，以便双方共同遵守、履行合同。</w:t>
      </w:r>
    </w:p>
    <w:p w14:paraId="6C34C48C">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一、采购</w:t>
      </w:r>
      <w:r>
        <w:rPr>
          <w:rFonts w:hint="eastAsia" w:ascii="仿宋" w:hAnsi="仿宋" w:eastAsia="仿宋" w:cs="仿宋"/>
          <w:b/>
          <w:color w:val="auto"/>
          <w:highlight w:val="none"/>
          <w:lang w:val="en-US" w:eastAsia="zh-CN"/>
        </w:rPr>
        <w:t>项目</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68D1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14:paraId="00C6375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名称</w:t>
            </w:r>
          </w:p>
        </w:tc>
        <w:tc>
          <w:tcPr>
            <w:tcW w:w="3332" w:type="dxa"/>
            <w:noWrap w:val="0"/>
            <w:vAlign w:val="center"/>
          </w:tcPr>
          <w:p w14:paraId="311A333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内容</w:t>
            </w:r>
          </w:p>
        </w:tc>
        <w:tc>
          <w:tcPr>
            <w:tcW w:w="1388" w:type="dxa"/>
            <w:noWrap w:val="0"/>
            <w:vAlign w:val="center"/>
          </w:tcPr>
          <w:p w14:paraId="7CC2788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或服务期限</w:t>
            </w:r>
            <w:r>
              <w:rPr>
                <w:rFonts w:hint="eastAsia" w:ascii="仿宋" w:hAnsi="仿宋" w:eastAsia="仿宋" w:cs="仿宋"/>
                <w:color w:val="auto"/>
                <w:highlight w:val="none"/>
                <w:lang w:eastAsia="zh-CN"/>
              </w:rPr>
              <w:t>）</w:t>
            </w:r>
          </w:p>
        </w:tc>
        <w:tc>
          <w:tcPr>
            <w:tcW w:w="1260" w:type="dxa"/>
            <w:noWrap w:val="0"/>
            <w:vAlign w:val="center"/>
          </w:tcPr>
          <w:p w14:paraId="36620F91">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14:paraId="29E1FCA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51CC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644F0C5C">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712F1D7A">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61C09B2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761E399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5C01FB3D">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30D9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2520B9E7">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2B4CE414">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49D11BB1">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6E9E247E">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10EBC421">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37F7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14:paraId="0DF3A3EA">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合计人民币（大写）：  佰   拾   万   仟   佰   拾   元    角    分  ￥：</w:t>
            </w:r>
          </w:p>
        </w:tc>
      </w:tr>
    </w:tbl>
    <w:p w14:paraId="417FE20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要求</w:t>
      </w:r>
    </w:p>
    <w:p w14:paraId="43F090A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19E0F54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5103E3C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2237A8E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5F0760C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（以上按采购文件采购需求中对应的服务要求内容填写）</w:t>
      </w:r>
    </w:p>
    <w:p w14:paraId="68957245">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质量要求</w:t>
      </w:r>
    </w:p>
    <w:p w14:paraId="775CDFD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4378157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36C5E9E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0593A64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3054CA3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（以上按采购文件采购需求中对应的服务质量内容填写）</w:t>
      </w:r>
    </w:p>
    <w:p w14:paraId="157F450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w:t>
      </w:r>
      <w:r>
        <w:rPr>
          <w:rFonts w:hint="eastAsia" w:ascii="仿宋" w:hAnsi="仿宋" w:eastAsia="仿宋" w:cs="仿宋"/>
          <w:b/>
          <w:color w:val="auto"/>
          <w:highlight w:val="none"/>
          <w:lang w:val="en-US" w:eastAsia="zh-CN"/>
        </w:rPr>
        <w:t>项目</w:t>
      </w:r>
      <w:r>
        <w:rPr>
          <w:rFonts w:hint="eastAsia" w:ascii="仿宋" w:hAnsi="仿宋" w:eastAsia="仿宋" w:cs="仿宋"/>
          <w:b/>
          <w:color w:val="auto"/>
          <w:highlight w:val="none"/>
        </w:rPr>
        <w:t>验收</w:t>
      </w:r>
    </w:p>
    <w:p w14:paraId="2D8E776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由甲方单位组织验收，产品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rPr>
        <w:t>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天内验收完毕，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天内提出质量异议。具体按照《诸暨市政府采购合同履约和验收管理暂行规定》执行。</w:t>
      </w:r>
    </w:p>
    <w:p w14:paraId="1906249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五、付款方式</w:t>
      </w:r>
    </w:p>
    <w:p w14:paraId="797D0EF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按采购文件规定付款方式填写</w:t>
      </w:r>
      <w:r>
        <w:rPr>
          <w:rFonts w:hint="eastAsia" w:ascii="仿宋" w:hAnsi="仿宋" w:eastAsia="仿宋" w:cs="仿宋"/>
          <w:color w:val="auto"/>
          <w:highlight w:val="none"/>
          <w:lang w:eastAsia="zh-CN"/>
        </w:rPr>
        <w:t>）</w:t>
      </w:r>
    </w:p>
    <w:p w14:paraId="4D14761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14:paraId="6A00660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按采购文件规定履约保证金填写</w:t>
      </w:r>
      <w:r>
        <w:rPr>
          <w:rFonts w:hint="eastAsia" w:ascii="仿宋" w:hAnsi="仿宋" w:eastAsia="仿宋" w:cs="仿宋"/>
          <w:color w:val="auto"/>
          <w:highlight w:val="none"/>
          <w:lang w:eastAsia="zh-CN"/>
        </w:rPr>
        <w:t>）</w:t>
      </w:r>
    </w:p>
    <w:p w14:paraId="23F2C558">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七、产品数量变更</w:t>
      </w:r>
    </w:p>
    <w:p w14:paraId="3154897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合同履行过程中，甲方根据实际情况，需要增减与合同标的相同的产品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，在不改变合同其他条款的前提下，可以与乙方协商签订补充合同，但所有补充合同的采购金额不得超过原合同采购金额的10%，增减产品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的价格为相应中标产品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的价格，且事先须向诸暨市水务集团招投标监管领导小组办公室审核备案。</w:t>
      </w:r>
    </w:p>
    <w:p w14:paraId="5AFE8118">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八、售后服务</w:t>
      </w:r>
    </w:p>
    <w:p w14:paraId="62E5986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具体售后服务条款参照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及乙方</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文件中的售后服务承诺。</w:t>
      </w:r>
    </w:p>
    <w:p w14:paraId="79C56FC1">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九、违约责任</w:t>
      </w:r>
    </w:p>
    <w:p w14:paraId="396AFF4A">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，由甲方向乙方偿付合同总价的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%违约金。</w:t>
      </w:r>
    </w:p>
    <w:p w14:paraId="650C73B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2、甲方未能在合同规定期限内验收完毕的，每超过一天，付合同价的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%的违约金给乙方。</w:t>
      </w:r>
    </w:p>
    <w:p w14:paraId="5BB9D22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3、乙方不能交付产品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，甲方有权扣留全部履约保证金；同时乙方向甲方支付合同款总价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%的违约金。</w:t>
      </w:r>
    </w:p>
    <w:p w14:paraId="0F13413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4、乙方逾期交付产品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的，每逾期1天，乙方向甲方偿付逾期部分产品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货款的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%的滞纳金，如乙方逾期15天，甲方有权解除合同，解除合同的通知自到达乙方时生效。</w:t>
      </w:r>
    </w:p>
    <w:p w14:paraId="760875B9">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color w:val="auto"/>
          <w:highlight w:val="none"/>
          <w:u w:val="single"/>
        </w:rPr>
      </w:pPr>
      <w:r>
        <w:rPr>
          <w:rFonts w:hint="eastAsia" w:ascii="仿宋" w:hAnsi="仿宋" w:eastAsia="仿宋" w:cs="仿宋"/>
          <w:b/>
          <w:color w:val="auto"/>
          <w:highlight w:val="none"/>
        </w:rPr>
        <w:t>十、其他约定事项</w:t>
      </w:r>
      <w:r>
        <w:rPr>
          <w:rFonts w:hint="eastAsia" w:ascii="仿宋" w:hAnsi="仿宋" w:eastAsia="仿宋" w:cs="仿宋"/>
          <w:b/>
          <w:color w:val="auto"/>
          <w:highlight w:val="none"/>
          <w:u w:val="none"/>
          <w:lang w:val="en-US" w:eastAsia="zh-CN"/>
        </w:rPr>
        <w:t xml:space="preserve">  </w:t>
      </w:r>
      <w:r>
        <w:rPr>
          <w:rFonts w:hint="eastAsia" w:ascii="仿宋" w:hAnsi="仿宋" w:eastAsia="仿宋" w:cs="仿宋"/>
          <w:color w:val="auto"/>
          <w:highlight w:val="none"/>
          <w:u w:val="single"/>
        </w:rPr>
        <w:t xml:space="preserve">                                                                     </w:t>
      </w:r>
    </w:p>
    <w:p w14:paraId="2011E070">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十一、解决合同纠纷方式</w:t>
      </w:r>
    </w:p>
    <w:p w14:paraId="61CB73B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其它未尽事宜或履行时发生争议，由双方本着诚实信用的原则协商解决，协商不成功可向</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rPr>
        <w:t>人民法院起诉。</w:t>
      </w:r>
    </w:p>
    <w:p w14:paraId="09728C69">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十二、其它</w:t>
      </w:r>
    </w:p>
    <w:p w14:paraId="067EC55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1、本项目的</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文件、中标通知书作为合同的附件，具有同等法律效力。</w:t>
      </w:r>
    </w:p>
    <w:p w14:paraId="56C935D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highlight w:val="none"/>
        </w:rPr>
        <w:t>2、本合同自签订之日起生效。</w:t>
      </w:r>
      <w:r>
        <w:rPr>
          <w:rFonts w:hint="eastAsia" w:ascii="仿宋" w:hAnsi="仿宋" w:eastAsia="仿宋" w:cs="仿宋"/>
          <w:color w:val="auto"/>
          <w:sz w:val="21"/>
          <w:szCs w:val="21"/>
          <w:highlight w:val="none"/>
        </w:rPr>
        <w:t>授权代表签署的应附法定代表人授权书。</w:t>
      </w:r>
    </w:p>
    <w:p w14:paraId="44916BC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3、本合同一式</w:t>
      </w:r>
      <w:r>
        <w:rPr>
          <w:rFonts w:hint="eastAsia" w:ascii="仿宋" w:hAnsi="仿宋" w:eastAsia="仿宋" w:cs="仿宋"/>
          <w:color w:val="auto"/>
          <w:highlight w:val="none"/>
          <w:lang w:val="en-US" w:eastAsia="zh-CN"/>
        </w:rPr>
        <w:t>陆</w:t>
      </w:r>
      <w:r>
        <w:rPr>
          <w:rFonts w:hint="eastAsia" w:ascii="仿宋" w:hAnsi="仿宋" w:eastAsia="仿宋" w:cs="仿宋"/>
          <w:color w:val="auto"/>
          <w:highlight w:val="none"/>
        </w:rPr>
        <w:t>份，甲乙双方各执</w:t>
      </w:r>
      <w:r>
        <w:rPr>
          <w:rFonts w:hint="eastAsia" w:ascii="仿宋" w:hAnsi="仿宋" w:eastAsia="仿宋" w:cs="仿宋"/>
          <w:color w:val="auto"/>
          <w:highlight w:val="none"/>
          <w:lang w:val="en-US" w:eastAsia="zh-CN"/>
        </w:rPr>
        <w:t>贰</w:t>
      </w:r>
      <w:r>
        <w:rPr>
          <w:rFonts w:hint="eastAsia" w:ascii="仿宋" w:hAnsi="仿宋" w:eastAsia="仿宋" w:cs="仿宋"/>
          <w:color w:val="auto"/>
          <w:highlight w:val="none"/>
        </w:rPr>
        <w:t>份，代理机构、</w:t>
      </w:r>
      <w:r>
        <w:rPr>
          <w:rFonts w:hint="eastAsia" w:ascii="仿宋" w:hAnsi="仿宋" w:eastAsia="仿宋" w:cs="仿宋"/>
          <w:color w:val="auto"/>
          <w:highlight w:val="none"/>
          <w:lang w:val="en-US" w:eastAsia="zh-CN"/>
        </w:rPr>
        <w:t>招标办</w:t>
      </w:r>
      <w:r>
        <w:rPr>
          <w:rFonts w:hint="eastAsia" w:ascii="仿宋" w:hAnsi="仿宋" w:eastAsia="仿宋" w:cs="仿宋"/>
          <w:color w:val="auto"/>
          <w:highlight w:val="none"/>
        </w:rPr>
        <w:t>各备案</w:t>
      </w:r>
      <w:r>
        <w:rPr>
          <w:rFonts w:hint="eastAsia" w:ascii="仿宋" w:hAnsi="仿宋" w:eastAsia="仿宋" w:cs="仿宋"/>
          <w:color w:val="auto"/>
          <w:highlight w:val="none"/>
          <w:lang w:val="en-US" w:eastAsia="zh-CN"/>
        </w:rPr>
        <w:t>壹</w:t>
      </w:r>
      <w:r>
        <w:rPr>
          <w:rFonts w:hint="eastAsia" w:ascii="仿宋" w:hAnsi="仿宋" w:eastAsia="仿宋" w:cs="仿宋"/>
          <w:color w:val="auto"/>
          <w:highlight w:val="none"/>
        </w:rPr>
        <w:t>份。</w:t>
      </w:r>
    </w:p>
    <w:tbl>
      <w:tblPr>
        <w:tblStyle w:val="51"/>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650"/>
      </w:tblGrid>
      <w:tr w14:paraId="0992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589" w:type="dxa"/>
            <w:noWrap w:val="0"/>
            <w:vAlign w:val="center"/>
          </w:tcPr>
          <w:p w14:paraId="5FE6FFEC">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采购单位</w:t>
            </w:r>
          </w:p>
        </w:tc>
        <w:tc>
          <w:tcPr>
            <w:tcW w:w="4650" w:type="dxa"/>
            <w:noWrap w:val="0"/>
            <w:vAlign w:val="center"/>
          </w:tcPr>
          <w:p w14:paraId="61B5B437">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供货单位</w:t>
            </w:r>
          </w:p>
        </w:tc>
      </w:tr>
      <w:tr w14:paraId="61E4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4589" w:type="dxa"/>
            <w:noWrap w:val="0"/>
            <w:vAlign w:val="top"/>
          </w:tcPr>
          <w:p w14:paraId="68F4A6B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1A66AF8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382EBA5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5F8039D7">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275764AA">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370E3F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2A24DBBA">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4650" w:type="dxa"/>
            <w:noWrap w:val="0"/>
            <w:vAlign w:val="top"/>
          </w:tcPr>
          <w:p w14:paraId="00E463C5">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42D8DDB9">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013275BF">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1C958490">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360D2F82">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23A5856A">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11AA03DF">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0D9F3FBB">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4538AEB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tc>
      </w:tr>
    </w:tbl>
    <w:p w14:paraId="644E833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rPr>
        <w:t>该合同模板与招标文件中实质性内容不相符部分，以招标文件规定为准，在签订前相应调整。</w:t>
      </w:r>
    </w:p>
    <w:p w14:paraId="2EFE67CB">
      <w:pPr>
        <w:spacing w:before="120" w:line="288" w:lineRule="auto"/>
        <w:rPr>
          <w:rFonts w:hint="eastAsia" w:ascii="仿宋" w:hAnsi="仿宋" w:eastAsia="仿宋" w:cs="仿宋"/>
          <w:color w:val="auto"/>
          <w:sz w:val="22"/>
          <w:szCs w:val="20"/>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746C00F5">
      <w:pPr>
        <w:jc w:val="center"/>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第六章  应提交的有关格式范例</w:t>
      </w:r>
    </w:p>
    <w:p w14:paraId="3F8136BF">
      <w:pPr>
        <w:widowControl/>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46EF01E6">
      <w:pPr>
        <w:widowControl/>
        <w:tabs>
          <w:tab w:val="left" w:pos="450"/>
          <w:tab w:val="left" w:pos="2520"/>
          <w:tab w:val="left" w:pos="8280"/>
        </w:tabs>
        <w:spacing w:line="360" w:lineRule="auto"/>
        <w:jc w:val="center"/>
        <w:rPr>
          <w:rFonts w:ascii="仿宋" w:hAnsi="仿宋" w:eastAsia="仿宋" w:cs="宋体"/>
          <w:b/>
          <w:color w:val="auto"/>
          <w:sz w:val="32"/>
          <w:szCs w:val="32"/>
          <w:highlight w:val="none"/>
        </w:rPr>
      </w:pPr>
      <w:r>
        <w:rPr>
          <w:rFonts w:hint="eastAsia" w:ascii="仿宋" w:hAnsi="仿宋" w:eastAsia="仿宋"/>
          <w:b/>
          <w:color w:val="auto"/>
          <w:sz w:val="32"/>
          <w:szCs w:val="32"/>
          <w:highlight w:val="none"/>
        </w:rPr>
        <w:t>一、封面格式</w:t>
      </w:r>
    </w:p>
    <w:p w14:paraId="3CE41173">
      <w:pPr>
        <w:widowControl/>
        <w:tabs>
          <w:tab w:val="left" w:pos="8280"/>
        </w:tabs>
        <w:spacing w:beforeLines="200" w:afterLines="100" w:line="360" w:lineRule="auto"/>
        <w:ind w:firstLine="482"/>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资格文件或商务技术文件或报价文件</w:t>
      </w:r>
    </w:p>
    <w:p w14:paraId="4D6C15FC">
      <w:pPr>
        <w:widowControl/>
        <w:tabs>
          <w:tab w:val="left" w:pos="275"/>
          <w:tab w:val="left" w:pos="8280"/>
        </w:tabs>
        <w:spacing w:line="360" w:lineRule="auto"/>
        <w:ind w:firstLine="1606" w:firstLineChars="500"/>
        <w:jc w:val="left"/>
        <w:rPr>
          <w:rFonts w:hint="eastAsia" w:ascii="仿宋" w:hAnsi="仿宋" w:eastAsia="仿宋" w:cs="宋体"/>
          <w:b/>
          <w:color w:val="auto"/>
          <w:sz w:val="32"/>
          <w:szCs w:val="32"/>
          <w:highlight w:val="none"/>
        </w:rPr>
      </w:pPr>
    </w:p>
    <w:p w14:paraId="2D49A889">
      <w:pPr>
        <w:widowControl/>
        <w:tabs>
          <w:tab w:val="left" w:pos="275"/>
          <w:tab w:val="left" w:pos="8280"/>
        </w:tabs>
        <w:spacing w:line="360" w:lineRule="auto"/>
        <w:ind w:firstLine="1606" w:firstLineChars="500"/>
        <w:jc w:val="left"/>
        <w:rPr>
          <w:rFonts w:hint="default" w:ascii="仿宋" w:hAnsi="仿宋" w:eastAsia="仿宋" w:cs="宋体"/>
          <w:b/>
          <w:color w:val="auto"/>
          <w:sz w:val="32"/>
          <w:szCs w:val="32"/>
          <w:highlight w:val="none"/>
          <w:lang w:val="en-US" w:eastAsia="zh-CN"/>
        </w:rPr>
      </w:pPr>
      <w:r>
        <w:rPr>
          <w:rFonts w:hint="eastAsia" w:ascii="仿宋" w:hAnsi="仿宋" w:eastAsia="仿宋" w:cs="宋体"/>
          <w:b/>
          <w:color w:val="auto"/>
          <w:sz w:val="32"/>
          <w:szCs w:val="32"/>
          <w:highlight w:val="none"/>
        </w:rPr>
        <w:t>项目名称：</w:t>
      </w:r>
      <w:r>
        <w:rPr>
          <w:rFonts w:hint="eastAsia" w:ascii="仿宋" w:hAnsi="仿宋" w:eastAsia="仿宋" w:cs="宋体"/>
          <w:b/>
          <w:color w:val="auto"/>
          <w:sz w:val="32"/>
          <w:szCs w:val="32"/>
          <w:highlight w:val="none"/>
          <w:u w:val="single"/>
          <w:lang w:val="en-US" w:eastAsia="zh-CN"/>
        </w:rPr>
        <w:t xml:space="preserve">                              </w:t>
      </w:r>
    </w:p>
    <w:p w14:paraId="7F6FC563">
      <w:pPr>
        <w:widowControl/>
        <w:tabs>
          <w:tab w:val="left" w:pos="275"/>
          <w:tab w:val="left" w:pos="8280"/>
        </w:tabs>
        <w:spacing w:line="360" w:lineRule="auto"/>
        <w:ind w:firstLine="964" w:firstLineChars="300"/>
        <w:jc w:val="left"/>
        <w:rPr>
          <w:rFonts w:hint="eastAsia" w:ascii="仿宋" w:hAnsi="仿宋" w:eastAsia="仿宋" w:cs="宋体"/>
          <w:b/>
          <w:color w:val="auto"/>
          <w:sz w:val="32"/>
          <w:szCs w:val="32"/>
          <w:highlight w:val="none"/>
        </w:rPr>
      </w:pPr>
    </w:p>
    <w:p w14:paraId="7605BEEA">
      <w:pPr>
        <w:widowControl/>
        <w:tabs>
          <w:tab w:val="left" w:pos="275"/>
          <w:tab w:val="left" w:pos="8280"/>
        </w:tabs>
        <w:spacing w:line="360" w:lineRule="auto"/>
        <w:ind w:firstLine="1606" w:firstLineChars="500"/>
        <w:jc w:val="left"/>
        <w:rPr>
          <w:rFonts w:hint="default" w:ascii="仿宋" w:hAnsi="仿宋" w:eastAsia="仿宋" w:cs="宋体"/>
          <w:b/>
          <w:color w:val="auto"/>
          <w:sz w:val="36"/>
          <w:szCs w:val="36"/>
          <w:highlight w:val="none"/>
          <w:u w:val="single"/>
          <w:lang w:val="en-US" w:eastAsia="zh-CN"/>
        </w:rPr>
      </w:pPr>
      <w:r>
        <w:rPr>
          <w:rFonts w:hint="eastAsia" w:ascii="仿宋" w:hAnsi="仿宋" w:eastAsia="仿宋" w:cs="宋体"/>
          <w:b/>
          <w:color w:val="auto"/>
          <w:sz w:val="32"/>
          <w:szCs w:val="32"/>
          <w:highlight w:val="none"/>
        </w:rPr>
        <w:t>项目编号：</w:t>
      </w:r>
      <w:r>
        <w:rPr>
          <w:rFonts w:hint="eastAsia" w:ascii="仿宋" w:hAnsi="仿宋" w:eastAsia="仿宋" w:cs="宋体"/>
          <w:b/>
          <w:color w:val="auto"/>
          <w:sz w:val="32"/>
          <w:szCs w:val="32"/>
          <w:highlight w:val="none"/>
          <w:u w:val="single"/>
          <w:lang w:val="en-US" w:eastAsia="zh-CN"/>
        </w:rPr>
        <w:t xml:space="preserve">                              </w:t>
      </w:r>
    </w:p>
    <w:p w14:paraId="3DAD8064">
      <w:pPr>
        <w:widowControl/>
        <w:tabs>
          <w:tab w:val="left" w:pos="765"/>
          <w:tab w:val="left" w:pos="8280"/>
        </w:tabs>
        <w:spacing w:line="360" w:lineRule="auto"/>
        <w:ind w:firstLine="48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127E3EB0">
      <w:pPr>
        <w:widowControl/>
        <w:tabs>
          <w:tab w:val="left" w:pos="765"/>
          <w:tab w:val="left" w:pos="8280"/>
        </w:tabs>
        <w:spacing w:line="360" w:lineRule="auto"/>
        <w:ind w:firstLine="1606" w:firstLineChars="5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 标 人：</w:t>
      </w:r>
      <w:r>
        <w:rPr>
          <w:rFonts w:hint="eastAsia" w:ascii="仿宋" w:hAnsi="仿宋" w:eastAsia="仿宋" w:cs="宋体"/>
          <w:b/>
          <w:color w:val="auto"/>
          <w:sz w:val="32"/>
          <w:szCs w:val="32"/>
          <w:highlight w:val="none"/>
          <w:u w:val="single"/>
        </w:rPr>
        <w:t xml:space="preserve">          （盖单位公章）      </w:t>
      </w:r>
    </w:p>
    <w:p w14:paraId="384F00D1">
      <w:pPr>
        <w:widowControl/>
        <w:tabs>
          <w:tab w:val="left" w:pos="8280"/>
        </w:tabs>
        <w:spacing w:line="360" w:lineRule="auto"/>
        <w:ind w:firstLine="480"/>
        <w:jc w:val="center"/>
        <w:rPr>
          <w:rFonts w:ascii="仿宋" w:hAnsi="仿宋" w:eastAsia="仿宋" w:cs="宋体"/>
          <w:b/>
          <w:color w:val="auto"/>
          <w:sz w:val="32"/>
          <w:szCs w:val="32"/>
          <w:highlight w:val="none"/>
        </w:rPr>
      </w:pPr>
    </w:p>
    <w:p w14:paraId="6255432F">
      <w:pPr>
        <w:widowControl/>
        <w:tabs>
          <w:tab w:val="left" w:pos="350"/>
          <w:tab w:val="left" w:pos="8280"/>
        </w:tabs>
        <w:spacing w:line="360" w:lineRule="auto"/>
        <w:ind w:firstLine="1606" w:firstLineChars="500"/>
        <w:jc w:val="left"/>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日    期：     年     月    日</w:t>
      </w:r>
    </w:p>
    <w:p w14:paraId="6CD01650">
      <w:pPr>
        <w:widowControl/>
        <w:tabs>
          <w:tab w:val="left" w:pos="350"/>
          <w:tab w:val="left" w:pos="8280"/>
        </w:tabs>
        <w:spacing w:line="360" w:lineRule="auto"/>
        <w:jc w:val="left"/>
        <w:rPr>
          <w:rFonts w:ascii="仿宋" w:hAnsi="仿宋" w:eastAsia="仿宋" w:cs="宋体"/>
          <w:b/>
          <w:color w:val="auto"/>
          <w:sz w:val="32"/>
          <w:szCs w:val="32"/>
          <w:highlight w:val="none"/>
        </w:rPr>
        <w:sectPr>
          <w:headerReference r:id="rId14" w:type="firs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5C86E2E9">
      <w:pPr>
        <w:pStyle w:val="6"/>
        <w:spacing w:before="0" w:line="500" w:lineRule="exact"/>
        <w:jc w:val="center"/>
        <w:rPr>
          <w:rFonts w:ascii="仿宋" w:hAnsi="仿宋" w:eastAsia="仿宋"/>
          <w:bCs w:val="0"/>
          <w:color w:val="auto"/>
          <w:highlight w:val="none"/>
        </w:rPr>
      </w:pPr>
      <w:r>
        <w:rPr>
          <w:rFonts w:hint="eastAsia" w:ascii="仿宋" w:hAnsi="仿宋" w:eastAsia="仿宋"/>
          <w:b/>
          <w:color w:val="auto"/>
          <w:sz w:val="32"/>
          <w:szCs w:val="32"/>
          <w:highlight w:val="none"/>
        </w:rPr>
        <w:t>二、</w:t>
      </w:r>
      <w:r>
        <w:rPr>
          <w:rFonts w:ascii="仿宋" w:hAnsi="仿宋" w:eastAsia="仿宋"/>
          <w:b/>
          <w:color w:val="auto"/>
          <w:sz w:val="32"/>
          <w:szCs w:val="32"/>
          <w:highlight w:val="none"/>
        </w:rPr>
        <w:t>符</w:t>
      </w:r>
      <w:r>
        <w:rPr>
          <w:rFonts w:ascii="仿宋" w:hAnsi="仿宋" w:eastAsia="仿宋" w:cs="Times New Roman"/>
          <w:b/>
          <w:color w:val="auto"/>
          <w:sz w:val="32"/>
          <w:szCs w:val="32"/>
          <w:highlight w:val="none"/>
        </w:rPr>
        <w:t>合</w:t>
      </w:r>
      <w:r>
        <w:rPr>
          <w:rFonts w:ascii="仿宋" w:hAnsi="仿宋" w:eastAsia="仿宋"/>
          <w:b/>
          <w:color w:val="auto"/>
          <w:sz w:val="32"/>
          <w:szCs w:val="32"/>
          <w:highlight w:val="none"/>
        </w:rPr>
        <w:t>参与采购活动资格条件的承诺函</w:t>
      </w:r>
      <w:r>
        <w:rPr>
          <w:rFonts w:hint="eastAsia" w:ascii="仿宋" w:hAnsi="仿宋" w:eastAsia="仿宋"/>
          <w:bCs w:val="0"/>
          <w:color w:val="auto"/>
          <w:highlight w:val="none"/>
        </w:rPr>
        <w:t>（格式）</w:t>
      </w:r>
    </w:p>
    <w:p w14:paraId="4725515E">
      <w:pPr>
        <w:spacing w:line="360" w:lineRule="auto"/>
        <w:rPr>
          <w:rFonts w:ascii="仿宋" w:hAnsi="仿宋" w:eastAsia="仿宋" w:cs="宋体"/>
          <w:b/>
          <w:color w:val="auto"/>
          <w:sz w:val="24"/>
          <w:szCs w:val="24"/>
          <w:highlight w:val="none"/>
        </w:rPr>
      </w:pP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514E6882">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我方参与</w:t>
      </w:r>
      <w:r>
        <w:rPr>
          <w:rFonts w:hint="eastAsia" w:ascii="仿宋" w:hAnsi="仿宋" w:eastAsia="仿宋" w:cs="宋体"/>
          <w:i/>
          <w:color w:val="auto"/>
          <w:spacing w:val="8"/>
          <w:sz w:val="24"/>
          <w:szCs w:val="24"/>
          <w:highlight w:val="none"/>
          <w:u w:val="single"/>
        </w:rPr>
        <w:t>（项目名称）   （项目编号：     ）</w:t>
      </w:r>
      <w:r>
        <w:rPr>
          <w:rFonts w:hint="eastAsia" w:ascii="仿宋" w:hAnsi="仿宋" w:eastAsia="仿宋" w:cs="宋体"/>
          <w:color w:val="auto"/>
          <w:spacing w:val="8"/>
          <w:sz w:val="24"/>
          <w:szCs w:val="24"/>
          <w:highlight w:val="none"/>
        </w:rPr>
        <w:t>采购活动，郑重承诺：</w:t>
      </w:r>
    </w:p>
    <w:p w14:paraId="5190F1D7">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（一）我方具备</w:t>
      </w:r>
      <w:r>
        <w:rPr>
          <w:rFonts w:hint="eastAsia" w:ascii="仿宋" w:hAnsi="仿宋" w:eastAsia="仿宋" w:cs="Arial"/>
          <w:color w:val="auto"/>
          <w:sz w:val="24"/>
          <w:szCs w:val="24"/>
          <w:highlight w:val="none"/>
          <w:u w:val="single"/>
        </w:rPr>
        <w:t>“</w:t>
      </w:r>
      <w:r>
        <w:rPr>
          <w:rFonts w:hint="eastAsia" w:ascii="仿宋" w:hAnsi="仿宋" w:eastAsia="仿宋"/>
          <w:color w:val="auto"/>
          <w:sz w:val="24"/>
          <w:szCs w:val="24"/>
          <w:highlight w:val="none"/>
          <w:u w:val="single"/>
        </w:rPr>
        <w:t>投标（供应商）人</w:t>
      </w:r>
      <w:r>
        <w:rPr>
          <w:rFonts w:hint="eastAsia" w:ascii="仿宋" w:hAnsi="仿宋" w:eastAsia="仿宋" w:cs="Arial"/>
          <w:color w:val="auto"/>
          <w:sz w:val="24"/>
          <w:szCs w:val="24"/>
          <w:highlight w:val="none"/>
          <w:u w:val="single"/>
        </w:rPr>
        <w:t>资格要求”</w:t>
      </w:r>
      <w:r>
        <w:rPr>
          <w:rFonts w:hint="eastAsia" w:ascii="仿宋" w:hAnsi="仿宋" w:eastAsia="仿宋" w:cs="宋体"/>
          <w:color w:val="auto"/>
          <w:spacing w:val="8"/>
          <w:sz w:val="24"/>
          <w:szCs w:val="24"/>
          <w:highlight w:val="none"/>
        </w:rPr>
        <w:t>第一条规定的条件：</w:t>
      </w:r>
    </w:p>
    <w:p w14:paraId="6B29D255">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1.具有独立承担民事责任的能力；</w:t>
      </w:r>
    </w:p>
    <w:p w14:paraId="30FACB28">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2.具有良好的商业信誉和健全的财务会计制度；</w:t>
      </w:r>
    </w:p>
    <w:p w14:paraId="373306E1">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3.具有履行合同所必需的设备和专业技术能力；</w:t>
      </w:r>
    </w:p>
    <w:p w14:paraId="0533F374">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4.有依法缴纳税收和社会保障资金的良好记录；</w:t>
      </w:r>
    </w:p>
    <w:p w14:paraId="4BEE2105">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5.参加采购活动前三年内，在经营活动中没有重大违法记录（即我方没有因违法经营受到刑事处罚，没有被责令停产停业、被吊销许可证或者执照、被处以较大数额罚款等行政处罚）；</w:t>
      </w:r>
    </w:p>
    <w:p w14:paraId="022227BB">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6.具有法律、行政法规规定的其他条件。</w:t>
      </w:r>
    </w:p>
    <w:p w14:paraId="48C8F793">
      <w:pPr>
        <w:spacing w:line="300" w:lineRule="auto"/>
        <w:ind w:firstLine="512" w:firstLineChars="200"/>
        <w:rPr>
          <w:color w:val="auto"/>
          <w:highlight w:val="none"/>
        </w:rPr>
      </w:pPr>
      <w:r>
        <w:rPr>
          <w:rFonts w:hint="eastAsia" w:ascii="仿宋" w:hAnsi="仿宋" w:eastAsia="仿宋" w:cs="宋体"/>
          <w:color w:val="auto"/>
          <w:spacing w:val="8"/>
          <w:sz w:val="24"/>
          <w:szCs w:val="24"/>
          <w:highlight w:val="none"/>
        </w:rPr>
        <w:t>（二）</w:t>
      </w:r>
      <w:r>
        <w:rPr>
          <w:rFonts w:ascii="仿宋" w:hAnsi="仿宋" w:eastAsia="仿宋" w:cs="宋体"/>
          <w:color w:val="auto"/>
          <w:spacing w:val="8"/>
          <w:sz w:val="24"/>
          <w:szCs w:val="24"/>
          <w:highlight w:val="none"/>
        </w:rPr>
        <w:t>未被“信用中国”</w:t>
      </w:r>
      <w:r>
        <w:rPr>
          <w:rFonts w:hAnsi="仿宋" w:eastAsia="仿宋"/>
          <w:color w:val="auto"/>
          <w:spacing w:val="8"/>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7"/>
          <w:rFonts w:eastAsia="仿宋"/>
          <w:color w:val="auto"/>
          <w:spacing w:val="8"/>
          <w:highlight w:val="none"/>
          <w:u w:val="none"/>
        </w:rPr>
        <w:t>www.creditchina.gov.cn</w:t>
      </w:r>
      <w:r>
        <w:rPr>
          <w:rStyle w:val="57"/>
          <w:rFonts w:eastAsia="仿宋"/>
          <w:color w:val="auto"/>
          <w:spacing w:val="8"/>
          <w:highlight w:val="none"/>
          <w:u w:val="none"/>
        </w:rPr>
        <w:fldChar w:fldCharType="end"/>
      </w:r>
      <w:r>
        <w:rPr>
          <w:rFonts w:hAnsi="仿宋" w:eastAsia="仿宋"/>
          <w:color w:val="auto"/>
          <w:spacing w:val="8"/>
          <w:highlight w:val="none"/>
        </w:rPr>
        <w:t>）</w:t>
      </w:r>
      <w:r>
        <w:rPr>
          <w:rFonts w:ascii="仿宋" w:hAnsi="仿宋" w:eastAsia="仿宋" w:cs="宋体"/>
          <w:color w:val="auto"/>
          <w:spacing w:val="8"/>
          <w:sz w:val="24"/>
          <w:szCs w:val="24"/>
          <w:highlight w:val="none"/>
        </w:rPr>
        <w:t>、中国政府采购网</w:t>
      </w:r>
      <w:r>
        <w:rPr>
          <w:rFonts w:hAnsi="仿宋" w:eastAsia="仿宋"/>
          <w:color w:val="auto"/>
          <w:spacing w:val="8"/>
          <w:highlight w:val="none"/>
        </w:rPr>
        <w:t>（www.ccgp.gov.cn）</w:t>
      </w:r>
      <w:r>
        <w:rPr>
          <w:rFonts w:ascii="仿宋" w:hAnsi="仿宋" w:eastAsia="仿宋" w:cs="宋体"/>
          <w:color w:val="auto"/>
          <w:spacing w:val="8"/>
          <w:sz w:val="24"/>
          <w:szCs w:val="24"/>
          <w:highlight w:val="none"/>
        </w:rPr>
        <w:t>列入失信被执行人、重大税收违法案件当事人名单、政府采购严重违法失信行为记录名单。</w:t>
      </w:r>
    </w:p>
    <w:p w14:paraId="4DE80D59">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（三）不存在以下情况：</w:t>
      </w:r>
    </w:p>
    <w:p w14:paraId="698FC8DF">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w:t>
      </w:r>
      <w:r>
        <w:rPr>
          <w:rFonts w:ascii="仿宋" w:hAnsi="仿宋" w:eastAsia="仿宋" w:cs="宋体"/>
          <w:color w:val="auto"/>
          <w:spacing w:val="8"/>
          <w:sz w:val="24"/>
          <w:szCs w:val="24"/>
          <w:highlight w:val="none"/>
        </w:rPr>
        <w:t>单位负责人为同一人或者存在直接控股、管理关系的不同供应商参加同一合同项下的采购活动的。</w:t>
      </w:r>
    </w:p>
    <w:p w14:paraId="2CC3159A">
      <w:pPr>
        <w:spacing w:line="360" w:lineRule="auto"/>
        <w:ind w:firstLine="512" w:firstLineChars="200"/>
        <w:rPr>
          <w:rFonts w:ascii="仿宋" w:hAnsi="仿宋" w:eastAsia="仿宋" w:cs="Arial"/>
          <w:color w:val="auto"/>
          <w:sz w:val="24"/>
          <w:szCs w:val="24"/>
          <w:highlight w:val="none"/>
        </w:rPr>
      </w:pPr>
      <w:r>
        <w:rPr>
          <w:rFonts w:hint="eastAsia" w:ascii="仿宋" w:hAnsi="仿宋" w:eastAsia="仿宋" w:cs="宋体"/>
          <w:color w:val="auto"/>
          <w:spacing w:val="8"/>
          <w:sz w:val="24"/>
          <w:szCs w:val="24"/>
          <w:highlight w:val="none"/>
        </w:rPr>
        <w:t>2.为采购项目提供整体设计、规范编制或者项目管理、监理、检测等服务后再参加该采购项目的其他采购活动的。</w:t>
      </w:r>
    </w:p>
    <w:p w14:paraId="5552262D">
      <w:pPr>
        <w:ind w:firstLine="420" w:firstLineChars="200"/>
        <w:rPr>
          <w:color w:val="auto"/>
          <w:highlight w:val="none"/>
        </w:rPr>
      </w:pPr>
    </w:p>
    <w:p w14:paraId="454FCE8A">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5DE737E0">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日期：_____年_____月_____日</w:t>
      </w:r>
    </w:p>
    <w:p w14:paraId="09D0FE95">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ascii="仿宋" w:hAnsi="仿宋" w:eastAsia="仿宋"/>
          <w:color w:val="auto"/>
          <w:sz w:val="24"/>
          <w:szCs w:val="24"/>
          <w:highlight w:val="none"/>
        </w:rPr>
        <w:sectPr>
          <w:pgSz w:w="11911" w:h="16838"/>
          <w:pgMar w:top="1440" w:right="1080" w:bottom="1440" w:left="1080" w:header="850" w:footer="941" w:gutter="0"/>
          <w:pgNumType w:fmt="decimal"/>
          <w:cols w:space="0" w:num="1"/>
          <w:rtlGutter w:val="0"/>
          <w:docGrid w:linePitch="315" w:charSpace="0"/>
        </w:sectPr>
      </w:pPr>
      <w:r>
        <w:rPr>
          <w:rFonts w:hint="eastAsia" w:ascii="仿宋" w:hAnsi="仿宋" w:eastAsia="仿宋"/>
          <w:b/>
          <w:i/>
          <w:color w:val="auto"/>
          <w:sz w:val="24"/>
          <w:szCs w:val="24"/>
          <w:highlight w:val="none"/>
          <w:u w:val="single"/>
        </w:rPr>
        <w:t>注：按本格式要求提供。</w:t>
      </w:r>
    </w:p>
    <w:p w14:paraId="4D8FC25F">
      <w:pPr>
        <w:pStyle w:val="6"/>
        <w:spacing w:before="0" w:line="500" w:lineRule="exact"/>
        <w:jc w:val="center"/>
        <w:rPr>
          <w:rFonts w:ascii="仿宋" w:hAnsi="仿宋" w:eastAsia="仿宋"/>
          <w:bCs w:val="0"/>
          <w:color w:val="auto"/>
          <w:highlight w:val="none"/>
        </w:rPr>
      </w:pPr>
      <w:r>
        <w:rPr>
          <w:rFonts w:hint="eastAsia" w:ascii="仿宋" w:hAnsi="仿宋" w:eastAsia="仿宋"/>
          <w:bCs w:val="0"/>
          <w:color w:val="auto"/>
          <w:highlight w:val="none"/>
          <w:lang w:val="en-US" w:eastAsia="zh-CN"/>
        </w:rPr>
        <w:t>三、</w:t>
      </w:r>
      <w:r>
        <w:rPr>
          <w:rFonts w:hint="eastAsia" w:ascii="仿宋" w:hAnsi="仿宋" w:eastAsia="仿宋"/>
          <w:bCs w:val="0"/>
          <w:color w:val="auto"/>
          <w:highlight w:val="none"/>
        </w:rPr>
        <w:t>投标函（格式）</w:t>
      </w:r>
    </w:p>
    <w:p w14:paraId="4F1CC0A4">
      <w:pPr>
        <w:spacing w:line="420" w:lineRule="exact"/>
        <w:rPr>
          <w:rFonts w:hint="eastAsia"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2BD5B1F6">
      <w:pPr>
        <w:spacing w:line="420" w:lineRule="exact"/>
        <w:ind w:firstLine="512" w:firstLineChars="200"/>
        <w:rPr>
          <w:rFonts w:ascii="仿宋" w:hAnsi="仿宋" w:eastAsia="仿宋"/>
          <w:color w:val="auto"/>
          <w:sz w:val="24"/>
          <w:szCs w:val="24"/>
          <w:highlight w:val="none"/>
        </w:rPr>
      </w:pPr>
      <w:r>
        <w:rPr>
          <w:rFonts w:hint="eastAsia" w:ascii="仿宋" w:hAnsi="仿宋" w:eastAsia="仿宋"/>
          <w:color w:val="auto"/>
          <w:spacing w:val="8"/>
          <w:sz w:val="24"/>
          <w:szCs w:val="24"/>
          <w:highlight w:val="none"/>
        </w:rPr>
        <w:t>根据贵方</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w:t>
      </w:r>
      <w:r>
        <w:rPr>
          <w:rFonts w:hint="eastAsia" w:ascii="仿宋" w:hAnsi="仿宋" w:eastAsia="仿宋"/>
          <w:color w:val="auto"/>
          <w:spacing w:val="8"/>
          <w:sz w:val="24"/>
          <w:szCs w:val="24"/>
          <w:highlight w:val="none"/>
          <w:u w:val="single"/>
        </w:rPr>
        <w:t>项目的</w:t>
      </w:r>
      <w:r>
        <w:rPr>
          <w:rFonts w:hint="eastAsia" w:ascii="仿宋" w:hAnsi="仿宋" w:eastAsia="仿宋"/>
          <w:color w:val="auto"/>
          <w:spacing w:val="8"/>
          <w:sz w:val="24"/>
          <w:szCs w:val="24"/>
          <w:highlight w:val="none"/>
        </w:rPr>
        <w:t>招标文件（编号：诸宸佳</w:t>
      </w:r>
      <w:r>
        <w:rPr>
          <w:rFonts w:hint="eastAsia" w:ascii="仿宋" w:hAnsi="仿宋" w:eastAsia="仿宋"/>
          <w:color w:val="auto"/>
          <w:spacing w:val="8"/>
          <w:sz w:val="24"/>
          <w:szCs w:val="24"/>
          <w:highlight w:val="none"/>
          <w:lang w:eastAsia="zh-CN"/>
        </w:rPr>
        <w:t>2025</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**）有关要求，</w:t>
      </w:r>
      <w:r>
        <w:rPr>
          <w:rFonts w:hint="eastAsia" w:ascii="仿宋" w:hAnsi="仿宋" w:eastAsia="仿宋"/>
          <w:color w:val="auto"/>
          <w:spacing w:val="8"/>
          <w:sz w:val="24"/>
          <w:szCs w:val="24"/>
          <w:highlight w:val="none"/>
          <w:u w:val="single"/>
        </w:rPr>
        <w:t xml:space="preserve">（投标人全称）       </w:t>
      </w:r>
      <w:r>
        <w:rPr>
          <w:rFonts w:hint="eastAsia" w:ascii="仿宋" w:hAnsi="仿宋" w:eastAsia="仿宋"/>
          <w:color w:val="auto"/>
          <w:spacing w:val="8"/>
          <w:sz w:val="24"/>
          <w:szCs w:val="24"/>
          <w:highlight w:val="none"/>
        </w:rPr>
        <w:t>授权</w:t>
      </w:r>
      <w:r>
        <w:rPr>
          <w:rFonts w:hint="eastAsia" w:ascii="仿宋" w:hAnsi="仿宋" w:eastAsia="仿宋"/>
          <w:color w:val="auto"/>
          <w:spacing w:val="8"/>
          <w:sz w:val="24"/>
          <w:szCs w:val="24"/>
          <w:highlight w:val="none"/>
          <w:u w:val="single"/>
        </w:rPr>
        <w:t xml:space="preserve">  （委托代理人姓名）</w:t>
      </w:r>
      <w:r>
        <w:rPr>
          <w:rFonts w:hint="eastAsia" w:ascii="仿宋" w:hAnsi="仿宋" w:eastAsia="仿宋"/>
          <w:color w:val="auto"/>
          <w:sz w:val="24"/>
          <w:szCs w:val="24"/>
          <w:highlight w:val="none"/>
        </w:rPr>
        <w:t>为全权代表，参加贵方组织的招标采购活动，并进行投标。为此：</w:t>
      </w:r>
    </w:p>
    <w:p w14:paraId="0737E25A">
      <w:pPr>
        <w:snapToGrid w:val="0"/>
        <w:spacing w:line="420" w:lineRule="exact"/>
        <w:ind w:firstLine="480" w:firstLineChars="200"/>
        <w:rPr>
          <w:rFonts w:ascii="仿宋" w:hAnsi="仿宋" w:eastAsia="仿宋"/>
          <w:bCs/>
          <w:color w:val="auto"/>
          <w:sz w:val="24"/>
          <w:szCs w:val="24"/>
          <w:highlight w:val="none"/>
        </w:rPr>
      </w:pPr>
      <w:r>
        <w:rPr>
          <w:rFonts w:hint="eastAsia" w:ascii="仿宋" w:hAnsi="仿宋" w:eastAsia="仿宋"/>
          <w:color w:val="auto"/>
          <w:sz w:val="24"/>
          <w:szCs w:val="24"/>
          <w:highlight w:val="none"/>
        </w:rPr>
        <w:t>1、我方已详细研读了全部招标文件，包括修改文件（如有的话）以及全部参考资料和有关附件等，</w:t>
      </w:r>
      <w:r>
        <w:rPr>
          <w:rFonts w:hint="eastAsia" w:ascii="仿宋" w:hAnsi="仿宋" w:eastAsia="仿宋"/>
          <w:bCs/>
          <w:color w:val="auto"/>
          <w:sz w:val="24"/>
          <w:szCs w:val="24"/>
          <w:highlight w:val="none"/>
        </w:rPr>
        <w:t>完全理解并接受招标文件的各项规定和要求，对招标文件的合理性、合法性不再有异议。</w:t>
      </w:r>
    </w:p>
    <w:p w14:paraId="327BF94F">
      <w:pPr>
        <w:tabs>
          <w:tab w:val="left" w:pos="900"/>
        </w:tabs>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我方承诺投标有效期从提交投标文件的截止之日起</w:t>
      </w:r>
      <w:r>
        <w:rPr>
          <w:rFonts w:hint="eastAsia" w:ascii="仿宋" w:hAnsi="仿宋" w:eastAsia="仿宋"/>
          <w:color w:val="auto"/>
          <w:sz w:val="24"/>
          <w:szCs w:val="24"/>
          <w:highlight w:val="none"/>
        </w:rPr>
        <w:t>___天（不少于</w:t>
      </w:r>
      <w:r>
        <w:rPr>
          <w:rFonts w:ascii="仿宋" w:hAnsi="仿宋" w:eastAsia="仿宋"/>
          <w:color w:val="auto"/>
          <w:sz w:val="24"/>
          <w:szCs w:val="24"/>
          <w:highlight w:val="none"/>
        </w:rPr>
        <w:t>90天）</w:t>
      </w:r>
      <w:r>
        <w:rPr>
          <w:rFonts w:hint="eastAsia" w:ascii="仿宋" w:hAnsi="仿宋" w:eastAsia="仿宋"/>
          <w:color w:val="auto"/>
          <w:sz w:val="24"/>
          <w:szCs w:val="24"/>
          <w:highlight w:val="none"/>
        </w:rPr>
        <w:t>，本投标文件在投标有效期满之前均具有约束力。</w:t>
      </w:r>
    </w:p>
    <w:p w14:paraId="778986E1">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3、我方承诺已经具备《中华人民共和国政府采购法》及招标文件中规定的参加本项目的供应商资格条件。</w:t>
      </w:r>
    </w:p>
    <w:p w14:paraId="39253C00">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4、我方严格按照招标文件的规定报价，并提供招标文件规定的全部投标文件。</w:t>
      </w:r>
    </w:p>
    <w:p w14:paraId="23A25E16">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5、如我方中标，投标文件将作为本项目合同的组成部分，直到合同履行完毕均保持有效，我方将按招标文件及政府采购法律、法规的规定履行合同责任和义务。</w:t>
      </w:r>
    </w:p>
    <w:p w14:paraId="352BEEE9">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6、我方完全理解贵方不一定接受最低价的投标。</w:t>
      </w:r>
    </w:p>
    <w:p w14:paraId="6CC328E4">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7、我方同意向贵方提供任何与该项投标有关的一切数据或资料。若贵方需要，我方愿意提供我方作出的一切承诺的证明材料。</w:t>
      </w:r>
    </w:p>
    <w:p w14:paraId="1F9C846F">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8、与本次投标有关的一切正式往来通讯，请寄：</w:t>
      </w:r>
    </w:p>
    <w:p w14:paraId="20A5FE5F">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地址：_____________邮编：_____________</w:t>
      </w:r>
    </w:p>
    <w:p w14:paraId="2D855838">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电话：_____________传真：_____________</w:t>
      </w:r>
    </w:p>
    <w:p w14:paraId="06263897">
      <w:pPr>
        <w:spacing w:line="360" w:lineRule="auto"/>
        <w:rPr>
          <w:rFonts w:ascii="仿宋" w:hAnsi="仿宋" w:eastAsia="仿宋"/>
          <w:color w:val="auto"/>
          <w:sz w:val="24"/>
          <w:szCs w:val="24"/>
          <w:highlight w:val="none"/>
        </w:rPr>
      </w:pPr>
    </w:p>
    <w:p w14:paraId="097B9305">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75EB5B1A">
      <w:pPr>
        <w:widowControl/>
        <w:tabs>
          <w:tab w:val="left" w:pos="350"/>
          <w:tab w:val="left" w:pos="8280"/>
        </w:tabs>
        <w:spacing w:afterLines="100" w:line="360" w:lineRule="auto"/>
        <w:ind w:firstLine="425"/>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0B311C3D">
      <w:pPr>
        <w:widowControl/>
        <w:tabs>
          <w:tab w:val="left" w:pos="350"/>
          <w:tab w:val="left" w:pos="8280"/>
        </w:tabs>
        <w:spacing w:afterLines="200" w:line="360" w:lineRule="auto"/>
        <w:ind w:firstLine="425"/>
        <w:rPr>
          <w:rFonts w:ascii="仿宋" w:hAnsi="仿宋" w:eastAsia="仿宋"/>
          <w:b/>
          <w:i/>
          <w:color w:val="auto"/>
          <w:sz w:val="24"/>
          <w:szCs w:val="24"/>
          <w:highlight w:val="none"/>
          <w:u w:val="single"/>
        </w:rPr>
      </w:pPr>
      <w:r>
        <w:rPr>
          <w:rFonts w:hint="eastAsia" w:ascii="仿宋" w:hAnsi="仿宋" w:eastAsia="仿宋"/>
          <w:b/>
          <w:i/>
          <w:color w:val="auto"/>
          <w:sz w:val="24"/>
          <w:szCs w:val="24"/>
          <w:highlight w:val="none"/>
          <w:u w:val="single"/>
        </w:rPr>
        <w:t>注：按本格式和要求提供。</w:t>
      </w:r>
    </w:p>
    <w:p w14:paraId="0EE76A56">
      <w:pPr>
        <w:widowControl/>
        <w:tabs>
          <w:tab w:val="left" w:pos="350"/>
          <w:tab w:val="left" w:pos="8280"/>
        </w:tabs>
        <w:spacing w:afterLines="200" w:line="360" w:lineRule="auto"/>
        <w:ind w:firstLine="425"/>
        <w:rPr>
          <w:rFonts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79C3153D">
      <w:pPr>
        <w:pStyle w:val="6"/>
        <w:spacing w:before="0" w:line="500" w:lineRule="exact"/>
        <w:jc w:val="center"/>
        <w:rPr>
          <w:rFonts w:ascii="仿宋" w:hAnsi="仿宋" w:eastAsia="仿宋"/>
          <w:color w:val="auto"/>
          <w:highlight w:val="none"/>
        </w:rPr>
      </w:pPr>
      <w:r>
        <w:rPr>
          <w:rFonts w:hint="eastAsia" w:ascii="仿宋" w:hAnsi="仿宋" w:eastAsia="仿宋"/>
          <w:color w:val="auto"/>
          <w:highlight w:val="none"/>
          <w:lang w:val="en-US" w:eastAsia="zh-CN"/>
        </w:rPr>
        <w:t>四</w:t>
      </w:r>
      <w:r>
        <w:rPr>
          <w:rFonts w:hint="eastAsia" w:ascii="仿宋" w:hAnsi="仿宋" w:eastAsia="仿宋"/>
          <w:color w:val="auto"/>
          <w:highlight w:val="none"/>
        </w:rPr>
        <w:t>、授权委托书（格式）</w:t>
      </w:r>
    </w:p>
    <w:p w14:paraId="0747188D">
      <w:pPr>
        <w:spacing w:line="360" w:lineRule="auto"/>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0487CC1D">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（职务：     身份证号码：    ） </w:t>
      </w:r>
      <w:r>
        <w:rPr>
          <w:rFonts w:hint="eastAsia" w:ascii="仿宋" w:hAnsi="仿宋" w:eastAsia="仿宋"/>
          <w:color w:val="auto"/>
          <w:sz w:val="24"/>
          <w:szCs w:val="24"/>
          <w:highlight w:val="none"/>
        </w:rPr>
        <w:t>系</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投标人名称</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w:t>
      </w:r>
      <w:r>
        <w:rPr>
          <w:rFonts w:hint="eastAsia" w:ascii="仿宋" w:hAnsi="仿宋" w:eastAsia="仿宋"/>
          <w:color w:val="auto"/>
          <w:sz w:val="24"/>
          <w:szCs w:val="24"/>
          <w:highlight w:val="none"/>
        </w:rPr>
        <w:t>的</w:t>
      </w:r>
      <w:r>
        <w:rPr>
          <w:rFonts w:hint="eastAsia" w:ascii="仿宋" w:hAnsi="仿宋" w:eastAsia="仿宋"/>
          <w:color w:val="auto"/>
          <w:sz w:val="24"/>
          <w:szCs w:val="24"/>
          <w:highlight w:val="none"/>
          <w:u w:val="single"/>
        </w:rPr>
        <w:t xml:space="preserve">（法定代表人或单位负责人）  </w:t>
      </w:r>
      <w:r>
        <w:rPr>
          <w:rFonts w:hint="eastAsia" w:ascii="仿宋" w:hAnsi="仿宋" w:eastAsia="仿宋"/>
          <w:color w:val="auto"/>
          <w:sz w:val="24"/>
          <w:szCs w:val="24"/>
          <w:highlight w:val="none"/>
        </w:rPr>
        <w:t>，现授权委托本单位在职职工</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  　 （职务：    身份证号码：     ）</w:t>
      </w:r>
      <w:r>
        <w:rPr>
          <w:rFonts w:hint="eastAsia" w:ascii="仿宋" w:hAnsi="仿宋" w:eastAsia="仿宋"/>
          <w:color w:val="auto"/>
          <w:sz w:val="24"/>
          <w:szCs w:val="24"/>
          <w:highlight w:val="none"/>
        </w:rPr>
        <w:t>以我方的名义参加贵方组织的</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项目</w:t>
      </w:r>
      <w:r>
        <w:rPr>
          <w:rFonts w:hint="eastAsia" w:ascii="仿宋" w:hAnsi="仿宋" w:eastAsia="仿宋"/>
          <w:color w:val="auto"/>
          <w:sz w:val="24"/>
          <w:szCs w:val="24"/>
          <w:highlight w:val="none"/>
        </w:rPr>
        <w:t>的投标活动，并代表我方全权办理针对上述项目的投标、开标、评标、签约等具体事务和签署相关文件。</w:t>
      </w:r>
    </w:p>
    <w:p w14:paraId="42B9D1A7">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我方对被授权人的签名事项负全部责任。</w:t>
      </w:r>
    </w:p>
    <w:p w14:paraId="13AF61CC">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在撤销授权的书面通知以前，本授权书一直有效。被授权人在授权书有效期内签署的所有文件不因授权的撤销而失效。</w:t>
      </w:r>
    </w:p>
    <w:p w14:paraId="54BD5513">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被授权人无转委托权，特此委托。</w:t>
      </w:r>
    </w:p>
    <w:p w14:paraId="733B6995">
      <w:pPr>
        <w:snapToGrid w:val="0"/>
        <w:spacing w:line="360" w:lineRule="auto"/>
        <w:ind w:firstLine="480"/>
        <w:rPr>
          <w:rFonts w:ascii="仿宋" w:hAnsi="仿宋" w:eastAsia="仿宋"/>
          <w:color w:val="auto"/>
          <w:sz w:val="24"/>
          <w:szCs w:val="24"/>
          <w:highlight w:val="none"/>
        </w:rPr>
      </w:pPr>
    </w:p>
    <w:p w14:paraId="15C3A06D">
      <w:pPr>
        <w:spacing w:line="420" w:lineRule="exact"/>
        <w:ind w:firstLine="470" w:firstLineChars="196"/>
        <w:rPr>
          <w:rFonts w:ascii="仿宋" w:hAnsi="仿宋" w:eastAsia="仿宋"/>
          <w:bCs/>
          <w:i/>
          <w:color w:val="auto"/>
          <w:sz w:val="24"/>
          <w:szCs w:val="24"/>
          <w:highlight w:val="none"/>
          <w:u w:val="single"/>
        </w:rPr>
      </w:pPr>
      <w:r>
        <w:rPr>
          <w:rFonts w:hint="eastAsia" w:ascii="仿宋" w:hAnsi="仿宋" w:eastAsia="仿宋"/>
          <w:bCs/>
          <w:i/>
          <w:color w:val="auto"/>
          <w:sz w:val="24"/>
          <w:szCs w:val="24"/>
          <w:highlight w:val="none"/>
          <w:u w:val="single"/>
        </w:rPr>
        <w:t>注：《授权委托书》须后附法定代表人（或单位负责人）和被授权人的身份证（正反面）复印件（加盖单位公章）。</w:t>
      </w:r>
    </w:p>
    <w:p w14:paraId="300CFD55">
      <w:pPr>
        <w:spacing w:line="360" w:lineRule="auto"/>
        <w:rPr>
          <w:rFonts w:ascii="仿宋" w:hAnsi="仿宋" w:eastAsia="仿宋"/>
          <w:b/>
          <w:color w:val="auto"/>
          <w:sz w:val="24"/>
          <w:szCs w:val="24"/>
          <w:highlight w:val="none"/>
        </w:rPr>
      </w:pPr>
    </w:p>
    <w:p w14:paraId="7008E8A1">
      <w:pPr>
        <w:wordWrap w:val="0"/>
        <w:spacing w:line="360" w:lineRule="auto"/>
        <w:ind w:firstLine="425"/>
        <w:jc w:val="righ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6DFB20C0">
      <w:pPr>
        <w:spacing w:line="360" w:lineRule="auto"/>
        <w:ind w:firstLine="425"/>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248EA5FD">
      <w:pPr>
        <w:spacing w:line="480" w:lineRule="auto"/>
        <w:rPr>
          <w:rFonts w:ascii="仿宋" w:hAnsi="仿宋" w:eastAsia="仿宋"/>
          <w:b/>
          <w:bCs/>
          <w:color w:val="auto"/>
          <w:spacing w:val="-6"/>
          <w:sz w:val="24"/>
          <w:szCs w:val="24"/>
          <w:highlight w:val="none"/>
        </w:rPr>
      </w:pPr>
    </w:p>
    <w:p w14:paraId="7ED1D155">
      <w:pPr>
        <w:spacing w:line="420" w:lineRule="exact"/>
        <w:rPr>
          <w:rFonts w:ascii="仿宋" w:hAnsi="仿宋" w:eastAsia="仿宋"/>
          <w:b/>
          <w:i/>
          <w:color w:val="auto"/>
          <w:sz w:val="24"/>
          <w:szCs w:val="24"/>
          <w:highlight w:val="none"/>
          <w:u w:val="single"/>
        </w:rPr>
      </w:pPr>
      <w:r>
        <w:rPr>
          <w:rFonts w:hint="eastAsia" w:ascii="仿宋" w:hAnsi="仿宋" w:eastAsia="仿宋"/>
          <w:b/>
          <w:bCs/>
          <w:i/>
          <w:color w:val="auto"/>
          <w:spacing w:val="-6"/>
          <w:sz w:val="24"/>
          <w:szCs w:val="24"/>
          <w:highlight w:val="none"/>
          <w:u w:val="single"/>
        </w:rPr>
        <w:t>说明：</w:t>
      </w:r>
    </w:p>
    <w:p w14:paraId="4903918E">
      <w:pPr>
        <w:spacing w:line="420" w:lineRule="exact"/>
        <w:rPr>
          <w:rFonts w:ascii="仿宋" w:hAnsi="仿宋" w:eastAsia="仿宋"/>
          <w:bCs/>
          <w:i/>
          <w:color w:val="auto"/>
          <w:sz w:val="24"/>
          <w:szCs w:val="24"/>
          <w:highlight w:val="none"/>
          <w:u w:val="single"/>
        </w:rPr>
      </w:pPr>
      <w:r>
        <w:rPr>
          <w:rFonts w:hint="eastAsia" w:ascii="仿宋" w:hAnsi="仿宋" w:eastAsia="仿宋"/>
          <w:bCs/>
          <w:i/>
          <w:color w:val="auto"/>
          <w:sz w:val="24"/>
          <w:szCs w:val="24"/>
          <w:highlight w:val="none"/>
          <w:u w:val="single"/>
        </w:rPr>
        <w:t>1、</w:t>
      </w:r>
      <w:r>
        <w:rPr>
          <w:rFonts w:ascii="仿宋" w:hAnsi="仿宋" w:eastAsia="仿宋"/>
          <w:bCs/>
          <w:i/>
          <w:color w:val="auto"/>
          <w:sz w:val="24"/>
          <w:szCs w:val="24"/>
          <w:highlight w:val="none"/>
          <w:u w:val="single"/>
        </w:rPr>
        <w:t>投标人代表为法定代表人（或单位负责人）的，只需提供法定代表人（或单位负责人）身份证（正反面）复印件（加盖单位公章）。</w:t>
      </w:r>
    </w:p>
    <w:p w14:paraId="581EEC17">
      <w:pPr>
        <w:widowControl/>
        <w:tabs>
          <w:tab w:val="left" w:pos="350"/>
          <w:tab w:val="left" w:pos="8280"/>
        </w:tabs>
        <w:spacing w:line="420" w:lineRule="exact"/>
        <w:rPr>
          <w:rFonts w:ascii="仿宋" w:hAnsi="仿宋" w:eastAsia="仿宋"/>
          <w:bCs/>
          <w:color w:val="auto"/>
          <w:sz w:val="24"/>
          <w:highlight w:val="none"/>
          <w:u w:val="singl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bCs/>
          <w:i/>
          <w:color w:val="auto"/>
          <w:sz w:val="24"/>
          <w:szCs w:val="24"/>
          <w:highlight w:val="none"/>
          <w:u w:val="single"/>
        </w:rPr>
        <w:t>2、</w:t>
      </w:r>
      <w:r>
        <w:rPr>
          <w:rFonts w:ascii="仿宋" w:hAnsi="仿宋" w:eastAsia="仿宋"/>
          <w:bCs/>
          <w:i/>
          <w:color w:val="auto"/>
          <w:sz w:val="24"/>
          <w:highlight w:val="none"/>
          <w:u w:val="single"/>
        </w:rPr>
        <w:t>投标人代表不是法定代表人（或单位负责人）的，必须提供《授权委托书》。</w:t>
      </w:r>
    </w:p>
    <w:p w14:paraId="1E49B9F2">
      <w:pPr>
        <w:pStyle w:val="6"/>
        <w:spacing w:before="0" w:line="500" w:lineRule="exact"/>
        <w:jc w:val="center"/>
        <w:rPr>
          <w:rFonts w:ascii="仿宋" w:hAnsi="仿宋" w:eastAsia="仿宋"/>
          <w:color w:val="auto"/>
          <w:highlight w:val="none"/>
        </w:rPr>
      </w:pPr>
      <w:r>
        <w:rPr>
          <w:rFonts w:hint="eastAsia" w:ascii="仿宋" w:hAnsi="仿宋" w:eastAsia="仿宋"/>
          <w:color w:val="auto"/>
          <w:highlight w:val="none"/>
          <w:lang w:val="en-US" w:eastAsia="zh-CN"/>
        </w:rPr>
        <w:t>五</w:t>
      </w:r>
      <w:r>
        <w:rPr>
          <w:rFonts w:hint="eastAsia" w:ascii="仿宋" w:hAnsi="仿宋" w:eastAsia="仿宋"/>
          <w:color w:val="auto"/>
          <w:highlight w:val="none"/>
        </w:rPr>
        <w:t>、开标一览表（格式）</w:t>
      </w:r>
    </w:p>
    <w:p w14:paraId="0120AB8D">
      <w:pPr>
        <w:keepNext w:val="0"/>
        <w:keepLines w:val="0"/>
        <w:pageBreakBefore w:val="0"/>
        <w:widowControl w:val="0"/>
        <w:kinsoku/>
        <w:wordWrap/>
        <w:overflowPunct/>
        <w:topLinePunct w:val="0"/>
        <w:autoSpaceDE w:val="0"/>
        <w:autoSpaceDN w:val="0"/>
        <w:bidi w:val="0"/>
        <w:adjustRightInd w:val="0"/>
        <w:snapToGrid/>
        <w:spacing w:before="120" w:after="120" w:line="360" w:lineRule="auto"/>
        <w:ind w:left="0" w:leftChars="0" w:firstLine="562" w:firstLineChars="200"/>
        <w:textAlignment w:val="auto"/>
        <w:rPr>
          <w:rFonts w:hint="eastAsia" w:ascii="仿宋" w:hAnsi="仿宋" w:eastAsia="仿宋"/>
          <w:b/>
          <w:bCs/>
          <w:color w:val="auto"/>
          <w:sz w:val="28"/>
          <w:szCs w:val="28"/>
          <w:highlight w:val="none"/>
          <w:lang w:eastAsia="zh-CN"/>
        </w:rPr>
      </w:pPr>
      <w:r>
        <w:rPr>
          <w:rFonts w:hint="eastAsia" w:ascii="仿宋" w:hAnsi="仿宋" w:eastAsia="仿宋"/>
          <w:b/>
          <w:bCs/>
          <w:color w:val="auto"/>
          <w:sz w:val="28"/>
          <w:szCs w:val="28"/>
          <w:highlight w:val="none"/>
        </w:rPr>
        <w:t>项目名称：</w:t>
      </w:r>
      <w:r>
        <w:rPr>
          <w:rFonts w:hint="eastAsia" w:ascii="仿宋" w:hAnsi="仿宋" w:eastAsia="仿宋"/>
          <w:b/>
          <w:bCs/>
          <w:color w:val="auto"/>
          <w:sz w:val="28"/>
          <w:szCs w:val="28"/>
          <w:highlight w:val="none"/>
          <w:lang w:eastAsia="zh-CN"/>
        </w:rPr>
        <w:t>诸暨市城市生活污水治理扩面提效项目--暨南街道雨污水管网建设工程道路交通安全评估服务采购项目</w:t>
      </w:r>
    </w:p>
    <w:p w14:paraId="2DBC7108">
      <w:pPr>
        <w:keepNext w:val="0"/>
        <w:keepLines w:val="0"/>
        <w:pageBreakBefore w:val="0"/>
        <w:widowControl w:val="0"/>
        <w:kinsoku/>
        <w:wordWrap/>
        <w:overflowPunct/>
        <w:topLinePunct w:val="0"/>
        <w:autoSpaceDE w:val="0"/>
        <w:autoSpaceDN w:val="0"/>
        <w:bidi w:val="0"/>
        <w:adjustRightInd w:val="0"/>
        <w:snapToGrid/>
        <w:spacing w:before="120" w:after="120" w:line="360" w:lineRule="auto"/>
        <w:ind w:left="0" w:leftChars="0" w:firstLine="562" w:firstLineChars="200"/>
        <w:textAlignment w:val="auto"/>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项目编号：</w:t>
      </w:r>
      <w:r>
        <w:rPr>
          <w:rFonts w:hint="eastAsia" w:ascii="仿宋" w:hAnsi="仿宋" w:eastAsia="仿宋"/>
          <w:b/>
          <w:bCs/>
          <w:color w:val="auto"/>
          <w:sz w:val="28"/>
          <w:szCs w:val="28"/>
          <w:highlight w:val="none"/>
          <w:lang w:eastAsia="zh-CN"/>
        </w:rPr>
        <w:t>诸宸佳2025-01-09</w:t>
      </w:r>
    </w:p>
    <w:tbl>
      <w:tblPr>
        <w:tblStyle w:val="5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15"/>
        <w:gridCol w:w="2865"/>
        <w:gridCol w:w="1605"/>
        <w:gridCol w:w="1635"/>
      </w:tblGrid>
      <w:tr w14:paraId="782C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2" w:type="dxa"/>
            <w:vMerge w:val="restart"/>
            <w:noWrap w:val="0"/>
            <w:vAlign w:val="center"/>
          </w:tcPr>
          <w:p w14:paraId="0A64E9A4">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序号</w:t>
            </w:r>
          </w:p>
        </w:tc>
        <w:tc>
          <w:tcPr>
            <w:tcW w:w="2715" w:type="dxa"/>
            <w:vMerge w:val="restart"/>
            <w:noWrap w:val="0"/>
            <w:vAlign w:val="center"/>
          </w:tcPr>
          <w:p w14:paraId="59587045">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2865" w:type="dxa"/>
            <w:vMerge w:val="restart"/>
            <w:noWrap w:val="0"/>
            <w:vAlign w:val="center"/>
          </w:tcPr>
          <w:p w14:paraId="37A60ACD">
            <w:pPr>
              <w:jc w:val="center"/>
              <w:rPr>
                <w:rFonts w:hint="eastAsia" w:ascii="仿宋" w:hAnsi="仿宋" w:eastAsia="仿宋" w:cs="仿宋"/>
                <w:b/>
                <w:sz w:val="28"/>
                <w:szCs w:val="28"/>
              </w:rPr>
            </w:pPr>
            <w:r>
              <w:rPr>
                <w:rFonts w:hint="eastAsia" w:ascii="仿宋" w:hAnsi="仿宋" w:eastAsia="仿宋" w:cs="仿宋"/>
                <w:b/>
                <w:color w:val="auto"/>
                <w:sz w:val="28"/>
                <w:szCs w:val="28"/>
                <w:highlight w:val="none"/>
                <w:lang w:val="en-US" w:eastAsia="zh-CN"/>
              </w:rPr>
              <w:t>最高单价限价（元）</w:t>
            </w:r>
          </w:p>
        </w:tc>
        <w:tc>
          <w:tcPr>
            <w:tcW w:w="3240" w:type="dxa"/>
            <w:gridSpan w:val="2"/>
            <w:noWrap w:val="0"/>
            <w:vAlign w:val="center"/>
          </w:tcPr>
          <w:p w14:paraId="189BC02B">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投标</w:t>
            </w:r>
            <w:r>
              <w:rPr>
                <w:rFonts w:hint="eastAsia" w:ascii="仿宋" w:hAnsi="仿宋" w:eastAsia="仿宋" w:cs="仿宋"/>
                <w:b/>
                <w:color w:val="auto"/>
                <w:sz w:val="28"/>
                <w:szCs w:val="28"/>
                <w:highlight w:val="none"/>
                <w:lang w:val="en-US" w:eastAsia="zh-CN"/>
              </w:rPr>
              <w:t>单价</w:t>
            </w:r>
            <w:r>
              <w:rPr>
                <w:rFonts w:hint="eastAsia" w:ascii="仿宋" w:hAnsi="仿宋" w:eastAsia="仿宋" w:cs="仿宋"/>
                <w:b/>
                <w:sz w:val="28"/>
                <w:szCs w:val="28"/>
                <w:lang w:val="en-US" w:eastAsia="zh-CN"/>
              </w:rPr>
              <w:t>报价</w:t>
            </w:r>
            <w:r>
              <w:rPr>
                <w:rFonts w:hint="eastAsia" w:ascii="仿宋" w:hAnsi="仿宋" w:eastAsia="仿宋" w:cs="仿宋"/>
                <w:b/>
                <w:color w:val="auto"/>
                <w:sz w:val="28"/>
                <w:szCs w:val="28"/>
                <w:highlight w:val="none"/>
                <w:lang w:val="en-US" w:eastAsia="zh-CN"/>
              </w:rPr>
              <w:t>（元）</w:t>
            </w:r>
          </w:p>
        </w:tc>
      </w:tr>
      <w:tr w14:paraId="7DFF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2" w:type="dxa"/>
            <w:vMerge w:val="continue"/>
            <w:noWrap w:val="0"/>
            <w:vAlign w:val="center"/>
          </w:tcPr>
          <w:p w14:paraId="19A808AB">
            <w:pPr>
              <w:jc w:val="center"/>
              <w:rPr>
                <w:rFonts w:hint="eastAsia" w:ascii="仿宋" w:hAnsi="仿宋" w:eastAsia="仿宋" w:cs="仿宋"/>
                <w:b/>
                <w:sz w:val="28"/>
                <w:szCs w:val="28"/>
              </w:rPr>
            </w:pPr>
          </w:p>
        </w:tc>
        <w:tc>
          <w:tcPr>
            <w:tcW w:w="2715" w:type="dxa"/>
            <w:vMerge w:val="continue"/>
            <w:noWrap w:val="0"/>
            <w:vAlign w:val="center"/>
          </w:tcPr>
          <w:p w14:paraId="040A788F">
            <w:pPr>
              <w:jc w:val="center"/>
              <w:rPr>
                <w:rFonts w:hint="eastAsia" w:ascii="仿宋" w:hAnsi="仿宋" w:eastAsia="仿宋" w:cs="仿宋"/>
                <w:b/>
                <w:sz w:val="28"/>
                <w:szCs w:val="28"/>
              </w:rPr>
            </w:pPr>
          </w:p>
        </w:tc>
        <w:tc>
          <w:tcPr>
            <w:tcW w:w="2865" w:type="dxa"/>
            <w:vMerge w:val="continue"/>
            <w:noWrap w:val="0"/>
            <w:vAlign w:val="center"/>
          </w:tcPr>
          <w:p w14:paraId="3F4C4A3C">
            <w:pPr>
              <w:jc w:val="center"/>
              <w:rPr>
                <w:rFonts w:hint="eastAsia" w:ascii="仿宋" w:hAnsi="仿宋" w:eastAsia="仿宋" w:cs="仿宋"/>
                <w:b/>
                <w:sz w:val="28"/>
                <w:szCs w:val="28"/>
              </w:rPr>
            </w:pPr>
          </w:p>
        </w:tc>
        <w:tc>
          <w:tcPr>
            <w:tcW w:w="1605" w:type="dxa"/>
            <w:noWrap w:val="0"/>
            <w:vAlign w:val="center"/>
          </w:tcPr>
          <w:p w14:paraId="037A5911">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1635" w:type="dxa"/>
            <w:noWrap w:val="0"/>
            <w:vAlign w:val="center"/>
          </w:tcPr>
          <w:p w14:paraId="4433B7BB">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2287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12" w:type="dxa"/>
            <w:noWrap w:val="0"/>
            <w:vAlign w:val="center"/>
          </w:tcPr>
          <w:p w14:paraId="2DF59A6E">
            <w:pPr>
              <w:spacing w:line="400" w:lineRule="exact"/>
              <w:jc w:val="center"/>
              <w:rPr>
                <w:rFonts w:hint="eastAsia" w:ascii="仿宋" w:hAnsi="仿宋" w:eastAsia="仿宋" w:cs="仿宋"/>
                <w:bCs/>
                <w:sz w:val="24"/>
                <w:szCs w:val="24"/>
              </w:rPr>
            </w:pPr>
          </w:p>
        </w:tc>
        <w:tc>
          <w:tcPr>
            <w:tcW w:w="2715" w:type="dxa"/>
            <w:noWrap w:val="0"/>
            <w:vAlign w:val="center"/>
          </w:tcPr>
          <w:p w14:paraId="06F31A71">
            <w:pPr>
              <w:spacing w:line="400" w:lineRule="exact"/>
              <w:jc w:val="center"/>
              <w:rPr>
                <w:rFonts w:hint="eastAsia" w:ascii="仿宋" w:hAnsi="仿宋" w:eastAsia="仿宋" w:cs="仿宋"/>
                <w:bCs/>
                <w:sz w:val="24"/>
                <w:szCs w:val="24"/>
              </w:rPr>
            </w:pPr>
          </w:p>
        </w:tc>
        <w:tc>
          <w:tcPr>
            <w:tcW w:w="2865" w:type="dxa"/>
            <w:noWrap w:val="0"/>
            <w:vAlign w:val="center"/>
          </w:tcPr>
          <w:p w14:paraId="36460E5B">
            <w:pPr>
              <w:spacing w:line="400" w:lineRule="exact"/>
              <w:jc w:val="center"/>
              <w:rPr>
                <w:rFonts w:hint="default" w:ascii="仿宋" w:hAnsi="仿宋" w:eastAsia="仿宋" w:cs="仿宋"/>
                <w:bCs/>
                <w:sz w:val="24"/>
                <w:szCs w:val="24"/>
                <w:lang w:val="en-US" w:eastAsia="zh-CN"/>
              </w:rPr>
            </w:pPr>
            <w:r>
              <w:rPr>
                <w:rFonts w:hint="eastAsia" w:ascii="仿宋" w:hAnsi="仿宋" w:eastAsia="仿宋" w:cs="仿宋"/>
                <w:b/>
                <w:color w:val="auto"/>
                <w:sz w:val="28"/>
                <w:szCs w:val="28"/>
                <w:highlight w:val="none"/>
                <w:lang w:val="en-US" w:eastAsia="zh-CN"/>
              </w:rPr>
              <w:t>50000.00</w:t>
            </w:r>
          </w:p>
        </w:tc>
        <w:tc>
          <w:tcPr>
            <w:tcW w:w="1605" w:type="dxa"/>
            <w:noWrap w:val="0"/>
            <w:vAlign w:val="center"/>
          </w:tcPr>
          <w:p w14:paraId="59814A08">
            <w:pPr>
              <w:spacing w:line="7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1635" w:type="dxa"/>
            <w:noWrap w:val="0"/>
            <w:vAlign w:val="center"/>
          </w:tcPr>
          <w:p w14:paraId="68773B3B">
            <w:pPr>
              <w:spacing w:line="700" w:lineRule="exact"/>
              <w:rPr>
                <w:rFonts w:hint="default" w:ascii="仿宋" w:hAnsi="仿宋" w:eastAsia="仿宋" w:cs="仿宋"/>
                <w:sz w:val="24"/>
                <w:szCs w:val="24"/>
                <w:lang w:val="en-US" w:eastAsia="zh-CN"/>
              </w:rPr>
            </w:pPr>
          </w:p>
        </w:tc>
      </w:tr>
    </w:tbl>
    <w:p w14:paraId="1E5328BE">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jc w:val="left"/>
        <w:textAlignment w:val="auto"/>
        <w:rPr>
          <w:rFonts w:hint="eastAsia" w:ascii="仿宋" w:hAnsi="仿宋" w:eastAsia="仿宋"/>
          <w:color w:val="auto"/>
          <w:sz w:val="24"/>
          <w:szCs w:val="24"/>
          <w:highlight w:val="none"/>
          <w:lang w:val="en-US" w:eastAsia="zh-CN"/>
        </w:rPr>
      </w:pPr>
    </w:p>
    <w:p w14:paraId="5CEAE46B">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注：本项目按固定单价招标，数量按实结算，单个项目最高限价为人民币伍万元整，任何超过最高限价的报价将被认定为无效报价。</w:t>
      </w:r>
    </w:p>
    <w:p w14:paraId="633763C3">
      <w:pPr>
        <w:spacing w:line="480" w:lineRule="auto"/>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说明:此表在不改变格式要求的情况下，投标人可根据项目实际情况自行调整</w:t>
      </w:r>
      <w:r>
        <w:rPr>
          <w:rFonts w:hint="eastAsia" w:ascii="仿宋" w:hAnsi="仿宋" w:eastAsia="仿宋"/>
          <w:color w:val="auto"/>
          <w:sz w:val="24"/>
          <w:szCs w:val="24"/>
          <w:highlight w:val="none"/>
          <w:lang w:eastAsia="zh-CN"/>
        </w:rPr>
        <w:t>。</w:t>
      </w:r>
    </w:p>
    <w:p w14:paraId="076DC1D5">
      <w:pPr>
        <w:spacing w:line="480" w:lineRule="auto"/>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投标人全称（电子签章）：___________</w:t>
      </w:r>
    </w:p>
    <w:p w14:paraId="5F1C8CC1">
      <w:pPr>
        <w:spacing w:line="360" w:lineRule="auto"/>
        <w:jc w:val="right"/>
        <w:rPr>
          <w:rFonts w:hint="eastAsia"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highlight w:val="none"/>
        </w:rPr>
        <w:t>日  期：_______年_______月_______日</w:t>
      </w:r>
    </w:p>
    <w:p w14:paraId="380F9900">
      <w:pPr>
        <w:pStyle w:val="6"/>
        <w:spacing w:before="0" w:line="500" w:lineRule="exact"/>
        <w:jc w:val="center"/>
        <w:rPr>
          <w:rFonts w:ascii="仿宋" w:hAnsi="仿宋" w:eastAsia="仿宋"/>
          <w:color w:val="auto"/>
          <w:highlight w:val="none"/>
        </w:rPr>
      </w:pPr>
      <w:r>
        <w:rPr>
          <w:rFonts w:hint="eastAsia" w:ascii="仿宋" w:hAnsi="仿宋" w:eastAsia="仿宋" w:cs="Times New Roman"/>
          <w:b/>
          <w:bCs/>
          <w:color w:val="auto"/>
          <w:kern w:val="2"/>
          <w:sz w:val="32"/>
          <w:szCs w:val="32"/>
          <w:highlight w:val="none"/>
          <w:lang w:val="en-US" w:eastAsia="zh-CN" w:bidi="ar-SA"/>
        </w:rPr>
        <w:t>六、</w:t>
      </w:r>
      <w:r>
        <w:rPr>
          <w:rFonts w:hint="eastAsia" w:ascii="仿宋" w:hAnsi="仿宋" w:eastAsia="仿宋"/>
          <w:color w:val="auto"/>
          <w:highlight w:val="none"/>
        </w:rPr>
        <w:t>投标承诺书（格式）</w:t>
      </w:r>
    </w:p>
    <w:p w14:paraId="6B089F7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我公司已详细阅读了项目（项目编号：</w:t>
      </w:r>
      <w:r>
        <w:rPr>
          <w:rFonts w:hint="eastAsia" w:ascii="仿宋" w:hAnsi="仿宋" w:eastAsia="仿宋" w:cs="仿宋"/>
          <w:color w:val="auto"/>
          <w:highlight w:val="none"/>
          <w:u w:val="none"/>
        </w:rPr>
        <w:t>诸宸佳</w:t>
      </w:r>
      <w:r>
        <w:rPr>
          <w:rFonts w:hint="eastAsia" w:ascii="仿宋" w:hAnsi="仿宋" w:eastAsia="仿宋" w:cs="仿宋"/>
          <w:color w:val="auto"/>
          <w:highlight w:val="none"/>
          <w:u w:val="none"/>
          <w:lang w:val="en-US" w:eastAsia="zh-CN"/>
        </w:rPr>
        <w:t>20**-**-**</w:t>
      </w:r>
      <w:r>
        <w:rPr>
          <w:rFonts w:hint="eastAsia" w:ascii="仿宋" w:hAnsi="仿宋" w:eastAsia="仿宋" w:cs="仿宋"/>
          <w:color w:val="auto"/>
          <w:highlight w:val="none"/>
        </w:rPr>
        <w:t>）招标文件，现参加该项目投标，并就有关事项作出如下承诺：</w:t>
      </w:r>
    </w:p>
    <w:p w14:paraId="6D743FE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一、我公司在该项目招投标及合同履约过程中，不会出现以下行为，否则我公司愿意接受该行为被记录为不良行为，并在不良行为记录时限内放弃在诸暨市水务集团及下属公司投标的资格。</w:t>
      </w:r>
    </w:p>
    <w:p w14:paraId="7D43880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（1）已报名但无故放弃投标(开标前已有书面说明并证实的除外)一年内累计3次以上的；</w:t>
      </w:r>
    </w:p>
    <w:p w14:paraId="348F361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（2）在招标采购过程中，与采购单位进行协商谈判的；</w:t>
      </w:r>
    </w:p>
    <w:p w14:paraId="013B8DE4">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（3）投标有效期内撤回其投标文件的；</w:t>
      </w:r>
    </w:p>
    <w:p w14:paraId="77826A74">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（4）拒绝有关部门监督检查或提供虚假情况的；</w:t>
      </w:r>
    </w:p>
    <w:p w14:paraId="6B692E8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（5）不积极配合采购单位做好标的验收工作的；</w:t>
      </w:r>
    </w:p>
    <w:p w14:paraId="3DE80474">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（6）在有关部门的监督检查或考核中被通报批评或处以警告及以上处罚的；</w:t>
      </w:r>
    </w:p>
    <w:p w14:paraId="5796C5D1">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（7）不遵守投标会场纪律，无理取闹，扰乱交易秩序的；</w:t>
      </w:r>
    </w:p>
    <w:p w14:paraId="6203311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（8）中标后无正当理由放弃中标，或不与采购单位签订政府采购合同，或在签订合同时提出附加条件或更改合同实质性内容，或拒不提交所要求的履约保证金的；</w:t>
      </w:r>
    </w:p>
    <w:p w14:paraId="61F76B81">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（9）虚假投诉、恶意投诉或未按层级和相关程序逐级质疑、投诉而影响采购工作正常进行或造成不良影响的；</w:t>
      </w:r>
    </w:p>
    <w:p w14:paraId="5C18624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（10）不按照与采购单位订立的合同履行义务（包括提供标的、售后服务、技术支持等），严重违反合同规定和廉政合同要求的；</w:t>
      </w:r>
    </w:p>
    <w:p w14:paraId="09520A7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（11）项目负责人不到位，或擅自变换项目负责人，或不认真履行职责造成采购单位损失的；</w:t>
      </w:r>
    </w:p>
    <w:p w14:paraId="51FFC55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（12）发生经营状况重大变化以及重要担保、重大合同纠纷或诉讼、信用等级和资质变化等可能影响履约能力的重大事项，未及时向市公共资源交易中心提供书面报告，因而造成采购单位损失的；</w:t>
      </w:r>
    </w:p>
    <w:p w14:paraId="11E617F7">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（13）与采购单位、其他供应商或者采购代理机构相互串通的；</w:t>
      </w:r>
    </w:p>
    <w:p w14:paraId="4DC2736E">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（14）采取不正当手段排挤其他供应商，进行不公平竞争的；</w:t>
      </w:r>
    </w:p>
    <w:p w14:paraId="16F7CC04">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（15）中标后与采购单位另行订立背离合同实质内容的协议的；</w:t>
      </w:r>
    </w:p>
    <w:p w14:paraId="72D458D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（16）事先有承诺，而事后违反承诺内容的；</w:t>
      </w:r>
    </w:p>
    <w:p w14:paraId="7FB78C1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（17）将中标项目转包或违反规定进行分包的；</w:t>
      </w:r>
    </w:p>
    <w:p w14:paraId="2A1346B7">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（18）以他人名义投标或允许他人以自己名义投标，或者以其他方式弄虚作假的；</w:t>
      </w:r>
    </w:p>
    <w:p w14:paraId="2D0CE774">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（19）未按照采购合同约定及时提供全部货物的，或无故拖延工期的；</w:t>
      </w:r>
    </w:p>
    <w:p w14:paraId="2E6BFAA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（20）无故不提供中标要求的型号、配置等产品的，或有拆换、调换、截留产品零部件和备品备件的行为的；</w:t>
      </w:r>
    </w:p>
    <w:p w14:paraId="236C6FD2">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（21）为获取自身利益，向采购单位及其他有利害关系的单位或个人提供不正当利益的；</w:t>
      </w:r>
    </w:p>
    <w:p w14:paraId="58BFFC07">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（22）提供假冒伪劣产品或走私物品的；</w:t>
      </w:r>
    </w:p>
    <w:p w14:paraId="4400B53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（23）擅自变更、中止、终止或解除政府采购合同的；</w:t>
      </w:r>
    </w:p>
    <w:p w14:paraId="0653D83E">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（24）向有关人员行贿或者提供不正当利益谋取中标的；</w:t>
      </w:r>
    </w:p>
    <w:p w14:paraId="744052A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（25）在政府采购活动期间，对管理机构、采购单位、其他投标人、评标专家、中介机构等政府采购相关机构和人员，采取诋毁、诽谤、胁迫、暴力等不正当手段的；</w:t>
      </w:r>
    </w:p>
    <w:p w14:paraId="588B75A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（26）诸暨市水务集团招投标监管领导小组办公室认定的其他违反政府采购管理的行为。</w:t>
      </w:r>
    </w:p>
    <w:p w14:paraId="47DD184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14:paraId="474A5C4B">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二、我公司及其他利害关系人如对该项目的中标公示有异议，将在招标文件规定的公示期限内提出符合以下条件的有效质疑，否则我公司愿意接受相关部门不予受理的决定。</w:t>
      </w:r>
    </w:p>
    <w:p w14:paraId="1A428B9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1、质疑人须为投标人和其他利害关系人；</w:t>
      </w:r>
    </w:p>
    <w:p w14:paraId="15B000FE">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2、投诉时，应当递交质疑书，质疑书应当包括下列内容：</w:t>
      </w:r>
    </w:p>
    <w:p w14:paraId="5EDE36CC">
      <w:pPr>
        <w:spacing w:line="340" w:lineRule="exact"/>
        <w:ind w:firstLine="420" w:firstLineChars="200"/>
        <w:rPr>
          <w:rFonts w:ascii="仿宋" w:hAnsi="仿宋" w:eastAsia="仿宋" w:cs="仿宋"/>
          <w:color w:val="auto"/>
        </w:rPr>
      </w:pPr>
      <w:r>
        <w:rPr>
          <w:rFonts w:hint="eastAsia" w:ascii="仿宋" w:hAnsi="仿宋" w:eastAsia="仿宋" w:cs="仿宋"/>
          <w:color w:val="auto"/>
        </w:rPr>
        <w:t>（1）质疑人的名称、地址及有效联系方式；</w:t>
      </w:r>
    </w:p>
    <w:p w14:paraId="6A7D018B">
      <w:pPr>
        <w:spacing w:line="340" w:lineRule="exact"/>
        <w:ind w:firstLine="420" w:firstLineChars="200"/>
        <w:rPr>
          <w:rFonts w:ascii="仿宋" w:hAnsi="仿宋" w:eastAsia="仿宋" w:cs="仿宋"/>
          <w:color w:val="auto"/>
        </w:rPr>
      </w:pPr>
      <w:r>
        <w:rPr>
          <w:rFonts w:hint="eastAsia" w:ascii="仿宋" w:hAnsi="仿宋" w:eastAsia="仿宋" w:cs="仿宋"/>
          <w:color w:val="auto"/>
        </w:rPr>
        <w:t>（2）被质疑人的名称、地址及联系方式；</w:t>
      </w:r>
    </w:p>
    <w:p w14:paraId="6D3DF1A6">
      <w:pPr>
        <w:spacing w:line="340" w:lineRule="exact"/>
        <w:ind w:firstLine="420" w:firstLineChars="200"/>
        <w:rPr>
          <w:rFonts w:ascii="仿宋" w:hAnsi="仿宋" w:eastAsia="仿宋" w:cs="仿宋"/>
          <w:color w:val="auto"/>
        </w:rPr>
      </w:pPr>
      <w:r>
        <w:rPr>
          <w:rFonts w:hint="eastAsia" w:ascii="仿宋" w:hAnsi="仿宋" w:eastAsia="仿宋" w:cs="仿宋"/>
          <w:color w:val="auto"/>
        </w:rPr>
        <w:t>（3）质疑事项的基本事实；</w:t>
      </w:r>
    </w:p>
    <w:p w14:paraId="156A6857">
      <w:pPr>
        <w:spacing w:line="340" w:lineRule="exact"/>
        <w:ind w:firstLine="420" w:firstLineChars="200"/>
        <w:rPr>
          <w:rFonts w:ascii="仿宋" w:hAnsi="仿宋" w:eastAsia="仿宋" w:cs="仿宋"/>
          <w:color w:val="auto"/>
        </w:rPr>
      </w:pPr>
      <w:r>
        <w:rPr>
          <w:rFonts w:hint="eastAsia" w:ascii="仿宋" w:hAnsi="仿宋" w:eastAsia="仿宋" w:cs="仿宋"/>
          <w:color w:val="auto"/>
        </w:rPr>
        <w:t>（4）相关请求及主张；</w:t>
      </w:r>
    </w:p>
    <w:p w14:paraId="2A1F0EA9">
      <w:pPr>
        <w:spacing w:line="340" w:lineRule="exact"/>
        <w:ind w:firstLine="420" w:firstLineChars="200"/>
        <w:rPr>
          <w:rFonts w:ascii="仿宋" w:hAnsi="仿宋" w:eastAsia="仿宋" w:cs="仿宋"/>
          <w:color w:val="auto"/>
        </w:rPr>
      </w:pPr>
      <w:r>
        <w:rPr>
          <w:rFonts w:hint="eastAsia" w:ascii="仿宋" w:hAnsi="仿宋" w:eastAsia="仿宋" w:cs="仿宋"/>
          <w:color w:val="auto"/>
        </w:rPr>
        <w:t>（5）有效线索和相关证明材料；</w:t>
      </w:r>
    </w:p>
    <w:p w14:paraId="04E11880">
      <w:pPr>
        <w:spacing w:line="340" w:lineRule="exact"/>
        <w:ind w:firstLine="420" w:firstLineChars="200"/>
        <w:rPr>
          <w:rFonts w:ascii="仿宋" w:hAnsi="仿宋" w:eastAsia="仿宋" w:cs="仿宋"/>
          <w:color w:val="auto"/>
        </w:rPr>
      </w:pPr>
      <w:r>
        <w:rPr>
          <w:rFonts w:hint="eastAsia" w:ascii="仿宋" w:hAnsi="仿宋" w:eastAsia="仿宋" w:cs="仿宋"/>
          <w:color w:val="auto"/>
        </w:rPr>
        <w:t>（6）质疑人是法人的，质疑书必须由其法定代表人或者授权代表签字并加盖章；其他组织或者个人质疑的，质疑书必须由其主要负责人或者质疑人本人签字，并附有效身份证明复印件。</w:t>
      </w:r>
    </w:p>
    <w:p w14:paraId="6AABCA50">
      <w:pPr>
        <w:spacing w:line="340" w:lineRule="exact"/>
        <w:ind w:firstLine="723" w:firstLineChars="400"/>
        <w:rPr>
          <w:rFonts w:ascii="仿宋" w:hAnsi="仿宋" w:eastAsia="仿宋" w:cs="仿宋"/>
          <w:b/>
          <w:color w:val="auto"/>
          <w:sz w:val="18"/>
          <w:szCs w:val="18"/>
        </w:rPr>
      </w:pPr>
    </w:p>
    <w:p w14:paraId="09B0186B">
      <w:pPr>
        <w:spacing w:line="340" w:lineRule="exact"/>
        <w:ind w:firstLine="840" w:firstLineChars="400"/>
        <w:rPr>
          <w:rFonts w:ascii="仿宋" w:hAnsi="仿宋" w:eastAsia="仿宋" w:cs="仿宋"/>
          <w:color w:val="auto"/>
        </w:rPr>
      </w:pPr>
    </w:p>
    <w:p w14:paraId="7C98BDB2">
      <w:pPr>
        <w:spacing w:line="340" w:lineRule="exact"/>
        <w:ind w:firstLine="840" w:firstLineChars="400"/>
        <w:rPr>
          <w:rFonts w:ascii="仿宋" w:hAnsi="仿宋" w:eastAsia="仿宋" w:cs="仿宋"/>
          <w:color w:val="auto"/>
        </w:rPr>
      </w:pPr>
    </w:p>
    <w:p w14:paraId="5A254EC5">
      <w:pPr>
        <w:spacing w:line="480" w:lineRule="auto"/>
        <w:jc w:val="right"/>
        <w:rPr>
          <w:rFonts w:ascii="仿宋" w:hAnsi="仿宋" w:eastAsia="仿宋"/>
          <w:color w:val="auto"/>
          <w:sz w:val="24"/>
          <w:szCs w:val="24"/>
        </w:rPr>
      </w:pPr>
      <w:r>
        <w:rPr>
          <w:rFonts w:hint="eastAsia" w:ascii="仿宋" w:hAnsi="仿宋" w:eastAsia="仿宋"/>
          <w:color w:val="auto"/>
          <w:sz w:val="24"/>
          <w:szCs w:val="24"/>
        </w:rPr>
        <w:t>投标人全称（电子签章）：___________</w:t>
      </w:r>
    </w:p>
    <w:p w14:paraId="65928C5B">
      <w:pPr>
        <w:spacing w:line="360" w:lineRule="auto"/>
        <w:jc w:val="right"/>
        <w:rPr>
          <w:rFonts w:hint="eastAsia" w:ascii="仿宋" w:hAnsi="仿宋" w:eastAsia="仿宋"/>
          <w:color w:val="auto"/>
          <w:sz w:val="24"/>
          <w:szCs w:val="24"/>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rPr>
        <w:t>日  期：_______年_______月_______日</w:t>
      </w:r>
    </w:p>
    <w:p w14:paraId="4459A2B4">
      <w:pPr>
        <w:pStyle w:val="4"/>
        <w:jc w:val="center"/>
        <w:rPr>
          <w:rFonts w:ascii="仿宋" w:hAnsi="仿宋" w:eastAsia="仿宋"/>
          <w:b/>
          <w:bCs/>
          <w:color w:val="auto"/>
          <w:sz w:val="32"/>
          <w:szCs w:val="32"/>
        </w:rPr>
      </w:pPr>
      <w:r>
        <w:rPr>
          <w:rFonts w:hint="eastAsia" w:ascii="仿宋" w:hAnsi="仿宋" w:eastAsia="仿宋"/>
          <w:b/>
          <w:bCs/>
          <w:color w:val="auto"/>
          <w:sz w:val="32"/>
          <w:szCs w:val="32"/>
          <w:lang w:val="en-US" w:eastAsia="zh-CN"/>
        </w:rPr>
        <w:t>七</w:t>
      </w:r>
      <w:r>
        <w:rPr>
          <w:rFonts w:hint="eastAsia" w:ascii="仿宋" w:hAnsi="仿宋" w:eastAsia="仿宋"/>
          <w:b/>
          <w:bCs/>
          <w:color w:val="auto"/>
          <w:sz w:val="32"/>
          <w:szCs w:val="32"/>
        </w:rPr>
        <w:t>、技术</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服务</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偏离表</w:t>
      </w:r>
    </w:p>
    <w:tbl>
      <w:tblPr>
        <w:tblStyle w:val="51"/>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595"/>
        <w:gridCol w:w="2551"/>
        <w:gridCol w:w="2126"/>
      </w:tblGrid>
      <w:tr w14:paraId="2B8A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6DEF9CB9">
            <w:pPr>
              <w:pStyle w:val="26"/>
              <w:spacing w:line="400" w:lineRule="atLeast"/>
              <w:jc w:val="center"/>
              <w:rPr>
                <w:rFonts w:ascii="仿宋" w:hAnsi="仿宋" w:eastAsia="仿宋"/>
                <w:color w:val="auto"/>
                <w:szCs w:val="24"/>
              </w:rPr>
            </w:pPr>
            <w:r>
              <w:rPr>
                <w:rFonts w:hint="eastAsia" w:ascii="仿宋" w:hAnsi="仿宋" w:eastAsia="仿宋"/>
                <w:color w:val="auto"/>
                <w:szCs w:val="24"/>
              </w:rPr>
              <w:t>内容</w:t>
            </w:r>
          </w:p>
        </w:tc>
        <w:tc>
          <w:tcPr>
            <w:tcW w:w="2595" w:type="dxa"/>
            <w:vAlign w:val="center"/>
          </w:tcPr>
          <w:p w14:paraId="237391D6">
            <w:pPr>
              <w:pStyle w:val="26"/>
              <w:spacing w:line="400" w:lineRule="atLeast"/>
              <w:jc w:val="center"/>
              <w:rPr>
                <w:rFonts w:ascii="仿宋" w:hAnsi="仿宋" w:eastAsia="仿宋"/>
                <w:color w:val="auto"/>
                <w:szCs w:val="24"/>
              </w:rPr>
            </w:pPr>
            <w:r>
              <w:rPr>
                <w:rFonts w:hint="eastAsia" w:ascii="仿宋" w:hAnsi="仿宋" w:eastAsia="仿宋"/>
                <w:color w:val="auto"/>
                <w:szCs w:val="24"/>
              </w:rPr>
              <w:t>招标文件</w:t>
            </w:r>
          </w:p>
          <w:p w14:paraId="46EECCD7">
            <w:pPr>
              <w:pStyle w:val="26"/>
              <w:spacing w:line="400" w:lineRule="atLeast"/>
              <w:jc w:val="center"/>
              <w:rPr>
                <w:rFonts w:ascii="仿宋" w:hAnsi="仿宋" w:eastAsia="仿宋"/>
                <w:color w:val="auto"/>
                <w:szCs w:val="24"/>
              </w:rPr>
            </w:pPr>
            <w:r>
              <w:rPr>
                <w:rFonts w:hint="eastAsia" w:ascii="仿宋" w:hAnsi="仿宋" w:eastAsia="仿宋"/>
                <w:color w:val="auto"/>
                <w:szCs w:val="24"/>
              </w:rPr>
              <w:t>规范要求</w:t>
            </w:r>
          </w:p>
        </w:tc>
        <w:tc>
          <w:tcPr>
            <w:tcW w:w="2551" w:type="dxa"/>
            <w:vAlign w:val="center"/>
          </w:tcPr>
          <w:p w14:paraId="60382965">
            <w:pPr>
              <w:pStyle w:val="26"/>
              <w:spacing w:line="400" w:lineRule="atLeast"/>
              <w:jc w:val="center"/>
              <w:rPr>
                <w:rFonts w:ascii="仿宋" w:hAnsi="仿宋" w:eastAsia="仿宋"/>
                <w:color w:val="auto"/>
                <w:szCs w:val="24"/>
              </w:rPr>
            </w:pPr>
            <w:r>
              <w:rPr>
                <w:rFonts w:hint="eastAsia" w:ascii="仿宋" w:hAnsi="仿宋" w:eastAsia="仿宋"/>
                <w:color w:val="auto"/>
                <w:szCs w:val="24"/>
              </w:rPr>
              <w:t>投标文件</w:t>
            </w:r>
          </w:p>
          <w:p w14:paraId="4BC2158C">
            <w:pPr>
              <w:pStyle w:val="26"/>
              <w:spacing w:line="400" w:lineRule="atLeast"/>
              <w:jc w:val="center"/>
              <w:rPr>
                <w:rFonts w:ascii="仿宋" w:hAnsi="仿宋" w:eastAsia="仿宋"/>
                <w:color w:val="auto"/>
                <w:szCs w:val="24"/>
              </w:rPr>
            </w:pPr>
            <w:r>
              <w:rPr>
                <w:rFonts w:hint="eastAsia" w:ascii="仿宋" w:hAnsi="仿宋" w:eastAsia="仿宋"/>
                <w:color w:val="auto"/>
                <w:szCs w:val="24"/>
              </w:rPr>
              <w:t>对应规范</w:t>
            </w:r>
          </w:p>
        </w:tc>
        <w:tc>
          <w:tcPr>
            <w:tcW w:w="2126" w:type="dxa"/>
            <w:vAlign w:val="center"/>
          </w:tcPr>
          <w:p w14:paraId="09D67994">
            <w:pPr>
              <w:pStyle w:val="26"/>
              <w:spacing w:line="400" w:lineRule="atLeast"/>
              <w:jc w:val="center"/>
              <w:rPr>
                <w:rFonts w:ascii="仿宋" w:hAnsi="仿宋" w:eastAsia="仿宋"/>
                <w:color w:val="auto"/>
                <w:szCs w:val="24"/>
              </w:rPr>
            </w:pPr>
            <w:r>
              <w:rPr>
                <w:rFonts w:hint="eastAsia" w:ascii="仿宋" w:hAnsi="仿宋" w:eastAsia="仿宋"/>
                <w:color w:val="auto"/>
                <w:szCs w:val="24"/>
              </w:rPr>
              <w:t xml:space="preserve"> 偏离情况</w:t>
            </w:r>
          </w:p>
        </w:tc>
      </w:tr>
      <w:tr w14:paraId="4465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5270882">
            <w:pPr>
              <w:pStyle w:val="26"/>
              <w:spacing w:line="400" w:lineRule="atLeast"/>
              <w:jc w:val="center"/>
              <w:rPr>
                <w:rFonts w:ascii="仿宋" w:hAnsi="仿宋" w:eastAsia="仿宋"/>
                <w:color w:val="auto"/>
                <w:szCs w:val="24"/>
              </w:rPr>
            </w:pPr>
          </w:p>
        </w:tc>
        <w:tc>
          <w:tcPr>
            <w:tcW w:w="2595" w:type="dxa"/>
            <w:vAlign w:val="center"/>
          </w:tcPr>
          <w:p w14:paraId="54DA5114">
            <w:pPr>
              <w:pStyle w:val="26"/>
              <w:spacing w:line="400" w:lineRule="atLeast"/>
              <w:jc w:val="center"/>
              <w:rPr>
                <w:rFonts w:ascii="仿宋" w:hAnsi="仿宋" w:eastAsia="仿宋"/>
                <w:color w:val="auto"/>
                <w:szCs w:val="24"/>
              </w:rPr>
            </w:pPr>
          </w:p>
        </w:tc>
        <w:tc>
          <w:tcPr>
            <w:tcW w:w="2551" w:type="dxa"/>
            <w:vAlign w:val="center"/>
          </w:tcPr>
          <w:p w14:paraId="4EC29241">
            <w:pPr>
              <w:pStyle w:val="26"/>
              <w:spacing w:line="400" w:lineRule="atLeast"/>
              <w:jc w:val="center"/>
              <w:rPr>
                <w:rFonts w:ascii="仿宋" w:hAnsi="仿宋" w:eastAsia="仿宋"/>
                <w:color w:val="auto"/>
                <w:szCs w:val="24"/>
              </w:rPr>
            </w:pPr>
          </w:p>
        </w:tc>
        <w:tc>
          <w:tcPr>
            <w:tcW w:w="2126" w:type="dxa"/>
            <w:vAlign w:val="center"/>
          </w:tcPr>
          <w:p w14:paraId="0049248A">
            <w:pPr>
              <w:pStyle w:val="26"/>
              <w:spacing w:line="400" w:lineRule="atLeast"/>
              <w:jc w:val="center"/>
              <w:rPr>
                <w:rFonts w:ascii="仿宋" w:hAnsi="仿宋" w:eastAsia="仿宋"/>
                <w:color w:val="auto"/>
                <w:szCs w:val="24"/>
              </w:rPr>
            </w:pPr>
          </w:p>
        </w:tc>
      </w:tr>
      <w:tr w14:paraId="5DD5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6FD4928B">
            <w:pPr>
              <w:pStyle w:val="26"/>
              <w:spacing w:line="400" w:lineRule="atLeast"/>
              <w:jc w:val="center"/>
              <w:rPr>
                <w:rFonts w:ascii="仿宋" w:hAnsi="仿宋" w:eastAsia="仿宋"/>
                <w:color w:val="auto"/>
                <w:szCs w:val="24"/>
              </w:rPr>
            </w:pPr>
          </w:p>
        </w:tc>
        <w:tc>
          <w:tcPr>
            <w:tcW w:w="2595" w:type="dxa"/>
            <w:vAlign w:val="center"/>
          </w:tcPr>
          <w:p w14:paraId="29804A50">
            <w:pPr>
              <w:pStyle w:val="26"/>
              <w:spacing w:line="400" w:lineRule="atLeast"/>
              <w:jc w:val="center"/>
              <w:rPr>
                <w:rFonts w:ascii="仿宋" w:hAnsi="仿宋" w:eastAsia="仿宋"/>
                <w:color w:val="auto"/>
                <w:szCs w:val="24"/>
              </w:rPr>
            </w:pPr>
          </w:p>
        </w:tc>
        <w:tc>
          <w:tcPr>
            <w:tcW w:w="2551" w:type="dxa"/>
            <w:vAlign w:val="center"/>
          </w:tcPr>
          <w:p w14:paraId="7BD98C0B">
            <w:pPr>
              <w:pStyle w:val="26"/>
              <w:spacing w:line="400" w:lineRule="atLeast"/>
              <w:jc w:val="center"/>
              <w:rPr>
                <w:rFonts w:ascii="仿宋" w:hAnsi="仿宋" w:eastAsia="仿宋"/>
                <w:color w:val="auto"/>
                <w:szCs w:val="24"/>
              </w:rPr>
            </w:pPr>
          </w:p>
        </w:tc>
        <w:tc>
          <w:tcPr>
            <w:tcW w:w="2126" w:type="dxa"/>
            <w:vAlign w:val="center"/>
          </w:tcPr>
          <w:p w14:paraId="4372069B">
            <w:pPr>
              <w:pStyle w:val="26"/>
              <w:spacing w:line="400" w:lineRule="atLeast"/>
              <w:jc w:val="center"/>
              <w:rPr>
                <w:rFonts w:ascii="仿宋" w:hAnsi="仿宋" w:eastAsia="仿宋"/>
                <w:color w:val="auto"/>
                <w:szCs w:val="24"/>
              </w:rPr>
            </w:pPr>
          </w:p>
        </w:tc>
      </w:tr>
      <w:tr w14:paraId="0A04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70BAD678">
            <w:pPr>
              <w:pStyle w:val="26"/>
              <w:spacing w:line="400" w:lineRule="atLeast"/>
              <w:jc w:val="center"/>
              <w:rPr>
                <w:rFonts w:ascii="仿宋" w:hAnsi="仿宋" w:eastAsia="仿宋"/>
                <w:color w:val="auto"/>
                <w:szCs w:val="24"/>
              </w:rPr>
            </w:pPr>
          </w:p>
        </w:tc>
        <w:tc>
          <w:tcPr>
            <w:tcW w:w="2595" w:type="dxa"/>
            <w:vAlign w:val="center"/>
          </w:tcPr>
          <w:p w14:paraId="074DD39F">
            <w:pPr>
              <w:pStyle w:val="26"/>
              <w:spacing w:line="400" w:lineRule="atLeast"/>
              <w:jc w:val="center"/>
              <w:rPr>
                <w:rFonts w:ascii="仿宋" w:hAnsi="仿宋" w:eastAsia="仿宋"/>
                <w:color w:val="auto"/>
                <w:szCs w:val="24"/>
              </w:rPr>
            </w:pPr>
          </w:p>
        </w:tc>
        <w:tc>
          <w:tcPr>
            <w:tcW w:w="2551" w:type="dxa"/>
            <w:vAlign w:val="center"/>
          </w:tcPr>
          <w:p w14:paraId="42AD3089">
            <w:pPr>
              <w:pStyle w:val="26"/>
              <w:spacing w:line="400" w:lineRule="atLeast"/>
              <w:jc w:val="center"/>
              <w:rPr>
                <w:rFonts w:ascii="仿宋" w:hAnsi="仿宋" w:eastAsia="仿宋"/>
                <w:color w:val="auto"/>
                <w:szCs w:val="24"/>
              </w:rPr>
            </w:pPr>
          </w:p>
        </w:tc>
        <w:tc>
          <w:tcPr>
            <w:tcW w:w="2126" w:type="dxa"/>
            <w:vAlign w:val="center"/>
          </w:tcPr>
          <w:p w14:paraId="0C33A4AB">
            <w:pPr>
              <w:pStyle w:val="26"/>
              <w:spacing w:line="400" w:lineRule="atLeast"/>
              <w:jc w:val="center"/>
              <w:rPr>
                <w:rFonts w:ascii="仿宋" w:hAnsi="仿宋" w:eastAsia="仿宋"/>
                <w:color w:val="auto"/>
                <w:szCs w:val="24"/>
              </w:rPr>
            </w:pPr>
          </w:p>
        </w:tc>
      </w:tr>
      <w:tr w14:paraId="655A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4E2F51AA">
            <w:pPr>
              <w:pStyle w:val="26"/>
              <w:spacing w:line="400" w:lineRule="atLeast"/>
              <w:jc w:val="center"/>
              <w:rPr>
                <w:rFonts w:ascii="仿宋" w:hAnsi="仿宋" w:eastAsia="仿宋"/>
                <w:color w:val="auto"/>
                <w:szCs w:val="24"/>
              </w:rPr>
            </w:pPr>
          </w:p>
        </w:tc>
        <w:tc>
          <w:tcPr>
            <w:tcW w:w="2595" w:type="dxa"/>
            <w:vAlign w:val="center"/>
          </w:tcPr>
          <w:p w14:paraId="32C01F61">
            <w:pPr>
              <w:pStyle w:val="26"/>
              <w:spacing w:line="400" w:lineRule="atLeast"/>
              <w:jc w:val="center"/>
              <w:rPr>
                <w:rFonts w:ascii="仿宋" w:hAnsi="仿宋" w:eastAsia="仿宋"/>
                <w:color w:val="auto"/>
                <w:szCs w:val="24"/>
              </w:rPr>
            </w:pPr>
          </w:p>
        </w:tc>
        <w:tc>
          <w:tcPr>
            <w:tcW w:w="2551" w:type="dxa"/>
            <w:vAlign w:val="center"/>
          </w:tcPr>
          <w:p w14:paraId="4F6308B9">
            <w:pPr>
              <w:pStyle w:val="26"/>
              <w:spacing w:line="400" w:lineRule="atLeast"/>
              <w:jc w:val="center"/>
              <w:rPr>
                <w:rFonts w:ascii="仿宋" w:hAnsi="仿宋" w:eastAsia="仿宋"/>
                <w:color w:val="auto"/>
                <w:szCs w:val="24"/>
              </w:rPr>
            </w:pPr>
          </w:p>
        </w:tc>
        <w:tc>
          <w:tcPr>
            <w:tcW w:w="2126" w:type="dxa"/>
            <w:vAlign w:val="center"/>
          </w:tcPr>
          <w:p w14:paraId="0A57DC14">
            <w:pPr>
              <w:pStyle w:val="26"/>
              <w:spacing w:line="400" w:lineRule="atLeast"/>
              <w:jc w:val="center"/>
              <w:rPr>
                <w:rFonts w:ascii="仿宋" w:hAnsi="仿宋" w:eastAsia="仿宋"/>
                <w:color w:val="auto"/>
                <w:szCs w:val="24"/>
              </w:rPr>
            </w:pPr>
          </w:p>
        </w:tc>
      </w:tr>
      <w:tr w14:paraId="3F88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78CEB4E">
            <w:pPr>
              <w:pStyle w:val="26"/>
              <w:spacing w:line="400" w:lineRule="atLeast"/>
              <w:jc w:val="center"/>
              <w:rPr>
                <w:rFonts w:ascii="仿宋" w:hAnsi="仿宋" w:eastAsia="仿宋"/>
                <w:color w:val="auto"/>
                <w:szCs w:val="24"/>
              </w:rPr>
            </w:pPr>
          </w:p>
        </w:tc>
        <w:tc>
          <w:tcPr>
            <w:tcW w:w="2595" w:type="dxa"/>
            <w:vAlign w:val="center"/>
          </w:tcPr>
          <w:p w14:paraId="2DBC87C8">
            <w:pPr>
              <w:pStyle w:val="26"/>
              <w:spacing w:line="400" w:lineRule="atLeast"/>
              <w:jc w:val="center"/>
              <w:rPr>
                <w:rFonts w:ascii="仿宋" w:hAnsi="仿宋" w:eastAsia="仿宋"/>
                <w:color w:val="auto"/>
                <w:szCs w:val="24"/>
              </w:rPr>
            </w:pPr>
          </w:p>
        </w:tc>
        <w:tc>
          <w:tcPr>
            <w:tcW w:w="2551" w:type="dxa"/>
            <w:vAlign w:val="center"/>
          </w:tcPr>
          <w:p w14:paraId="3BABB858">
            <w:pPr>
              <w:pStyle w:val="26"/>
              <w:spacing w:line="400" w:lineRule="atLeast"/>
              <w:jc w:val="center"/>
              <w:rPr>
                <w:rFonts w:ascii="仿宋" w:hAnsi="仿宋" w:eastAsia="仿宋"/>
                <w:color w:val="auto"/>
                <w:szCs w:val="24"/>
              </w:rPr>
            </w:pPr>
          </w:p>
        </w:tc>
        <w:tc>
          <w:tcPr>
            <w:tcW w:w="2126" w:type="dxa"/>
            <w:vAlign w:val="center"/>
          </w:tcPr>
          <w:p w14:paraId="5C6FE43D">
            <w:pPr>
              <w:pStyle w:val="26"/>
              <w:spacing w:line="400" w:lineRule="atLeast"/>
              <w:jc w:val="center"/>
              <w:rPr>
                <w:rFonts w:ascii="仿宋" w:hAnsi="仿宋" w:eastAsia="仿宋"/>
                <w:color w:val="auto"/>
                <w:szCs w:val="24"/>
              </w:rPr>
            </w:pPr>
          </w:p>
        </w:tc>
      </w:tr>
      <w:tr w14:paraId="21AF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4F8F5FC1">
            <w:pPr>
              <w:pStyle w:val="26"/>
              <w:spacing w:line="400" w:lineRule="atLeast"/>
              <w:jc w:val="center"/>
              <w:rPr>
                <w:rFonts w:ascii="仿宋" w:hAnsi="仿宋" w:eastAsia="仿宋"/>
                <w:color w:val="auto"/>
                <w:szCs w:val="24"/>
              </w:rPr>
            </w:pPr>
          </w:p>
        </w:tc>
        <w:tc>
          <w:tcPr>
            <w:tcW w:w="2595" w:type="dxa"/>
            <w:vAlign w:val="center"/>
          </w:tcPr>
          <w:p w14:paraId="6F7FA4AA">
            <w:pPr>
              <w:pStyle w:val="26"/>
              <w:spacing w:line="400" w:lineRule="atLeast"/>
              <w:jc w:val="center"/>
              <w:rPr>
                <w:rFonts w:ascii="仿宋" w:hAnsi="仿宋" w:eastAsia="仿宋"/>
                <w:color w:val="auto"/>
                <w:szCs w:val="24"/>
              </w:rPr>
            </w:pPr>
          </w:p>
        </w:tc>
        <w:tc>
          <w:tcPr>
            <w:tcW w:w="2551" w:type="dxa"/>
            <w:vAlign w:val="center"/>
          </w:tcPr>
          <w:p w14:paraId="0AE089E6">
            <w:pPr>
              <w:pStyle w:val="26"/>
              <w:spacing w:line="400" w:lineRule="atLeast"/>
              <w:jc w:val="center"/>
              <w:rPr>
                <w:rFonts w:ascii="仿宋" w:hAnsi="仿宋" w:eastAsia="仿宋"/>
                <w:color w:val="auto"/>
                <w:szCs w:val="24"/>
              </w:rPr>
            </w:pPr>
          </w:p>
        </w:tc>
        <w:tc>
          <w:tcPr>
            <w:tcW w:w="2126" w:type="dxa"/>
            <w:vAlign w:val="center"/>
          </w:tcPr>
          <w:p w14:paraId="385AA3F6">
            <w:pPr>
              <w:pStyle w:val="26"/>
              <w:spacing w:line="400" w:lineRule="atLeast"/>
              <w:jc w:val="center"/>
              <w:rPr>
                <w:rFonts w:ascii="仿宋" w:hAnsi="仿宋" w:eastAsia="仿宋"/>
                <w:color w:val="auto"/>
                <w:szCs w:val="24"/>
              </w:rPr>
            </w:pPr>
          </w:p>
        </w:tc>
      </w:tr>
      <w:tr w14:paraId="6AAB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461A23A6">
            <w:pPr>
              <w:pStyle w:val="26"/>
              <w:spacing w:line="400" w:lineRule="atLeast"/>
              <w:jc w:val="center"/>
              <w:rPr>
                <w:rFonts w:ascii="仿宋" w:hAnsi="仿宋" w:eastAsia="仿宋"/>
                <w:color w:val="auto"/>
                <w:szCs w:val="24"/>
              </w:rPr>
            </w:pPr>
          </w:p>
        </w:tc>
        <w:tc>
          <w:tcPr>
            <w:tcW w:w="2595" w:type="dxa"/>
            <w:vAlign w:val="center"/>
          </w:tcPr>
          <w:p w14:paraId="3C8A7429">
            <w:pPr>
              <w:pStyle w:val="26"/>
              <w:spacing w:line="400" w:lineRule="atLeast"/>
              <w:jc w:val="center"/>
              <w:rPr>
                <w:rFonts w:ascii="仿宋" w:hAnsi="仿宋" w:eastAsia="仿宋"/>
                <w:color w:val="auto"/>
                <w:szCs w:val="24"/>
              </w:rPr>
            </w:pPr>
          </w:p>
        </w:tc>
        <w:tc>
          <w:tcPr>
            <w:tcW w:w="2551" w:type="dxa"/>
            <w:vAlign w:val="center"/>
          </w:tcPr>
          <w:p w14:paraId="181E9E30">
            <w:pPr>
              <w:pStyle w:val="26"/>
              <w:spacing w:line="400" w:lineRule="atLeast"/>
              <w:jc w:val="center"/>
              <w:rPr>
                <w:rFonts w:ascii="仿宋" w:hAnsi="仿宋" w:eastAsia="仿宋"/>
                <w:color w:val="auto"/>
                <w:szCs w:val="24"/>
              </w:rPr>
            </w:pPr>
          </w:p>
        </w:tc>
        <w:tc>
          <w:tcPr>
            <w:tcW w:w="2126" w:type="dxa"/>
            <w:vAlign w:val="center"/>
          </w:tcPr>
          <w:p w14:paraId="74EAB499">
            <w:pPr>
              <w:pStyle w:val="26"/>
              <w:spacing w:line="400" w:lineRule="atLeast"/>
              <w:jc w:val="center"/>
              <w:rPr>
                <w:rFonts w:ascii="仿宋" w:hAnsi="仿宋" w:eastAsia="仿宋"/>
                <w:color w:val="auto"/>
                <w:szCs w:val="24"/>
              </w:rPr>
            </w:pPr>
          </w:p>
        </w:tc>
      </w:tr>
      <w:tr w14:paraId="0D54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101E6D5">
            <w:pPr>
              <w:pStyle w:val="26"/>
              <w:spacing w:line="400" w:lineRule="atLeast"/>
              <w:jc w:val="center"/>
              <w:rPr>
                <w:rFonts w:ascii="仿宋" w:hAnsi="仿宋" w:eastAsia="仿宋"/>
                <w:color w:val="auto"/>
                <w:szCs w:val="24"/>
              </w:rPr>
            </w:pPr>
          </w:p>
        </w:tc>
        <w:tc>
          <w:tcPr>
            <w:tcW w:w="2595" w:type="dxa"/>
            <w:vAlign w:val="center"/>
          </w:tcPr>
          <w:p w14:paraId="3BE10BF7">
            <w:pPr>
              <w:pStyle w:val="26"/>
              <w:spacing w:line="400" w:lineRule="atLeast"/>
              <w:jc w:val="center"/>
              <w:rPr>
                <w:rFonts w:ascii="仿宋" w:hAnsi="仿宋" w:eastAsia="仿宋"/>
                <w:color w:val="auto"/>
                <w:szCs w:val="24"/>
              </w:rPr>
            </w:pPr>
          </w:p>
        </w:tc>
        <w:tc>
          <w:tcPr>
            <w:tcW w:w="2551" w:type="dxa"/>
            <w:vAlign w:val="center"/>
          </w:tcPr>
          <w:p w14:paraId="23EF8BA6">
            <w:pPr>
              <w:pStyle w:val="26"/>
              <w:spacing w:line="400" w:lineRule="atLeast"/>
              <w:jc w:val="center"/>
              <w:rPr>
                <w:rFonts w:ascii="仿宋" w:hAnsi="仿宋" w:eastAsia="仿宋"/>
                <w:color w:val="auto"/>
                <w:szCs w:val="24"/>
              </w:rPr>
            </w:pPr>
          </w:p>
        </w:tc>
        <w:tc>
          <w:tcPr>
            <w:tcW w:w="2126" w:type="dxa"/>
            <w:vAlign w:val="center"/>
          </w:tcPr>
          <w:p w14:paraId="46949C59">
            <w:pPr>
              <w:pStyle w:val="26"/>
              <w:spacing w:line="400" w:lineRule="atLeast"/>
              <w:jc w:val="center"/>
              <w:rPr>
                <w:rFonts w:ascii="仿宋" w:hAnsi="仿宋" w:eastAsia="仿宋"/>
                <w:color w:val="auto"/>
                <w:szCs w:val="24"/>
              </w:rPr>
            </w:pPr>
          </w:p>
        </w:tc>
      </w:tr>
      <w:tr w14:paraId="39D9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489B9BE5">
            <w:pPr>
              <w:pStyle w:val="26"/>
              <w:spacing w:line="400" w:lineRule="atLeast"/>
              <w:jc w:val="center"/>
              <w:rPr>
                <w:rFonts w:ascii="仿宋" w:hAnsi="仿宋" w:eastAsia="仿宋"/>
                <w:color w:val="auto"/>
                <w:szCs w:val="24"/>
              </w:rPr>
            </w:pPr>
          </w:p>
        </w:tc>
        <w:tc>
          <w:tcPr>
            <w:tcW w:w="2595" w:type="dxa"/>
            <w:vAlign w:val="center"/>
          </w:tcPr>
          <w:p w14:paraId="1BAB34B5">
            <w:pPr>
              <w:pStyle w:val="26"/>
              <w:spacing w:line="400" w:lineRule="atLeast"/>
              <w:jc w:val="center"/>
              <w:rPr>
                <w:rFonts w:ascii="仿宋" w:hAnsi="仿宋" w:eastAsia="仿宋"/>
                <w:color w:val="auto"/>
                <w:szCs w:val="24"/>
              </w:rPr>
            </w:pPr>
          </w:p>
        </w:tc>
        <w:tc>
          <w:tcPr>
            <w:tcW w:w="2551" w:type="dxa"/>
            <w:vAlign w:val="center"/>
          </w:tcPr>
          <w:p w14:paraId="4571273F">
            <w:pPr>
              <w:pStyle w:val="26"/>
              <w:spacing w:line="400" w:lineRule="atLeast"/>
              <w:jc w:val="center"/>
              <w:rPr>
                <w:rFonts w:ascii="仿宋" w:hAnsi="仿宋" w:eastAsia="仿宋"/>
                <w:color w:val="auto"/>
                <w:szCs w:val="24"/>
              </w:rPr>
            </w:pPr>
          </w:p>
        </w:tc>
        <w:tc>
          <w:tcPr>
            <w:tcW w:w="2126" w:type="dxa"/>
            <w:vAlign w:val="center"/>
          </w:tcPr>
          <w:p w14:paraId="3B9B3180">
            <w:pPr>
              <w:pStyle w:val="26"/>
              <w:spacing w:line="400" w:lineRule="atLeast"/>
              <w:jc w:val="center"/>
              <w:rPr>
                <w:rFonts w:ascii="仿宋" w:hAnsi="仿宋" w:eastAsia="仿宋"/>
                <w:color w:val="auto"/>
                <w:szCs w:val="24"/>
              </w:rPr>
            </w:pPr>
          </w:p>
        </w:tc>
      </w:tr>
      <w:tr w14:paraId="4CC9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A97EAD6">
            <w:pPr>
              <w:pStyle w:val="26"/>
              <w:spacing w:line="400" w:lineRule="atLeast"/>
              <w:jc w:val="center"/>
              <w:rPr>
                <w:rFonts w:ascii="仿宋" w:hAnsi="仿宋" w:eastAsia="仿宋"/>
                <w:color w:val="auto"/>
                <w:szCs w:val="24"/>
              </w:rPr>
            </w:pPr>
          </w:p>
        </w:tc>
        <w:tc>
          <w:tcPr>
            <w:tcW w:w="2595" w:type="dxa"/>
            <w:vAlign w:val="center"/>
          </w:tcPr>
          <w:p w14:paraId="77637B63">
            <w:pPr>
              <w:pStyle w:val="26"/>
              <w:spacing w:line="400" w:lineRule="atLeast"/>
              <w:jc w:val="center"/>
              <w:rPr>
                <w:rFonts w:ascii="仿宋" w:hAnsi="仿宋" w:eastAsia="仿宋"/>
                <w:color w:val="auto"/>
                <w:szCs w:val="24"/>
              </w:rPr>
            </w:pPr>
          </w:p>
        </w:tc>
        <w:tc>
          <w:tcPr>
            <w:tcW w:w="2551" w:type="dxa"/>
            <w:vAlign w:val="center"/>
          </w:tcPr>
          <w:p w14:paraId="2A5B2C78">
            <w:pPr>
              <w:pStyle w:val="26"/>
              <w:spacing w:line="400" w:lineRule="atLeast"/>
              <w:jc w:val="center"/>
              <w:rPr>
                <w:rFonts w:ascii="仿宋" w:hAnsi="仿宋" w:eastAsia="仿宋"/>
                <w:color w:val="auto"/>
                <w:szCs w:val="24"/>
              </w:rPr>
            </w:pPr>
          </w:p>
        </w:tc>
        <w:tc>
          <w:tcPr>
            <w:tcW w:w="2126" w:type="dxa"/>
            <w:vAlign w:val="center"/>
          </w:tcPr>
          <w:p w14:paraId="244E633A">
            <w:pPr>
              <w:pStyle w:val="26"/>
              <w:spacing w:line="400" w:lineRule="atLeast"/>
              <w:jc w:val="center"/>
              <w:rPr>
                <w:rFonts w:ascii="仿宋" w:hAnsi="仿宋" w:eastAsia="仿宋"/>
                <w:color w:val="auto"/>
                <w:szCs w:val="24"/>
              </w:rPr>
            </w:pPr>
          </w:p>
        </w:tc>
      </w:tr>
    </w:tbl>
    <w:p w14:paraId="467A896E">
      <w:pPr>
        <w:pStyle w:val="26"/>
        <w:spacing w:line="400" w:lineRule="exact"/>
        <w:rPr>
          <w:rFonts w:ascii="仿宋" w:hAnsi="仿宋" w:eastAsia="仿宋"/>
          <w:color w:val="auto"/>
          <w:szCs w:val="24"/>
        </w:rPr>
      </w:pPr>
      <w:r>
        <w:rPr>
          <w:rFonts w:hint="eastAsia" w:ascii="仿宋" w:hAnsi="仿宋" w:eastAsia="仿宋"/>
          <w:color w:val="auto"/>
          <w:szCs w:val="24"/>
        </w:rPr>
        <w:t>注：</w:t>
      </w:r>
    </w:p>
    <w:p w14:paraId="3319538D">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1293C9A">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2、投标人递交的技术规格书中必须真实逐条列明，否则由投标人自行承担相关风险。</w:t>
      </w:r>
    </w:p>
    <w:p w14:paraId="65CA48C4">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3、此表在不改变格式的情况下可自行制作。</w:t>
      </w:r>
    </w:p>
    <w:p w14:paraId="180E7B1E">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4、此表置于此标书中。</w:t>
      </w:r>
    </w:p>
    <w:p w14:paraId="5666E561">
      <w:pPr>
        <w:spacing w:line="400" w:lineRule="exact"/>
        <w:jc w:val="right"/>
        <w:rPr>
          <w:rFonts w:ascii="仿宋" w:hAnsi="仿宋" w:eastAsia="仿宋"/>
          <w:color w:val="auto"/>
          <w:sz w:val="28"/>
        </w:rPr>
      </w:pPr>
    </w:p>
    <w:p w14:paraId="25880865">
      <w:pPr>
        <w:spacing w:line="480" w:lineRule="auto"/>
        <w:jc w:val="right"/>
        <w:rPr>
          <w:rFonts w:ascii="仿宋" w:hAnsi="仿宋" w:eastAsia="仿宋"/>
          <w:color w:val="auto"/>
          <w:sz w:val="24"/>
          <w:szCs w:val="24"/>
          <w:u w:val="single"/>
        </w:rPr>
      </w:pPr>
      <w:r>
        <w:rPr>
          <w:rFonts w:hint="eastAsia" w:ascii="仿宋" w:hAnsi="仿宋" w:eastAsia="仿宋"/>
          <w:color w:val="auto"/>
          <w:sz w:val="24"/>
          <w:szCs w:val="24"/>
        </w:rPr>
        <w:t>投标人全称（电子签章）：______________</w:t>
      </w:r>
    </w:p>
    <w:p w14:paraId="513CBEA5">
      <w:pPr>
        <w:spacing w:line="360" w:lineRule="auto"/>
        <w:jc w:val="right"/>
        <w:rPr>
          <w:rFonts w:hint="eastAsia" w:ascii="仿宋" w:hAnsi="仿宋" w:eastAsia="仿宋"/>
          <w:color w:val="auto"/>
          <w:sz w:val="24"/>
          <w:szCs w:val="24"/>
        </w:rPr>
      </w:pPr>
      <w:r>
        <w:rPr>
          <w:rFonts w:hint="eastAsia" w:ascii="仿宋" w:hAnsi="仿宋" w:eastAsia="仿宋"/>
          <w:color w:val="auto"/>
          <w:sz w:val="24"/>
          <w:szCs w:val="24"/>
        </w:rPr>
        <w:t>日期：_______年_____月_____日</w:t>
      </w:r>
    </w:p>
    <w:p w14:paraId="0D5882FA">
      <w:pPr>
        <w:spacing w:line="360" w:lineRule="auto"/>
        <w:rPr>
          <w:rFonts w:hint="eastAsia" w:ascii="仿宋" w:hAnsi="仿宋" w:eastAsia="仿宋"/>
          <w:color w:val="auto"/>
          <w:sz w:val="24"/>
          <w:szCs w:val="24"/>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1EC692AE">
      <w:pPr>
        <w:pStyle w:val="60"/>
        <w:numPr>
          <w:ilvl w:val="0"/>
          <w:numId w:val="0"/>
        </w:numPr>
        <w:ind w:left="0" w:leftChars="0" w:firstLine="0" w:firstLineChars="0"/>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八、投标人需要说明的其他文件和说明（格式自拟）</w:t>
      </w:r>
    </w:p>
    <w:p w14:paraId="5D60F28E">
      <w:pPr>
        <w:spacing w:line="360" w:lineRule="auto"/>
        <w:rPr>
          <w:rFonts w:hint="eastAsia" w:ascii="仿宋" w:hAnsi="仿宋" w:eastAsia="仿宋"/>
          <w:color w:val="auto"/>
          <w:sz w:val="24"/>
          <w:szCs w:val="24"/>
        </w:rPr>
      </w:pPr>
    </w:p>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2D30">
    <w:pPr>
      <w:pStyle w:val="31"/>
      <w:ind w:firstLine="360"/>
      <w:jc w:val="center"/>
    </w:pPr>
    <w:sdt>
      <w:sdtPr>
        <w:id w:val="1020118566"/>
      </w:sdtPr>
      <w:sdtContent/>
    </w:sdt>
  </w:p>
  <w:p w14:paraId="07E85DA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2011">
    <w:pPr>
      <w:pStyle w:val="31"/>
      <w:ind w:firstLine="360"/>
      <w:jc w:val="center"/>
    </w:pPr>
    <w:sdt>
      <w:sdtPr>
        <w:id w:val="147463000"/>
      </w:sdtPr>
      <w:sdtContent/>
    </w:sdt>
  </w:p>
  <w:p w14:paraId="39E45D8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2D02">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5DF2C">
                          <w:pPr>
                            <w:pStyle w:val="3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85DF2C">
                    <w:pPr>
                      <w:pStyle w:val="3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C0342">
    <w:pPr>
      <w:pStyle w:val="31"/>
      <w:framePr w:wrap="around" w:vAnchor="text" w:hAnchor="margin" w:xAlign="center" w:y="1"/>
      <w:rPr>
        <w:rStyle w:val="55"/>
      </w:rPr>
    </w:pPr>
    <w:r>
      <w:fldChar w:fldCharType="begin"/>
    </w:r>
    <w:r>
      <w:rPr>
        <w:rStyle w:val="55"/>
      </w:rPr>
      <w:instrText xml:space="preserve">PAGE  </w:instrText>
    </w:r>
    <w:r>
      <w:fldChar w:fldCharType="end"/>
    </w:r>
  </w:p>
  <w:p w14:paraId="6E8033CB">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4B5C">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145EB">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1145EB">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F518">
    <w:pPr>
      <w:pStyle w:val="3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29838">
                          <w:pPr>
                            <w:pStyle w:val="31"/>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829838">
                    <w:pPr>
                      <w:pStyle w:val="31"/>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7832">
    <w:pPr>
      <w:pStyle w:val="32"/>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57B0">
    <w:pPr>
      <w:pStyle w:val="32"/>
    </w:pPr>
    <w:r>
      <w:rPr>
        <w:rFonts w:hint="eastAsia" w:ascii="宋体" w:hAnsi="宋体" w:eastAsia="宋体" w:cs="宋体"/>
        <w:sz w:val="20"/>
        <w:szCs w:val="20"/>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63DE">
    <w:pPr>
      <w:pStyle w:val="32"/>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CC7D">
    <w:pPr>
      <w:pStyle w:val="32"/>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C6E9">
    <w:pPr>
      <w:pStyle w:val="32"/>
      <w:rPr>
        <w:rFonts w:hint="eastAsia" w:ascii="宋体" w:hAnsi="宋体" w:eastAsia="宋体" w:cs="宋体"/>
        <w:sz w:val="20"/>
        <w:szCs w:val="20"/>
        <w:lang w:eastAsia="zh-CN"/>
      </w:rPr>
    </w:pPr>
    <w:r>
      <w:rPr>
        <w:rFonts w:hint="eastAsia" w:ascii="宋体" w:hAnsi="宋体" w:eastAsia="宋体" w:cs="宋体"/>
        <w:sz w:val="20"/>
        <w:szCs w:val="20"/>
        <w:lang w:eastAsia="zh-CN"/>
      </w:rPr>
      <w:t>诸暨市宸佳工程管理有限公司招标文件</w:t>
    </w:r>
  </w:p>
  <w:p w14:paraId="28705B8D">
    <w:pPr>
      <w:pStyle w:val="3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3E57">
    <w:pPr>
      <w:pStyle w:val="32"/>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3"/>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2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6"/>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70"/>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0"/>
    <w:multiLevelType w:val="multilevel"/>
    <w:tmpl w:val="00000020"/>
    <w:lvl w:ilvl="0" w:tentative="0">
      <w:start w:val="1"/>
      <w:numFmt w:val="decimal"/>
      <w:pStyle w:val="258"/>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760F1C"/>
    <w:multiLevelType w:val="multilevel"/>
    <w:tmpl w:val="0A760F1C"/>
    <w:lvl w:ilvl="0" w:tentative="0">
      <w:start w:val="1"/>
      <w:numFmt w:val="decimal"/>
      <w:pStyle w:val="231"/>
      <w:suff w:val="space"/>
      <w:lvlText w:val="第%1章"/>
      <w:lvlJc w:val="center"/>
      <w:pPr>
        <w:ind w:left="0" w:firstLine="288"/>
      </w:pPr>
      <w:rPr>
        <w:rFonts w:hint="eastAsia" w:ascii="黑体" w:hAnsi="黑体" w:eastAsia="黑体"/>
        <w:sz w:val="36"/>
      </w:rPr>
    </w:lvl>
    <w:lvl w:ilvl="1" w:tentative="0">
      <w:start w:val="1"/>
      <w:numFmt w:val="decimal"/>
      <w:pStyle w:val="242"/>
      <w:suff w:val="space"/>
      <w:lvlText w:val="%1.%2"/>
      <w:lvlJc w:val="left"/>
      <w:pPr>
        <w:ind w:left="0" w:firstLine="0"/>
      </w:pPr>
      <w:rPr>
        <w:rFonts w:hint="eastAsia" w:ascii="黑体" w:hAnsi="黑体" w:eastAsia="黑体"/>
        <w:sz w:val="30"/>
      </w:rPr>
    </w:lvl>
    <w:lvl w:ilvl="2" w:tentative="0">
      <w:start w:val="1"/>
      <w:numFmt w:val="decimal"/>
      <w:pStyle w:val="224"/>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5"/>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3"/>
      <w:lvlText w:val="%1.%2.%3.%4.%5.%6.%7"/>
      <w:lvlJc w:val="left"/>
      <w:pPr>
        <w:ind w:left="0" w:firstLine="0"/>
      </w:pPr>
      <w:rPr>
        <w:rFonts w:hint="eastAsia"/>
      </w:rPr>
    </w:lvl>
    <w:lvl w:ilvl="7" w:tentative="0">
      <w:start w:val="1"/>
      <w:numFmt w:val="decimal"/>
      <w:pStyle w:val="237"/>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4798592B"/>
    <w:multiLevelType w:val="multilevel"/>
    <w:tmpl w:val="4798592B"/>
    <w:lvl w:ilvl="0" w:tentative="0">
      <w:start w:val="1"/>
      <w:numFmt w:val="decimal"/>
      <w:pStyle w:val="210"/>
      <w:lvlText w:val="%1、"/>
      <w:lvlJc w:val="left"/>
      <w:pPr>
        <w:tabs>
          <w:tab w:val="left" w:pos="360"/>
        </w:tabs>
        <w:ind w:left="360" w:hanging="360"/>
      </w:pPr>
      <w:rPr>
        <w:rFonts w:ascii="Times New Roman" w:hAnsi="Times New Roman" w:eastAsia="黑体" w:cs="Times New Roman"/>
      </w:rPr>
    </w:lvl>
    <w:lvl w:ilvl="1" w:tentative="0">
      <w:start w:val="2005"/>
      <w:numFmt w:val="decimal"/>
      <w:pStyle w:val="241"/>
      <w:lvlText w:val="%2年"/>
      <w:lvlJc w:val="left"/>
      <w:pPr>
        <w:tabs>
          <w:tab w:val="left" w:pos="1620"/>
        </w:tabs>
        <w:ind w:left="1620" w:hanging="1200"/>
      </w:pPr>
      <w:rPr>
        <w:rFonts w:hint="eastAsia"/>
      </w:rPr>
    </w:lvl>
    <w:lvl w:ilvl="2" w:tentative="0">
      <w:start w:val="1"/>
      <w:numFmt w:val="decimal"/>
      <w:pStyle w:val="212"/>
      <w:lvlText w:val="（%3）"/>
      <w:lvlJc w:val="left"/>
      <w:pPr>
        <w:tabs>
          <w:tab w:val="left" w:pos="1560"/>
        </w:tabs>
        <w:ind w:left="1560" w:hanging="720"/>
      </w:pPr>
      <w:rPr>
        <w:rFonts w:hint="eastAsia"/>
      </w:rPr>
    </w:lvl>
    <w:lvl w:ilvl="3" w:tentative="0">
      <w:start w:val="1"/>
      <w:numFmt w:val="decimal"/>
      <w:pStyle w:val="23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56743F"/>
    <w:multiLevelType w:val="multilevel"/>
    <w:tmpl w:val="6F56743F"/>
    <w:lvl w:ilvl="0" w:tentative="0">
      <w:start w:val="1"/>
      <w:numFmt w:val="decimalEnclosedCircle"/>
      <w:pStyle w:val="222"/>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0E0079F"/>
    <w:multiLevelType w:val="multilevel"/>
    <w:tmpl w:val="70E0079F"/>
    <w:lvl w:ilvl="0" w:tentative="0">
      <w:start w:val="4"/>
      <w:numFmt w:val="japaneseCounting"/>
      <w:pStyle w:val="193"/>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F4AFF"/>
    <w:multiLevelType w:val="multilevel"/>
    <w:tmpl w:val="766F4AFF"/>
    <w:lvl w:ilvl="0" w:tentative="0">
      <w:start w:val="1"/>
      <w:numFmt w:val="decimal"/>
      <w:pStyle w:val="214"/>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AF11CB"/>
    <w:rsid w:val="00000A87"/>
    <w:rsid w:val="000010DB"/>
    <w:rsid w:val="000017B7"/>
    <w:rsid w:val="00001A6B"/>
    <w:rsid w:val="00001C13"/>
    <w:rsid w:val="00002AE5"/>
    <w:rsid w:val="00003D4A"/>
    <w:rsid w:val="00004B12"/>
    <w:rsid w:val="00005205"/>
    <w:rsid w:val="000057AD"/>
    <w:rsid w:val="000070A7"/>
    <w:rsid w:val="00010510"/>
    <w:rsid w:val="00011012"/>
    <w:rsid w:val="000111E7"/>
    <w:rsid w:val="00011F13"/>
    <w:rsid w:val="000126CC"/>
    <w:rsid w:val="00012D78"/>
    <w:rsid w:val="0001475B"/>
    <w:rsid w:val="0001583E"/>
    <w:rsid w:val="00016671"/>
    <w:rsid w:val="00016978"/>
    <w:rsid w:val="00016B96"/>
    <w:rsid w:val="00017EBE"/>
    <w:rsid w:val="000206A2"/>
    <w:rsid w:val="00020C41"/>
    <w:rsid w:val="00021D48"/>
    <w:rsid w:val="00021F2F"/>
    <w:rsid w:val="0002281B"/>
    <w:rsid w:val="000229BF"/>
    <w:rsid w:val="0002311D"/>
    <w:rsid w:val="00023714"/>
    <w:rsid w:val="00023E4E"/>
    <w:rsid w:val="00023EE1"/>
    <w:rsid w:val="00024A08"/>
    <w:rsid w:val="000252A2"/>
    <w:rsid w:val="00026E5D"/>
    <w:rsid w:val="000274BE"/>
    <w:rsid w:val="000277F0"/>
    <w:rsid w:val="00027D27"/>
    <w:rsid w:val="0003006E"/>
    <w:rsid w:val="00030B3A"/>
    <w:rsid w:val="000322E0"/>
    <w:rsid w:val="0003328C"/>
    <w:rsid w:val="00033C44"/>
    <w:rsid w:val="0003636F"/>
    <w:rsid w:val="000363A7"/>
    <w:rsid w:val="00036B88"/>
    <w:rsid w:val="00036E0E"/>
    <w:rsid w:val="00037624"/>
    <w:rsid w:val="0003797B"/>
    <w:rsid w:val="00037FAB"/>
    <w:rsid w:val="000410C2"/>
    <w:rsid w:val="00041AEB"/>
    <w:rsid w:val="00042915"/>
    <w:rsid w:val="000433E8"/>
    <w:rsid w:val="000437D2"/>
    <w:rsid w:val="000449F0"/>
    <w:rsid w:val="00047DE4"/>
    <w:rsid w:val="00047F1D"/>
    <w:rsid w:val="00050046"/>
    <w:rsid w:val="00050676"/>
    <w:rsid w:val="00050E58"/>
    <w:rsid w:val="000511DF"/>
    <w:rsid w:val="00051893"/>
    <w:rsid w:val="00054D4F"/>
    <w:rsid w:val="00054D65"/>
    <w:rsid w:val="00054EEC"/>
    <w:rsid w:val="000550FA"/>
    <w:rsid w:val="000603AD"/>
    <w:rsid w:val="00060488"/>
    <w:rsid w:val="000608DA"/>
    <w:rsid w:val="00061801"/>
    <w:rsid w:val="00061C4E"/>
    <w:rsid w:val="000628A3"/>
    <w:rsid w:val="00063B85"/>
    <w:rsid w:val="00065A29"/>
    <w:rsid w:val="000663D9"/>
    <w:rsid w:val="00066961"/>
    <w:rsid w:val="00067198"/>
    <w:rsid w:val="00067DFE"/>
    <w:rsid w:val="000703C5"/>
    <w:rsid w:val="00070B19"/>
    <w:rsid w:val="00071222"/>
    <w:rsid w:val="00071A8D"/>
    <w:rsid w:val="00071F58"/>
    <w:rsid w:val="00072AAF"/>
    <w:rsid w:val="00072D23"/>
    <w:rsid w:val="000737B3"/>
    <w:rsid w:val="000746A5"/>
    <w:rsid w:val="000753A6"/>
    <w:rsid w:val="00076CC9"/>
    <w:rsid w:val="0007749A"/>
    <w:rsid w:val="00080A36"/>
    <w:rsid w:val="00082372"/>
    <w:rsid w:val="000829A4"/>
    <w:rsid w:val="00082B35"/>
    <w:rsid w:val="000830CB"/>
    <w:rsid w:val="00083D5C"/>
    <w:rsid w:val="000843A5"/>
    <w:rsid w:val="00084D37"/>
    <w:rsid w:val="000854C1"/>
    <w:rsid w:val="00086467"/>
    <w:rsid w:val="00090FB9"/>
    <w:rsid w:val="000926DC"/>
    <w:rsid w:val="00092C6B"/>
    <w:rsid w:val="00092D76"/>
    <w:rsid w:val="0009321E"/>
    <w:rsid w:val="0009326A"/>
    <w:rsid w:val="00095CD1"/>
    <w:rsid w:val="00096733"/>
    <w:rsid w:val="0009755E"/>
    <w:rsid w:val="00097714"/>
    <w:rsid w:val="00097AD8"/>
    <w:rsid w:val="000A05E5"/>
    <w:rsid w:val="000A0601"/>
    <w:rsid w:val="000A2314"/>
    <w:rsid w:val="000A24C7"/>
    <w:rsid w:val="000A2673"/>
    <w:rsid w:val="000A3127"/>
    <w:rsid w:val="000A35F8"/>
    <w:rsid w:val="000A3652"/>
    <w:rsid w:val="000A52F7"/>
    <w:rsid w:val="000A53AC"/>
    <w:rsid w:val="000A55B8"/>
    <w:rsid w:val="000A5D65"/>
    <w:rsid w:val="000A70F9"/>
    <w:rsid w:val="000A7966"/>
    <w:rsid w:val="000B068E"/>
    <w:rsid w:val="000B1670"/>
    <w:rsid w:val="000B17A9"/>
    <w:rsid w:val="000B17BA"/>
    <w:rsid w:val="000B29C5"/>
    <w:rsid w:val="000B41D9"/>
    <w:rsid w:val="000B461F"/>
    <w:rsid w:val="000B70C6"/>
    <w:rsid w:val="000B7537"/>
    <w:rsid w:val="000B7634"/>
    <w:rsid w:val="000B7A79"/>
    <w:rsid w:val="000C0B2B"/>
    <w:rsid w:val="000C135A"/>
    <w:rsid w:val="000C2B7F"/>
    <w:rsid w:val="000C33A3"/>
    <w:rsid w:val="000C528A"/>
    <w:rsid w:val="000C63B0"/>
    <w:rsid w:val="000C680E"/>
    <w:rsid w:val="000C6CB7"/>
    <w:rsid w:val="000C762A"/>
    <w:rsid w:val="000D148A"/>
    <w:rsid w:val="000D19AD"/>
    <w:rsid w:val="000D23FA"/>
    <w:rsid w:val="000D333F"/>
    <w:rsid w:val="000D39CA"/>
    <w:rsid w:val="000D429C"/>
    <w:rsid w:val="000D4525"/>
    <w:rsid w:val="000D5076"/>
    <w:rsid w:val="000D689C"/>
    <w:rsid w:val="000D76C1"/>
    <w:rsid w:val="000D7756"/>
    <w:rsid w:val="000E1B06"/>
    <w:rsid w:val="000E1F2C"/>
    <w:rsid w:val="000E2324"/>
    <w:rsid w:val="000E24C1"/>
    <w:rsid w:val="000E2E87"/>
    <w:rsid w:val="000E303A"/>
    <w:rsid w:val="000E3D1C"/>
    <w:rsid w:val="000E4541"/>
    <w:rsid w:val="000E5F95"/>
    <w:rsid w:val="000E62BE"/>
    <w:rsid w:val="000E678B"/>
    <w:rsid w:val="000E76F7"/>
    <w:rsid w:val="000E7BC7"/>
    <w:rsid w:val="000F158B"/>
    <w:rsid w:val="000F1709"/>
    <w:rsid w:val="000F1F43"/>
    <w:rsid w:val="000F22A6"/>
    <w:rsid w:val="000F2A4D"/>
    <w:rsid w:val="000F33ED"/>
    <w:rsid w:val="000F5EA9"/>
    <w:rsid w:val="000F6604"/>
    <w:rsid w:val="000F7608"/>
    <w:rsid w:val="000F7898"/>
    <w:rsid w:val="000F7EBD"/>
    <w:rsid w:val="00100019"/>
    <w:rsid w:val="001007EB"/>
    <w:rsid w:val="001014ED"/>
    <w:rsid w:val="0010164C"/>
    <w:rsid w:val="00101650"/>
    <w:rsid w:val="00103533"/>
    <w:rsid w:val="00103D3D"/>
    <w:rsid w:val="00104641"/>
    <w:rsid w:val="00104F2E"/>
    <w:rsid w:val="001050D0"/>
    <w:rsid w:val="001058F1"/>
    <w:rsid w:val="00106892"/>
    <w:rsid w:val="00106E94"/>
    <w:rsid w:val="00107501"/>
    <w:rsid w:val="00107765"/>
    <w:rsid w:val="00107B70"/>
    <w:rsid w:val="00107D77"/>
    <w:rsid w:val="0011198D"/>
    <w:rsid w:val="001128A4"/>
    <w:rsid w:val="00112D0F"/>
    <w:rsid w:val="00112D31"/>
    <w:rsid w:val="001139F8"/>
    <w:rsid w:val="0011404F"/>
    <w:rsid w:val="0011545B"/>
    <w:rsid w:val="001155F5"/>
    <w:rsid w:val="00116678"/>
    <w:rsid w:val="00116982"/>
    <w:rsid w:val="001172C3"/>
    <w:rsid w:val="00117624"/>
    <w:rsid w:val="00117799"/>
    <w:rsid w:val="0011784D"/>
    <w:rsid w:val="001200AA"/>
    <w:rsid w:val="00120B34"/>
    <w:rsid w:val="00123659"/>
    <w:rsid w:val="00123C8C"/>
    <w:rsid w:val="00125648"/>
    <w:rsid w:val="00125B90"/>
    <w:rsid w:val="0012720A"/>
    <w:rsid w:val="00127297"/>
    <w:rsid w:val="001277FF"/>
    <w:rsid w:val="00127B3A"/>
    <w:rsid w:val="00127BD5"/>
    <w:rsid w:val="00127ED1"/>
    <w:rsid w:val="001306F0"/>
    <w:rsid w:val="00130C94"/>
    <w:rsid w:val="00130D92"/>
    <w:rsid w:val="00131514"/>
    <w:rsid w:val="00131963"/>
    <w:rsid w:val="00131B57"/>
    <w:rsid w:val="00131C5C"/>
    <w:rsid w:val="0013252A"/>
    <w:rsid w:val="00133788"/>
    <w:rsid w:val="00133A4E"/>
    <w:rsid w:val="001348F6"/>
    <w:rsid w:val="00134E75"/>
    <w:rsid w:val="00134FDF"/>
    <w:rsid w:val="001354D6"/>
    <w:rsid w:val="00135F24"/>
    <w:rsid w:val="001369D0"/>
    <w:rsid w:val="0013751F"/>
    <w:rsid w:val="00137623"/>
    <w:rsid w:val="00137ADA"/>
    <w:rsid w:val="00141DE0"/>
    <w:rsid w:val="00142B11"/>
    <w:rsid w:val="00142DE0"/>
    <w:rsid w:val="00142ED4"/>
    <w:rsid w:val="00143FA4"/>
    <w:rsid w:val="001442A1"/>
    <w:rsid w:val="00144D93"/>
    <w:rsid w:val="00144ECF"/>
    <w:rsid w:val="00145CA4"/>
    <w:rsid w:val="00146559"/>
    <w:rsid w:val="0014775B"/>
    <w:rsid w:val="00150A9A"/>
    <w:rsid w:val="0015109F"/>
    <w:rsid w:val="00152515"/>
    <w:rsid w:val="0015356C"/>
    <w:rsid w:val="00154154"/>
    <w:rsid w:val="001541B2"/>
    <w:rsid w:val="001541CD"/>
    <w:rsid w:val="0015492A"/>
    <w:rsid w:val="00154E43"/>
    <w:rsid w:val="00155853"/>
    <w:rsid w:val="00155ABF"/>
    <w:rsid w:val="00155CC7"/>
    <w:rsid w:val="00156151"/>
    <w:rsid w:val="001564A7"/>
    <w:rsid w:val="00156801"/>
    <w:rsid w:val="00156F2B"/>
    <w:rsid w:val="00160178"/>
    <w:rsid w:val="001616F4"/>
    <w:rsid w:val="001617BA"/>
    <w:rsid w:val="00161B33"/>
    <w:rsid w:val="0016243A"/>
    <w:rsid w:val="00165552"/>
    <w:rsid w:val="00165B3C"/>
    <w:rsid w:val="00166448"/>
    <w:rsid w:val="00166F07"/>
    <w:rsid w:val="00167968"/>
    <w:rsid w:val="001679E5"/>
    <w:rsid w:val="00167FD9"/>
    <w:rsid w:val="00170238"/>
    <w:rsid w:val="00172339"/>
    <w:rsid w:val="0017268F"/>
    <w:rsid w:val="00173B13"/>
    <w:rsid w:val="001744CB"/>
    <w:rsid w:val="00174A24"/>
    <w:rsid w:val="00175B5D"/>
    <w:rsid w:val="00176986"/>
    <w:rsid w:val="00176FF8"/>
    <w:rsid w:val="00180E7A"/>
    <w:rsid w:val="00180F7B"/>
    <w:rsid w:val="00181022"/>
    <w:rsid w:val="0018174D"/>
    <w:rsid w:val="001826C4"/>
    <w:rsid w:val="001838AC"/>
    <w:rsid w:val="00183E11"/>
    <w:rsid w:val="00185A46"/>
    <w:rsid w:val="00185FE2"/>
    <w:rsid w:val="0018787B"/>
    <w:rsid w:val="0018793F"/>
    <w:rsid w:val="00187D65"/>
    <w:rsid w:val="00190A76"/>
    <w:rsid w:val="00191D8A"/>
    <w:rsid w:val="00191DF8"/>
    <w:rsid w:val="00191F44"/>
    <w:rsid w:val="00192294"/>
    <w:rsid w:val="001923F1"/>
    <w:rsid w:val="0019272C"/>
    <w:rsid w:val="00192971"/>
    <w:rsid w:val="00192AA1"/>
    <w:rsid w:val="00193885"/>
    <w:rsid w:val="0019393B"/>
    <w:rsid w:val="001940E5"/>
    <w:rsid w:val="00195199"/>
    <w:rsid w:val="0019632B"/>
    <w:rsid w:val="00197F75"/>
    <w:rsid w:val="001A007B"/>
    <w:rsid w:val="001A1120"/>
    <w:rsid w:val="001A1AB4"/>
    <w:rsid w:val="001A2770"/>
    <w:rsid w:val="001A3D45"/>
    <w:rsid w:val="001A401D"/>
    <w:rsid w:val="001A6783"/>
    <w:rsid w:val="001A67B9"/>
    <w:rsid w:val="001A7E35"/>
    <w:rsid w:val="001B034E"/>
    <w:rsid w:val="001B22E4"/>
    <w:rsid w:val="001B515E"/>
    <w:rsid w:val="001B5232"/>
    <w:rsid w:val="001B603E"/>
    <w:rsid w:val="001B63B5"/>
    <w:rsid w:val="001B6A86"/>
    <w:rsid w:val="001B7CFE"/>
    <w:rsid w:val="001C0125"/>
    <w:rsid w:val="001C16FE"/>
    <w:rsid w:val="001C25DE"/>
    <w:rsid w:val="001C2807"/>
    <w:rsid w:val="001C507F"/>
    <w:rsid w:val="001C64D2"/>
    <w:rsid w:val="001C6729"/>
    <w:rsid w:val="001C7045"/>
    <w:rsid w:val="001C719B"/>
    <w:rsid w:val="001C74FA"/>
    <w:rsid w:val="001C7684"/>
    <w:rsid w:val="001C7EE6"/>
    <w:rsid w:val="001C7FF3"/>
    <w:rsid w:val="001D0315"/>
    <w:rsid w:val="001D0537"/>
    <w:rsid w:val="001D0FAD"/>
    <w:rsid w:val="001D25E8"/>
    <w:rsid w:val="001D2B08"/>
    <w:rsid w:val="001D39C0"/>
    <w:rsid w:val="001D485C"/>
    <w:rsid w:val="001D491D"/>
    <w:rsid w:val="001D6402"/>
    <w:rsid w:val="001D761A"/>
    <w:rsid w:val="001D7DF1"/>
    <w:rsid w:val="001E1C93"/>
    <w:rsid w:val="001E2642"/>
    <w:rsid w:val="001E3767"/>
    <w:rsid w:val="001E4859"/>
    <w:rsid w:val="001E5210"/>
    <w:rsid w:val="001E5475"/>
    <w:rsid w:val="001E55F6"/>
    <w:rsid w:val="001E6B35"/>
    <w:rsid w:val="001F0269"/>
    <w:rsid w:val="001F06F7"/>
    <w:rsid w:val="001F0EC0"/>
    <w:rsid w:val="001F1478"/>
    <w:rsid w:val="001F15B8"/>
    <w:rsid w:val="001F1731"/>
    <w:rsid w:val="001F2759"/>
    <w:rsid w:val="001F35AA"/>
    <w:rsid w:val="001F3BFA"/>
    <w:rsid w:val="001F440C"/>
    <w:rsid w:val="001F4814"/>
    <w:rsid w:val="001F5772"/>
    <w:rsid w:val="001F57F4"/>
    <w:rsid w:val="001F581B"/>
    <w:rsid w:val="001F62B8"/>
    <w:rsid w:val="001F63DC"/>
    <w:rsid w:val="001F671A"/>
    <w:rsid w:val="001F7AE2"/>
    <w:rsid w:val="001F7CDC"/>
    <w:rsid w:val="0020069D"/>
    <w:rsid w:val="00200B0B"/>
    <w:rsid w:val="00200CF9"/>
    <w:rsid w:val="002019DC"/>
    <w:rsid w:val="00202AC4"/>
    <w:rsid w:val="00203649"/>
    <w:rsid w:val="002042C0"/>
    <w:rsid w:val="002055ED"/>
    <w:rsid w:val="00205760"/>
    <w:rsid w:val="002063C7"/>
    <w:rsid w:val="00207001"/>
    <w:rsid w:val="00210D98"/>
    <w:rsid w:val="00210E0C"/>
    <w:rsid w:val="00211487"/>
    <w:rsid w:val="00211A5D"/>
    <w:rsid w:val="00211D69"/>
    <w:rsid w:val="002127B9"/>
    <w:rsid w:val="00212E4E"/>
    <w:rsid w:val="0021322D"/>
    <w:rsid w:val="0021380F"/>
    <w:rsid w:val="00214009"/>
    <w:rsid w:val="00214FAA"/>
    <w:rsid w:val="00215114"/>
    <w:rsid w:val="0021592E"/>
    <w:rsid w:val="00216739"/>
    <w:rsid w:val="002167B4"/>
    <w:rsid w:val="002169DC"/>
    <w:rsid w:val="00216F86"/>
    <w:rsid w:val="00220CFF"/>
    <w:rsid w:val="00221F0A"/>
    <w:rsid w:val="002222B3"/>
    <w:rsid w:val="002228B0"/>
    <w:rsid w:val="00222BD1"/>
    <w:rsid w:val="00222F55"/>
    <w:rsid w:val="00224159"/>
    <w:rsid w:val="00227813"/>
    <w:rsid w:val="00227B14"/>
    <w:rsid w:val="0023000E"/>
    <w:rsid w:val="0023100A"/>
    <w:rsid w:val="00231D1F"/>
    <w:rsid w:val="00231F72"/>
    <w:rsid w:val="0023222C"/>
    <w:rsid w:val="0023296C"/>
    <w:rsid w:val="00233527"/>
    <w:rsid w:val="002350CC"/>
    <w:rsid w:val="00236241"/>
    <w:rsid w:val="002363FF"/>
    <w:rsid w:val="002368FF"/>
    <w:rsid w:val="002370A4"/>
    <w:rsid w:val="002379B9"/>
    <w:rsid w:val="00237A0D"/>
    <w:rsid w:val="0024017B"/>
    <w:rsid w:val="002408E9"/>
    <w:rsid w:val="00240E8B"/>
    <w:rsid w:val="00241977"/>
    <w:rsid w:val="0024249A"/>
    <w:rsid w:val="00242632"/>
    <w:rsid w:val="00243A99"/>
    <w:rsid w:val="00244446"/>
    <w:rsid w:val="00244D3E"/>
    <w:rsid w:val="0024515E"/>
    <w:rsid w:val="002454CE"/>
    <w:rsid w:val="00245B8C"/>
    <w:rsid w:val="00246AD2"/>
    <w:rsid w:val="00246C95"/>
    <w:rsid w:val="00246DF9"/>
    <w:rsid w:val="00247B49"/>
    <w:rsid w:val="00252355"/>
    <w:rsid w:val="00253D4B"/>
    <w:rsid w:val="0025532C"/>
    <w:rsid w:val="00256A94"/>
    <w:rsid w:val="00256E93"/>
    <w:rsid w:val="00257467"/>
    <w:rsid w:val="00257489"/>
    <w:rsid w:val="002578BB"/>
    <w:rsid w:val="0026053D"/>
    <w:rsid w:val="002606C0"/>
    <w:rsid w:val="00260D35"/>
    <w:rsid w:val="00262821"/>
    <w:rsid w:val="00262B05"/>
    <w:rsid w:val="002637C6"/>
    <w:rsid w:val="002647F8"/>
    <w:rsid w:val="002648EB"/>
    <w:rsid w:val="00264B98"/>
    <w:rsid w:val="00264C02"/>
    <w:rsid w:val="002653AC"/>
    <w:rsid w:val="0027030F"/>
    <w:rsid w:val="002706D4"/>
    <w:rsid w:val="00270980"/>
    <w:rsid w:val="00271408"/>
    <w:rsid w:val="00271775"/>
    <w:rsid w:val="002717C7"/>
    <w:rsid w:val="0027196E"/>
    <w:rsid w:val="00271D44"/>
    <w:rsid w:val="0027201C"/>
    <w:rsid w:val="00274FDD"/>
    <w:rsid w:val="002752D3"/>
    <w:rsid w:val="002754E9"/>
    <w:rsid w:val="002755DD"/>
    <w:rsid w:val="00275C0F"/>
    <w:rsid w:val="00276263"/>
    <w:rsid w:val="00276E6E"/>
    <w:rsid w:val="00280D21"/>
    <w:rsid w:val="002810BE"/>
    <w:rsid w:val="00282972"/>
    <w:rsid w:val="002829F9"/>
    <w:rsid w:val="00282D17"/>
    <w:rsid w:val="002831F8"/>
    <w:rsid w:val="00284573"/>
    <w:rsid w:val="0028466C"/>
    <w:rsid w:val="00285BE3"/>
    <w:rsid w:val="00286202"/>
    <w:rsid w:val="002874EA"/>
    <w:rsid w:val="0029068E"/>
    <w:rsid w:val="00291B6E"/>
    <w:rsid w:val="0029225F"/>
    <w:rsid w:val="002924F1"/>
    <w:rsid w:val="00292911"/>
    <w:rsid w:val="002929EE"/>
    <w:rsid w:val="002939E4"/>
    <w:rsid w:val="00293C05"/>
    <w:rsid w:val="00294E43"/>
    <w:rsid w:val="002966B7"/>
    <w:rsid w:val="00297A6A"/>
    <w:rsid w:val="00297D60"/>
    <w:rsid w:val="00297DDD"/>
    <w:rsid w:val="002A042D"/>
    <w:rsid w:val="002A051B"/>
    <w:rsid w:val="002A0874"/>
    <w:rsid w:val="002A36FF"/>
    <w:rsid w:val="002A4116"/>
    <w:rsid w:val="002A45CC"/>
    <w:rsid w:val="002A4769"/>
    <w:rsid w:val="002A479D"/>
    <w:rsid w:val="002A4EEA"/>
    <w:rsid w:val="002A571C"/>
    <w:rsid w:val="002A6681"/>
    <w:rsid w:val="002A7576"/>
    <w:rsid w:val="002B00D3"/>
    <w:rsid w:val="002B098B"/>
    <w:rsid w:val="002B25A1"/>
    <w:rsid w:val="002B27A4"/>
    <w:rsid w:val="002B2803"/>
    <w:rsid w:val="002B2C23"/>
    <w:rsid w:val="002B2CC7"/>
    <w:rsid w:val="002B35C5"/>
    <w:rsid w:val="002B36D5"/>
    <w:rsid w:val="002B3A02"/>
    <w:rsid w:val="002B3AF0"/>
    <w:rsid w:val="002B4459"/>
    <w:rsid w:val="002B57D1"/>
    <w:rsid w:val="002B5D64"/>
    <w:rsid w:val="002B5EBB"/>
    <w:rsid w:val="002B6712"/>
    <w:rsid w:val="002B688E"/>
    <w:rsid w:val="002B6ED0"/>
    <w:rsid w:val="002C0F73"/>
    <w:rsid w:val="002C1B1E"/>
    <w:rsid w:val="002C1F2E"/>
    <w:rsid w:val="002C3288"/>
    <w:rsid w:val="002C4262"/>
    <w:rsid w:val="002C4A4C"/>
    <w:rsid w:val="002C4CC2"/>
    <w:rsid w:val="002C4D8A"/>
    <w:rsid w:val="002C4E1D"/>
    <w:rsid w:val="002C51BB"/>
    <w:rsid w:val="002C54E3"/>
    <w:rsid w:val="002C5C4A"/>
    <w:rsid w:val="002C76C2"/>
    <w:rsid w:val="002D0169"/>
    <w:rsid w:val="002D16DC"/>
    <w:rsid w:val="002D295A"/>
    <w:rsid w:val="002D4085"/>
    <w:rsid w:val="002D5F6C"/>
    <w:rsid w:val="002D6053"/>
    <w:rsid w:val="002D6390"/>
    <w:rsid w:val="002D7454"/>
    <w:rsid w:val="002D74EA"/>
    <w:rsid w:val="002D7A27"/>
    <w:rsid w:val="002E01C1"/>
    <w:rsid w:val="002E12B6"/>
    <w:rsid w:val="002E1C37"/>
    <w:rsid w:val="002E23F3"/>
    <w:rsid w:val="002E2A90"/>
    <w:rsid w:val="002E2BC8"/>
    <w:rsid w:val="002E3073"/>
    <w:rsid w:val="002E360E"/>
    <w:rsid w:val="002E3A66"/>
    <w:rsid w:val="002E3AA1"/>
    <w:rsid w:val="002E57EC"/>
    <w:rsid w:val="002E5C2B"/>
    <w:rsid w:val="002E73E2"/>
    <w:rsid w:val="002E75EC"/>
    <w:rsid w:val="002E797B"/>
    <w:rsid w:val="002E7D5E"/>
    <w:rsid w:val="002E7EE8"/>
    <w:rsid w:val="002F20CE"/>
    <w:rsid w:val="002F3049"/>
    <w:rsid w:val="002F33BB"/>
    <w:rsid w:val="002F38CC"/>
    <w:rsid w:val="002F3E19"/>
    <w:rsid w:val="002F3E4D"/>
    <w:rsid w:val="002F3FAC"/>
    <w:rsid w:val="002F57C9"/>
    <w:rsid w:val="002F5AAA"/>
    <w:rsid w:val="002F5EE2"/>
    <w:rsid w:val="002F6457"/>
    <w:rsid w:val="002F7CCA"/>
    <w:rsid w:val="002F7D4D"/>
    <w:rsid w:val="00303C9D"/>
    <w:rsid w:val="00304179"/>
    <w:rsid w:val="003057A2"/>
    <w:rsid w:val="00305945"/>
    <w:rsid w:val="00305B3F"/>
    <w:rsid w:val="00305E71"/>
    <w:rsid w:val="0030730A"/>
    <w:rsid w:val="00307AEA"/>
    <w:rsid w:val="00307BBD"/>
    <w:rsid w:val="003104AE"/>
    <w:rsid w:val="00310B7F"/>
    <w:rsid w:val="0031181F"/>
    <w:rsid w:val="00311CB1"/>
    <w:rsid w:val="0031275F"/>
    <w:rsid w:val="003128C5"/>
    <w:rsid w:val="00313134"/>
    <w:rsid w:val="00313135"/>
    <w:rsid w:val="003133BE"/>
    <w:rsid w:val="0031526F"/>
    <w:rsid w:val="0031562B"/>
    <w:rsid w:val="00317175"/>
    <w:rsid w:val="00317F5F"/>
    <w:rsid w:val="003202BF"/>
    <w:rsid w:val="00324E8A"/>
    <w:rsid w:val="00325C7A"/>
    <w:rsid w:val="00326028"/>
    <w:rsid w:val="0032617E"/>
    <w:rsid w:val="00326E70"/>
    <w:rsid w:val="003274AF"/>
    <w:rsid w:val="00330704"/>
    <w:rsid w:val="00330FC1"/>
    <w:rsid w:val="0033116C"/>
    <w:rsid w:val="003312F8"/>
    <w:rsid w:val="00331590"/>
    <w:rsid w:val="003317C2"/>
    <w:rsid w:val="00331CC2"/>
    <w:rsid w:val="0033213D"/>
    <w:rsid w:val="003336DD"/>
    <w:rsid w:val="00333E25"/>
    <w:rsid w:val="0033512A"/>
    <w:rsid w:val="0033513C"/>
    <w:rsid w:val="003352CE"/>
    <w:rsid w:val="00335686"/>
    <w:rsid w:val="00335C0C"/>
    <w:rsid w:val="00336BD3"/>
    <w:rsid w:val="00336F23"/>
    <w:rsid w:val="00337683"/>
    <w:rsid w:val="00337E33"/>
    <w:rsid w:val="00340CA1"/>
    <w:rsid w:val="003410DD"/>
    <w:rsid w:val="00341518"/>
    <w:rsid w:val="00342374"/>
    <w:rsid w:val="0034265E"/>
    <w:rsid w:val="00342FB6"/>
    <w:rsid w:val="00343581"/>
    <w:rsid w:val="003437CA"/>
    <w:rsid w:val="00344B08"/>
    <w:rsid w:val="00344B7E"/>
    <w:rsid w:val="00346D17"/>
    <w:rsid w:val="00347145"/>
    <w:rsid w:val="00347466"/>
    <w:rsid w:val="00347CC9"/>
    <w:rsid w:val="00350A0D"/>
    <w:rsid w:val="00351630"/>
    <w:rsid w:val="00351901"/>
    <w:rsid w:val="00351DEA"/>
    <w:rsid w:val="0035204A"/>
    <w:rsid w:val="003520BB"/>
    <w:rsid w:val="003523EE"/>
    <w:rsid w:val="00352767"/>
    <w:rsid w:val="00354447"/>
    <w:rsid w:val="0035487F"/>
    <w:rsid w:val="00356651"/>
    <w:rsid w:val="00356ECA"/>
    <w:rsid w:val="00357124"/>
    <w:rsid w:val="003574DD"/>
    <w:rsid w:val="00361C73"/>
    <w:rsid w:val="0036246C"/>
    <w:rsid w:val="003627A9"/>
    <w:rsid w:val="003644F1"/>
    <w:rsid w:val="00364FB5"/>
    <w:rsid w:val="003655F3"/>
    <w:rsid w:val="003657FE"/>
    <w:rsid w:val="003658B6"/>
    <w:rsid w:val="00365923"/>
    <w:rsid w:val="00365F45"/>
    <w:rsid w:val="003676B2"/>
    <w:rsid w:val="0036776C"/>
    <w:rsid w:val="00370481"/>
    <w:rsid w:val="00371184"/>
    <w:rsid w:val="0037227E"/>
    <w:rsid w:val="00372A27"/>
    <w:rsid w:val="00373892"/>
    <w:rsid w:val="00374FEC"/>
    <w:rsid w:val="003760F6"/>
    <w:rsid w:val="0037621D"/>
    <w:rsid w:val="00376BF7"/>
    <w:rsid w:val="00376F21"/>
    <w:rsid w:val="00377A76"/>
    <w:rsid w:val="0038055D"/>
    <w:rsid w:val="00380E38"/>
    <w:rsid w:val="00381628"/>
    <w:rsid w:val="00381784"/>
    <w:rsid w:val="003824E2"/>
    <w:rsid w:val="00382D32"/>
    <w:rsid w:val="00383A30"/>
    <w:rsid w:val="0038400B"/>
    <w:rsid w:val="0038493E"/>
    <w:rsid w:val="00386229"/>
    <w:rsid w:val="003862B1"/>
    <w:rsid w:val="00387FC5"/>
    <w:rsid w:val="00390B69"/>
    <w:rsid w:val="00390F25"/>
    <w:rsid w:val="00393521"/>
    <w:rsid w:val="00393D03"/>
    <w:rsid w:val="00394C91"/>
    <w:rsid w:val="00394DB3"/>
    <w:rsid w:val="0039657A"/>
    <w:rsid w:val="0039702C"/>
    <w:rsid w:val="003A270E"/>
    <w:rsid w:val="003A2D28"/>
    <w:rsid w:val="003A2DE9"/>
    <w:rsid w:val="003A3160"/>
    <w:rsid w:val="003A42B1"/>
    <w:rsid w:val="003A4E52"/>
    <w:rsid w:val="003B10F5"/>
    <w:rsid w:val="003B157F"/>
    <w:rsid w:val="003B1809"/>
    <w:rsid w:val="003B28EF"/>
    <w:rsid w:val="003B2A5A"/>
    <w:rsid w:val="003B32C9"/>
    <w:rsid w:val="003B3443"/>
    <w:rsid w:val="003B350C"/>
    <w:rsid w:val="003B352F"/>
    <w:rsid w:val="003B3F08"/>
    <w:rsid w:val="003B4D9E"/>
    <w:rsid w:val="003B522B"/>
    <w:rsid w:val="003B53C8"/>
    <w:rsid w:val="003B5A23"/>
    <w:rsid w:val="003B6D6E"/>
    <w:rsid w:val="003C08BA"/>
    <w:rsid w:val="003C0AA3"/>
    <w:rsid w:val="003C15D8"/>
    <w:rsid w:val="003C2582"/>
    <w:rsid w:val="003C4A8A"/>
    <w:rsid w:val="003C4E34"/>
    <w:rsid w:val="003C6C3A"/>
    <w:rsid w:val="003C75B7"/>
    <w:rsid w:val="003D0000"/>
    <w:rsid w:val="003D0B1B"/>
    <w:rsid w:val="003D0B8D"/>
    <w:rsid w:val="003D1247"/>
    <w:rsid w:val="003D1786"/>
    <w:rsid w:val="003D1BE2"/>
    <w:rsid w:val="003D6E41"/>
    <w:rsid w:val="003D7272"/>
    <w:rsid w:val="003D754B"/>
    <w:rsid w:val="003D7865"/>
    <w:rsid w:val="003D7A93"/>
    <w:rsid w:val="003E06B0"/>
    <w:rsid w:val="003E15C3"/>
    <w:rsid w:val="003E18B4"/>
    <w:rsid w:val="003E254F"/>
    <w:rsid w:val="003E2D15"/>
    <w:rsid w:val="003E2F09"/>
    <w:rsid w:val="003E3291"/>
    <w:rsid w:val="003E430C"/>
    <w:rsid w:val="003E5981"/>
    <w:rsid w:val="003E76FA"/>
    <w:rsid w:val="003E7868"/>
    <w:rsid w:val="003F0714"/>
    <w:rsid w:val="003F1BAD"/>
    <w:rsid w:val="003F2746"/>
    <w:rsid w:val="003F27DA"/>
    <w:rsid w:val="003F33A4"/>
    <w:rsid w:val="003F36C3"/>
    <w:rsid w:val="003F4BBC"/>
    <w:rsid w:val="003F5729"/>
    <w:rsid w:val="003F6241"/>
    <w:rsid w:val="003F680C"/>
    <w:rsid w:val="003F6C51"/>
    <w:rsid w:val="003F75E2"/>
    <w:rsid w:val="003F77C2"/>
    <w:rsid w:val="003F791C"/>
    <w:rsid w:val="004004EF"/>
    <w:rsid w:val="00402AC5"/>
    <w:rsid w:val="0040309B"/>
    <w:rsid w:val="00405A61"/>
    <w:rsid w:val="00405ACE"/>
    <w:rsid w:val="004068B0"/>
    <w:rsid w:val="0040690B"/>
    <w:rsid w:val="004072EC"/>
    <w:rsid w:val="0041093C"/>
    <w:rsid w:val="00411490"/>
    <w:rsid w:val="00411A45"/>
    <w:rsid w:val="00412C3B"/>
    <w:rsid w:val="00413C3B"/>
    <w:rsid w:val="00413D22"/>
    <w:rsid w:val="00413D6D"/>
    <w:rsid w:val="00413DBB"/>
    <w:rsid w:val="00414DFA"/>
    <w:rsid w:val="00415FC4"/>
    <w:rsid w:val="00416C7E"/>
    <w:rsid w:val="004174D7"/>
    <w:rsid w:val="00421837"/>
    <w:rsid w:val="00421A6B"/>
    <w:rsid w:val="004224B3"/>
    <w:rsid w:val="004234FA"/>
    <w:rsid w:val="00423DFD"/>
    <w:rsid w:val="00424A9D"/>
    <w:rsid w:val="00425E4D"/>
    <w:rsid w:val="0042711B"/>
    <w:rsid w:val="0042763E"/>
    <w:rsid w:val="004276BB"/>
    <w:rsid w:val="004277D7"/>
    <w:rsid w:val="00430907"/>
    <w:rsid w:val="0043262F"/>
    <w:rsid w:val="00432FEE"/>
    <w:rsid w:val="00433287"/>
    <w:rsid w:val="00433BF0"/>
    <w:rsid w:val="004347F1"/>
    <w:rsid w:val="004364C6"/>
    <w:rsid w:val="00436AE2"/>
    <w:rsid w:val="00436CA2"/>
    <w:rsid w:val="00437093"/>
    <w:rsid w:val="00437267"/>
    <w:rsid w:val="004372E3"/>
    <w:rsid w:val="004401D5"/>
    <w:rsid w:val="00440C23"/>
    <w:rsid w:val="0044154D"/>
    <w:rsid w:val="0044157A"/>
    <w:rsid w:val="00441981"/>
    <w:rsid w:val="00442A98"/>
    <w:rsid w:val="00442A9F"/>
    <w:rsid w:val="00442BCD"/>
    <w:rsid w:val="004446CE"/>
    <w:rsid w:val="00444C51"/>
    <w:rsid w:val="00445186"/>
    <w:rsid w:val="004459F6"/>
    <w:rsid w:val="00445D22"/>
    <w:rsid w:val="00447D19"/>
    <w:rsid w:val="0045039B"/>
    <w:rsid w:val="004504CE"/>
    <w:rsid w:val="004505D9"/>
    <w:rsid w:val="00450657"/>
    <w:rsid w:val="004515D3"/>
    <w:rsid w:val="004526DB"/>
    <w:rsid w:val="00453540"/>
    <w:rsid w:val="00453E24"/>
    <w:rsid w:val="00455424"/>
    <w:rsid w:val="004556D8"/>
    <w:rsid w:val="00456214"/>
    <w:rsid w:val="004566FA"/>
    <w:rsid w:val="0045746F"/>
    <w:rsid w:val="004574F0"/>
    <w:rsid w:val="0045759F"/>
    <w:rsid w:val="004578EF"/>
    <w:rsid w:val="00461910"/>
    <w:rsid w:val="0046247C"/>
    <w:rsid w:val="0046287B"/>
    <w:rsid w:val="0046326B"/>
    <w:rsid w:val="00463B46"/>
    <w:rsid w:val="00464EF9"/>
    <w:rsid w:val="004651EE"/>
    <w:rsid w:val="004653FB"/>
    <w:rsid w:val="00465A5B"/>
    <w:rsid w:val="00465EE7"/>
    <w:rsid w:val="0046654E"/>
    <w:rsid w:val="00466895"/>
    <w:rsid w:val="00466E3F"/>
    <w:rsid w:val="004670D5"/>
    <w:rsid w:val="00467766"/>
    <w:rsid w:val="004678A2"/>
    <w:rsid w:val="00467D27"/>
    <w:rsid w:val="00470821"/>
    <w:rsid w:val="00470879"/>
    <w:rsid w:val="00472875"/>
    <w:rsid w:val="00473633"/>
    <w:rsid w:val="00473944"/>
    <w:rsid w:val="0047406B"/>
    <w:rsid w:val="0047617E"/>
    <w:rsid w:val="0047644A"/>
    <w:rsid w:val="004764B0"/>
    <w:rsid w:val="00476C33"/>
    <w:rsid w:val="004817D9"/>
    <w:rsid w:val="00481B32"/>
    <w:rsid w:val="00481D8C"/>
    <w:rsid w:val="00482A83"/>
    <w:rsid w:val="00482DDF"/>
    <w:rsid w:val="00482E0D"/>
    <w:rsid w:val="0048384C"/>
    <w:rsid w:val="004857AF"/>
    <w:rsid w:val="0048661F"/>
    <w:rsid w:val="00486A18"/>
    <w:rsid w:val="0048734C"/>
    <w:rsid w:val="00487494"/>
    <w:rsid w:val="004877E4"/>
    <w:rsid w:val="00487FA2"/>
    <w:rsid w:val="00490892"/>
    <w:rsid w:val="00490E82"/>
    <w:rsid w:val="004916F5"/>
    <w:rsid w:val="004918E8"/>
    <w:rsid w:val="00491A3B"/>
    <w:rsid w:val="0049388C"/>
    <w:rsid w:val="00495FA2"/>
    <w:rsid w:val="0049610C"/>
    <w:rsid w:val="00496AF3"/>
    <w:rsid w:val="004976E3"/>
    <w:rsid w:val="00497AD3"/>
    <w:rsid w:val="004A02EB"/>
    <w:rsid w:val="004A0A68"/>
    <w:rsid w:val="004A0A8E"/>
    <w:rsid w:val="004A133E"/>
    <w:rsid w:val="004A4231"/>
    <w:rsid w:val="004A4396"/>
    <w:rsid w:val="004A4C23"/>
    <w:rsid w:val="004A514D"/>
    <w:rsid w:val="004A5537"/>
    <w:rsid w:val="004A58B5"/>
    <w:rsid w:val="004A59B5"/>
    <w:rsid w:val="004A5E7E"/>
    <w:rsid w:val="004A60CC"/>
    <w:rsid w:val="004A6A44"/>
    <w:rsid w:val="004A7765"/>
    <w:rsid w:val="004A7BB4"/>
    <w:rsid w:val="004B1441"/>
    <w:rsid w:val="004B156E"/>
    <w:rsid w:val="004B36AA"/>
    <w:rsid w:val="004B3804"/>
    <w:rsid w:val="004B4E31"/>
    <w:rsid w:val="004B58FB"/>
    <w:rsid w:val="004B5991"/>
    <w:rsid w:val="004B5A2E"/>
    <w:rsid w:val="004B6071"/>
    <w:rsid w:val="004B65FF"/>
    <w:rsid w:val="004B6CBB"/>
    <w:rsid w:val="004B769C"/>
    <w:rsid w:val="004B7E52"/>
    <w:rsid w:val="004C0EF9"/>
    <w:rsid w:val="004C0F1C"/>
    <w:rsid w:val="004C1B33"/>
    <w:rsid w:val="004C20BB"/>
    <w:rsid w:val="004C2198"/>
    <w:rsid w:val="004C31A9"/>
    <w:rsid w:val="004C3588"/>
    <w:rsid w:val="004C3C35"/>
    <w:rsid w:val="004C3FE4"/>
    <w:rsid w:val="004C63BB"/>
    <w:rsid w:val="004C6839"/>
    <w:rsid w:val="004C7A07"/>
    <w:rsid w:val="004D0A23"/>
    <w:rsid w:val="004D11A2"/>
    <w:rsid w:val="004D1E84"/>
    <w:rsid w:val="004D52A4"/>
    <w:rsid w:val="004D5723"/>
    <w:rsid w:val="004D5BF2"/>
    <w:rsid w:val="004D5E4B"/>
    <w:rsid w:val="004D608A"/>
    <w:rsid w:val="004D70BC"/>
    <w:rsid w:val="004D7400"/>
    <w:rsid w:val="004E20A9"/>
    <w:rsid w:val="004E2246"/>
    <w:rsid w:val="004E23DA"/>
    <w:rsid w:val="004E2B2E"/>
    <w:rsid w:val="004E337C"/>
    <w:rsid w:val="004E4896"/>
    <w:rsid w:val="004E5076"/>
    <w:rsid w:val="004E5FCC"/>
    <w:rsid w:val="004E613B"/>
    <w:rsid w:val="004E652B"/>
    <w:rsid w:val="004E688F"/>
    <w:rsid w:val="004E6DDA"/>
    <w:rsid w:val="004F00E2"/>
    <w:rsid w:val="004F05C8"/>
    <w:rsid w:val="004F09DC"/>
    <w:rsid w:val="004F1124"/>
    <w:rsid w:val="004F1208"/>
    <w:rsid w:val="004F1501"/>
    <w:rsid w:val="004F23AE"/>
    <w:rsid w:val="004F25B9"/>
    <w:rsid w:val="004F29E2"/>
    <w:rsid w:val="004F2E08"/>
    <w:rsid w:val="004F38D6"/>
    <w:rsid w:val="004F3E65"/>
    <w:rsid w:val="004F44D1"/>
    <w:rsid w:val="004F4A11"/>
    <w:rsid w:val="004F502E"/>
    <w:rsid w:val="004F5D14"/>
    <w:rsid w:val="004F6460"/>
    <w:rsid w:val="004F6BFD"/>
    <w:rsid w:val="00500319"/>
    <w:rsid w:val="0050275B"/>
    <w:rsid w:val="00502A80"/>
    <w:rsid w:val="00504782"/>
    <w:rsid w:val="00504D2F"/>
    <w:rsid w:val="0050530F"/>
    <w:rsid w:val="00505AB6"/>
    <w:rsid w:val="00505EC7"/>
    <w:rsid w:val="00505F52"/>
    <w:rsid w:val="00506BB4"/>
    <w:rsid w:val="0051086B"/>
    <w:rsid w:val="00513F2D"/>
    <w:rsid w:val="0051472B"/>
    <w:rsid w:val="00514832"/>
    <w:rsid w:val="00514CB0"/>
    <w:rsid w:val="005153AD"/>
    <w:rsid w:val="005154A9"/>
    <w:rsid w:val="00515ACC"/>
    <w:rsid w:val="0051629D"/>
    <w:rsid w:val="00516DA1"/>
    <w:rsid w:val="005179B1"/>
    <w:rsid w:val="00517E8E"/>
    <w:rsid w:val="005210D8"/>
    <w:rsid w:val="00521138"/>
    <w:rsid w:val="0052144B"/>
    <w:rsid w:val="0052156E"/>
    <w:rsid w:val="00521606"/>
    <w:rsid w:val="005219B1"/>
    <w:rsid w:val="00521CC0"/>
    <w:rsid w:val="005247D0"/>
    <w:rsid w:val="005247E9"/>
    <w:rsid w:val="005258E5"/>
    <w:rsid w:val="00526BE5"/>
    <w:rsid w:val="00526D66"/>
    <w:rsid w:val="0052700E"/>
    <w:rsid w:val="005303FA"/>
    <w:rsid w:val="00530831"/>
    <w:rsid w:val="00530F6E"/>
    <w:rsid w:val="00530FFD"/>
    <w:rsid w:val="00531D47"/>
    <w:rsid w:val="0053253B"/>
    <w:rsid w:val="005345AF"/>
    <w:rsid w:val="00534963"/>
    <w:rsid w:val="00535FDE"/>
    <w:rsid w:val="005360A5"/>
    <w:rsid w:val="0053615C"/>
    <w:rsid w:val="0054129E"/>
    <w:rsid w:val="005417FB"/>
    <w:rsid w:val="005421FB"/>
    <w:rsid w:val="005428E8"/>
    <w:rsid w:val="00542FF9"/>
    <w:rsid w:val="0054512D"/>
    <w:rsid w:val="00545BF6"/>
    <w:rsid w:val="00545FBD"/>
    <w:rsid w:val="00547633"/>
    <w:rsid w:val="00547807"/>
    <w:rsid w:val="00547FFB"/>
    <w:rsid w:val="00550823"/>
    <w:rsid w:val="005512BA"/>
    <w:rsid w:val="00551DFE"/>
    <w:rsid w:val="00552120"/>
    <w:rsid w:val="005522E4"/>
    <w:rsid w:val="0055318E"/>
    <w:rsid w:val="005545BB"/>
    <w:rsid w:val="00555B51"/>
    <w:rsid w:val="00556276"/>
    <w:rsid w:val="00557E26"/>
    <w:rsid w:val="00560903"/>
    <w:rsid w:val="00562A5F"/>
    <w:rsid w:val="00563835"/>
    <w:rsid w:val="0056469E"/>
    <w:rsid w:val="0056506A"/>
    <w:rsid w:val="00565106"/>
    <w:rsid w:val="005652A0"/>
    <w:rsid w:val="005653C6"/>
    <w:rsid w:val="0056610C"/>
    <w:rsid w:val="00566285"/>
    <w:rsid w:val="00566574"/>
    <w:rsid w:val="005667B7"/>
    <w:rsid w:val="00566CA6"/>
    <w:rsid w:val="005674E7"/>
    <w:rsid w:val="00567D1E"/>
    <w:rsid w:val="00570133"/>
    <w:rsid w:val="00570200"/>
    <w:rsid w:val="005724D8"/>
    <w:rsid w:val="005724F0"/>
    <w:rsid w:val="00572556"/>
    <w:rsid w:val="00572733"/>
    <w:rsid w:val="00573752"/>
    <w:rsid w:val="005737B7"/>
    <w:rsid w:val="00573CD0"/>
    <w:rsid w:val="00574E21"/>
    <w:rsid w:val="005756E2"/>
    <w:rsid w:val="005756EB"/>
    <w:rsid w:val="005760D2"/>
    <w:rsid w:val="005764AD"/>
    <w:rsid w:val="005767C0"/>
    <w:rsid w:val="00576992"/>
    <w:rsid w:val="00577727"/>
    <w:rsid w:val="00577A6F"/>
    <w:rsid w:val="00577FC2"/>
    <w:rsid w:val="005800B6"/>
    <w:rsid w:val="005814A2"/>
    <w:rsid w:val="00581691"/>
    <w:rsid w:val="00582C06"/>
    <w:rsid w:val="00582EE1"/>
    <w:rsid w:val="0058637C"/>
    <w:rsid w:val="005872FA"/>
    <w:rsid w:val="005877F7"/>
    <w:rsid w:val="00587EE6"/>
    <w:rsid w:val="00587F0B"/>
    <w:rsid w:val="00591DDD"/>
    <w:rsid w:val="00592816"/>
    <w:rsid w:val="005942CE"/>
    <w:rsid w:val="00594C2E"/>
    <w:rsid w:val="00595147"/>
    <w:rsid w:val="005960D2"/>
    <w:rsid w:val="0059695B"/>
    <w:rsid w:val="005976B5"/>
    <w:rsid w:val="005A0146"/>
    <w:rsid w:val="005A0A6F"/>
    <w:rsid w:val="005A0F65"/>
    <w:rsid w:val="005A2C5B"/>
    <w:rsid w:val="005A500D"/>
    <w:rsid w:val="005A5104"/>
    <w:rsid w:val="005A5562"/>
    <w:rsid w:val="005A677D"/>
    <w:rsid w:val="005A7589"/>
    <w:rsid w:val="005A75E5"/>
    <w:rsid w:val="005B07F5"/>
    <w:rsid w:val="005B1902"/>
    <w:rsid w:val="005B2078"/>
    <w:rsid w:val="005B2E67"/>
    <w:rsid w:val="005B2E73"/>
    <w:rsid w:val="005B3350"/>
    <w:rsid w:val="005B3BC4"/>
    <w:rsid w:val="005B4114"/>
    <w:rsid w:val="005B4437"/>
    <w:rsid w:val="005B52EC"/>
    <w:rsid w:val="005B5D49"/>
    <w:rsid w:val="005B5DA4"/>
    <w:rsid w:val="005B6893"/>
    <w:rsid w:val="005B7A1E"/>
    <w:rsid w:val="005B7FAA"/>
    <w:rsid w:val="005C0EC0"/>
    <w:rsid w:val="005C19DA"/>
    <w:rsid w:val="005C25A1"/>
    <w:rsid w:val="005C294B"/>
    <w:rsid w:val="005C2F14"/>
    <w:rsid w:val="005C30BB"/>
    <w:rsid w:val="005C42EA"/>
    <w:rsid w:val="005C52EF"/>
    <w:rsid w:val="005C577C"/>
    <w:rsid w:val="005C7002"/>
    <w:rsid w:val="005C75A8"/>
    <w:rsid w:val="005C75EA"/>
    <w:rsid w:val="005D0A2C"/>
    <w:rsid w:val="005D0ECE"/>
    <w:rsid w:val="005D0F11"/>
    <w:rsid w:val="005D10E9"/>
    <w:rsid w:val="005D11B2"/>
    <w:rsid w:val="005D12F5"/>
    <w:rsid w:val="005D1662"/>
    <w:rsid w:val="005D3993"/>
    <w:rsid w:val="005D4023"/>
    <w:rsid w:val="005D43F6"/>
    <w:rsid w:val="005D52DD"/>
    <w:rsid w:val="005D56F0"/>
    <w:rsid w:val="005D5B4B"/>
    <w:rsid w:val="005D7DFC"/>
    <w:rsid w:val="005D7F60"/>
    <w:rsid w:val="005E051C"/>
    <w:rsid w:val="005E07E8"/>
    <w:rsid w:val="005E0AF4"/>
    <w:rsid w:val="005E0E64"/>
    <w:rsid w:val="005E1F61"/>
    <w:rsid w:val="005E2239"/>
    <w:rsid w:val="005E24FC"/>
    <w:rsid w:val="005E41E0"/>
    <w:rsid w:val="005E6428"/>
    <w:rsid w:val="005E6F2D"/>
    <w:rsid w:val="005E7EB3"/>
    <w:rsid w:val="005F0144"/>
    <w:rsid w:val="005F08B4"/>
    <w:rsid w:val="005F0D55"/>
    <w:rsid w:val="005F21AD"/>
    <w:rsid w:val="005F21DD"/>
    <w:rsid w:val="005F2A6E"/>
    <w:rsid w:val="005F2F21"/>
    <w:rsid w:val="005F36F9"/>
    <w:rsid w:val="005F3EF0"/>
    <w:rsid w:val="005F476B"/>
    <w:rsid w:val="005F5EC0"/>
    <w:rsid w:val="005F6493"/>
    <w:rsid w:val="005F766E"/>
    <w:rsid w:val="0060005F"/>
    <w:rsid w:val="00600327"/>
    <w:rsid w:val="00600B83"/>
    <w:rsid w:val="0060130D"/>
    <w:rsid w:val="00602A4B"/>
    <w:rsid w:val="00602E23"/>
    <w:rsid w:val="006048E0"/>
    <w:rsid w:val="006054B2"/>
    <w:rsid w:val="00605D57"/>
    <w:rsid w:val="00605D8F"/>
    <w:rsid w:val="006062A5"/>
    <w:rsid w:val="006066A8"/>
    <w:rsid w:val="006066E9"/>
    <w:rsid w:val="00606907"/>
    <w:rsid w:val="00606AE4"/>
    <w:rsid w:val="00611706"/>
    <w:rsid w:val="00611853"/>
    <w:rsid w:val="00612343"/>
    <w:rsid w:val="00612679"/>
    <w:rsid w:val="00612783"/>
    <w:rsid w:val="006132A1"/>
    <w:rsid w:val="006136F2"/>
    <w:rsid w:val="00613D49"/>
    <w:rsid w:val="00614109"/>
    <w:rsid w:val="0061480F"/>
    <w:rsid w:val="00615668"/>
    <w:rsid w:val="006172D0"/>
    <w:rsid w:val="00617F4F"/>
    <w:rsid w:val="00617F7B"/>
    <w:rsid w:val="00621C27"/>
    <w:rsid w:val="00621FDB"/>
    <w:rsid w:val="006230B0"/>
    <w:rsid w:val="006235CB"/>
    <w:rsid w:val="0062443E"/>
    <w:rsid w:val="006245AA"/>
    <w:rsid w:val="00624D35"/>
    <w:rsid w:val="00624D70"/>
    <w:rsid w:val="006253EC"/>
    <w:rsid w:val="00625BAB"/>
    <w:rsid w:val="00625D39"/>
    <w:rsid w:val="00626E90"/>
    <w:rsid w:val="006308F4"/>
    <w:rsid w:val="0063108D"/>
    <w:rsid w:val="00631DB8"/>
    <w:rsid w:val="00631F19"/>
    <w:rsid w:val="006325A3"/>
    <w:rsid w:val="00632C18"/>
    <w:rsid w:val="006342A3"/>
    <w:rsid w:val="0063593D"/>
    <w:rsid w:val="00635CBB"/>
    <w:rsid w:val="00636CE4"/>
    <w:rsid w:val="0063724E"/>
    <w:rsid w:val="00637A1E"/>
    <w:rsid w:val="0064067D"/>
    <w:rsid w:val="00641073"/>
    <w:rsid w:val="00641899"/>
    <w:rsid w:val="00642FED"/>
    <w:rsid w:val="006434C1"/>
    <w:rsid w:val="00643624"/>
    <w:rsid w:val="00643EC8"/>
    <w:rsid w:val="006447B5"/>
    <w:rsid w:val="0064583D"/>
    <w:rsid w:val="00645994"/>
    <w:rsid w:val="0064621F"/>
    <w:rsid w:val="006464F8"/>
    <w:rsid w:val="006472A9"/>
    <w:rsid w:val="00647731"/>
    <w:rsid w:val="00647EED"/>
    <w:rsid w:val="00650096"/>
    <w:rsid w:val="0065019A"/>
    <w:rsid w:val="0065020E"/>
    <w:rsid w:val="00651ED3"/>
    <w:rsid w:val="00652943"/>
    <w:rsid w:val="00652FE2"/>
    <w:rsid w:val="006536E1"/>
    <w:rsid w:val="006537E5"/>
    <w:rsid w:val="006545F4"/>
    <w:rsid w:val="006567E0"/>
    <w:rsid w:val="00656BC7"/>
    <w:rsid w:val="006603F0"/>
    <w:rsid w:val="00660AB3"/>
    <w:rsid w:val="00660B70"/>
    <w:rsid w:val="006619BD"/>
    <w:rsid w:val="00661A88"/>
    <w:rsid w:val="00662296"/>
    <w:rsid w:val="0066236F"/>
    <w:rsid w:val="00662A3C"/>
    <w:rsid w:val="00662C0F"/>
    <w:rsid w:val="00664C75"/>
    <w:rsid w:val="00665948"/>
    <w:rsid w:val="00665A3C"/>
    <w:rsid w:val="00665A83"/>
    <w:rsid w:val="00665AB6"/>
    <w:rsid w:val="00666255"/>
    <w:rsid w:val="006672DC"/>
    <w:rsid w:val="00667E77"/>
    <w:rsid w:val="00670167"/>
    <w:rsid w:val="00670A66"/>
    <w:rsid w:val="00670BA3"/>
    <w:rsid w:val="006724F9"/>
    <w:rsid w:val="00673733"/>
    <w:rsid w:val="006737A8"/>
    <w:rsid w:val="006748A1"/>
    <w:rsid w:val="00676389"/>
    <w:rsid w:val="006763AF"/>
    <w:rsid w:val="006777C6"/>
    <w:rsid w:val="00677901"/>
    <w:rsid w:val="00677D02"/>
    <w:rsid w:val="00677E2D"/>
    <w:rsid w:val="00680BC5"/>
    <w:rsid w:val="00681144"/>
    <w:rsid w:val="006826BB"/>
    <w:rsid w:val="00683549"/>
    <w:rsid w:val="0068456E"/>
    <w:rsid w:val="00684584"/>
    <w:rsid w:val="00685AE6"/>
    <w:rsid w:val="00686068"/>
    <w:rsid w:val="00686524"/>
    <w:rsid w:val="0068783D"/>
    <w:rsid w:val="00687B94"/>
    <w:rsid w:val="00687D48"/>
    <w:rsid w:val="0069055B"/>
    <w:rsid w:val="006908FF"/>
    <w:rsid w:val="006909CD"/>
    <w:rsid w:val="006915EF"/>
    <w:rsid w:val="006919E3"/>
    <w:rsid w:val="00691C8C"/>
    <w:rsid w:val="00691E61"/>
    <w:rsid w:val="0069361D"/>
    <w:rsid w:val="00693B0D"/>
    <w:rsid w:val="00693E81"/>
    <w:rsid w:val="00694DF6"/>
    <w:rsid w:val="006957B0"/>
    <w:rsid w:val="00695A2B"/>
    <w:rsid w:val="00696704"/>
    <w:rsid w:val="00697657"/>
    <w:rsid w:val="00697C06"/>
    <w:rsid w:val="006A0B3D"/>
    <w:rsid w:val="006A1144"/>
    <w:rsid w:val="006A256B"/>
    <w:rsid w:val="006A3932"/>
    <w:rsid w:val="006A4AB8"/>
    <w:rsid w:val="006A61BD"/>
    <w:rsid w:val="006A648B"/>
    <w:rsid w:val="006A67E1"/>
    <w:rsid w:val="006A7DD7"/>
    <w:rsid w:val="006B20EE"/>
    <w:rsid w:val="006B21DA"/>
    <w:rsid w:val="006B3174"/>
    <w:rsid w:val="006B3A95"/>
    <w:rsid w:val="006B4321"/>
    <w:rsid w:val="006B55D7"/>
    <w:rsid w:val="006B561E"/>
    <w:rsid w:val="006B5A2D"/>
    <w:rsid w:val="006B61A2"/>
    <w:rsid w:val="006B68E1"/>
    <w:rsid w:val="006B6E10"/>
    <w:rsid w:val="006B77AF"/>
    <w:rsid w:val="006B7A37"/>
    <w:rsid w:val="006C046E"/>
    <w:rsid w:val="006C0545"/>
    <w:rsid w:val="006C05D5"/>
    <w:rsid w:val="006C0ACE"/>
    <w:rsid w:val="006C100D"/>
    <w:rsid w:val="006C307E"/>
    <w:rsid w:val="006C3497"/>
    <w:rsid w:val="006C3BE1"/>
    <w:rsid w:val="006C4852"/>
    <w:rsid w:val="006C798B"/>
    <w:rsid w:val="006C7AD2"/>
    <w:rsid w:val="006C7F7B"/>
    <w:rsid w:val="006D08E4"/>
    <w:rsid w:val="006D0A0F"/>
    <w:rsid w:val="006D0CAA"/>
    <w:rsid w:val="006D105B"/>
    <w:rsid w:val="006D274C"/>
    <w:rsid w:val="006D3494"/>
    <w:rsid w:val="006D50CF"/>
    <w:rsid w:val="006D5205"/>
    <w:rsid w:val="006D5982"/>
    <w:rsid w:val="006D5BBE"/>
    <w:rsid w:val="006D6190"/>
    <w:rsid w:val="006D67CF"/>
    <w:rsid w:val="006D691C"/>
    <w:rsid w:val="006D7168"/>
    <w:rsid w:val="006E0C4A"/>
    <w:rsid w:val="006E11C9"/>
    <w:rsid w:val="006E1295"/>
    <w:rsid w:val="006E13E7"/>
    <w:rsid w:val="006E1F78"/>
    <w:rsid w:val="006E3346"/>
    <w:rsid w:val="006E381B"/>
    <w:rsid w:val="006E3A3C"/>
    <w:rsid w:val="006E5AEA"/>
    <w:rsid w:val="006E64D6"/>
    <w:rsid w:val="006E6868"/>
    <w:rsid w:val="006E7310"/>
    <w:rsid w:val="006E7739"/>
    <w:rsid w:val="006E7BCA"/>
    <w:rsid w:val="006F09FA"/>
    <w:rsid w:val="006F22F0"/>
    <w:rsid w:val="006F23CA"/>
    <w:rsid w:val="006F2F4C"/>
    <w:rsid w:val="006F36A6"/>
    <w:rsid w:val="006F3C28"/>
    <w:rsid w:val="006F3FED"/>
    <w:rsid w:val="006F4966"/>
    <w:rsid w:val="006F701B"/>
    <w:rsid w:val="006F7564"/>
    <w:rsid w:val="006F7A19"/>
    <w:rsid w:val="007000BC"/>
    <w:rsid w:val="007000FA"/>
    <w:rsid w:val="00700B34"/>
    <w:rsid w:val="00700DC9"/>
    <w:rsid w:val="007010A5"/>
    <w:rsid w:val="00701AEA"/>
    <w:rsid w:val="00701CB6"/>
    <w:rsid w:val="00702968"/>
    <w:rsid w:val="00702E35"/>
    <w:rsid w:val="00703E22"/>
    <w:rsid w:val="00703EBF"/>
    <w:rsid w:val="0070424A"/>
    <w:rsid w:val="0070464B"/>
    <w:rsid w:val="00705DE0"/>
    <w:rsid w:val="00706793"/>
    <w:rsid w:val="007067E6"/>
    <w:rsid w:val="00710266"/>
    <w:rsid w:val="007105CD"/>
    <w:rsid w:val="00711852"/>
    <w:rsid w:val="00711E91"/>
    <w:rsid w:val="00711F1D"/>
    <w:rsid w:val="00712608"/>
    <w:rsid w:val="00712767"/>
    <w:rsid w:val="00712BBB"/>
    <w:rsid w:val="00714B9A"/>
    <w:rsid w:val="00715025"/>
    <w:rsid w:val="0071525C"/>
    <w:rsid w:val="0071556B"/>
    <w:rsid w:val="00715A4E"/>
    <w:rsid w:val="00716AE0"/>
    <w:rsid w:val="007201B9"/>
    <w:rsid w:val="00720A48"/>
    <w:rsid w:val="00721FB1"/>
    <w:rsid w:val="0072287D"/>
    <w:rsid w:val="00722B25"/>
    <w:rsid w:val="00722B5E"/>
    <w:rsid w:val="00724655"/>
    <w:rsid w:val="007250A2"/>
    <w:rsid w:val="007256F5"/>
    <w:rsid w:val="007258E9"/>
    <w:rsid w:val="00725E0F"/>
    <w:rsid w:val="00726FF6"/>
    <w:rsid w:val="00727F5F"/>
    <w:rsid w:val="00730013"/>
    <w:rsid w:val="00730EA2"/>
    <w:rsid w:val="0073187A"/>
    <w:rsid w:val="00731D86"/>
    <w:rsid w:val="00732E2A"/>
    <w:rsid w:val="00733952"/>
    <w:rsid w:val="007350FB"/>
    <w:rsid w:val="00735425"/>
    <w:rsid w:val="00735CFF"/>
    <w:rsid w:val="00735F7E"/>
    <w:rsid w:val="00736073"/>
    <w:rsid w:val="007405FE"/>
    <w:rsid w:val="00741999"/>
    <w:rsid w:val="007430B1"/>
    <w:rsid w:val="0074429F"/>
    <w:rsid w:val="00744831"/>
    <w:rsid w:val="00744866"/>
    <w:rsid w:val="0074519A"/>
    <w:rsid w:val="0074523B"/>
    <w:rsid w:val="00745690"/>
    <w:rsid w:val="007465A5"/>
    <w:rsid w:val="00746A71"/>
    <w:rsid w:val="007475DB"/>
    <w:rsid w:val="0075116C"/>
    <w:rsid w:val="00752D3B"/>
    <w:rsid w:val="00755267"/>
    <w:rsid w:val="00755274"/>
    <w:rsid w:val="00755639"/>
    <w:rsid w:val="00755F15"/>
    <w:rsid w:val="00756033"/>
    <w:rsid w:val="00756402"/>
    <w:rsid w:val="00757512"/>
    <w:rsid w:val="007606CF"/>
    <w:rsid w:val="00760B70"/>
    <w:rsid w:val="007637B8"/>
    <w:rsid w:val="00763E84"/>
    <w:rsid w:val="00764210"/>
    <w:rsid w:val="00764780"/>
    <w:rsid w:val="00764D30"/>
    <w:rsid w:val="00764E8F"/>
    <w:rsid w:val="007651FD"/>
    <w:rsid w:val="007673D3"/>
    <w:rsid w:val="00767733"/>
    <w:rsid w:val="00767EA9"/>
    <w:rsid w:val="00770858"/>
    <w:rsid w:val="00770D2D"/>
    <w:rsid w:val="00771F60"/>
    <w:rsid w:val="0077228E"/>
    <w:rsid w:val="00772331"/>
    <w:rsid w:val="007732AA"/>
    <w:rsid w:val="007740C4"/>
    <w:rsid w:val="0077424D"/>
    <w:rsid w:val="007742C1"/>
    <w:rsid w:val="007747C6"/>
    <w:rsid w:val="00774B4C"/>
    <w:rsid w:val="00774D7A"/>
    <w:rsid w:val="007758E0"/>
    <w:rsid w:val="00776947"/>
    <w:rsid w:val="00776B21"/>
    <w:rsid w:val="00777136"/>
    <w:rsid w:val="0078026F"/>
    <w:rsid w:val="00780330"/>
    <w:rsid w:val="00781122"/>
    <w:rsid w:val="007819DD"/>
    <w:rsid w:val="007819F6"/>
    <w:rsid w:val="00781D1C"/>
    <w:rsid w:val="00782AFF"/>
    <w:rsid w:val="00782C65"/>
    <w:rsid w:val="007831F0"/>
    <w:rsid w:val="00783733"/>
    <w:rsid w:val="00783883"/>
    <w:rsid w:val="00786289"/>
    <w:rsid w:val="007865E6"/>
    <w:rsid w:val="00787BEA"/>
    <w:rsid w:val="007916B4"/>
    <w:rsid w:val="007920C7"/>
    <w:rsid w:val="00792322"/>
    <w:rsid w:val="0079234F"/>
    <w:rsid w:val="00793198"/>
    <w:rsid w:val="0079371F"/>
    <w:rsid w:val="00793CB5"/>
    <w:rsid w:val="00793EF6"/>
    <w:rsid w:val="00795EC4"/>
    <w:rsid w:val="007970C1"/>
    <w:rsid w:val="007970C8"/>
    <w:rsid w:val="007976AE"/>
    <w:rsid w:val="00797730"/>
    <w:rsid w:val="00797850"/>
    <w:rsid w:val="007A04B8"/>
    <w:rsid w:val="007A0774"/>
    <w:rsid w:val="007A099D"/>
    <w:rsid w:val="007A1189"/>
    <w:rsid w:val="007A1268"/>
    <w:rsid w:val="007A1B25"/>
    <w:rsid w:val="007A213F"/>
    <w:rsid w:val="007A2F9E"/>
    <w:rsid w:val="007A3AA4"/>
    <w:rsid w:val="007A41CA"/>
    <w:rsid w:val="007A47F2"/>
    <w:rsid w:val="007A51E6"/>
    <w:rsid w:val="007A5AE2"/>
    <w:rsid w:val="007A61EA"/>
    <w:rsid w:val="007A7075"/>
    <w:rsid w:val="007B1B8D"/>
    <w:rsid w:val="007B2F7B"/>
    <w:rsid w:val="007B36E7"/>
    <w:rsid w:val="007B42F0"/>
    <w:rsid w:val="007B4D27"/>
    <w:rsid w:val="007B4D4D"/>
    <w:rsid w:val="007B4FB0"/>
    <w:rsid w:val="007B7553"/>
    <w:rsid w:val="007B7D07"/>
    <w:rsid w:val="007B7E77"/>
    <w:rsid w:val="007B7F57"/>
    <w:rsid w:val="007C048E"/>
    <w:rsid w:val="007C128A"/>
    <w:rsid w:val="007C18AD"/>
    <w:rsid w:val="007C2725"/>
    <w:rsid w:val="007C29BD"/>
    <w:rsid w:val="007C2B31"/>
    <w:rsid w:val="007C340F"/>
    <w:rsid w:val="007C4013"/>
    <w:rsid w:val="007C47AB"/>
    <w:rsid w:val="007C52F4"/>
    <w:rsid w:val="007C5D17"/>
    <w:rsid w:val="007C7B12"/>
    <w:rsid w:val="007D1315"/>
    <w:rsid w:val="007D2306"/>
    <w:rsid w:val="007D3137"/>
    <w:rsid w:val="007D45C5"/>
    <w:rsid w:val="007D536C"/>
    <w:rsid w:val="007D5398"/>
    <w:rsid w:val="007D5861"/>
    <w:rsid w:val="007D60C3"/>
    <w:rsid w:val="007D635A"/>
    <w:rsid w:val="007D6797"/>
    <w:rsid w:val="007D6E4F"/>
    <w:rsid w:val="007D6F9A"/>
    <w:rsid w:val="007D7F56"/>
    <w:rsid w:val="007E0551"/>
    <w:rsid w:val="007E10F3"/>
    <w:rsid w:val="007E1636"/>
    <w:rsid w:val="007E3426"/>
    <w:rsid w:val="007E35B5"/>
    <w:rsid w:val="007E36AE"/>
    <w:rsid w:val="007E423C"/>
    <w:rsid w:val="007E42AE"/>
    <w:rsid w:val="007E46CF"/>
    <w:rsid w:val="007E4D47"/>
    <w:rsid w:val="007E6F9E"/>
    <w:rsid w:val="007E7BD3"/>
    <w:rsid w:val="007F1259"/>
    <w:rsid w:val="007F22E3"/>
    <w:rsid w:val="007F3BA2"/>
    <w:rsid w:val="007F3F6E"/>
    <w:rsid w:val="007F43E3"/>
    <w:rsid w:val="007F4E30"/>
    <w:rsid w:val="007F518A"/>
    <w:rsid w:val="007F5778"/>
    <w:rsid w:val="007F5787"/>
    <w:rsid w:val="007F5B20"/>
    <w:rsid w:val="007F5B7B"/>
    <w:rsid w:val="007F5EA1"/>
    <w:rsid w:val="008004F2"/>
    <w:rsid w:val="00801582"/>
    <w:rsid w:val="0080158B"/>
    <w:rsid w:val="008015E6"/>
    <w:rsid w:val="00802351"/>
    <w:rsid w:val="0080350A"/>
    <w:rsid w:val="00803D91"/>
    <w:rsid w:val="008046A4"/>
    <w:rsid w:val="008047DB"/>
    <w:rsid w:val="00805050"/>
    <w:rsid w:val="00805758"/>
    <w:rsid w:val="008063EB"/>
    <w:rsid w:val="00806DAF"/>
    <w:rsid w:val="00807D3D"/>
    <w:rsid w:val="0081149C"/>
    <w:rsid w:val="0081182E"/>
    <w:rsid w:val="008124A0"/>
    <w:rsid w:val="008128FE"/>
    <w:rsid w:val="00812D95"/>
    <w:rsid w:val="00813487"/>
    <w:rsid w:val="00813EA9"/>
    <w:rsid w:val="00813EB2"/>
    <w:rsid w:val="008145CB"/>
    <w:rsid w:val="00814922"/>
    <w:rsid w:val="00815CA2"/>
    <w:rsid w:val="00816B96"/>
    <w:rsid w:val="00820751"/>
    <w:rsid w:val="008211DE"/>
    <w:rsid w:val="00821D5D"/>
    <w:rsid w:val="008223D2"/>
    <w:rsid w:val="00822AAA"/>
    <w:rsid w:val="00823848"/>
    <w:rsid w:val="00823A6A"/>
    <w:rsid w:val="008243E2"/>
    <w:rsid w:val="00824601"/>
    <w:rsid w:val="008247A4"/>
    <w:rsid w:val="00825EE7"/>
    <w:rsid w:val="0082665A"/>
    <w:rsid w:val="00826695"/>
    <w:rsid w:val="008305CD"/>
    <w:rsid w:val="0083106D"/>
    <w:rsid w:val="00831916"/>
    <w:rsid w:val="00831951"/>
    <w:rsid w:val="008328DA"/>
    <w:rsid w:val="00832B12"/>
    <w:rsid w:val="00834310"/>
    <w:rsid w:val="00835EA6"/>
    <w:rsid w:val="008360B0"/>
    <w:rsid w:val="00836516"/>
    <w:rsid w:val="00836A17"/>
    <w:rsid w:val="00840511"/>
    <w:rsid w:val="008408BB"/>
    <w:rsid w:val="00842686"/>
    <w:rsid w:val="008435BC"/>
    <w:rsid w:val="00843F1B"/>
    <w:rsid w:val="0084426B"/>
    <w:rsid w:val="00845222"/>
    <w:rsid w:val="0084557D"/>
    <w:rsid w:val="008456D1"/>
    <w:rsid w:val="0085060E"/>
    <w:rsid w:val="008507EA"/>
    <w:rsid w:val="00850940"/>
    <w:rsid w:val="00850B8F"/>
    <w:rsid w:val="00850E32"/>
    <w:rsid w:val="008510D7"/>
    <w:rsid w:val="008510FC"/>
    <w:rsid w:val="008513C5"/>
    <w:rsid w:val="00851CC4"/>
    <w:rsid w:val="00852657"/>
    <w:rsid w:val="00852F57"/>
    <w:rsid w:val="00853463"/>
    <w:rsid w:val="00853AD5"/>
    <w:rsid w:val="0085401D"/>
    <w:rsid w:val="00855547"/>
    <w:rsid w:val="00855D65"/>
    <w:rsid w:val="00860244"/>
    <w:rsid w:val="00860359"/>
    <w:rsid w:val="00860630"/>
    <w:rsid w:val="008609E6"/>
    <w:rsid w:val="00860F57"/>
    <w:rsid w:val="00860F5A"/>
    <w:rsid w:val="0086280C"/>
    <w:rsid w:val="00864356"/>
    <w:rsid w:val="0086461E"/>
    <w:rsid w:val="00865369"/>
    <w:rsid w:val="0086539F"/>
    <w:rsid w:val="0086566F"/>
    <w:rsid w:val="00865EAC"/>
    <w:rsid w:val="008661F3"/>
    <w:rsid w:val="00867032"/>
    <w:rsid w:val="00867EFB"/>
    <w:rsid w:val="00870E7F"/>
    <w:rsid w:val="00872779"/>
    <w:rsid w:val="00872F59"/>
    <w:rsid w:val="008735D7"/>
    <w:rsid w:val="00874101"/>
    <w:rsid w:val="0087470D"/>
    <w:rsid w:val="00874776"/>
    <w:rsid w:val="0087490B"/>
    <w:rsid w:val="00874C5E"/>
    <w:rsid w:val="0087562A"/>
    <w:rsid w:val="00877008"/>
    <w:rsid w:val="00877491"/>
    <w:rsid w:val="00877990"/>
    <w:rsid w:val="00880FEC"/>
    <w:rsid w:val="0088110E"/>
    <w:rsid w:val="00881586"/>
    <w:rsid w:val="0088167A"/>
    <w:rsid w:val="00881871"/>
    <w:rsid w:val="008837F1"/>
    <w:rsid w:val="00883F0D"/>
    <w:rsid w:val="00884505"/>
    <w:rsid w:val="00885675"/>
    <w:rsid w:val="008871AE"/>
    <w:rsid w:val="008878D8"/>
    <w:rsid w:val="00887AAE"/>
    <w:rsid w:val="008904DA"/>
    <w:rsid w:val="00890B65"/>
    <w:rsid w:val="008910FA"/>
    <w:rsid w:val="00891CB4"/>
    <w:rsid w:val="008927E8"/>
    <w:rsid w:val="00893F4C"/>
    <w:rsid w:val="00895991"/>
    <w:rsid w:val="00896E5D"/>
    <w:rsid w:val="00896F29"/>
    <w:rsid w:val="00896F7D"/>
    <w:rsid w:val="008A0783"/>
    <w:rsid w:val="008A1A93"/>
    <w:rsid w:val="008A3136"/>
    <w:rsid w:val="008A3240"/>
    <w:rsid w:val="008A3D64"/>
    <w:rsid w:val="008A4E12"/>
    <w:rsid w:val="008A5600"/>
    <w:rsid w:val="008A5C46"/>
    <w:rsid w:val="008A66EB"/>
    <w:rsid w:val="008A6C7E"/>
    <w:rsid w:val="008A749C"/>
    <w:rsid w:val="008A7777"/>
    <w:rsid w:val="008B1043"/>
    <w:rsid w:val="008B1742"/>
    <w:rsid w:val="008B38D8"/>
    <w:rsid w:val="008B4632"/>
    <w:rsid w:val="008B5444"/>
    <w:rsid w:val="008B5584"/>
    <w:rsid w:val="008B74CE"/>
    <w:rsid w:val="008B7BF4"/>
    <w:rsid w:val="008C0AC5"/>
    <w:rsid w:val="008C2F69"/>
    <w:rsid w:val="008C3164"/>
    <w:rsid w:val="008C3711"/>
    <w:rsid w:val="008C3F79"/>
    <w:rsid w:val="008C4981"/>
    <w:rsid w:val="008C4BB3"/>
    <w:rsid w:val="008C50DF"/>
    <w:rsid w:val="008C5C05"/>
    <w:rsid w:val="008C60E6"/>
    <w:rsid w:val="008C64BD"/>
    <w:rsid w:val="008C6681"/>
    <w:rsid w:val="008C77F5"/>
    <w:rsid w:val="008C7B12"/>
    <w:rsid w:val="008C7E98"/>
    <w:rsid w:val="008D04F4"/>
    <w:rsid w:val="008D155C"/>
    <w:rsid w:val="008D1A48"/>
    <w:rsid w:val="008D2175"/>
    <w:rsid w:val="008D2756"/>
    <w:rsid w:val="008D2AA3"/>
    <w:rsid w:val="008D35EB"/>
    <w:rsid w:val="008D3955"/>
    <w:rsid w:val="008D3B53"/>
    <w:rsid w:val="008D4AB2"/>
    <w:rsid w:val="008D4BF1"/>
    <w:rsid w:val="008D54D2"/>
    <w:rsid w:val="008D622C"/>
    <w:rsid w:val="008D6ED6"/>
    <w:rsid w:val="008E07B3"/>
    <w:rsid w:val="008E09DD"/>
    <w:rsid w:val="008E20F7"/>
    <w:rsid w:val="008E2F98"/>
    <w:rsid w:val="008E33FF"/>
    <w:rsid w:val="008E38D1"/>
    <w:rsid w:val="008E4626"/>
    <w:rsid w:val="008E4838"/>
    <w:rsid w:val="008E49ED"/>
    <w:rsid w:val="008E4ED3"/>
    <w:rsid w:val="008E5338"/>
    <w:rsid w:val="008E5C28"/>
    <w:rsid w:val="008E5D9D"/>
    <w:rsid w:val="008E6034"/>
    <w:rsid w:val="008E62D3"/>
    <w:rsid w:val="008E6863"/>
    <w:rsid w:val="008E732F"/>
    <w:rsid w:val="008F03CF"/>
    <w:rsid w:val="008F1066"/>
    <w:rsid w:val="008F10A8"/>
    <w:rsid w:val="008F2336"/>
    <w:rsid w:val="008F2E3D"/>
    <w:rsid w:val="008F3A3F"/>
    <w:rsid w:val="008F3FDB"/>
    <w:rsid w:val="008F4FD5"/>
    <w:rsid w:val="008F501B"/>
    <w:rsid w:val="008F6421"/>
    <w:rsid w:val="008F70BD"/>
    <w:rsid w:val="008F77A9"/>
    <w:rsid w:val="008F783E"/>
    <w:rsid w:val="0090085D"/>
    <w:rsid w:val="00905B99"/>
    <w:rsid w:val="00905C73"/>
    <w:rsid w:val="0090712E"/>
    <w:rsid w:val="00907209"/>
    <w:rsid w:val="00907AE7"/>
    <w:rsid w:val="009102E3"/>
    <w:rsid w:val="00910647"/>
    <w:rsid w:val="009119CF"/>
    <w:rsid w:val="0091201E"/>
    <w:rsid w:val="009133BF"/>
    <w:rsid w:val="00913CA1"/>
    <w:rsid w:val="00914B71"/>
    <w:rsid w:val="009151B2"/>
    <w:rsid w:val="00915236"/>
    <w:rsid w:val="00916541"/>
    <w:rsid w:val="00916A91"/>
    <w:rsid w:val="00917E4B"/>
    <w:rsid w:val="00917F5C"/>
    <w:rsid w:val="009215DE"/>
    <w:rsid w:val="00921A60"/>
    <w:rsid w:val="009222A6"/>
    <w:rsid w:val="00922D73"/>
    <w:rsid w:val="00925122"/>
    <w:rsid w:val="00925488"/>
    <w:rsid w:val="009255A6"/>
    <w:rsid w:val="009263E4"/>
    <w:rsid w:val="00927D0D"/>
    <w:rsid w:val="00927F76"/>
    <w:rsid w:val="0093090B"/>
    <w:rsid w:val="0093153B"/>
    <w:rsid w:val="00932ECA"/>
    <w:rsid w:val="00933828"/>
    <w:rsid w:val="00933BB8"/>
    <w:rsid w:val="009340D5"/>
    <w:rsid w:val="009346DF"/>
    <w:rsid w:val="00935035"/>
    <w:rsid w:val="00935660"/>
    <w:rsid w:val="009358A7"/>
    <w:rsid w:val="00935984"/>
    <w:rsid w:val="0094057E"/>
    <w:rsid w:val="00942D86"/>
    <w:rsid w:val="00943845"/>
    <w:rsid w:val="00943987"/>
    <w:rsid w:val="00945A86"/>
    <w:rsid w:val="00947078"/>
    <w:rsid w:val="00947662"/>
    <w:rsid w:val="00947896"/>
    <w:rsid w:val="00950415"/>
    <w:rsid w:val="00950A1B"/>
    <w:rsid w:val="009515CB"/>
    <w:rsid w:val="00951E9A"/>
    <w:rsid w:val="00952488"/>
    <w:rsid w:val="00953786"/>
    <w:rsid w:val="00955A62"/>
    <w:rsid w:val="00955C2B"/>
    <w:rsid w:val="009579C3"/>
    <w:rsid w:val="00960111"/>
    <w:rsid w:val="0096057E"/>
    <w:rsid w:val="009607D6"/>
    <w:rsid w:val="00960845"/>
    <w:rsid w:val="00960F47"/>
    <w:rsid w:val="00962941"/>
    <w:rsid w:val="009630B6"/>
    <w:rsid w:val="009633F5"/>
    <w:rsid w:val="009634D1"/>
    <w:rsid w:val="009640F9"/>
    <w:rsid w:val="00964777"/>
    <w:rsid w:val="00964A6B"/>
    <w:rsid w:val="00965F9C"/>
    <w:rsid w:val="00966B46"/>
    <w:rsid w:val="0096789F"/>
    <w:rsid w:val="00967C73"/>
    <w:rsid w:val="009700AE"/>
    <w:rsid w:val="00970ADC"/>
    <w:rsid w:val="00972856"/>
    <w:rsid w:val="00974277"/>
    <w:rsid w:val="00974A21"/>
    <w:rsid w:val="00975659"/>
    <w:rsid w:val="00975D60"/>
    <w:rsid w:val="0097604D"/>
    <w:rsid w:val="00977146"/>
    <w:rsid w:val="009772C0"/>
    <w:rsid w:val="00977391"/>
    <w:rsid w:val="00980A41"/>
    <w:rsid w:val="009818FA"/>
    <w:rsid w:val="009818FE"/>
    <w:rsid w:val="00982C39"/>
    <w:rsid w:val="00982EE6"/>
    <w:rsid w:val="009830FA"/>
    <w:rsid w:val="0098315A"/>
    <w:rsid w:val="00983223"/>
    <w:rsid w:val="00983B70"/>
    <w:rsid w:val="00984352"/>
    <w:rsid w:val="00984EA9"/>
    <w:rsid w:val="00987B99"/>
    <w:rsid w:val="00987BA0"/>
    <w:rsid w:val="0099138D"/>
    <w:rsid w:val="00992D76"/>
    <w:rsid w:val="0099395E"/>
    <w:rsid w:val="00993BC8"/>
    <w:rsid w:val="0099409B"/>
    <w:rsid w:val="00995BD2"/>
    <w:rsid w:val="009967AC"/>
    <w:rsid w:val="00996A27"/>
    <w:rsid w:val="00996BCB"/>
    <w:rsid w:val="00996E60"/>
    <w:rsid w:val="00996F4B"/>
    <w:rsid w:val="009970E9"/>
    <w:rsid w:val="00997B8A"/>
    <w:rsid w:val="00997EE1"/>
    <w:rsid w:val="009A05E9"/>
    <w:rsid w:val="009A1F0F"/>
    <w:rsid w:val="009A3341"/>
    <w:rsid w:val="009A52E3"/>
    <w:rsid w:val="009A5820"/>
    <w:rsid w:val="009A6045"/>
    <w:rsid w:val="009A6622"/>
    <w:rsid w:val="009A6CE8"/>
    <w:rsid w:val="009A7F12"/>
    <w:rsid w:val="009B1A43"/>
    <w:rsid w:val="009B2940"/>
    <w:rsid w:val="009B29D5"/>
    <w:rsid w:val="009B2DCD"/>
    <w:rsid w:val="009B3155"/>
    <w:rsid w:val="009B3767"/>
    <w:rsid w:val="009B50CD"/>
    <w:rsid w:val="009B5C6E"/>
    <w:rsid w:val="009B613D"/>
    <w:rsid w:val="009B6182"/>
    <w:rsid w:val="009B6DF4"/>
    <w:rsid w:val="009B6EFF"/>
    <w:rsid w:val="009B70E6"/>
    <w:rsid w:val="009C0701"/>
    <w:rsid w:val="009C0BE7"/>
    <w:rsid w:val="009C1E37"/>
    <w:rsid w:val="009C37AB"/>
    <w:rsid w:val="009C47C4"/>
    <w:rsid w:val="009C6C7E"/>
    <w:rsid w:val="009C747E"/>
    <w:rsid w:val="009C7749"/>
    <w:rsid w:val="009D079B"/>
    <w:rsid w:val="009D0B28"/>
    <w:rsid w:val="009D0B61"/>
    <w:rsid w:val="009D16CA"/>
    <w:rsid w:val="009D17AF"/>
    <w:rsid w:val="009D1841"/>
    <w:rsid w:val="009D1C0E"/>
    <w:rsid w:val="009D2A31"/>
    <w:rsid w:val="009D2D45"/>
    <w:rsid w:val="009D37BA"/>
    <w:rsid w:val="009D3AC9"/>
    <w:rsid w:val="009D3C07"/>
    <w:rsid w:val="009D41A4"/>
    <w:rsid w:val="009D4477"/>
    <w:rsid w:val="009D4FF1"/>
    <w:rsid w:val="009D6245"/>
    <w:rsid w:val="009D6553"/>
    <w:rsid w:val="009D66C2"/>
    <w:rsid w:val="009D6CFD"/>
    <w:rsid w:val="009D7B6F"/>
    <w:rsid w:val="009D7DDA"/>
    <w:rsid w:val="009E0170"/>
    <w:rsid w:val="009E0EC0"/>
    <w:rsid w:val="009E2269"/>
    <w:rsid w:val="009E25B8"/>
    <w:rsid w:val="009E2EC1"/>
    <w:rsid w:val="009E376B"/>
    <w:rsid w:val="009E3FC9"/>
    <w:rsid w:val="009E412C"/>
    <w:rsid w:val="009E50C0"/>
    <w:rsid w:val="009E5B98"/>
    <w:rsid w:val="009E6C73"/>
    <w:rsid w:val="009F051C"/>
    <w:rsid w:val="009F0653"/>
    <w:rsid w:val="009F096B"/>
    <w:rsid w:val="009F24C7"/>
    <w:rsid w:val="009F33B3"/>
    <w:rsid w:val="009F421E"/>
    <w:rsid w:val="009F4456"/>
    <w:rsid w:val="009F66D1"/>
    <w:rsid w:val="009F75B8"/>
    <w:rsid w:val="00A00044"/>
    <w:rsid w:val="00A00622"/>
    <w:rsid w:val="00A00894"/>
    <w:rsid w:val="00A01D1A"/>
    <w:rsid w:val="00A03661"/>
    <w:rsid w:val="00A03F0A"/>
    <w:rsid w:val="00A03F5F"/>
    <w:rsid w:val="00A03FBB"/>
    <w:rsid w:val="00A04079"/>
    <w:rsid w:val="00A0442E"/>
    <w:rsid w:val="00A04CA1"/>
    <w:rsid w:val="00A05273"/>
    <w:rsid w:val="00A05998"/>
    <w:rsid w:val="00A07A14"/>
    <w:rsid w:val="00A07CDC"/>
    <w:rsid w:val="00A10882"/>
    <w:rsid w:val="00A1241F"/>
    <w:rsid w:val="00A126FB"/>
    <w:rsid w:val="00A12C5D"/>
    <w:rsid w:val="00A148CD"/>
    <w:rsid w:val="00A14A02"/>
    <w:rsid w:val="00A14A8C"/>
    <w:rsid w:val="00A156EC"/>
    <w:rsid w:val="00A15857"/>
    <w:rsid w:val="00A1587D"/>
    <w:rsid w:val="00A163BA"/>
    <w:rsid w:val="00A1682C"/>
    <w:rsid w:val="00A169DC"/>
    <w:rsid w:val="00A17F24"/>
    <w:rsid w:val="00A202FE"/>
    <w:rsid w:val="00A20770"/>
    <w:rsid w:val="00A210AD"/>
    <w:rsid w:val="00A2198D"/>
    <w:rsid w:val="00A223B1"/>
    <w:rsid w:val="00A22727"/>
    <w:rsid w:val="00A236DD"/>
    <w:rsid w:val="00A2447D"/>
    <w:rsid w:val="00A247D8"/>
    <w:rsid w:val="00A25786"/>
    <w:rsid w:val="00A2659C"/>
    <w:rsid w:val="00A26BF2"/>
    <w:rsid w:val="00A270B3"/>
    <w:rsid w:val="00A27AA2"/>
    <w:rsid w:val="00A27B4E"/>
    <w:rsid w:val="00A31988"/>
    <w:rsid w:val="00A32303"/>
    <w:rsid w:val="00A33244"/>
    <w:rsid w:val="00A33B27"/>
    <w:rsid w:val="00A33E4C"/>
    <w:rsid w:val="00A342C5"/>
    <w:rsid w:val="00A349B0"/>
    <w:rsid w:val="00A358C0"/>
    <w:rsid w:val="00A35CFB"/>
    <w:rsid w:val="00A3657A"/>
    <w:rsid w:val="00A37064"/>
    <w:rsid w:val="00A400E3"/>
    <w:rsid w:val="00A40758"/>
    <w:rsid w:val="00A40C3A"/>
    <w:rsid w:val="00A40DC8"/>
    <w:rsid w:val="00A41444"/>
    <w:rsid w:val="00A422A5"/>
    <w:rsid w:val="00A432B7"/>
    <w:rsid w:val="00A432F1"/>
    <w:rsid w:val="00A43A1F"/>
    <w:rsid w:val="00A450FB"/>
    <w:rsid w:val="00A45D90"/>
    <w:rsid w:val="00A461B2"/>
    <w:rsid w:val="00A50296"/>
    <w:rsid w:val="00A512C6"/>
    <w:rsid w:val="00A51515"/>
    <w:rsid w:val="00A515A1"/>
    <w:rsid w:val="00A51FBA"/>
    <w:rsid w:val="00A53A66"/>
    <w:rsid w:val="00A5407A"/>
    <w:rsid w:val="00A545FB"/>
    <w:rsid w:val="00A5512A"/>
    <w:rsid w:val="00A577D0"/>
    <w:rsid w:val="00A57A08"/>
    <w:rsid w:val="00A57CCE"/>
    <w:rsid w:val="00A60B2E"/>
    <w:rsid w:val="00A60BFC"/>
    <w:rsid w:val="00A612A1"/>
    <w:rsid w:val="00A61500"/>
    <w:rsid w:val="00A62561"/>
    <w:rsid w:val="00A6327E"/>
    <w:rsid w:val="00A63C39"/>
    <w:rsid w:val="00A64051"/>
    <w:rsid w:val="00A64142"/>
    <w:rsid w:val="00A641D1"/>
    <w:rsid w:val="00A65502"/>
    <w:rsid w:val="00A65D7B"/>
    <w:rsid w:val="00A66795"/>
    <w:rsid w:val="00A66924"/>
    <w:rsid w:val="00A6713A"/>
    <w:rsid w:val="00A708D2"/>
    <w:rsid w:val="00A71026"/>
    <w:rsid w:val="00A71B8C"/>
    <w:rsid w:val="00A71D14"/>
    <w:rsid w:val="00A71FC3"/>
    <w:rsid w:val="00A71FE3"/>
    <w:rsid w:val="00A734E9"/>
    <w:rsid w:val="00A75937"/>
    <w:rsid w:val="00A76285"/>
    <w:rsid w:val="00A769CD"/>
    <w:rsid w:val="00A76A46"/>
    <w:rsid w:val="00A77495"/>
    <w:rsid w:val="00A80F82"/>
    <w:rsid w:val="00A815C9"/>
    <w:rsid w:val="00A81BC2"/>
    <w:rsid w:val="00A81E2D"/>
    <w:rsid w:val="00A828E6"/>
    <w:rsid w:val="00A83EC3"/>
    <w:rsid w:val="00A83FA7"/>
    <w:rsid w:val="00A85377"/>
    <w:rsid w:val="00A85C76"/>
    <w:rsid w:val="00A85C81"/>
    <w:rsid w:val="00A86208"/>
    <w:rsid w:val="00A86259"/>
    <w:rsid w:val="00A86C9A"/>
    <w:rsid w:val="00A8784A"/>
    <w:rsid w:val="00A87DA4"/>
    <w:rsid w:val="00A905E3"/>
    <w:rsid w:val="00A924BA"/>
    <w:rsid w:val="00A92E0E"/>
    <w:rsid w:val="00A958A2"/>
    <w:rsid w:val="00A95A60"/>
    <w:rsid w:val="00AA01AF"/>
    <w:rsid w:val="00AA07E3"/>
    <w:rsid w:val="00AA0836"/>
    <w:rsid w:val="00AA17AB"/>
    <w:rsid w:val="00AA18AB"/>
    <w:rsid w:val="00AA2339"/>
    <w:rsid w:val="00AA28F5"/>
    <w:rsid w:val="00AA2A1B"/>
    <w:rsid w:val="00AA35F8"/>
    <w:rsid w:val="00AA38A9"/>
    <w:rsid w:val="00AA3F72"/>
    <w:rsid w:val="00AA40BB"/>
    <w:rsid w:val="00AA4F77"/>
    <w:rsid w:val="00AA5311"/>
    <w:rsid w:val="00AA721A"/>
    <w:rsid w:val="00AB04B7"/>
    <w:rsid w:val="00AB215D"/>
    <w:rsid w:val="00AB260D"/>
    <w:rsid w:val="00AB27D3"/>
    <w:rsid w:val="00AB3194"/>
    <w:rsid w:val="00AB3298"/>
    <w:rsid w:val="00AB34AE"/>
    <w:rsid w:val="00AB3BE6"/>
    <w:rsid w:val="00AB3C61"/>
    <w:rsid w:val="00AB5103"/>
    <w:rsid w:val="00AB5609"/>
    <w:rsid w:val="00AB6396"/>
    <w:rsid w:val="00AB676C"/>
    <w:rsid w:val="00AB6EC1"/>
    <w:rsid w:val="00AB735B"/>
    <w:rsid w:val="00AB7F38"/>
    <w:rsid w:val="00AC0306"/>
    <w:rsid w:val="00AC078F"/>
    <w:rsid w:val="00AC087A"/>
    <w:rsid w:val="00AC0DC6"/>
    <w:rsid w:val="00AC0E97"/>
    <w:rsid w:val="00AC176A"/>
    <w:rsid w:val="00AC1A02"/>
    <w:rsid w:val="00AC2517"/>
    <w:rsid w:val="00AC3986"/>
    <w:rsid w:val="00AC6124"/>
    <w:rsid w:val="00AC636E"/>
    <w:rsid w:val="00AC65AE"/>
    <w:rsid w:val="00AD0931"/>
    <w:rsid w:val="00AD0CD2"/>
    <w:rsid w:val="00AD128C"/>
    <w:rsid w:val="00AD1935"/>
    <w:rsid w:val="00AD1D2E"/>
    <w:rsid w:val="00AD2B80"/>
    <w:rsid w:val="00AD4406"/>
    <w:rsid w:val="00AD4D43"/>
    <w:rsid w:val="00AD4D52"/>
    <w:rsid w:val="00AD5DE8"/>
    <w:rsid w:val="00AD6973"/>
    <w:rsid w:val="00AD79BF"/>
    <w:rsid w:val="00AD7DFA"/>
    <w:rsid w:val="00AE004D"/>
    <w:rsid w:val="00AE00C5"/>
    <w:rsid w:val="00AE0D7E"/>
    <w:rsid w:val="00AE0DFE"/>
    <w:rsid w:val="00AE3B16"/>
    <w:rsid w:val="00AE51C3"/>
    <w:rsid w:val="00AE6065"/>
    <w:rsid w:val="00AE66AE"/>
    <w:rsid w:val="00AF078B"/>
    <w:rsid w:val="00AF0842"/>
    <w:rsid w:val="00AF11CB"/>
    <w:rsid w:val="00AF1BA1"/>
    <w:rsid w:val="00AF1D15"/>
    <w:rsid w:val="00AF1EA0"/>
    <w:rsid w:val="00AF2EE0"/>
    <w:rsid w:val="00AF3527"/>
    <w:rsid w:val="00AF4210"/>
    <w:rsid w:val="00AF52FB"/>
    <w:rsid w:val="00AF5314"/>
    <w:rsid w:val="00AF64D9"/>
    <w:rsid w:val="00AF67F1"/>
    <w:rsid w:val="00AF7217"/>
    <w:rsid w:val="00B014CE"/>
    <w:rsid w:val="00B01F20"/>
    <w:rsid w:val="00B02E78"/>
    <w:rsid w:val="00B031F9"/>
    <w:rsid w:val="00B03369"/>
    <w:rsid w:val="00B035C4"/>
    <w:rsid w:val="00B03910"/>
    <w:rsid w:val="00B03BF2"/>
    <w:rsid w:val="00B041EB"/>
    <w:rsid w:val="00B045DB"/>
    <w:rsid w:val="00B0568A"/>
    <w:rsid w:val="00B05712"/>
    <w:rsid w:val="00B058DA"/>
    <w:rsid w:val="00B05D1A"/>
    <w:rsid w:val="00B064C9"/>
    <w:rsid w:val="00B06D59"/>
    <w:rsid w:val="00B07520"/>
    <w:rsid w:val="00B07C09"/>
    <w:rsid w:val="00B100A6"/>
    <w:rsid w:val="00B1113E"/>
    <w:rsid w:val="00B1483C"/>
    <w:rsid w:val="00B14ED9"/>
    <w:rsid w:val="00B1532B"/>
    <w:rsid w:val="00B160D1"/>
    <w:rsid w:val="00B1677E"/>
    <w:rsid w:val="00B16793"/>
    <w:rsid w:val="00B169C9"/>
    <w:rsid w:val="00B1754D"/>
    <w:rsid w:val="00B20D1E"/>
    <w:rsid w:val="00B21865"/>
    <w:rsid w:val="00B21B66"/>
    <w:rsid w:val="00B21D0E"/>
    <w:rsid w:val="00B22409"/>
    <w:rsid w:val="00B22986"/>
    <w:rsid w:val="00B2432A"/>
    <w:rsid w:val="00B24E65"/>
    <w:rsid w:val="00B2539B"/>
    <w:rsid w:val="00B26A6F"/>
    <w:rsid w:val="00B26AB0"/>
    <w:rsid w:val="00B274E1"/>
    <w:rsid w:val="00B303AE"/>
    <w:rsid w:val="00B30BC3"/>
    <w:rsid w:val="00B312AF"/>
    <w:rsid w:val="00B31866"/>
    <w:rsid w:val="00B3269E"/>
    <w:rsid w:val="00B329C1"/>
    <w:rsid w:val="00B32CC7"/>
    <w:rsid w:val="00B33968"/>
    <w:rsid w:val="00B351F7"/>
    <w:rsid w:val="00B35B51"/>
    <w:rsid w:val="00B36BA5"/>
    <w:rsid w:val="00B37205"/>
    <w:rsid w:val="00B377D3"/>
    <w:rsid w:val="00B37A3F"/>
    <w:rsid w:val="00B40600"/>
    <w:rsid w:val="00B40E34"/>
    <w:rsid w:val="00B4140A"/>
    <w:rsid w:val="00B4180F"/>
    <w:rsid w:val="00B42F88"/>
    <w:rsid w:val="00B42FA9"/>
    <w:rsid w:val="00B43A45"/>
    <w:rsid w:val="00B43A4E"/>
    <w:rsid w:val="00B4469C"/>
    <w:rsid w:val="00B44C1B"/>
    <w:rsid w:val="00B44C56"/>
    <w:rsid w:val="00B45314"/>
    <w:rsid w:val="00B50628"/>
    <w:rsid w:val="00B5066E"/>
    <w:rsid w:val="00B51704"/>
    <w:rsid w:val="00B51777"/>
    <w:rsid w:val="00B51CF0"/>
    <w:rsid w:val="00B52368"/>
    <w:rsid w:val="00B52691"/>
    <w:rsid w:val="00B53223"/>
    <w:rsid w:val="00B53B41"/>
    <w:rsid w:val="00B5448C"/>
    <w:rsid w:val="00B5613A"/>
    <w:rsid w:val="00B561ED"/>
    <w:rsid w:val="00B56DAA"/>
    <w:rsid w:val="00B57CEF"/>
    <w:rsid w:val="00B61067"/>
    <w:rsid w:val="00B61252"/>
    <w:rsid w:val="00B62052"/>
    <w:rsid w:val="00B6358B"/>
    <w:rsid w:val="00B6359C"/>
    <w:rsid w:val="00B64020"/>
    <w:rsid w:val="00B651FA"/>
    <w:rsid w:val="00B653DE"/>
    <w:rsid w:val="00B67FAA"/>
    <w:rsid w:val="00B70100"/>
    <w:rsid w:val="00B7031B"/>
    <w:rsid w:val="00B70493"/>
    <w:rsid w:val="00B71405"/>
    <w:rsid w:val="00B7141C"/>
    <w:rsid w:val="00B74072"/>
    <w:rsid w:val="00B74E67"/>
    <w:rsid w:val="00B7544F"/>
    <w:rsid w:val="00B757DD"/>
    <w:rsid w:val="00B7725E"/>
    <w:rsid w:val="00B772DF"/>
    <w:rsid w:val="00B77755"/>
    <w:rsid w:val="00B80D4B"/>
    <w:rsid w:val="00B81C00"/>
    <w:rsid w:val="00B84A07"/>
    <w:rsid w:val="00B856AC"/>
    <w:rsid w:val="00B85D3C"/>
    <w:rsid w:val="00B85F57"/>
    <w:rsid w:val="00B861FA"/>
    <w:rsid w:val="00B86841"/>
    <w:rsid w:val="00B90272"/>
    <w:rsid w:val="00B90704"/>
    <w:rsid w:val="00B91738"/>
    <w:rsid w:val="00B92097"/>
    <w:rsid w:val="00B94F10"/>
    <w:rsid w:val="00B94F47"/>
    <w:rsid w:val="00B955EF"/>
    <w:rsid w:val="00B95D2A"/>
    <w:rsid w:val="00B960CE"/>
    <w:rsid w:val="00B96D46"/>
    <w:rsid w:val="00B96D8E"/>
    <w:rsid w:val="00BA00AC"/>
    <w:rsid w:val="00BA0FC1"/>
    <w:rsid w:val="00BA1C80"/>
    <w:rsid w:val="00BA233C"/>
    <w:rsid w:val="00BA28F2"/>
    <w:rsid w:val="00BA559A"/>
    <w:rsid w:val="00BA56F9"/>
    <w:rsid w:val="00BA5827"/>
    <w:rsid w:val="00BA6C32"/>
    <w:rsid w:val="00BA6C37"/>
    <w:rsid w:val="00BA7A95"/>
    <w:rsid w:val="00BA7D92"/>
    <w:rsid w:val="00BA7E40"/>
    <w:rsid w:val="00BB0C37"/>
    <w:rsid w:val="00BB2A71"/>
    <w:rsid w:val="00BB2DE1"/>
    <w:rsid w:val="00BB3CB8"/>
    <w:rsid w:val="00BB3FAA"/>
    <w:rsid w:val="00BB40C5"/>
    <w:rsid w:val="00BB5C6E"/>
    <w:rsid w:val="00BB623D"/>
    <w:rsid w:val="00BB629E"/>
    <w:rsid w:val="00BC01E0"/>
    <w:rsid w:val="00BC0AEB"/>
    <w:rsid w:val="00BC1491"/>
    <w:rsid w:val="00BC1714"/>
    <w:rsid w:val="00BC3034"/>
    <w:rsid w:val="00BC374A"/>
    <w:rsid w:val="00BC3D5C"/>
    <w:rsid w:val="00BC4DBC"/>
    <w:rsid w:val="00BC5F1D"/>
    <w:rsid w:val="00BC6ACC"/>
    <w:rsid w:val="00BC6B48"/>
    <w:rsid w:val="00BC6FF1"/>
    <w:rsid w:val="00BC7D3E"/>
    <w:rsid w:val="00BD0A81"/>
    <w:rsid w:val="00BD1439"/>
    <w:rsid w:val="00BD1843"/>
    <w:rsid w:val="00BD256D"/>
    <w:rsid w:val="00BD2752"/>
    <w:rsid w:val="00BD2EB0"/>
    <w:rsid w:val="00BD38D2"/>
    <w:rsid w:val="00BD4C0F"/>
    <w:rsid w:val="00BD539D"/>
    <w:rsid w:val="00BD5624"/>
    <w:rsid w:val="00BD5D71"/>
    <w:rsid w:val="00BD5DBA"/>
    <w:rsid w:val="00BD672F"/>
    <w:rsid w:val="00BE0E3D"/>
    <w:rsid w:val="00BE0F2A"/>
    <w:rsid w:val="00BE10C6"/>
    <w:rsid w:val="00BE1101"/>
    <w:rsid w:val="00BE1132"/>
    <w:rsid w:val="00BE1167"/>
    <w:rsid w:val="00BE11CC"/>
    <w:rsid w:val="00BE1785"/>
    <w:rsid w:val="00BE1A25"/>
    <w:rsid w:val="00BE2EC9"/>
    <w:rsid w:val="00BE392F"/>
    <w:rsid w:val="00BE4189"/>
    <w:rsid w:val="00BE467E"/>
    <w:rsid w:val="00BE593A"/>
    <w:rsid w:val="00BE6B8A"/>
    <w:rsid w:val="00BE700B"/>
    <w:rsid w:val="00BE71CE"/>
    <w:rsid w:val="00BE7A49"/>
    <w:rsid w:val="00BE7C4D"/>
    <w:rsid w:val="00BE7DC0"/>
    <w:rsid w:val="00BE7F23"/>
    <w:rsid w:val="00BF005D"/>
    <w:rsid w:val="00BF060B"/>
    <w:rsid w:val="00BF06DE"/>
    <w:rsid w:val="00BF07F8"/>
    <w:rsid w:val="00BF0B43"/>
    <w:rsid w:val="00BF0E3E"/>
    <w:rsid w:val="00BF1285"/>
    <w:rsid w:val="00BF187D"/>
    <w:rsid w:val="00BF2104"/>
    <w:rsid w:val="00BF225C"/>
    <w:rsid w:val="00BF37CE"/>
    <w:rsid w:val="00BF3C6C"/>
    <w:rsid w:val="00BF48C8"/>
    <w:rsid w:val="00BF4DA3"/>
    <w:rsid w:val="00BF548E"/>
    <w:rsid w:val="00BF62D6"/>
    <w:rsid w:val="00BF6907"/>
    <w:rsid w:val="00BF6A81"/>
    <w:rsid w:val="00BF7715"/>
    <w:rsid w:val="00BF7967"/>
    <w:rsid w:val="00C0056B"/>
    <w:rsid w:val="00C02C23"/>
    <w:rsid w:val="00C02E71"/>
    <w:rsid w:val="00C03016"/>
    <w:rsid w:val="00C03B60"/>
    <w:rsid w:val="00C0450C"/>
    <w:rsid w:val="00C04AA2"/>
    <w:rsid w:val="00C04F0D"/>
    <w:rsid w:val="00C052AE"/>
    <w:rsid w:val="00C065BE"/>
    <w:rsid w:val="00C079B6"/>
    <w:rsid w:val="00C10796"/>
    <w:rsid w:val="00C11E83"/>
    <w:rsid w:val="00C122CF"/>
    <w:rsid w:val="00C13F44"/>
    <w:rsid w:val="00C141A4"/>
    <w:rsid w:val="00C142A7"/>
    <w:rsid w:val="00C15AD2"/>
    <w:rsid w:val="00C17C71"/>
    <w:rsid w:val="00C20137"/>
    <w:rsid w:val="00C203D7"/>
    <w:rsid w:val="00C211B2"/>
    <w:rsid w:val="00C2137D"/>
    <w:rsid w:val="00C215FA"/>
    <w:rsid w:val="00C223F1"/>
    <w:rsid w:val="00C22E1C"/>
    <w:rsid w:val="00C2325A"/>
    <w:rsid w:val="00C23519"/>
    <w:rsid w:val="00C23E9B"/>
    <w:rsid w:val="00C2452E"/>
    <w:rsid w:val="00C24B89"/>
    <w:rsid w:val="00C24CDE"/>
    <w:rsid w:val="00C24D0D"/>
    <w:rsid w:val="00C25354"/>
    <w:rsid w:val="00C256EA"/>
    <w:rsid w:val="00C26657"/>
    <w:rsid w:val="00C30557"/>
    <w:rsid w:val="00C319AC"/>
    <w:rsid w:val="00C31CC8"/>
    <w:rsid w:val="00C31FD7"/>
    <w:rsid w:val="00C32169"/>
    <w:rsid w:val="00C32E83"/>
    <w:rsid w:val="00C34A32"/>
    <w:rsid w:val="00C34FF7"/>
    <w:rsid w:val="00C35C8A"/>
    <w:rsid w:val="00C360AE"/>
    <w:rsid w:val="00C36385"/>
    <w:rsid w:val="00C370A7"/>
    <w:rsid w:val="00C371C8"/>
    <w:rsid w:val="00C37F46"/>
    <w:rsid w:val="00C41486"/>
    <w:rsid w:val="00C41AE0"/>
    <w:rsid w:val="00C43609"/>
    <w:rsid w:val="00C44CB3"/>
    <w:rsid w:val="00C44D11"/>
    <w:rsid w:val="00C45667"/>
    <w:rsid w:val="00C46A90"/>
    <w:rsid w:val="00C47217"/>
    <w:rsid w:val="00C473C1"/>
    <w:rsid w:val="00C476E4"/>
    <w:rsid w:val="00C478CA"/>
    <w:rsid w:val="00C521D1"/>
    <w:rsid w:val="00C538C1"/>
    <w:rsid w:val="00C543E3"/>
    <w:rsid w:val="00C5542E"/>
    <w:rsid w:val="00C5555E"/>
    <w:rsid w:val="00C55B16"/>
    <w:rsid w:val="00C55DE3"/>
    <w:rsid w:val="00C56943"/>
    <w:rsid w:val="00C56DF4"/>
    <w:rsid w:val="00C57073"/>
    <w:rsid w:val="00C60192"/>
    <w:rsid w:val="00C60C1D"/>
    <w:rsid w:val="00C60CA1"/>
    <w:rsid w:val="00C619B3"/>
    <w:rsid w:val="00C62601"/>
    <w:rsid w:val="00C63055"/>
    <w:rsid w:val="00C648E3"/>
    <w:rsid w:val="00C64985"/>
    <w:rsid w:val="00C64B11"/>
    <w:rsid w:val="00C657A0"/>
    <w:rsid w:val="00C65FB8"/>
    <w:rsid w:val="00C66B11"/>
    <w:rsid w:val="00C6754B"/>
    <w:rsid w:val="00C67CC9"/>
    <w:rsid w:val="00C7067D"/>
    <w:rsid w:val="00C70BFC"/>
    <w:rsid w:val="00C714CB"/>
    <w:rsid w:val="00C72234"/>
    <w:rsid w:val="00C72B5E"/>
    <w:rsid w:val="00C72DA7"/>
    <w:rsid w:val="00C72EB3"/>
    <w:rsid w:val="00C730B8"/>
    <w:rsid w:val="00C730C4"/>
    <w:rsid w:val="00C736AC"/>
    <w:rsid w:val="00C768AE"/>
    <w:rsid w:val="00C768C0"/>
    <w:rsid w:val="00C76C61"/>
    <w:rsid w:val="00C770B9"/>
    <w:rsid w:val="00C77404"/>
    <w:rsid w:val="00C77662"/>
    <w:rsid w:val="00C77D2C"/>
    <w:rsid w:val="00C80766"/>
    <w:rsid w:val="00C826C5"/>
    <w:rsid w:val="00C82ECE"/>
    <w:rsid w:val="00C82FC1"/>
    <w:rsid w:val="00C836F9"/>
    <w:rsid w:val="00C842BD"/>
    <w:rsid w:val="00C844B2"/>
    <w:rsid w:val="00C84C74"/>
    <w:rsid w:val="00C86013"/>
    <w:rsid w:val="00C86C02"/>
    <w:rsid w:val="00C86E64"/>
    <w:rsid w:val="00C87323"/>
    <w:rsid w:val="00C9153B"/>
    <w:rsid w:val="00C9492A"/>
    <w:rsid w:val="00C94DFE"/>
    <w:rsid w:val="00C95095"/>
    <w:rsid w:val="00C9515F"/>
    <w:rsid w:val="00C95C0E"/>
    <w:rsid w:val="00C9632D"/>
    <w:rsid w:val="00C96979"/>
    <w:rsid w:val="00C9712D"/>
    <w:rsid w:val="00C97E0E"/>
    <w:rsid w:val="00C97F63"/>
    <w:rsid w:val="00CA047F"/>
    <w:rsid w:val="00CA09B0"/>
    <w:rsid w:val="00CA0C1D"/>
    <w:rsid w:val="00CA0D83"/>
    <w:rsid w:val="00CA1075"/>
    <w:rsid w:val="00CA19C5"/>
    <w:rsid w:val="00CA2263"/>
    <w:rsid w:val="00CA2BE8"/>
    <w:rsid w:val="00CA2FB3"/>
    <w:rsid w:val="00CA4443"/>
    <w:rsid w:val="00CA4629"/>
    <w:rsid w:val="00CA48F5"/>
    <w:rsid w:val="00CA5BEB"/>
    <w:rsid w:val="00CA616C"/>
    <w:rsid w:val="00CA68FC"/>
    <w:rsid w:val="00CA6CFF"/>
    <w:rsid w:val="00CA6DE4"/>
    <w:rsid w:val="00CA7114"/>
    <w:rsid w:val="00CA76D2"/>
    <w:rsid w:val="00CA7C02"/>
    <w:rsid w:val="00CB0131"/>
    <w:rsid w:val="00CB094E"/>
    <w:rsid w:val="00CB12DF"/>
    <w:rsid w:val="00CB145F"/>
    <w:rsid w:val="00CB14D0"/>
    <w:rsid w:val="00CB18F3"/>
    <w:rsid w:val="00CB39A0"/>
    <w:rsid w:val="00CB3CE6"/>
    <w:rsid w:val="00CB4326"/>
    <w:rsid w:val="00CB4398"/>
    <w:rsid w:val="00CB4E3E"/>
    <w:rsid w:val="00CB57F0"/>
    <w:rsid w:val="00CB5984"/>
    <w:rsid w:val="00CB5B9D"/>
    <w:rsid w:val="00CB5FFE"/>
    <w:rsid w:val="00CC0156"/>
    <w:rsid w:val="00CC153A"/>
    <w:rsid w:val="00CC1D55"/>
    <w:rsid w:val="00CC57DE"/>
    <w:rsid w:val="00CC733A"/>
    <w:rsid w:val="00CC7655"/>
    <w:rsid w:val="00CD03B1"/>
    <w:rsid w:val="00CD06C1"/>
    <w:rsid w:val="00CD0E50"/>
    <w:rsid w:val="00CD21E6"/>
    <w:rsid w:val="00CD254A"/>
    <w:rsid w:val="00CD388D"/>
    <w:rsid w:val="00CD3EA5"/>
    <w:rsid w:val="00CD59C2"/>
    <w:rsid w:val="00CD66F4"/>
    <w:rsid w:val="00CE03E1"/>
    <w:rsid w:val="00CE0AD5"/>
    <w:rsid w:val="00CE0BD5"/>
    <w:rsid w:val="00CE193C"/>
    <w:rsid w:val="00CE1F7B"/>
    <w:rsid w:val="00CE33B6"/>
    <w:rsid w:val="00CE41B6"/>
    <w:rsid w:val="00CE4F30"/>
    <w:rsid w:val="00CE51E6"/>
    <w:rsid w:val="00CE62CD"/>
    <w:rsid w:val="00CE7347"/>
    <w:rsid w:val="00CE74AA"/>
    <w:rsid w:val="00CF0691"/>
    <w:rsid w:val="00CF0B92"/>
    <w:rsid w:val="00CF0ECC"/>
    <w:rsid w:val="00CF1739"/>
    <w:rsid w:val="00CF1E7D"/>
    <w:rsid w:val="00CF3D86"/>
    <w:rsid w:val="00CF3E0B"/>
    <w:rsid w:val="00CF3F0B"/>
    <w:rsid w:val="00CF45B6"/>
    <w:rsid w:val="00CF478B"/>
    <w:rsid w:val="00CF4954"/>
    <w:rsid w:val="00CF57C0"/>
    <w:rsid w:val="00CF5B2E"/>
    <w:rsid w:val="00CF681C"/>
    <w:rsid w:val="00CF6E49"/>
    <w:rsid w:val="00CF7219"/>
    <w:rsid w:val="00CF7B6E"/>
    <w:rsid w:val="00D01A46"/>
    <w:rsid w:val="00D01FD3"/>
    <w:rsid w:val="00D024C5"/>
    <w:rsid w:val="00D02773"/>
    <w:rsid w:val="00D02969"/>
    <w:rsid w:val="00D02DD5"/>
    <w:rsid w:val="00D03C9E"/>
    <w:rsid w:val="00D04107"/>
    <w:rsid w:val="00D054B9"/>
    <w:rsid w:val="00D05F89"/>
    <w:rsid w:val="00D06410"/>
    <w:rsid w:val="00D06779"/>
    <w:rsid w:val="00D071F8"/>
    <w:rsid w:val="00D077AF"/>
    <w:rsid w:val="00D07C78"/>
    <w:rsid w:val="00D1030A"/>
    <w:rsid w:val="00D109B7"/>
    <w:rsid w:val="00D11A7A"/>
    <w:rsid w:val="00D12397"/>
    <w:rsid w:val="00D126E9"/>
    <w:rsid w:val="00D12F00"/>
    <w:rsid w:val="00D1316C"/>
    <w:rsid w:val="00D13C85"/>
    <w:rsid w:val="00D13E47"/>
    <w:rsid w:val="00D14339"/>
    <w:rsid w:val="00D14603"/>
    <w:rsid w:val="00D151AE"/>
    <w:rsid w:val="00D154EB"/>
    <w:rsid w:val="00D168FA"/>
    <w:rsid w:val="00D16A12"/>
    <w:rsid w:val="00D175DD"/>
    <w:rsid w:val="00D17CD2"/>
    <w:rsid w:val="00D208FC"/>
    <w:rsid w:val="00D217D5"/>
    <w:rsid w:val="00D22525"/>
    <w:rsid w:val="00D23C24"/>
    <w:rsid w:val="00D23ED8"/>
    <w:rsid w:val="00D24D01"/>
    <w:rsid w:val="00D2524B"/>
    <w:rsid w:val="00D2650B"/>
    <w:rsid w:val="00D26542"/>
    <w:rsid w:val="00D27D0D"/>
    <w:rsid w:val="00D30190"/>
    <w:rsid w:val="00D30B5F"/>
    <w:rsid w:val="00D30C33"/>
    <w:rsid w:val="00D313E1"/>
    <w:rsid w:val="00D31F89"/>
    <w:rsid w:val="00D33B72"/>
    <w:rsid w:val="00D33C6F"/>
    <w:rsid w:val="00D34172"/>
    <w:rsid w:val="00D3515D"/>
    <w:rsid w:val="00D35F83"/>
    <w:rsid w:val="00D361F1"/>
    <w:rsid w:val="00D37823"/>
    <w:rsid w:val="00D4062E"/>
    <w:rsid w:val="00D4179A"/>
    <w:rsid w:val="00D427BE"/>
    <w:rsid w:val="00D428F5"/>
    <w:rsid w:val="00D4347E"/>
    <w:rsid w:val="00D43FB5"/>
    <w:rsid w:val="00D444B0"/>
    <w:rsid w:val="00D44843"/>
    <w:rsid w:val="00D44850"/>
    <w:rsid w:val="00D45AE8"/>
    <w:rsid w:val="00D45D76"/>
    <w:rsid w:val="00D465BD"/>
    <w:rsid w:val="00D465CA"/>
    <w:rsid w:val="00D46CE6"/>
    <w:rsid w:val="00D47212"/>
    <w:rsid w:val="00D47532"/>
    <w:rsid w:val="00D50E7F"/>
    <w:rsid w:val="00D51D71"/>
    <w:rsid w:val="00D51E7C"/>
    <w:rsid w:val="00D533B6"/>
    <w:rsid w:val="00D538BF"/>
    <w:rsid w:val="00D53DDA"/>
    <w:rsid w:val="00D54A51"/>
    <w:rsid w:val="00D54CD2"/>
    <w:rsid w:val="00D5726B"/>
    <w:rsid w:val="00D57C74"/>
    <w:rsid w:val="00D6018A"/>
    <w:rsid w:val="00D61A3F"/>
    <w:rsid w:val="00D62D44"/>
    <w:rsid w:val="00D6437E"/>
    <w:rsid w:val="00D64863"/>
    <w:rsid w:val="00D6499B"/>
    <w:rsid w:val="00D665A4"/>
    <w:rsid w:val="00D669FF"/>
    <w:rsid w:val="00D71314"/>
    <w:rsid w:val="00D725A1"/>
    <w:rsid w:val="00D72757"/>
    <w:rsid w:val="00D80A7A"/>
    <w:rsid w:val="00D80AB6"/>
    <w:rsid w:val="00D8220A"/>
    <w:rsid w:val="00D83C6B"/>
    <w:rsid w:val="00D84539"/>
    <w:rsid w:val="00D85565"/>
    <w:rsid w:val="00D860BD"/>
    <w:rsid w:val="00D866A1"/>
    <w:rsid w:val="00D86703"/>
    <w:rsid w:val="00D86A1A"/>
    <w:rsid w:val="00D87BEF"/>
    <w:rsid w:val="00D90884"/>
    <w:rsid w:val="00D90B96"/>
    <w:rsid w:val="00D9308C"/>
    <w:rsid w:val="00D93B8C"/>
    <w:rsid w:val="00D93DF9"/>
    <w:rsid w:val="00D94184"/>
    <w:rsid w:val="00D9551E"/>
    <w:rsid w:val="00D979EB"/>
    <w:rsid w:val="00D97B8C"/>
    <w:rsid w:val="00DA0334"/>
    <w:rsid w:val="00DA1183"/>
    <w:rsid w:val="00DA143D"/>
    <w:rsid w:val="00DA4339"/>
    <w:rsid w:val="00DA43E0"/>
    <w:rsid w:val="00DA745C"/>
    <w:rsid w:val="00DB0A8E"/>
    <w:rsid w:val="00DB1E36"/>
    <w:rsid w:val="00DB2C77"/>
    <w:rsid w:val="00DB2FA6"/>
    <w:rsid w:val="00DB3D60"/>
    <w:rsid w:val="00DB43A4"/>
    <w:rsid w:val="00DB4583"/>
    <w:rsid w:val="00DB4766"/>
    <w:rsid w:val="00DB5837"/>
    <w:rsid w:val="00DB6492"/>
    <w:rsid w:val="00DB661F"/>
    <w:rsid w:val="00DB6FA7"/>
    <w:rsid w:val="00DB755D"/>
    <w:rsid w:val="00DB7797"/>
    <w:rsid w:val="00DC20CF"/>
    <w:rsid w:val="00DC315C"/>
    <w:rsid w:val="00DC383C"/>
    <w:rsid w:val="00DC394A"/>
    <w:rsid w:val="00DC409B"/>
    <w:rsid w:val="00DC4392"/>
    <w:rsid w:val="00DC4C60"/>
    <w:rsid w:val="00DC57F5"/>
    <w:rsid w:val="00DC5BB6"/>
    <w:rsid w:val="00DC607E"/>
    <w:rsid w:val="00DC6196"/>
    <w:rsid w:val="00DC6489"/>
    <w:rsid w:val="00DC6B8D"/>
    <w:rsid w:val="00DC7512"/>
    <w:rsid w:val="00DC753D"/>
    <w:rsid w:val="00DD003C"/>
    <w:rsid w:val="00DD05EB"/>
    <w:rsid w:val="00DD0792"/>
    <w:rsid w:val="00DD1131"/>
    <w:rsid w:val="00DD1A60"/>
    <w:rsid w:val="00DD2311"/>
    <w:rsid w:val="00DD270A"/>
    <w:rsid w:val="00DD3171"/>
    <w:rsid w:val="00DD3228"/>
    <w:rsid w:val="00DD3F17"/>
    <w:rsid w:val="00DD4F5C"/>
    <w:rsid w:val="00DD6C5C"/>
    <w:rsid w:val="00DD7E1A"/>
    <w:rsid w:val="00DE061D"/>
    <w:rsid w:val="00DE0739"/>
    <w:rsid w:val="00DE0DAC"/>
    <w:rsid w:val="00DE0FF7"/>
    <w:rsid w:val="00DE1043"/>
    <w:rsid w:val="00DE1963"/>
    <w:rsid w:val="00DE1B48"/>
    <w:rsid w:val="00DE1E1B"/>
    <w:rsid w:val="00DE2ECE"/>
    <w:rsid w:val="00DE3090"/>
    <w:rsid w:val="00DE3203"/>
    <w:rsid w:val="00DE3480"/>
    <w:rsid w:val="00DE34E3"/>
    <w:rsid w:val="00DE5974"/>
    <w:rsid w:val="00DE5C16"/>
    <w:rsid w:val="00DE5C3C"/>
    <w:rsid w:val="00DE5D99"/>
    <w:rsid w:val="00DE5F29"/>
    <w:rsid w:val="00DE61F1"/>
    <w:rsid w:val="00DE6A12"/>
    <w:rsid w:val="00DF0918"/>
    <w:rsid w:val="00DF0CDF"/>
    <w:rsid w:val="00DF17E6"/>
    <w:rsid w:val="00DF1F80"/>
    <w:rsid w:val="00DF21C5"/>
    <w:rsid w:val="00DF2C40"/>
    <w:rsid w:val="00DF5D23"/>
    <w:rsid w:val="00DF5E85"/>
    <w:rsid w:val="00DF6A49"/>
    <w:rsid w:val="00DF6DEE"/>
    <w:rsid w:val="00DF7A8F"/>
    <w:rsid w:val="00DF7B11"/>
    <w:rsid w:val="00DF7CB4"/>
    <w:rsid w:val="00E00648"/>
    <w:rsid w:val="00E02E9A"/>
    <w:rsid w:val="00E03CF0"/>
    <w:rsid w:val="00E04A1B"/>
    <w:rsid w:val="00E04AF9"/>
    <w:rsid w:val="00E06287"/>
    <w:rsid w:val="00E076EE"/>
    <w:rsid w:val="00E07930"/>
    <w:rsid w:val="00E106B3"/>
    <w:rsid w:val="00E108C7"/>
    <w:rsid w:val="00E12E4A"/>
    <w:rsid w:val="00E13573"/>
    <w:rsid w:val="00E13FBB"/>
    <w:rsid w:val="00E149BC"/>
    <w:rsid w:val="00E14C12"/>
    <w:rsid w:val="00E15309"/>
    <w:rsid w:val="00E15F48"/>
    <w:rsid w:val="00E16138"/>
    <w:rsid w:val="00E202C0"/>
    <w:rsid w:val="00E20F25"/>
    <w:rsid w:val="00E2172C"/>
    <w:rsid w:val="00E2274E"/>
    <w:rsid w:val="00E26EE2"/>
    <w:rsid w:val="00E271CB"/>
    <w:rsid w:val="00E27273"/>
    <w:rsid w:val="00E3066C"/>
    <w:rsid w:val="00E3070D"/>
    <w:rsid w:val="00E30E3A"/>
    <w:rsid w:val="00E3216B"/>
    <w:rsid w:val="00E32439"/>
    <w:rsid w:val="00E33034"/>
    <w:rsid w:val="00E35547"/>
    <w:rsid w:val="00E356F0"/>
    <w:rsid w:val="00E35D89"/>
    <w:rsid w:val="00E36450"/>
    <w:rsid w:val="00E36F65"/>
    <w:rsid w:val="00E37500"/>
    <w:rsid w:val="00E375CA"/>
    <w:rsid w:val="00E3769E"/>
    <w:rsid w:val="00E40B8C"/>
    <w:rsid w:val="00E41C08"/>
    <w:rsid w:val="00E41FD9"/>
    <w:rsid w:val="00E4208E"/>
    <w:rsid w:val="00E42E13"/>
    <w:rsid w:val="00E440C3"/>
    <w:rsid w:val="00E4455D"/>
    <w:rsid w:val="00E45057"/>
    <w:rsid w:val="00E468D0"/>
    <w:rsid w:val="00E474E9"/>
    <w:rsid w:val="00E4788D"/>
    <w:rsid w:val="00E50027"/>
    <w:rsid w:val="00E50113"/>
    <w:rsid w:val="00E5167C"/>
    <w:rsid w:val="00E51F30"/>
    <w:rsid w:val="00E5249A"/>
    <w:rsid w:val="00E52A72"/>
    <w:rsid w:val="00E532C3"/>
    <w:rsid w:val="00E53795"/>
    <w:rsid w:val="00E54F89"/>
    <w:rsid w:val="00E55201"/>
    <w:rsid w:val="00E571B9"/>
    <w:rsid w:val="00E634F3"/>
    <w:rsid w:val="00E637BD"/>
    <w:rsid w:val="00E6455B"/>
    <w:rsid w:val="00E65626"/>
    <w:rsid w:val="00E6573B"/>
    <w:rsid w:val="00E66B82"/>
    <w:rsid w:val="00E67326"/>
    <w:rsid w:val="00E67852"/>
    <w:rsid w:val="00E679F1"/>
    <w:rsid w:val="00E7054E"/>
    <w:rsid w:val="00E70BBD"/>
    <w:rsid w:val="00E7235E"/>
    <w:rsid w:val="00E72808"/>
    <w:rsid w:val="00E738A6"/>
    <w:rsid w:val="00E73B21"/>
    <w:rsid w:val="00E7417C"/>
    <w:rsid w:val="00E75F95"/>
    <w:rsid w:val="00E77033"/>
    <w:rsid w:val="00E800D5"/>
    <w:rsid w:val="00E8095C"/>
    <w:rsid w:val="00E81449"/>
    <w:rsid w:val="00E815BF"/>
    <w:rsid w:val="00E81F2F"/>
    <w:rsid w:val="00E825E9"/>
    <w:rsid w:val="00E82C44"/>
    <w:rsid w:val="00E83EFE"/>
    <w:rsid w:val="00E842B8"/>
    <w:rsid w:val="00E84434"/>
    <w:rsid w:val="00E84533"/>
    <w:rsid w:val="00E8467F"/>
    <w:rsid w:val="00E85060"/>
    <w:rsid w:val="00E85AC2"/>
    <w:rsid w:val="00E86231"/>
    <w:rsid w:val="00E864C7"/>
    <w:rsid w:val="00E865B1"/>
    <w:rsid w:val="00E86D83"/>
    <w:rsid w:val="00E87620"/>
    <w:rsid w:val="00E9080B"/>
    <w:rsid w:val="00E91469"/>
    <w:rsid w:val="00E915D6"/>
    <w:rsid w:val="00E92503"/>
    <w:rsid w:val="00E926CA"/>
    <w:rsid w:val="00E9294F"/>
    <w:rsid w:val="00E93C10"/>
    <w:rsid w:val="00E948B4"/>
    <w:rsid w:val="00E954E4"/>
    <w:rsid w:val="00E95847"/>
    <w:rsid w:val="00E95957"/>
    <w:rsid w:val="00E969F8"/>
    <w:rsid w:val="00EA05B6"/>
    <w:rsid w:val="00EA0B29"/>
    <w:rsid w:val="00EA13DC"/>
    <w:rsid w:val="00EA2014"/>
    <w:rsid w:val="00EA27CE"/>
    <w:rsid w:val="00EA2A8E"/>
    <w:rsid w:val="00EA2E76"/>
    <w:rsid w:val="00EA4080"/>
    <w:rsid w:val="00EA4348"/>
    <w:rsid w:val="00EA43AF"/>
    <w:rsid w:val="00EA43F7"/>
    <w:rsid w:val="00EA4EEC"/>
    <w:rsid w:val="00EA6102"/>
    <w:rsid w:val="00EA61B7"/>
    <w:rsid w:val="00EA6581"/>
    <w:rsid w:val="00EA7176"/>
    <w:rsid w:val="00EA752E"/>
    <w:rsid w:val="00EB0721"/>
    <w:rsid w:val="00EB1240"/>
    <w:rsid w:val="00EB16E7"/>
    <w:rsid w:val="00EB1ADE"/>
    <w:rsid w:val="00EB1DC0"/>
    <w:rsid w:val="00EB2110"/>
    <w:rsid w:val="00EB36A7"/>
    <w:rsid w:val="00EB39C7"/>
    <w:rsid w:val="00EB43C4"/>
    <w:rsid w:val="00EB47BC"/>
    <w:rsid w:val="00EB52AF"/>
    <w:rsid w:val="00EB5780"/>
    <w:rsid w:val="00EB5934"/>
    <w:rsid w:val="00EB5B5E"/>
    <w:rsid w:val="00EB5D76"/>
    <w:rsid w:val="00EB6292"/>
    <w:rsid w:val="00EB6BD5"/>
    <w:rsid w:val="00EB6C26"/>
    <w:rsid w:val="00EB70BD"/>
    <w:rsid w:val="00EB7566"/>
    <w:rsid w:val="00EB7BE2"/>
    <w:rsid w:val="00EC0244"/>
    <w:rsid w:val="00EC0B17"/>
    <w:rsid w:val="00EC0F80"/>
    <w:rsid w:val="00EC1AD3"/>
    <w:rsid w:val="00EC1F76"/>
    <w:rsid w:val="00EC236E"/>
    <w:rsid w:val="00EC2B48"/>
    <w:rsid w:val="00EC2B74"/>
    <w:rsid w:val="00EC2D37"/>
    <w:rsid w:val="00EC3A3D"/>
    <w:rsid w:val="00EC3ACA"/>
    <w:rsid w:val="00EC3E0E"/>
    <w:rsid w:val="00EC48CD"/>
    <w:rsid w:val="00EC4B70"/>
    <w:rsid w:val="00EC5238"/>
    <w:rsid w:val="00EC57C0"/>
    <w:rsid w:val="00EC63E8"/>
    <w:rsid w:val="00EC6D5C"/>
    <w:rsid w:val="00EC741C"/>
    <w:rsid w:val="00EC7688"/>
    <w:rsid w:val="00EC7E4C"/>
    <w:rsid w:val="00ED17CB"/>
    <w:rsid w:val="00ED185C"/>
    <w:rsid w:val="00ED3231"/>
    <w:rsid w:val="00ED4533"/>
    <w:rsid w:val="00ED47ED"/>
    <w:rsid w:val="00ED586A"/>
    <w:rsid w:val="00ED60D9"/>
    <w:rsid w:val="00ED61FD"/>
    <w:rsid w:val="00ED6E3E"/>
    <w:rsid w:val="00ED73A8"/>
    <w:rsid w:val="00ED7673"/>
    <w:rsid w:val="00ED7840"/>
    <w:rsid w:val="00EE0768"/>
    <w:rsid w:val="00EE081F"/>
    <w:rsid w:val="00EE117A"/>
    <w:rsid w:val="00EE3531"/>
    <w:rsid w:val="00EE400B"/>
    <w:rsid w:val="00EE434C"/>
    <w:rsid w:val="00EE4E6A"/>
    <w:rsid w:val="00EE644F"/>
    <w:rsid w:val="00EE7CD6"/>
    <w:rsid w:val="00EF0477"/>
    <w:rsid w:val="00EF144D"/>
    <w:rsid w:val="00EF1B01"/>
    <w:rsid w:val="00EF1FF4"/>
    <w:rsid w:val="00EF26E4"/>
    <w:rsid w:val="00EF2CDF"/>
    <w:rsid w:val="00EF3690"/>
    <w:rsid w:val="00EF48ED"/>
    <w:rsid w:val="00EF4E7A"/>
    <w:rsid w:val="00EF51EA"/>
    <w:rsid w:val="00EF702C"/>
    <w:rsid w:val="00F00A46"/>
    <w:rsid w:val="00F01190"/>
    <w:rsid w:val="00F01A96"/>
    <w:rsid w:val="00F022BD"/>
    <w:rsid w:val="00F02A03"/>
    <w:rsid w:val="00F03B09"/>
    <w:rsid w:val="00F05437"/>
    <w:rsid w:val="00F055D3"/>
    <w:rsid w:val="00F05E3F"/>
    <w:rsid w:val="00F071E7"/>
    <w:rsid w:val="00F074E5"/>
    <w:rsid w:val="00F074F2"/>
    <w:rsid w:val="00F07616"/>
    <w:rsid w:val="00F07B6C"/>
    <w:rsid w:val="00F07F13"/>
    <w:rsid w:val="00F105F7"/>
    <w:rsid w:val="00F1090C"/>
    <w:rsid w:val="00F10AB9"/>
    <w:rsid w:val="00F10BD1"/>
    <w:rsid w:val="00F10D61"/>
    <w:rsid w:val="00F116C2"/>
    <w:rsid w:val="00F132DA"/>
    <w:rsid w:val="00F13BE1"/>
    <w:rsid w:val="00F144DE"/>
    <w:rsid w:val="00F14E25"/>
    <w:rsid w:val="00F158D0"/>
    <w:rsid w:val="00F2108C"/>
    <w:rsid w:val="00F2146F"/>
    <w:rsid w:val="00F21902"/>
    <w:rsid w:val="00F21A26"/>
    <w:rsid w:val="00F21D5F"/>
    <w:rsid w:val="00F21F41"/>
    <w:rsid w:val="00F2216F"/>
    <w:rsid w:val="00F224F7"/>
    <w:rsid w:val="00F22FA1"/>
    <w:rsid w:val="00F234AA"/>
    <w:rsid w:val="00F23FD6"/>
    <w:rsid w:val="00F2457A"/>
    <w:rsid w:val="00F24BC7"/>
    <w:rsid w:val="00F251B4"/>
    <w:rsid w:val="00F255B5"/>
    <w:rsid w:val="00F25868"/>
    <w:rsid w:val="00F2597D"/>
    <w:rsid w:val="00F26309"/>
    <w:rsid w:val="00F26418"/>
    <w:rsid w:val="00F26792"/>
    <w:rsid w:val="00F30B2B"/>
    <w:rsid w:val="00F310B9"/>
    <w:rsid w:val="00F312A8"/>
    <w:rsid w:val="00F31C85"/>
    <w:rsid w:val="00F32970"/>
    <w:rsid w:val="00F33491"/>
    <w:rsid w:val="00F3389A"/>
    <w:rsid w:val="00F3440E"/>
    <w:rsid w:val="00F34C7C"/>
    <w:rsid w:val="00F35031"/>
    <w:rsid w:val="00F35A61"/>
    <w:rsid w:val="00F362EE"/>
    <w:rsid w:val="00F3649F"/>
    <w:rsid w:val="00F368D6"/>
    <w:rsid w:val="00F36A8B"/>
    <w:rsid w:val="00F36BFA"/>
    <w:rsid w:val="00F36CDE"/>
    <w:rsid w:val="00F4077E"/>
    <w:rsid w:val="00F40E15"/>
    <w:rsid w:val="00F41076"/>
    <w:rsid w:val="00F415B1"/>
    <w:rsid w:val="00F4179F"/>
    <w:rsid w:val="00F4191A"/>
    <w:rsid w:val="00F4193A"/>
    <w:rsid w:val="00F42B1D"/>
    <w:rsid w:val="00F432B9"/>
    <w:rsid w:val="00F43327"/>
    <w:rsid w:val="00F4392B"/>
    <w:rsid w:val="00F440C5"/>
    <w:rsid w:val="00F447E3"/>
    <w:rsid w:val="00F44AA6"/>
    <w:rsid w:val="00F46EC4"/>
    <w:rsid w:val="00F47A14"/>
    <w:rsid w:val="00F47EAE"/>
    <w:rsid w:val="00F5077A"/>
    <w:rsid w:val="00F51131"/>
    <w:rsid w:val="00F51528"/>
    <w:rsid w:val="00F5169F"/>
    <w:rsid w:val="00F522D0"/>
    <w:rsid w:val="00F52737"/>
    <w:rsid w:val="00F52F8A"/>
    <w:rsid w:val="00F54FCA"/>
    <w:rsid w:val="00F550BA"/>
    <w:rsid w:val="00F556B6"/>
    <w:rsid w:val="00F55AA4"/>
    <w:rsid w:val="00F55BA1"/>
    <w:rsid w:val="00F561A6"/>
    <w:rsid w:val="00F56477"/>
    <w:rsid w:val="00F565BA"/>
    <w:rsid w:val="00F56E2F"/>
    <w:rsid w:val="00F601CB"/>
    <w:rsid w:val="00F60CF6"/>
    <w:rsid w:val="00F60DBB"/>
    <w:rsid w:val="00F620C0"/>
    <w:rsid w:val="00F6318F"/>
    <w:rsid w:val="00F652C7"/>
    <w:rsid w:val="00F652E4"/>
    <w:rsid w:val="00F655C4"/>
    <w:rsid w:val="00F65A7C"/>
    <w:rsid w:val="00F66456"/>
    <w:rsid w:val="00F66B43"/>
    <w:rsid w:val="00F67851"/>
    <w:rsid w:val="00F67EDC"/>
    <w:rsid w:val="00F71167"/>
    <w:rsid w:val="00F71EAF"/>
    <w:rsid w:val="00F72D7C"/>
    <w:rsid w:val="00F73486"/>
    <w:rsid w:val="00F73C05"/>
    <w:rsid w:val="00F74657"/>
    <w:rsid w:val="00F758C9"/>
    <w:rsid w:val="00F75D6D"/>
    <w:rsid w:val="00F75E7C"/>
    <w:rsid w:val="00F75EFC"/>
    <w:rsid w:val="00F77D58"/>
    <w:rsid w:val="00F806F0"/>
    <w:rsid w:val="00F80D5A"/>
    <w:rsid w:val="00F80F60"/>
    <w:rsid w:val="00F814C2"/>
    <w:rsid w:val="00F81857"/>
    <w:rsid w:val="00F81B73"/>
    <w:rsid w:val="00F820D1"/>
    <w:rsid w:val="00F824FD"/>
    <w:rsid w:val="00F82AC5"/>
    <w:rsid w:val="00F82B08"/>
    <w:rsid w:val="00F82C4F"/>
    <w:rsid w:val="00F82D22"/>
    <w:rsid w:val="00F8380C"/>
    <w:rsid w:val="00F8390F"/>
    <w:rsid w:val="00F84024"/>
    <w:rsid w:val="00F8616B"/>
    <w:rsid w:val="00F863ED"/>
    <w:rsid w:val="00F86BC6"/>
    <w:rsid w:val="00F9020A"/>
    <w:rsid w:val="00F91778"/>
    <w:rsid w:val="00F91BD3"/>
    <w:rsid w:val="00F923E7"/>
    <w:rsid w:val="00F92E98"/>
    <w:rsid w:val="00F941A7"/>
    <w:rsid w:val="00F945B2"/>
    <w:rsid w:val="00F94B2E"/>
    <w:rsid w:val="00F94D03"/>
    <w:rsid w:val="00F95702"/>
    <w:rsid w:val="00F96117"/>
    <w:rsid w:val="00F966D6"/>
    <w:rsid w:val="00F96E6D"/>
    <w:rsid w:val="00F97C50"/>
    <w:rsid w:val="00FA0171"/>
    <w:rsid w:val="00FA041F"/>
    <w:rsid w:val="00FA1960"/>
    <w:rsid w:val="00FA4BB8"/>
    <w:rsid w:val="00FA4F39"/>
    <w:rsid w:val="00FA5235"/>
    <w:rsid w:val="00FA5CF7"/>
    <w:rsid w:val="00FA73D5"/>
    <w:rsid w:val="00FA7607"/>
    <w:rsid w:val="00FA7CE0"/>
    <w:rsid w:val="00FB11A9"/>
    <w:rsid w:val="00FB18E2"/>
    <w:rsid w:val="00FB1C39"/>
    <w:rsid w:val="00FB1C6C"/>
    <w:rsid w:val="00FB3658"/>
    <w:rsid w:val="00FB3A8B"/>
    <w:rsid w:val="00FB3B3B"/>
    <w:rsid w:val="00FB3FEF"/>
    <w:rsid w:val="00FB4831"/>
    <w:rsid w:val="00FB4A60"/>
    <w:rsid w:val="00FB5309"/>
    <w:rsid w:val="00FB547F"/>
    <w:rsid w:val="00FB6B03"/>
    <w:rsid w:val="00FB6ED5"/>
    <w:rsid w:val="00FB78C8"/>
    <w:rsid w:val="00FB79C3"/>
    <w:rsid w:val="00FC00F3"/>
    <w:rsid w:val="00FC06C0"/>
    <w:rsid w:val="00FC0713"/>
    <w:rsid w:val="00FC1388"/>
    <w:rsid w:val="00FC1B29"/>
    <w:rsid w:val="00FC1CCD"/>
    <w:rsid w:val="00FC1D89"/>
    <w:rsid w:val="00FC344A"/>
    <w:rsid w:val="00FC376F"/>
    <w:rsid w:val="00FC4EA1"/>
    <w:rsid w:val="00FC5638"/>
    <w:rsid w:val="00FC5F5C"/>
    <w:rsid w:val="00FC694F"/>
    <w:rsid w:val="00FC6E7F"/>
    <w:rsid w:val="00FC7232"/>
    <w:rsid w:val="00FC726A"/>
    <w:rsid w:val="00FC7DC3"/>
    <w:rsid w:val="00FD052D"/>
    <w:rsid w:val="00FD1019"/>
    <w:rsid w:val="00FD19B6"/>
    <w:rsid w:val="00FD24BB"/>
    <w:rsid w:val="00FD24D5"/>
    <w:rsid w:val="00FD2501"/>
    <w:rsid w:val="00FD34FD"/>
    <w:rsid w:val="00FD3572"/>
    <w:rsid w:val="00FD4400"/>
    <w:rsid w:val="00FD4763"/>
    <w:rsid w:val="00FD5061"/>
    <w:rsid w:val="00FD6ED0"/>
    <w:rsid w:val="00FD71F7"/>
    <w:rsid w:val="00FD7CA4"/>
    <w:rsid w:val="00FE022B"/>
    <w:rsid w:val="00FE09EC"/>
    <w:rsid w:val="00FE1157"/>
    <w:rsid w:val="00FE13E7"/>
    <w:rsid w:val="00FE193E"/>
    <w:rsid w:val="00FE1BA4"/>
    <w:rsid w:val="00FE2255"/>
    <w:rsid w:val="00FE2359"/>
    <w:rsid w:val="00FE2FD0"/>
    <w:rsid w:val="00FE2FD6"/>
    <w:rsid w:val="00FE38F7"/>
    <w:rsid w:val="00FE4366"/>
    <w:rsid w:val="00FE4DB8"/>
    <w:rsid w:val="00FE58A7"/>
    <w:rsid w:val="00FE72EB"/>
    <w:rsid w:val="00FF271E"/>
    <w:rsid w:val="00FF320F"/>
    <w:rsid w:val="00FF35D3"/>
    <w:rsid w:val="00FF3612"/>
    <w:rsid w:val="00FF3786"/>
    <w:rsid w:val="00FF4523"/>
    <w:rsid w:val="00FF57C9"/>
    <w:rsid w:val="00FF5E9D"/>
    <w:rsid w:val="00FF602A"/>
    <w:rsid w:val="00FF6A42"/>
    <w:rsid w:val="00FF7169"/>
    <w:rsid w:val="00FF7332"/>
    <w:rsid w:val="00FF7830"/>
    <w:rsid w:val="014F170F"/>
    <w:rsid w:val="01EC3860"/>
    <w:rsid w:val="020D5467"/>
    <w:rsid w:val="021135A5"/>
    <w:rsid w:val="02EE226A"/>
    <w:rsid w:val="037201FF"/>
    <w:rsid w:val="04EA11D8"/>
    <w:rsid w:val="05573D16"/>
    <w:rsid w:val="057666C8"/>
    <w:rsid w:val="05D00B49"/>
    <w:rsid w:val="065C11DC"/>
    <w:rsid w:val="068C048B"/>
    <w:rsid w:val="072B545A"/>
    <w:rsid w:val="07C80EFB"/>
    <w:rsid w:val="080B2B96"/>
    <w:rsid w:val="08320404"/>
    <w:rsid w:val="083F5188"/>
    <w:rsid w:val="08997EFF"/>
    <w:rsid w:val="08C6712B"/>
    <w:rsid w:val="08CE42EF"/>
    <w:rsid w:val="08D334F3"/>
    <w:rsid w:val="09067F2D"/>
    <w:rsid w:val="09352415"/>
    <w:rsid w:val="0A0C5900"/>
    <w:rsid w:val="0A4D50BA"/>
    <w:rsid w:val="0A8F00B6"/>
    <w:rsid w:val="0AA574E9"/>
    <w:rsid w:val="0AB84ABC"/>
    <w:rsid w:val="0AC74067"/>
    <w:rsid w:val="0B4032A9"/>
    <w:rsid w:val="0B531822"/>
    <w:rsid w:val="0BE91D2B"/>
    <w:rsid w:val="0BEF7DA3"/>
    <w:rsid w:val="0C371869"/>
    <w:rsid w:val="0E1324BB"/>
    <w:rsid w:val="0E380F1F"/>
    <w:rsid w:val="0E464928"/>
    <w:rsid w:val="0E7549D1"/>
    <w:rsid w:val="0EF5006E"/>
    <w:rsid w:val="0F2509E1"/>
    <w:rsid w:val="0F3572A7"/>
    <w:rsid w:val="0F7D4857"/>
    <w:rsid w:val="10047DA9"/>
    <w:rsid w:val="104E0165"/>
    <w:rsid w:val="105E7487"/>
    <w:rsid w:val="1061798F"/>
    <w:rsid w:val="112423E5"/>
    <w:rsid w:val="11573F8A"/>
    <w:rsid w:val="120306E6"/>
    <w:rsid w:val="12242CC7"/>
    <w:rsid w:val="12365536"/>
    <w:rsid w:val="12786CF2"/>
    <w:rsid w:val="12DB5AAD"/>
    <w:rsid w:val="13291EF6"/>
    <w:rsid w:val="13914897"/>
    <w:rsid w:val="13AC3B73"/>
    <w:rsid w:val="13BA2669"/>
    <w:rsid w:val="144742E2"/>
    <w:rsid w:val="144E17E8"/>
    <w:rsid w:val="154B4739"/>
    <w:rsid w:val="158A00AD"/>
    <w:rsid w:val="15CE592F"/>
    <w:rsid w:val="165754AD"/>
    <w:rsid w:val="16DA0303"/>
    <w:rsid w:val="17105115"/>
    <w:rsid w:val="17321EED"/>
    <w:rsid w:val="177A21D6"/>
    <w:rsid w:val="17B50E8A"/>
    <w:rsid w:val="18111559"/>
    <w:rsid w:val="18C47E7D"/>
    <w:rsid w:val="18D23988"/>
    <w:rsid w:val="1A750EBE"/>
    <w:rsid w:val="1ACB1D58"/>
    <w:rsid w:val="1B8747A5"/>
    <w:rsid w:val="1C273FEB"/>
    <w:rsid w:val="1C7B281D"/>
    <w:rsid w:val="1D6575AF"/>
    <w:rsid w:val="1E522E75"/>
    <w:rsid w:val="1E8E5305"/>
    <w:rsid w:val="1FF40688"/>
    <w:rsid w:val="1FF90DC4"/>
    <w:rsid w:val="2011185F"/>
    <w:rsid w:val="2078083D"/>
    <w:rsid w:val="20EB323C"/>
    <w:rsid w:val="21025237"/>
    <w:rsid w:val="21047F36"/>
    <w:rsid w:val="21294361"/>
    <w:rsid w:val="21486D51"/>
    <w:rsid w:val="224803B5"/>
    <w:rsid w:val="22B05D2B"/>
    <w:rsid w:val="22F8048F"/>
    <w:rsid w:val="234A27A9"/>
    <w:rsid w:val="23821F70"/>
    <w:rsid w:val="23B343B6"/>
    <w:rsid w:val="24681CC6"/>
    <w:rsid w:val="247F3ED0"/>
    <w:rsid w:val="25103D8C"/>
    <w:rsid w:val="25733D33"/>
    <w:rsid w:val="25A05047"/>
    <w:rsid w:val="26E47B9C"/>
    <w:rsid w:val="2714107F"/>
    <w:rsid w:val="27EA62A4"/>
    <w:rsid w:val="28041810"/>
    <w:rsid w:val="282F5357"/>
    <w:rsid w:val="28A1418D"/>
    <w:rsid w:val="28DA3985"/>
    <w:rsid w:val="292875F4"/>
    <w:rsid w:val="299F5785"/>
    <w:rsid w:val="29CB1866"/>
    <w:rsid w:val="29CF3B52"/>
    <w:rsid w:val="29E24F4B"/>
    <w:rsid w:val="2A260030"/>
    <w:rsid w:val="2AB07A01"/>
    <w:rsid w:val="2AEB6408"/>
    <w:rsid w:val="2C1C6203"/>
    <w:rsid w:val="2C336E4B"/>
    <w:rsid w:val="2C3C4024"/>
    <w:rsid w:val="2C93322E"/>
    <w:rsid w:val="2C9A6269"/>
    <w:rsid w:val="2CF83E56"/>
    <w:rsid w:val="2D2A1D0D"/>
    <w:rsid w:val="2D33606A"/>
    <w:rsid w:val="2D850B71"/>
    <w:rsid w:val="2DBB0A37"/>
    <w:rsid w:val="2DBC37E0"/>
    <w:rsid w:val="2E2F79FF"/>
    <w:rsid w:val="2E714AF5"/>
    <w:rsid w:val="2EBC1B59"/>
    <w:rsid w:val="2F3B3AB3"/>
    <w:rsid w:val="2F832538"/>
    <w:rsid w:val="2FC10028"/>
    <w:rsid w:val="2FDE33AD"/>
    <w:rsid w:val="2FE20833"/>
    <w:rsid w:val="3012656A"/>
    <w:rsid w:val="31510AC9"/>
    <w:rsid w:val="31EE45A0"/>
    <w:rsid w:val="32157B83"/>
    <w:rsid w:val="32954D9B"/>
    <w:rsid w:val="33177CB9"/>
    <w:rsid w:val="33F20F2A"/>
    <w:rsid w:val="34915E56"/>
    <w:rsid w:val="34E73EBF"/>
    <w:rsid w:val="355B309B"/>
    <w:rsid w:val="35EE7A7B"/>
    <w:rsid w:val="36073F14"/>
    <w:rsid w:val="36997FE1"/>
    <w:rsid w:val="37874E28"/>
    <w:rsid w:val="37FC7264"/>
    <w:rsid w:val="384E0FF4"/>
    <w:rsid w:val="38502C6D"/>
    <w:rsid w:val="390F3E68"/>
    <w:rsid w:val="39551D3F"/>
    <w:rsid w:val="39670776"/>
    <w:rsid w:val="396A3B5C"/>
    <w:rsid w:val="396B626D"/>
    <w:rsid w:val="3A013C75"/>
    <w:rsid w:val="3A43058A"/>
    <w:rsid w:val="3A54454A"/>
    <w:rsid w:val="3B337E5E"/>
    <w:rsid w:val="3B5F6E45"/>
    <w:rsid w:val="3B66323D"/>
    <w:rsid w:val="3B7E598D"/>
    <w:rsid w:val="3B8B645E"/>
    <w:rsid w:val="3BB04B43"/>
    <w:rsid w:val="3C1F4887"/>
    <w:rsid w:val="3C775C9A"/>
    <w:rsid w:val="3C8B5584"/>
    <w:rsid w:val="3D9342E0"/>
    <w:rsid w:val="3D98796C"/>
    <w:rsid w:val="3DB55159"/>
    <w:rsid w:val="40081587"/>
    <w:rsid w:val="401B0B3C"/>
    <w:rsid w:val="407424DF"/>
    <w:rsid w:val="40B773F2"/>
    <w:rsid w:val="411F7B7C"/>
    <w:rsid w:val="41A3195D"/>
    <w:rsid w:val="42885B3F"/>
    <w:rsid w:val="429B5D27"/>
    <w:rsid w:val="429F0028"/>
    <w:rsid w:val="42E11524"/>
    <w:rsid w:val="43643D6E"/>
    <w:rsid w:val="4501798B"/>
    <w:rsid w:val="453F0A9F"/>
    <w:rsid w:val="454E35A0"/>
    <w:rsid w:val="45847F71"/>
    <w:rsid w:val="459F0858"/>
    <w:rsid w:val="45B25CC0"/>
    <w:rsid w:val="45D773FA"/>
    <w:rsid w:val="467E1493"/>
    <w:rsid w:val="46825BBE"/>
    <w:rsid w:val="468531C2"/>
    <w:rsid w:val="46A077BA"/>
    <w:rsid w:val="471D1953"/>
    <w:rsid w:val="47A4115D"/>
    <w:rsid w:val="4841289B"/>
    <w:rsid w:val="49126C73"/>
    <w:rsid w:val="4968790B"/>
    <w:rsid w:val="49F062F9"/>
    <w:rsid w:val="4A0B011A"/>
    <w:rsid w:val="4A403CEB"/>
    <w:rsid w:val="4A5B5F71"/>
    <w:rsid w:val="4ADF644D"/>
    <w:rsid w:val="4B553B78"/>
    <w:rsid w:val="4BCE14E7"/>
    <w:rsid w:val="4BD172B5"/>
    <w:rsid w:val="4C14190A"/>
    <w:rsid w:val="4C7907BD"/>
    <w:rsid w:val="4CA41B29"/>
    <w:rsid w:val="4D1473C4"/>
    <w:rsid w:val="4D4F3929"/>
    <w:rsid w:val="4D774C7C"/>
    <w:rsid w:val="4DB0730C"/>
    <w:rsid w:val="4E113A92"/>
    <w:rsid w:val="4EC507FB"/>
    <w:rsid w:val="4ED86813"/>
    <w:rsid w:val="4F482A43"/>
    <w:rsid w:val="4FA071C7"/>
    <w:rsid w:val="4FDD59F1"/>
    <w:rsid w:val="506C718A"/>
    <w:rsid w:val="507A1FD2"/>
    <w:rsid w:val="50834F8C"/>
    <w:rsid w:val="50F036F6"/>
    <w:rsid w:val="50F53FFE"/>
    <w:rsid w:val="51605E19"/>
    <w:rsid w:val="51BC69A8"/>
    <w:rsid w:val="52A64F62"/>
    <w:rsid w:val="52F446A8"/>
    <w:rsid w:val="5382286A"/>
    <w:rsid w:val="53894668"/>
    <w:rsid w:val="53AC0356"/>
    <w:rsid w:val="53DD0E50"/>
    <w:rsid w:val="53FD7164"/>
    <w:rsid w:val="541326D2"/>
    <w:rsid w:val="548860DF"/>
    <w:rsid w:val="54D04FD1"/>
    <w:rsid w:val="54FC579D"/>
    <w:rsid w:val="550C2E77"/>
    <w:rsid w:val="553C75F7"/>
    <w:rsid w:val="55CE790D"/>
    <w:rsid w:val="56030A4C"/>
    <w:rsid w:val="566F01A6"/>
    <w:rsid w:val="5673079B"/>
    <w:rsid w:val="56FB4947"/>
    <w:rsid w:val="57325016"/>
    <w:rsid w:val="57491370"/>
    <w:rsid w:val="576B4E36"/>
    <w:rsid w:val="57944254"/>
    <w:rsid w:val="57D367F9"/>
    <w:rsid w:val="57DC59B0"/>
    <w:rsid w:val="57E57F25"/>
    <w:rsid w:val="58202476"/>
    <w:rsid w:val="58753A6F"/>
    <w:rsid w:val="594850CA"/>
    <w:rsid w:val="5A0C2CD1"/>
    <w:rsid w:val="5AE20769"/>
    <w:rsid w:val="5BE0557D"/>
    <w:rsid w:val="5C8B47DC"/>
    <w:rsid w:val="5CD252D1"/>
    <w:rsid w:val="5D5C103F"/>
    <w:rsid w:val="5D945F00"/>
    <w:rsid w:val="5D9F787A"/>
    <w:rsid w:val="5DDB05FF"/>
    <w:rsid w:val="5E8E5228"/>
    <w:rsid w:val="5ED61FE6"/>
    <w:rsid w:val="5EDC24BE"/>
    <w:rsid w:val="5F290E97"/>
    <w:rsid w:val="605C4D82"/>
    <w:rsid w:val="6096260E"/>
    <w:rsid w:val="60D12207"/>
    <w:rsid w:val="61491671"/>
    <w:rsid w:val="615F4715"/>
    <w:rsid w:val="616C6450"/>
    <w:rsid w:val="6219372A"/>
    <w:rsid w:val="62232D89"/>
    <w:rsid w:val="62433671"/>
    <w:rsid w:val="62657E2C"/>
    <w:rsid w:val="631C06D1"/>
    <w:rsid w:val="63661552"/>
    <w:rsid w:val="637C141E"/>
    <w:rsid w:val="64162C40"/>
    <w:rsid w:val="646F011E"/>
    <w:rsid w:val="64AC50A1"/>
    <w:rsid w:val="64B74DAD"/>
    <w:rsid w:val="65171E03"/>
    <w:rsid w:val="659C08CB"/>
    <w:rsid w:val="65AB7551"/>
    <w:rsid w:val="66625202"/>
    <w:rsid w:val="6693678F"/>
    <w:rsid w:val="66C66965"/>
    <w:rsid w:val="67352508"/>
    <w:rsid w:val="673D5A3D"/>
    <w:rsid w:val="67530DBD"/>
    <w:rsid w:val="67617426"/>
    <w:rsid w:val="681249D6"/>
    <w:rsid w:val="68597C77"/>
    <w:rsid w:val="68A325AA"/>
    <w:rsid w:val="694C67A7"/>
    <w:rsid w:val="69CA0452"/>
    <w:rsid w:val="6A0E53D7"/>
    <w:rsid w:val="6A187F57"/>
    <w:rsid w:val="6A5C089C"/>
    <w:rsid w:val="6AC24C0F"/>
    <w:rsid w:val="6ADB48A1"/>
    <w:rsid w:val="6B08773F"/>
    <w:rsid w:val="6B267B22"/>
    <w:rsid w:val="6B6F431B"/>
    <w:rsid w:val="6C2D1E2D"/>
    <w:rsid w:val="6C9B6430"/>
    <w:rsid w:val="6CC12C1E"/>
    <w:rsid w:val="6CC9560B"/>
    <w:rsid w:val="6CD34F30"/>
    <w:rsid w:val="6D5B6DAA"/>
    <w:rsid w:val="6E1022C2"/>
    <w:rsid w:val="6EBC14FF"/>
    <w:rsid w:val="6EFB548C"/>
    <w:rsid w:val="6FEB32D4"/>
    <w:rsid w:val="6FEE22B5"/>
    <w:rsid w:val="70467F42"/>
    <w:rsid w:val="70A56E64"/>
    <w:rsid w:val="70AA350C"/>
    <w:rsid w:val="70B065B5"/>
    <w:rsid w:val="71192648"/>
    <w:rsid w:val="718B19C6"/>
    <w:rsid w:val="71C304C2"/>
    <w:rsid w:val="72E8136F"/>
    <w:rsid w:val="73E3764E"/>
    <w:rsid w:val="73E8301F"/>
    <w:rsid w:val="74AC20CA"/>
    <w:rsid w:val="75695C4F"/>
    <w:rsid w:val="76595527"/>
    <w:rsid w:val="770025E3"/>
    <w:rsid w:val="7745004B"/>
    <w:rsid w:val="777F4BCA"/>
    <w:rsid w:val="7795326E"/>
    <w:rsid w:val="78E43EF1"/>
    <w:rsid w:val="792720A9"/>
    <w:rsid w:val="796E1A86"/>
    <w:rsid w:val="7ACE6552"/>
    <w:rsid w:val="7B116B6D"/>
    <w:rsid w:val="7B3E738B"/>
    <w:rsid w:val="7B3F60EC"/>
    <w:rsid w:val="7B883BA1"/>
    <w:rsid w:val="7C20703D"/>
    <w:rsid w:val="7C3F6430"/>
    <w:rsid w:val="7C52199A"/>
    <w:rsid w:val="7CB65C1E"/>
    <w:rsid w:val="7CD8608A"/>
    <w:rsid w:val="7CE00EED"/>
    <w:rsid w:val="7CF90201"/>
    <w:rsid w:val="7D8F5415"/>
    <w:rsid w:val="7DA40AF3"/>
    <w:rsid w:val="7DD94508"/>
    <w:rsid w:val="7DE71E07"/>
    <w:rsid w:val="7DEE7682"/>
    <w:rsid w:val="7ECB06DE"/>
    <w:rsid w:val="7F4F5EB6"/>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5">
    <w:name w:val="heading 1"/>
    <w:basedOn w:val="1"/>
    <w:next w:val="1"/>
    <w:link w:val="64"/>
    <w:qFormat/>
    <w:uiPriority w:val="0"/>
    <w:pPr>
      <w:keepNext/>
      <w:keepLines/>
      <w:spacing w:before="340" w:after="330" w:line="576" w:lineRule="auto"/>
      <w:outlineLvl w:val="0"/>
    </w:pPr>
    <w:rPr>
      <w:b/>
      <w:kern w:val="44"/>
      <w:sz w:val="44"/>
    </w:rPr>
  </w:style>
  <w:style w:type="paragraph" w:styleId="6">
    <w:name w:val="heading 2"/>
    <w:basedOn w:val="1"/>
    <w:next w:val="1"/>
    <w:link w:val="65"/>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7">
    <w:name w:val="heading 3"/>
    <w:basedOn w:val="1"/>
    <w:next w:val="1"/>
    <w:link w:val="66"/>
    <w:qFormat/>
    <w:uiPriority w:val="0"/>
    <w:pPr>
      <w:keepNext/>
      <w:keepLines/>
      <w:spacing w:before="260" w:after="260" w:line="413" w:lineRule="auto"/>
      <w:outlineLvl w:val="2"/>
    </w:pPr>
    <w:rPr>
      <w:b/>
      <w:bCs/>
      <w:sz w:val="32"/>
      <w:szCs w:val="32"/>
    </w:rPr>
  </w:style>
  <w:style w:type="paragraph" w:styleId="8">
    <w:name w:val="heading 4"/>
    <w:basedOn w:val="1"/>
    <w:next w:val="1"/>
    <w:link w:val="67"/>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9">
    <w:name w:val="heading 5"/>
    <w:basedOn w:val="1"/>
    <w:next w:val="1"/>
    <w:link w:val="156"/>
    <w:qFormat/>
    <w:uiPriority w:val="0"/>
    <w:pPr>
      <w:keepNext/>
      <w:keepLines/>
      <w:autoSpaceDE/>
      <w:autoSpaceDN/>
      <w:adjustRightInd/>
      <w:spacing w:before="280" w:after="290" w:line="372" w:lineRule="auto"/>
      <w:outlineLvl w:val="4"/>
    </w:pPr>
    <w:rPr>
      <w:b/>
      <w:bCs/>
      <w:kern w:val="2"/>
      <w:sz w:val="28"/>
      <w:szCs w:val="28"/>
    </w:rPr>
  </w:style>
  <w:style w:type="paragraph" w:styleId="10">
    <w:name w:val="heading 6"/>
    <w:basedOn w:val="1"/>
    <w:next w:val="1"/>
    <w:link w:val="157"/>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1">
    <w:name w:val="heading 7"/>
    <w:basedOn w:val="1"/>
    <w:next w:val="1"/>
    <w:link w:val="158"/>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2">
    <w:name w:val="heading 8"/>
    <w:basedOn w:val="1"/>
    <w:next w:val="1"/>
    <w:link w:val="159"/>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3">
    <w:name w:val="heading 9"/>
    <w:basedOn w:val="1"/>
    <w:next w:val="1"/>
    <w:link w:val="160"/>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line="420" w:lineRule="atLeast"/>
      <w:textAlignment w:val="baseline"/>
    </w:p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link w:val="118"/>
    <w:qFormat/>
    <w:uiPriority w:val="0"/>
    <w:pPr>
      <w:spacing w:after="120"/>
    </w:pPr>
  </w:style>
  <w:style w:type="paragraph" w:styleId="14">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5">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6">
    <w:name w:val="List Number"/>
    <w:basedOn w:val="1"/>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7">
    <w:name w:val="Normal Indent"/>
    <w:basedOn w:val="1"/>
    <w:next w:val="1"/>
    <w:link w:val="76"/>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8">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9">
    <w:name w:val="index 5"/>
    <w:basedOn w:val="1"/>
    <w:next w:val="1"/>
    <w:qFormat/>
    <w:uiPriority w:val="0"/>
    <w:pPr>
      <w:ind w:left="800" w:leftChars="800"/>
    </w:pPr>
  </w:style>
  <w:style w:type="paragraph" w:styleId="20">
    <w:name w:val="Document Map"/>
    <w:basedOn w:val="1"/>
    <w:link w:val="110"/>
    <w:qFormat/>
    <w:uiPriority w:val="0"/>
    <w:pPr>
      <w:shd w:val="clear" w:color="auto" w:fill="000080"/>
      <w:autoSpaceDE/>
      <w:autoSpaceDN/>
      <w:adjustRightInd/>
    </w:pPr>
    <w:rPr>
      <w:color w:val="auto"/>
      <w:kern w:val="2"/>
      <w:szCs w:val="24"/>
    </w:rPr>
  </w:style>
  <w:style w:type="paragraph" w:styleId="21">
    <w:name w:val="annotation text"/>
    <w:basedOn w:val="1"/>
    <w:link w:val="105"/>
    <w:unhideWhenUsed/>
    <w:qFormat/>
    <w:uiPriority w:val="0"/>
    <w:pPr>
      <w:jc w:val="left"/>
    </w:pPr>
  </w:style>
  <w:style w:type="paragraph" w:styleId="22">
    <w:name w:val="Body Text Indent"/>
    <w:basedOn w:val="1"/>
    <w:next w:val="1"/>
    <w:link w:val="111"/>
    <w:unhideWhenUsed/>
    <w:qFormat/>
    <w:uiPriority w:val="0"/>
    <w:pPr>
      <w:spacing w:after="120"/>
      <w:ind w:left="420" w:leftChars="200"/>
    </w:pPr>
  </w:style>
  <w:style w:type="paragraph" w:styleId="23">
    <w:name w:val="List Number 3"/>
    <w:basedOn w:val="1"/>
    <w:qFormat/>
    <w:uiPriority w:val="0"/>
    <w:pPr>
      <w:numPr>
        <w:ilvl w:val="0"/>
        <w:numId w:val="2"/>
      </w:numPr>
    </w:pPr>
  </w:style>
  <w:style w:type="paragraph" w:styleId="24">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4"/>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97"/>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5"/>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09"/>
    <w:qFormat/>
    <w:uiPriority w:val="0"/>
    <w:pPr>
      <w:autoSpaceDE/>
      <w:autoSpaceDN/>
      <w:adjustRightInd/>
    </w:pPr>
    <w:rPr>
      <w:color w:val="auto"/>
      <w:kern w:val="2"/>
      <w:sz w:val="18"/>
      <w:szCs w:val="18"/>
    </w:rPr>
  </w:style>
  <w:style w:type="paragraph" w:styleId="31">
    <w:name w:val="footer"/>
    <w:basedOn w:val="1"/>
    <w:link w:val="80"/>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1"/>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qFormat/>
    <w:uiPriority w:val="0"/>
    <w:pPr>
      <w:spacing w:line="360" w:lineRule="auto"/>
    </w:pPr>
    <w:rPr>
      <w:rFonts w:eastAsia="黑体"/>
      <w:sz w:val="24"/>
    </w:rPr>
  </w:style>
  <w:style w:type="paragraph" w:styleId="35">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qFormat/>
    <w:uiPriority w:val="0"/>
    <w:pPr>
      <w:ind w:left="200" w:hanging="200" w:hangingChars="200"/>
      <w:contextualSpacing/>
    </w:pPr>
  </w:style>
  <w:style w:type="paragraph" w:styleId="37">
    <w:name w:val="footnote text"/>
    <w:basedOn w:val="1"/>
    <w:qFormat/>
    <w:uiPriority w:val="99"/>
    <w:pPr>
      <w:adjustRightInd/>
      <w:spacing w:before="60" w:after="60" w:line="300" w:lineRule="exact"/>
    </w:pPr>
    <w:rPr>
      <w:color w:val="0000FF"/>
    </w:rPr>
  </w:style>
  <w:style w:type="paragraph" w:styleId="38">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9">
    <w:name w:val="Body Text Indent 3"/>
    <w:basedOn w:val="1"/>
    <w:link w:val="93"/>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0">
    <w:name w:val="index 7"/>
    <w:basedOn w:val="1"/>
    <w:next w:val="1"/>
    <w:qFormat/>
    <w:uiPriority w:val="0"/>
    <w:pPr>
      <w:autoSpaceDE/>
      <w:autoSpaceDN/>
      <w:adjustRightInd/>
      <w:ind w:left="1200" w:leftChars="1200"/>
    </w:pPr>
    <w:rPr>
      <w:color w:val="auto"/>
      <w:kern w:val="2"/>
      <w:szCs w:val="24"/>
    </w:rPr>
  </w:style>
  <w:style w:type="paragraph" w:styleId="41">
    <w:name w:val="toc 2"/>
    <w:basedOn w:val="1"/>
    <w:next w:val="1"/>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2">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3">
    <w:name w:val="Body Text 2"/>
    <w:basedOn w:val="1"/>
    <w:link w:val="204"/>
    <w:qFormat/>
    <w:uiPriority w:val="0"/>
    <w:pPr>
      <w:autoSpaceDE/>
      <w:autoSpaceDN/>
      <w:adjustRightInd/>
      <w:spacing w:after="120" w:line="480" w:lineRule="auto"/>
      <w:ind w:left="425" w:hanging="425"/>
    </w:pPr>
    <w:rPr>
      <w:kern w:val="2"/>
      <w:szCs w:val="22"/>
    </w:rPr>
  </w:style>
  <w:style w:type="paragraph" w:styleId="44">
    <w:name w:val="HTML Preformatted"/>
    <w:basedOn w:val="1"/>
    <w:link w:val="90"/>
    <w:qFormat/>
    <w:uiPriority w:val="0"/>
    <w:pPr>
      <w:autoSpaceDE/>
      <w:autoSpaceDN/>
      <w:adjustRightInd/>
    </w:pPr>
    <w:rPr>
      <w:rFonts w:ascii="Arial Unicode MS" w:hAnsi="Arial Unicode MS" w:eastAsia="Arial Unicode MS" w:cstheme="minorBidi"/>
      <w:color w:val="auto"/>
      <w:kern w:val="2"/>
      <w:szCs w:val="22"/>
    </w:rPr>
  </w:style>
  <w:style w:type="paragraph" w:styleId="45">
    <w:name w:val="Normal (Web)"/>
    <w:basedOn w:val="1"/>
    <w:link w:val="83"/>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6">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7">
    <w:name w:val="Title"/>
    <w:basedOn w:val="1"/>
    <w:next w:val="1"/>
    <w:link w:val="203"/>
    <w:qFormat/>
    <w:uiPriority w:val="0"/>
    <w:pPr>
      <w:autoSpaceDE/>
      <w:autoSpaceDN/>
      <w:adjustRightInd/>
      <w:spacing w:before="240" w:after="60"/>
      <w:jc w:val="center"/>
      <w:outlineLvl w:val="0"/>
    </w:pPr>
    <w:rPr>
      <w:rFonts w:ascii="Arial" w:hAnsi="Arial"/>
      <w:b/>
      <w:bCs/>
      <w:kern w:val="2"/>
      <w:sz w:val="32"/>
      <w:szCs w:val="32"/>
    </w:rPr>
  </w:style>
  <w:style w:type="paragraph" w:styleId="48">
    <w:name w:val="annotation subject"/>
    <w:basedOn w:val="21"/>
    <w:next w:val="21"/>
    <w:link w:val="106"/>
    <w:qFormat/>
    <w:uiPriority w:val="0"/>
    <w:pPr>
      <w:autoSpaceDE/>
      <w:autoSpaceDN/>
      <w:adjustRightInd/>
    </w:pPr>
    <w:rPr>
      <w:b/>
      <w:bCs/>
      <w:color w:val="auto"/>
      <w:kern w:val="2"/>
      <w:szCs w:val="24"/>
    </w:rPr>
  </w:style>
  <w:style w:type="paragraph" w:styleId="49">
    <w:name w:val="Body Text First Indent"/>
    <w:basedOn w:val="4"/>
    <w:next w:val="38"/>
    <w:link w:val="155"/>
    <w:unhideWhenUsed/>
    <w:qFormat/>
    <w:uiPriority w:val="0"/>
    <w:pPr>
      <w:ind w:firstLine="420" w:firstLineChars="100"/>
    </w:pPr>
  </w:style>
  <w:style w:type="paragraph" w:styleId="50">
    <w:name w:val="Body Text First Indent 2"/>
    <w:basedOn w:val="22"/>
    <w:next w:val="1"/>
    <w:link w:val="112"/>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b/>
      <w:bCs/>
    </w:rPr>
  </w:style>
  <w:style w:type="character" w:styleId="55">
    <w:name w:val="page number"/>
    <w:basedOn w:val="53"/>
    <w:qFormat/>
    <w:uiPriority w:val="0"/>
  </w:style>
  <w:style w:type="character" w:styleId="56">
    <w:name w:val="Emphasis"/>
    <w:qFormat/>
    <w:uiPriority w:val="0"/>
    <w:rPr>
      <w:color w:val="CC0000"/>
    </w:rPr>
  </w:style>
  <w:style w:type="character" w:styleId="57">
    <w:name w:val="Hyperlink"/>
    <w:basedOn w:val="53"/>
    <w:qFormat/>
    <w:uiPriority w:val="0"/>
    <w:rPr>
      <w:color w:val="0000FF"/>
      <w:u w:val="single"/>
    </w:rPr>
  </w:style>
  <w:style w:type="character" w:styleId="58">
    <w:name w:val="annotation reference"/>
    <w:qFormat/>
    <w:uiPriority w:val="0"/>
    <w:rPr>
      <w:sz w:val="21"/>
      <w:szCs w:val="21"/>
    </w:rPr>
  </w:style>
  <w:style w:type="character" w:styleId="59">
    <w:name w:val="HTML Sample"/>
    <w:basedOn w:val="53"/>
    <w:semiHidden/>
    <w:unhideWhenUsed/>
    <w:qFormat/>
    <w:uiPriority w:val="99"/>
    <w:rPr>
      <w:rFonts w:ascii="Courier New" w:hAnsi="Courier New"/>
    </w:rPr>
  </w:style>
  <w:style w:type="paragraph" w:customStyle="1" w:styleId="60">
    <w:name w:val="Body Text First Indent 21"/>
    <w:basedOn w:val="61"/>
    <w:qFormat/>
    <w:uiPriority w:val="0"/>
    <w:pPr>
      <w:autoSpaceDE/>
      <w:autoSpaceDN/>
      <w:adjustRightInd/>
      <w:ind w:firstLine="420"/>
    </w:pPr>
    <w:rPr>
      <w:rFonts w:cs="宋体" w:asciiTheme="minorHAnsi" w:hAnsiTheme="minorHAnsi" w:eastAsiaTheme="minorEastAsia"/>
      <w:color w:val="auto"/>
      <w:kern w:val="2"/>
      <w:szCs w:val="24"/>
    </w:rPr>
  </w:style>
  <w:style w:type="paragraph" w:customStyle="1" w:styleId="61">
    <w:name w:val="Body Text Indent1"/>
    <w:basedOn w:val="1"/>
    <w:next w:val="1"/>
    <w:qFormat/>
    <w:uiPriority w:val="0"/>
    <w:pPr>
      <w:ind w:left="420" w:leftChars="200"/>
    </w:pPr>
  </w:style>
  <w:style w:type="paragraph" w:customStyle="1" w:styleId="62">
    <w:name w:val="Body Text 3"/>
    <w:basedOn w:val="1"/>
    <w:qFormat/>
    <w:uiPriority w:val="0"/>
    <w:pPr>
      <w:spacing w:after="120" w:afterLines="0"/>
    </w:pPr>
    <w:rPr>
      <w:sz w:val="16"/>
      <w:szCs w:val="16"/>
    </w:rPr>
  </w:style>
  <w:style w:type="paragraph" w:customStyle="1" w:styleId="63">
    <w:name w:val="Body Text 31"/>
    <w:basedOn w:val="1"/>
    <w:qFormat/>
    <w:uiPriority w:val="0"/>
    <w:rPr>
      <w:sz w:val="16"/>
      <w:szCs w:val="16"/>
    </w:rPr>
  </w:style>
  <w:style w:type="character" w:customStyle="1" w:styleId="64">
    <w:name w:val="标题 1 Char"/>
    <w:basedOn w:val="53"/>
    <w:link w:val="5"/>
    <w:qFormat/>
    <w:uiPriority w:val="0"/>
    <w:rPr>
      <w:rFonts w:ascii="Times New Roman" w:hAnsi="Times New Roman" w:eastAsia="宋体" w:cs="Times New Roman"/>
      <w:b/>
      <w:color w:val="000000"/>
      <w:kern w:val="44"/>
      <w:sz w:val="44"/>
      <w:szCs w:val="21"/>
    </w:rPr>
  </w:style>
  <w:style w:type="character" w:customStyle="1" w:styleId="65">
    <w:name w:val="标题 2 Char"/>
    <w:basedOn w:val="53"/>
    <w:link w:val="6"/>
    <w:qFormat/>
    <w:uiPriority w:val="0"/>
    <w:rPr>
      <w:rFonts w:ascii="Arial" w:hAnsi="Arial" w:eastAsia="黑体" w:cs="Times New Roman"/>
      <w:b/>
      <w:bCs/>
      <w:color w:val="000000"/>
      <w:sz w:val="32"/>
      <w:szCs w:val="32"/>
    </w:rPr>
  </w:style>
  <w:style w:type="character" w:customStyle="1" w:styleId="66">
    <w:name w:val="标题 3 Char"/>
    <w:basedOn w:val="53"/>
    <w:link w:val="7"/>
    <w:qFormat/>
    <w:uiPriority w:val="0"/>
    <w:rPr>
      <w:rFonts w:ascii="Times New Roman" w:hAnsi="Times New Roman" w:eastAsia="宋体" w:cs="Times New Roman"/>
      <w:b/>
      <w:bCs/>
      <w:color w:val="000000"/>
      <w:kern w:val="0"/>
      <w:sz w:val="32"/>
      <w:szCs w:val="32"/>
    </w:rPr>
  </w:style>
  <w:style w:type="character" w:customStyle="1" w:styleId="67">
    <w:name w:val="标题 4 Char"/>
    <w:basedOn w:val="53"/>
    <w:link w:val="8"/>
    <w:qFormat/>
    <w:uiPriority w:val="0"/>
    <w:rPr>
      <w:rFonts w:ascii="Cambria" w:hAnsi="Cambria" w:eastAsia="黑体" w:cs="Times New Roman"/>
      <w:b/>
      <w:bCs/>
      <w:sz w:val="24"/>
      <w:szCs w:val="28"/>
    </w:rPr>
  </w:style>
  <w:style w:type="character" w:customStyle="1" w:styleId="68">
    <w:name w:val="正文文字2 Char"/>
    <w:link w:val="69"/>
    <w:qFormat/>
    <w:uiPriority w:val="0"/>
    <w:rPr>
      <w:rFonts w:ascii="Arial" w:eastAsia="黑体"/>
    </w:rPr>
  </w:style>
  <w:style w:type="paragraph" w:customStyle="1" w:styleId="69">
    <w:name w:val="正文文字2"/>
    <w:basedOn w:val="4"/>
    <w:next w:val="16"/>
    <w:link w:val="68"/>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0">
    <w:name w:val="列出段落 Char Char"/>
    <w:link w:val="71"/>
    <w:qFormat/>
    <w:uiPriority w:val="0"/>
    <w:rPr>
      <w:rFonts w:ascii="Calibri" w:hAnsi="Calibri"/>
    </w:rPr>
  </w:style>
  <w:style w:type="paragraph" w:customStyle="1" w:styleId="71">
    <w:name w:val="列表段落1"/>
    <w:basedOn w:val="1"/>
    <w:link w:val="70"/>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2">
    <w:name w:val="列出段落 Char"/>
    <w:link w:val="73"/>
    <w:qFormat/>
    <w:uiPriority w:val="0"/>
    <w:rPr>
      <w:rFonts w:ascii="Calibri" w:hAnsi="Calibri"/>
    </w:rPr>
  </w:style>
  <w:style w:type="paragraph" w:styleId="73">
    <w:name w:val="List Paragraph"/>
    <w:basedOn w:val="1"/>
    <w:link w:val="72"/>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4">
    <w:name w:val="日期 Char1"/>
    <w:qFormat/>
    <w:uiPriority w:val="0"/>
    <w:rPr>
      <w:kern w:val="2"/>
      <w:sz w:val="21"/>
      <w:szCs w:val="24"/>
    </w:rPr>
  </w:style>
  <w:style w:type="character" w:customStyle="1" w:styleId="75">
    <w:name w:val="Char Char3"/>
    <w:basedOn w:val="53"/>
    <w:qFormat/>
    <w:uiPriority w:val="0"/>
    <w:rPr>
      <w:rFonts w:ascii="宋体" w:hAnsi="Courier New" w:eastAsia="宋体"/>
      <w:sz w:val="24"/>
      <w:szCs w:val="24"/>
      <w:lang w:bidi="ar-SA"/>
    </w:rPr>
  </w:style>
  <w:style w:type="character" w:customStyle="1" w:styleId="76">
    <w:name w:val="正文缩进 Char1"/>
    <w:basedOn w:val="53"/>
    <w:link w:val="17"/>
    <w:qFormat/>
    <w:uiPriority w:val="0"/>
  </w:style>
  <w:style w:type="character" w:customStyle="1" w:styleId="77">
    <w:name w:val="正文文本缩进 字符"/>
    <w:basedOn w:val="53"/>
    <w:qFormat/>
    <w:uiPriority w:val="0"/>
    <w:rPr>
      <w:rFonts w:eastAsia="宋体"/>
      <w:color w:val="000000"/>
      <w:sz w:val="21"/>
      <w:szCs w:val="21"/>
      <w:lang w:val="en-US" w:eastAsia="zh-CN" w:bidi="ar-SA"/>
    </w:rPr>
  </w:style>
  <w:style w:type="character" w:customStyle="1" w:styleId="78">
    <w:name w:val="15"/>
    <w:basedOn w:val="53"/>
    <w:qFormat/>
    <w:uiPriority w:val="0"/>
    <w:rPr>
      <w:rFonts w:hint="default" w:ascii="Lucida Sans" w:hAnsi="Lucida Sans"/>
    </w:rPr>
  </w:style>
  <w:style w:type="character" w:customStyle="1" w:styleId="79">
    <w:name w:val="jtz3 Char"/>
    <w:qFormat/>
    <w:uiPriority w:val="0"/>
    <w:rPr>
      <w:rFonts w:eastAsia="宋体"/>
      <w:b/>
      <w:bCs/>
      <w:kern w:val="2"/>
      <w:sz w:val="28"/>
      <w:szCs w:val="32"/>
      <w:lang w:val="en-US" w:eastAsia="zh-CN" w:bidi="ar-SA"/>
    </w:rPr>
  </w:style>
  <w:style w:type="character" w:customStyle="1" w:styleId="80">
    <w:name w:val="页脚 Char1"/>
    <w:basedOn w:val="53"/>
    <w:link w:val="31"/>
    <w:qFormat/>
    <w:uiPriority w:val="99"/>
    <w:rPr>
      <w:color w:val="000000"/>
      <w:sz w:val="18"/>
      <w:szCs w:val="18"/>
    </w:rPr>
  </w:style>
  <w:style w:type="character" w:customStyle="1" w:styleId="81">
    <w:name w:val="页眉 Char1"/>
    <w:basedOn w:val="53"/>
    <w:link w:val="32"/>
    <w:qFormat/>
    <w:uiPriority w:val="99"/>
    <w:rPr>
      <w:color w:val="000000"/>
      <w:sz w:val="18"/>
      <w:szCs w:val="18"/>
    </w:rPr>
  </w:style>
  <w:style w:type="character" w:customStyle="1" w:styleId="82">
    <w:name w:val="jtz2 Char1"/>
    <w:qFormat/>
    <w:uiPriority w:val="0"/>
    <w:rPr>
      <w:rFonts w:ascii="Cambria" w:hAnsi="Cambria" w:eastAsia="宋体"/>
      <w:b/>
      <w:bCs/>
      <w:kern w:val="2"/>
      <w:sz w:val="30"/>
      <w:szCs w:val="32"/>
      <w:lang w:val="en-US" w:eastAsia="zh-CN" w:bidi="ar-SA"/>
    </w:rPr>
  </w:style>
  <w:style w:type="character" w:customStyle="1" w:styleId="83">
    <w:name w:val="普通(网站) Char"/>
    <w:basedOn w:val="53"/>
    <w:link w:val="45"/>
    <w:qFormat/>
    <w:uiPriority w:val="0"/>
    <w:rPr>
      <w:rFonts w:ascii="宋体" w:hAnsi="宋体"/>
      <w:color w:val="000000"/>
      <w:sz w:val="24"/>
      <w:szCs w:val="24"/>
    </w:rPr>
  </w:style>
  <w:style w:type="character" w:customStyle="1" w:styleId="84">
    <w:name w:val="Char Char13"/>
    <w:qFormat/>
    <w:uiPriority w:val="0"/>
    <w:rPr>
      <w:rFonts w:eastAsia="宋体"/>
      <w:b/>
      <w:bCs/>
      <w:kern w:val="44"/>
      <w:sz w:val="44"/>
      <w:szCs w:val="44"/>
      <w:lang w:val="en-US" w:eastAsia="zh-CN" w:bidi="ar-SA"/>
    </w:rPr>
  </w:style>
  <w:style w:type="character" w:customStyle="1" w:styleId="85">
    <w:name w:val="Char Char17"/>
    <w:qFormat/>
    <w:uiPriority w:val="0"/>
    <w:rPr>
      <w:rFonts w:ascii="Calibri" w:hAnsi="Calibri" w:eastAsia="宋体" w:cs="Times New Roman"/>
    </w:rPr>
  </w:style>
  <w:style w:type="character" w:customStyle="1" w:styleId="86">
    <w:name w:val="正文文本缩进 2 Char1"/>
    <w:qFormat/>
    <w:uiPriority w:val="0"/>
    <w:rPr>
      <w:kern w:val="2"/>
      <w:sz w:val="21"/>
      <w:szCs w:val="24"/>
    </w:rPr>
  </w:style>
  <w:style w:type="character" w:customStyle="1" w:styleId="87">
    <w:name w:val="param-name"/>
    <w:qFormat/>
    <w:uiPriority w:val="0"/>
  </w:style>
  <w:style w:type="character" w:customStyle="1" w:styleId="88">
    <w:name w:val="01 正文样式 Char"/>
    <w:link w:val="89"/>
    <w:qFormat/>
    <w:uiPriority w:val="0"/>
    <w:rPr>
      <w:sz w:val="24"/>
    </w:rPr>
  </w:style>
  <w:style w:type="paragraph" w:customStyle="1" w:styleId="89">
    <w:name w:val="01 正文样式"/>
    <w:basedOn w:val="1"/>
    <w:link w:val="88"/>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0">
    <w:name w:val="HTML 预设格式 Char"/>
    <w:basedOn w:val="53"/>
    <w:link w:val="44"/>
    <w:qFormat/>
    <w:uiPriority w:val="0"/>
    <w:rPr>
      <w:rFonts w:ascii="Arial Unicode MS" w:hAnsi="Arial Unicode MS" w:eastAsia="Arial Unicode MS"/>
    </w:rPr>
  </w:style>
  <w:style w:type="character" w:customStyle="1" w:styleId="91">
    <w:name w:val="签名 Char"/>
    <w:basedOn w:val="53"/>
    <w:link w:val="33"/>
    <w:qFormat/>
    <w:uiPriority w:val="0"/>
    <w:rPr>
      <w:rFonts w:ascii="Arial" w:hAnsi="Arial"/>
      <w:spacing w:val="-5"/>
      <w:sz w:val="24"/>
    </w:rPr>
  </w:style>
  <w:style w:type="character" w:customStyle="1" w:styleId="92">
    <w:name w:val="jtz2 Char"/>
    <w:qFormat/>
    <w:uiPriority w:val="0"/>
    <w:rPr>
      <w:rFonts w:ascii="Arial" w:hAnsi="Arial" w:eastAsia="宋体"/>
      <w:b/>
      <w:bCs/>
      <w:kern w:val="2"/>
      <w:sz w:val="30"/>
      <w:szCs w:val="32"/>
      <w:lang w:val="en-US" w:eastAsia="zh-CN" w:bidi="ar-SA"/>
    </w:rPr>
  </w:style>
  <w:style w:type="character" w:customStyle="1" w:styleId="93">
    <w:name w:val="正文文本缩进 3 Char"/>
    <w:basedOn w:val="53"/>
    <w:link w:val="39"/>
    <w:qFormat/>
    <w:uiPriority w:val="0"/>
    <w:rPr>
      <w:szCs w:val="24"/>
    </w:rPr>
  </w:style>
  <w:style w:type="character" w:customStyle="1" w:styleId="94">
    <w:name w:val="纯文本 Char1"/>
    <w:basedOn w:val="53"/>
    <w:link w:val="26"/>
    <w:qFormat/>
    <w:uiPriority w:val="0"/>
    <w:rPr>
      <w:sz w:val="24"/>
    </w:rPr>
  </w:style>
  <w:style w:type="character" w:customStyle="1" w:styleId="95">
    <w:name w:val="01正文样式 Char"/>
    <w:link w:val="96"/>
    <w:qFormat/>
    <w:uiPriority w:val="0"/>
    <w:rPr>
      <w:rFonts w:ascii="Tahoma" w:hAnsi="Tahoma" w:eastAsia="仿宋_GB2312"/>
      <w:sz w:val="28"/>
    </w:rPr>
  </w:style>
  <w:style w:type="paragraph" w:customStyle="1" w:styleId="96">
    <w:name w:val="01正文样式"/>
    <w:basedOn w:val="1"/>
    <w:link w:val="95"/>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7">
    <w:name w:val="日期 Char"/>
    <w:basedOn w:val="53"/>
    <w:link w:val="28"/>
    <w:qFormat/>
    <w:uiPriority w:val="0"/>
    <w:rPr>
      <w:color w:val="000000"/>
      <w:szCs w:val="21"/>
    </w:rPr>
  </w:style>
  <w:style w:type="character" w:customStyle="1" w:styleId="98">
    <w:name w:val="Char Char11"/>
    <w:basedOn w:val="53"/>
    <w:qFormat/>
    <w:uiPriority w:val="0"/>
    <w:rPr>
      <w:rFonts w:ascii="Arial" w:hAnsi="Arial" w:eastAsia="黑体"/>
      <w:b/>
      <w:kern w:val="2"/>
      <w:sz w:val="32"/>
      <w:szCs w:val="32"/>
      <w:lang w:val="en-US" w:eastAsia="zh-CN" w:bidi="ar-SA"/>
    </w:rPr>
  </w:style>
  <w:style w:type="character" w:customStyle="1" w:styleId="99">
    <w:name w:val="font01"/>
    <w:basedOn w:val="53"/>
    <w:qFormat/>
    <w:uiPriority w:val="0"/>
    <w:rPr>
      <w:rFonts w:hint="eastAsia" w:ascii="宋体" w:hAnsi="宋体" w:eastAsia="宋体" w:cs="宋体"/>
      <w:color w:val="000000"/>
      <w:sz w:val="24"/>
      <w:szCs w:val="24"/>
    </w:rPr>
  </w:style>
  <w:style w:type="character" w:customStyle="1" w:styleId="100">
    <w:name w:val="p0 Char"/>
    <w:link w:val="101"/>
    <w:qFormat/>
    <w:uiPriority w:val="0"/>
    <w:rPr>
      <w:szCs w:val="21"/>
    </w:rPr>
  </w:style>
  <w:style w:type="paragraph" w:customStyle="1" w:styleId="101">
    <w:name w:val="p0"/>
    <w:next w:val="40"/>
    <w:link w:val="100"/>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2">
    <w:name w:val="Font Style15"/>
    <w:qFormat/>
    <w:uiPriority w:val="0"/>
    <w:rPr>
      <w:rFonts w:ascii="MingLiU" w:eastAsia="MingLiU"/>
      <w:sz w:val="58"/>
    </w:rPr>
  </w:style>
  <w:style w:type="character" w:customStyle="1" w:styleId="103">
    <w:name w:val="正文 1.5 倍行距 Char"/>
    <w:link w:val="104"/>
    <w:qFormat/>
    <w:uiPriority w:val="0"/>
    <w:rPr>
      <w:sz w:val="24"/>
    </w:rPr>
  </w:style>
  <w:style w:type="paragraph" w:customStyle="1" w:styleId="104">
    <w:name w:val="正文 1.5 倍行距"/>
    <w:basedOn w:val="1"/>
    <w:link w:val="103"/>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5">
    <w:name w:val="批注文字 Char"/>
    <w:basedOn w:val="53"/>
    <w:link w:val="21"/>
    <w:qFormat/>
    <w:uiPriority w:val="99"/>
    <w:rPr>
      <w:rFonts w:ascii="Times New Roman" w:hAnsi="Times New Roman" w:eastAsia="宋体" w:cs="Times New Roman"/>
      <w:color w:val="000000"/>
      <w:kern w:val="0"/>
      <w:szCs w:val="21"/>
    </w:rPr>
  </w:style>
  <w:style w:type="character" w:customStyle="1" w:styleId="106">
    <w:name w:val="批注主题 Char"/>
    <w:basedOn w:val="105"/>
    <w:link w:val="48"/>
    <w:qFormat/>
    <w:uiPriority w:val="0"/>
    <w:rPr>
      <w:rFonts w:ascii="Times New Roman" w:hAnsi="Times New Roman" w:eastAsia="宋体" w:cs="Times New Roman"/>
      <w:b/>
      <w:bCs/>
      <w:color w:val="000000"/>
      <w:kern w:val="0"/>
      <w:szCs w:val="24"/>
    </w:rPr>
  </w:style>
  <w:style w:type="character" w:customStyle="1" w:styleId="107">
    <w:name w:val="正文文本缩进 3 字符1"/>
    <w:basedOn w:val="53"/>
    <w:semiHidden/>
    <w:qFormat/>
    <w:uiPriority w:val="99"/>
    <w:rPr>
      <w:rFonts w:ascii="Times New Roman" w:hAnsi="Times New Roman" w:eastAsia="宋体" w:cs="Times New Roman"/>
      <w:color w:val="000000"/>
      <w:kern w:val="0"/>
      <w:sz w:val="16"/>
      <w:szCs w:val="16"/>
    </w:rPr>
  </w:style>
  <w:style w:type="character" w:customStyle="1" w:styleId="108">
    <w:name w:val="纯文本 字符1"/>
    <w:basedOn w:val="53"/>
    <w:semiHidden/>
    <w:qFormat/>
    <w:uiPriority w:val="99"/>
    <w:rPr>
      <w:rFonts w:hAnsi="Courier New" w:cs="Courier New" w:asciiTheme="minorEastAsia"/>
      <w:color w:val="000000"/>
      <w:kern w:val="0"/>
      <w:szCs w:val="21"/>
    </w:rPr>
  </w:style>
  <w:style w:type="character" w:customStyle="1" w:styleId="109">
    <w:name w:val="批注框文本 Char"/>
    <w:basedOn w:val="53"/>
    <w:link w:val="30"/>
    <w:qFormat/>
    <w:uiPriority w:val="0"/>
    <w:rPr>
      <w:rFonts w:ascii="Times New Roman" w:hAnsi="Times New Roman" w:eastAsia="宋体" w:cs="Times New Roman"/>
      <w:sz w:val="18"/>
      <w:szCs w:val="18"/>
    </w:rPr>
  </w:style>
  <w:style w:type="character" w:customStyle="1" w:styleId="110">
    <w:name w:val="文档结构图 Char1"/>
    <w:basedOn w:val="53"/>
    <w:link w:val="20"/>
    <w:qFormat/>
    <w:uiPriority w:val="0"/>
    <w:rPr>
      <w:rFonts w:ascii="Times New Roman" w:hAnsi="Times New Roman" w:eastAsia="宋体" w:cs="Times New Roman"/>
      <w:szCs w:val="24"/>
      <w:shd w:val="clear" w:color="auto" w:fill="000080"/>
    </w:rPr>
  </w:style>
  <w:style w:type="character" w:customStyle="1" w:styleId="111">
    <w:name w:val="正文文本缩进 Char"/>
    <w:basedOn w:val="53"/>
    <w:link w:val="22"/>
    <w:qFormat/>
    <w:uiPriority w:val="0"/>
    <w:rPr>
      <w:rFonts w:ascii="Times New Roman" w:hAnsi="Times New Roman" w:eastAsia="宋体" w:cs="Times New Roman"/>
      <w:color w:val="000000"/>
      <w:kern w:val="0"/>
      <w:szCs w:val="21"/>
    </w:rPr>
  </w:style>
  <w:style w:type="character" w:customStyle="1" w:styleId="112">
    <w:name w:val="正文首行缩进 2 Char"/>
    <w:basedOn w:val="111"/>
    <w:link w:val="50"/>
    <w:qFormat/>
    <w:uiPriority w:val="0"/>
    <w:rPr>
      <w:rFonts w:ascii="Calibri" w:hAnsi="Calibri" w:eastAsia="宋体" w:cs="Times New Roman"/>
      <w:color w:val="000000"/>
      <w:kern w:val="0"/>
      <w:sz w:val="24"/>
      <w:szCs w:val="21"/>
    </w:rPr>
  </w:style>
  <w:style w:type="character" w:customStyle="1" w:styleId="113">
    <w:name w:val="HTML 预设格式 字符1"/>
    <w:basedOn w:val="53"/>
    <w:semiHidden/>
    <w:qFormat/>
    <w:uiPriority w:val="99"/>
    <w:rPr>
      <w:rFonts w:ascii="Courier New" w:hAnsi="Courier New" w:eastAsia="宋体" w:cs="Courier New"/>
      <w:color w:val="000000"/>
      <w:kern w:val="0"/>
      <w:sz w:val="20"/>
      <w:szCs w:val="20"/>
    </w:rPr>
  </w:style>
  <w:style w:type="character" w:customStyle="1" w:styleId="114">
    <w:name w:val="页脚 字符1"/>
    <w:basedOn w:val="53"/>
    <w:semiHidden/>
    <w:qFormat/>
    <w:uiPriority w:val="99"/>
    <w:rPr>
      <w:rFonts w:ascii="Times New Roman" w:hAnsi="Times New Roman" w:eastAsia="宋体" w:cs="Times New Roman"/>
      <w:color w:val="000000"/>
      <w:kern w:val="0"/>
      <w:sz w:val="18"/>
      <w:szCs w:val="18"/>
    </w:rPr>
  </w:style>
  <w:style w:type="character" w:customStyle="1" w:styleId="115">
    <w:name w:val="正文文本缩进 2 Char"/>
    <w:basedOn w:val="53"/>
    <w:link w:val="29"/>
    <w:qFormat/>
    <w:uiPriority w:val="0"/>
    <w:rPr>
      <w:rFonts w:ascii="仿宋_GB2312" w:hAnsi="Times New Roman" w:eastAsia="仿宋_GB2312" w:cs="Times New Roman"/>
      <w:sz w:val="28"/>
      <w:szCs w:val="28"/>
      <w:lang w:val="en-US" w:eastAsia="zh-CN"/>
    </w:rPr>
  </w:style>
  <w:style w:type="character" w:customStyle="1" w:styleId="116">
    <w:name w:val="签名 字符1"/>
    <w:basedOn w:val="53"/>
    <w:semiHidden/>
    <w:qFormat/>
    <w:uiPriority w:val="99"/>
    <w:rPr>
      <w:rFonts w:ascii="Times New Roman" w:hAnsi="Times New Roman" w:eastAsia="宋体" w:cs="Times New Roman"/>
      <w:color w:val="000000"/>
      <w:kern w:val="0"/>
      <w:szCs w:val="21"/>
    </w:rPr>
  </w:style>
  <w:style w:type="character" w:customStyle="1" w:styleId="117">
    <w:name w:val="日期 字符1"/>
    <w:basedOn w:val="53"/>
    <w:semiHidden/>
    <w:qFormat/>
    <w:uiPriority w:val="99"/>
    <w:rPr>
      <w:rFonts w:ascii="Times New Roman" w:hAnsi="Times New Roman" w:eastAsia="宋体" w:cs="Times New Roman"/>
      <w:color w:val="000000"/>
      <w:kern w:val="0"/>
      <w:szCs w:val="21"/>
    </w:rPr>
  </w:style>
  <w:style w:type="character" w:customStyle="1" w:styleId="118">
    <w:name w:val="正文文本 Char"/>
    <w:basedOn w:val="53"/>
    <w:link w:val="4"/>
    <w:qFormat/>
    <w:uiPriority w:val="0"/>
    <w:rPr>
      <w:rFonts w:ascii="Times New Roman" w:hAnsi="Times New Roman" w:eastAsia="宋体" w:cs="Times New Roman"/>
      <w:color w:val="000000"/>
      <w:kern w:val="0"/>
      <w:szCs w:val="21"/>
    </w:rPr>
  </w:style>
  <w:style w:type="character" w:customStyle="1" w:styleId="119">
    <w:name w:val="页眉 字符1"/>
    <w:basedOn w:val="53"/>
    <w:semiHidden/>
    <w:qFormat/>
    <w:uiPriority w:val="99"/>
    <w:rPr>
      <w:rFonts w:ascii="Times New Roman" w:hAnsi="Times New Roman" w:eastAsia="宋体" w:cs="Times New Roman"/>
      <w:color w:val="000000"/>
      <w:kern w:val="0"/>
      <w:sz w:val="18"/>
      <w:szCs w:val="18"/>
    </w:rPr>
  </w:style>
  <w:style w:type="paragraph" w:customStyle="1" w:styleId="120">
    <w:name w:val="正文段"/>
    <w:basedOn w:val="1"/>
    <w:next w:val="19"/>
    <w:qFormat/>
    <w:uiPriority w:val="0"/>
    <w:pPr>
      <w:widowControl/>
      <w:autoSpaceDE/>
      <w:autoSpaceDN/>
      <w:adjustRightInd/>
      <w:snapToGrid w:val="0"/>
      <w:spacing w:afterLines="50"/>
      <w:ind w:firstLine="200" w:firstLineChars="200"/>
    </w:pPr>
    <w:rPr>
      <w:color w:val="auto"/>
      <w:sz w:val="24"/>
      <w:szCs w:val="20"/>
    </w:rPr>
  </w:style>
  <w:style w:type="paragraph" w:customStyle="1" w:styleId="121">
    <w:name w:val="Char Char Char Char Char Char Char Char Char Char Char Char Char Char Char Char Char Char Char Char Char Char Char Char Char Char Char Char"/>
    <w:basedOn w:val="1"/>
    <w:qFormat/>
    <w:uiPriority w:val="0"/>
    <w:pPr>
      <w:tabs>
        <w:tab w:val="left" w:pos="360"/>
      </w:tabs>
      <w:autoSpaceDE/>
      <w:autoSpaceDN/>
      <w:adjustRightInd/>
    </w:pPr>
    <w:rPr>
      <w:color w:val="auto"/>
      <w:kern w:val="2"/>
      <w:sz w:val="24"/>
      <w:szCs w:val="24"/>
    </w:rPr>
  </w:style>
  <w:style w:type="paragraph" w:customStyle="1" w:styleId="122">
    <w:name w:val="p20"/>
    <w:basedOn w:val="1"/>
    <w:qFormat/>
    <w:uiPriority w:val="0"/>
    <w:pPr>
      <w:widowControl/>
      <w:autoSpaceDE/>
      <w:autoSpaceDN/>
      <w:adjustRightInd/>
      <w:ind w:left="425" w:firstLine="420"/>
    </w:pPr>
    <w:rPr>
      <w:rFonts w:ascii="Calibri" w:hAnsi="Calibri" w:cs="宋体"/>
      <w:color w:val="auto"/>
    </w:rPr>
  </w:style>
  <w:style w:type="paragraph" w:customStyle="1" w:styleId="123">
    <w:name w:val="p22"/>
    <w:basedOn w:val="1"/>
    <w:qFormat/>
    <w:uiPriority w:val="0"/>
    <w:pPr>
      <w:widowControl/>
      <w:autoSpaceDE/>
      <w:autoSpaceDN/>
      <w:adjustRightInd/>
      <w:jc w:val="left"/>
    </w:pPr>
    <w:rPr>
      <w:color w:val="auto"/>
      <w:sz w:val="18"/>
      <w:szCs w:val="18"/>
    </w:rPr>
  </w:style>
  <w:style w:type="paragraph" w:customStyle="1" w:styleId="124">
    <w:name w:val="列出段落1"/>
    <w:basedOn w:val="1"/>
    <w:qFormat/>
    <w:uiPriority w:val="0"/>
    <w:pPr>
      <w:autoSpaceDE/>
      <w:autoSpaceDN/>
      <w:adjustRightInd/>
      <w:ind w:firstLine="420" w:firstLineChars="200"/>
    </w:pPr>
    <w:rPr>
      <w:color w:val="auto"/>
      <w:kern w:val="2"/>
      <w:szCs w:val="24"/>
    </w:rPr>
  </w:style>
  <w:style w:type="paragraph" w:customStyle="1" w:styleId="125">
    <w:name w:val="p15"/>
    <w:basedOn w:val="1"/>
    <w:qFormat/>
    <w:uiPriority w:val="0"/>
    <w:pPr>
      <w:widowControl/>
      <w:autoSpaceDE/>
      <w:autoSpaceDN/>
      <w:adjustRightInd/>
      <w:snapToGrid w:val="0"/>
    </w:pPr>
  </w:style>
  <w:style w:type="paragraph" w:customStyle="1" w:styleId="126">
    <w:name w:val="Char"/>
    <w:basedOn w:val="1"/>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7">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8">
    <w:name w:val="p16"/>
    <w:basedOn w:val="1"/>
    <w:qFormat/>
    <w:uiPriority w:val="0"/>
    <w:pPr>
      <w:widowControl/>
      <w:autoSpaceDE/>
      <w:autoSpaceDN/>
      <w:adjustRightInd/>
    </w:pPr>
    <w:rPr>
      <w:color w:val="auto"/>
      <w:sz w:val="24"/>
      <w:szCs w:val="24"/>
    </w:rPr>
  </w:style>
  <w:style w:type="paragraph" w:customStyle="1" w:styleId="129">
    <w:name w:val="样式4"/>
    <w:basedOn w:val="5"/>
    <w:qFormat/>
    <w:uiPriority w:val="0"/>
    <w:pPr>
      <w:autoSpaceDE/>
      <w:autoSpaceDN/>
      <w:adjustRightInd/>
      <w:spacing w:line="480" w:lineRule="auto"/>
    </w:pPr>
    <w:rPr>
      <w:bCs/>
      <w:color w:val="auto"/>
      <w:sz w:val="32"/>
      <w:szCs w:val="44"/>
    </w:rPr>
  </w:style>
  <w:style w:type="paragraph" w:customStyle="1" w:styleId="130">
    <w:name w:val="正文文本首行缩进 21"/>
    <w:basedOn w:val="131"/>
    <w:qFormat/>
    <w:uiPriority w:val="0"/>
    <w:pPr>
      <w:ind w:firstLine="420"/>
    </w:pPr>
    <w:rPr>
      <w:rFonts w:cs="宋体"/>
    </w:rPr>
  </w:style>
  <w:style w:type="paragraph" w:customStyle="1" w:styleId="131">
    <w:name w:val="正文文本缩进1"/>
    <w:basedOn w:val="1"/>
    <w:next w:val="1"/>
    <w:qFormat/>
    <w:uiPriority w:val="0"/>
    <w:pPr>
      <w:spacing w:after="120"/>
      <w:ind w:left="420" w:leftChars="200"/>
    </w:pPr>
  </w:style>
  <w:style w:type="paragraph" w:customStyle="1" w:styleId="132">
    <w:name w:val="Char Char Char Char Char Char Char Char Char Char Char Char Char Char Char Char Char Char Char"/>
    <w:basedOn w:val="1"/>
    <w:qFormat/>
    <w:uiPriority w:val="0"/>
    <w:pPr>
      <w:autoSpaceDE/>
      <w:autoSpaceDN/>
      <w:adjustRightInd/>
    </w:pPr>
    <w:rPr>
      <w:color w:val="auto"/>
      <w:kern w:val="2"/>
      <w:szCs w:val="24"/>
    </w:rPr>
  </w:style>
  <w:style w:type="paragraph" w:customStyle="1" w:styleId="133">
    <w:name w:val="p23"/>
    <w:basedOn w:val="1"/>
    <w:qFormat/>
    <w:uiPriority w:val="0"/>
    <w:pPr>
      <w:widowControl/>
      <w:pBdr>
        <w:bottom w:val="single" w:color="000000" w:sz="6" w:space="1"/>
      </w:pBdr>
      <w:autoSpaceDE/>
      <w:autoSpaceDN/>
      <w:adjustRightInd/>
      <w:jc w:val="center"/>
    </w:pPr>
    <w:rPr>
      <w:color w:val="auto"/>
      <w:sz w:val="18"/>
      <w:szCs w:val="18"/>
    </w:rPr>
  </w:style>
  <w:style w:type="paragraph" w:customStyle="1" w:styleId="134">
    <w:name w:val="p21"/>
    <w:basedOn w:val="1"/>
    <w:qFormat/>
    <w:uiPriority w:val="0"/>
    <w:pPr>
      <w:widowControl/>
      <w:autoSpaceDE/>
      <w:autoSpaceDN/>
      <w:adjustRightInd/>
      <w:jc w:val="left"/>
    </w:pPr>
    <w:rPr>
      <w:color w:val="auto"/>
    </w:rPr>
  </w:style>
  <w:style w:type="paragraph" w:customStyle="1" w:styleId="1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题注居中"/>
    <w:basedOn w:val="18"/>
    <w:next w:val="1"/>
    <w:qFormat/>
    <w:uiPriority w:val="0"/>
    <w:pPr>
      <w:spacing w:after="120" w:line="240" w:lineRule="exact"/>
      <w:ind w:firstLine="0" w:firstLineChars="0"/>
      <w:jc w:val="center"/>
    </w:pPr>
    <w:rPr>
      <w:rFonts w:ascii="宋体" w:hAnsi="宋体" w:eastAsia="宋体" w:cs="宋体"/>
      <w:b/>
      <w:sz w:val="21"/>
    </w:rPr>
  </w:style>
  <w:style w:type="paragraph" w:customStyle="1" w:styleId="138">
    <w:name w:val="Char Char Char Char Char Char"/>
    <w:basedOn w:val="1"/>
    <w:qFormat/>
    <w:uiPriority w:val="0"/>
    <w:pPr>
      <w:widowControl/>
      <w:autoSpaceDE/>
      <w:autoSpaceDN/>
      <w:adjustRightInd/>
      <w:spacing w:after="160" w:line="240" w:lineRule="exact"/>
      <w:jc w:val="left"/>
    </w:pPr>
    <w:rPr>
      <w:color w:val="auto"/>
      <w:kern w:val="2"/>
      <w:szCs w:val="24"/>
    </w:rPr>
  </w:style>
  <w:style w:type="paragraph" w:customStyle="1" w:styleId="139">
    <w:name w:val="Char Char Char Char1"/>
    <w:basedOn w:val="1"/>
    <w:qFormat/>
    <w:uiPriority w:val="0"/>
    <w:pPr>
      <w:autoSpaceDE/>
      <w:autoSpaceDN/>
      <w:adjustRightInd/>
    </w:pPr>
    <w:rPr>
      <w:rFonts w:ascii="Tahoma" w:hAnsi="Tahoma"/>
      <w:color w:val="auto"/>
      <w:kern w:val="2"/>
      <w:sz w:val="24"/>
      <w:szCs w:val="20"/>
    </w:rPr>
  </w:style>
  <w:style w:type="paragraph" w:customStyle="1" w:styleId="140">
    <w:name w:val="p17"/>
    <w:basedOn w:val="1"/>
    <w:qFormat/>
    <w:uiPriority w:val="0"/>
    <w:pPr>
      <w:widowControl/>
      <w:autoSpaceDE/>
      <w:autoSpaceDN/>
      <w:adjustRightInd/>
      <w:ind w:left="2520"/>
    </w:pPr>
    <w:rPr>
      <w:color w:val="auto"/>
    </w:rPr>
  </w:style>
  <w:style w:type="paragraph" w:customStyle="1" w:styleId="141">
    <w:name w:val="表格内"/>
    <w:basedOn w:val="1"/>
    <w:qFormat/>
    <w:uiPriority w:val="0"/>
    <w:rPr>
      <w:rFonts w:cs="宋体"/>
      <w:szCs w:val="20"/>
    </w:rPr>
  </w:style>
  <w:style w:type="paragraph" w:customStyle="1" w:styleId="142">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3">
    <w:name w:val="p19"/>
    <w:basedOn w:val="1"/>
    <w:qFormat/>
    <w:uiPriority w:val="0"/>
    <w:pPr>
      <w:widowControl/>
      <w:autoSpaceDE/>
      <w:autoSpaceDN/>
      <w:adjustRightInd/>
      <w:spacing w:before="156" w:after="156" w:line="360" w:lineRule="auto"/>
      <w:ind w:firstLine="420"/>
    </w:pPr>
    <w:rPr>
      <w:color w:val="auto"/>
      <w:sz w:val="24"/>
      <w:szCs w:val="24"/>
    </w:rPr>
  </w:style>
  <w:style w:type="paragraph" w:customStyle="1" w:styleId="144">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45">
    <w:name w:val="p18"/>
    <w:basedOn w:val="1"/>
    <w:qFormat/>
    <w:uiPriority w:val="0"/>
    <w:pPr>
      <w:widowControl/>
      <w:autoSpaceDE/>
      <w:autoSpaceDN/>
      <w:adjustRightInd/>
      <w:snapToGrid w:val="0"/>
      <w:jc w:val="left"/>
    </w:pPr>
    <w:rPr>
      <w:sz w:val="24"/>
      <w:szCs w:val="24"/>
    </w:rPr>
  </w:style>
  <w:style w:type="paragraph" w:customStyle="1" w:styleId="146">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7">
    <w:name w:val="文档正文"/>
    <w:basedOn w:val="1"/>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8">
    <w:name w:val="样式 正文缩进首行缩进两字 + 小四 首行缩进:  2 字符"/>
    <w:basedOn w:val="17"/>
    <w:qFormat/>
    <w:uiPriority w:val="0"/>
    <w:pPr>
      <w:spacing w:line="360" w:lineRule="auto"/>
      <w:ind w:firstLine="200" w:firstLineChars="200"/>
    </w:pPr>
    <w:rPr>
      <w:rFonts w:cs="宋体"/>
      <w:sz w:val="24"/>
    </w:rPr>
  </w:style>
  <w:style w:type="character" w:customStyle="1" w:styleId="149">
    <w:name w:val="font91"/>
    <w:qFormat/>
    <w:uiPriority w:val="0"/>
    <w:rPr>
      <w:rFonts w:hint="eastAsia" w:ascii="宋体" w:hAnsi="宋体" w:eastAsia="宋体" w:cs="宋体"/>
      <w:color w:val="auto"/>
      <w:sz w:val="18"/>
      <w:szCs w:val="18"/>
      <w:u w:val="none"/>
    </w:rPr>
  </w:style>
  <w:style w:type="paragraph" w:styleId="150">
    <w:name w:val="No Spacing"/>
    <w:link w:val="186"/>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1">
    <w:name w:val="正文文本 3 Char"/>
    <w:basedOn w:val="53"/>
    <w:qFormat/>
    <w:uiPriority w:val="0"/>
    <w:rPr>
      <w:rFonts w:ascii="Times New Roman" w:hAnsi="Times New Roman" w:eastAsia="宋体" w:cs="Times New Roman"/>
      <w:color w:val="000000"/>
      <w:kern w:val="0"/>
      <w:sz w:val="16"/>
      <w:szCs w:val="16"/>
    </w:rPr>
  </w:style>
  <w:style w:type="paragraph" w:customStyle="1" w:styleId="15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54">
    <w:name w:val="apple-converted-space"/>
    <w:basedOn w:val="53"/>
    <w:qFormat/>
    <w:uiPriority w:val="0"/>
  </w:style>
  <w:style w:type="character" w:customStyle="1" w:styleId="155">
    <w:name w:val="正文首行缩进 Char"/>
    <w:basedOn w:val="118"/>
    <w:link w:val="49"/>
    <w:qFormat/>
    <w:uiPriority w:val="0"/>
    <w:rPr>
      <w:rFonts w:ascii="Times New Roman" w:hAnsi="Times New Roman" w:eastAsia="宋体" w:cs="Times New Roman"/>
      <w:color w:val="000000"/>
      <w:kern w:val="0"/>
      <w:sz w:val="21"/>
      <w:szCs w:val="21"/>
    </w:rPr>
  </w:style>
  <w:style w:type="character" w:customStyle="1" w:styleId="156">
    <w:name w:val="标题 5 Char"/>
    <w:basedOn w:val="53"/>
    <w:link w:val="9"/>
    <w:qFormat/>
    <w:uiPriority w:val="0"/>
    <w:rPr>
      <w:rFonts w:ascii="Times New Roman" w:hAnsi="Times New Roman" w:eastAsia="宋体" w:cs="Times New Roman"/>
      <w:b/>
      <w:bCs/>
      <w:color w:val="000000"/>
      <w:kern w:val="2"/>
      <w:sz w:val="28"/>
      <w:szCs w:val="28"/>
    </w:rPr>
  </w:style>
  <w:style w:type="character" w:customStyle="1" w:styleId="157">
    <w:name w:val="标题 6 Char"/>
    <w:basedOn w:val="53"/>
    <w:link w:val="10"/>
    <w:qFormat/>
    <w:uiPriority w:val="0"/>
    <w:rPr>
      <w:rFonts w:ascii="Times New Roman" w:hAnsi="Times New Roman" w:eastAsia="宋体" w:cs="Times New Roman"/>
      <w:color w:val="000000"/>
      <w:kern w:val="24"/>
      <w:sz w:val="24"/>
      <w:szCs w:val="24"/>
    </w:rPr>
  </w:style>
  <w:style w:type="character" w:customStyle="1" w:styleId="158">
    <w:name w:val="标题 7 Char"/>
    <w:basedOn w:val="53"/>
    <w:link w:val="11"/>
    <w:qFormat/>
    <w:uiPriority w:val="0"/>
    <w:rPr>
      <w:rFonts w:ascii="Times New Roman" w:hAnsi="Times New Roman" w:eastAsia="宋体" w:cs="Times New Roman"/>
      <w:color w:val="000000"/>
      <w:spacing w:val="2"/>
      <w:kern w:val="24"/>
      <w:sz w:val="24"/>
      <w:szCs w:val="24"/>
    </w:rPr>
  </w:style>
  <w:style w:type="character" w:customStyle="1" w:styleId="159">
    <w:name w:val="标题 8 Char"/>
    <w:basedOn w:val="53"/>
    <w:link w:val="12"/>
    <w:qFormat/>
    <w:uiPriority w:val="0"/>
    <w:rPr>
      <w:rFonts w:ascii="Times New Roman" w:hAnsi="Times New Roman" w:eastAsia="宋体" w:cs="Times New Roman"/>
      <w:color w:val="000000"/>
      <w:kern w:val="24"/>
      <w:sz w:val="24"/>
      <w:szCs w:val="24"/>
    </w:rPr>
  </w:style>
  <w:style w:type="character" w:customStyle="1" w:styleId="160">
    <w:name w:val="标题 9 Char"/>
    <w:basedOn w:val="53"/>
    <w:link w:val="13"/>
    <w:qFormat/>
    <w:uiPriority w:val="0"/>
    <w:rPr>
      <w:rFonts w:ascii="Arial" w:hAnsi="Arial" w:eastAsia="黑体" w:cs="Times New Roman"/>
      <w:kern w:val="2"/>
      <w:sz w:val="21"/>
      <w:szCs w:val="24"/>
    </w:rPr>
  </w:style>
  <w:style w:type="character" w:customStyle="1" w:styleId="161">
    <w:name w:val="!我的正文 Ctr+Q Char"/>
    <w:link w:val="162"/>
    <w:qFormat/>
    <w:uiPriority w:val="0"/>
    <w:rPr>
      <w:rFonts w:ascii="Arial" w:hAnsi="Arial"/>
      <w:sz w:val="24"/>
      <w:szCs w:val="21"/>
    </w:rPr>
  </w:style>
  <w:style w:type="paragraph" w:customStyle="1" w:styleId="162">
    <w:name w:val="!我的正文 Ctr+Q"/>
    <w:basedOn w:val="1"/>
    <w:link w:val="161"/>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3">
    <w:name w:val="Char Char14"/>
    <w:qFormat/>
    <w:uiPriority w:val="0"/>
    <w:rPr>
      <w:rFonts w:eastAsia="宋体"/>
      <w:kern w:val="2"/>
      <w:sz w:val="24"/>
      <w:lang w:val="en-US" w:eastAsia="zh-CN" w:bidi="ar-SA"/>
    </w:rPr>
  </w:style>
  <w:style w:type="character" w:customStyle="1" w:styleId="164">
    <w:name w:val="小点说明 Char Char"/>
    <w:link w:val="165"/>
    <w:qFormat/>
    <w:uiPriority w:val="0"/>
    <w:rPr>
      <w:rFonts w:eastAsia="宋体"/>
      <w:kern w:val="2"/>
      <w:sz w:val="21"/>
      <w:szCs w:val="24"/>
    </w:rPr>
  </w:style>
  <w:style w:type="paragraph" w:customStyle="1" w:styleId="165">
    <w:name w:val="小点说明"/>
    <w:basedOn w:val="1"/>
    <w:link w:val="164"/>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6">
    <w:name w:val="纯文本 Char"/>
    <w:qFormat/>
    <w:uiPriority w:val="0"/>
    <w:rPr>
      <w:rFonts w:ascii="宋体" w:hAnsi="Courier New" w:cs="Courier New"/>
      <w:kern w:val="2"/>
      <w:sz w:val="21"/>
      <w:szCs w:val="21"/>
    </w:rPr>
  </w:style>
  <w:style w:type="character" w:customStyle="1" w:styleId="167">
    <w:name w:val="Char Char9"/>
    <w:qFormat/>
    <w:uiPriority w:val="0"/>
    <w:rPr>
      <w:rFonts w:eastAsia="宋体"/>
      <w:color w:val="000000"/>
      <w:sz w:val="21"/>
      <w:szCs w:val="21"/>
      <w:lang w:val="en-US" w:eastAsia="zh-CN" w:bidi="ar-SA"/>
    </w:rPr>
  </w:style>
  <w:style w:type="character" w:customStyle="1" w:styleId="168">
    <w:name w:val="Char Char24"/>
    <w:qFormat/>
    <w:uiPriority w:val="0"/>
    <w:rPr>
      <w:rFonts w:eastAsia="宋体"/>
      <w:b/>
      <w:color w:val="000000"/>
      <w:sz w:val="32"/>
      <w:szCs w:val="21"/>
      <w:lang w:val="en-US" w:eastAsia="zh-CN" w:bidi="ar-SA"/>
    </w:rPr>
  </w:style>
  <w:style w:type="character" w:customStyle="1" w:styleId="169">
    <w:name w:val="文章样式1 Char Char"/>
    <w:link w:val="170"/>
    <w:qFormat/>
    <w:uiPriority w:val="0"/>
    <w:rPr>
      <w:rFonts w:ascii="宋体" w:hAnsi="宋体" w:eastAsia="Times New Roman" w:cs="宋体"/>
      <w:b/>
      <w:kern w:val="2"/>
      <w:sz w:val="21"/>
    </w:rPr>
  </w:style>
  <w:style w:type="paragraph" w:customStyle="1" w:styleId="170">
    <w:name w:val="文章样式1"/>
    <w:link w:val="169"/>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1">
    <w:name w:val="Char Char10"/>
    <w:qFormat/>
    <w:uiPriority w:val="0"/>
    <w:rPr>
      <w:rFonts w:eastAsia="宋体"/>
      <w:color w:val="000000"/>
      <w:sz w:val="18"/>
      <w:szCs w:val="18"/>
      <w:lang w:val="en-US" w:eastAsia="zh-CN" w:bidi="ar-SA"/>
    </w:rPr>
  </w:style>
  <w:style w:type="character" w:customStyle="1" w:styleId="172">
    <w:name w:val="样式 正文首行缩进 2 + 左侧:  2 字符 首行缩进:  2 字符1 Char Char"/>
    <w:link w:val="173"/>
    <w:qFormat/>
    <w:uiPriority w:val="0"/>
    <w:rPr>
      <w:rFonts w:ascii="宋体" w:hAnsi="宋体" w:eastAsia="Times New Roman" w:cs="宋体"/>
      <w:color w:val="000000"/>
      <w:kern w:val="2"/>
      <w:sz w:val="21"/>
      <w:szCs w:val="21"/>
    </w:rPr>
  </w:style>
  <w:style w:type="paragraph" w:customStyle="1" w:styleId="173">
    <w:name w:val="样式 正文首行缩进 2 + 左侧:  2 字符 首行缩进:  2 字符1"/>
    <w:next w:val="1"/>
    <w:link w:val="172"/>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4">
    <w:name w:val="Char Char15"/>
    <w:qFormat/>
    <w:uiPriority w:val="0"/>
    <w:rPr>
      <w:rFonts w:eastAsia="宋体"/>
      <w:kern w:val="2"/>
      <w:sz w:val="21"/>
      <w:lang w:val="en-US" w:eastAsia="zh-CN" w:bidi="ar-SA"/>
    </w:rPr>
  </w:style>
  <w:style w:type="character" w:customStyle="1" w:styleId="175">
    <w:name w:val="style21"/>
    <w:qFormat/>
    <w:uiPriority w:val="0"/>
    <w:rPr>
      <w:color w:val="FFFFFF"/>
    </w:rPr>
  </w:style>
  <w:style w:type="character" w:customStyle="1" w:styleId="176">
    <w:name w:val="文章标题3级 Char Char"/>
    <w:link w:val="177"/>
    <w:qFormat/>
    <w:uiPriority w:val="0"/>
    <w:rPr>
      <w:rFonts w:eastAsia="宋体"/>
      <w:b/>
      <w:bCs/>
      <w:caps/>
      <w:color w:val="000000"/>
      <w:kern w:val="2"/>
      <w:sz w:val="24"/>
      <w:szCs w:val="18"/>
    </w:rPr>
  </w:style>
  <w:style w:type="paragraph" w:customStyle="1" w:styleId="177">
    <w:name w:val="文章标题3级"/>
    <w:basedOn w:val="178"/>
    <w:next w:val="1"/>
    <w:link w:val="176"/>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8">
    <w:name w:val="文章标题2级"/>
    <w:basedOn w:val="179"/>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9">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0">
    <w:name w:val="Char Char131"/>
    <w:qFormat/>
    <w:uiPriority w:val="0"/>
    <w:rPr>
      <w:rFonts w:eastAsia="宋体"/>
      <w:color w:val="000000"/>
      <w:sz w:val="21"/>
      <w:szCs w:val="21"/>
      <w:lang w:val="en-US" w:eastAsia="zh-CN" w:bidi="ar-SA"/>
    </w:rPr>
  </w:style>
  <w:style w:type="character" w:customStyle="1" w:styleId="181">
    <w:name w:val="正文文本 Char Char"/>
    <w:qFormat/>
    <w:uiPriority w:val="0"/>
    <w:rPr>
      <w:rFonts w:ascii="Calibri" w:hAnsi="Calibri" w:eastAsia="宋体"/>
      <w:kern w:val="2"/>
      <w:sz w:val="21"/>
      <w:szCs w:val="22"/>
      <w:lang w:val="en-US" w:eastAsia="zh-CN" w:bidi="ar-SA"/>
    </w:rPr>
  </w:style>
  <w:style w:type="character" w:customStyle="1" w:styleId="182">
    <w:name w:val="正文缩进 Char"/>
    <w:qFormat/>
    <w:uiPriority w:val="0"/>
    <w:rPr>
      <w:rFonts w:eastAsia="宋体"/>
      <w:kern w:val="2"/>
      <w:sz w:val="21"/>
      <w:lang w:val="en-US" w:eastAsia="zh-CN" w:bidi="ar-SA"/>
    </w:rPr>
  </w:style>
  <w:style w:type="character" w:customStyle="1" w:styleId="183">
    <w:name w:val="页脚 Char"/>
    <w:qFormat/>
    <w:uiPriority w:val="0"/>
    <w:rPr>
      <w:sz w:val="18"/>
      <w:szCs w:val="18"/>
    </w:rPr>
  </w:style>
  <w:style w:type="character" w:customStyle="1" w:styleId="184">
    <w:name w:val="页眉 Char"/>
    <w:qFormat/>
    <w:uiPriority w:val="99"/>
    <w:rPr>
      <w:rFonts w:ascii="Times New Roman" w:hAnsi="Times New Roman"/>
      <w:kern w:val="2"/>
      <w:sz w:val="18"/>
      <w:szCs w:val="18"/>
    </w:rPr>
  </w:style>
  <w:style w:type="character" w:customStyle="1" w:styleId="185">
    <w:name w:val="Char Char18"/>
    <w:qFormat/>
    <w:uiPriority w:val="0"/>
    <w:rPr>
      <w:rFonts w:eastAsia="宋体"/>
      <w:kern w:val="2"/>
      <w:sz w:val="21"/>
      <w:szCs w:val="24"/>
      <w:lang w:val="en-US" w:eastAsia="zh-CN" w:bidi="ar-SA"/>
    </w:rPr>
  </w:style>
  <w:style w:type="character" w:customStyle="1" w:styleId="186">
    <w:name w:val="无间隔 Char"/>
    <w:link w:val="150"/>
    <w:qFormat/>
    <w:uiPriority w:val="0"/>
    <w:rPr>
      <w:rFonts w:ascii="Times New Roman" w:hAnsi="Times New Roman" w:eastAsia="宋体" w:cs="Times New Roman"/>
      <w:color w:val="000000"/>
      <w:sz w:val="21"/>
      <w:szCs w:val="21"/>
    </w:rPr>
  </w:style>
  <w:style w:type="character" w:customStyle="1" w:styleId="187">
    <w:name w:val="正文文字2 Char Char"/>
    <w:qFormat/>
    <w:uiPriority w:val="0"/>
    <w:rPr>
      <w:rFonts w:ascii="Arial" w:eastAsia="黑体"/>
      <w:sz w:val="21"/>
      <w:lang w:val="en-US" w:eastAsia="zh-CN" w:bidi="ar-SA"/>
    </w:rPr>
  </w:style>
  <w:style w:type="character" w:customStyle="1" w:styleId="188">
    <w:name w:val="Char Char27"/>
    <w:qFormat/>
    <w:uiPriority w:val="0"/>
    <w:rPr>
      <w:rFonts w:eastAsia="宋体"/>
      <w:b/>
      <w:color w:val="000000"/>
      <w:kern w:val="44"/>
      <w:sz w:val="44"/>
      <w:szCs w:val="21"/>
      <w:lang w:val="en-US" w:eastAsia="zh-CN" w:bidi="ar-SA"/>
    </w:rPr>
  </w:style>
  <w:style w:type="character" w:customStyle="1" w:styleId="189">
    <w:name w:val="style31"/>
    <w:qFormat/>
    <w:uiPriority w:val="0"/>
    <w:rPr>
      <w:b/>
      <w:bCs/>
      <w:color w:val="0033CC"/>
    </w:rPr>
  </w:style>
  <w:style w:type="character" w:customStyle="1" w:styleId="190">
    <w:name w:val="Char Char111"/>
    <w:qFormat/>
    <w:uiPriority w:val="0"/>
    <w:rPr>
      <w:rFonts w:eastAsia="宋体"/>
      <w:color w:val="000000"/>
      <w:sz w:val="21"/>
      <w:szCs w:val="21"/>
      <w:lang w:val="en-US" w:eastAsia="zh-CN" w:bidi="ar-SA"/>
    </w:rPr>
  </w:style>
  <w:style w:type="character" w:customStyle="1" w:styleId="191">
    <w:name w:val="Char Char26"/>
    <w:qFormat/>
    <w:uiPriority w:val="0"/>
    <w:rPr>
      <w:b/>
      <w:color w:val="000000"/>
      <w:kern w:val="44"/>
      <w:sz w:val="44"/>
      <w:szCs w:val="21"/>
      <w:lang w:val="en-US" w:eastAsia="zh-CN" w:bidi="ar-SA"/>
    </w:rPr>
  </w:style>
  <w:style w:type="character" w:customStyle="1" w:styleId="192">
    <w:name w:val="小标题 Char Char"/>
    <w:link w:val="193"/>
    <w:qFormat/>
    <w:uiPriority w:val="0"/>
    <w:rPr>
      <w:rFonts w:ascii="宋体" w:hAnsi="宋体" w:eastAsia="宋体"/>
      <w:b/>
      <w:sz w:val="24"/>
      <w:szCs w:val="24"/>
    </w:rPr>
  </w:style>
  <w:style w:type="paragraph" w:customStyle="1" w:styleId="193">
    <w:name w:val="小标题"/>
    <w:basedOn w:val="1"/>
    <w:next w:val="1"/>
    <w:link w:val="192"/>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4">
    <w:name w:val="正文首缩两字 Char Char"/>
    <w:link w:val="195"/>
    <w:qFormat/>
    <w:uiPriority w:val="0"/>
    <w:rPr>
      <w:rFonts w:ascii="Verdana" w:hAnsi="Verdana" w:eastAsia="宋体"/>
      <w:kern w:val="2"/>
      <w:sz w:val="24"/>
      <w:szCs w:val="24"/>
    </w:rPr>
  </w:style>
  <w:style w:type="paragraph" w:customStyle="1" w:styleId="195">
    <w:name w:val="正文首缩两字"/>
    <w:basedOn w:val="1"/>
    <w:link w:val="194"/>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6">
    <w:name w:val="正文2 Char Char"/>
    <w:link w:val="197"/>
    <w:qFormat/>
    <w:locked/>
    <w:uiPriority w:val="0"/>
    <w:rPr>
      <w:rFonts w:ascii="楷体" w:hAnsi="Verdana" w:eastAsia="楷体"/>
      <w:kern w:val="2"/>
      <w:sz w:val="24"/>
      <w:szCs w:val="24"/>
    </w:rPr>
  </w:style>
  <w:style w:type="paragraph" w:customStyle="1" w:styleId="197">
    <w:name w:val="正文2"/>
    <w:basedOn w:val="1"/>
    <w:link w:val="196"/>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8">
    <w:name w:val="文字 Char Char"/>
    <w:link w:val="199"/>
    <w:qFormat/>
    <w:uiPriority w:val="0"/>
    <w:rPr>
      <w:rFonts w:ascii="宋体" w:hAnsi="宋体"/>
      <w:kern w:val="2"/>
      <w:sz w:val="28"/>
    </w:rPr>
  </w:style>
  <w:style w:type="paragraph" w:customStyle="1" w:styleId="199">
    <w:name w:val="文字"/>
    <w:basedOn w:val="1"/>
    <w:link w:val="198"/>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0">
    <w:name w:val="Char Char25"/>
    <w:qFormat/>
    <w:uiPriority w:val="0"/>
    <w:rPr>
      <w:rFonts w:ascii="Arial" w:hAnsi="Arial" w:eastAsia="黑体"/>
      <w:b/>
      <w:bCs/>
      <w:kern w:val="2"/>
      <w:sz w:val="32"/>
      <w:szCs w:val="32"/>
      <w:lang w:val="en-US" w:eastAsia="zh-CN" w:bidi="ar-SA"/>
    </w:rPr>
  </w:style>
  <w:style w:type="character" w:customStyle="1" w:styleId="201">
    <w:name w:val="强调1"/>
    <w:qFormat/>
    <w:uiPriority w:val="0"/>
    <w:rPr>
      <w:rFonts w:ascii="Arial Black" w:hAnsi="Arial Black" w:eastAsia="黑体"/>
      <w:b/>
      <w:spacing w:val="0"/>
      <w:sz w:val="21"/>
    </w:rPr>
  </w:style>
  <w:style w:type="character" w:customStyle="1" w:styleId="202">
    <w:name w:val="文档结构图 Char"/>
    <w:qFormat/>
    <w:uiPriority w:val="0"/>
    <w:rPr>
      <w:rFonts w:ascii="Times New Roman" w:hAnsi="Times New Roman" w:eastAsia="??" w:cs="Times New Roman"/>
      <w:sz w:val="28"/>
      <w:szCs w:val="28"/>
      <w:shd w:val="clear" w:color="auto" w:fill="000080"/>
    </w:rPr>
  </w:style>
  <w:style w:type="character" w:customStyle="1" w:styleId="203">
    <w:name w:val="标题 Char"/>
    <w:basedOn w:val="53"/>
    <w:link w:val="47"/>
    <w:qFormat/>
    <w:uiPriority w:val="0"/>
    <w:rPr>
      <w:rFonts w:ascii="Arial" w:hAnsi="Arial" w:eastAsia="宋体" w:cs="Times New Roman"/>
      <w:b/>
      <w:bCs/>
      <w:color w:val="000000"/>
      <w:kern w:val="2"/>
      <w:sz w:val="32"/>
      <w:szCs w:val="32"/>
    </w:rPr>
  </w:style>
  <w:style w:type="character" w:customStyle="1" w:styleId="204">
    <w:name w:val="正文文本 2 Char"/>
    <w:basedOn w:val="53"/>
    <w:link w:val="43"/>
    <w:qFormat/>
    <w:uiPriority w:val="0"/>
    <w:rPr>
      <w:rFonts w:ascii="Times New Roman" w:hAnsi="Times New Roman" w:eastAsia="宋体" w:cs="Times New Roman"/>
      <w:color w:val="000000"/>
      <w:kern w:val="2"/>
      <w:sz w:val="21"/>
      <w:szCs w:val="22"/>
    </w:rPr>
  </w:style>
  <w:style w:type="paragraph" w:customStyle="1" w:styleId="205">
    <w:name w:val="正文缩进1"/>
    <w:basedOn w:val="1"/>
    <w:qFormat/>
    <w:uiPriority w:val="0"/>
    <w:pPr>
      <w:autoSpaceDE/>
      <w:autoSpaceDN/>
      <w:adjustRightInd/>
      <w:ind w:firstLine="420"/>
    </w:pPr>
    <w:rPr>
      <w:color w:val="auto"/>
      <w:kern w:val="2"/>
      <w:szCs w:val="20"/>
    </w:rPr>
  </w:style>
  <w:style w:type="paragraph" w:customStyle="1" w:styleId="206">
    <w:name w:val="Char Char Char Char"/>
    <w:basedOn w:val="1"/>
    <w:qFormat/>
    <w:uiPriority w:val="0"/>
    <w:pPr>
      <w:autoSpaceDE/>
      <w:autoSpaceDN/>
      <w:adjustRightInd/>
    </w:pPr>
    <w:rPr>
      <w:color w:val="auto"/>
      <w:kern w:val="2"/>
      <w:szCs w:val="20"/>
    </w:rPr>
  </w:style>
  <w:style w:type="paragraph" w:customStyle="1" w:styleId="207">
    <w:name w:val="文章标题4级"/>
    <w:basedOn w:val="177"/>
    <w:next w:val="1"/>
    <w:qFormat/>
    <w:uiPriority w:val="0"/>
    <w:pPr>
      <w:tabs>
        <w:tab w:val="left" w:pos="1034"/>
        <w:tab w:val="left" w:pos="2760"/>
        <w:tab w:val="clear" w:pos="1560"/>
      </w:tabs>
      <w:outlineLvl w:val="3"/>
    </w:pPr>
    <w:rPr>
      <w:color w:val="auto"/>
    </w:rPr>
  </w:style>
  <w:style w:type="paragraph" w:customStyle="1" w:styleId="208">
    <w:name w:val="封面正文"/>
    <w:qFormat/>
    <w:uiPriority w:val="0"/>
    <w:pPr>
      <w:jc w:val="both"/>
    </w:pPr>
    <w:rPr>
      <w:rFonts w:ascii="Times New Roman" w:hAnsi="Times New Roman" w:eastAsia="宋体" w:cs="Times New Roman"/>
      <w:lang w:val="en-US" w:eastAsia="zh-CN" w:bidi="ar-SA"/>
    </w:rPr>
  </w:style>
  <w:style w:type="paragraph" w:customStyle="1" w:styleId="209">
    <w:name w:val="Char Char Char"/>
    <w:basedOn w:val="1"/>
    <w:qFormat/>
    <w:uiPriority w:val="0"/>
    <w:pPr>
      <w:autoSpaceDE/>
      <w:autoSpaceDN/>
      <w:adjustRightInd/>
    </w:pPr>
    <w:rPr>
      <w:color w:val="auto"/>
      <w:kern w:val="2"/>
      <w:szCs w:val="24"/>
    </w:rPr>
  </w:style>
  <w:style w:type="paragraph" w:customStyle="1" w:styleId="210">
    <w:name w:val="1级标题"/>
    <w:basedOn w:val="1"/>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3">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4">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5">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6">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7">
    <w:name w:val="样式 列表编号 + 段后: 0.5 行"/>
    <w:basedOn w:val="16"/>
    <w:qFormat/>
    <w:uiPriority w:val="0"/>
    <w:pPr>
      <w:widowControl w:val="0"/>
      <w:tabs>
        <w:tab w:val="left" w:pos="360"/>
        <w:tab w:val="clear" w:pos="720"/>
      </w:tabs>
      <w:spacing w:afterLines="0"/>
      <w:jc w:val="both"/>
    </w:pPr>
    <w:rPr>
      <w:rFonts w:cs="宋体"/>
      <w:kern w:val="2"/>
      <w:sz w:val="21"/>
      <w:szCs w:val="24"/>
    </w:rPr>
  </w:style>
  <w:style w:type="paragraph" w:customStyle="1" w:styleId="218">
    <w:name w:val="Char3"/>
    <w:basedOn w:val="1"/>
    <w:qFormat/>
    <w:uiPriority w:val="0"/>
    <w:pPr>
      <w:autoSpaceDE/>
      <w:autoSpaceDN/>
      <w:adjustRightInd/>
    </w:pPr>
    <w:rPr>
      <w:rFonts w:ascii="Tahoma" w:hAnsi="Tahoma"/>
      <w:color w:val="auto"/>
      <w:kern w:val="2"/>
      <w:sz w:val="24"/>
      <w:szCs w:val="20"/>
    </w:rPr>
  </w:style>
  <w:style w:type="paragraph" w:customStyle="1" w:styleId="219">
    <w:name w:val="列表段落2"/>
    <w:basedOn w:val="1"/>
    <w:qFormat/>
    <w:uiPriority w:val="0"/>
    <w:pPr>
      <w:autoSpaceDE/>
      <w:autoSpaceDN/>
      <w:adjustRightInd/>
      <w:ind w:firstLine="420" w:firstLineChars="200"/>
    </w:pPr>
    <w:rPr>
      <w:color w:val="auto"/>
      <w:kern w:val="2"/>
      <w:szCs w:val="22"/>
    </w:rPr>
  </w:style>
  <w:style w:type="paragraph" w:customStyle="1" w:styleId="220">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1">
    <w:name w:val="默认段落字体 Para Char Char Char Char"/>
    <w:basedOn w:val="1"/>
    <w:qFormat/>
    <w:uiPriority w:val="0"/>
    <w:pPr>
      <w:autoSpaceDE/>
      <w:autoSpaceDN/>
      <w:adjustRightInd/>
    </w:pPr>
    <w:rPr>
      <w:color w:val="auto"/>
      <w:kern w:val="2"/>
      <w:szCs w:val="24"/>
    </w:rPr>
  </w:style>
  <w:style w:type="paragraph" w:customStyle="1" w:styleId="222">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3">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4">
    <w:name w:val="标题 3（绿盟科技）"/>
    <w:basedOn w:val="7"/>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5">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Char1"/>
    <w:basedOn w:val="1"/>
    <w:qFormat/>
    <w:uiPriority w:val="0"/>
    <w:pPr>
      <w:autoSpaceDE/>
      <w:autoSpaceDN/>
      <w:adjustRightInd/>
    </w:pPr>
    <w:rPr>
      <w:rFonts w:ascii="仿宋_GB2312" w:eastAsia="仿宋_GB2312"/>
      <w:b/>
      <w:color w:val="auto"/>
      <w:kern w:val="2"/>
      <w:sz w:val="32"/>
      <w:szCs w:val="32"/>
    </w:rPr>
  </w:style>
  <w:style w:type="paragraph" w:customStyle="1" w:styleId="227">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8">
    <w:name w:val="纯文本2"/>
    <w:basedOn w:val="1"/>
    <w:qFormat/>
    <w:uiPriority w:val="0"/>
    <w:pPr>
      <w:autoSpaceDE/>
      <w:autoSpaceDN/>
      <w:adjustRightInd/>
    </w:pPr>
    <w:rPr>
      <w:rFonts w:ascii="宋体" w:hAnsi="Courier New"/>
      <w:color w:val="auto"/>
    </w:rPr>
  </w:style>
  <w:style w:type="paragraph" w:customStyle="1" w:styleId="229">
    <w:name w:val="样式1"/>
    <w:basedOn w:val="120"/>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0">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1">
    <w:name w:val="标题 1（绿盟科技）"/>
    <w:basedOn w:val="5"/>
    <w:next w:val="1"/>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2">
    <w:name w:val="List Paragraph1"/>
    <w:basedOn w:val="1"/>
    <w:qFormat/>
    <w:uiPriority w:val="0"/>
    <w:pPr>
      <w:autoSpaceDE/>
      <w:autoSpaceDN/>
      <w:adjustRightInd/>
      <w:ind w:firstLine="420" w:firstLineChars="200"/>
    </w:pPr>
    <w:rPr>
      <w:color w:val="auto"/>
      <w:kern w:val="2"/>
      <w:szCs w:val="24"/>
    </w:rPr>
  </w:style>
  <w:style w:type="paragraph" w:customStyle="1" w:styleId="233">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4">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5">
    <w:name w:val="标题 5（有编号）（绿盟科技）"/>
    <w:basedOn w:val="1"/>
    <w:next w:val="1"/>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6">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表格标注（绿盟科技）"/>
    <w:basedOn w:val="223"/>
    <w:next w:val="1"/>
    <w:qFormat/>
    <w:uiPriority w:val="0"/>
    <w:pPr>
      <w:numPr>
        <w:ilvl w:val="7"/>
      </w:numPr>
      <w:tabs>
        <w:tab w:val="left" w:pos="3840"/>
        <w:tab w:val="clear" w:pos="3420"/>
      </w:tabs>
    </w:pPr>
  </w:style>
  <w:style w:type="paragraph" w:customStyle="1" w:styleId="238">
    <w:name w:val="列出段落2"/>
    <w:basedOn w:val="1"/>
    <w:qFormat/>
    <w:uiPriority w:val="34"/>
    <w:pPr>
      <w:ind w:firstLine="420" w:firstLineChars="200"/>
    </w:pPr>
  </w:style>
  <w:style w:type="paragraph" w:customStyle="1" w:styleId="239">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0">
    <w:name w:val="Body Text(ch)"/>
    <w:basedOn w:val="1"/>
    <w:next w:val="4"/>
    <w:qFormat/>
    <w:uiPriority w:val="0"/>
    <w:pPr>
      <w:autoSpaceDE/>
      <w:autoSpaceDN/>
      <w:adjustRightInd/>
      <w:spacing w:line="360" w:lineRule="auto"/>
    </w:pPr>
    <w:rPr>
      <w:rFonts w:ascii="宋体" w:hAnsi="宋体"/>
      <w:color w:val="auto"/>
      <w:kern w:val="2"/>
      <w:sz w:val="24"/>
      <w:szCs w:val="24"/>
    </w:rPr>
  </w:style>
  <w:style w:type="paragraph" w:customStyle="1" w:styleId="241">
    <w:name w:val="2级标题"/>
    <w:basedOn w:val="1"/>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2">
    <w:name w:val="标题 2（绿盟科技）"/>
    <w:basedOn w:val="6"/>
    <w:next w:val="1"/>
    <w:qFormat/>
    <w:uiPriority w:val="0"/>
    <w:pPr>
      <w:numPr>
        <w:ilvl w:val="1"/>
        <w:numId w:val="10"/>
      </w:numPr>
      <w:tabs>
        <w:tab w:val="left" w:pos="1320"/>
      </w:tabs>
      <w:jc w:val="left"/>
    </w:pPr>
    <w:rPr>
      <w:bCs w:val="0"/>
    </w:rPr>
  </w:style>
  <w:style w:type="paragraph" w:customStyle="1" w:styleId="243">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4">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5">
    <w:name w:val="标准正文"/>
    <w:basedOn w:val="1"/>
    <w:qFormat/>
    <w:uiPriority w:val="0"/>
    <w:pPr>
      <w:autoSpaceDE/>
      <w:autoSpaceDN/>
      <w:adjustRightInd/>
      <w:spacing w:afterLines="50"/>
      <w:ind w:firstLine="200" w:firstLineChars="200"/>
    </w:pPr>
    <w:rPr>
      <w:color w:val="auto"/>
      <w:kern w:val="2"/>
      <w:sz w:val="24"/>
    </w:rPr>
  </w:style>
  <w:style w:type="paragraph" w:customStyle="1" w:styleId="246">
    <w:name w:val="table text"/>
    <w:basedOn w:val="1"/>
    <w:qFormat/>
    <w:uiPriority w:val="0"/>
    <w:pPr>
      <w:widowControl/>
      <w:autoSpaceDE/>
      <w:autoSpaceDN/>
      <w:adjustRightInd/>
    </w:pPr>
    <w:rPr>
      <w:rFonts w:ascii="Arial" w:hAnsi="Arial"/>
      <w:bCs/>
      <w:color w:val="auto"/>
      <w:sz w:val="20"/>
      <w:szCs w:val="20"/>
    </w:rPr>
  </w:style>
  <w:style w:type="paragraph" w:customStyle="1" w:styleId="247">
    <w:name w:val="Char21"/>
    <w:basedOn w:val="1"/>
    <w:qFormat/>
    <w:uiPriority w:val="0"/>
    <w:pPr>
      <w:autoSpaceDE/>
      <w:autoSpaceDN/>
      <w:adjustRightInd/>
    </w:pPr>
    <w:rPr>
      <w:color w:val="auto"/>
      <w:kern w:val="2"/>
      <w:szCs w:val="20"/>
    </w:rPr>
  </w:style>
  <w:style w:type="paragraph" w:customStyle="1" w:styleId="248">
    <w:name w:val="WPS Plain"/>
    <w:qFormat/>
    <w:uiPriority w:val="0"/>
    <w:rPr>
      <w:rFonts w:ascii="Times New Roman" w:hAnsi="Times New Roman" w:eastAsia="宋体" w:cs="Times New Roman"/>
      <w:sz w:val="21"/>
      <w:szCs w:val="22"/>
      <w:lang w:val="en-US" w:eastAsia="zh-CN" w:bidi="ar-SA"/>
    </w:rPr>
  </w:style>
  <w:style w:type="paragraph" w:customStyle="1" w:styleId="249">
    <w:name w:val="_Style 241"/>
    <w:basedOn w:val="22"/>
    <w:next w:val="50"/>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0">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1">
    <w:name w:val="bookmark-item"/>
    <w:basedOn w:val="53"/>
    <w:qFormat/>
    <w:uiPriority w:val="0"/>
  </w:style>
  <w:style w:type="paragraph" w:customStyle="1" w:styleId="252">
    <w:name w:val="_Style 48"/>
    <w:basedOn w:val="17"/>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3">
    <w:name w:val="Char2"/>
    <w:basedOn w:val="1"/>
    <w:qFormat/>
    <w:uiPriority w:val="0"/>
    <w:pPr>
      <w:autoSpaceDE/>
      <w:autoSpaceDN/>
    </w:pPr>
    <w:rPr>
      <w:rFonts w:ascii="仿宋_GB2312" w:eastAsia="仿宋_GB2312"/>
      <w:b/>
      <w:color w:val="auto"/>
      <w:kern w:val="2"/>
      <w:sz w:val="32"/>
      <w:szCs w:val="32"/>
    </w:rPr>
  </w:style>
  <w:style w:type="paragraph" w:customStyle="1" w:styleId="254">
    <w:name w:val="trs_editor"/>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255">
    <w:name w:val="fontsize16"/>
    <w:basedOn w:val="1"/>
    <w:qFormat/>
    <w:uiPriority w:val="0"/>
    <w:pPr>
      <w:autoSpaceDE/>
      <w:autoSpaceDN/>
      <w:adjustRightInd/>
      <w:jc w:val="left"/>
    </w:pPr>
    <w:rPr>
      <w:rFonts w:ascii="Calibri" w:hAnsi="Calibri"/>
      <w:color w:val="auto"/>
      <w:sz w:val="24"/>
      <w:szCs w:val="24"/>
    </w:rPr>
  </w:style>
  <w:style w:type="paragraph" w:customStyle="1" w:styleId="256">
    <w:name w:val="BZ_正文"/>
    <w:basedOn w:val="1"/>
    <w:qFormat/>
    <w:uiPriority w:val="0"/>
    <w:pPr>
      <w:autoSpaceDE/>
      <w:autoSpaceDN/>
      <w:adjustRightInd/>
      <w:spacing w:line="360" w:lineRule="auto"/>
      <w:ind w:firstLine="200" w:firstLineChars="200"/>
    </w:pPr>
    <w:rPr>
      <w:color w:val="auto"/>
      <w:kern w:val="2"/>
      <w:sz w:val="24"/>
      <w:szCs w:val="24"/>
    </w:rPr>
  </w:style>
  <w:style w:type="paragraph" w:customStyle="1" w:styleId="257">
    <w:name w:val="正文1"/>
    <w:basedOn w:val="1"/>
    <w:qFormat/>
    <w:uiPriority w:val="0"/>
    <w:pPr>
      <w:autoSpaceDE/>
      <w:autoSpaceDN/>
      <w:adjustRightInd/>
      <w:spacing w:line="360" w:lineRule="auto"/>
      <w:ind w:firstLine="560" w:firstLineChars="200"/>
    </w:pPr>
    <w:rPr>
      <w:rFonts w:ascii="宋体" w:hAnsi="宋体"/>
      <w:bCs/>
      <w:color w:val="auto"/>
      <w:kern w:val="2"/>
      <w:sz w:val="28"/>
      <w:szCs w:val="20"/>
    </w:rPr>
  </w:style>
  <w:style w:type="paragraph" w:customStyle="1" w:styleId="258">
    <w:name w:val="BZ_小标题2"/>
    <w:basedOn w:val="1"/>
    <w:next w:val="256"/>
    <w:qFormat/>
    <w:uiPriority w:val="0"/>
    <w:pPr>
      <w:numPr>
        <w:ilvl w:val="0"/>
        <w:numId w:val="11"/>
      </w:numPr>
      <w:autoSpaceDE/>
      <w:autoSpaceDN/>
      <w:adjustRightInd/>
      <w:spacing w:line="360" w:lineRule="auto"/>
    </w:pPr>
    <w:rPr>
      <w:color w:val="auto"/>
      <w:kern w:val="2"/>
      <w:sz w:val="24"/>
      <w:szCs w:val="24"/>
    </w:rPr>
  </w:style>
  <w:style w:type="paragraph" w:customStyle="1" w:styleId="259">
    <w:name w:val="my正文"/>
    <w:basedOn w:val="1"/>
    <w:qFormat/>
    <w:uiPriority w:val="0"/>
    <w:pPr>
      <w:widowControl/>
      <w:autoSpaceDE/>
      <w:autoSpaceDN/>
      <w:snapToGrid w:val="0"/>
      <w:spacing w:line="360" w:lineRule="auto"/>
      <w:ind w:firstLine="200" w:firstLineChars="200"/>
    </w:pPr>
    <w:rPr>
      <w:rFonts w:ascii="仿宋_GB2312" w:hAnsi="等线"/>
      <w:color w:val="auto"/>
      <w:kern w:val="2"/>
      <w:sz w:val="28"/>
      <w:szCs w:val="30"/>
    </w:rPr>
  </w:style>
  <w:style w:type="character" w:customStyle="1" w:styleId="260">
    <w:name w:val="标题 1 Char Char"/>
    <w:basedOn w:val="53"/>
    <w:qFormat/>
    <w:uiPriority w:val="0"/>
    <w:rPr>
      <w:rFonts w:eastAsia="宋体"/>
      <w:b/>
      <w:spacing w:val="-2"/>
      <w:sz w:val="24"/>
      <w:lang w:val="en-US" w:eastAsia="zh-CN" w:bidi="ar-SA"/>
    </w:rPr>
  </w:style>
  <w:style w:type="paragraph" w:customStyle="1" w:styleId="261">
    <w:name w:val="正文首行缩进 21"/>
    <w:basedOn w:val="1"/>
    <w:qFormat/>
    <w:uiPriority w:val="0"/>
    <w:pPr>
      <w:ind w:left="420" w:leftChars="200" w:firstLine="420"/>
    </w:pPr>
    <w:rPr>
      <w:rFonts w:cs="宋体"/>
    </w:rPr>
  </w:style>
  <w:style w:type="paragraph" w:customStyle="1" w:styleId="262">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paragraph" w:customStyle="1" w:styleId="263">
    <w:name w:val="Char3 Char Char Char"/>
    <w:basedOn w:val="1"/>
    <w:qFormat/>
    <w:uiPriority w:val="0"/>
    <w:rPr>
      <w:rFonts w:ascii="Tahoma" w:hAnsi="Tahoma"/>
      <w:color w:val="auto"/>
      <w:kern w:val="2"/>
      <w:sz w:val="24"/>
      <w:szCs w:val="20"/>
    </w:rPr>
  </w:style>
  <w:style w:type="paragraph" w:customStyle="1" w:styleId="264">
    <w:name w:val="正文首行缩进 22"/>
    <w:basedOn w:val="265"/>
    <w:qFormat/>
    <w:uiPriority w:val="0"/>
    <w:pPr>
      <w:ind w:firstLine="420"/>
    </w:pPr>
    <w:rPr>
      <w:rFonts w:cs="宋体"/>
    </w:rPr>
  </w:style>
  <w:style w:type="paragraph" w:customStyle="1" w:styleId="265">
    <w:name w:val="正文文本缩进2"/>
    <w:basedOn w:val="1"/>
    <w:next w:val="1"/>
    <w:qFormat/>
    <w:uiPriority w:val="0"/>
    <w:pPr>
      <w:ind w:left="420" w:leftChars="200"/>
    </w:pPr>
  </w:style>
  <w:style w:type="paragraph" w:customStyle="1" w:styleId="266">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267">
    <w:name w:val="[Normal]"/>
    <w:qFormat/>
    <w:uiPriority w:val="0"/>
    <w:rPr>
      <w:rFonts w:ascii="宋体" w:hAnsi="宋体" w:eastAsia="宋体" w:cs="Times New Roman"/>
      <w:sz w:val="24"/>
      <w:szCs w:val="22"/>
      <w:lang w:val="zh-CN" w:eastAsia="zh-CN" w:bidi="ar-SA"/>
    </w:rPr>
  </w:style>
  <w:style w:type="paragraph" w:customStyle="1" w:styleId="268">
    <w:name w:val="正文_0"/>
    <w:basedOn w:val="269"/>
    <w:qFormat/>
    <w:uiPriority w:val="0"/>
    <w:rPr>
      <w:rFonts w:ascii="Calibri" w:hAnsi="Calibri" w:cs="Calibri"/>
      <w:szCs w:val="21"/>
    </w:rPr>
  </w:style>
  <w:style w:type="paragraph" w:customStyle="1" w:styleId="26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00正文"/>
    <w:basedOn w:val="1"/>
    <w:unhideWhenUsed/>
    <w:qFormat/>
    <w:uiPriority w:val="0"/>
    <w:pPr>
      <w:autoSpaceDE/>
      <w:autoSpaceDN/>
      <w:adjustRightInd/>
      <w:spacing w:before="0" w:beforeLines="0" w:after="0" w:afterLines="0"/>
      <w:ind w:firstLine="520" w:firstLineChars="200"/>
      <w:jc w:val="both"/>
    </w:pPr>
    <w:rPr>
      <w:rFonts w:hint="default" w:ascii="Times New Roman" w:hAnsi="Times New Roman" w:cs="Times New Roman"/>
      <w:sz w:val="20"/>
      <w:szCs w:val="28"/>
    </w:rPr>
  </w:style>
  <w:style w:type="paragraph" w:customStyle="1" w:styleId="27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Normal_5"/>
    <w:qFormat/>
    <w:uiPriority w:val="0"/>
    <w:rPr>
      <w:rFonts w:ascii="黑体" w:hAnsi="黑体" w:eastAsia="黑体" w:cs="Times New Roman"/>
      <w:b/>
      <w:sz w:val="32"/>
      <w:szCs w:val="24"/>
      <w:lang w:bidi="ar-SA"/>
    </w:rPr>
  </w:style>
  <w:style w:type="paragraph" w:customStyle="1" w:styleId="273">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74">
    <w:name w:val="首行缩进"/>
    <w:basedOn w:val="1"/>
    <w:qFormat/>
    <w:uiPriority w:val="0"/>
    <w:pPr>
      <w:ind w:firstLine="480" w:firstLineChars="200"/>
    </w:pPr>
    <w:rPr>
      <w:lang w:val="zh-CN"/>
    </w:rPr>
  </w:style>
  <w:style w:type="paragraph" w:customStyle="1" w:styleId="275">
    <w:name w:val="_Style 3"/>
    <w:basedOn w:val="1"/>
    <w:qFormat/>
    <w:uiPriority w:val="99"/>
    <w:pPr>
      <w:adjustRightInd/>
      <w:ind w:firstLine="420" w:firstLineChars="200"/>
    </w:pPr>
    <w:rPr>
      <w:rFonts w:eastAsia="仿宋_GB2312"/>
      <w:sz w:val="28"/>
    </w:rPr>
  </w:style>
  <w:style w:type="paragraph" w:customStyle="1" w:styleId="27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38</Pages>
  <Words>16815</Words>
  <Characters>17949</Characters>
  <Lines>263</Lines>
  <Paragraphs>74</Paragraphs>
  <TotalTime>22</TotalTime>
  <ScaleCrop>false</ScaleCrop>
  <LinksUpToDate>false</LinksUpToDate>
  <CharactersWithSpaces>18012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2023-06-26T11:32:00Z</dcterms:created>
  <dc:creator>小蛮 吴</dc:creator>
  <cp:lastModifiedBy>青夏夏夏</cp:lastModifiedBy>
  <cp:lastPrinted>2024-02-19T05:22:00Z</cp:lastPrinted>
  <dcterms:modified xsi:type="dcterms:W3CDTF">2025-01-21T09:48:47Z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1597C79CAFAD4D39B846267C37A5EBEE_13</vt:lpwstr>
  </property>
  <property fmtid="{D5CDD505-2E9C-101B-9397-08002B2CF9AE}" pid="4" name="KSOTemplateDocerSaveRecord">
    <vt:lpwstr>eyJoZGlkIjoiY2ZiOTQwM2Q1MWJhZmQ3MzFmZTU4OTNhNDBlM2Y0MDYiLCJ1c2VySWQiOiIzMTk5MDMwNDgifQ==</vt:lpwstr>
  </property>
</Properties>
</file>