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55482">
      <w:pPr>
        <w:keepNext w:val="0"/>
        <w:keepLines w:val="0"/>
        <w:pageBreakBefore w:val="0"/>
        <w:widowControl w:val="0"/>
        <w:kinsoku/>
        <w:wordWrap/>
        <w:overflowPunct/>
        <w:topLinePunct w:val="0"/>
        <w:autoSpaceDE/>
        <w:autoSpaceDN/>
        <w:bidi w:val="0"/>
        <w:adjustRightInd w:val="0"/>
        <w:snapToGrid/>
        <w:spacing w:before="1261" w:beforeLines="400" w:line="360" w:lineRule="auto"/>
        <w:jc w:val="center"/>
        <w:textAlignment w:val="auto"/>
        <w:rPr>
          <w:rFonts w:hint="eastAsia" w:ascii="宋体" w:hAnsi="宋体" w:cs="宋体"/>
          <w:b/>
          <w:bCs/>
          <w:color w:val="auto"/>
          <w:sz w:val="52"/>
          <w:szCs w:val="52"/>
          <w:highlight w:val="none"/>
          <w:lang w:val="en-US" w:eastAsia="zh-CN"/>
        </w:rPr>
      </w:pPr>
      <w:bookmarkStart w:id="0" w:name="_Toc125344502"/>
      <w:r>
        <w:rPr>
          <w:rFonts w:hint="eastAsia" w:ascii="宋体" w:hAnsi="宋体" w:cs="宋体"/>
          <w:b/>
          <w:bCs/>
          <w:color w:val="auto"/>
          <w:sz w:val="52"/>
          <w:szCs w:val="52"/>
          <w:lang w:val="en-US" w:eastAsia="zh-CN"/>
        </w:rPr>
        <w:t>诸暨市环境卫生管理集团有</w:t>
      </w:r>
      <w:r>
        <w:rPr>
          <w:rFonts w:hint="eastAsia" w:ascii="宋体" w:hAnsi="宋体" w:cs="宋体"/>
          <w:b/>
          <w:bCs/>
          <w:color w:val="auto"/>
          <w:sz w:val="52"/>
          <w:szCs w:val="52"/>
          <w:highlight w:val="none"/>
          <w:lang w:val="en-US" w:eastAsia="zh-CN"/>
        </w:rPr>
        <w:t>限公司2024-2025年度环卫作业生产物资采购项目</w:t>
      </w:r>
    </w:p>
    <w:p w14:paraId="6AD9658E">
      <w:pPr>
        <w:autoSpaceDE/>
        <w:autoSpaceDN/>
        <w:spacing w:line="360" w:lineRule="auto"/>
        <w:jc w:val="center"/>
        <w:rPr>
          <w:rFonts w:ascii="仿宋" w:hAnsi="仿宋" w:eastAsia="仿宋" w:cs="黑体"/>
          <w:b/>
          <w:bCs/>
          <w:color w:val="auto"/>
          <w:sz w:val="32"/>
          <w:szCs w:val="32"/>
          <w:highlight w:val="none"/>
        </w:rPr>
      </w:pPr>
      <w:r>
        <w:rPr>
          <w:rFonts w:hint="eastAsia" w:ascii="仿宋" w:hAnsi="仿宋" w:eastAsia="仿宋" w:cs="黑体"/>
          <w:b/>
          <w:bCs/>
          <w:color w:val="auto"/>
          <w:sz w:val="32"/>
          <w:szCs w:val="32"/>
          <w:highlight w:val="none"/>
        </w:rPr>
        <w:t>（编号：诸宸佳202</w:t>
      </w:r>
      <w:r>
        <w:rPr>
          <w:rFonts w:hint="eastAsia" w:ascii="仿宋" w:hAnsi="仿宋" w:eastAsia="仿宋" w:cs="黑体"/>
          <w:b/>
          <w:bCs/>
          <w:color w:val="auto"/>
          <w:sz w:val="32"/>
          <w:szCs w:val="32"/>
          <w:highlight w:val="none"/>
          <w:lang w:val="en-US" w:eastAsia="zh-CN"/>
        </w:rPr>
        <w:t>4</w:t>
      </w:r>
      <w:r>
        <w:rPr>
          <w:rFonts w:hint="eastAsia" w:ascii="仿宋" w:hAnsi="仿宋" w:eastAsia="仿宋" w:cs="黑体"/>
          <w:b/>
          <w:bCs/>
          <w:color w:val="auto"/>
          <w:sz w:val="32"/>
          <w:szCs w:val="32"/>
          <w:highlight w:val="none"/>
        </w:rPr>
        <w:t>-</w:t>
      </w:r>
      <w:r>
        <w:rPr>
          <w:rFonts w:hint="eastAsia" w:ascii="仿宋" w:hAnsi="仿宋" w:eastAsia="仿宋" w:cs="黑体"/>
          <w:b/>
          <w:bCs/>
          <w:color w:val="auto"/>
          <w:sz w:val="32"/>
          <w:szCs w:val="32"/>
          <w:highlight w:val="none"/>
          <w:lang w:val="en-US" w:eastAsia="zh-CN"/>
        </w:rPr>
        <w:t>10</w:t>
      </w:r>
      <w:r>
        <w:rPr>
          <w:rFonts w:hint="eastAsia" w:ascii="仿宋" w:hAnsi="仿宋" w:eastAsia="仿宋" w:cs="黑体"/>
          <w:b/>
          <w:bCs/>
          <w:color w:val="auto"/>
          <w:sz w:val="32"/>
          <w:szCs w:val="32"/>
          <w:highlight w:val="none"/>
        </w:rPr>
        <w:t>-</w:t>
      </w:r>
      <w:r>
        <w:rPr>
          <w:rFonts w:hint="eastAsia" w:ascii="仿宋" w:hAnsi="仿宋" w:eastAsia="仿宋" w:cs="黑体"/>
          <w:b/>
          <w:bCs/>
          <w:color w:val="auto"/>
          <w:sz w:val="32"/>
          <w:szCs w:val="32"/>
          <w:highlight w:val="none"/>
          <w:lang w:val="en-US" w:eastAsia="zh-CN"/>
        </w:rPr>
        <w:t>28</w:t>
      </w:r>
      <w:r>
        <w:rPr>
          <w:rFonts w:hint="eastAsia" w:ascii="仿宋" w:hAnsi="仿宋" w:eastAsia="仿宋" w:cs="黑体"/>
          <w:b/>
          <w:bCs/>
          <w:color w:val="auto"/>
          <w:sz w:val="32"/>
          <w:szCs w:val="32"/>
          <w:highlight w:val="none"/>
        </w:rPr>
        <w:t>）</w:t>
      </w:r>
    </w:p>
    <w:p w14:paraId="38848CFC">
      <w:pPr>
        <w:keepNext w:val="0"/>
        <w:keepLines w:val="0"/>
        <w:pageBreakBefore w:val="0"/>
        <w:widowControl w:val="0"/>
        <w:kinsoku/>
        <w:wordWrap/>
        <w:overflowPunct/>
        <w:topLinePunct w:val="0"/>
        <w:autoSpaceDE w:val="0"/>
        <w:autoSpaceDN w:val="0"/>
        <w:bidi w:val="0"/>
        <w:adjustRightInd w:val="0"/>
        <w:snapToGrid/>
        <w:spacing w:beforeLines="750" w:after="287" w:afterLines="100" w:line="360" w:lineRule="auto"/>
        <w:jc w:val="center"/>
        <w:textAlignment w:val="auto"/>
        <w:rPr>
          <w:rFonts w:ascii="宋体" w:hAnsi="宋体"/>
          <w:b/>
          <w:color w:val="auto"/>
          <w:spacing w:val="-6"/>
          <w:sz w:val="84"/>
          <w:szCs w:val="84"/>
          <w:highlight w:val="none"/>
        </w:rPr>
      </w:pPr>
      <w:r>
        <w:rPr>
          <w:rFonts w:hint="eastAsia" w:ascii="宋体" w:hAnsi="宋体"/>
          <w:b/>
          <w:color w:val="auto"/>
          <w:spacing w:val="-6"/>
          <w:sz w:val="84"/>
          <w:szCs w:val="84"/>
          <w:highlight w:val="none"/>
        </w:rPr>
        <w:t>招 标 文 件</w:t>
      </w:r>
    </w:p>
    <w:p w14:paraId="7F09EE07">
      <w:pPr>
        <w:autoSpaceDE/>
        <w:autoSpaceDN/>
        <w:spacing w:afterLines="600" w:line="360" w:lineRule="auto"/>
        <w:jc w:val="center"/>
        <w:rPr>
          <w:rFonts w:ascii="宋体" w:hAnsi="宋体"/>
          <w:b/>
          <w:color w:val="auto"/>
          <w:spacing w:val="36"/>
          <w:sz w:val="36"/>
          <w:highlight w:val="none"/>
        </w:rPr>
      </w:pPr>
      <w:r>
        <w:rPr>
          <w:rFonts w:hint="eastAsia" w:ascii="宋体" w:hAnsi="宋体"/>
          <w:b/>
          <w:color w:val="auto"/>
          <w:spacing w:val="36"/>
          <w:sz w:val="36"/>
          <w:highlight w:val="none"/>
        </w:rPr>
        <w:t>（电子招投标）</w:t>
      </w:r>
    </w:p>
    <w:tbl>
      <w:tblPr>
        <w:tblStyle w:val="5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0"/>
      </w:tblGrid>
      <w:tr w14:paraId="11676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jc w:val="center"/>
        </w:trPr>
        <w:tc>
          <w:tcPr>
            <w:tcW w:w="7000" w:type="dxa"/>
            <w:vAlign w:val="bottom"/>
          </w:tcPr>
          <w:p w14:paraId="119CDF22">
            <w:pPr>
              <w:spacing w:line="360" w:lineRule="auto"/>
              <w:rPr>
                <w:rFonts w:ascii="仿宋" w:hAnsi="仿宋" w:eastAsia="仿宋" w:cs="楷体_GB2312"/>
                <w:b/>
                <w:bCs/>
                <w:color w:val="auto"/>
                <w:w w:val="95"/>
                <w:sz w:val="32"/>
                <w:szCs w:val="32"/>
                <w:highlight w:val="none"/>
              </w:rPr>
            </w:pPr>
            <w:r>
              <w:rPr>
                <w:rFonts w:hint="eastAsia" w:ascii="仿宋" w:hAnsi="仿宋" w:eastAsia="仿宋" w:cs="楷体_GB2312"/>
                <w:b/>
                <w:bCs/>
                <w:color w:val="auto"/>
                <w:w w:val="95"/>
                <w:sz w:val="32"/>
                <w:szCs w:val="32"/>
                <w:highlight w:val="none"/>
              </w:rPr>
              <w:t>采购单位：</w:t>
            </w:r>
            <w:r>
              <w:rPr>
                <w:rFonts w:hint="eastAsia" w:ascii="仿宋" w:hAnsi="仿宋" w:eastAsia="仿宋" w:cs="楷体_GB2312"/>
                <w:b/>
                <w:bCs/>
                <w:color w:val="auto"/>
                <w:w w:val="95"/>
                <w:sz w:val="32"/>
                <w:szCs w:val="32"/>
                <w:highlight w:val="none"/>
                <w:lang w:eastAsia="zh-CN"/>
              </w:rPr>
              <w:t>诸暨市环境卫生管理集团有限公司</w:t>
            </w:r>
          </w:p>
        </w:tc>
      </w:tr>
      <w:tr w14:paraId="26B8F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jc w:val="center"/>
        </w:trPr>
        <w:tc>
          <w:tcPr>
            <w:tcW w:w="7000" w:type="dxa"/>
            <w:vAlign w:val="bottom"/>
          </w:tcPr>
          <w:p w14:paraId="64BEB439">
            <w:pPr>
              <w:pStyle w:val="25"/>
              <w:snapToGrid w:val="0"/>
              <w:spacing w:before="120" w:after="120" w:line="360" w:lineRule="auto"/>
              <w:rPr>
                <w:rFonts w:ascii="仿宋" w:hAnsi="仿宋" w:eastAsia="仿宋" w:cs="楷体_GB2312"/>
                <w:b/>
                <w:bCs/>
                <w:color w:val="auto"/>
                <w:w w:val="95"/>
                <w:kern w:val="0"/>
                <w:sz w:val="32"/>
                <w:szCs w:val="32"/>
                <w:highlight w:val="none"/>
              </w:rPr>
            </w:pPr>
            <w:r>
              <w:rPr>
                <w:rFonts w:hint="eastAsia" w:ascii="仿宋" w:hAnsi="仿宋" w:eastAsia="仿宋" w:cs="楷体_GB2312"/>
                <w:b/>
                <w:bCs/>
                <w:color w:val="auto"/>
                <w:w w:val="95"/>
                <w:kern w:val="0"/>
                <w:sz w:val="32"/>
                <w:szCs w:val="32"/>
                <w:highlight w:val="none"/>
              </w:rPr>
              <w:t>采购代理机构：诸暨市宸佳工程管理有限公司</w:t>
            </w:r>
          </w:p>
        </w:tc>
      </w:tr>
    </w:tbl>
    <w:p w14:paraId="48E088DD">
      <w:pPr>
        <w:spacing w:line="360" w:lineRule="auto"/>
        <w:jc w:val="center"/>
        <w:rPr>
          <w:rFonts w:ascii="仿宋" w:hAnsi="仿宋" w:eastAsia="仿宋" w:cs="楷体_GB2312"/>
          <w:b/>
          <w:bCs/>
          <w:color w:val="auto"/>
          <w:w w:val="95"/>
          <w:sz w:val="30"/>
          <w:szCs w:val="30"/>
          <w:highlight w:val="none"/>
        </w:rPr>
      </w:pPr>
      <w:r>
        <w:rPr>
          <w:rFonts w:hint="eastAsia" w:ascii="仿宋" w:hAnsi="仿宋" w:eastAsia="仿宋"/>
          <w:b/>
          <w:bCs/>
          <w:color w:val="auto"/>
          <w:w w:val="95"/>
          <w:sz w:val="30"/>
          <w:szCs w:val="30"/>
          <w:highlight w:val="none"/>
        </w:rPr>
        <w:t>二</w:t>
      </w:r>
      <w:r>
        <w:rPr>
          <w:rFonts w:hint="eastAsia" w:ascii="仿宋" w:hAnsi="仿宋" w:eastAsia="仿宋" w:cs="宋体"/>
          <w:b/>
          <w:bCs/>
          <w:color w:val="auto"/>
          <w:w w:val="95"/>
          <w:sz w:val="30"/>
          <w:szCs w:val="30"/>
          <w:highlight w:val="none"/>
        </w:rPr>
        <w:t>〇</w:t>
      </w:r>
      <w:r>
        <w:rPr>
          <w:rFonts w:hint="eastAsia" w:ascii="仿宋" w:hAnsi="仿宋" w:eastAsia="仿宋" w:cs="楷体_GB2312"/>
          <w:b/>
          <w:bCs/>
          <w:color w:val="auto"/>
          <w:w w:val="95"/>
          <w:sz w:val="30"/>
          <w:szCs w:val="30"/>
          <w:highlight w:val="none"/>
        </w:rPr>
        <w:t>二</w:t>
      </w:r>
      <w:r>
        <w:rPr>
          <w:rFonts w:hint="eastAsia" w:ascii="仿宋" w:hAnsi="仿宋" w:eastAsia="仿宋" w:cs="楷体_GB2312"/>
          <w:b/>
          <w:bCs/>
          <w:color w:val="auto"/>
          <w:w w:val="95"/>
          <w:sz w:val="30"/>
          <w:szCs w:val="30"/>
          <w:highlight w:val="none"/>
          <w:lang w:val="en-US" w:eastAsia="zh-CN"/>
        </w:rPr>
        <w:t>四</w:t>
      </w:r>
      <w:r>
        <w:rPr>
          <w:rFonts w:hint="eastAsia" w:ascii="仿宋" w:hAnsi="仿宋" w:eastAsia="仿宋" w:cs="楷体_GB2312"/>
          <w:b/>
          <w:bCs/>
          <w:color w:val="auto"/>
          <w:w w:val="95"/>
          <w:sz w:val="30"/>
          <w:szCs w:val="30"/>
          <w:highlight w:val="none"/>
        </w:rPr>
        <w:t>年</w:t>
      </w:r>
      <w:r>
        <w:rPr>
          <w:rFonts w:hint="eastAsia" w:ascii="仿宋" w:hAnsi="仿宋" w:eastAsia="仿宋" w:cs="楷体_GB2312"/>
          <w:b/>
          <w:bCs/>
          <w:color w:val="auto"/>
          <w:w w:val="95"/>
          <w:sz w:val="30"/>
          <w:szCs w:val="30"/>
          <w:highlight w:val="none"/>
          <w:lang w:val="en-US" w:eastAsia="zh-CN"/>
        </w:rPr>
        <w:t>十</w:t>
      </w:r>
      <w:r>
        <w:rPr>
          <w:rFonts w:hint="eastAsia" w:ascii="仿宋" w:hAnsi="仿宋" w:eastAsia="仿宋" w:cs="楷体_GB2312"/>
          <w:b/>
          <w:bCs/>
          <w:color w:val="auto"/>
          <w:w w:val="95"/>
          <w:sz w:val="30"/>
          <w:szCs w:val="30"/>
          <w:highlight w:val="none"/>
        </w:rPr>
        <w:t>月</w:t>
      </w:r>
    </w:p>
    <w:p w14:paraId="769522C0">
      <w:pPr>
        <w:spacing w:line="360" w:lineRule="auto"/>
        <w:rPr>
          <w:rFonts w:ascii="宋体" w:hAnsi="宋体" w:cs="楷体_GB2312"/>
          <w:b/>
          <w:bCs/>
          <w:color w:val="auto"/>
          <w:w w:val="95"/>
          <w:sz w:val="30"/>
          <w:szCs w:val="30"/>
          <w:highlight w:val="none"/>
        </w:rPr>
        <w:sectPr>
          <w:headerReference r:id="rId4" w:type="first"/>
          <w:headerReference r:id="rId3" w:type="default"/>
          <w:footerReference r:id="rId5" w:type="default"/>
          <w:pgSz w:w="11905" w:h="16838"/>
          <w:pgMar w:top="1440" w:right="1083" w:bottom="1440" w:left="1083" w:header="850" w:footer="964" w:gutter="0"/>
          <w:pgNumType w:fmt="numberInDash"/>
          <w:cols w:space="0" w:num="1"/>
          <w:titlePg/>
          <w:rtlGutter w:val="0"/>
          <w:docGrid w:type="lines" w:linePitch="315" w:charSpace="0"/>
        </w:sectPr>
      </w:pPr>
    </w:p>
    <w:p w14:paraId="62CE944C">
      <w:pPr>
        <w:keepNext w:val="0"/>
        <w:keepLines w:val="0"/>
        <w:pageBreakBefore w:val="0"/>
        <w:widowControl w:val="0"/>
        <w:kinsoku/>
        <w:wordWrap/>
        <w:overflowPunct/>
        <w:topLinePunct w:val="0"/>
        <w:autoSpaceDE w:val="0"/>
        <w:autoSpaceDN w:val="0"/>
        <w:bidi w:val="0"/>
        <w:adjustRightInd w:val="0"/>
        <w:snapToGrid/>
        <w:spacing w:before="240" w:after="240" w:line="360" w:lineRule="auto"/>
        <w:jc w:val="center"/>
        <w:textAlignment w:val="auto"/>
        <w:rPr>
          <w:rFonts w:ascii="仿宋" w:hAnsi="仿宋" w:eastAsia="仿宋"/>
          <w:b/>
          <w:color w:val="auto"/>
          <w:sz w:val="44"/>
          <w:szCs w:val="44"/>
          <w:highlight w:val="none"/>
        </w:rPr>
      </w:pPr>
      <w:r>
        <w:rPr>
          <w:rFonts w:hint="eastAsia" w:ascii="仿宋" w:hAnsi="仿宋" w:eastAsia="仿宋"/>
          <w:b/>
          <w:color w:val="auto"/>
          <w:sz w:val="44"/>
          <w:szCs w:val="44"/>
          <w:highlight w:val="none"/>
        </w:rPr>
        <w:t>目</w:t>
      </w:r>
      <w:r>
        <w:rPr>
          <w:rFonts w:hint="eastAsia" w:ascii="仿宋" w:hAnsi="仿宋" w:eastAsia="仿宋"/>
          <w:b/>
          <w:color w:val="auto"/>
          <w:sz w:val="44"/>
          <w:szCs w:val="44"/>
          <w:highlight w:val="none"/>
          <w:lang w:val="en-US" w:eastAsia="zh-CN"/>
        </w:rPr>
        <w:t xml:space="preserve"> </w:t>
      </w:r>
      <w:r>
        <w:rPr>
          <w:rFonts w:hint="eastAsia" w:ascii="仿宋" w:hAnsi="仿宋" w:eastAsia="仿宋"/>
          <w:b/>
          <w:color w:val="auto"/>
          <w:sz w:val="44"/>
          <w:szCs w:val="44"/>
          <w:highlight w:val="none"/>
        </w:rPr>
        <w:t>录</w:t>
      </w:r>
    </w:p>
    <w:p w14:paraId="782E7B54">
      <w:pPr>
        <w:keepNext w:val="0"/>
        <w:keepLines w:val="0"/>
        <w:pageBreakBefore w:val="0"/>
        <w:widowControl w:val="0"/>
        <w:kinsoku/>
        <w:wordWrap/>
        <w:overflowPunct/>
        <w:topLinePunct w:val="0"/>
        <w:autoSpaceDE w:val="0"/>
        <w:autoSpaceDN w:val="0"/>
        <w:bidi w:val="0"/>
        <w:adjustRightInd w:val="0"/>
        <w:snapToGrid w:val="0"/>
        <w:spacing w:before="159" w:beforeLines="50" w:after="144" w:afterLines="50" w:line="360" w:lineRule="auto"/>
        <w:ind w:firstLine="2530" w:firstLineChars="700"/>
        <w:jc w:val="left"/>
        <w:textAlignment w:val="auto"/>
        <w:rPr>
          <w:rFonts w:ascii="仿宋" w:hAnsi="仿宋" w:eastAsia="仿宋"/>
          <w:b/>
          <w:color w:val="auto"/>
          <w:sz w:val="36"/>
          <w:szCs w:val="36"/>
          <w:highlight w:val="none"/>
        </w:rPr>
      </w:pPr>
      <w:r>
        <w:rPr>
          <w:rFonts w:hint="eastAsia" w:ascii="仿宋" w:hAnsi="仿宋" w:eastAsia="仿宋"/>
          <w:b/>
          <w:color w:val="auto"/>
          <w:sz w:val="36"/>
          <w:szCs w:val="36"/>
          <w:highlight w:val="none"/>
        </w:rPr>
        <w:t>第一章    招标公告</w:t>
      </w:r>
    </w:p>
    <w:p w14:paraId="362F0FC0">
      <w:pPr>
        <w:keepNext w:val="0"/>
        <w:keepLines w:val="0"/>
        <w:pageBreakBefore w:val="0"/>
        <w:widowControl w:val="0"/>
        <w:kinsoku/>
        <w:wordWrap/>
        <w:overflowPunct/>
        <w:topLinePunct w:val="0"/>
        <w:autoSpaceDE w:val="0"/>
        <w:autoSpaceDN w:val="0"/>
        <w:bidi w:val="0"/>
        <w:adjustRightInd w:val="0"/>
        <w:snapToGrid w:val="0"/>
        <w:spacing w:before="159" w:beforeLines="50" w:after="144" w:afterLines="50" w:line="360" w:lineRule="auto"/>
        <w:ind w:firstLine="2530" w:firstLineChars="700"/>
        <w:jc w:val="left"/>
        <w:textAlignment w:val="auto"/>
        <w:rPr>
          <w:rFonts w:ascii="仿宋" w:hAnsi="仿宋" w:eastAsia="仿宋"/>
          <w:b/>
          <w:color w:val="auto"/>
          <w:sz w:val="36"/>
          <w:szCs w:val="36"/>
          <w:highlight w:val="none"/>
        </w:rPr>
      </w:pPr>
      <w:r>
        <w:rPr>
          <w:rFonts w:hint="eastAsia" w:ascii="仿宋" w:hAnsi="仿宋" w:eastAsia="仿宋"/>
          <w:b/>
          <w:color w:val="auto"/>
          <w:sz w:val="36"/>
          <w:szCs w:val="36"/>
          <w:highlight w:val="none"/>
        </w:rPr>
        <w:t>第二章    投标人须知</w:t>
      </w:r>
    </w:p>
    <w:p w14:paraId="178606A5">
      <w:pPr>
        <w:keepNext w:val="0"/>
        <w:keepLines w:val="0"/>
        <w:pageBreakBefore w:val="0"/>
        <w:widowControl w:val="0"/>
        <w:kinsoku/>
        <w:wordWrap/>
        <w:overflowPunct/>
        <w:topLinePunct w:val="0"/>
        <w:autoSpaceDE w:val="0"/>
        <w:autoSpaceDN w:val="0"/>
        <w:bidi w:val="0"/>
        <w:adjustRightInd w:val="0"/>
        <w:snapToGrid w:val="0"/>
        <w:spacing w:before="159" w:beforeLines="50" w:after="144" w:afterLines="50" w:line="360" w:lineRule="auto"/>
        <w:ind w:firstLine="2530" w:firstLineChars="700"/>
        <w:jc w:val="left"/>
        <w:textAlignment w:val="auto"/>
        <w:rPr>
          <w:rFonts w:ascii="仿宋" w:hAnsi="仿宋" w:eastAsia="仿宋"/>
          <w:b/>
          <w:color w:val="auto"/>
          <w:sz w:val="36"/>
          <w:szCs w:val="36"/>
          <w:highlight w:val="none"/>
        </w:rPr>
      </w:pPr>
      <w:r>
        <w:rPr>
          <w:rFonts w:hint="eastAsia" w:ascii="仿宋" w:hAnsi="仿宋" w:eastAsia="仿宋"/>
          <w:b/>
          <w:color w:val="auto"/>
          <w:sz w:val="36"/>
          <w:szCs w:val="36"/>
          <w:highlight w:val="none"/>
        </w:rPr>
        <w:t>第三章    评标方法</w:t>
      </w:r>
    </w:p>
    <w:p w14:paraId="2592E020">
      <w:pPr>
        <w:keepNext w:val="0"/>
        <w:keepLines w:val="0"/>
        <w:pageBreakBefore w:val="0"/>
        <w:widowControl w:val="0"/>
        <w:kinsoku/>
        <w:wordWrap/>
        <w:overflowPunct/>
        <w:topLinePunct w:val="0"/>
        <w:autoSpaceDE w:val="0"/>
        <w:autoSpaceDN w:val="0"/>
        <w:bidi w:val="0"/>
        <w:adjustRightInd w:val="0"/>
        <w:snapToGrid w:val="0"/>
        <w:spacing w:before="159" w:beforeLines="50" w:after="144" w:afterLines="50" w:line="360" w:lineRule="auto"/>
        <w:ind w:firstLine="2530" w:firstLineChars="700"/>
        <w:jc w:val="left"/>
        <w:textAlignment w:val="auto"/>
        <w:rPr>
          <w:rFonts w:ascii="仿宋" w:hAnsi="仿宋" w:eastAsia="仿宋"/>
          <w:b/>
          <w:color w:val="auto"/>
          <w:sz w:val="36"/>
          <w:szCs w:val="36"/>
          <w:highlight w:val="none"/>
        </w:rPr>
      </w:pPr>
      <w:r>
        <w:rPr>
          <w:rFonts w:hint="eastAsia" w:ascii="仿宋" w:hAnsi="仿宋" w:eastAsia="仿宋"/>
          <w:b/>
          <w:color w:val="auto"/>
          <w:sz w:val="36"/>
          <w:szCs w:val="36"/>
          <w:highlight w:val="none"/>
        </w:rPr>
        <w:t>第四章    采购需求</w:t>
      </w:r>
    </w:p>
    <w:p w14:paraId="6962A358">
      <w:pPr>
        <w:keepNext w:val="0"/>
        <w:keepLines w:val="0"/>
        <w:pageBreakBefore w:val="0"/>
        <w:widowControl w:val="0"/>
        <w:kinsoku/>
        <w:wordWrap/>
        <w:overflowPunct/>
        <w:topLinePunct w:val="0"/>
        <w:autoSpaceDE w:val="0"/>
        <w:autoSpaceDN w:val="0"/>
        <w:bidi w:val="0"/>
        <w:adjustRightInd w:val="0"/>
        <w:snapToGrid w:val="0"/>
        <w:spacing w:before="159" w:beforeLines="50" w:after="144" w:afterLines="50" w:line="360" w:lineRule="auto"/>
        <w:ind w:firstLine="2530" w:firstLineChars="700"/>
        <w:jc w:val="left"/>
        <w:textAlignment w:val="auto"/>
        <w:rPr>
          <w:rFonts w:hint="eastAsia" w:ascii="仿宋" w:hAnsi="仿宋" w:eastAsia="仿宋"/>
          <w:b/>
          <w:color w:val="auto"/>
          <w:sz w:val="36"/>
          <w:szCs w:val="36"/>
          <w:highlight w:val="none"/>
          <w:lang w:val="en-US" w:eastAsia="zh-CN"/>
        </w:rPr>
      </w:pPr>
      <w:r>
        <w:rPr>
          <w:rFonts w:hint="eastAsia" w:ascii="仿宋" w:hAnsi="仿宋" w:eastAsia="仿宋"/>
          <w:b/>
          <w:color w:val="auto"/>
          <w:sz w:val="36"/>
          <w:szCs w:val="36"/>
          <w:highlight w:val="none"/>
        </w:rPr>
        <w:t xml:space="preserve">第五章    </w:t>
      </w:r>
      <w:r>
        <w:rPr>
          <w:rFonts w:hint="eastAsia" w:ascii="仿宋" w:hAnsi="仿宋" w:eastAsia="仿宋"/>
          <w:b/>
          <w:color w:val="auto"/>
          <w:sz w:val="36"/>
          <w:szCs w:val="36"/>
          <w:highlight w:val="none"/>
          <w:lang w:val="en-US" w:eastAsia="zh-CN"/>
        </w:rPr>
        <w:t>采购项目采购合同</w:t>
      </w:r>
    </w:p>
    <w:p w14:paraId="789E94F7">
      <w:pPr>
        <w:keepNext w:val="0"/>
        <w:keepLines w:val="0"/>
        <w:pageBreakBefore w:val="0"/>
        <w:widowControl w:val="0"/>
        <w:kinsoku/>
        <w:wordWrap/>
        <w:overflowPunct/>
        <w:topLinePunct w:val="0"/>
        <w:autoSpaceDE w:val="0"/>
        <w:autoSpaceDN w:val="0"/>
        <w:bidi w:val="0"/>
        <w:adjustRightInd w:val="0"/>
        <w:snapToGrid w:val="0"/>
        <w:spacing w:before="159" w:beforeLines="50" w:after="144" w:afterLines="50" w:line="360" w:lineRule="auto"/>
        <w:ind w:firstLine="2530" w:firstLineChars="700"/>
        <w:jc w:val="left"/>
        <w:textAlignment w:val="auto"/>
        <w:rPr>
          <w:rFonts w:ascii="仿宋" w:hAnsi="仿宋" w:eastAsia="仿宋"/>
          <w:b/>
          <w:color w:val="auto"/>
          <w:sz w:val="36"/>
          <w:szCs w:val="36"/>
          <w:highlight w:val="none"/>
        </w:rPr>
      </w:pPr>
      <w:r>
        <w:rPr>
          <w:rFonts w:hint="eastAsia" w:ascii="仿宋" w:hAnsi="仿宋" w:eastAsia="仿宋"/>
          <w:b/>
          <w:color w:val="auto"/>
          <w:sz w:val="36"/>
          <w:szCs w:val="36"/>
          <w:highlight w:val="none"/>
        </w:rPr>
        <w:t>第六章    应提交的有关格式范例</w:t>
      </w:r>
    </w:p>
    <w:p w14:paraId="0855B7B0">
      <w:pPr>
        <w:spacing w:beforeLines="100" w:line="360" w:lineRule="auto"/>
        <w:jc w:val="center"/>
        <w:rPr>
          <w:rStyle w:val="56"/>
          <w:rFonts w:ascii="宋体" w:hAnsi="宋体"/>
          <w:color w:val="auto"/>
          <w:sz w:val="30"/>
          <w:highlight w:val="none"/>
        </w:rPr>
        <w:sectPr>
          <w:footerReference r:id="rId6" w:type="default"/>
          <w:pgSz w:w="11905" w:h="16838"/>
          <w:pgMar w:top="1440" w:right="1083" w:bottom="1440" w:left="1083" w:header="850" w:footer="964" w:gutter="0"/>
          <w:pgNumType w:fmt="decimal" w:start="1"/>
          <w:cols w:space="0" w:num="1"/>
          <w:titlePg/>
          <w:rtlGutter w:val="0"/>
          <w:docGrid w:type="lines" w:linePitch="315" w:charSpace="0"/>
        </w:sectPr>
      </w:pPr>
      <w:r>
        <w:rPr>
          <w:rFonts w:hint="eastAsia" w:ascii="仿宋" w:hAnsi="仿宋" w:eastAsia="仿宋"/>
          <w:b/>
          <w:color w:val="auto"/>
          <w:sz w:val="28"/>
          <w:szCs w:val="28"/>
          <w:highlight w:val="none"/>
        </w:rPr>
        <w:t>请各位投标人详细阅读各项条款</w:t>
      </w:r>
    </w:p>
    <w:p w14:paraId="04D68CF0">
      <w:pPr>
        <w:pStyle w:val="2"/>
        <w:keepNext/>
        <w:keepLines/>
        <w:pageBreakBefore w:val="0"/>
        <w:widowControl w:val="0"/>
        <w:tabs>
          <w:tab w:val="left" w:pos="7607"/>
          <w:tab w:val="left" w:pos="8837"/>
        </w:tabs>
        <w:kinsoku/>
        <w:wordWrap/>
        <w:overflowPunct/>
        <w:topLinePunct w:val="0"/>
        <w:autoSpaceDE w:val="0"/>
        <w:autoSpaceDN w:val="0"/>
        <w:bidi w:val="0"/>
        <w:adjustRightInd w:val="0"/>
        <w:snapToGrid/>
        <w:spacing w:before="220" w:after="220" w:line="360" w:lineRule="auto"/>
        <w:jc w:val="center"/>
        <w:textAlignment w:val="auto"/>
        <w:rPr>
          <w:rFonts w:ascii="华文中宋" w:hAnsi="华文中宋" w:eastAsia="华文中宋"/>
          <w:color w:val="auto"/>
          <w:sz w:val="36"/>
          <w:szCs w:val="36"/>
          <w:highlight w:val="none"/>
        </w:rPr>
      </w:pPr>
      <w:bookmarkStart w:id="1" w:name="_Toc125344501"/>
      <w:r>
        <w:rPr>
          <w:rFonts w:hint="eastAsia" w:ascii="华文中宋" w:hAnsi="华文中宋" w:eastAsia="华文中宋"/>
          <w:color w:val="auto"/>
          <w:sz w:val="36"/>
          <w:szCs w:val="36"/>
          <w:highlight w:val="none"/>
        </w:rPr>
        <w:t>第一章  招标公告</w:t>
      </w:r>
      <w:bookmarkEnd w:id="1"/>
      <w:r>
        <w:rPr>
          <w:rFonts w:hint="eastAsia" w:ascii="华文中宋" w:hAnsi="华文中宋" w:eastAsia="华文中宋"/>
          <w:color w:val="auto"/>
          <w:sz w:val="36"/>
          <w:szCs w:val="36"/>
          <w:highlight w:val="none"/>
        </w:rPr>
        <w:t>（非政府采购）</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0675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9854" w:type="dxa"/>
          </w:tcPr>
          <w:p w14:paraId="62DCE2F4">
            <w:pPr>
              <w:pStyle w:val="62"/>
              <w:snapToGrid/>
              <w:spacing w:line="360" w:lineRule="exac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项目概况</w:t>
            </w:r>
          </w:p>
          <w:p w14:paraId="0F3F8CB1">
            <w:pPr>
              <w:autoSpaceDE/>
              <w:autoSpaceDN/>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u w:val="single"/>
                <w:lang w:val="en-US" w:eastAsia="zh-CN"/>
              </w:rPr>
              <w:t>诸暨市环境卫生管理集团有限公司2024-2025年度环卫作业生产物资采购项目</w:t>
            </w:r>
            <w:r>
              <w:rPr>
                <w:rFonts w:hint="eastAsia" w:ascii="仿宋" w:hAnsi="仿宋" w:eastAsia="仿宋" w:cs="仿宋"/>
                <w:bCs/>
                <w:color w:val="auto"/>
                <w:sz w:val="24"/>
                <w:highlight w:val="none"/>
              </w:rPr>
              <w:t>的潜在投标人应在</w:t>
            </w:r>
            <w:r>
              <w:rPr>
                <w:rFonts w:hint="eastAsia" w:ascii="仿宋" w:hAnsi="仿宋" w:eastAsia="仿宋" w:cs="仿宋"/>
                <w:bCs/>
                <w:color w:val="auto"/>
                <w:sz w:val="24"/>
                <w:highlight w:val="none"/>
                <w:u w:val="single"/>
              </w:rPr>
              <w:t>乐采云平台（www.lecaiyun.com）</w:t>
            </w:r>
            <w:r>
              <w:rPr>
                <w:rFonts w:hint="eastAsia" w:ascii="仿宋" w:hAnsi="仿宋" w:eastAsia="仿宋" w:cs="仿宋"/>
                <w:bCs/>
                <w:color w:val="auto"/>
                <w:sz w:val="24"/>
                <w:highlight w:val="none"/>
              </w:rPr>
              <w:t>获取（下载）招标文件，并于</w:t>
            </w:r>
            <w:r>
              <w:rPr>
                <w:rFonts w:hint="eastAsia" w:ascii="仿宋" w:hAnsi="仿宋" w:eastAsia="仿宋" w:cs="仿宋"/>
                <w:bCs/>
                <w:color w:val="auto"/>
                <w:sz w:val="24"/>
                <w:highlight w:val="none"/>
                <w:u w:val="single"/>
              </w:rPr>
              <w:t>202</w:t>
            </w:r>
            <w:r>
              <w:rPr>
                <w:rFonts w:hint="eastAsia" w:ascii="仿宋" w:hAnsi="仿宋" w:eastAsia="仿宋" w:cs="仿宋"/>
                <w:bCs/>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21</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lang w:eastAsia="zh-CN"/>
              </w:rPr>
              <w:t>：</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rPr>
              <w:t>（北京时间）前递交（上传）投标文件。</w:t>
            </w:r>
          </w:p>
        </w:tc>
      </w:tr>
    </w:tbl>
    <w:p w14:paraId="0A5412D6">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4B21DAFB">
      <w:pPr>
        <w:pStyle w:val="25"/>
        <w:keepNext w:val="0"/>
        <w:keepLines w:val="0"/>
        <w:pageBreakBefore w:val="0"/>
        <w:widowControl w:val="0"/>
        <w:tabs>
          <w:tab w:val="left" w:pos="4410"/>
        </w:tabs>
        <w:kinsoku/>
        <w:wordWrap/>
        <w:overflowPunct/>
        <w:topLinePunct w:val="0"/>
        <w:autoSpaceDE/>
        <w:autoSpaceDN/>
        <w:bidi w:val="0"/>
        <w:adjustRightInd w:val="0"/>
        <w:spacing w:line="420" w:lineRule="exact"/>
        <w:ind w:left="0" w:leftChars="0" w:firstLine="482"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val="en-US" w:eastAsia="zh-CN"/>
        </w:rPr>
        <w:t>诸暨市环境卫生管理集团有限公司2024-2025年度环卫作业生产物资采购项目</w:t>
      </w:r>
    </w:p>
    <w:p w14:paraId="05EC83CD">
      <w:pPr>
        <w:pStyle w:val="25"/>
        <w:keepNext w:val="0"/>
        <w:keepLines w:val="0"/>
        <w:pageBreakBefore w:val="0"/>
        <w:widowControl w:val="0"/>
        <w:kinsoku/>
        <w:wordWrap/>
        <w:overflowPunct/>
        <w:topLinePunct w:val="0"/>
        <w:autoSpaceDE/>
        <w:autoSpaceDN/>
        <w:bidi w:val="0"/>
        <w:adjustRightInd w:val="0"/>
        <w:spacing w:line="420" w:lineRule="exact"/>
        <w:ind w:left="0" w:leftChars="0" w:firstLine="482" w:firstLineChars="200"/>
        <w:jc w:val="left"/>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项目编号：</w:t>
      </w:r>
      <w:r>
        <w:rPr>
          <w:rFonts w:hint="eastAsia" w:ascii="仿宋" w:hAnsi="仿宋" w:eastAsia="仿宋" w:cs="仿宋"/>
          <w:bCs/>
          <w:color w:val="auto"/>
          <w:highlight w:val="none"/>
        </w:rPr>
        <w:t>诸宸佳</w:t>
      </w:r>
      <w:r>
        <w:rPr>
          <w:rFonts w:hint="eastAsia" w:ascii="仿宋" w:hAnsi="仿宋" w:eastAsia="仿宋" w:cs="仿宋"/>
          <w:bCs/>
          <w:color w:val="auto"/>
          <w:highlight w:val="none"/>
          <w:lang w:eastAsia="zh-CN"/>
        </w:rPr>
        <w:t>2024-</w:t>
      </w:r>
      <w:r>
        <w:rPr>
          <w:rFonts w:hint="eastAsia" w:ascii="仿宋" w:hAnsi="仿宋" w:eastAsia="仿宋" w:cs="仿宋"/>
          <w:bCs/>
          <w:color w:val="auto"/>
          <w:highlight w:val="none"/>
          <w:lang w:val="en-US" w:eastAsia="zh-CN"/>
        </w:rPr>
        <w:t>10</w:t>
      </w:r>
      <w:r>
        <w:rPr>
          <w:rFonts w:hint="eastAsia" w:ascii="仿宋" w:hAnsi="仿宋" w:eastAsia="仿宋" w:cs="仿宋"/>
          <w:bCs/>
          <w:color w:val="auto"/>
          <w:highlight w:val="none"/>
          <w:lang w:eastAsia="zh-CN"/>
        </w:rPr>
        <w:t>-</w:t>
      </w:r>
      <w:r>
        <w:rPr>
          <w:rFonts w:hint="eastAsia" w:ascii="仿宋" w:hAnsi="仿宋" w:eastAsia="仿宋" w:cs="仿宋"/>
          <w:bCs/>
          <w:color w:val="auto"/>
          <w:highlight w:val="none"/>
          <w:lang w:val="en-US" w:eastAsia="zh-CN"/>
        </w:rPr>
        <w:t>28</w:t>
      </w:r>
    </w:p>
    <w:p w14:paraId="3830A7D8">
      <w:pPr>
        <w:keepNext w:val="0"/>
        <w:keepLines w:val="0"/>
        <w:pageBreakBefore w:val="0"/>
        <w:widowControl w:val="0"/>
        <w:kinsoku/>
        <w:wordWrap/>
        <w:overflowPunct/>
        <w:topLinePunct w:val="0"/>
        <w:autoSpaceDE/>
        <w:autoSpaceDN/>
        <w:bidi w:val="0"/>
        <w:adjustRightInd w:val="0"/>
        <w:spacing w:line="420" w:lineRule="exact"/>
        <w:ind w:left="0" w:leftChars="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采购组织类型：</w:t>
      </w:r>
      <w:r>
        <w:rPr>
          <w:rFonts w:hint="eastAsia" w:ascii="仿宋" w:hAnsi="仿宋" w:eastAsia="仿宋" w:cs="仿宋"/>
          <w:bCs/>
          <w:color w:val="auto"/>
          <w:sz w:val="24"/>
          <w:highlight w:val="none"/>
          <w:lang w:val="en-US" w:eastAsia="zh-CN"/>
        </w:rPr>
        <w:t>国企</w:t>
      </w:r>
      <w:r>
        <w:rPr>
          <w:rFonts w:hint="eastAsia" w:ascii="仿宋" w:hAnsi="仿宋" w:eastAsia="仿宋" w:cs="仿宋"/>
          <w:bCs/>
          <w:color w:val="auto"/>
          <w:sz w:val="24"/>
          <w:highlight w:val="none"/>
        </w:rPr>
        <w:t>采购委托代理</w:t>
      </w:r>
    </w:p>
    <w:p w14:paraId="22FA9DD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2" w:firstLineChars="20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szCs w:val="24"/>
          <w:highlight w:val="none"/>
          <w:lang w:val="en-US" w:eastAsia="zh-CN"/>
        </w:rPr>
        <w:t>诸暨市环境卫生管理集团有限公司2024-2025年度环卫作业生产物资采购，预算总金额为人民币伍佰肆拾贰万壹仟叁佰叁拾壹元整（¥5421331.00），本项目分五个标项，每个标项最高采购金额见下表，具体内容详见采购需求。</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3578"/>
        <w:gridCol w:w="3179"/>
      </w:tblGrid>
      <w:tr w14:paraId="03A8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2" w:type="dxa"/>
            <w:noWrap w:val="0"/>
            <w:vAlign w:val="center"/>
          </w:tcPr>
          <w:p w14:paraId="1F2E7987">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w:t>
            </w:r>
          </w:p>
        </w:tc>
        <w:tc>
          <w:tcPr>
            <w:tcW w:w="3578" w:type="dxa"/>
            <w:noWrap w:val="0"/>
            <w:vAlign w:val="center"/>
          </w:tcPr>
          <w:p w14:paraId="2F549612">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标项内容</w:t>
            </w:r>
          </w:p>
        </w:tc>
        <w:tc>
          <w:tcPr>
            <w:tcW w:w="3179" w:type="dxa"/>
            <w:noWrap w:val="0"/>
            <w:vAlign w:val="center"/>
          </w:tcPr>
          <w:p w14:paraId="11ED088A">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最高限价（元）</w:t>
            </w:r>
          </w:p>
        </w:tc>
      </w:tr>
      <w:tr w14:paraId="11B9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73661B12">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标项1</w:t>
            </w:r>
          </w:p>
        </w:tc>
        <w:tc>
          <w:tcPr>
            <w:tcW w:w="3578" w:type="dxa"/>
            <w:noWrap w:val="0"/>
            <w:vAlign w:val="center"/>
          </w:tcPr>
          <w:p w14:paraId="64D47998">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日杂百货</w:t>
            </w:r>
          </w:p>
        </w:tc>
        <w:tc>
          <w:tcPr>
            <w:tcW w:w="3179" w:type="dxa"/>
            <w:noWrap w:val="0"/>
            <w:vAlign w:val="center"/>
          </w:tcPr>
          <w:p w14:paraId="43AB7234">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1587086</w:t>
            </w:r>
          </w:p>
        </w:tc>
      </w:tr>
      <w:tr w14:paraId="57B9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4EC990DF">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标项2</w:t>
            </w:r>
          </w:p>
        </w:tc>
        <w:tc>
          <w:tcPr>
            <w:tcW w:w="3578" w:type="dxa"/>
            <w:noWrap w:val="0"/>
            <w:vAlign w:val="center"/>
          </w:tcPr>
          <w:p w14:paraId="337C5623">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垃圾收集专用物资</w:t>
            </w:r>
          </w:p>
        </w:tc>
        <w:tc>
          <w:tcPr>
            <w:tcW w:w="3179" w:type="dxa"/>
            <w:noWrap w:val="0"/>
            <w:vAlign w:val="center"/>
          </w:tcPr>
          <w:p w14:paraId="2181F7E7">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1731600</w:t>
            </w:r>
          </w:p>
        </w:tc>
      </w:tr>
      <w:tr w14:paraId="0CF6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2FA9EFB1">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标项3</w:t>
            </w:r>
          </w:p>
        </w:tc>
        <w:tc>
          <w:tcPr>
            <w:tcW w:w="3578" w:type="dxa"/>
            <w:noWrap w:val="0"/>
            <w:vAlign w:val="center"/>
          </w:tcPr>
          <w:p w14:paraId="6D63BDA0">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填埋场专用物资</w:t>
            </w:r>
          </w:p>
        </w:tc>
        <w:tc>
          <w:tcPr>
            <w:tcW w:w="3179" w:type="dxa"/>
            <w:noWrap w:val="0"/>
            <w:vAlign w:val="center"/>
          </w:tcPr>
          <w:p w14:paraId="4AC1EF9E">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615000</w:t>
            </w:r>
          </w:p>
        </w:tc>
      </w:tr>
      <w:tr w14:paraId="63C7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6E1AF019">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标项4</w:t>
            </w:r>
          </w:p>
        </w:tc>
        <w:tc>
          <w:tcPr>
            <w:tcW w:w="3578" w:type="dxa"/>
            <w:noWrap w:val="0"/>
            <w:vAlign w:val="center"/>
          </w:tcPr>
          <w:p w14:paraId="2A8D45AB">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除臭专用物资</w:t>
            </w:r>
          </w:p>
        </w:tc>
        <w:tc>
          <w:tcPr>
            <w:tcW w:w="3179" w:type="dxa"/>
            <w:noWrap w:val="0"/>
            <w:vAlign w:val="center"/>
          </w:tcPr>
          <w:p w14:paraId="73D0F1CE">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1043500</w:t>
            </w:r>
          </w:p>
        </w:tc>
      </w:tr>
      <w:tr w14:paraId="51AE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602" w:type="dxa"/>
            <w:noWrap w:val="0"/>
            <w:vAlign w:val="center"/>
          </w:tcPr>
          <w:p w14:paraId="4ED07C06">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标项5</w:t>
            </w:r>
          </w:p>
        </w:tc>
        <w:tc>
          <w:tcPr>
            <w:tcW w:w="3578" w:type="dxa"/>
            <w:noWrap w:val="0"/>
            <w:vAlign w:val="center"/>
          </w:tcPr>
          <w:p w14:paraId="08837031">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维修专用物资</w:t>
            </w:r>
          </w:p>
        </w:tc>
        <w:tc>
          <w:tcPr>
            <w:tcW w:w="3179" w:type="dxa"/>
            <w:noWrap w:val="0"/>
            <w:vAlign w:val="center"/>
          </w:tcPr>
          <w:p w14:paraId="6F726FF8">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444145</w:t>
            </w:r>
          </w:p>
        </w:tc>
      </w:tr>
    </w:tbl>
    <w:p w14:paraId="6692007F">
      <w:pPr>
        <w:pStyle w:val="14"/>
        <w:pageBreakBefore w:val="0"/>
        <w:kinsoku/>
        <w:wordWrap/>
        <w:overflowPunct/>
        <w:topLinePunct w:val="0"/>
        <w:bidi w:val="0"/>
        <w:adjustRightInd w:val="0"/>
        <w:spacing w:line="420" w:lineRule="exact"/>
        <w:ind w:firstLine="48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b w:val="0"/>
          <w:bCs/>
          <w:color w:val="auto"/>
          <w:sz w:val="24"/>
          <w:highlight w:val="none"/>
          <w:lang w:val="en-US" w:eastAsia="zh-CN"/>
        </w:rPr>
        <w:t>详见招标文件采购需求。</w:t>
      </w:r>
    </w:p>
    <w:p w14:paraId="02E34B31">
      <w:pPr>
        <w:pStyle w:val="14"/>
        <w:pageBreakBefore w:val="0"/>
        <w:kinsoku/>
        <w:wordWrap/>
        <w:overflowPunct/>
        <w:topLinePunct w:val="0"/>
        <w:bidi w:val="0"/>
        <w:adjustRightInd w:val="0"/>
        <w:spacing w:line="420" w:lineRule="exact"/>
        <w:ind w:firstLine="48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评标办法</w:t>
      </w:r>
      <w:r>
        <w:rPr>
          <w:rFonts w:hint="eastAsia" w:ascii="仿宋" w:hAnsi="仿宋" w:eastAsia="仿宋" w:cs="仿宋"/>
          <w:b/>
          <w:bCs w:val="0"/>
          <w:color w:val="auto"/>
          <w:sz w:val="24"/>
          <w:highlight w:val="none"/>
        </w:rPr>
        <w:t>：</w:t>
      </w:r>
      <w:r>
        <w:rPr>
          <w:rFonts w:hint="eastAsia" w:ascii="仿宋" w:hAnsi="仿宋" w:eastAsia="仿宋" w:cs="仿宋"/>
          <w:b/>
          <w:bCs w:val="0"/>
          <w:color w:val="auto"/>
          <w:sz w:val="24"/>
          <w:highlight w:val="none"/>
          <w:lang w:val="en-US" w:eastAsia="zh-CN"/>
        </w:rPr>
        <w:t>最低评标价</w:t>
      </w:r>
      <w:r>
        <w:rPr>
          <w:rFonts w:hint="eastAsia" w:ascii="仿宋" w:hAnsi="仿宋" w:eastAsia="仿宋" w:cs="仿宋"/>
          <w:b/>
          <w:bCs w:val="0"/>
          <w:color w:val="auto"/>
          <w:sz w:val="24"/>
          <w:highlight w:val="none"/>
        </w:rPr>
        <w:t>法</w:t>
      </w:r>
    </w:p>
    <w:p w14:paraId="1C591010">
      <w:pPr>
        <w:pageBreakBefore w:val="0"/>
        <w:kinsoku/>
        <w:wordWrap/>
        <w:overflowPunct/>
        <w:topLinePunct w:val="0"/>
        <w:autoSpaceDE/>
        <w:autoSpaceDN/>
        <w:bidi w:val="0"/>
        <w:snapToGrid w:val="0"/>
        <w:spacing w:line="420" w:lineRule="exact"/>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highlight w:val="none"/>
        </w:rPr>
        <w:t>投</w:t>
      </w:r>
      <w:r>
        <w:rPr>
          <w:rFonts w:hint="eastAsia" w:ascii="仿宋" w:hAnsi="仿宋" w:eastAsia="仿宋" w:cs="仿宋"/>
          <w:b/>
          <w:color w:val="auto"/>
          <w:sz w:val="24"/>
          <w:highlight w:val="none"/>
        </w:rPr>
        <w:t>标人（供应商）资格要求</w:t>
      </w:r>
    </w:p>
    <w:p w14:paraId="645DF4C2">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1、供应商参加本项目采购活动应当具备下列资格条件：</w:t>
      </w:r>
    </w:p>
    <w:p w14:paraId="11B3120E">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（1）具有独立承担民事责任的能力；</w:t>
      </w:r>
    </w:p>
    <w:p w14:paraId="5CC0F055">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（2）具有良好的商业信誉和健全的财务会计制度；</w:t>
      </w:r>
    </w:p>
    <w:p w14:paraId="54715536">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（3）具有履行合同所必需的设备和专业技术能力；</w:t>
      </w:r>
    </w:p>
    <w:p w14:paraId="43F0B842">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（4）有依法缴纳税收和社会保障资金的良好记录；</w:t>
      </w:r>
    </w:p>
    <w:p w14:paraId="137AFDF0">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（5）参加本次采购活动前三年内，在经营活动中没有重大违法记录；</w:t>
      </w:r>
    </w:p>
    <w:p w14:paraId="6AA51203">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（6）法律、行政法规规定的其他条件。</w:t>
      </w:r>
    </w:p>
    <w:p w14:paraId="1026C8D7">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left="0" w:leftChars="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color w:val="auto"/>
          <w:sz w:val="24"/>
          <w:szCs w:val="24"/>
          <w:highlight w:val="none"/>
        </w:rPr>
        <w:t>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 w:val="24"/>
          <w:szCs w:val="24"/>
          <w:highlight w:val="none"/>
          <w:lang w:eastAsia="zh-CN"/>
        </w:rPr>
        <w:t>。</w:t>
      </w:r>
    </w:p>
    <w:p w14:paraId="27345CD6">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本项目</w:t>
      </w:r>
      <w:r>
        <w:rPr>
          <w:rFonts w:hint="eastAsia" w:ascii="仿宋" w:hAnsi="仿宋" w:eastAsia="仿宋" w:cs="仿宋"/>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不 </w:t>
      </w:r>
      <w:r>
        <w:rPr>
          <w:rFonts w:hint="eastAsia" w:ascii="仿宋" w:hAnsi="仿宋" w:eastAsia="仿宋" w:cs="仿宋"/>
          <w:color w:val="auto"/>
          <w:sz w:val="24"/>
          <w:szCs w:val="24"/>
          <w:highlight w:val="none"/>
        </w:rPr>
        <w:t>接受联合体投标。</w:t>
      </w:r>
    </w:p>
    <w:p w14:paraId="14A811BB">
      <w:pPr>
        <w:pageBreakBefore w:val="0"/>
        <w:kinsoku/>
        <w:wordWrap/>
        <w:overflowPunct/>
        <w:topLinePunct w:val="0"/>
        <w:bidi w:val="0"/>
        <w:spacing w:line="420" w:lineRule="exact"/>
        <w:textAlignment w:val="auto"/>
        <w:rPr>
          <w:rFonts w:hint="eastAsia" w:ascii="仿宋" w:hAnsi="仿宋" w:eastAsia="仿宋" w:cs="仿宋"/>
          <w:b/>
          <w:bCs/>
          <w:color w:val="auto"/>
          <w:highlight w:val="none"/>
        </w:rPr>
      </w:pPr>
      <w:r>
        <w:rPr>
          <w:rFonts w:hint="eastAsia" w:ascii="仿宋" w:hAnsi="仿宋" w:eastAsia="仿宋" w:cs="仿宋"/>
          <w:b/>
          <w:bCs/>
          <w:color w:val="auto"/>
          <w:sz w:val="24"/>
          <w:szCs w:val="24"/>
          <w:highlight w:val="none"/>
        </w:rPr>
        <w:t>三、获取招标文件</w:t>
      </w:r>
    </w:p>
    <w:p w14:paraId="4A2054C8">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时间：</w:t>
      </w:r>
      <w:r>
        <w:rPr>
          <w:rFonts w:hint="eastAsia" w:ascii="仿宋" w:hAnsi="仿宋" w:eastAsia="仿宋" w:cs="仿宋"/>
          <w:color w:val="auto"/>
          <w:highlight w:val="none"/>
          <w:u w:val="single"/>
        </w:rPr>
        <w:t>202</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rPr>
        <w:t>年</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rPr>
        <w:t>月</w:t>
      </w:r>
      <w:r>
        <w:rPr>
          <w:rFonts w:hint="eastAsia" w:ascii="仿宋" w:hAnsi="仿宋" w:eastAsia="仿宋" w:cs="仿宋"/>
          <w:color w:val="auto"/>
          <w:highlight w:val="none"/>
          <w:u w:val="single"/>
          <w:lang w:val="en-US" w:eastAsia="zh-CN"/>
        </w:rPr>
        <w:t>31</w:t>
      </w:r>
      <w:r>
        <w:rPr>
          <w:rFonts w:hint="eastAsia" w:ascii="仿宋" w:hAnsi="仿宋" w:eastAsia="仿宋" w:cs="仿宋"/>
          <w:color w:val="auto"/>
          <w:highlight w:val="none"/>
          <w:u w:val="single"/>
        </w:rPr>
        <w:t>日</w:t>
      </w:r>
      <w:r>
        <w:rPr>
          <w:rFonts w:hint="eastAsia" w:ascii="仿宋" w:hAnsi="仿宋" w:eastAsia="仿宋" w:cs="仿宋"/>
          <w:color w:val="auto"/>
          <w:highlight w:val="none"/>
        </w:rPr>
        <w:t>至</w:t>
      </w:r>
      <w:r>
        <w:rPr>
          <w:rFonts w:hint="eastAsia" w:ascii="仿宋" w:hAnsi="仿宋" w:eastAsia="仿宋" w:cs="仿宋"/>
          <w:color w:val="auto"/>
          <w:highlight w:val="none"/>
          <w:u w:val="single"/>
        </w:rPr>
        <w:t>202</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rPr>
        <w:t>年</w:t>
      </w:r>
      <w:r>
        <w:rPr>
          <w:rFonts w:hint="eastAsia" w:ascii="仿宋" w:hAnsi="仿宋" w:eastAsia="仿宋" w:cs="仿宋"/>
          <w:color w:val="auto"/>
          <w:highlight w:val="none"/>
          <w:u w:val="single"/>
          <w:lang w:val="en-US" w:eastAsia="zh-CN"/>
        </w:rPr>
        <w:t>11</w:t>
      </w:r>
      <w:r>
        <w:rPr>
          <w:rFonts w:hint="eastAsia" w:ascii="仿宋" w:hAnsi="仿宋" w:eastAsia="仿宋" w:cs="仿宋"/>
          <w:color w:val="auto"/>
          <w:highlight w:val="none"/>
          <w:u w:val="single"/>
        </w:rPr>
        <w:t>月</w:t>
      </w:r>
      <w:r>
        <w:rPr>
          <w:rFonts w:hint="eastAsia" w:ascii="仿宋" w:hAnsi="仿宋" w:eastAsia="仿宋" w:cs="仿宋"/>
          <w:color w:val="auto"/>
          <w:highlight w:val="none"/>
          <w:u w:val="single"/>
          <w:lang w:val="en-US" w:eastAsia="zh-CN"/>
        </w:rPr>
        <w:t>21</w:t>
      </w:r>
      <w:r>
        <w:rPr>
          <w:rFonts w:hint="eastAsia" w:ascii="仿宋" w:hAnsi="仿宋" w:eastAsia="仿宋" w:cs="仿宋"/>
          <w:color w:val="auto"/>
          <w:highlight w:val="none"/>
          <w:u w:val="single"/>
        </w:rPr>
        <w:t>日</w:t>
      </w:r>
      <w:r>
        <w:rPr>
          <w:rFonts w:hint="eastAsia" w:ascii="仿宋" w:hAnsi="仿宋" w:eastAsia="仿宋" w:cs="仿宋"/>
          <w:color w:val="auto"/>
          <w:highlight w:val="none"/>
        </w:rPr>
        <w:t>，每天上午</w:t>
      </w:r>
      <w:r>
        <w:rPr>
          <w:rFonts w:hint="eastAsia" w:ascii="仿宋" w:hAnsi="仿宋" w:eastAsia="仿宋" w:cs="仿宋"/>
          <w:color w:val="auto"/>
          <w:highlight w:val="none"/>
          <w:u w:val="single"/>
        </w:rPr>
        <w:t>00:00</w:t>
      </w:r>
      <w:r>
        <w:rPr>
          <w:rFonts w:hint="eastAsia" w:ascii="仿宋" w:hAnsi="仿宋" w:eastAsia="仿宋" w:cs="仿宋"/>
          <w:color w:val="auto"/>
          <w:highlight w:val="none"/>
        </w:rPr>
        <w:t>至</w:t>
      </w:r>
      <w:r>
        <w:rPr>
          <w:rFonts w:hint="eastAsia" w:ascii="仿宋" w:hAnsi="仿宋" w:eastAsia="仿宋" w:cs="仿宋"/>
          <w:color w:val="auto"/>
          <w:highlight w:val="none"/>
          <w:u w:val="single"/>
        </w:rPr>
        <w:t>12:00</w:t>
      </w:r>
      <w:r>
        <w:rPr>
          <w:rFonts w:hint="eastAsia" w:ascii="仿宋" w:hAnsi="仿宋" w:eastAsia="仿宋" w:cs="仿宋"/>
          <w:color w:val="auto"/>
          <w:highlight w:val="none"/>
        </w:rPr>
        <w:t>，下午</w:t>
      </w:r>
      <w:r>
        <w:rPr>
          <w:rFonts w:hint="eastAsia" w:ascii="仿宋" w:hAnsi="仿宋" w:eastAsia="仿宋" w:cs="仿宋"/>
          <w:color w:val="auto"/>
          <w:highlight w:val="none"/>
          <w:u w:val="single"/>
        </w:rPr>
        <w:t>12:00</w:t>
      </w:r>
      <w:r>
        <w:rPr>
          <w:rFonts w:hint="eastAsia" w:ascii="仿宋" w:hAnsi="仿宋" w:eastAsia="仿宋" w:cs="仿宋"/>
          <w:color w:val="auto"/>
          <w:highlight w:val="none"/>
        </w:rPr>
        <w:t>至</w:t>
      </w:r>
      <w:r>
        <w:rPr>
          <w:rFonts w:hint="eastAsia" w:ascii="仿宋" w:hAnsi="仿宋" w:eastAsia="仿宋" w:cs="仿宋"/>
          <w:color w:val="auto"/>
          <w:highlight w:val="none"/>
          <w:u w:val="single"/>
        </w:rPr>
        <w:t>23:59</w:t>
      </w:r>
      <w:r>
        <w:rPr>
          <w:rFonts w:hint="eastAsia" w:ascii="仿宋" w:hAnsi="仿宋" w:eastAsia="仿宋" w:cs="仿宋"/>
          <w:color w:val="auto"/>
          <w:highlight w:val="none"/>
        </w:rPr>
        <w:t>（北京时间，线上获取法定节假日均可，线下获取文件法定节假日除外）</w:t>
      </w:r>
    </w:p>
    <w:p w14:paraId="4616CE31">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地点（网址）：乐采云平台（www.lecaiyun.com）</w:t>
      </w:r>
    </w:p>
    <w:p w14:paraId="7708110F">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方式：</w:t>
      </w:r>
      <w:r>
        <w:rPr>
          <w:rStyle w:val="53"/>
          <w:rFonts w:hint="eastAsia" w:ascii="仿宋" w:hAnsi="仿宋" w:eastAsia="仿宋" w:cs="仿宋"/>
          <w:b w:val="0"/>
          <w:color w:val="auto"/>
          <w:highlight w:val="none"/>
        </w:rPr>
        <w:t>潜在供应商登录乐采云平台，在线申请获取招标文件（进入“项目采购”应用，在获取招标文件菜单中选择项目，申请获取招标文件）。仅需浏览招标文件的供应商可点击“游客，浏览招标文件”直接下载招标文件浏览。招标文件发布截止时间之后有潜在供应商提出要求获取招标文件的，允许获取。</w:t>
      </w:r>
    </w:p>
    <w:p w14:paraId="2ECF62A5">
      <w:pPr>
        <w:pStyle w:val="44"/>
        <w:keepNext w:val="0"/>
        <w:keepLines w:val="0"/>
        <w:pageBreakBefore w:val="0"/>
        <w:widowControl/>
        <w:kinsoku/>
        <w:wordWrap/>
        <w:overflowPunct/>
        <w:topLinePunct w:val="0"/>
        <w:autoSpaceDE/>
        <w:autoSpaceDN/>
        <w:bidi w:val="0"/>
        <w:adjustRightInd/>
        <w:snapToGrid/>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售价（元）：0元。</w:t>
      </w:r>
    </w:p>
    <w:p w14:paraId="473F0DB0">
      <w:pPr>
        <w:pStyle w:val="3"/>
        <w:pageBreakBefore w:val="0"/>
        <w:kinsoku/>
        <w:wordWrap/>
        <w:overflowPunct/>
        <w:topLinePunct w:val="0"/>
        <w:bidi w:val="0"/>
        <w:spacing w:before="0" w:after="0" w:line="420" w:lineRule="exact"/>
        <w:textAlignment w:val="auto"/>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四、提交投标文件截止时间、开标时间和地点</w:t>
      </w:r>
    </w:p>
    <w:p w14:paraId="4F95C923">
      <w:pPr>
        <w:pStyle w:val="44"/>
        <w:pageBreakBefore w:val="0"/>
        <w:kinsoku/>
        <w:wordWrap/>
        <w:overflowPunct/>
        <w:topLinePunct w:val="0"/>
        <w:bidi w:val="0"/>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提交投标文件截止时间：</w:t>
      </w:r>
      <w:r>
        <w:rPr>
          <w:rFonts w:hint="eastAsia" w:ascii="仿宋" w:hAnsi="仿宋" w:eastAsia="仿宋" w:cs="仿宋"/>
          <w:color w:val="auto"/>
          <w:highlight w:val="none"/>
          <w:u w:val="single"/>
        </w:rPr>
        <w:t>202</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rPr>
        <w:t>年</w:t>
      </w:r>
      <w:r>
        <w:rPr>
          <w:rFonts w:hint="eastAsia" w:ascii="仿宋" w:hAnsi="仿宋" w:eastAsia="仿宋" w:cs="仿宋"/>
          <w:color w:val="auto"/>
          <w:highlight w:val="none"/>
          <w:u w:val="single"/>
          <w:lang w:val="en-US" w:eastAsia="zh-CN"/>
        </w:rPr>
        <w:t>11</w:t>
      </w:r>
      <w:r>
        <w:rPr>
          <w:rFonts w:hint="eastAsia" w:ascii="仿宋" w:hAnsi="仿宋" w:eastAsia="仿宋" w:cs="仿宋"/>
          <w:color w:val="auto"/>
          <w:highlight w:val="none"/>
          <w:u w:val="single"/>
        </w:rPr>
        <w:t>月</w:t>
      </w:r>
      <w:r>
        <w:rPr>
          <w:rFonts w:hint="eastAsia" w:ascii="仿宋" w:hAnsi="仿宋" w:eastAsia="仿宋" w:cs="仿宋"/>
          <w:color w:val="auto"/>
          <w:highlight w:val="none"/>
          <w:u w:val="single"/>
          <w:lang w:val="en-US" w:eastAsia="zh-CN"/>
        </w:rPr>
        <w:t>21</w:t>
      </w:r>
      <w:r>
        <w:rPr>
          <w:rFonts w:hint="eastAsia" w:ascii="仿宋" w:hAnsi="仿宋" w:eastAsia="仿宋" w:cs="仿宋"/>
          <w:color w:val="auto"/>
          <w:highlight w:val="none"/>
          <w:u w:val="single"/>
        </w:rPr>
        <w:t>日</w:t>
      </w:r>
      <w:r>
        <w:rPr>
          <w:rFonts w:hint="eastAsia" w:ascii="仿宋" w:hAnsi="仿宋" w:eastAsia="仿宋" w:cs="仿宋"/>
          <w:color w:val="auto"/>
          <w:highlight w:val="none"/>
          <w:u w:val="single"/>
          <w:lang w:val="en-US" w:eastAsia="zh-CN"/>
        </w:rPr>
        <w:t>09</w:t>
      </w:r>
      <w:r>
        <w:rPr>
          <w:rFonts w:hint="eastAsia" w:ascii="仿宋" w:hAnsi="仿宋" w:eastAsia="仿宋" w:cs="仿宋"/>
          <w:color w:val="auto"/>
          <w:highlight w:val="none"/>
          <w:u w:val="single"/>
        </w:rPr>
        <w:t>点</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rPr>
        <w:t>分</w:t>
      </w:r>
      <w:r>
        <w:rPr>
          <w:rFonts w:hint="eastAsia" w:ascii="仿宋" w:hAnsi="仿宋" w:eastAsia="仿宋" w:cs="仿宋"/>
          <w:color w:val="auto"/>
          <w:highlight w:val="none"/>
        </w:rPr>
        <w:t>（北京时间）</w:t>
      </w:r>
    </w:p>
    <w:p w14:paraId="61C7B51A">
      <w:pPr>
        <w:pStyle w:val="44"/>
        <w:pageBreakBefore w:val="0"/>
        <w:kinsoku/>
        <w:wordWrap/>
        <w:overflowPunct/>
        <w:topLinePunct w:val="0"/>
        <w:bidi w:val="0"/>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投标地点（网址）：政府采购云平台（https://www.zcygov.cn/）</w:t>
      </w:r>
    </w:p>
    <w:p w14:paraId="520EBAEF">
      <w:pPr>
        <w:pStyle w:val="44"/>
        <w:pageBreakBefore w:val="0"/>
        <w:kinsoku/>
        <w:wordWrap/>
        <w:overflowPunct/>
        <w:topLinePunct w:val="0"/>
        <w:bidi w:val="0"/>
        <w:spacing w:before="0" w:beforeAutospacing="0" w:after="0" w:afterAutospacing="0" w:line="42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开标时间：</w:t>
      </w:r>
      <w:r>
        <w:rPr>
          <w:rFonts w:hint="eastAsia" w:ascii="仿宋" w:hAnsi="仿宋" w:eastAsia="仿宋" w:cs="仿宋"/>
          <w:color w:val="auto"/>
          <w:highlight w:val="none"/>
          <w:u w:val="single"/>
        </w:rPr>
        <w:t>202</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rPr>
        <w:t>年</w:t>
      </w:r>
      <w:r>
        <w:rPr>
          <w:rFonts w:hint="eastAsia" w:ascii="仿宋" w:hAnsi="仿宋" w:eastAsia="仿宋" w:cs="仿宋"/>
          <w:color w:val="auto"/>
          <w:highlight w:val="none"/>
          <w:u w:val="single"/>
          <w:lang w:val="en-US" w:eastAsia="zh-CN"/>
        </w:rPr>
        <w:t>11</w:t>
      </w:r>
      <w:r>
        <w:rPr>
          <w:rFonts w:hint="eastAsia" w:ascii="仿宋" w:hAnsi="仿宋" w:eastAsia="仿宋" w:cs="仿宋"/>
          <w:color w:val="auto"/>
          <w:highlight w:val="none"/>
          <w:u w:val="single"/>
        </w:rPr>
        <w:t>月</w:t>
      </w:r>
      <w:r>
        <w:rPr>
          <w:rFonts w:hint="eastAsia" w:ascii="仿宋" w:hAnsi="仿宋" w:eastAsia="仿宋" w:cs="仿宋"/>
          <w:color w:val="auto"/>
          <w:highlight w:val="none"/>
          <w:u w:val="single"/>
          <w:lang w:val="en-US" w:eastAsia="zh-CN"/>
        </w:rPr>
        <w:t>21</w:t>
      </w:r>
      <w:r>
        <w:rPr>
          <w:rFonts w:hint="eastAsia" w:ascii="仿宋" w:hAnsi="仿宋" w:eastAsia="仿宋" w:cs="仿宋"/>
          <w:color w:val="auto"/>
          <w:highlight w:val="none"/>
          <w:u w:val="single"/>
        </w:rPr>
        <w:t>日</w:t>
      </w:r>
      <w:r>
        <w:rPr>
          <w:rFonts w:hint="eastAsia" w:ascii="仿宋" w:hAnsi="仿宋" w:eastAsia="仿宋" w:cs="仿宋"/>
          <w:color w:val="auto"/>
          <w:highlight w:val="none"/>
          <w:u w:val="single"/>
          <w:lang w:val="en-US" w:eastAsia="zh-CN"/>
        </w:rPr>
        <w:t>09</w:t>
      </w:r>
      <w:r>
        <w:rPr>
          <w:rFonts w:hint="eastAsia" w:ascii="仿宋" w:hAnsi="仿宋" w:eastAsia="仿宋" w:cs="仿宋"/>
          <w:color w:val="auto"/>
          <w:highlight w:val="none"/>
          <w:u w:val="single"/>
        </w:rPr>
        <w:t>点</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rPr>
        <w:t>分</w:t>
      </w:r>
      <w:r>
        <w:rPr>
          <w:rFonts w:hint="eastAsia" w:ascii="仿宋" w:hAnsi="仿宋" w:eastAsia="仿宋" w:cs="仿宋"/>
          <w:color w:val="auto"/>
          <w:highlight w:val="none"/>
        </w:rPr>
        <w:t>（北京时间）</w:t>
      </w:r>
    </w:p>
    <w:p w14:paraId="139BFF67">
      <w:pPr>
        <w:pStyle w:val="44"/>
        <w:pageBreakBefore w:val="0"/>
        <w:kinsoku/>
        <w:wordWrap/>
        <w:overflowPunct/>
        <w:topLinePunct w:val="0"/>
        <w:bidi w:val="0"/>
        <w:spacing w:before="0" w:beforeAutospacing="0" w:after="0" w:afterAutospacing="0" w:line="420" w:lineRule="exact"/>
        <w:ind w:firstLine="480" w:firstLineChars="200"/>
        <w:textAlignment w:val="auto"/>
        <w:rPr>
          <w:rStyle w:val="53"/>
          <w:rFonts w:hint="eastAsia" w:ascii="仿宋" w:hAnsi="仿宋" w:eastAsia="仿宋" w:cs="仿宋"/>
          <w:b w:val="0"/>
          <w:color w:val="auto"/>
          <w:highlight w:val="none"/>
          <w:shd w:val="clear" w:color="auto" w:fill="FFFFFF"/>
        </w:rPr>
      </w:pPr>
      <w:r>
        <w:rPr>
          <w:rFonts w:hint="eastAsia" w:ascii="仿宋" w:hAnsi="仿宋" w:eastAsia="仿宋" w:cs="仿宋"/>
          <w:color w:val="auto"/>
          <w:highlight w:val="none"/>
        </w:rPr>
        <w:t>开标地点（网址）：</w:t>
      </w:r>
      <w:r>
        <w:rPr>
          <w:rStyle w:val="53"/>
          <w:rFonts w:hint="eastAsia" w:ascii="仿宋" w:hAnsi="仿宋" w:eastAsia="仿宋" w:cs="仿宋"/>
          <w:b w:val="0"/>
          <w:color w:val="auto"/>
          <w:highlight w:val="none"/>
          <w:shd w:val="clear" w:color="auto" w:fill="FFFFFF"/>
        </w:rPr>
        <w:t>诸暨市宸佳工程管理有限公司</w:t>
      </w:r>
      <w:r>
        <w:rPr>
          <w:rStyle w:val="53"/>
          <w:rFonts w:hint="eastAsia" w:ascii="仿宋" w:hAnsi="仿宋" w:eastAsia="仿宋" w:cs="仿宋"/>
          <w:b w:val="0"/>
          <w:color w:val="auto"/>
          <w:highlight w:val="none"/>
          <w:shd w:val="clear" w:color="auto" w:fill="FFFFFF"/>
          <w:lang w:val="en-US" w:eastAsia="zh-CN"/>
        </w:rPr>
        <w:t>二</w:t>
      </w:r>
      <w:r>
        <w:rPr>
          <w:rStyle w:val="53"/>
          <w:rFonts w:hint="eastAsia" w:ascii="仿宋" w:hAnsi="仿宋" w:eastAsia="仿宋" w:cs="仿宋"/>
          <w:b w:val="0"/>
          <w:color w:val="auto"/>
          <w:highlight w:val="none"/>
          <w:shd w:val="clear" w:color="auto" w:fill="FFFFFF"/>
        </w:rPr>
        <w:t>楼评标室诸暨市暨阳街道苎萝东路218号</w:t>
      </w:r>
      <w:bookmarkStart w:id="9" w:name="_GoBack"/>
      <w:bookmarkEnd w:id="9"/>
      <w:r>
        <w:rPr>
          <w:rStyle w:val="53"/>
          <w:rFonts w:hint="eastAsia" w:ascii="仿宋" w:hAnsi="仿宋" w:eastAsia="仿宋" w:cs="仿宋"/>
          <w:b w:val="0"/>
          <w:color w:val="auto"/>
          <w:highlight w:val="none"/>
          <w:shd w:val="clear" w:color="auto" w:fill="FFFFFF"/>
          <w:lang w:eastAsia="zh-CN"/>
        </w:rPr>
        <w:t>（</w:t>
      </w:r>
      <w:r>
        <w:rPr>
          <w:rStyle w:val="53"/>
          <w:rFonts w:hint="eastAsia" w:ascii="仿宋" w:hAnsi="仿宋" w:eastAsia="仿宋" w:cs="仿宋"/>
          <w:b w:val="0"/>
          <w:color w:val="auto"/>
          <w:highlight w:val="none"/>
          <w:shd w:val="clear" w:color="auto" w:fill="FFFFFF"/>
        </w:rPr>
        <w:t>本项目通过“</w:t>
      </w:r>
      <w:r>
        <w:rPr>
          <w:rFonts w:hint="eastAsia" w:ascii="仿宋" w:hAnsi="仿宋" w:eastAsia="仿宋" w:cs="仿宋"/>
          <w:color w:val="auto"/>
          <w:highlight w:val="none"/>
        </w:rPr>
        <w:t>乐采云平台（www.lecaiyun.com）</w:t>
      </w:r>
      <w:r>
        <w:rPr>
          <w:rStyle w:val="53"/>
          <w:rFonts w:hint="eastAsia" w:ascii="仿宋" w:hAnsi="仿宋" w:eastAsia="仿宋" w:cs="仿宋"/>
          <w:b w:val="0"/>
          <w:color w:val="auto"/>
          <w:highlight w:val="none"/>
          <w:shd w:val="clear" w:color="auto" w:fill="FFFFFF"/>
        </w:rPr>
        <w:t>”实行在线开标。</w:t>
      </w:r>
    </w:p>
    <w:p w14:paraId="26715B1D">
      <w:pPr>
        <w:pStyle w:val="3"/>
        <w:pageBreakBefore w:val="0"/>
        <w:kinsoku/>
        <w:wordWrap/>
        <w:overflowPunct/>
        <w:topLinePunct w:val="0"/>
        <w:bidi w:val="0"/>
        <w:spacing w:before="0" w:after="0" w:line="420" w:lineRule="exact"/>
        <w:textAlignment w:val="auto"/>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五、公告期限</w:t>
      </w:r>
    </w:p>
    <w:p w14:paraId="1A3BE47A">
      <w:pPr>
        <w:pStyle w:val="44"/>
        <w:pageBreakBefore w:val="0"/>
        <w:kinsoku/>
        <w:wordWrap/>
        <w:overflowPunct/>
        <w:topLinePunct w:val="0"/>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自本公告发布之日起5个工作日。</w:t>
      </w:r>
    </w:p>
    <w:p w14:paraId="2FFA744E">
      <w:pPr>
        <w:pStyle w:val="3"/>
        <w:pageBreakBefore w:val="0"/>
        <w:kinsoku/>
        <w:wordWrap/>
        <w:overflowPunct/>
        <w:topLinePunct w:val="0"/>
        <w:bidi w:val="0"/>
        <w:spacing w:before="0" w:after="0" w:line="420" w:lineRule="exact"/>
        <w:textAlignment w:val="auto"/>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六、其他补充事宜</w:t>
      </w:r>
    </w:p>
    <w:p w14:paraId="2A7E5357">
      <w:pPr>
        <w:pageBreakBefore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1、投标人应在开标截止时间10天前以书面形式向采购代理机构提出质疑，逾期提出的，采购代理机构不予受理、答复。采购代理机构与采购人研究后，对认为有必要回答的问题，</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将在开标前将答疑内容以网上发布公告的形式通知所有投标人，投标人自行在网上查阅、下载答疑回复答疑内容是招标文件的组成部分。</w:t>
      </w:r>
    </w:p>
    <w:p w14:paraId="04EB4317">
      <w:pPr>
        <w:pageBreakBefore w:val="0"/>
        <w:kinsoku/>
        <w:wordWrap/>
        <w:overflowPunct/>
        <w:topLinePunct w:val="0"/>
        <w:autoSpaceDE/>
        <w:autoSpaceDN/>
        <w:bidi w:val="0"/>
        <w:spacing w:line="42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2、其他事项</w:t>
      </w:r>
      <w:r>
        <w:rPr>
          <w:rFonts w:hint="eastAsia" w:ascii="仿宋" w:hAnsi="仿宋" w:eastAsia="仿宋" w:cs="仿宋"/>
          <w:b/>
          <w:bCs/>
          <w:color w:val="auto"/>
          <w:kern w:val="2"/>
          <w:sz w:val="24"/>
          <w:szCs w:val="24"/>
          <w:highlight w:val="none"/>
        </w:rPr>
        <w:t>：详见</w:t>
      </w:r>
      <w:r>
        <w:rPr>
          <w:rFonts w:hint="eastAsia" w:ascii="仿宋" w:hAnsi="仿宋" w:eastAsia="仿宋" w:cs="仿宋"/>
          <w:b/>
          <w:bCs/>
          <w:color w:val="auto"/>
          <w:sz w:val="24"/>
          <w:highlight w:val="none"/>
        </w:rPr>
        <w:t>招标文件。</w:t>
      </w:r>
    </w:p>
    <w:p w14:paraId="6C031555">
      <w:pPr>
        <w:pageBreakBefore w:val="0"/>
        <w:kinsoku/>
        <w:wordWrap/>
        <w:overflowPunct/>
        <w:topLinePunct w:val="0"/>
        <w:autoSpaceDE/>
        <w:autoSpaceDN/>
        <w:bidi w:val="0"/>
        <w:spacing w:line="420" w:lineRule="exact"/>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七、投标保证金</w:t>
      </w:r>
    </w:p>
    <w:p w14:paraId="064E7DB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1、投标保证金。</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3578"/>
        <w:gridCol w:w="3179"/>
      </w:tblGrid>
      <w:tr w14:paraId="03C9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2" w:type="dxa"/>
            <w:noWrap w:val="0"/>
            <w:vAlign w:val="center"/>
          </w:tcPr>
          <w:p w14:paraId="11352C01">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w:t>
            </w:r>
          </w:p>
        </w:tc>
        <w:tc>
          <w:tcPr>
            <w:tcW w:w="3578" w:type="dxa"/>
            <w:noWrap w:val="0"/>
            <w:vAlign w:val="center"/>
          </w:tcPr>
          <w:p w14:paraId="1E3C67D2">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标项内容</w:t>
            </w:r>
          </w:p>
        </w:tc>
        <w:tc>
          <w:tcPr>
            <w:tcW w:w="3179" w:type="dxa"/>
            <w:noWrap w:val="0"/>
            <w:vAlign w:val="center"/>
          </w:tcPr>
          <w:p w14:paraId="7C118C9B">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投标保证金金额（元）</w:t>
            </w:r>
          </w:p>
        </w:tc>
      </w:tr>
      <w:tr w14:paraId="1C4C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3C53F4AA">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标项1</w:t>
            </w:r>
          </w:p>
        </w:tc>
        <w:tc>
          <w:tcPr>
            <w:tcW w:w="3578" w:type="dxa"/>
            <w:noWrap w:val="0"/>
            <w:vAlign w:val="center"/>
          </w:tcPr>
          <w:p w14:paraId="69C5BD28">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日杂百货</w:t>
            </w:r>
          </w:p>
        </w:tc>
        <w:tc>
          <w:tcPr>
            <w:tcW w:w="3179" w:type="dxa"/>
            <w:noWrap w:val="0"/>
            <w:vAlign w:val="center"/>
          </w:tcPr>
          <w:p w14:paraId="5E855B8A">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31000</w:t>
            </w:r>
          </w:p>
        </w:tc>
      </w:tr>
      <w:tr w14:paraId="7457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62D23250">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标项2</w:t>
            </w:r>
          </w:p>
        </w:tc>
        <w:tc>
          <w:tcPr>
            <w:tcW w:w="3578" w:type="dxa"/>
            <w:noWrap w:val="0"/>
            <w:vAlign w:val="center"/>
          </w:tcPr>
          <w:p w14:paraId="42787A43">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垃圾收集专用物资</w:t>
            </w:r>
          </w:p>
        </w:tc>
        <w:tc>
          <w:tcPr>
            <w:tcW w:w="3179" w:type="dxa"/>
            <w:noWrap w:val="0"/>
            <w:vAlign w:val="center"/>
          </w:tcPr>
          <w:p w14:paraId="56771322">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34000</w:t>
            </w:r>
          </w:p>
        </w:tc>
      </w:tr>
      <w:tr w14:paraId="530B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244FA2C7">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标项3</w:t>
            </w:r>
          </w:p>
        </w:tc>
        <w:tc>
          <w:tcPr>
            <w:tcW w:w="3578" w:type="dxa"/>
            <w:noWrap w:val="0"/>
            <w:vAlign w:val="center"/>
          </w:tcPr>
          <w:p w14:paraId="7C67D08E">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填埋场专用物资</w:t>
            </w:r>
          </w:p>
        </w:tc>
        <w:tc>
          <w:tcPr>
            <w:tcW w:w="3179" w:type="dxa"/>
            <w:noWrap w:val="0"/>
            <w:vAlign w:val="center"/>
          </w:tcPr>
          <w:p w14:paraId="10632BA7">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12000</w:t>
            </w:r>
          </w:p>
        </w:tc>
      </w:tr>
      <w:tr w14:paraId="2CD1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02" w:type="dxa"/>
            <w:noWrap w:val="0"/>
            <w:vAlign w:val="center"/>
          </w:tcPr>
          <w:p w14:paraId="61EBB7D8">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标项4</w:t>
            </w:r>
          </w:p>
        </w:tc>
        <w:tc>
          <w:tcPr>
            <w:tcW w:w="3578" w:type="dxa"/>
            <w:noWrap w:val="0"/>
            <w:vAlign w:val="center"/>
          </w:tcPr>
          <w:p w14:paraId="17259B6B">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除臭专用物资</w:t>
            </w:r>
          </w:p>
        </w:tc>
        <w:tc>
          <w:tcPr>
            <w:tcW w:w="3179" w:type="dxa"/>
            <w:noWrap w:val="0"/>
            <w:vAlign w:val="center"/>
          </w:tcPr>
          <w:p w14:paraId="1319306C">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20000</w:t>
            </w:r>
          </w:p>
        </w:tc>
      </w:tr>
      <w:tr w14:paraId="1082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602" w:type="dxa"/>
            <w:noWrap w:val="0"/>
            <w:vAlign w:val="center"/>
          </w:tcPr>
          <w:p w14:paraId="39C96198">
            <w:pPr>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eastAsia"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标项5</w:t>
            </w:r>
          </w:p>
        </w:tc>
        <w:tc>
          <w:tcPr>
            <w:tcW w:w="3578" w:type="dxa"/>
            <w:noWrap w:val="0"/>
            <w:vAlign w:val="center"/>
          </w:tcPr>
          <w:p w14:paraId="4A07768C">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维修专用物资</w:t>
            </w:r>
          </w:p>
        </w:tc>
        <w:tc>
          <w:tcPr>
            <w:tcW w:w="3179" w:type="dxa"/>
            <w:noWrap w:val="0"/>
            <w:vAlign w:val="center"/>
          </w:tcPr>
          <w:p w14:paraId="04CF6A93">
            <w:pPr>
              <w:pStyle w:val="20"/>
              <w:keepNext w:val="0"/>
              <w:keepLines w:val="0"/>
              <w:pageBreakBefore w:val="0"/>
              <w:widowControl w:val="0"/>
              <w:kinsoku/>
              <w:wordWrap/>
              <w:overflowPunct/>
              <w:topLinePunct w:val="0"/>
              <w:autoSpaceDE/>
              <w:autoSpaceDN/>
              <w:bidi w:val="0"/>
              <w:spacing w:after="0" w:afterLines="0" w:line="400" w:lineRule="exact"/>
              <w:jc w:val="center"/>
              <w:textAlignment w:val="auto"/>
              <w:rPr>
                <w:rFonts w:hint="default" w:ascii="仿宋" w:hAnsi="仿宋" w:eastAsia="仿宋" w:cs="仿宋"/>
                <w:color w:val="auto"/>
                <w:sz w:val="24"/>
                <w:szCs w:val="32"/>
                <w:highlight w:val="none"/>
                <w:vertAlign w:val="baseline"/>
                <w:lang w:val="en-US" w:eastAsia="zh-CN"/>
              </w:rPr>
            </w:pPr>
            <w:r>
              <w:rPr>
                <w:rFonts w:hint="eastAsia" w:ascii="仿宋" w:hAnsi="仿宋" w:eastAsia="仿宋" w:cs="仿宋"/>
                <w:color w:val="auto"/>
                <w:sz w:val="24"/>
                <w:szCs w:val="32"/>
                <w:highlight w:val="none"/>
                <w:vertAlign w:val="baseline"/>
                <w:lang w:val="en-US" w:eastAsia="zh-CN"/>
              </w:rPr>
              <w:t>8000</w:t>
            </w:r>
          </w:p>
        </w:tc>
      </w:tr>
    </w:tbl>
    <w:p w14:paraId="091C45B5">
      <w:pPr>
        <w:pageBreakBefore w:val="0"/>
        <w:kinsoku/>
        <w:wordWrap/>
        <w:overflowPunct/>
        <w:topLinePunct w:val="0"/>
        <w:autoSpaceDE/>
        <w:autoSpaceDN/>
        <w:bidi w:val="0"/>
        <w:spacing w:line="420" w:lineRule="exact"/>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提交方式：投标保证金应当以电汇、转账等非现金形式提交，但必须以投标人单位名义汇款（不接受个人、分支机构、办事处、子公司或从他人账户汇款或存款方式），以2024年11月21日09:30前到账为准，未按上述规定提交投标保证金的，其投标无效。</w:t>
      </w:r>
    </w:p>
    <w:p w14:paraId="0CC8FAF5">
      <w:pPr>
        <w:pageBreakBefore w:val="0"/>
        <w:kinsoku/>
        <w:wordWrap/>
        <w:overflowPunct/>
        <w:topLinePunct w:val="0"/>
        <w:autoSpaceDE/>
        <w:autoSpaceDN/>
        <w:bidi w:val="0"/>
        <w:spacing w:line="420" w:lineRule="exact"/>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缴纳户名：诸暨市宸佳工程管理有限公司</w:t>
      </w:r>
    </w:p>
    <w:p w14:paraId="76171E88">
      <w:pPr>
        <w:pageBreakBefore w:val="0"/>
        <w:kinsoku/>
        <w:wordWrap/>
        <w:overflowPunct/>
        <w:topLinePunct w:val="0"/>
        <w:autoSpaceDE/>
        <w:autoSpaceDN/>
        <w:bidi w:val="0"/>
        <w:spacing w:line="420" w:lineRule="exact"/>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开户行：诸暨农村商业银行股份有限公司暨阳支行</w:t>
      </w:r>
    </w:p>
    <w:p w14:paraId="3174EAFD">
      <w:pPr>
        <w:pageBreakBefore w:val="0"/>
        <w:kinsoku/>
        <w:wordWrap/>
        <w:overflowPunct/>
        <w:topLinePunct w:val="0"/>
        <w:autoSpaceDE/>
        <w:autoSpaceDN/>
        <w:bidi w:val="0"/>
        <w:spacing w:line="420" w:lineRule="exact"/>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账号：201000274056269</w:t>
      </w:r>
    </w:p>
    <w:p w14:paraId="45A068BE">
      <w:pPr>
        <w:pageBreakBefore w:val="0"/>
        <w:kinsoku/>
        <w:wordWrap/>
        <w:overflowPunct/>
        <w:topLinePunct w:val="0"/>
        <w:autoSpaceDE/>
        <w:autoSpaceDN/>
        <w:bidi w:val="0"/>
        <w:spacing w:line="420" w:lineRule="exact"/>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款项用途：注明所投标项名称的投标保证金，投标文件中须提供投标保证金缴纳凭证。</w:t>
      </w:r>
    </w:p>
    <w:p w14:paraId="2B4671F5">
      <w:pPr>
        <w:pageBreakBefore w:val="0"/>
        <w:kinsoku/>
        <w:wordWrap/>
        <w:overflowPunct/>
        <w:topLinePunct w:val="0"/>
        <w:autoSpaceDE/>
        <w:autoSpaceDN/>
        <w:bidi w:val="0"/>
        <w:spacing w:line="420" w:lineRule="exact"/>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3、投标保证金的退还：未中标人的投标保证金，自《中标通知书》发出之日起5个工作日内无息退还。中标人的投标保证金，自中标人按招标文件规定签订合同之日起5个工作日内无息退还。</w:t>
      </w:r>
    </w:p>
    <w:p w14:paraId="05B78E85">
      <w:pPr>
        <w:pageBreakBefore w:val="0"/>
        <w:kinsoku/>
        <w:wordWrap/>
        <w:overflowPunct/>
        <w:topLinePunct w:val="0"/>
        <w:autoSpaceDE/>
        <w:autoSpaceDN/>
        <w:bidi w:val="0"/>
        <w:spacing w:line="420" w:lineRule="exac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八、其他注意事项</w:t>
      </w:r>
    </w:p>
    <w:p w14:paraId="4797C3B8">
      <w:pPr>
        <w:pageBreakBefore w:val="0"/>
        <w:kinsoku/>
        <w:wordWrap/>
        <w:overflowPunct/>
        <w:topLinePunct w:val="0"/>
        <w:autoSpaceDE/>
        <w:autoSpaceDN/>
        <w:bidi w:val="0"/>
        <w:spacing w:line="420" w:lineRule="exact"/>
        <w:ind w:firstLine="482" w:firstLineChars="200"/>
        <w:textAlignment w:val="auto"/>
        <w:rPr>
          <w:rFonts w:hint="eastAsia" w:ascii="仿宋" w:hAnsi="仿宋" w:eastAsia="仿宋" w:cs="仿宋"/>
          <w:color w:val="auto"/>
          <w:sz w:val="24"/>
          <w:szCs w:val="32"/>
          <w:highlight w:val="none"/>
        </w:rPr>
      </w:pPr>
      <w:r>
        <w:rPr>
          <w:rFonts w:hint="eastAsia" w:ascii="仿宋" w:hAnsi="仿宋" w:eastAsia="仿宋" w:cs="仿宋"/>
          <w:b/>
          <w:bCs/>
          <w:color w:val="auto"/>
          <w:sz w:val="24"/>
          <w:highlight w:val="none"/>
        </w:rPr>
        <w:t>投标人应于开标时间前按照电子投标要求将电子加密标书上传到“</w:t>
      </w:r>
      <w:r>
        <w:rPr>
          <w:rFonts w:hint="eastAsia" w:ascii="仿宋" w:hAnsi="仿宋" w:eastAsia="仿宋" w:cs="仿宋"/>
          <w:b/>
          <w:bCs/>
          <w:color w:val="auto"/>
          <w:sz w:val="24"/>
          <w:highlight w:val="none"/>
          <w:lang w:val="en-US" w:eastAsia="zh-CN"/>
        </w:rPr>
        <w:t>乐</w:t>
      </w:r>
      <w:r>
        <w:rPr>
          <w:rFonts w:hint="eastAsia" w:ascii="仿宋" w:hAnsi="仿宋" w:eastAsia="仿宋" w:cs="仿宋"/>
          <w:b/>
          <w:bCs/>
          <w:color w:val="auto"/>
          <w:sz w:val="24"/>
          <w:highlight w:val="none"/>
        </w:rPr>
        <w:t>采云”平台，逾期或未上传成功的将导致无法投标或投标无效。</w:t>
      </w:r>
      <w:r>
        <w:rPr>
          <w:rFonts w:hint="eastAsia" w:ascii="仿宋" w:hAnsi="仿宋" w:eastAsia="仿宋" w:cs="仿宋"/>
          <w:color w:val="auto"/>
          <w:sz w:val="24"/>
          <w:szCs w:val="32"/>
          <w:highlight w:val="none"/>
        </w:rPr>
        <w:t>备注：为确保采购项目顺利实施，避免因</w:t>
      </w:r>
      <w:r>
        <w:rPr>
          <w:rFonts w:hint="eastAsia" w:ascii="仿宋" w:hAnsi="仿宋" w:eastAsia="仿宋" w:cs="仿宋"/>
          <w:color w:val="auto"/>
          <w:sz w:val="24"/>
          <w:szCs w:val="32"/>
          <w:highlight w:val="none"/>
          <w:lang w:eastAsia="zh-CN"/>
        </w:rPr>
        <w:t>乐采云</w:t>
      </w:r>
      <w:r>
        <w:rPr>
          <w:rFonts w:hint="eastAsia" w:ascii="仿宋" w:hAnsi="仿宋" w:eastAsia="仿宋" w:cs="仿宋"/>
          <w:color w:val="auto"/>
          <w:sz w:val="24"/>
          <w:szCs w:val="32"/>
          <w:highlight w:val="none"/>
        </w:rPr>
        <w:t>上电子投标文件解密失败导致投标方投标无效，投标方可在开标时间前将在</w:t>
      </w:r>
      <w:r>
        <w:rPr>
          <w:rFonts w:hint="eastAsia" w:ascii="仿宋" w:hAnsi="仿宋" w:eastAsia="仿宋" w:cs="仿宋"/>
          <w:color w:val="auto"/>
          <w:sz w:val="24"/>
          <w:szCs w:val="32"/>
          <w:highlight w:val="none"/>
          <w:lang w:eastAsia="zh-CN"/>
        </w:rPr>
        <w:t>乐采云</w:t>
      </w:r>
      <w:r>
        <w:rPr>
          <w:rFonts w:hint="eastAsia" w:ascii="仿宋" w:hAnsi="仿宋" w:eastAsia="仿宋" w:cs="仿宋"/>
          <w:color w:val="auto"/>
          <w:sz w:val="24"/>
          <w:szCs w:val="32"/>
          <w:highlight w:val="none"/>
        </w:rPr>
        <w:t>平台上最后生成的具备电子签章的备份加密投标文件（文件名后缀为备份文件四字的首字母）以电子邮件方式传送至诸暨市宸佳工程管理有限公司邮箱2028562254@qq.com，传送的备份电子投标文件需打包压缩并加密，加密密码由投标方自行保管，如</w:t>
      </w:r>
      <w:r>
        <w:rPr>
          <w:rFonts w:hint="eastAsia" w:ascii="仿宋" w:hAnsi="仿宋" w:eastAsia="仿宋" w:cs="仿宋"/>
          <w:color w:val="auto"/>
          <w:sz w:val="24"/>
          <w:szCs w:val="32"/>
          <w:highlight w:val="none"/>
          <w:lang w:eastAsia="zh-CN"/>
        </w:rPr>
        <w:t>乐采云</w:t>
      </w:r>
      <w:r>
        <w:rPr>
          <w:rFonts w:hint="eastAsia" w:ascii="仿宋" w:hAnsi="仿宋" w:eastAsia="仿宋" w:cs="仿宋"/>
          <w:color w:val="auto"/>
          <w:sz w:val="24"/>
          <w:szCs w:val="32"/>
          <w:highlight w:val="none"/>
        </w:rPr>
        <w:t>上电子投标文件出现解密失败情况（开标后30分钟内进行解密），投标方可按照自身意愿确认是否同意提供加密密码解密传送至诸暨市宸佳工程管理有限公司邮箱的备份文件，并以备份文件作为替代电子投标文件，如投标方未按照规定时间前按要求提供有效备份文件，同时</w:t>
      </w:r>
      <w:r>
        <w:rPr>
          <w:rFonts w:hint="eastAsia" w:ascii="仿宋" w:hAnsi="仿宋" w:eastAsia="仿宋" w:cs="仿宋"/>
          <w:color w:val="auto"/>
          <w:sz w:val="24"/>
          <w:szCs w:val="32"/>
          <w:highlight w:val="none"/>
          <w:lang w:eastAsia="zh-CN"/>
        </w:rPr>
        <w:t>乐采云</w:t>
      </w:r>
      <w:r>
        <w:rPr>
          <w:rFonts w:hint="eastAsia" w:ascii="仿宋" w:hAnsi="仿宋" w:eastAsia="仿宋" w:cs="仿宋"/>
          <w:color w:val="auto"/>
          <w:sz w:val="24"/>
          <w:szCs w:val="32"/>
          <w:highlight w:val="none"/>
        </w:rPr>
        <w:t>上投标文件解密失败的，将导致投标无效。</w:t>
      </w:r>
    </w:p>
    <w:p w14:paraId="1E7D2D6D">
      <w:pPr>
        <w:pStyle w:val="25"/>
        <w:pageBreakBefore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color w:val="auto"/>
          <w:kern w:val="0"/>
          <w:szCs w:val="24"/>
          <w:highlight w:val="none"/>
          <w:u w:val="single"/>
        </w:rPr>
      </w:pPr>
      <w:r>
        <w:rPr>
          <w:rFonts w:hint="eastAsia" w:ascii="仿宋" w:hAnsi="仿宋" w:eastAsia="仿宋" w:cs="仿宋"/>
          <w:b/>
          <w:color w:val="auto"/>
          <w:kern w:val="0"/>
          <w:szCs w:val="24"/>
          <w:highlight w:val="none"/>
          <w:u w:val="single"/>
        </w:rPr>
        <w:t>投标方无需在开标当天到达开标现场对电子投标进行解密，可在公司办公场地在规定时间内对电子投标文件进行解密。</w:t>
      </w:r>
    </w:p>
    <w:p w14:paraId="449BBF18">
      <w:pPr>
        <w:pStyle w:val="25"/>
        <w:pageBreakBefore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开标时间后30分钟内供应商可以登录“</w:t>
      </w:r>
      <w:r>
        <w:rPr>
          <w:rFonts w:hint="eastAsia" w:ascii="仿宋" w:hAnsi="仿宋" w:eastAsia="仿宋" w:cs="仿宋"/>
          <w:b/>
          <w:color w:val="auto"/>
          <w:szCs w:val="24"/>
          <w:highlight w:val="none"/>
          <w:lang w:eastAsia="zh-CN"/>
        </w:rPr>
        <w:t>乐采云</w:t>
      </w:r>
      <w:r>
        <w:rPr>
          <w:rFonts w:hint="eastAsia" w:ascii="仿宋" w:hAnsi="仿宋" w:eastAsia="仿宋" w:cs="仿宋"/>
          <w:b/>
          <w:color w:val="auto"/>
          <w:szCs w:val="24"/>
          <w:highlight w:val="none"/>
        </w:rPr>
        <w:t>”平台，用“项目采购-开标评标”功能进行解密投标文件。若供应商在规定时间内无法解密或解密失败，将导致投标无效或失败。投标人制作电子投标文件和解密投标文件的需为同一把CA。同时为保障项目开标的连贯性、减少电子投标的意外事件，制作电子投标人员与开标人员最好为同一人，预留同一手机号码。</w:t>
      </w:r>
    </w:p>
    <w:p w14:paraId="4483E660">
      <w:pPr>
        <w:pStyle w:val="3"/>
        <w:pageBreakBefore w:val="0"/>
        <w:kinsoku/>
        <w:wordWrap/>
        <w:overflowPunct/>
        <w:topLinePunct w:val="0"/>
        <w:autoSpaceDE/>
        <w:autoSpaceDN/>
        <w:bidi w:val="0"/>
        <w:spacing w:before="0" w:after="0" w:line="420" w:lineRule="exact"/>
        <w:textAlignment w:val="auto"/>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rPr>
        <w:t>九、业务咨询</w:t>
      </w:r>
    </w:p>
    <w:p w14:paraId="4F84941A">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1.采购人信息</w:t>
      </w:r>
    </w:p>
    <w:p w14:paraId="6BAE899F">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名 称：诸暨市环境卫生管理集团有限公司</w:t>
      </w:r>
    </w:p>
    <w:p w14:paraId="7696FBA7">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地 址：</w:t>
      </w:r>
      <w:r>
        <w:rPr>
          <w:rFonts w:hint="eastAsia" w:ascii="仿宋" w:hAnsi="仿宋" w:eastAsia="仿宋" w:cs="仿宋"/>
          <w:color w:val="auto"/>
          <w:highlight w:val="none"/>
          <w:lang w:val="en-US" w:eastAsia="zh-CN"/>
        </w:rPr>
        <w:t>诸暨市浣东街道高湖东路77号</w:t>
      </w:r>
    </w:p>
    <w:p w14:paraId="0B0E3B67">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项目联系人：</w:t>
      </w:r>
      <w:r>
        <w:rPr>
          <w:rFonts w:hint="eastAsia" w:ascii="仿宋" w:hAnsi="仿宋" w:eastAsia="仿宋" w:cs="仿宋"/>
          <w:color w:val="auto"/>
          <w:highlight w:val="none"/>
          <w:lang w:val="en-US" w:eastAsia="zh-CN"/>
        </w:rPr>
        <w:t>蒋科毅</w:t>
      </w:r>
    </w:p>
    <w:p w14:paraId="1606EFB2">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olor w:val="auto"/>
          <w:highlight w:val="none"/>
        </w:rPr>
      </w:pPr>
      <w:r>
        <w:rPr>
          <w:rFonts w:hint="eastAsia" w:ascii="仿宋" w:hAnsi="仿宋" w:eastAsia="仿宋" w:cs="仿宋"/>
          <w:color w:val="auto"/>
          <w:highlight w:val="none"/>
        </w:rPr>
        <w:t>项目联系方式：</w:t>
      </w:r>
      <w:r>
        <w:rPr>
          <w:rFonts w:hint="eastAsia" w:ascii="仿宋" w:hAnsi="仿宋" w:eastAsia="仿宋"/>
          <w:color w:val="auto"/>
          <w:highlight w:val="none"/>
        </w:rPr>
        <w:t>15068710722</w:t>
      </w:r>
    </w:p>
    <w:p w14:paraId="5291AED2">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2.采购代理机构信息</w:t>
      </w:r>
    </w:p>
    <w:p w14:paraId="72F9821E">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名 称：诸暨市宸佳工程管理有限公司</w:t>
      </w:r>
    </w:p>
    <w:p w14:paraId="331DE6CD">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地 址：诸暨市暨阳街道苎萝东路218号金悦华庭商铺232号</w:t>
      </w:r>
    </w:p>
    <w:p w14:paraId="7CD418AD">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rPr>
      </w:pPr>
      <w:r>
        <w:rPr>
          <w:rFonts w:hint="eastAsia" w:ascii="仿宋" w:hAnsi="仿宋" w:eastAsia="仿宋" w:cs="仿宋"/>
          <w:color w:val="auto"/>
          <w:highlight w:val="none"/>
        </w:rPr>
        <w:t>项目联系人：寿程佳</w:t>
      </w:r>
    </w:p>
    <w:p w14:paraId="2C4EF363">
      <w:pPr>
        <w:pStyle w:val="44"/>
        <w:pageBreakBefore w:val="0"/>
        <w:kinsoku/>
        <w:wordWrap/>
        <w:overflowPunct/>
        <w:topLinePunct w:val="0"/>
        <w:autoSpaceDE/>
        <w:autoSpaceDN/>
        <w:bidi w:val="0"/>
        <w:spacing w:before="0" w:beforeAutospacing="0" w:after="0" w:afterAutospacing="0" w:line="420" w:lineRule="exact"/>
        <w:ind w:firstLine="556"/>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rPr>
        <w:t>项目联系方式：13758513307</w:t>
      </w:r>
    </w:p>
    <w:p w14:paraId="542048C0">
      <w:pPr>
        <w:autoSpaceDE/>
        <w:autoSpaceDN/>
        <w:spacing w:line="420" w:lineRule="exact"/>
        <w:ind w:firstLine="420" w:firstLineChars="200"/>
        <w:rPr>
          <w:rFonts w:hint="eastAsia" w:ascii="仿宋" w:hAnsi="仿宋" w:eastAsia="仿宋" w:cs="仿宋"/>
          <w:color w:val="auto"/>
          <w:highlight w:val="none"/>
        </w:rPr>
      </w:pPr>
    </w:p>
    <w:p w14:paraId="022EF656">
      <w:pPr>
        <w:autoSpaceDE/>
        <w:autoSpaceDN/>
        <w:spacing w:line="420" w:lineRule="exact"/>
        <w:ind w:firstLine="420" w:firstLineChars="200"/>
        <w:rPr>
          <w:rFonts w:hint="eastAsia" w:ascii="仿宋" w:hAnsi="仿宋" w:eastAsia="仿宋" w:cs="仿宋"/>
          <w:color w:val="auto"/>
          <w:highlight w:val="none"/>
        </w:rPr>
      </w:pPr>
    </w:p>
    <w:p w14:paraId="289A4104">
      <w:pPr>
        <w:keepNext w:val="0"/>
        <w:keepLines w:val="0"/>
        <w:pageBreakBefore w:val="0"/>
        <w:widowControl w:val="0"/>
        <w:kinsoku/>
        <w:wordWrap/>
        <w:overflowPunct/>
        <w:topLinePunct w:val="0"/>
        <w:autoSpaceDE w:val="0"/>
        <w:autoSpaceDN w:val="0"/>
        <w:bidi w:val="0"/>
        <w:adjustRightInd w:val="0"/>
        <w:snapToGrid/>
        <w:spacing w:line="420" w:lineRule="exact"/>
        <w:ind w:firstLine="420" w:firstLineChars="200"/>
        <w:textAlignment w:val="auto"/>
        <w:rPr>
          <w:rFonts w:ascii="仿宋" w:hAnsi="仿宋" w:eastAsia="仿宋" w:cs="仿宋"/>
          <w:color w:val="auto"/>
          <w:highlight w:val="none"/>
        </w:rPr>
        <w:sectPr>
          <w:headerReference r:id="rId8" w:type="first"/>
          <w:footerReference r:id="rId11" w:type="first"/>
          <w:headerReference r:id="rId7" w:type="default"/>
          <w:footerReference r:id="rId9" w:type="default"/>
          <w:footerReference r:id="rId10" w:type="even"/>
          <w:pgSz w:w="11905" w:h="16838"/>
          <w:pgMar w:top="1440" w:right="1083" w:bottom="1440" w:left="1083" w:header="850" w:footer="964" w:gutter="0"/>
          <w:pgNumType w:fmt="decimal" w:start="1"/>
          <w:cols w:space="0" w:num="1"/>
          <w:titlePg/>
          <w:rtlGutter w:val="0"/>
          <w:docGrid w:type="lines" w:linePitch="315" w:charSpace="0"/>
        </w:sectPr>
      </w:pPr>
      <w:r>
        <w:rPr>
          <w:rFonts w:hint="eastAsia" w:ascii="仿宋" w:hAnsi="仿宋" w:eastAsia="仿宋" w:cs="仿宋"/>
          <w:color w:val="auto"/>
          <w:highlight w:val="none"/>
        </w:rPr>
        <w:t>若对项目采购电子交易系统操作有疑问，可登录乐采云平台（https://www.lecaiyun.com），点击右侧咨询小采，获取采小蜜智能服务管家帮助，或拨打乐采云服务热线95763获取热线服务帮助。CA问题联系电话（人工）：汇信CA 400-888-4636；天谷CA 400-087-8198。</w:t>
      </w:r>
    </w:p>
    <w:bookmarkEnd w:id="0"/>
    <w:p w14:paraId="325EE1F0">
      <w:pPr>
        <w:pStyle w:val="2"/>
        <w:keepNext/>
        <w:keepLines/>
        <w:pageBreakBefore w:val="0"/>
        <w:widowControl w:val="0"/>
        <w:kinsoku/>
        <w:wordWrap/>
        <w:overflowPunct/>
        <w:topLinePunct w:val="0"/>
        <w:autoSpaceDE w:val="0"/>
        <w:autoSpaceDN w:val="0"/>
        <w:bidi w:val="0"/>
        <w:adjustRightInd w:val="0"/>
        <w:snapToGrid/>
        <w:spacing w:before="120" w:after="120" w:line="420" w:lineRule="exact"/>
        <w:jc w:val="center"/>
        <w:textAlignment w:val="auto"/>
        <w:rPr>
          <w:rFonts w:ascii="华文中宋" w:hAnsi="华文中宋" w:eastAsia="华文中宋"/>
          <w:color w:val="auto"/>
          <w:sz w:val="36"/>
          <w:szCs w:val="36"/>
          <w:highlight w:val="none"/>
        </w:rPr>
      </w:pPr>
      <w:bookmarkStart w:id="2" w:name="_Toc125344503"/>
      <w:r>
        <w:rPr>
          <w:rFonts w:hint="eastAsia" w:ascii="华文中宋" w:hAnsi="华文中宋" w:eastAsia="华文中宋"/>
          <w:color w:val="auto"/>
          <w:sz w:val="36"/>
          <w:szCs w:val="36"/>
          <w:highlight w:val="none"/>
        </w:rPr>
        <w:t>第二章</w:t>
      </w:r>
      <w:r>
        <w:rPr>
          <w:rFonts w:hint="eastAsia" w:ascii="华文中宋" w:hAnsi="华文中宋" w:eastAsia="华文中宋"/>
          <w:color w:val="auto"/>
          <w:sz w:val="36"/>
          <w:szCs w:val="36"/>
          <w:highlight w:val="none"/>
          <w:lang w:val="en-US" w:eastAsia="zh-CN"/>
        </w:rPr>
        <w:t xml:space="preserve">  </w:t>
      </w:r>
      <w:r>
        <w:rPr>
          <w:rFonts w:hint="eastAsia" w:ascii="华文中宋" w:hAnsi="华文中宋" w:eastAsia="华文中宋"/>
          <w:color w:val="auto"/>
          <w:sz w:val="36"/>
          <w:szCs w:val="36"/>
          <w:highlight w:val="none"/>
        </w:rPr>
        <w:t>投标人须知</w:t>
      </w:r>
    </w:p>
    <w:p w14:paraId="57F52986">
      <w:pPr>
        <w:keepNext w:val="0"/>
        <w:keepLines w:val="0"/>
        <w:pageBreakBefore w:val="0"/>
        <w:widowControl w:val="0"/>
        <w:kinsoku/>
        <w:wordWrap w:val="0"/>
        <w:overflowPunct/>
        <w:topLinePunct/>
        <w:autoSpaceDE w:val="0"/>
        <w:autoSpaceDN w:val="0"/>
        <w:bidi w:val="0"/>
        <w:adjustRightInd w:val="0"/>
        <w:snapToGrid/>
        <w:spacing w:line="420" w:lineRule="exact"/>
        <w:jc w:val="center"/>
        <w:textAlignment w:val="auto"/>
        <w:rPr>
          <w:rFonts w:ascii="华文中宋" w:hAnsi="华文中宋" w:eastAsia="华文中宋"/>
          <w:b/>
          <w:bCs/>
          <w:color w:val="auto"/>
          <w:sz w:val="32"/>
          <w:szCs w:val="32"/>
          <w:highlight w:val="none"/>
        </w:rPr>
      </w:pPr>
      <w:r>
        <w:rPr>
          <w:rFonts w:hint="eastAsia" w:ascii="华文中宋" w:hAnsi="华文中宋" w:eastAsia="华文中宋"/>
          <w:b/>
          <w:bCs/>
          <w:color w:val="auto"/>
          <w:sz w:val="32"/>
          <w:szCs w:val="32"/>
          <w:highlight w:val="none"/>
        </w:rPr>
        <w:t>前  附  表</w:t>
      </w:r>
    </w:p>
    <w:tbl>
      <w:tblPr>
        <w:tblStyle w:val="50"/>
        <w:tblW w:w="100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747"/>
        <w:gridCol w:w="7618"/>
      </w:tblGrid>
      <w:tr w14:paraId="7E79B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blHeader/>
          <w:jc w:val="center"/>
        </w:trPr>
        <w:tc>
          <w:tcPr>
            <w:tcW w:w="704" w:type="dxa"/>
            <w:tcBorders>
              <w:top w:val="single" w:color="auto" w:sz="12" w:space="0"/>
              <w:bottom w:val="single" w:color="auto" w:sz="6" w:space="0"/>
            </w:tcBorders>
            <w:shd w:val="clear" w:color="auto" w:fill="DAEBFB"/>
            <w:vAlign w:val="center"/>
          </w:tcPr>
          <w:p w14:paraId="04E99A87">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序号</w:t>
            </w:r>
          </w:p>
        </w:tc>
        <w:tc>
          <w:tcPr>
            <w:tcW w:w="1747" w:type="dxa"/>
            <w:tcBorders>
              <w:top w:val="single" w:color="auto" w:sz="12" w:space="0"/>
              <w:bottom w:val="single" w:color="auto" w:sz="6" w:space="0"/>
            </w:tcBorders>
            <w:shd w:val="clear" w:color="auto" w:fill="DAEBFB"/>
            <w:vAlign w:val="center"/>
          </w:tcPr>
          <w:p w14:paraId="4F32E314">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内容</w:t>
            </w:r>
          </w:p>
        </w:tc>
        <w:tc>
          <w:tcPr>
            <w:tcW w:w="7618" w:type="dxa"/>
            <w:tcBorders>
              <w:top w:val="single" w:color="auto" w:sz="12" w:space="0"/>
              <w:bottom w:val="single" w:color="auto" w:sz="6" w:space="0"/>
            </w:tcBorders>
            <w:shd w:val="clear" w:color="auto" w:fill="DAEBFB"/>
            <w:vAlign w:val="center"/>
          </w:tcPr>
          <w:p w14:paraId="175CD85C">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本项目说明与特别规定</w:t>
            </w:r>
          </w:p>
        </w:tc>
      </w:tr>
      <w:tr w14:paraId="2DEBE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704" w:type="dxa"/>
            <w:tcBorders>
              <w:top w:val="single" w:color="auto" w:sz="6" w:space="0"/>
            </w:tcBorders>
            <w:vAlign w:val="center"/>
          </w:tcPr>
          <w:p w14:paraId="226E3E8D">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1</w:t>
            </w:r>
          </w:p>
        </w:tc>
        <w:tc>
          <w:tcPr>
            <w:tcW w:w="1747" w:type="dxa"/>
            <w:tcBorders>
              <w:top w:val="single" w:color="auto" w:sz="6" w:space="0"/>
            </w:tcBorders>
            <w:vAlign w:val="center"/>
          </w:tcPr>
          <w:p w14:paraId="4EF04E19">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项目名称</w:t>
            </w:r>
          </w:p>
        </w:tc>
        <w:tc>
          <w:tcPr>
            <w:tcW w:w="7618" w:type="dxa"/>
            <w:tcBorders>
              <w:top w:val="single" w:color="auto" w:sz="6" w:space="0"/>
            </w:tcBorders>
            <w:vAlign w:val="center"/>
          </w:tcPr>
          <w:p w14:paraId="08F593FE">
            <w:pPr>
              <w:keepNext w:val="0"/>
              <w:keepLines w:val="0"/>
              <w:pageBreakBefore w:val="0"/>
              <w:widowControl w:val="0"/>
              <w:kinsoku/>
              <w:wordWrap w:val="0"/>
              <w:overflowPunct/>
              <w:topLinePunct/>
              <w:bidi w:val="0"/>
              <w:snapToGrid/>
              <w:spacing w:line="360" w:lineRule="exact"/>
              <w:jc w:val="both"/>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诸暨市环境卫生管理集团有限公司2024-2025年度环卫作业生产物资采购项目</w:t>
            </w:r>
          </w:p>
        </w:tc>
      </w:tr>
      <w:tr w14:paraId="6CEB1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4" w:type="dxa"/>
            <w:vAlign w:val="center"/>
          </w:tcPr>
          <w:p w14:paraId="5E4F4417">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2</w:t>
            </w:r>
          </w:p>
        </w:tc>
        <w:tc>
          <w:tcPr>
            <w:tcW w:w="1747" w:type="dxa"/>
            <w:vAlign w:val="center"/>
          </w:tcPr>
          <w:p w14:paraId="10445C91">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采购方式</w:t>
            </w:r>
          </w:p>
        </w:tc>
        <w:tc>
          <w:tcPr>
            <w:tcW w:w="7618" w:type="dxa"/>
            <w:vAlign w:val="center"/>
          </w:tcPr>
          <w:p w14:paraId="4894A17B">
            <w:pPr>
              <w:keepNext w:val="0"/>
              <w:keepLines w:val="0"/>
              <w:pageBreakBefore w:val="0"/>
              <w:widowControl w:val="0"/>
              <w:kinsoku/>
              <w:wordWrap w:val="0"/>
              <w:overflowPunct/>
              <w:topLinePunct/>
              <w:bidi w:val="0"/>
              <w:snapToGrid/>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公开招标</w:t>
            </w:r>
          </w:p>
        </w:tc>
      </w:tr>
      <w:tr w14:paraId="48312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04" w:type="dxa"/>
            <w:vAlign w:val="center"/>
          </w:tcPr>
          <w:p w14:paraId="5E591D5E">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3</w:t>
            </w:r>
          </w:p>
        </w:tc>
        <w:tc>
          <w:tcPr>
            <w:tcW w:w="1747" w:type="dxa"/>
            <w:vAlign w:val="center"/>
          </w:tcPr>
          <w:p w14:paraId="16560622">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评标方法</w:t>
            </w:r>
          </w:p>
        </w:tc>
        <w:tc>
          <w:tcPr>
            <w:tcW w:w="7618" w:type="dxa"/>
            <w:vAlign w:val="center"/>
          </w:tcPr>
          <w:p w14:paraId="1C1C01CA">
            <w:pPr>
              <w:keepNext w:val="0"/>
              <w:keepLines w:val="0"/>
              <w:pageBreakBefore w:val="0"/>
              <w:widowControl w:val="0"/>
              <w:kinsoku/>
              <w:wordWrap w:val="0"/>
              <w:overflowPunct/>
              <w:topLinePunct/>
              <w:bidi w:val="0"/>
              <w:snapToGrid/>
              <w:spacing w:line="36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最低评标价法</w:t>
            </w:r>
          </w:p>
        </w:tc>
      </w:tr>
      <w:tr w14:paraId="5FF70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9" w:hRule="atLeast"/>
          <w:jc w:val="center"/>
        </w:trPr>
        <w:tc>
          <w:tcPr>
            <w:tcW w:w="704" w:type="dxa"/>
            <w:vAlign w:val="center"/>
          </w:tcPr>
          <w:p w14:paraId="317D9CF7">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4</w:t>
            </w:r>
          </w:p>
        </w:tc>
        <w:tc>
          <w:tcPr>
            <w:tcW w:w="1747" w:type="dxa"/>
            <w:vAlign w:val="center"/>
          </w:tcPr>
          <w:p w14:paraId="5144B366">
            <w:pPr>
              <w:pStyle w:val="25"/>
              <w:keepNext w:val="0"/>
              <w:keepLines w:val="0"/>
              <w:pageBreakBefore w:val="0"/>
              <w:widowControl w:val="0"/>
              <w:kinsoku/>
              <w:wordWrap w:val="0"/>
              <w:overflowPunct/>
              <w:topLinePunct/>
              <w:bidi w:val="0"/>
              <w:snapToGrid/>
              <w:spacing w:line="360" w:lineRule="exact"/>
              <w:jc w:val="center"/>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rPr>
              <w:t>最高限价</w:t>
            </w:r>
          </w:p>
        </w:tc>
        <w:tc>
          <w:tcPr>
            <w:tcW w:w="7618" w:type="dxa"/>
            <w:vAlign w:val="center"/>
          </w:tcPr>
          <w:p w14:paraId="2B3CE2F3">
            <w:pPr>
              <w:pStyle w:val="156"/>
              <w:keepNext w:val="0"/>
              <w:keepLines w:val="0"/>
              <w:pageBreakBefore w:val="0"/>
              <w:widowControl w:val="0"/>
              <w:kinsoku/>
              <w:wordWrap w:val="0"/>
              <w:overflowPunct/>
              <w:topLinePunct/>
              <w:bidi w:val="0"/>
              <w:snapToGrid/>
              <w:spacing w:line="360" w:lineRule="exact"/>
              <w:ind w:firstLine="0" w:firstLineChars="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本项目按单价招标，以统一单价折扣报价，具体数量按实结算。最高单价限价详见采购各标项采购清单，任何超过最高单价限价的报价将被认定为无效报价。</w:t>
            </w:r>
          </w:p>
          <w:p w14:paraId="60759D76">
            <w:pPr>
              <w:pStyle w:val="156"/>
              <w:keepNext w:val="0"/>
              <w:keepLines w:val="0"/>
              <w:pageBreakBefore w:val="0"/>
              <w:widowControl w:val="0"/>
              <w:kinsoku/>
              <w:wordWrap w:val="0"/>
              <w:overflowPunct/>
              <w:topLinePunct/>
              <w:bidi w:val="0"/>
              <w:snapToGrid/>
              <w:spacing w:line="360" w:lineRule="exact"/>
              <w:ind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标项一最高合同金额为人民币壹佰伍拾捌万柒仟零捌拾陆元整（¥1587086.00）；标项二最高合同金额为人民币壹佰柒拾叁万壹仟陆佰元整（¥1731600.00）；标项三最高合同金额为人民币陆拾壹万伍仟元整（¥615000.00）；标项四最高合同金额为人民币壹佰零肆万叁仟伍佰元整（¥1043500.00）；标项五最高合同金额为人民币肆拾肆万肆仟壹佰肆拾伍元整（¥444145.00）。</w:t>
            </w:r>
          </w:p>
        </w:tc>
      </w:tr>
      <w:tr w14:paraId="4433B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10AEB1EE">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5</w:t>
            </w:r>
          </w:p>
        </w:tc>
        <w:tc>
          <w:tcPr>
            <w:tcW w:w="1747" w:type="dxa"/>
            <w:vAlign w:val="center"/>
          </w:tcPr>
          <w:p w14:paraId="2832DCF9">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投标人（供应商）资格要求</w:t>
            </w:r>
          </w:p>
        </w:tc>
        <w:tc>
          <w:tcPr>
            <w:tcW w:w="7618" w:type="dxa"/>
            <w:vAlign w:val="center"/>
          </w:tcPr>
          <w:p w14:paraId="403B0158">
            <w:pPr>
              <w:pStyle w:val="25"/>
              <w:spacing w:line="340" w:lineRule="exact"/>
              <w:jc w:val="left"/>
              <w:rPr>
                <w:rFonts w:ascii="仿宋" w:hAnsi="仿宋" w:eastAsia="仿宋" w:cs="仿宋"/>
                <w:b/>
                <w:color w:val="auto"/>
                <w:szCs w:val="24"/>
                <w:highlight w:val="none"/>
              </w:rPr>
            </w:pPr>
            <w:r>
              <w:rPr>
                <w:rFonts w:hint="eastAsia" w:ascii="仿宋" w:hAnsi="仿宋" w:eastAsia="仿宋" w:cs="仿宋"/>
                <w:color w:val="auto"/>
                <w:szCs w:val="24"/>
                <w:highlight w:val="none"/>
              </w:rPr>
              <w:t>详见《第一章 招标公告》</w:t>
            </w:r>
          </w:p>
        </w:tc>
      </w:tr>
      <w:tr w14:paraId="51F4F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088955A1">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6</w:t>
            </w:r>
          </w:p>
        </w:tc>
        <w:tc>
          <w:tcPr>
            <w:tcW w:w="1747" w:type="dxa"/>
            <w:vAlign w:val="center"/>
          </w:tcPr>
          <w:p w14:paraId="149FEA36">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是否接受联合体投标</w:t>
            </w:r>
          </w:p>
        </w:tc>
        <w:tc>
          <w:tcPr>
            <w:tcW w:w="7618" w:type="dxa"/>
            <w:vAlign w:val="center"/>
          </w:tcPr>
          <w:p w14:paraId="6895C43A">
            <w:pPr>
              <w:autoSpaceDE/>
              <w:autoSpaceDN/>
              <w:adjustRightInd/>
              <w:spacing w:line="3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w:t>
            </w:r>
            <w:r>
              <w:rPr>
                <w:rFonts w:hint="eastAsia" w:ascii="仿宋" w:hAnsi="仿宋" w:eastAsia="仿宋" w:cs="仿宋"/>
                <w:b/>
                <w:bCs/>
                <w:color w:val="auto"/>
                <w:sz w:val="24"/>
                <w:szCs w:val="24"/>
                <w:highlight w:val="none"/>
                <w:u w:val="single"/>
              </w:rPr>
              <w:t>不</w:t>
            </w:r>
            <w:r>
              <w:rPr>
                <w:rFonts w:hint="eastAsia" w:ascii="仿宋" w:hAnsi="仿宋" w:eastAsia="仿宋" w:cs="仿宋"/>
                <w:b/>
                <w:bCs/>
                <w:color w:val="auto"/>
                <w:sz w:val="24"/>
                <w:szCs w:val="24"/>
                <w:highlight w:val="none"/>
                <w:u w:val="single"/>
                <w:lang w:eastAsia="zh-CN"/>
              </w:rPr>
              <w:t>接受</w:t>
            </w:r>
            <w:r>
              <w:rPr>
                <w:rFonts w:hint="eastAsia" w:ascii="仿宋" w:hAnsi="仿宋" w:eastAsia="仿宋" w:cs="仿宋"/>
                <w:color w:val="auto"/>
                <w:sz w:val="24"/>
                <w:szCs w:val="24"/>
                <w:highlight w:val="none"/>
              </w:rPr>
              <w:t>联合体投标</w:t>
            </w:r>
          </w:p>
        </w:tc>
      </w:tr>
      <w:tr w14:paraId="4D2CD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782A4B98">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7</w:t>
            </w:r>
          </w:p>
        </w:tc>
        <w:tc>
          <w:tcPr>
            <w:tcW w:w="1747" w:type="dxa"/>
            <w:vAlign w:val="center"/>
          </w:tcPr>
          <w:p w14:paraId="1E057679">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标的划分</w:t>
            </w:r>
          </w:p>
        </w:tc>
        <w:tc>
          <w:tcPr>
            <w:tcW w:w="7618" w:type="dxa"/>
            <w:vAlign w:val="center"/>
          </w:tcPr>
          <w:p w14:paraId="233A8BA1">
            <w:pPr>
              <w:autoSpaceDE/>
              <w:autoSpaceDN/>
              <w:adjustRightInd/>
              <w:spacing w:line="3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2"/>
                <w:sz w:val="16"/>
                <w:szCs w:val="24"/>
                <w:highlight w:val="none"/>
              </w:rPr>
              <w:instrText xml:space="preserve">√</w:instrText>
            </w:r>
            <w:r>
              <w:rPr>
                <w:rFonts w:hint="eastAsia" w:ascii="仿宋" w:hAnsi="仿宋" w:eastAsia="仿宋" w:cs="仿宋"/>
                <w:color w:val="auto"/>
                <w:sz w:val="24"/>
                <w:szCs w:val="24"/>
                <w:highlight w:val="none"/>
              </w:rPr>
              <w:instrText xml:space="preserve">)</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本次招标采购共分</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5 </w:t>
            </w:r>
            <w:r>
              <w:rPr>
                <w:rFonts w:hint="eastAsia" w:ascii="仿宋" w:hAnsi="仿宋" w:eastAsia="仿宋" w:cs="仿宋"/>
                <w:color w:val="auto"/>
                <w:sz w:val="24"/>
                <w:szCs w:val="24"/>
                <w:highlight w:val="none"/>
              </w:rPr>
              <w:t>个标</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，投标人可以选择一个或多个标</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投标，</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人将分标</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择定中标人。一个投标人</w:t>
            </w:r>
            <w:r>
              <w:rPr>
                <w:rFonts w:hint="eastAsia" w:ascii="仿宋" w:hAnsi="仿宋" w:eastAsia="仿宋" w:cs="仿宋"/>
                <w:color w:val="auto"/>
                <w:sz w:val="24"/>
                <w:szCs w:val="24"/>
                <w:highlight w:val="none"/>
                <w:u w:val="single"/>
                <w:lang w:val="en-US" w:eastAsia="zh-CN"/>
              </w:rPr>
              <w:t>不能</w:t>
            </w:r>
            <w:r>
              <w:rPr>
                <w:rFonts w:hint="eastAsia" w:ascii="仿宋" w:hAnsi="仿宋" w:eastAsia="仿宋" w:cs="仿宋"/>
                <w:color w:val="auto"/>
                <w:sz w:val="24"/>
                <w:szCs w:val="24"/>
                <w:highlight w:val="none"/>
              </w:rPr>
              <w:t>同时中标多个标</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w:t>
            </w:r>
          </w:p>
        </w:tc>
      </w:tr>
      <w:tr w14:paraId="5DF3F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65ECEAFC">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8</w:t>
            </w:r>
          </w:p>
        </w:tc>
        <w:tc>
          <w:tcPr>
            <w:tcW w:w="1747" w:type="dxa"/>
            <w:vAlign w:val="center"/>
          </w:tcPr>
          <w:p w14:paraId="075A0A05">
            <w:pPr>
              <w:pStyle w:val="25"/>
              <w:spacing w:line="340" w:lineRule="exact"/>
              <w:jc w:val="center"/>
              <w:rPr>
                <w:rFonts w:ascii="仿宋" w:hAnsi="仿宋" w:eastAsia="仿宋" w:cs="仿宋"/>
                <w:b/>
                <w:color w:val="auto"/>
                <w:highlight w:val="none"/>
              </w:rPr>
            </w:pPr>
            <w:r>
              <w:rPr>
                <w:rFonts w:hint="eastAsia" w:ascii="仿宋" w:hAnsi="仿宋" w:eastAsia="仿宋" w:cs="仿宋"/>
                <w:b/>
                <w:color w:val="auto"/>
                <w:szCs w:val="24"/>
                <w:highlight w:val="none"/>
              </w:rPr>
              <w:t>资格审查方式</w:t>
            </w:r>
          </w:p>
        </w:tc>
        <w:tc>
          <w:tcPr>
            <w:tcW w:w="7618" w:type="dxa"/>
            <w:vAlign w:val="center"/>
          </w:tcPr>
          <w:p w14:paraId="4E2908C7">
            <w:pPr>
              <w:snapToGrid w:val="0"/>
              <w:spacing w:line="340" w:lineRule="exact"/>
              <w:rPr>
                <w:rFonts w:ascii="仿宋" w:hAnsi="仿宋" w:eastAsia="仿宋" w:cs="仿宋"/>
                <w:color w:val="auto"/>
                <w:sz w:val="24"/>
                <w:highlight w:val="none"/>
              </w:rPr>
            </w:pPr>
            <w:r>
              <w:rPr>
                <w:rFonts w:hint="eastAsia" w:ascii="仿宋" w:hAnsi="仿宋" w:eastAsia="仿宋" w:cs="仿宋"/>
                <w:color w:val="auto"/>
                <w:sz w:val="24"/>
                <w:szCs w:val="24"/>
                <w:highlight w:val="none"/>
              </w:rPr>
              <w:t>资格后审，由</w:t>
            </w:r>
            <w:r>
              <w:rPr>
                <w:rFonts w:hint="eastAsia" w:ascii="仿宋" w:hAnsi="仿宋" w:eastAsia="仿宋" w:cs="仿宋"/>
                <w:color w:val="auto"/>
                <w:kern w:val="2"/>
                <w:sz w:val="24"/>
                <w:szCs w:val="24"/>
                <w:highlight w:val="none"/>
              </w:rPr>
              <w:t>采购人或委托采购代理机构对投标人进行资格审查</w:t>
            </w:r>
          </w:p>
        </w:tc>
      </w:tr>
      <w:tr w14:paraId="0BED2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50179E9F">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9</w:t>
            </w:r>
          </w:p>
        </w:tc>
        <w:tc>
          <w:tcPr>
            <w:tcW w:w="1747" w:type="dxa"/>
            <w:vAlign w:val="center"/>
          </w:tcPr>
          <w:p w14:paraId="0812FDE7">
            <w:pPr>
              <w:pStyle w:val="25"/>
              <w:spacing w:line="3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招标文件的</w:t>
            </w:r>
          </w:p>
          <w:p w14:paraId="009CF3E8">
            <w:pPr>
              <w:pStyle w:val="25"/>
              <w:spacing w:line="340" w:lineRule="exact"/>
              <w:jc w:val="center"/>
              <w:rPr>
                <w:rFonts w:ascii="仿宋" w:hAnsi="仿宋" w:eastAsia="仿宋" w:cs="仿宋"/>
                <w:b/>
                <w:color w:val="auto"/>
                <w:highlight w:val="none"/>
              </w:rPr>
            </w:pPr>
            <w:r>
              <w:rPr>
                <w:rFonts w:hint="eastAsia" w:ascii="仿宋" w:hAnsi="仿宋" w:eastAsia="仿宋" w:cs="仿宋"/>
                <w:b/>
                <w:color w:val="auto"/>
                <w:szCs w:val="24"/>
                <w:highlight w:val="none"/>
              </w:rPr>
              <w:t>获取</w:t>
            </w:r>
          </w:p>
        </w:tc>
        <w:tc>
          <w:tcPr>
            <w:tcW w:w="7618" w:type="dxa"/>
            <w:vAlign w:val="center"/>
          </w:tcPr>
          <w:p w14:paraId="179D2E02">
            <w:pPr>
              <w:spacing w:line="340" w:lineRule="exact"/>
              <w:rPr>
                <w:rFonts w:ascii="仿宋" w:hAnsi="仿宋" w:eastAsia="仿宋" w:cs="仿宋"/>
                <w:color w:val="auto"/>
                <w:sz w:val="24"/>
                <w:highlight w:val="none"/>
              </w:rPr>
            </w:pPr>
            <w:r>
              <w:rPr>
                <w:rFonts w:hint="eastAsia" w:ascii="仿宋" w:hAnsi="仿宋" w:eastAsia="仿宋" w:cs="仿宋"/>
                <w:color w:val="auto"/>
                <w:kern w:val="2"/>
                <w:sz w:val="24"/>
                <w:szCs w:val="24"/>
                <w:highlight w:val="none"/>
              </w:rPr>
              <w:t>详见《第一章 招标公告》</w:t>
            </w:r>
          </w:p>
        </w:tc>
      </w:tr>
      <w:tr w14:paraId="0EE81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39E99CB7">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10</w:t>
            </w:r>
          </w:p>
        </w:tc>
        <w:tc>
          <w:tcPr>
            <w:tcW w:w="1747" w:type="dxa"/>
            <w:vAlign w:val="center"/>
          </w:tcPr>
          <w:p w14:paraId="1B8BE73B">
            <w:pPr>
              <w:pStyle w:val="25"/>
              <w:spacing w:line="340" w:lineRule="exact"/>
              <w:jc w:val="center"/>
              <w:rPr>
                <w:rFonts w:ascii="仿宋" w:hAnsi="仿宋" w:eastAsia="仿宋" w:cs="仿宋"/>
                <w:b/>
                <w:color w:val="auto"/>
                <w:highlight w:val="none"/>
              </w:rPr>
            </w:pPr>
            <w:r>
              <w:rPr>
                <w:rFonts w:hint="eastAsia" w:ascii="仿宋" w:hAnsi="仿宋" w:eastAsia="仿宋" w:cs="仿宋"/>
                <w:b/>
                <w:color w:val="auto"/>
                <w:szCs w:val="24"/>
                <w:highlight w:val="none"/>
              </w:rPr>
              <w:t>投标保证金</w:t>
            </w:r>
          </w:p>
        </w:tc>
        <w:tc>
          <w:tcPr>
            <w:tcW w:w="7618" w:type="dxa"/>
            <w:vAlign w:val="center"/>
          </w:tcPr>
          <w:p w14:paraId="70416416">
            <w:pPr>
              <w:autoSpaceDE/>
              <w:autoSpaceDN/>
              <w:adjustRightInd/>
              <w:spacing w:line="340" w:lineRule="exact"/>
              <w:rPr>
                <w:rFonts w:ascii="仿宋" w:hAnsi="仿宋" w:eastAsia="仿宋" w:cs="仿宋"/>
                <w:color w:val="auto"/>
                <w:sz w:val="24"/>
                <w:highlight w:val="none"/>
              </w:rPr>
            </w:pPr>
            <w:r>
              <w:rPr>
                <w:rFonts w:hint="eastAsia" w:ascii="仿宋" w:hAnsi="仿宋" w:eastAsia="仿宋" w:cs="仿宋"/>
                <w:color w:val="auto"/>
                <w:sz w:val="24"/>
                <w:highlight w:val="none"/>
              </w:rPr>
              <w:t>详见《第一章 招标公告》</w:t>
            </w:r>
          </w:p>
        </w:tc>
      </w:tr>
      <w:tr w14:paraId="6E1BC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704" w:type="dxa"/>
            <w:vAlign w:val="center"/>
          </w:tcPr>
          <w:p w14:paraId="47CB1ACB">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11</w:t>
            </w:r>
          </w:p>
        </w:tc>
        <w:tc>
          <w:tcPr>
            <w:tcW w:w="1747" w:type="dxa"/>
            <w:vAlign w:val="center"/>
          </w:tcPr>
          <w:p w14:paraId="67BF2833">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资格文件</w:t>
            </w:r>
          </w:p>
        </w:tc>
        <w:tc>
          <w:tcPr>
            <w:tcW w:w="7618" w:type="dxa"/>
            <w:vAlign w:val="center"/>
          </w:tcPr>
          <w:p w14:paraId="7B1860FE">
            <w:pPr>
              <w:snapToGrid w:val="0"/>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（1）营业执照复印件（加盖投标单位公章）；</w:t>
            </w:r>
          </w:p>
          <w:p w14:paraId="361920B6">
            <w:pPr>
              <w:snapToGrid w:val="0"/>
              <w:spacing w:line="34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（2）符合参与采购活动资格条件的承诺函</w:t>
            </w:r>
            <w:r>
              <w:rPr>
                <w:rFonts w:hint="eastAsia" w:ascii="仿宋" w:hAnsi="仿宋" w:eastAsia="仿宋"/>
                <w:color w:val="auto"/>
                <w:sz w:val="24"/>
                <w:szCs w:val="24"/>
                <w:highlight w:val="none"/>
              </w:rPr>
              <w:t>（格式见第六章）</w:t>
            </w:r>
            <w:r>
              <w:rPr>
                <w:rFonts w:hint="eastAsia" w:ascii="仿宋" w:hAnsi="仿宋" w:eastAsia="仿宋" w:cs="仿宋"/>
                <w:color w:val="auto"/>
                <w:sz w:val="24"/>
                <w:szCs w:val="24"/>
                <w:highlight w:val="none"/>
                <w:lang w:eastAsia="zh-CN"/>
              </w:rPr>
              <w:t>；</w:t>
            </w:r>
          </w:p>
          <w:p w14:paraId="329D79FF">
            <w:pPr>
              <w:snapToGrid w:val="0"/>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授权委托书》（说明：法定代表人（或单位负责人）亲自参加的，只需提供法定代表人（或单位负责人）身份证（正反面）复印件并加盖单位公章；法定代表人（或单位负责人）授权委托代表参加的，需提供授权委托书，</w:t>
            </w:r>
            <w:r>
              <w:rPr>
                <w:rFonts w:hint="eastAsia" w:ascii="仿宋" w:hAnsi="仿宋" w:eastAsia="仿宋" w:cs="仿宋"/>
                <w:color w:val="auto"/>
                <w:sz w:val="24"/>
                <w:szCs w:val="24"/>
                <w:highlight w:val="none"/>
                <w:u w:val="none"/>
              </w:rPr>
              <w:t>格式见第六章</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rPr>
              <w:t>；</w:t>
            </w:r>
          </w:p>
          <w:p w14:paraId="08B2EEE1">
            <w:pPr>
              <w:pStyle w:val="25"/>
              <w:spacing w:line="34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highlight w:val="none"/>
              </w:rPr>
              <w:t>（</w:t>
            </w:r>
            <w:r>
              <w:rPr>
                <w:rFonts w:hint="eastAsia" w:ascii="仿宋" w:hAnsi="仿宋" w:eastAsia="仿宋" w:cs="仿宋"/>
                <w:bCs/>
                <w:color w:val="auto"/>
                <w:highlight w:val="none"/>
                <w:lang w:val="en-US" w:eastAsia="zh-CN"/>
              </w:rPr>
              <w:t>4</w:t>
            </w:r>
            <w:r>
              <w:rPr>
                <w:rFonts w:hint="eastAsia" w:ascii="仿宋" w:hAnsi="仿宋" w:eastAsia="仿宋" w:cs="仿宋"/>
                <w:color w:val="auto"/>
                <w:szCs w:val="24"/>
                <w:highlight w:val="none"/>
              </w:rPr>
              <w:t>）</w:t>
            </w:r>
            <w:r>
              <w:rPr>
                <w:rFonts w:hint="eastAsia" w:ascii="仿宋" w:hAnsi="仿宋" w:eastAsia="仿宋" w:cs="仿宋"/>
                <w:color w:val="auto"/>
                <w:kern w:val="0"/>
                <w:sz w:val="24"/>
                <w:szCs w:val="24"/>
                <w:highlight w:val="none"/>
                <w:lang w:val="en-US" w:eastAsia="zh-CN" w:bidi="ar-SA"/>
              </w:rPr>
              <w:t>提供自招标公告发布之日起至投标截止日内任意时间的“信用中国”网站（www.creditchina.gov.cn）、中国政府采购网（www.ccgp.gov.cn）投标人信用查询网页截图。（以开标当日采购人或由采购人委托的评标委员会核实的查询结果为准）；</w:t>
            </w:r>
          </w:p>
          <w:p w14:paraId="4DF9471F">
            <w:pPr>
              <w:autoSpaceDE/>
              <w:autoSpaceDN/>
              <w:spacing w:line="400" w:lineRule="exact"/>
              <w:rPr>
                <w:rFonts w:ascii="仿宋" w:hAnsi="仿宋" w:eastAsia="仿宋" w:cs="仿宋"/>
                <w:b/>
                <w:color w:val="auto"/>
                <w:szCs w:val="24"/>
                <w:highlight w:val="none"/>
              </w:rPr>
            </w:pPr>
            <w:r>
              <w:rPr>
                <w:rFonts w:hint="eastAsia" w:ascii="仿宋" w:hAnsi="仿宋" w:eastAsia="仿宋" w:cs="仿宋"/>
                <w:color w:val="auto"/>
                <w:kern w:val="0"/>
                <w:sz w:val="24"/>
                <w:szCs w:val="24"/>
                <w:highlight w:val="none"/>
                <w:lang w:val="en-US" w:eastAsia="zh-CN" w:bidi="ar-SA"/>
              </w:rPr>
              <w:t>（5）</w:t>
            </w:r>
            <w:r>
              <w:rPr>
                <w:rFonts w:hint="eastAsia" w:ascii="仿宋" w:hAnsi="仿宋" w:eastAsia="仿宋" w:cs="仿宋"/>
                <w:color w:val="auto"/>
                <w:kern w:val="2"/>
                <w:sz w:val="24"/>
                <w:szCs w:val="24"/>
                <w:highlight w:val="none"/>
              </w:rPr>
              <w:t>其他资格证书（如需要，加盖单位公章）。</w:t>
            </w:r>
          </w:p>
        </w:tc>
      </w:tr>
      <w:tr w14:paraId="4A0499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704" w:type="dxa"/>
            <w:vAlign w:val="center"/>
          </w:tcPr>
          <w:p w14:paraId="716ECDD6">
            <w:pPr>
              <w:pStyle w:val="25"/>
              <w:spacing w:line="340" w:lineRule="exact"/>
              <w:jc w:val="center"/>
              <w:rPr>
                <w:rFonts w:hint="default" w:ascii="仿宋" w:hAnsi="仿宋" w:eastAsia="仿宋" w:cs="仿宋"/>
                <w:b/>
                <w:color w:val="auto"/>
                <w:szCs w:val="24"/>
                <w:highlight w:val="none"/>
                <w:lang w:val="en-US" w:eastAsia="zh-CN"/>
              </w:rPr>
            </w:pPr>
            <w:r>
              <w:rPr>
                <w:rFonts w:hint="eastAsia" w:ascii="仿宋" w:hAnsi="仿宋" w:eastAsia="仿宋" w:cs="仿宋"/>
                <w:b/>
                <w:color w:val="auto"/>
                <w:szCs w:val="24"/>
                <w:highlight w:val="none"/>
                <w:lang w:val="en-US" w:eastAsia="zh-CN"/>
              </w:rPr>
              <w:t>12</w:t>
            </w:r>
          </w:p>
        </w:tc>
        <w:tc>
          <w:tcPr>
            <w:tcW w:w="1747" w:type="dxa"/>
            <w:vAlign w:val="center"/>
          </w:tcPr>
          <w:p w14:paraId="29BA4FCA">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lang w:val="en-US" w:eastAsia="zh-CN"/>
              </w:rPr>
              <w:t>投标</w:t>
            </w:r>
            <w:r>
              <w:rPr>
                <w:rFonts w:hint="eastAsia" w:ascii="仿宋" w:hAnsi="仿宋" w:eastAsia="仿宋" w:cs="仿宋"/>
                <w:b/>
                <w:color w:val="auto"/>
                <w:szCs w:val="24"/>
                <w:highlight w:val="none"/>
              </w:rPr>
              <w:t>文件</w:t>
            </w:r>
          </w:p>
        </w:tc>
        <w:tc>
          <w:tcPr>
            <w:tcW w:w="7618" w:type="dxa"/>
            <w:vAlign w:val="center"/>
          </w:tcPr>
          <w:p w14:paraId="5B66D331">
            <w:pPr>
              <w:tabs>
                <w:tab w:val="left" w:pos="3870"/>
                <w:tab w:val="left" w:pos="4085"/>
              </w:tabs>
              <w:snapToGrid w:val="0"/>
              <w:spacing w:line="36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olor w:val="auto"/>
                <w:sz w:val="24"/>
                <w:szCs w:val="24"/>
                <w:highlight w:val="none"/>
              </w:rPr>
              <w:t>投标函（格式见第六章）；</w:t>
            </w:r>
          </w:p>
          <w:p w14:paraId="770A9B31">
            <w:pPr>
              <w:snapToGrid w:val="0"/>
              <w:spacing w:line="340" w:lineRule="exact"/>
              <w:jc w:val="left"/>
              <w:rPr>
                <w:rFonts w:hint="eastAsia" w:ascii="仿宋" w:hAnsi="仿宋" w:eastAsia="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olor w:val="auto"/>
                <w:sz w:val="24"/>
                <w:szCs w:val="24"/>
                <w:highlight w:val="none"/>
              </w:rPr>
              <w:t>开标一览表（格式见第六章）；</w:t>
            </w:r>
          </w:p>
          <w:p w14:paraId="325B4E58">
            <w:pPr>
              <w:snapToGrid w:val="0"/>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（3）营业执照复印件（加盖投标单位公章）；</w:t>
            </w:r>
          </w:p>
          <w:p w14:paraId="3C816759">
            <w:pPr>
              <w:snapToGrid w:val="0"/>
              <w:spacing w:line="360" w:lineRule="exact"/>
              <w:jc w:val="left"/>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rPr>
              <w:t>（4）</w:t>
            </w:r>
            <w:r>
              <w:rPr>
                <w:rFonts w:hint="eastAsia" w:ascii="仿宋" w:hAnsi="仿宋" w:eastAsia="仿宋"/>
                <w:color w:val="auto"/>
                <w:sz w:val="24"/>
                <w:szCs w:val="24"/>
                <w:highlight w:val="none"/>
              </w:rPr>
              <w:t>投标承诺书（格式见第六章）</w:t>
            </w:r>
            <w:r>
              <w:rPr>
                <w:rFonts w:hint="eastAsia" w:ascii="仿宋" w:hAnsi="仿宋" w:eastAsia="仿宋"/>
                <w:color w:val="auto"/>
                <w:sz w:val="24"/>
                <w:szCs w:val="24"/>
                <w:highlight w:val="none"/>
                <w:lang w:eastAsia="zh-CN"/>
              </w:rPr>
              <w:t>；</w:t>
            </w:r>
          </w:p>
          <w:p w14:paraId="28ECAFAB">
            <w:pPr>
              <w:snapToGrid w:val="0"/>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（5）技术（服务）偏离表（格式见第六章）；</w:t>
            </w:r>
          </w:p>
          <w:p w14:paraId="2A2129EA">
            <w:pPr>
              <w:snapToGrid w:val="0"/>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（6）招标文件标明的影响投标人资格的其他证明文件（如实质性响应条款、相关承诺、特别约定内容等）（如需要）；</w:t>
            </w:r>
          </w:p>
          <w:p w14:paraId="480E79AB">
            <w:pPr>
              <w:snapToGrid w:val="0"/>
              <w:spacing w:line="3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）投标人需要说明的其他文件和说明（格式自拟）。</w:t>
            </w:r>
          </w:p>
          <w:p w14:paraId="62419477">
            <w:pPr>
              <w:snapToGrid w:val="0"/>
              <w:spacing w:line="340" w:lineRule="exact"/>
              <w:jc w:val="left"/>
              <w:rPr>
                <w:rFonts w:hint="eastAsia" w:ascii="仿宋" w:hAnsi="仿宋" w:eastAsia="仿宋" w:cs="仿宋"/>
                <w:b/>
                <w:color w:val="auto"/>
                <w:sz w:val="21"/>
                <w:szCs w:val="24"/>
                <w:highlight w:val="none"/>
                <w:lang w:val="en-US" w:eastAsia="zh-CN" w:bidi="ar-SA"/>
              </w:rPr>
            </w:pPr>
            <w:r>
              <w:rPr>
                <w:rFonts w:ascii="仿宋" w:hAnsi="仿宋" w:eastAsia="仿宋"/>
                <w:b/>
                <w:color w:val="auto"/>
                <w:sz w:val="24"/>
                <w:szCs w:val="24"/>
                <w:highlight w:val="none"/>
              </w:rPr>
              <w:t>注：</w:t>
            </w:r>
            <w:r>
              <w:rPr>
                <w:rFonts w:hint="eastAsia" w:ascii="仿宋" w:hAnsi="仿宋" w:eastAsia="仿宋"/>
                <w:b/>
                <w:color w:val="auto"/>
                <w:sz w:val="24"/>
                <w:szCs w:val="24"/>
                <w:highlight w:val="none"/>
              </w:rPr>
              <w:t>投标函、开标一览表</w:t>
            </w:r>
            <w:r>
              <w:rPr>
                <w:rFonts w:hint="eastAsia" w:ascii="仿宋" w:hAnsi="仿宋" w:eastAsia="仿宋"/>
                <w:b/>
                <w:color w:val="auto"/>
                <w:sz w:val="24"/>
                <w:szCs w:val="24"/>
                <w:highlight w:val="none"/>
                <w:lang w:eastAsia="zh-CN"/>
              </w:rPr>
              <w:t>必须加盖</w:t>
            </w:r>
            <w:r>
              <w:rPr>
                <w:rFonts w:hint="eastAsia" w:ascii="仿宋" w:hAnsi="仿宋" w:eastAsia="仿宋"/>
                <w:b/>
                <w:color w:val="auto"/>
                <w:sz w:val="24"/>
                <w:szCs w:val="24"/>
                <w:highlight w:val="none"/>
              </w:rPr>
              <w:t>单位公章。</w:t>
            </w:r>
          </w:p>
        </w:tc>
      </w:tr>
      <w:tr w14:paraId="19C56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2FC9F64F">
            <w:pPr>
              <w:pStyle w:val="25"/>
              <w:spacing w:line="340" w:lineRule="exact"/>
              <w:jc w:val="center"/>
              <w:rPr>
                <w:rFonts w:hint="default" w:ascii="仿宋" w:hAnsi="仿宋" w:eastAsia="仿宋" w:cs="仿宋"/>
                <w:b/>
                <w:color w:val="auto"/>
                <w:szCs w:val="24"/>
                <w:highlight w:val="none"/>
                <w:lang w:val="en-US" w:eastAsia="zh-CN"/>
              </w:rPr>
            </w:pPr>
            <w:r>
              <w:rPr>
                <w:rFonts w:hint="eastAsia" w:ascii="仿宋" w:hAnsi="仿宋" w:eastAsia="仿宋" w:cs="仿宋"/>
                <w:b/>
                <w:color w:val="auto"/>
                <w:szCs w:val="24"/>
                <w:highlight w:val="none"/>
                <w:lang w:val="en-US" w:eastAsia="zh-CN"/>
              </w:rPr>
              <w:t>13</w:t>
            </w:r>
          </w:p>
        </w:tc>
        <w:tc>
          <w:tcPr>
            <w:tcW w:w="1747" w:type="dxa"/>
            <w:vAlign w:val="center"/>
          </w:tcPr>
          <w:p w14:paraId="7F31AFBC">
            <w:pPr>
              <w:pStyle w:val="25"/>
              <w:spacing w:line="340" w:lineRule="exact"/>
              <w:jc w:val="center"/>
              <w:rPr>
                <w:rFonts w:ascii="仿宋" w:hAnsi="仿宋" w:eastAsia="仿宋" w:cs="仿宋"/>
                <w:b/>
                <w:color w:val="auto"/>
                <w:highlight w:val="none"/>
              </w:rPr>
            </w:pPr>
            <w:r>
              <w:rPr>
                <w:rFonts w:hint="eastAsia" w:ascii="仿宋" w:hAnsi="仿宋" w:eastAsia="仿宋" w:cs="仿宋"/>
                <w:b/>
                <w:color w:val="auto"/>
                <w:szCs w:val="24"/>
                <w:highlight w:val="none"/>
              </w:rPr>
              <w:t>现场演示</w:t>
            </w:r>
          </w:p>
        </w:tc>
        <w:tc>
          <w:tcPr>
            <w:tcW w:w="7618" w:type="dxa"/>
            <w:vAlign w:val="center"/>
          </w:tcPr>
          <w:p w14:paraId="16CA508B">
            <w:pPr>
              <w:tabs>
                <w:tab w:val="left" w:pos="3870"/>
                <w:tab w:val="left" w:pos="4085"/>
              </w:tabs>
              <w:snapToGrid w:val="0"/>
              <w:spacing w:line="340" w:lineRule="exact"/>
              <w:jc w:val="left"/>
              <w:rPr>
                <w:rFonts w:ascii="仿宋" w:hAnsi="仿宋" w:eastAsia="仿宋" w:cs="仿宋"/>
                <w:color w:val="auto"/>
                <w:sz w:val="24"/>
                <w:highlight w:val="none"/>
              </w:rPr>
            </w:pPr>
            <w:r>
              <w:rPr>
                <w:rFonts w:hint="eastAsia" w:ascii="仿宋" w:hAnsi="仿宋" w:eastAsia="仿宋" w:cs="仿宋"/>
                <w:color w:val="auto"/>
                <w:sz w:val="24"/>
                <w:szCs w:val="24"/>
                <w:highlight w:val="none"/>
              </w:rPr>
              <w:t>按招标文件相关要求执行。</w:t>
            </w:r>
          </w:p>
        </w:tc>
      </w:tr>
      <w:tr w14:paraId="3BBFB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704" w:type="dxa"/>
            <w:vAlign w:val="center"/>
          </w:tcPr>
          <w:p w14:paraId="691C980D">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val="en-US" w:eastAsia="zh-CN"/>
              </w:rPr>
              <w:t>4</w:t>
            </w:r>
          </w:p>
        </w:tc>
        <w:tc>
          <w:tcPr>
            <w:tcW w:w="1747" w:type="dxa"/>
            <w:vAlign w:val="center"/>
          </w:tcPr>
          <w:p w14:paraId="2524FC9A">
            <w:pPr>
              <w:pStyle w:val="25"/>
              <w:spacing w:line="340" w:lineRule="exact"/>
              <w:jc w:val="center"/>
              <w:rPr>
                <w:rFonts w:ascii="仿宋" w:hAnsi="仿宋" w:eastAsia="仿宋" w:cs="仿宋"/>
                <w:b/>
                <w:color w:val="auto"/>
                <w:highlight w:val="none"/>
              </w:rPr>
            </w:pPr>
            <w:r>
              <w:rPr>
                <w:rFonts w:hint="eastAsia" w:ascii="仿宋" w:hAnsi="仿宋" w:eastAsia="仿宋" w:cs="仿宋"/>
                <w:b/>
                <w:color w:val="auto"/>
                <w:szCs w:val="24"/>
                <w:highlight w:val="none"/>
              </w:rPr>
              <w:t>投标样品</w:t>
            </w:r>
          </w:p>
        </w:tc>
        <w:tc>
          <w:tcPr>
            <w:tcW w:w="7618" w:type="dxa"/>
            <w:vAlign w:val="center"/>
          </w:tcPr>
          <w:p w14:paraId="3E3B9B9C">
            <w:pPr>
              <w:tabs>
                <w:tab w:val="left" w:pos="3870"/>
                <w:tab w:val="left" w:pos="4085"/>
              </w:tabs>
              <w:snapToGrid w:val="0"/>
              <w:spacing w:line="340" w:lineRule="exact"/>
              <w:jc w:val="left"/>
              <w:rPr>
                <w:rFonts w:ascii="仿宋" w:hAnsi="仿宋" w:eastAsia="仿宋" w:cs="仿宋"/>
                <w:color w:val="auto"/>
                <w:sz w:val="24"/>
                <w:highlight w:val="none"/>
              </w:rPr>
            </w:pPr>
            <w:r>
              <w:rPr>
                <w:rFonts w:hint="eastAsia" w:ascii="仿宋" w:hAnsi="仿宋" w:eastAsia="仿宋" w:cs="仿宋"/>
                <w:color w:val="auto"/>
                <w:sz w:val="24"/>
                <w:szCs w:val="24"/>
                <w:highlight w:val="none"/>
              </w:rPr>
              <w:t>按招标文件相关要求执行。</w:t>
            </w:r>
          </w:p>
        </w:tc>
      </w:tr>
      <w:tr w14:paraId="7D4B3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3234C7AA">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val="en-US" w:eastAsia="zh-CN"/>
              </w:rPr>
              <w:t>5</w:t>
            </w:r>
          </w:p>
        </w:tc>
        <w:tc>
          <w:tcPr>
            <w:tcW w:w="1747" w:type="dxa"/>
            <w:vAlign w:val="center"/>
          </w:tcPr>
          <w:p w14:paraId="7F18D56F">
            <w:pPr>
              <w:pStyle w:val="25"/>
              <w:spacing w:line="340" w:lineRule="exact"/>
              <w:jc w:val="center"/>
              <w:rPr>
                <w:rFonts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上传电子投标文件时间</w:t>
            </w:r>
          </w:p>
        </w:tc>
        <w:tc>
          <w:tcPr>
            <w:tcW w:w="7618" w:type="dxa"/>
            <w:vAlign w:val="center"/>
          </w:tcPr>
          <w:p w14:paraId="796449D9">
            <w:pPr>
              <w:pStyle w:val="25"/>
              <w:spacing w:line="340" w:lineRule="exact"/>
              <w:rPr>
                <w:rFonts w:ascii="仿宋" w:hAnsi="仿宋" w:eastAsia="仿宋" w:cs="仿宋"/>
                <w:color w:val="auto"/>
                <w:kern w:val="0"/>
                <w:szCs w:val="24"/>
                <w:highlight w:val="none"/>
              </w:rPr>
            </w:pPr>
            <w:r>
              <w:rPr>
                <w:rFonts w:hint="eastAsia" w:ascii="仿宋" w:hAnsi="仿宋" w:eastAsia="仿宋" w:cs="仿宋"/>
                <w:b w:val="0"/>
                <w:bCs w:val="0"/>
                <w:color w:val="auto"/>
                <w:kern w:val="0"/>
                <w:szCs w:val="24"/>
                <w:highlight w:val="none"/>
              </w:rPr>
              <w:t>供应商应于2024年</w:t>
            </w:r>
            <w:r>
              <w:rPr>
                <w:rFonts w:hint="eastAsia" w:ascii="仿宋" w:hAnsi="仿宋" w:eastAsia="仿宋" w:cs="仿宋"/>
                <w:b w:val="0"/>
                <w:bCs w:val="0"/>
                <w:color w:val="auto"/>
                <w:kern w:val="0"/>
                <w:szCs w:val="24"/>
                <w:highlight w:val="none"/>
                <w:lang w:val="en-US" w:eastAsia="zh-CN"/>
              </w:rPr>
              <w:t>11</w:t>
            </w:r>
            <w:r>
              <w:rPr>
                <w:rFonts w:hint="eastAsia" w:ascii="仿宋" w:hAnsi="仿宋" w:eastAsia="仿宋" w:cs="仿宋"/>
                <w:b w:val="0"/>
                <w:bCs w:val="0"/>
                <w:color w:val="auto"/>
                <w:kern w:val="0"/>
                <w:szCs w:val="24"/>
                <w:highlight w:val="none"/>
              </w:rPr>
              <w:t>月</w:t>
            </w:r>
            <w:r>
              <w:rPr>
                <w:rFonts w:hint="eastAsia" w:ascii="仿宋" w:hAnsi="仿宋" w:eastAsia="仿宋" w:cs="仿宋"/>
                <w:b w:val="0"/>
                <w:bCs w:val="0"/>
                <w:color w:val="auto"/>
                <w:kern w:val="0"/>
                <w:szCs w:val="24"/>
                <w:highlight w:val="none"/>
                <w:lang w:val="en-US" w:eastAsia="zh-CN"/>
              </w:rPr>
              <w:t>21</w:t>
            </w:r>
            <w:r>
              <w:rPr>
                <w:rFonts w:hint="eastAsia" w:ascii="仿宋" w:hAnsi="仿宋" w:eastAsia="仿宋" w:cs="仿宋"/>
                <w:b w:val="0"/>
                <w:bCs w:val="0"/>
                <w:color w:val="auto"/>
                <w:kern w:val="0"/>
                <w:szCs w:val="24"/>
                <w:highlight w:val="none"/>
              </w:rPr>
              <w:t>日</w:t>
            </w:r>
            <w:r>
              <w:rPr>
                <w:rFonts w:hint="eastAsia" w:ascii="仿宋" w:hAnsi="仿宋" w:eastAsia="仿宋" w:cs="仿宋"/>
                <w:b w:val="0"/>
                <w:bCs w:val="0"/>
                <w:color w:val="auto"/>
                <w:kern w:val="0"/>
                <w:szCs w:val="24"/>
                <w:highlight w:val="none"/>
                <w:lang w:val="en-US" w:eastAsia="zh-CN"/>
              </w:rPr>
              <w:t>09</w:t>
            </w:r>
            <w:r>
              <w:rPr>
                <w:rFonts w:hint="eastAsia" w:ascii="仿宋" w:hAnsi="仿宋" w:eastAsia="仿宋" w:cs="仿宋"/>
                <w:b w:val="0"/>
                <w:bCs w:val="0"/>
                <w:color w:val="auto"/>
                <w:kern w:val="0"/>
                <w:szCs w:val="24"/>
                <w:highlight w:val="none"/>
              </w:rPr>
              <w:t>:</w:t>
            </w:r>
            <w:r>
              <w:rPr>
                <w:rFonts w:hint="eastAsia" w:ascii="仿宋" w:hAnsi="仿宋" w:eastAsia="仿宋" w:cs="仿宋"/>
                <w:b w:val="0"/>
                <w:bCs w:val="0"/>
                <w:color w:val="auto"/>
                <w:kern w:val="0"/>
                <w:szCs w:val="24"/>
                <w:highlight w:val="none"/>
                <w:lang w:val="en-US" w:eastAsia="zh-CN"/>
              </w:rPr>
              <w:t>30</w:t>
            </w:r>
            <w:r>
              <w:rPr>
                <w:rFonts w:hint="eastAsia" w:ascii="仿宋" w:hAnsi="仿宋" w:eastAsia="仿宋" w:cs="仿宋"/>
                <w:b w:val="0"/>
                <w:bCs w:val="0"/>
                <w:color w:val="auto"/>
                <w:kern w:val="0"/>
                <w:szCs w:val="24"/>
                <w:highlight w:val="none"/>
              </w:rPr>
              <w:t>时整前在“乐采云”上自行加密上传电子投标文件，逾期上传或未按要求上传的投标文件将予以拒收。</w:t>
            </w:r>
          </w:p>
        </w:tc>
      </w:tr>
      <w:tr w14:paraId="54257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6D1B8FD9">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val="en-US" w:eastAsia="zh-CN"/>
              </w:rPr>
              <w:t>6</w:t>
            </w:r>
          </w:p>
        </w:tc>
        <w:tc>
          <w:tcPr>
            <w:tcW w:w="1747" w:type="dxa"/>
            <w:vAlign w:val="center"/>
          </w:tcPr>
          <w:p w14:paraId="76E62A6F">
            <w:pPr>
              <w:pStyle w:val="25"/>
              <w:spacing w:line="340" w:lineRule="exact"/>
              <w:jc w:val="center"/>
              <w:rPr>
                <w:rFonts w:ascii="仿宋" w:hAnsi="仿宋" w:eastAsia="仿宋" w:cs="仿宋"/>
                <w:b/>
                <w:color w:val="auto"/>
                <w:highlight w:val="none"/>
              </w:rPr>
            </w:pPr>
            <w:r>
              <w:rPr>
                <w:rFonts w:hint="eastAsia" w:ascii="仿宋" w:hAnsi="仿宋" w:eastAsia="仿宋" w:cs="仿宋"/>
                <w:b/>
                <w:color w:val="auto"/>
                <w:szCs w:val="24"/>
                <w:highlight w:val="none"/>
              </w:rPr>
              <w:t>投标有效期</w:t>
            </w:r>
          </w:p>
        </w:tc>
        <w:tc>
          <w:tcPr>
            <w:tcW w:w="7618" w:type="dxa"/>
            <w:vAlign w:val="center"/>
          </w:tcPr>
          <w:p w14:paraId="4EA2B17D">
            <w:pPr>
              <w:pStyle w:val="25"/>
              <w:spacing w:line="340" w:lineRule="exact"/>
              <w:rPr>
                <w:rFonts w:ascii="仿宋" w:hAnsi="仿宋" w:eastAsia="仿宋" w:cs="仿宋"/>
                <w:color w:val="auto"/>
                <w:highlight w:val="none"/>
              </w:rPr>
            </w:pPr>
            <w:r>
              <w:rPr>
                <w:rFonts w:hint="eastAsia" w:ascii="仿宋" w:hAnsi="仿宋" w:eastAsia="仿宋" w:cs="仿宋"/>
                <w:color w:val="auto"/>
                <w:szCs w:val="24"/>
                <w:highlight w:val="none"/>
              </w:rPr>
              <w:t>自投标截止日起90天。如采购代理机构认为必要，可延长投标有效期。</w:t>
            </w:r>
          </w:p>
        </w:tc>
      </w:tr>
      <w:tr w14:paraId="27A66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14181202">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val="en-US" w:eastAsia="zh-CN"/>
              </w:rPr>
              <w:t>7</w:t>
            </w:r>
          </w:p>
        </w:tc>
        <w:tc>
          <w:tcPr>
            <w:tcW w:w="1747" w:type="dxa"/>
            <w:vAlign w:val="center"/>
          </w:tcPr>
          <w:p w14:paraId="533BEFEC">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签订合同时间</w:t>
            </w:r>
          </w:p>
        </w:tc>
        <w:tc>
          <w:tcPr>
            <w:tcW w:w="7618" w:type="dxa"/>
            <w:vAlign w:val="center"/>
          </w:tcPr>
          <w:p w14:paraId="7A8DFFF4">
            <w:pPr>
              <w:pStyle w:val="25"/>
              <w:spacing w:line="340" w:lineRule="exact"/>
              <w:rPr>
                <w:rFonts w:ascii="仿宋" w:hAnsi="仿宋" w:eastAsia="仿宋" w:cs="仿宋"/>
                <w:color w:val="auto"/>
                <w:szCs w:val="24"/>
                <w:highlight w:val="none"/>
              </w:rPr>
            </w:pPr>
            <w:r>
              <w:rPr>
                <w:rFonts w:hint="eastAsia" w:ascii="仿宋" w:hAnsi="仿宋" w:eastAsia="仿宋" w:cs="仿宋"/>
                <w:color w:val="auto"/>
                <w:sz w:val="24"/>
                <w:highlight w:val="none"/>
              </w:rPr>
              <w:t>《中标通知书》</w:t>
            </w:r>
            <w:r>
              <w:rPr>
                <w:rFonts w:hint="eastAsia" w:ascii="仿宋" w:hAnsi="仿宋" w:eastAsia="仿宋" w:cs="仿宋"/>
                <w:color w:val="auto"/>
                <w:szCs w:val="24"/>
                <w:highlight w:val="none"/>
              </w:rPr>
              <w:t>发出后30日内。</w:t>
            </w:r>
          </w:p>
        </w:tc>
      </w:tr>
      <w:tr w14:paraId="3EB57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62FA878D">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Cs w:val="24"/>
                <w:highlight w:val="none"/>
              </w:rPr>
              <w:t>1</w:t>
            </w:r>
            <w:r>
              <w:rPr>
                <w:rFonts w:hint="eastAsia" w:ascii="仿宋" w:hAnsi="仿宋" w:eastAsia="仿宋" w:cs="仿宋"/>
                <w:b/>
                <w:bCs/>
                <w:color w:val="auto"/>
                <w:szCs w:val="24"/>
                <w:highlight w:val="none"/>
                <w:lang w:val="en-US" w:eastAsia="zh-CN"/>
              </w:rPr>
              <w:t>8</w:t>
            </w:r>
          </w:p>
        </w:tc>
        <w:tc>
          <w:tcPr>
            <w:tcW w:w="1747" w:type="dxa"/>
            <w:vAlign w:val="center"/>
          </w:tcPr>
          <w:p w14:paraId="08E45A01">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转包与分包</w:t>
            </w:r>
          </w:p>
        </w:tc>
        <w:tc>
          <w:tcPr>
            <w:tcW w:w="7618" w:type="dxa"/>
            <w:vAlign w:val="center"/>
          </w:tcPr>
          <w:p w14:paraId="4238BE1B">
            <w:pPr>
              <w:pStyle w:val="25"/>
              <w:spacing w:line="34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本项目不允许转包和分包。</w:t>
            </w:r>
          </w:p>
        </w:tc>
      </w:tr>
      <w:tr w14:paraId="7E11B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04" w:type="dxa"/>
            <w:vAlign w:val="center"/>
          </w:tcPr>
          <w:p w14:paraId="5D1EBD8A">
            <w:pPr>
              <w:pStyle w:val="25"/>
              <w:spacing w:line="34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
                <w:color w:val="auto"/>
                <w:szCs w:val="24"/>
                <w:highlight w:val="none"/>
                <w:lang w:val="en-US" w:eastAsia="zh-CN"/>
              </w:rPr>
              <w:t>19</w:t>
            </w:r>
          </w:p>
        </w:tc>
        <w:tc>
          <w:tcPr>
            <w:tcW w:w="1747" w:type="dxa"/>
            <w:vAlign w:val="center"/>
          </w:tcPr>
          <w:p w14:paraId="6EE50A65">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履约保证金</w:t>
            </w:r>
          </w:p>
        </w:tc>
        <w:tc>
          <w:tcPr>
            <w:tcW w:w="7618" w:type="dxa"/>
            <w:vAlign w:val="center"/>
          </w:tcPr>
          <w:p w14:paraId="165C2264">
            <w:pPr>
              <w:numPr>
                <w:ilvl w:val="0"/>
                <w:numId w:val="0"/>
              </w:numPr>
              <w:spacing w:line="340" w:lineRule="exact"/>
              <w:ind w:left="0" w:leftChars="0" w:firstLine="0" w:firstLineChars="0"/>
              <w:rPr>
                <w:rFonts w:hint="default" w:ascii="仿宋" w:hAnsi="仿宋" w:eastAsia="仿宋" w:cs="仿宋"/>
                <w:color w:val="auto"/>
                <w:kern w:val="2"/>
                <w:sz w:val="24"/>
                <w:szCs w:val="24"/>
                <w:highlight w:val="none"/>
                <w:lang w:val="en-US" w:eastAsia="zh-CN" w:bidi="ar-SA"/>
              </w:rPr>
            </w:pPr>
            <w:r>
              <w:rPr>
                <w:rFonts w:hint="default" w:ascii="仿宋" w:hAnsi="仿宋" w:eastAsia="仿宋" w:cs="仿宋"/>
                <w:color w:val="auto"/>
                <w:kern w:val="2"/>
                <w:sz w:val="24"/>
                <w:szCs w:val="24"/>
                <w:highlight w:val="none"/>
                <w:lang w:val="en-US" w:eastAsia="zh-CN" w:bidi="ar-SA"/>
              </w:rPr>
              <w:t>按招标文件相关要求执行。</w:t>
            </w:r>
          </w:p>
        </w:tc>
      </w:tr>
      <w:tr w14:paraId="00EC9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71996265">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2</w:t>
            </w:r>
            <w:r>
              <w:rPr>
                <w:rFonts w:hint="eastAsia" w:ascii="仿宋" w:hAnsi="仿宋" w:eastAsia="仿宋" w:cs="仿宋"/>
                <w:b/>
                <w:color w:val="auto"/>
                <w:szCs w:val="24"/>
                <w:highlight w:val="none"/>
                <w:lang w:val="en-US" w:eastAsia="zh-CN"/>
              </w:rPr>
              <w:t>0</w:t>
            </w:r>
          </w:p>
        </w:tc>
        <w:tc>
          <w:tcPr>
            <w:tcW w:w="1747" w:type="dxa"/>
            <w:vAlign w:val="center"/>
          </w:tcPr>
          <w:p w14:paraId="1E4A680A">
            <w:pPr>
              <w:pStyle w:val="25"/>
              <w:spacing w:line="34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投标文件递交</w:t>
            </w:r>
          </w:p>
          <w:p w14:paraId="0D20B1DB">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地点</w:t>
            </w:r>
          </w:p>
        </w:tc>
        <w:tc>
          <w:tcPr>
            <w:tcW w:w="7618" w:type="dxa"/>
            <w:vAlign w:val="center"/>
          </w:tcPr>
          <w:p w14:paraId="7E8DCA79">
            <w:pPr>
              <w:snapToGrid w:val="0"/>
              <w:spacing w:line="340" w:lineRule="exact"/>
              <w:rPr>
                <w:rFonts w:ascii="仿宋" w:hAnsi="仿宋" w:eastAsia="仿宋" w:cs="仿宋"/>
                <w:b/>
                <w:bCs/>
                <w:color w:val="auto"/>
                <w:sz w:val="24"/>
                <w:szCs w:val="24"/>
                <w:highlight w:val="none"/>
              </w:rPr>
            </w:pPr>
            <w:r>
              <w:rPr>
                <w:rFonts w:hint="eastAsia" w:ascii="仿宋" w:hAnsi="仿宋" w:eastAsia="仿宋" w:cs="仿宋"/>
                <w:color w:val="auto"/>
                <w:kern w:val="2"/>
                <w:sz w:val="24"/>
                <w:szCs w:val="24"/>
                <w:highlight w:val="none"/>
              </w:rPr>
              <w:t>乐采云平台（www.lecaiyun.com）</w:t>
            </w:r>
          </w:p>
        </w:tc>
      </w:tr>
      <w:tr w14:paraId="1E6FE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27963FD1">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2</w:t>
            </w:r>
            <w:r>
              <w:rPr>
                <w:rFonts w:hint="eastAsia" w:ascii="仿宋" w:hAnsi="仿宋" w:eastAsia="仿宋" w:cs="仿宋"/>
                <w:b/>
                <w:color w:val="auto"/>
                <w:szCs w:val="24"/>
                <w:highlight w:val="none"/>
                <w:lang w:val="en-US" w:eastAsia="zh-CN"/>
              </w:rPr>
              <w:t>1</w:t>
            </w:r>
          </w:p>
        </w:tc>
        <w:tc>
          <w:tcPr>
            <w:tcW w:w="1747" w:type="dxa"/>
            <w:vAlign w:val="center"/>
          </w:tcPr>
          <w:p w14:paraId="0220A79E">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投标文件上传截止时间</w:t>
            </w:r>
          </w:p>
        </w:tc>
        <w:tc>
          <w:tcPr>
            <w:tcW w:w="7618" w:type="dxa"/>
            <w:vAlign w:val="center"/>
          </w:tcPr>
          <w:p w14:paraId="7E802375">
            <w:pPr>
              <w:snapToGrid w:val="0"/>
              <w:spacing w:line="340" w:lineRule="exact"/>
              <w:rPr>
                <w:rFonts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202</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年</w:t>
            </w:r>
            <w:r>
              <w:rPr>
                <w:rFonts w:hint="eastAsia" w:ascii="仿宋" w:hAnsi="仿宋" w:eastAsia="仿宋" w:cs="仿宋"/>
                <w:b w:val="0"/>
                <w:bCs/>
                <w:color w:val="auto"/>
                <w:sz w:val="24"/>
                <w:szCs w:val="24"/>
                <w:highlight w:val="none"/>
                <w:lang w:val="en-US" w:eastAsia="zh-CN"/>
              </w:rPr>
              <w:t>11月21</w:t>
            </w:r>
            <w:r>
              <w:rPr>
                <w:rFonts w:hint="eastAsia" w:ascii="仿宋" w:hAnsi="仿宋" w:eastAsia="仿宋" w:cs="仿宋"/>
                <w:b w:val="0"/>
                <w:bCs/>
                <w:color w:val="auto"/>
                <w:sz w:val="24"/>
                <w:szCs w:val="24"/>
                <w:highlight w:val="none"/>
              </w:rPr>
              <w:t>日</w:t>
            </w:r>
            <w:r>
              <w:rPr>
                <w:rFonts w:hint="eastAsia" w:ascii="仿宋" w:hAnsi="仿宋" w:eastAsia="仿宋" w:cs="仿宋"/>
                <w:b w:val="0"/>
                <w:bCs/>
                <w:color w:val="auto"/>
                <w:sz w:val="24"/>
                <w:szCs w:val="24"/>
                <w:highlight w:val="none"/>
                <w:lang w:val="en-US" w:eastAsia="zh-CN"/>
              </w:rPr>
              <w:t>09</w:t>
            </w:r>
            <w:r>
              <w:rPr>
                <w:rFonts w:hint="eastAsia" w:ascii="仿宋" w:hAnsi="仿宋" w:eastAsia="仿宋" w:cs="仿宋"/>
                <w:b w:val="0"/>
                <w:bCs/>
                <w:color w:val="auto"/>
                <w:sz w:val="24"/>
                <w:szCs w:val="24"/>
                <w:highlight w:val="none"/>
              </w:rPr>
              <w:t>点</w:t>
            </w:r>
            <w:r>
              <w:rPr>
                <w:rFonts w:hint="eastAsia" w:ascii="仿宋" w:hAnsi="仿宋" w:eastAsia="仿宋" w:cs="仿宋"/>
                <w:b w:val="0"/>
                <w:bCs/>
                <w:color w:val="auto"/>
                <w:sz w:val="24"/>
                <w:szCs w:val="24"/>
                <w:highlight w:val="none"/>
                <w:lang w:val="en-US" w:eastAsia="zh-CN"/>
              </w:rPr>
              <w:t>30</w:t>
            </w:r>
            <w:r>
              <w:rPr>
                <w:rFonts w:hint="eastAsia" w:ascii="仿宋" w:hAnsi="仿宋" w:eastAsia="仿宋" w:cs="仿宋"/>
                <w:b w:val="0"/>
                <w:bCs/>
                <w:color w:val="auto"/>
                <w:sz w:val="24"/>
                <w:szCs w:val="24"/>
                <w:highlight w:val="none"/>
              </w:rPr>
              <w:t>分（北京时间）</w:t>
            </w:r>
          </w:p>
        </w:tc>
      </w:tr>
      <w:tr w14:paraId="4F526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36F8ACE9">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2</w:t>
            </w:r>
            <w:r>
              <w:rPr>
                <w:rFonts w:hint="eastAsia" w:ascii="仿宋" w:hAnsi="仿宋" w:eastAsia="仿宋" w:cs="仿宋"/>
                <w:b/>
                <w:color w:val="auto"/>
                <w:szCs w:val="24"/>
                <w:highlight w:val="none"/>
                <w:lang w:val="en-US" w:eastAsia="zh-CN"/>
              </w:rPr>
              <w:t>2</w:t>
            </w:r>
          </w:p>
        </w:tc>
        <w:tc>
          <w:tcPr>
            <w:tcW w:w="1747" w:type="dxa"/>
            <w:vAlign w:val="center"/>
          </w:tcPr>
          <w:p w14:paraId="22AE5BD6">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开标时间</w:t>
            </w:r>
          </w:p>
        </w:tc>
        <w:tc>
          <w:tcPr>
            <w:tcW w:w="7618" w:type="dxa"/>
            <w:vAlign w:val="center"/>
          </w:tcPr>
          <w:p w14:paraId="59EC10E0">
            <w:pPr>
              <w:snapToGrid w:val="0"/>
              <w:spacing w:line="340" w:lineRule="exact"/>
              <w:rPr>
                <w:rFonts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202</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rPr>
              <w:t>年</w:t>
            </w:r>
            <w:r>
              <w:rPr>
                <w:rFonts w:hint="eastAsia" w:ascii="仿宋" w:hAnsi="仿宋" w:eastAsia="仿宋" w:cs="仿宋"/>
                <w:b w:val="0"/>
                <w:bCs/>
                <w:color w:val="auto"/>
                <w:sz w:val="24"/>
                <w:szCs w:val="24"/>
                <w:highlight w:val="none"/>
                <w:lang w:val="en-US" w:eastAsia="zh-CN"/>
              </w:rPr>
              <w:t>11月21</w:t>
            </w:r>
            <w:r>
              <w:rPr>
                <w:rFonts w:hint="eastAsia" w:ascii="仿宋" w:hAnsi="仿宋" w:eastAsia="仿宋" w:cs="仿宋"/>
                <w:b w:val="0"/>
                <w:bCs/>
                <w:color w:val="auto"/>
                <w:sz w:val="24"/>
                <w:szCs w:val="24"/>
                <w:highlight w:val="none"/>
              </w:rPr>
              <w:t>日</w:t>
            </w:r>
            <w:r>
              <w:rPr>
                <w:rFonts w:hint="eastAsia" w:ascii="仿宋" w:hAnsi="仿宋" w:eastAsia="仿宋" w:cs="仿宋"/>
                <w:b w:val="0"/>
                <w:bCs/>
                <w:color w:val="auto"/>
                <w:sz w:val="24"/>
                <w:szCs w:val="24"/>
                <w:highlight w:val="none"/>
                <w:lang w:val="en-US" w:eastAsia="zh-CN"/>
              </w:rPr>
              <w:t>09</w:t>
            </w:r>
            <w:r>
              <w:rPr>
                <w:rFonts w:hint="eastAsia" w:ascii="仿宋" w:hAnsi="仿宋" w:eastAsia="仿宋" w:cs="仿宋"/>
                <w:b w:val="0"/>
                <w:bCs/>
                <w:color w:val="auto"/>
                <w:sz w:val="24"/>
                <w:szCs w:val="24"/>
                <w:highlight w:val="none"/>
              </w:rPr>
              <w:t>点</w:t>
            </w:r>
            <w:r>
              <w:rPr>
                <w:rFonts w:hint="eastAsia" w:ascii="仿宋" w:hAnsi="仿宋" w:eastAsia="仿宋" w:cs="仿宋"/>
                <w:b w:val="0"/>
                <w:bCs/>
                <w:color w:val="auto"/>
                <w:sz w:val="24"/>
                <w:szCs w:val="24"/>
                <w:highlight w:val="none"/>
                <w:lang w:val="en-US" w:eastAsia="zh-CN"/>
              </w:rPr>
              <w:t>30</w:t>
            </w:r>
            <w:r>
              <w:rPr>
                <w:rFonts w:hint="eastAsia" w:ascii="仿宋" w:hAnsi="仿宋" w:eastAsia="仿宋" w:cs="仿宋"/>
                <w:b w:val="0"/>
                <w:bCs/>
                <w:color w:val="auto"/>
                <w:sz w:val="24"/>
                <w:szCs w:val="24"/>
                <w:highlight w:val="none"/>
              </w:rPr>
              <w:t>分（北京时间）</w:t>
            </w:r>
          </w:p>
        </w:tc>
      </w:tr>
      <w:tr w14:paraId="043A7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5893D879">
            <w:pPr>
              <w:pStyle w:val="25"/>
              <w:spacing w:line="340" w:lineRule="exact"/>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2</w:t>
            </w:r>
            <w:r>
              <w:rPr>
                <w:rFonts w:hint="eastAsia" w:ascii="仿宋" w:hAnsi="仿宋" w:eastAsia="仿宋" w:cs="仿宋"/>
                <w:b/>
                <w:color w:val="auto"/>
                <w:szCs w:val="24"/>
                <w:highlight w:val="none"/>
                <w:lang w:val="en-US" w:eastAsia="zh-CN"/>
              </w:rPr>
              <w:t>3</w:t>
            </w:r>
          </w:p>
        </w:tc>
        <w:tc>
          <w:tcPr>
            <w:tcW w:w="1747" w:type="dxa"/>
            <w:vAlign w:val="center"/>
          </w:tcPr>
          <w:p w14:paraId="1C08E724">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开标地点</w:t>
            </w:r>
          </w:p>
        </w:tc>
        <w:tc>
          <w:tcPr>
            <w:tcW w:w="7618" w:type="dxa"/>
            <w:vAlign w:val="center"/>
          </w:tcPr>
          <w:p w14:paraId="2EA36575">
            <w:pPr>
              <w:snapToGrid w:val="0"/>
              <w:spacing w:line="340" w:lineRule="exact"/>
              <w:rPr>
                <w:rFonts w:ascii="仿宋" w:hAnsi="仿宋" w:eastAsia="仿宋" w:cs="仿宋"/>
                <w:b/>
                <w:bCs/>
                <w:color w:val="auto"/>
                <w:sz w:val="24"/>
                <w:szCs w:val="24"/>
                <w:highlight w:val="none"/>
              </w:rPr>
            </w:pPr>
            <w:r>
              <w:rPr>
                <w:rFonts w:hint="eastAsia" w:ascii="仿宋" w:hAnsi="仿宋" w:eastAsia="仿宋" w:cs="仿宋"/>
                <w:color w:val="auto"/>
                <w:kern w:val="2"/>
                <w:sz w:val="24"/>
                <w:szCs w:val="24"/>
                <w:highlight w:val="none"/>
              </w:rPr>
              <w:t>诸暨市宸佳工程管理有限公司</w:t>
            </w:r>
            <w:r>
              <w:rPr>
                <w:rFonts w:hint="eastAsia" w:ascii="仿宋" w:hAnsi="仿宋" w:eastAsia="仿宋" w:cs="仿宋"/>
                <w:color w:val="auto"/>
                <w:kern w:val="2"/>
                <w:sz w:val="24"/>
                <w:szCs w:val="24"/>
                <w:highlight w:val="none"/>
                <w:lang w:val="en-US" w:eastAsia="zh-CN"/>
              </w:rPr>
              <w:t>二</w:t>
            </w:r>
            <w:r>
              <w:rPr>
                <w:rFonts w:hint="eastAsia" w:ascii="仿宋" w:hAnsi="仿宋" w:eastAsia="仿宋" w:cs="仿宋"/>
                <w:color w:val="auto"/>
                <w:kern w:val="2"/>
                <w:sz w:val="24"/>
                <w:szCs w:val="24"/>
                <w:highlight w:val="none"/>
              </w:rPr>
              <w:t>楼评标室（诸暨市暨阳街道苎萝东路218号金悦华庭商铺232号）</w:t>
            </w:r>
          </w:p>
        </w:tc>
      </w:tr>
      <w:tr w14:paraId="7AFC0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04" w:type="dxa"/>
            <w:vAlign w:val="center"/>
          </w:tcPr>
          <w:p w14:paraId="7BD7EB43">
            <w:pPr>
              <w:pStyle w:val="25"/>
              <w:spacing w:line="340" w:lineRule="exact"/>
              <w:jc w:val="center"/>
              <w:rPr>
                <w:rFonts w:hint="default"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rPr>
              <w:t>2</w:t>
            </w:r>
            <w:r>
              <w:rPr>
                <w:rFonts w:hint="eastAsia" w:ascii="仿宋" w:hAnsi="仿宋" w:eastAsia="仿宋" w:cs="仿宋"/>
                <w:b/>
                <w:color w:val="auto"/>
                <w:szCs w:val="24"/>
                <w:highlight w:val="none"/>
                <w:lang w:val="en-US" w:eastAsia="zh-CN"/>
              </w:rPr>
              <w:t>4</w:t>
            </w:r>
          </w:p>
        </w:tc>
        <w:tc>
          <w:tcPr>
            <w:tcW w:w="1747" w:type="dxa"/>
            <w:vAlign w:val="center"/>
          </w:tcPr>
          <w:p w14:paraId="2F921EC0">
            <w:pPr>
              <w:pStyle w:val="25"/>
              <w:spacing w:line="34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其他</w:t>
            </w:r>
          </w:p>
        </w:tc>
        <w:tc>
          <w:tcPr>
            <w:tcW w:w="7618" w:type="dxa"/>
            <w:vAlign w:val="center"/>
          </w:tcPr>
          <w:p w14:paraId="3FA68025">
            <w:pPr>
              <w:pStyle w:val="44"/>
              <w:widowControl w:val="0"/>
              <w:numPr>
                <w:ilvl w:val="0"/>
                <w:numId w:val="12"/>
              </w:numPr>
              <w:autoSpaceDE w:val="0"/>
              <w:spacing w:before="0" w:beforeAutospacing="0" w:after="0" w:afterAutospacing="0" w:line="340" w:lineRule="exact"/>
              <w:rPr>
                <w:rFonts w:ascii="仿宋" w:hAnsi="仿宋" w:eastAsia="仿宋" w:cs="仿宋"/>
                <w:color w:val="auto"/>
                <w:highlight w:val="none"/>
                <w:lang w:bidi="ar"/>
              </w:rPr>
            </w:pPr>
            <w:r>
              <w:rPr>
                <w:rFonts w:hint="eastAsia" w:ascii="仿宋" w:hAnsi="仿宋" w:eastAsia="仿宋" w:cs="仿宋"/>
                <w:color w:val="auto"/>
                <w:highlight w:val="none"/>
                <w:lang w:bidi="ar"/>
              </w:rPr>
              <w:t>具体收费标准按诸国资办</w:t>
            </w:r>
            <w:r>
              <w:rPr>
                <w:rFonts w:hint="eastAsia" w:ascii="仿宋" w:hAnsi="仿宋" w:eastAsia="仿宋" w:cs="仿宋"/>
                <w:color w:val="auto"/>
                <w:highlight w:val="none"/>
                <w:lang w:eastAsia="zh-CN" w:bidi="ar"/>
              </w:rPr>
              <w:t>〔</w:t>
            </w:r>
            <w:r>
              <w:rPr>
                <w:rFonts w:hint="eastAsia" w:ascii="仿宋" w:hAnsi="仿宋" w:eastAsia="仿宋" w:cs="仿宋"/>
                <w:color w:val="auto"/>
                <w:highlight w:val="none"/>
                <w:lang w:bidi="ar"/>
              </w:rPr>
              <w:t>2021</w:t>
            </w:r>
            <w:r>
              <w:rPr>
                <w:rFonts w:hint="eastAsia" w:ascii="仿宋" w:hAnsi="仿宋" w:eastAsia="仿宋" w:cs="仿宋"/>
                <w:color w:val="auto"/>
                <w:highlight w:val="none"/>
                <w:lang w:eastAsia="zh-CN" w:bidi="ar"/>
              </w:rPr>
              <w:t>〕</w:t>
            </w:r>
            <w:r>
              <w:rPr>
                <w:rFonts w:hint="eastAsia" w:ascii="仿宋" w:hAnsi="仿宋" w:eastAsia="仿宋" w:cs="仿宋"/>
                <w:color w:val="auto"/>
                <w:highlight w:val="none"/>
                <w:lang w:bidi="ar"/>
              </w:rPr>
              <w:t>5号关于印发《诸暨市国有企业货物和服务采购管理办法》的通知文件执行</w:t>
            </w:r>
            <w:r>
              <w:rPr>
                <w:rFonts w:hint="eastAsia" w:ascii="仿宋" w:hAnsi="仿宋" w:eastAsia="仿宋" w:cs="仿宋"/>
                <w:color w:val="auto"/>
                <w:highlight w:val="none"/>
                <w:lang w:val="en-US" w:eastAsia="zh-CN" w:bidi="ar"/>
              </w:rPr>
              <w:t>，收费基数为各标项合同总金额。不足3000元按3000元收取，最高不超过15000元。</w:t>
            </w:r>
            <w:r>
              <w:rPr>
                <w:rFonts w:hint="eastAsia" w:ascii="仿宋" w:hAnsi="仿宋" w:eastAsia="仿宋" w:cs="仿宋"/>
                <w:color w:val="auto"/>
                <w:highlight w:val="none"/>
                <w:lang w:bidi="ar"/>
              </w:rPr>
              <w:t>（以上费用请供应商在报价时一并考虑）</w:t>
            </w:r>
          </w:p>
          <w:p w14:paraId="69378C1B">
            <w:pPr>
              <w:pStyle w:val="44"/>
              <w:widowControl w:val="0"/>
              <w:autoSpaceDE w:val="0"/>
              <w:spacing w:before="0" w:beforeAutospacing="0" w:after="0" w:afterAutospacing="0" w:line="340" w:lineRule="exact"/>
              <w:rPr>
                <w:rFonts w:ascii="仿宋" w:hAnsi="仿宋" w:eastAsia="仿宋" w:cs="仿宋"/>
                <w:color w:val="auto"/>
                <w:highlight w:val="none"/>
                <w:lang w:bidi="ar"/>
              </w:rPr>
            </w:pPr>
            <w:r>
              <w:rPr>
                <w:rFonts w:hint="eastAsia" w:ascii="仿宋" w:hAnsi="仿宋" w:eastAsia="仿宋" w:cs="仿宋"/>
                <w:color w:val="auto"/>
                <w:highlight w:val="none"/>
                <w:lang w:bidi="ar"/>
              </w:rPr>
              <w:t>（2）收取方式：本项目的招标代理服务费由中标人支付，在领取</w:t>
            </w:r>
            <w:r>
              <w:rPr>
                <w:rFonts w:hint="eastAsia" w:ascii="仿宋" w:hAnsi="仿宋" w:eastAsia="仿宋" w:cs="仿宋"/>
                <w:color w:val="auto"/>
                <w:highlight w:val="none"/>
                <w:lang w:eastAsia="zh-CN" w:bidi="ar"/>
              </w:rPr>
              <w:t>《</w:t>
            </w:r>
            <w:r>
              <w:rPr>
                <w:rFonts w:hint="eastAsia" w:ascii="仿宋" w:hAnsi="仿宋" w:eastAsia="仿宋" w:cs="仿宋"/>
                <w:color w:val="auto"/>
                <w:highlight w:val="none"/>
                <w:lang w:bidi="ar"/>
              </w:rPr>
              <w:t>中标通知书</w:t>
            </w:r>
            <w:r>
              <w:rPr>
                <w:rFonts w:hint="eastAsia" w:ascii="仿宋" w:hAnsi="仿宋" w:eastAsia="仿宋" w:cs="仿宋"/>
                <w:color w:val="auto"/>
                <w:highlight w:val="none"/>
                <w:lang w:eastAsia="zh-CN" w:bidi="ar"/>
              </w:rPr>
              <w:t>》</w:t>
            </w:r>
            <w:r>
              <w:rPr>
                <w:rFonts w:hint="eastAsia" w:ascii="仿宋" w:hAnsi="仿宋" w:eastAsia="仿宋" w:cs="仿宋"/>
                <w:color w:val="auto"/>
                <w:highlight w:val="none"/>
                <w:lang w:bidi="ar"/>
              </w:rPr>
              <w:t>前，一次性向采购代理机构付清。</w:t>
            </w:r>
          </w:p>
          <w:p w14:paraId="5BA041AE">
            <w:pPr>
              <w:spacing w:line="340" w:lineRule="exact"/>
              <w:rPr>
                <w:rFonts w:ascii="仿宋" w:hAnsi="仿宋" w:eastAsia="仿宋" w:cs="仿宋"/>
                <w:b/>
                <w:bCs/>
                <w:color w:val="auto"/>
                <w:sz w:val="24"/>
                <w:szCs w:val="24"/>
                <w:highlight w:val="none"/>
              </w:rPr>
            </w:pPr>
            <w:r>
              <w:rPr>
                <w:rFonts w:hint="eastAsia" w:ascii="仿宋" w:hAnsi="仿宋" w:eastAsia="仿宋" w:cs="仿宋"/>
                <w:color w:val="auto"/>
                <w:kern w:val="2"/>
                <w:sz w:val="24"/>
                <w:szCs w:val="24"/>
                <w:highlight w:val="none"/>
                <w:lang w:bidi="ar"/>
              </w:rPr>
              <w:t>（3）代理费缴纳账户：诸暨市宸佳工程管理有限公司，开户行：诸暨农村商业银行股份有限公司暨阳支行，账号：201000274056269</w:t>
            </w:r>
          </w:p>
        </w:tc>
      </w:tr>
      <w:tr w14:paraId="67DDE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704" w:type="dxa"/>
            <w:vAlign w:val="center"/>
          </w:tcPr>
          <w:p w14:paraId="710825C8">
            <w:pPr>
              <w:pStyle w:val="25"/>
              <w:spacing w:line="340" w:lineRule="exact"/>
              <w:jc w:val="center"/>
              <w:rPr>
                <w:rFonts w:hint="default"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Cs w:val="24"/>
                <w:highlight w:val="none"/>
                <w:lang w:val="en-US" w:eastAsia="zh-CN"/>
              </w:rPr>
              <w:t>25</w:t>
            </w:r>
          </w:p>
        </w:tc>
        <w:tc>
          <w:tcPr>
            <w:tcW w:w="1747" w:type="dxa"/>
            <w:vAlign w:val="center"/>
          </w:tcPr>
          <w:p w14:paraId="441634CC">
            <w:pPr>
              <w:pStyle w:val="25"/>
              <w:spacing w:line="40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特别提醒</w:t>
            </w:r>
          </w:p>
        </w:tc>
        <w:tc>
          <w:tcPr>
            <w:tcW w:w="7618" w:type="dxa"/>
            <w:vAlign w:val="center"/>
          </w:tcPr>
          <w:p w14:paraId="22980984">
            <w:pPr>
              <w:snapToGrid w:val="0"/>
              <w:spacing w:line="276" w:lineRule="auto"/>
              <w:rPr>
                <w:rFonts w:ascii="仿宋" w:hAnsi="仿宋" w:eastAsia="仿宋" w:cs="仿宋"/>
                <w:color w:val="auto"/>
                <w:szCs w:val="24"/>
                <w:highlight w:val="none"/>
              </w:rPr>
            </w:pPr>
            <w:r>
              <w:rPr>
                <w:rFonts w:hint="eastAsia" w:ascii="仿宋" w:hAnsi="仿宋" w:eastAsia="仿宋" w:cs="仿宋"/>
                <w:b/>
                <w:color w:val="auto"/>
                <w:sz w:val="24"/>
                <w:szCs w:val="24"/>
                <w:highlight w:val="none"/>
              </w:rPr>
              <w:t>请投标人仔细阅读本招标文件，其中若带有“★”标记的条款为实质性内容及要求，投标人必须对带有“★”标记的条款作出实质性响应。</w:t>
            </w:r>
            <w:r>
              <w:rPr>
                <w:rFonts w:hint="eastAsia" w:ascii="仿宋" w:hAnsi="仿宋" w:eastAsia="仿宋" w:cs="仿宋"/>
                <w:b/>
                <w:color w:val="auto"/>
                <w:sz w:val="24"/>
                <w:highlight w:val="none"/>
              </w:rPr>
              <w:t>如任意一条打“★”的条款出现负偏离视为实质性不响应招标文件要求，作无效投标处理。</w:t>
            </w:r>
          </w:p>
        </w:tc>
      </w:tr>
    </w:tbl>
    <w:p w14:paraId="1E84650D">
      <w:pPr>
        <w:rPr>
          <w:rFonts w:ascii="宋体" w:hAnsi="宋体"/>
          <w:color w:val="auto"/>
          <w:highlight w:val="none"/>
        </w:rPr>
        <w:sectPr>
          <w:pgSz w:w="11905" w:h="16838"/>
          <w:pgMar w:top="1440" w:right="1083" w:bottom="1440" w:left="1083" w:header="850" w:footer="964" w:gutter="0"/>
          <w:pgNumType w:fmt="decimal"/>
          <w:cols w:space="0" w:num="1"/>
          <w:titlePg/>
          <w:rtlGutter w:val="0"/>
          <w:docGrid w:type="lines" w:linePitch="315" w:charSpace="0"/>
        </w:sectPr>
      </w:pPr>
    </w:p>
    <w:bookmarkEnd w:id="2"/>
    <w:p w14:paraId="6BDF6AB4">
      <w:pPr>
        <w:pStyle w:val="3"/>
        <w:spacing w:before="0" w:after="0" w:line="240" w:lineRule="auto"/>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一、总</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则</w:t>
      </w:r>
    </w:p>
    <w:p w14:paraId="61897A2F">
      <w:pPr>
        <w:spacing w:line="420" w:lineRule="exact"/>
        <w:ind w:firstLine="482" w:firstLineChars="200"/>
        <w:rPr>
          <w:rFonts w:ascii="仿宋" w:hAnsi="仿宋" w:eastAsia="仿宋" w:cs="仿宋"/>
          <w:color w:val="auto"/>
          <w:highlight w:val="none"/>
        </w:rPr>
      </w:pPr>
      <w:r>
        <w:rPr>
          <w:rFonts w:hint="eastAsia" w:ascii="仿宋" w:hAnsi="仿宋" w:eastAsia="仿宋" w:cs="仿宋"/>
          <w:b/>
          <w:bCs/>
          <w:color w:val="auto"/>
          <w:sz w:val="24"/>
          <w:highlight w:val="none"/>
        </w:rPr>
        <w:t>1.</w:t>
      </w:r>
      <w:r>
        <w:rPr>
          <w:rFonts w:hint="eastAsia" w:ascii="仿宋" w:hAnsi="仿宋" w:eastAsia="仿宋" w:cs="仿宋"/>
          <w:b/>
          <w:color w:val="auto"/>
          <w:sz w:val="24"/>
          <w:highlight w:val="none"/>
        </w:rPr>
        <w:t>适用范围</w:t>
      </w:r>
    </w:p>
    <w:p w14:paraId="3DC059BC">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本招标文件适用于本次所述项目的招标。</w:t>
      </w:r>
    </w:p>
    <w:p w14:paraId="568F4D87">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FB211AF">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2.1“采购人”系指组织本次招标的单位。</w:t>
      </w:r>
    </w:p>
    <w:p w14:paraId="0036C637">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2.2“采购代理机构”系指诸暨市宸佳工程管理有限公司。</w:t>
      </w:r>
    </w:p>
    <w:p w14:paraId="1E796A7B">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2.3“投标人”系指向采购人和采购代理机构提交投标文件的供应商。</w:t>
      </w:r>
    </w:p>
    <w:p w14:paraId="38FCDEFE">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2.4“货物”系指供方按招标文件规定，须向采购人提供的一切设备、保险、税金、备品备件、工具、手册</w:t>
      </w:r>
      <w:r>
        <w:rPr>
          <w:rFonts w:hint="eastAsia" w:ascii="仿宋" w:hAnsi="仿宋" w:eastAsia="仿宋" w:cs="仿宋"/>
          <w:color w:val="auto"/>
          <w:sz w:val="24"/>
          <w:highlight w:val="none"/>
          <w:lang w:eastAsia="zh-CN"/>
        </w:rPr>
        <w:t>及其他有关</w:t>
      </w:r>
      <w:r>
        <w:rPr>
          <w:rFonts w:hint="eastAsia" w:ascii="仿宋" w:hAnsi="仿宋" w:eastAsia="仿宋" w:cs="仿宋"/>
          <w:color w:val="auto"/>
          <w:sz w:val="24"/>
          <w:highlight w:val="none"/>
        </w:rPr>
        <w:t>技术资料和材料。</w:t>
      </w:r>
    </w:p>
    <w:p w14:paraId="0496DA20">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2.5“服务”系指招标文件规定投标人须承担的安装、调试、技术协助、校准、培训、技术指导以及其他类似的义务。</w:t>
      </w:r>
    </w:p>
    <w:p w14:paraId="11D3495A">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2.6“项目”系指投标人按招标文件规定向采购人提供的货物和服务。</w:t>
      </w:r>
    </w:p>
    <w:p w14:paraId="3A641966">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2.7“书面形式”包括信函、传真、电报等。</w:t>
      </w:r>
    </w:p>
    <w:p w14:paraId="50DFEC7E">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2.8本招标文件所述设备品牌、型号是结合实际现有情况的推荐性参考方案，投标人也可根据招标文件</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要求参考性能相当或高于、服务条款相等或高于、符合招标方实际业务需求其他同档次优质品牌的产品，进行方案优化。所投产品不在参考品牌范围内的，是否符合招标文件要求由评标委员会在投标文件评审时集体讨论决定。</w:t>
      </w:r>
    </w:p>
    <w:p w14:paraId="3A8A07E2">
      <w:pPr>
        <w:snapToGrid w:val="0"/>
        <w:spacing w:line="42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3.采购方式</w:t>
      </w:r>
    </w:p>
    <w:p w14:paraId="6F682C21">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本次采购采用公开招标方式进行。</w:t>
      </w:r>
    </w:p>
    <w:p w14:paraId="16F8B9E8">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4.投标人及投标委托有关说明</w:t>
      </w:r>
    </w:p>
    <w:p w14:paraId="1EEACDD6">
      <w:pPr>
        <w:snapToGrid w:val="0"/>
        <w:spacing w:line="42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4.1供应商代表须提供居民身份证复印件。如供应商代表不是法定代表人，须有法定代表人出具的授权委托书。</w:t>
      </w:r>
    </w:p>
    <w:p w14:paraId="26E84B85">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5.投标费用</w:t>
      </w:r>
    </w:p>
    <w:p w14:paraId="73321FCC">
      <w:pPr>
        <w:snapToGrid w:val="0"/>
        <w:spacing w:line="420" w:lineRule="exact"/>
        <w:ind w:firstLine="480" w:firstLineChars="200"/>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投标人应自行承担获得招标文件和编制、提交投标文件所涉及的一切费用。不论投标结果如何，投标人均应自行承担所有与投标有关的全部费用。对中标人收取采购代理服务费。</w:t>
      </w:r>
    </w:p>
    <w:p w14:paraId="727182EA">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6.特别说明</w:t>
      </w:r>
    </w:p>
    <w:p w14:paraId="1A7E8B80">
      <w:pPr>
        <w:pStyle w:val="25"/>
        <w:snapToGrid w:val="0"/>
        <w:spacing w:line="420" w:lineRule="exact"/>
        <w:ind w:firstLine="480" w:firstLineChars="200"/>
        <w:jc w:val="left"/>
        <w:rPr>
          <w:rFonts w:ascii="仿宋" w:hAnsi="仿宋" w:eastAsia="仿宋" w:cs="仿宋"/>
          <w:color w:val="auto"/>
          <w:highlight w:val="none"/>
        </w:rPr>
      </w:pPr>
      <w:r>
        <w:rPr>
          <w:rFonts w:hint="eastAsia" w:ascii="仿宋" w:hAnsi="仿宋" w:eastAsia="仿宋" w:cs="仿宋"/>
          <w:color w:val="auto"/>
          <w:highlight w:val="none"/>
        </w:rPr>
        <w:t>6.1投标人应仔细阅读招标文件的所有内容，按照招标文件的要求提交投标文件，并对所提供的全部资料的真实性承担法律责任。</w:t>
      </w:r>
    </w:p>
    <w:p w14:paraId="3BFF26D4">
      <w:pPr>
        <w:pStyle w:val="25"/>
        <w:snapToGrid w:val="0"/>
        <w:spacing w:line="420" w:lineRule="exact"/>
        <w:ind w:firstLine="480" w:firstLineChars="200"/>
        <w:jc w:val="left"/>
        <w:rPr>
          <w:rFonts w:ascii="仿宋" w:hAnsi="仿宋" w:eastAsia="仿宋" w:cs="仿宋"/>
          <w:color w:val="auto"/>
          <w:highlight w:val="none"/>
        </w:rPr>
      </w:pPr>
      <w:r>
        <w:rPr>
          <w:rFonts w:hint="eastAsia" w:ascii="仿宋" w:hAnsi="仿宋" w:eastAsia="仿宋" w:cs="仿宋"/>
          <w:color w:val="auto"/>
          <w:highlight w:val="none"/>
        </w:rPr>
        <w:t>6.2投标人在投标活动中提供任何虚假材料</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其投标无效，并报监管部门查处；中标后发现的</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中标人须依照《中华人民共和国消费者权益保护法》第49条之规定双倍赔偿采购人，且民事赔偿并不免除违法投标人的行政与刑事责任。</w:t>
      </w:r>
    </w:p>
    <w:p w14:paraId="0CB42E43">
      <w:pPr>
        <w:pStyle w:val="25"/>
        <w:snapToGrid w:val="0"/>
        <w:spacing w:line="420" w:lineRule="exact"/>
        <w:ind w:firstLine="480" w:firstLineChars="200"/>
        <w:jc w:val="left"/>
        <w:rPr>
          <w:rFonts w:ascii="仿宋" w:hAnsi="仿宋" w:eastAsia="仿宋" w:cs="仿宋"/>
          <w:color w:val="auto"/>
          <w:highlight w:val="none"/>
        </w:rPr>
      </w:pPr>
      <w:r>
        <w:rPr>
          <w:rFonts w:hint="eastAsia" w:ascii="仿宋" w:hAnsi="仿宋" w:eastAsia="仿宋" w:cs="仿宋"/>
          <w:color w:val="auto"/>
          <w:highlight w:val="none"/>
        </w:rPr>
        <w:t>6.3投标人须对所投产品、方案、技术和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归采购人所有。</w:t>
      </w:r>
    </w:p>
    <w:p w14:paraId="581B66C3">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6.4供应商在采购项目投标过程中应诚实守信，不弄虚作假，不隐瞒真实情况，不围标串标，不恶意质疑投诉。如违反上述要求，经核实后，供应商的投标将作废，将该供应商列入不良记录名单并在网上曝光，同时提请政府采购监督管理部门给予一定年限内禁止参加政府采购活动的处罚或其他处罚。</w:t>
      </w:r>
    </w:p>
    <w:p w14:paraId="3C16DE71">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6.5本项目涉及采购货物必须是全新、未使用过的原装合格正品（包括零部件），如安装或配置了软件的，须为正版软件。</w:t>
      </w:r>
    </w:p>
    <w:p w14:paraId="007FE6DC">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6.6国产的货物及其有关服务必须符合中华人民共和国的设计和制造生产标准或行业标准。招标公告有其他要求的，亦应符合其要求。</w:t>
      </w:r>
    </w:p>
    <w:p w14:paraId="25A4AF11">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6.7进口货物及其有关服务必须符合原产地和/或中华人民共和国的设计和制造生产标准或行业标准。进口的货物必须具有合法的进口手续和途径，并通过中华人民共和国商检部门检验。招标公告有其他要求的，亦应符合其要求。</w:t>
      </w:r>
    </w:p>
    <w:p w14:paraId="12EAB0BC">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7.询问、质疑和投诉</w:t>
      </w:r>
    </w:p>
    <w:p w14:paraId="11401F05">
      <w:pPr>
        <w:pStyle w:val="25"/>
        <w:snapToGrid w:val="0"/>
        <w:spacing w:line="420" w:lineRule="exact"/>
        <w:ind w:firstLine="480" w:firstLineChars="200"/>
        <w:rPr>
          <w:rFonts w:ascii="仿宋" w:hAnsi="仿宋" w:eastAsia="仿宋" w:cs="仿宋"/>
          <w:color w:val="auto"/>
          <w:highlight w:val="none"/>
        </w:rPr>
      </w:pPr>
      <w:bookmarkStart w:id="3" w:name="_Toc125344504"/>
      <w:r>
        <w:rPr>
          <w:rFonts w:hint="eastAsia" w:ascii="仿宋" w:hAnsi="仿宋" w:eastAsia="仿宋" w:cs="仿宋"/>
          <w:bCs/>
          <w:color w:val="auto"/>
          <w:highlight w:val="none"/>
        </w:rPr>
        <w:t>7.1投标人认为招标文件、招标过程和中标结果使自己的合法权益受到损害的，应当在知道或者</w:t>
      </w:r>
      <w:r>
        <w:rPr>
          <w:rFonts w:hint="eastAsia" w:ascii="仿宋" w:hAnsi="仿宋" w:eastAsia="仿宋" w:cs="仿宋"/>
          <w:color w:val="auto"/>
          <w:highlight w:val="none"/>
        </w:rPr>
        <w:t>应知其权益受到损害之日起七个工作日内，以书面形式向采购人、采购代理机构提出质疑。投标人对采购人的质疑答复不满意或者采购人未在规定时间内作出答复的，可以在答复期满后十五个工作日内向同级采购监管部门投诉。逾期提出的，采购代理机构不予受理、答复。</w:t>
      </w:r>
    </w:p>
    <w:p w14:paraId="7087F2F5">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bCs/>
          <w:color w:val="auto"/>
          <w:highlight w:val="none"/>
        </w:rPr>
        <w:t>7.2质疑、投诉应当采用书面形式，质疑书、投诉书均应明确阐述招标文件、招标过程和中标结果中使自己合法权益受到损害的实质性内容，提供相关事实、依据和证据及</w:t>
      </w:r>
      <w:r>
        <w:rPr>
          <w:rFonts w:hint="eastAsia" w:ascii="仿宋" w:hAnsi="仿宋" w:eastAsia="仿宋" w:cs="仿宋"/>
          <w:color w:val="auto"/>
          <w:highlight w:val="none"/>
        </w:rPr>
        <w:t>其来源或线索，便于有关单位调查、答复和处理。</w:t>
      </w:r>
    </w:p>
    <w:p w14:paraId="4379EA13">
      <w:pPr>
        <w:pStyle w:val="25"/>
        <w:snapToGrid w:val="0"/>
        <w:spacing w:line="420" w:lineRule="exact"/>
        <w:ind w:firstLine="480" w:firstLineChars="200"/>
        <w:rPr>
          <w:rFonts w:ascii="仿宋" w:hAnsi="仿宋" w:eastAsia="仿宋" w:cs="仿宋"/>
          <w:color w:val="auto"/>
          <w:szCs w:val="24"/>
          <w:highlight w:val="none"/>
        </w:rPr>
      </w:pPr>
      <w:r>
        <w:rPr>
          <w:rFonts w:hint="eastAsia" w:ascii="仿宋" w:hAnsi="仿宋" w:eastAsia="仿宋" w:cs="仿宋"/>
          <w:color w:val="auto"/>
          <w:highlight w:val="none"/>
        </w:rPr>
        <w:t>7.3</w:t>
      </w:r>
      <w:r>
        <w:rPr>
          <w:rFonts w:hint="eastAsia" w:ascii="仿宋" w:hAnsi="仿宋" w:eastAsia="仿宋" w:cs="仿宋"/>
          <w:color w:val="auto"/>
          <w:szCs w:val="24"/>
          <w:highlight w:val="none"/>
        </w:rPr>
        <w:t>采购代理机构与采购人研究后，对认为有</w:t>
      </w:r>
      <w:r>
        <w:rPr>
          <w:rFonts w:hint="eastAsia" w:ascii="仿宋" w:hAnsi="仿宋" w:eastAsia="仿宋" w:cs="仿宋"/>
          <w:color w:val="auto"/>
          <w:highlight w:val="none"/>
        </w:rPr>
        <w:t>必要</w:t>
      </w:r>
      <w:r>
        <w:rPr>
          <w:rFonts w:hint="eastAsia" w:ascii="仿宋" w:hAnsi="仿宋" w:eastAsia="仿宋" w:cs="仿宋"/>
          <w:color w:val="auto"/>
          <w:szCs w:val="24"/>
          <w:highlight w:val="none"/>
        </w:rPr>
        <w:t>回答的问题，采购人和采购代理机构将补充（更正）以网上发布公告的形式通知所有投标人，补充（更正）是招标文件的</w:t>
      </w:r>
      <w:r>
        <w:rPr>
          <w:rFonts w:hint="eastAsia" w:ascii="仿宋" w:hAnsi="仿宋" w:eastAsia="仿宋" w:cs="仿宋"/>
          <w:color w:val="auto"/>
          <w:szCs w:val="24"/>
          <w:highlight w:val="none"/>
          <w:lang w:eastAsia="zh-CN"/>
        </w:rPr>
        <w:t>组成部分</w:t>
      </w:r>
      <w:r>
        <w:rPr>
          <w:rFonts w:hint="eastAsia" w:ascii="仿宋" w:hAnsi="仿宋" w:eastAsia="仿宋" w:cs="仿宋"/>
          <w:color w:val="auto"/>
          <w:szCs w:val="24"/>
          <w:highlight w:val="none"/>
        </w:rPr>
        <w:t>。</w:t>
      </w:r>
    </w:p>
    <w:p w14:paraId="7C93927C">
      <w:pPr>
        <w:pStyle w:val="25"/>
        <w:snapToGrid w:val="0"/>
        <w:spacing w:line="420" w:lineRule="exact"/>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7.4</w:t>
      </w:r>
      <w:r>
        <w:rPr>
          <w:rFonts w:hint="eastAsia" w:ascii="仿宋" w:hAnsi="仿宋" w:eastAsia="仿宋" w:cs="仿宋"/>
          <w:b/>
          <w:color w:val="auto"/>
          <w:highlight w:val="none"/>
          <w:u w:val="single"/>
        </w:rPr>
        <w:t>质疑供应商在收到该更正（补充）公告后应于1日内，以书面或传真形式（签署意见并加盖公章）向采购代理机构回函给予确认。过期未回复的，视为默认接受。</w:t>
      </w:r>
    </w:p>
    <w:p w14:paraId="09D0FE17">
      <w:pPr>
        <w:spacing w:line="480" w:lineRule="exact"/>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二、招标文件</w:t>
      </w:r>
      <w:bookmarkEnd w:id="3"/>
    </w:p>
    <w:p w14:paraId="0D6D172D">
      <w:pPr>
        <w:snapToGrid w:val="0"/>
        <w:spacing w:line="42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8.招标文件的构成。</w:t>
      </w:r>
    </w:p>
    <w:p w14:paraId="39665CEB">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本招标文件由以下部</w:t>
      </w:r>
      <w:r>
        <w:rPr>
          <w:rFonts w:hint="eastAsia" w:ascii="仿宋" w:hAnsi="仿宋" w:eastAsia="仿宋" w:cs="仿宋"/>
          <w:color w:val="auto"/>
          <w:sz w:val="24"/>
          <w:highlight w:val="none"/>
          <w:lang w:val="en-US" w:eastAsia="zh-CN"/>
        </w:rPr>
        <w:t>分</w:t>
      </w:r>
      <w:r>
        <w:rPr>
          <w:rFonts w:hint="eastAsia" w:ascii="仿宋" w:hAnsi="仿宋" w:eastAsia="仿宋" w:cs="仿宋"/>
          <w:color w:val="auto"/>
          <w:sz w:val="24"/>
          <w:highlight w:val="none"/>
        </w:rPr>
        <w:t>组成：</w:t>
      </w:r>
    </w:p>
    <w:p w14:paraId="6ED4282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8.1招标公告；</w:t>
      </w:r>
    </w:p>
    <w:p w14:paraId="4BFEAF1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8.2投标人须知；</w:t>
      </w:r>
    </w:p>
    <w:p w14:paraId="5D000F94">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8.3评标办法；</w:t>
      </w:r>
    </w:p>
    <w:p w14:paraId="6250CF9F">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8.4采购需求；</w:t>
      </w:r>
    </w:p>
    <w:p w14:paraId="48E6E42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8.5应提交的有关格式范例；</w:t>
      </w:r>
    </w:p>
    <w:p w14:paraId="54F71210">
      <w:pPr>
        <w:snapToGrid w:val="0"/>
        <w:spacing w:line="420" w:lineRule="exact"/>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8.6本项目招标文件的澄清、答复、修改、补充的内容（如有）。</w:t>
      </w:r>
    </w:p>
    <w:p w14:paraId="06CC9E47">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9.投标人的风险</w:t>
      </w:r>
    </w:p>
    <w:p w14:paraId="68009702">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9.1投标人应仔细阅读招标文件的所有内容，并按照招标文件的要求提交投标文件。投标人没有按照招标文件要求提供全部资料，或者投标人没有对招标文件在各方面作出实质性响应是投标人的风险，并可能导致其投标被拒绝。</w:t>
      </w:r>
    </w:p>
    <w:p w14:paraId="0FC4F8B6">
      <w:pPr>
        <w:snapToGrid w:val="0"/>
        <w:spacing w:line="4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任何人或任何组织向投标人提交的任何书面或口头资料，未经采购代理机构在网上发布或书面通知，均作无效处理，不得作为招标文件的组成部分。采购代理机构对投标人由此而做出的推论、理解和结论概不负责。</w:t>
      </w:r>
    </w:p>
    <w:p w14:paraId="65700F66">
      <w:pPr>
        <w:snapToGrid w:val="0"/>
        <w:spacing w:line="42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10.招标文件的澄清与修改</w:t>
      </w:r>
    </w:p>
    <w:p w14:paraId="0E3DD022">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10.1</w:t>
      </w:r>
      <w:r>
        <w:rPr>
          <w:rFonts w:hint="eastAsia" w:ascii="仿宋" w:hAnsi="仿宋" w:eastAsia="仿宋" w:cs="仿宋"/>
          <w:bCs/>
          <w:color w:val="auto"/>
          <w:highlight w:val="none"/>
        </w:rPr>
        <w:t>投标人下载招标文件后，应认真阅读本招标文件的所有内容，发现其中有误或有不合理要求的，投标人必须按前附表规定的时间前以书面形式</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rPr>
        <w:t>包括书面文字、传真等</w:t>
      </w:r>
      <w:r>
        <w:rPr>
          <w:rFonts w:hint="eastAsia" w:ascii="仿宋" w:hAnsi="仿宋" w:eastAsia="仿宋" w:cs="仿宋"/>
          <w:color w:val="auto"/>
          <w:highlight w:val="none"/>
          <w:lang w:eastAsia="zh-CN"/>
        </w:rPr>
        <w:t>）</w:t>
      </w:r>
      <w:r>
        <w:rPr>
          <w:rFonts w:hint="eastAsia" w:ascii="仿宋" w:hAnsi="仿宋" w:eastAsia="仿宋" w:cs="仿宋"/>
          <w:bCs/>
          <w:color w:val="auto"/>
          <w:highlight w:val="none"/>
        </w:rPr>
        <w:t>要求采购人澄清</w:t>
      </w:r>
      <w:r>
        <w:rPr>
          <w:rFonts w:hint="eastAsia" w:ascii="仿宋" w:hAnsi="仿宋" w:eastAsia="仿宋" w:cs="仿宋"/>
          <w:color w:val="auto"/>
          <w:highlight w:val="none"/>
        </w:rPr>
        <w:t>。逾期提出的，采购人将不予受理。</w:t>
      </w:r>
      <w:r>
        <w:rPr>
          <w:rFonts w:hint="eastAsia" w:ascii="仿宋" w:hAnsi="仿宋" w:eastAsia="仿宋" w:cs="仿宋"/>
          <w:color w:val="auto"/>
          <w:szCs w:val="24"/>
          <w:highlight w:val="none"/>
        </w:rPr>
        <w:t>采购代理机构与采购人研究后，对认为有必要回答的问题，采购人将补充（更正内容）以网上发布公告的形式通知所有投标人，补充（更正）内容是招标文件的</w:t>
      </w:r>
      <w:r>
        <w:rPr>
          <w:rFonts w:hint="eastAsia" w:ascii="仿宋" w:hAnsi="仿宋" w:eastAsia="仿宋" w:cs="仿宋"/>
          <w:color w:val="auto"/>
          <w:szCs w:val="24"/>
          <w:highlight w:val="none"/>
          <w:lang w:eastAsia="zh-CN"/>
        </w:rPr>
        <w:t>组成部分</w:t>
      </w:r>
      <w:r>
        <w:rPr>
          <w:rFonts w:hint="eastAsia" w:ascii="仿宋" w:hAnsi="仿宋" w:eastAsia="仿宋" w:cs="仿宋"/>
          <w:color w:val="auto"/>
          <w:szCs w:val="24"/>
          <w:highlight w:val="none"/>
        </w:rPr>
        <w:t>。</w:t>
      </w:r>
      <w:r>
        <w:rPr>
          <w:rFonts w:hint="eastAsia" w:ascii="仿宋" w:hAnsi="仿宋" w:eastAsia="仿宋" w:cs="仿宋"/>
          <w:color w:val="auto"/>
          <w:highlight w:val="none"/>
        </w:rPr>
        <w:t>投标人可以通过诸暨市公共资源交易网自行下载，以确认已阅知该澄清或修改内容，否则，由此导致的风险由投标人自行承担，采购人不承担任何责任。</w:t>
      </w:r>
    </w:p>
    <w:p w14:paraId="17D7F2DB">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10.2</w:t>
      </w:r>
      <w:r>
        <w:rPr>
          <w:rFonts w:hint="eastAsia" w:ascii="仿宋" w:hAnsi="仿宋" w:eastAsia="仿宋" w:cs="仿宋"/>
          <w:color w:val="auto"/>
          <w:highlight w:val="none"/>
        </w:rPr>
        <w:t>招标文件澄清、答复、修改、补充的内容为招标文件的组成部分。当招标文件与招标文件的答复、澄清、修改、补充公告就同一内容的表述不一致时，以最后发出的文件或公告或通知为准。</w:t>
      </w:r>
    </w:p>
    <w:p w14:paraId="18DB38D8">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10.3在投标截止时间前，采购人有权修改招标文件，并以网站发布补充公告的形式通知所有投标人，通知中没有注明更改投标截止时间的视为截止时间不变。修改的文件作为招标文件的补充和组成部分，对所有投标人均有约束力。</w:t>
      </w:r>
    </w:p>
    <w:p w14:paraId="0E5D5954">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10.4为使投标人在编制投标文件时，把补充公告内容进行研究，采购代理机构可以酌情推迟递交投标文件的截止时间。</w:t>
      </w:r>
    </w:p>
    <w:p w14:paraId="5EB35030">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10.5投标人一旦参与本次招标活动，即被视为接受了本招标文件的所有内容，如有任何异议，均须在答疑截止时间前提出。</w:t>
      </w:r>
    </w:p>
    <w:p w14:paraId="0CD33A40">
      <w:pPr>
        <w:spacing w:line="480" w:lineRule="exact"/>
        <w:jc w:val="center"/>
        <w:rPr>
          <w:rFonts w:ascii="仿宋" w:hAnsi="仿宋" w:eastAsia="仿宋" w:cs="仿宋"/>
          <w:b/>
          <w:color w:val="auto"/>
          <w:sz w:val="28"/>
          <w:szCs w:val="28"/>
          <w:highlight w:val="none"/>
        </w:rPr>
      </w:pPr>
      <w:bookmarkStart w:id="4" w:name="_Toc125344505"/>
      <w:r>
        <w:rPr>
          <w:rFonts w:hint="eastAsia" w:ascii="仿宋" w:hAnsi="仿宋" w:eastAsia="仿宋" w:cs="仿宋"/>
          <w:b/>
          <w:color w:val="auto"/>
          <w:sz w:val="28"/>
          <w:szCs w:val="28"/>
          <w:highlight w:val="none"/>
        </w:rPr>
        <w:t>三、投标文件编制</w:t>
      </w:r>
      <w:bookmarkEnd w:id="4"/>
      <w:r>
        <w:rPr>
          <w:rFonts w:hint="eastAsia" w:ascii="仿宋" w:hAnsi="仿宋" w:eastAsia="仿宋" w:cs="仿宋"/>
          <w:b/>
          <w:color w:val="auto"/>
          <w:sz w:val="28"/>
          <w:szCs w:val="28"/>
          <w:highlight w:val="none"/>
        </w:rPr>
        <w:t>和提交</w:t>
      </w:r>
    </w:p>
    <w:p w14:paraId="58E7A444">
      <w:pPr>
        <w:keepNext w:val="0"/>
        <w:keepLines w:val="0"/>
        <w:pageBreakBefore w:val="0"/>
        <w:widowControl w:val="0"/>
        <w:kinsoku/>
        <w:wordWrap/>
        <w:overflowPunct/>
        <w:topLinePunct w:val="0"/>
        <w:bidi w:val="0"/>
        <w:snapToGrid w:val="0"/>
        <w:spacing w:line="420" w:lineRule="exact"/>
        <w:ind w:firstLine="482" w:firstLineChars="200"/>
        <w:jc w:val="left"/>
        <w:textAlignment w:val="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11.投标文件的组成</w:t>
      </w:r>
    </w:p>
    <w:p w14:paraId="15837A5D">
      <w:pPr>
        <w:snapToGrid w:val="0"/>
        <w:spacing w:line="420" w:lineRule="exact"/>
        <w:ind w:firstLine="480" w:firstLineChars="200"/>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投标文件组成详见前附表。</w:t>
      </w:r>
    </w:p>
    <w:p w14:paraId="14ACC6EB">
      <w:pPr>
        <w:keepNext w:val="0"/>
        <w:keepLines w:val="0"/>
        <w:pageBreakBefore w:val="0"/>
        <w:widowControl w:val="0"/>
        <w:kinsoku/>
        <w:wordWrap/>
        <w:overflowPunct/>
        <w:topLinePunct w:val="0"/>
        <w:bidi w:val="0"/>
        <w:snapToGrid w:val="0"/>
        <w:spacing w:line="420" w:lineRule="exact"/>
        <w:ind w:firstLine="482" w:firstLineChars="200"/>
        <w:jc w:val="left"/>
        <w:textAlignment w:val="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12.投标文件的语言及计量</w:t>
      </w:r>
    </w:p>
    <w:p w14:paraId="44694DBE">
      <w:pPr>
        <w:pStyle w:val="25"/>
        <w:keepNext w:val="0"/>
        <w:keepLines w:val="0"/>
        <w:pageBreakBefore w:val="0"/>
        <w:widowControl w:val="0"/>
        <w:kinsoku/>
        <w:wordWrap/>
        <w:overflowPunct/>
        <w:topLinePunct w:val="0"/>
        <w:bidi w:val="0"/>
        <w:snapToGrid w:val="0"/>
        <w:spacing w:line="420" w:lineRule="exact"/>
        <w:ind w:firstLine="480" w:firstLineChars="200"/>
        <w:textAlignment w:val="auto"/>
        <w:rPr>
          <w:rFonts w:ascii="仿宋" w:hAnsi="仿宋" w:eastAsia="仿宋" w:cs="仿宋"/>
          <w:color w:val="auto"/>
          <w:highlight w:val="none"/>
        </w:rPr>
      </w:pPr>
      <w:r>
        <w:rPr>
          <w:rFonts w:hint="eastAsia" w:ascii="仿宋" w:hAnsi="仿宋" w:eastAsia="仿宋" w:cs="仿宋"/>
          <w:color w:val="auto"/>
          <w:highlight w:val="none"/>
        </w:rPr>
        <w:t>12.1投标文件以及投标人与采购代理机构就有关投标事宜的所有往来通知、函电，均应以中文汉语书写。除签名、盖章、专用名称等特殊情形外，以中文汉语以外的文字表述的投标文件视同未提供。投标人随投标文件提供的证明文件和资料可以</w:t>
      </w:r>
      <w:r>
        <w:rPr>
          <w:rFonts w:hint="eastAsia" w:ascii="仿宋" w:hAnsi="仿宋" w:eastAsia="仿宋" w:cs="仿宋"/>
          <w:color w:val="auto"/>
          <w:highlight w:val="none"/>
          <w:lang w:eastAsia="zh-CN"/>
        </w:rPr>
        <w:t>为其他</w:t>
      </w:r>
      <w:r>
        <w:rPr>
          <w:rFonts w:hint="eastAsia" w:ascii="仿宋" w:hAnsi="仿宋" w:eastAsia="仿宋" w:cs="仿宋"/>
          <w:color w:val="auto"/>
          <w:highlight w:val="none"/>
        </w:rPr>
        <w:t>语言，但必须附中文译文。翻译的中文资料与外文资料如果出现差异时，以中文为准，但翻译错误的除外。</w:t>
      </w:r>
    </w:p>
    <w:p w14:paraId="4F1D9FF9">
      <w:pPr>
        <w:pStyle w:val="25"/>
        <w:keepNext w:val="0"/>
        <w:keepLines w:val="0"/>
        <w:pageBreakBefore w:val="0"/>
        <w:widowControl w:val="0"/>
        <w:kinsoku/>
        <w:wordWrap/>
        <w:overflowPunct/>
        <w:topLinePunct w:val="0"/>
        <w:bidi w:val="0"/>
        <w:snapToGrid w:val="0"/>
        <w:spacing w:line="420" w:lineRule="exact"/>
        <w:ind w:firstLine="480" w:firstLineChars="200"/>
        <w:textAlignment w:val="auto"/>
        <w:rPr>
          <w:rFonts w:ascii="仿宋" w:hAnsi="仿宋" w:eastAsia="仿宋" w:cs="仿宋"/>
          <w:color w:val="auto"/>
          <w:highlight w:val="none"/>
        </w:rPr>
      </w:pPr>
      <w:r>
        <w:rPr>
          <w:rFonts w:hint="eastAsia" w:ascii="仿宋" w:hAnsi="仿宋" w:eastAsia="仿宋" w:cs="仿宋"/>
          <w:color w:val="auto"/>
          <w:highlight w:val="none"/>
        </w:rPr>
        <w:t>12.2投标计量单位，招标文件已有明确规定的，使用招标文件规定的计量单位；招标文件没有规定的，应采用中华人民共和国法定计量单位（货币单位：人民币元），否则视同未响应。</w:t>
      </w:r>
    </w:p>
    <w:p w14:paraId="5F949F48">
      <w:pPr>
        <w:snapToGrid w:val="0"/>
        <w:spacing w:line="420" w:lineRule="exact"/>
        <w:ind w:firstLine="482" w:firstLineChars="200"/>
        <w:jc w:val="lef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13.投标报价</w:t>
      </w:r>
    </w:p>
    <w:p w14:paraId="27E95E04">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13.1投标报价应按招标文件中相关附表格式填写。本项目的投标应以人民币计。</w:t>
      </w:r>
    </w:p>
    <w:p w14:paraId="41EC0872">
      <w:pPr>
        <w:pStyle w:val="25"/>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13.2投标报价应包括货款、标准附件、备品备件、专用工具、包装、运输、装卸、保险、税金、货到就位以及安装、调试、培训、保修等一切税金和费用。投标报价（包括单价、总价等）均保留到小数点后两位（如：100.88元）。投标人必须报有合理单价，其将作为设备增减的主要依据。如有漏项，视同已包含在</w:t>
      </w:r>
      <w:r>
        <w:rPr>
          <w:rFonts w:hint="eastAsia" w:ascii="仿宋" w:hAnsi="仿宋" w:eastAsia="仿宋" w:cs="仿宋"/>
          <w:color w:val="auto"/>
          <w:highlight w:val="none"/>
          <w:lang w:eastAsia="zh-CN"/>
        </w:rPr>
        <w:t>其他项目中</w:t>
      </w:r>
      <w:r>
        <w:rPr>
          <w:rFonts w:hint="eastAsia" w:ascii="仿宋" w:hAnsi="仿宋" w:eastAsia="仿宋" w:cs="仿宋"/>
          <w:color w:val="auto"/>
          <w:highlight w:val="none"/>
        </w:rPr>
        <w:t>，合同总价和单价</w:t>
      </w:r>
      <w:r>
        <w:rPr>
          <w:rFonts w:hint="eastAsia" w:ascii="仿宋" w:hAnsi="仿宋" w:eastAsia="仿宋" w:cs="仿宋"/>
          <w:color w:val="auto"/>
          <w:highlight w:val="none"/>
          <w:lang w:eastAsia="zh-CN"/>
        </w:rPr>
        <w:t>不做</w:t>
      </w:r>
      <w:r>
        <w:rPr>
          <w:rFonts w:hint="eastAsia" w:ascii="仿宋" w:hAnsi="仿宋" w:eastAsia="仿宋" w:cs="仿宋"/>
          <w:color w:val="auto"/>
          <w:highlight w:val="none"/>
        </w:rPr>
        <w:t>调整。</w:t>
      </w:r>
    </w:p>
    <w:p w14:paraId="4ADF1A9D">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13.3投标文件只允许有一个报价，有选择的或有条件的报价将不予接受。</w:t>
      </w:r>
    </w:p>
    <w:p w14:paraId="25C711AB">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13.4招标文件未列明，而投标人认为必需的费用也需列入报价。</w:t>
      </w:r>
    </w:p>
    <w:p w14:paraId="66D7AEBF">
      <w:pPr>
        <w:pStyle w:val="25"/>
        <w:spacing w:line="420" w:lineRule="exact"/>
        <w:ind w:firstLine="480" w:firstLineChars="200"/>
        <w:rPr>
          <w:rFonts w:ascii="仿宋" w:hAnsi="仿宋" w:eastAsia="仿宋" w:cs="仿宋"/>
          <w:color w:val="auto"/>
          <w:szCs w:val="24"/>
          <w:highlight w:val="none"/>
        </w:rPr>
      </w:pPr>
      <w:r>
        <w:rPr>
          <w:rFonts w:hint="eastAsia" w:ascii="仿宋" w:hAnsi="仿宋" w:eastAsia="仿宋" w:cs="仿宋"/>
          <w:color w:val="auto"/>
          <w:highlight w:val="none"/>
        </w:rPr>
        <w:t>13.5</w:t>
      </w:r>
      <w:r>
        <w:rPr>
          <w:rFonts w:hint="eastAsia" w:ascii="仿宋" w:hAnsi="仿宋" w:eastAsia="仿宋" w:cs="仿宋"/>
          <w:color w:val="auto"/>
          <w:szCs w:val="24"/>
          <w:highlight w:val="none"/>
        </w:rPr>
        <w:t>中标后，中标人所填写的单价在合同实施期间不因市场变化因素而变动，投标人在计算报价时应考虑一定的风险系数。</w:t>
      </w:r>
    </w:p>
    <w:p w14:paraId="3DC89525">
      <w:pPr>
        <w:pStyle w:val="25"/>
        <w:snapToGrid w:val="0"/>
        <w:spacing w:line="42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13.6投标人若有方案和报价未被唱标，应在开标时及时声明或提请采购代理机构宣读，否则是投标人自己的风险，采购代理机构对此不承担任何责任。</w:t>
      </w:r>
    </w:p>
    <w:p w14:paraId="57688EE2">
      <w:pPr>
        <w:pStyle w:val="25"/>
        <w:snapToGrid w:val="0"/>
        <w:spacing w:line="42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14.投标文件的有效期</w:t>
      </w:r>
    </w:p>
    <w:p w14:paraId="7A8A21AC">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14.1投标有效期为从投标截止之日算起的日历天数，自投标截止日起90天投标书应保持有效。如采购人认为必要，可延长投标有效期。有效期短于这个规定期限的投标将被拒绝。</w:t>
      </w:r>
    </w:p>
    <w:p w14:paraId="2613FDC7">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14.2在特殊情况下，采购人可与投标人协商延长投标书的有效期，这种要求和答复均以书面形式进行。</w:t>
      </w:r>
    </w:p>
    <w:p w14:paraId="5B95564F">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14.3投标人可拒绝接受延期要求，但其投标在原投标有效期满后不再有效。同意延长有效期的投标人不能修改投标文件。</w:t>
      </w:r>
    </w:p>
    <w:p w14:paraId="4A6E4DDF">
      <w:pPr>
        <w:pStyle w:val="25"/>
        <w:snapToGrid w:val="0"/>
        <w:spacing w:line="42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14.4中标人的投标文件自开标之日起至合同履行完毕止均应保持有效。</w:t>
      </w:r>
    </w:p>
    <w:p w14:paraId="40558AE0">
      <w:pPr>
        <w:snapToGrid w:val="0"/>
        <w:spacing w:line="420" w:lineRule="exact"/>
        <w:ind w:firstLine="482" w:firstLineChars="200"/>
        <w:jc w:val="lef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15.投标保证金</w:t>
      </w:r>
    </w:p>
    <w:p w14:paraId="49C38A04">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15.1投标人应提供前附表规定的投标保证金，作为投标文件的一个组成部分。否则，其投标将被拒绝。</w:t>
      </w:r>
    </w:p>
    <w:p w14:paraId="09D03F36">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15.2投标保证金可以以电汇、</w:t>
      </w:r>
      <w:r>
        <w:rPr>
          <w:rFonts w:hint="eastAsia" w:ascii="仿宋" w:hAnsi="仿宋" w:eastAsia="仿宋" w:cs="仿宋"/>
          <w:color w:val="auto"/>
          <w:sz w:val="24"/>
          <w:szCs w:val="24"/>
          <w:highlight w:val="none"/>
          <w:lang w:eastAsia="zh-CN"/>
        </w:rPr>
        <w:t>转账</w:t>
      </w:r>
      <w:r>
        <w:rPr>
          <w:rFonts w:hint="eastAsia" w:ascii="仿宋" w:hAnsi="仿宋" w:eastAsia="仿宋" w:cs="仿宋"/>
          <w:color w:val="auto"/>
          <w:sz w:val="24"/>
          <w:szCs w:val="24"/>
          <w:highlight w:val="none"/>
        </w:rPr>
        <w:t>、汇票等非现金形式提交，且必须在投标文件提交截止时间前缴入前附表中的指定账户，以到账为准。采购代理机构将拒绝未能按规定时间和数额提交投标保证金的投标人。</w:t>
      </w:r>
    </w:p>
    <w:p w14:paraId="28819259">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15.3未中标人的投标保证金在中标通知书发出后5个工作日退还。</w:t>
      </w:r>
    </w:p>
    <w:p w14:paraId="0F087276">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15.4中标人的投标保证金，在中标人按招标文件规定签订合同后5个工作日内无息退还。</w:t>
      </w:r>
    </w:p>
    <w:p w14:paraId="24699857">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15.5投标保证金均以转账或电汇或汇票方式退还，恕不退还现金。保证金不计息。</w:t>
      </w:r>
    </w:p>
    <w:p w14:paraId="3BFE59A8">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15.6下列情况，投标保证金将不予退还，已缴纳年度保证金的，其保证金或相应数额的年度保证金将不予退还，并按有关规定处理：</w:t>
      </w:r>
    </w:p>
    <w:p w14:paraId="4AC16219">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15.6.1投标人在投标有效期内撤回投标文件的；</w:t>
      </w:r>
    </w:p>
    <w:p w14:paraId="161178F7">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15.6.2未按规定提交履约保证金的；</w:t>
      </w:r>
    </w:p>
    <w:p w14:paraId="7FA35954">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15.6.3投标人在投标过程中弄虚作假，提供虚假材料的；</w:t>
      </w:r>
    </w:p>
    <w:p w14:paraId="2B3937E1">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15.6.4中标人无正当理由在规定的时间内不与采购单位签订合同的；</w:t>
      </w:r>
    </w:p>
    <w:p w14:paraId="182807F7">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15.6.5将中标项目转让给他人或者在投标文件中未说明且未经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同意，将中标项目分包给他人的；</w:t>
      </w:r>
    </w:p>
    <w:p w14:paraId="0194B05D">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15.6.6拒绝履行合同义务的；</w:t>
      </w:r>
    </w:p>
    <w:p w14:paraId="3A6252E5">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15.6.7其他严重扰乱招投标程序的；</w:t>
      </w:r>
    </w:p>
    <w:p w14:paraId="1D3A42B2">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15.6.8向有关人员行贿或者采取其他不正当手段谋取中标的；</w:t>
      </w:r>
    </w:p>
    <w:p w14:paraId="5573F1D4">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15.6.9中标人无正当理由放弃中标的；</w:t>
      </w:r>
    </w:p>
    <w:p w14:paraId="53953236">
      <w:pPr>
        <w:snapToGrid w:val="0"/>
        <w:spacing w:line="420" w:lineRule="exact"/>
        <w:ind w:firstLine="480" w:firstLineChars="200"/>
        <w:jc w:val="left"/>
        <w:outlineLvl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15.6.10存在</w:t>
      </w:r>
      <w:r>
        <w:rPr>
          <w:rFonts w:hint="eastAsia" w:ascii="仿宋" w:hAnsi="仿宋" w:eastAsia="仿宋" w:cs="仿宋"/>
          <w:color w:val="auto"/>
          <w:sz w:val="24"/>
          <w:szCs w:val="24"/>
          <w:highlight w:val="none"/>
          <w:lang w:eastAsia="zh-CN"/>
        </w:rPr>
        <w:t>法律法规</w:t>
      </w:r>
      <w:r>
        <w:rPr>
          <w:rFonts w:hint="eastAsia" w:ascii="仿宋" w:hAnsi="仿宋" w:eastAsia="仿宋" w:cs="仿宋"/>
          <w:color w:val="auto"/>
          <w:sz w:val="24"/>
          <w:szCs w:val="24"/>
          <w:highlight w:val="none"/>
        </w:rPr>
        <w:t>规定</w:t>
      </w:r>
      <w:r>
        <w:rPr>
          <w:rFonts w:hint="eastAsia" w:ascii="仿宋" w:hAnsi="仿宋" w:eastAsia="仿宋" w:cs="仿宋"/>
          <w:color w:val="auto"/>
          <w:sz w:val="24"/>
          <w:szCs w:val="24"/>
          <w:highlight w:val="none"/>
          <w:lang w:eastAsia="zh-CN"/>
        </w:rPr>
        <w:t>的其他</w:t>
      </w:r>
      <w:r>
        <w:rPr>
          <w:rFonts w:hint="eastAsia" w:ascii="仿宋" w:hAnsi="仿宋" w:eastAsia="仿宋" w:cs="仿宋"/>
          <w:color w:val="auto"/>
          <w:sz w:val="24"/>
          <w:szCs w:val="24"/>
          <w:highlight w:val="none"/>
        </w:rPr>
        <w:t>损害</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或用户单位利益或社会公共利益的情形的。</w:t>
      </w:r>
    </w:p>
    <w:p w14:paraId="50A9C5F8">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15.7如投标人或</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有下列情形之一的，应按串通投标行为认定，除有关方投标保证金不予退还外，禁止其一至三年内进入本市采购市场，情节严重的移送有关部门依法处理。</w:t>
      </w:r>
    </w:p>
    <w:p w14:paraId="4612235D">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15.7.1不同投标人的投标文件由同一单位或人员编制的； </w:t>
      </w:r>
    </w:p>
    <w:p w14:paraId="6480BFD9">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15.7.2不同投标人使用同一单位或人员的资金交纳投标保证金的； </w:t>
      </w:r>
    </w:p>
    <w:p w14:paraId="723CEFAC">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15.7.3不同供应商委托同一单位或人员办理投标事宜的；</w:t>
      </w:r>
    </w:p>
    <w:p w14:paraId="31D96523">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15.7.4不同投标人的投标文件中的内容出现非正常的一致，或者报价细目呈明显规律性变化，或在完全可比的情况下投标总价均高于市场平均价的； </w:t>
      </w:r>
    </w:p>
    <w:p w14:paraId="454B9C13">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15.7.5不同投标人的投标文件载明的项目管理或实施人员出现同一单位的工作人员或同一人的；</w:t>
      </w:r>
    </w:p>
    <w:p w14:paraId="37433511">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15.7.6不同投标人的授权代表为同一单位的工作人员的； </w:t>
      </w:r>
    </w:p>
    <w:p w14:paraId="6501198C">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15.7.7不同投标人的投标文件相互混装，或在一个投标人的投标文件内遗留有其他投标人的签名、盖章等不属于本投标人参加采购必需的信息资料的； </w:t>
      </w:r>
    </w:p>
    <w:p w14:paraId="68D63748">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15.7.8采购响应截止时间后，</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 xml:space="preserve">协助投标人撤换或更改投标文件的； </w:t>
      </w:r>
    </w:p>
    <w:p w14:paraId="715595A2">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15.7.9</w:t>
      </w:r>
      <w:r>
        <w:rPr>
          <w:rFonts w:hint="eastAsia" w:ascii="仿宋" w:hAnsi="仿宋" w:eastAsia="仿宋" w:cs="仿宋"/>
          <w:bCs/>
          <w:color w:val="auto"/>
          <w:sz w:val="24"/>
          <w:szCs w:val="24"/>
          <w:highlight w:val="none"/>
          <w:lang w:eastAsia="zh-CN"/>
        </w:rPr>
        <w:t>采购人</w:t>
      </w:r>
      <w:r>
        <w:rPr>
          <w:rFonts w:hint="eastAsia" w:ascii="仿宋" w:hAnsi="仿宋" w:eastAsia="仿宋" w:cs="仿宋"/>
          <w:bCs/>
          <w:color w:val="auto"/>
          <w:sz w:val="24"/>
          <w:szCs w:val="24"/>
          <w:highlight w:val="none"/>
        </w:rPr>
        <w:t>泄露有意向参加采购的投标人名称、数量等应当保密的事项的；</w:t>
      </w:r>
    </w:p>
    <w:p w14:paraId="7A31AE5D">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15.7.10不同投标人之间私下达成书面或口头协议，指定一家投标人中标或轮流中标的；</w:t>
      </w:r>
    </w:p>
    <w:p w14:paraId="7DDA906F">
      <w:pPr>
        <w:snapToGrid w:val="0"/>
        <w:spacing w:line="420" w:lineRule="exact"/>
        <w:ind w:firstLine="480" w:firstLineChars="200"/>
        <w:jc w:val="left"/>
        <w:outlineLvl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15.7.11</w:t>
      </w:r>
      <w:r>
        <w:rPr>
          <w:rFonts w:hint="eastAsia" w:ascii="仿宋" w:hAnsi="仿宋" w:eastAsia="仿宋" w:cs="仿宋"/>
          <w:bCs/>
          <w:color w:val="auto"/>
          <w:sz w:val="24"/>
          <w:szCs w:val="24"/>
          <w:highlight w:val="none"/>
          <w:lang w:eastAsia="zh-CN"/>
        </w:rPr>
        <w:t>法律、法规</w:t>
      </w:r>
      <w:r>
        <w:rPr>
          <w:rFonts w:hint="eastAsia" w:ascii="仿宋" w:hAnsi="仿宋" w:eastAsia="仿宋" w:cs="仿宋"/>
          <w:bCs/>
          <w:color w:val="auto"/>
          <w:sz w:val="24"/>
          <w:szCs w:val="24"/>
          <w:highlight w:val="none"/>
        </w:rPr>
        <w:t>或规章规定的其他串通行为。</w:t>
      </w:r>
    </w:p>
    <w:p w14:paraId="1C519A5E">
      <w:pPr>
        <w:snapToGrid w:val="0"/>
        <w:spacing w:line="420" w:lineRule="exact"/>
        <w:ind w:firstLine="482" w:firstLineChars="200"/>
        <w:jc w:val="left"/>
        <w:outlineLvl w:val="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16.投标文件的制作</w:t>
      </w:r>
    </w:p>
    <w:p w14:paraId="4490C838">
      <w:pPr>
        <w:snapToGrid w:val="0"/>
        <w:spacing w:line="42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16.1投标人应按招标文件前附表规定的内容编制投标文件。</w:t>
      </w:r>
    </w:p>
    <w:p w14:paraId="1EE73467">
      <w:pPr>
        <w:snapToGrid w:val="0"/>
        <w:spacing w:line="42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16.2投标人应按本招标文件规定的格式和顺序编制投标文件并标注页码，投标文件内容不完整、编排混乱导致投标文件被误读、漏读或者查找不到相关内容的，是投标人的责任。</w:t>
      </w:r>
      <w:r>
        <w:rPr>
          <w:rFonts w:hint="eastAsia" w:ascii="仿宋" w:hAnsi="仿宋" w:eastAsia="仿宋" w:cs="仿宋"/>
          <w:b/>
          <w:color w:val="auto"/>
          <w:sz w:val="24"/>
          <w:highlight w:val="none"/>
        </w:rPr>
        <w:t>投标文件未按规定的格式编制的，投标无效。</w:t>
      </w:r>
    </w:p>
    <w:p w14:paraId="6643BCA5">
      <w:pPr>
        <w:snapToGrid w:val="0"/>
        <w:spacing w:line="420" w:lineRule="exact"/>
        <w:ind w:firstLine="480" w:firstLineChars="200"/>
        <w:jc w:val="left"/>
        <w:rPr>
          <w:rFonts w:ascii="仿宋" w:hAnsi="仿宋" w:eastAsia="仿宋" w:cs="仿宋"/>
          <w:b/>
          <w:color w:val="auto"/>
          <w:highlight w:val="none"/>
          <w:u w:val="single"/>
        </w:rPr>
      </w:pPr>
      <w:r>
        <w:rPr>
          <w:rFonts w:hint="eastAsia" w:ascii="仿宋" w:hAnsi="仿宋" w:eastAsia="仿宋" w:cs="仿宋"/>
          <w:color w:val="auto"/>
          <w:sz w:val="24"/>
          <w:szCs w:val="24"/>
          <w:highlight w:val="none"/>
        </w:rPr>
        <w:t>16.3投标文件须由投标人在规定位置盖章，投标人应写全称。</w:t>
      </w:r>
      <w:r>
        <w:rPr>
          <w:rFonts w:hint="eastAsia" w:ascii="仿宋" w:hAnsi="仿宋" w:eastAsia="仿宋" w:cs="仿宋"/>
          <w:b/>
          <w:color w:val="auto"/>
          <w:sz w:val="24"/>
          <w:szCs w:val="24"/>
          <w:highlight w:val="none"/>
        </w:rPr>
        <w:t>电子投标文件中所有加盖公章均采用CA签章，投标人的投标文件未按照招标文件要求签署、盖章的，其投标无效。</w:t>
      </w:r>
    </w:p>
    <w:p w14:paraId="3A052388">
      <w:pPr>
        <w:snapToGrid w:val="0"/>
        <w:spacing w:line="420" w:lineRule="exact"/>
        <w:ind w:firstLine="480" w:firstLineChars="200"/>
        <w:jc w:val="left"/>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16.4投标文件不得涂改，若有修改错漏处，须加盖单位公章。投标文件因表达不清所引起的后果由投标人负责。</w:t>
      </w:r>
    </w:p>
    <w:p w14:paraId="297B9B46">
      <w:pPr>
        <w:snapToGrid w:val="0"/>
        <w:spacing w:line="42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16.5投标人应认真阅读招标文件中所有的内容。</w:t>
      </w:r>
      <w:r>
        <w:rPr>
          <w:rFonts w:hint="eastAsia" w:ascii="仿宋" w:hAnsi="仿宋" w:eastAsia="仿宋" w:cs="仿宋"/>
          <w:b/>
          <w:color w:val="auto"/>
          <w:sz w:val="24"/>
          <w:szCs w:val="24"/>
          <w:highlight w:val="none"/>
        </w:rPr>
        <w:t>如果投标人编制的投标文件实质上不响应招标文件的要求，其投标文件将作无效标处理。</w:t>
      </w:r>
    </w:p>
    <w:p w14:paraId="3845D45A">
      <w:pPr>
        <w:snapToGrid w:val="0"/>
        <w:spacing w:line="42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17.投标文件的递交、补充、修改和撤回</w:t>
      </w:r>
    </w:p>
    <w:p w14:paraId="705B1C09">
      <w:pPr>
        <w:pStyle w:val="14"/>
        <w:snapToGrid w:val="0"/>
        <w:spacing w:line="420" w:lineRule="exact"/>
        <w:ind w:firstLine="480" w:firstLineChars="20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17.1</w:t>
      </w:r>
      <w:r>
        <w:rPr>
          <w:rFonts w:hint="eastAsia" w:ascii="仿宋" w:hAnsi="仿宋" w:eastAsia="仿宋" w:cs="仿宋"/>
          <w:b/>
          <w:color w:val="auto"/>
          <w:sz w:val="24"/>
          <w:szCs w:val="24"/>
          <w:highlight w:val="none"/>
        </w:rPr>
        <w:t>投标人应在开标前在“</w:t>
      </w:r>
      <w:r>
        <w:rPr>
          <w:rFonts w:hint="eastAsia" w:ascii="仿宋" w:hAnsi="仿宋" w:eastAsia="仿宋" w:cs="仿宋"/>
          <w:b/>
          <w:color w:val="auto"/>
          <w:sz w:val="24"/>
          <w:szCs w:val="24"/>
          <w:highlight w:val="none"/>
          <w:lang w:eastAsia="zh-CN"/>
        </w:rPr>
        <w:t>乐采云</w:t>
      </w:r>
      <w:r>
        <w:rPr>
          <w:rFonts w:hint="eastAsia" w:ascii="仿宋" w:hAnsi="仿宋" w:eastAsia="仿宋" w:cs="仿宋"/>
          <w:b/>
          <w:color w:val="auto"/>
          <w:sz w:val="24"/>
          <w:szCs w:val="24"/>
          <w:highlight w:val="none"/>
        </w:rPr>
        <w:t>”上自行加密上传电子投标文件，逾期上传或未按要求上传的投标文件将予以拒收。</w:t>
      </w:r>
    </w:p>
    <w:p w14:paraId="3F689FB7">
      <w:pPr>
        <w:pStyle w:val="14"/>
        <w:snapToGrid w:val="0"/>
        <w:spacing w:line="420" w:lineRule="exact"/>
        <w:ind w:firstLine="480" w:firstLineChars="200"/>
        <w:rPr>
          <w:rFonts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17.</w:t>
      </w:r>
      <w:r>
        <w:rPr>
          <w:rFonts w:hint="eastAsia" w:ascii="仿宋" w:hAnsi="仿宋" w:eastAsia="仿宋" w:cs="仿宋"/>
          <w:bCs/>
          <w:color w:val="auto"/>
          <w:sz w:val="24"/>
          <w:szCs w:val="24"/>
          <w:highlight w:val="none"/>
          <w:lang w:val="en-US" w:eastAsia="zh-CN"/>
        </w:rPr>
        <w:t>2</w:t>
      </w:r>
      <w:r>
        <w:rPr>
          <w:rFonts w:hint="eastAsia" w:ascii="仿宋" w:hAnsi="仿宋" w:eastAsia="仿宋" w:cs="仿宋"/>
          <w:color w:val="auto"/>
          <w:sz w:val="24"/>
          <w:szCs w:val="24"/>
          <w:highlight w:val="none"/>
        </w:rPr>
        <w:t>投标人在投标截止时间之前，可以对已提交的投标文件进行修改或撤回，补充、修改的内容为投标文件的组成部分。补充或者修改投标文件的，应当先行撤回原文件，补充、修改后重新传输递交。</w:t>
      </w:r>
    </w:p>
    <w:p w14:paraId="20ACDEB7">
      <w:pPr>
        <w:pStyle w:val="14"/>
        <w:snapToGrid w:val="0"/>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投标截止时间后，投标人不得撤回、修改投标文件。</w:t>
      </w:r>
    </w:p>
    <w:p w14:paraId="04ECCC2C">
      <w:pPr>
        <w:pStyle w:val="14"/>
        <w:snapToGrid w:val="0"/>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不论投标人中标与否，投标人文件均不得撤回其投标。</w:t>
      </w:r>
    </w:p>
    <w:p w14:paraId="2110ED02">
      <w:pPr>
        <w:pStyle w:val="14"/>
        <w:snapToGrid w:val="0"/>
        <w:spacing w:line="42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未按时解密的，视为投标文件撤回。</w:t>
      </w:r>
    </w:p>
    <w:p w14:paraId="40ABD3B5">
      <w:pPr>
        <w:snapToGrid w:val="0"/>
        <w:spacing w:line="42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18.投标无效的情形</w:t>
      </w:r>
    </w:p>
    <w:p w14:paraId="75CDBA34">
      <w:pPr>
        <w:snapToGrid w:val="0"/>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实质上没有响应招标文件要求的投标将被视为无效投标。投标人不得通过修正或</w:t>
      </w:r>
      <w:r>
        <w:rPr>
          <w:rFonts w:hint="eastAsia" w:ascii="仿宋" w:hAnsi="仿宋" w:eastAsia="仿宋" w:cs="仿宋"/>
          <w:color w:val="auto"/>
          <w:sz w:val="24"/>
          <w:szCs w:val="24"/>
          <w:highlight w:val="none"/>
          <w:lang w:eastAsia="zh-CN"/>
        </w:rPr>
        <w:t>撤销</w:t>
      </w:r>
      <w:r>
        <w:rPr>
          <w:rFonts w:hint="eastAsia" w:ascii="仿宋" w:hAnsi="仿宋" w:eastAsia="仿宋" w:cs="仿宋"/>
          <w:color w:val="auto"/>
          <w:sz w:val="24"/>
          <w:szCs w:val="24"/>
          <w:highlight w:val="none"/>
        </w:rPr>
        <w:t>不合要求的偏离或保留从而使其投标成为实质上响应的投标，但经评标委员会认定属于投标人疏忽所造成的差错，应当允许其在评标结束之前进行修改或者补正。限时内不补正或经补正后仍不符合招标文件要求的，应认定其投标无效。投标人修改、补正投标文件后，不影响评标委员会对其投标文件所作的评价和评分结果。</w:t>
      </w:r>
    </w:p>
    <w:p w14:paraId="3BBA6D60">
      <w:pPr>
        <w:pStyle w:val="21"/>
        <w:snapToGrid w:val="0"/>
        <w:spacing w:after="0" w:line="420" w:lineRule="exact"/>
        <w:ind w:left="0" w:leftChars="0" w:firstLine="472" w:firstLineChars="196"/>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18.1在符合性审查和资格性审查时，如发现下列情形之一的，投标文件将被视为无效投标：</w:t>
      </w:r>
    </w:p>
    <w:p w14:paraId="668DCDE9">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18.1.1资格证明文件不全的，或者不符合招标文件标明的资格要求的；</w:t>
      </w:r>
    </w:p>
    <w:p w14:paraId="2E4E26A5">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18.1.2未按照招标文件规定要求盖章；</w:t>
      </w:r>
    </w:p>
    <w:p w14:paraId="3E53A63F">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18.1.3投标文件项目不齐全或者内容虚假的；</w:t>
      </w:r>
    </w:p>
    <w:p w14:paraId="2510D93B">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18.1.4投标文件的实质性内容未使用中文表述、意思表述不明确、前后矛盾或者使用计量单位不符合招标文件要求的；</w:t>
      </w:r>
    </w:p>
    <w:p w14:paraId="10DC8958">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18.1.5投标有效期、交货时间、质保期、售后服务承诺等条款不能满足招标文件要求的；</w:t>
      </w:r>
    </w:p>
    <w:p w14:paraId="30127B2A">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18.1.6投标文件的资格文件、商务技术文件内容含有报价的内容；</w:t>
      </w:r>
    </w:p>
    <w:p w14:paraId="2325EAA0">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18.1.7投标文件含有采购人不能接受的附加条件的；</w:t>
      </w:r>
    </w:p>
    <w:p w14:paraId="7FCFE050">
      <w:pPr>
        <w:snapToGrid w:val="0"/>
        <w:spacing w:line="420" w:lineRule="exact"/>
        <w:ind w:firstLine="528" w:firstLineChars="22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18.1.8不符合法律、法规或未实质性响应招标文件要求。</w:t>
      </w:r>
    </w:p>
    <w:p w14:paraId="73BCAE21">
      <w:pPr>
        <w:pStyle w:val="21"/>
        <w:snapToGrid w:val="0"/>
        <w:spacing w:after="0" w:line="420" w:lineRule="exact"/>
        <w:ind w:left="0" w:leftChars="0"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18.2在技术评审时，如发现下列情形之一的，投标文件将被视为无效：</w:t>
      </w:r>
    </w:p>
    <w:p w14:paraId="1E86A6CF">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18.2.1未提供或未如实提供投标货物的技术参数，或者投标文件标明的响应或偏离与事实不符或虚假投标的；</w:t>
      </w:r>
    </w:p>
    <w:p w14:paraId="6945699E">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18.2.2明显不符合招标文件要求的规格型号、质量标准，或者与招标文件中标“★”的技术指标、主要功能项目发生实质性偏离的；</w:t>
      </w:r>
    </w:p>
    <w:p w14:paraId="7B602598">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18.2.3允许偏离的技术、性能指标或者辅助功能项目发生负偏离达20项（含）以上的；</w:t>
      </w:r>
    </w:p>
    <w:p w14:paraId="78400A61">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18.2.4投标技术方案不明确，存在一个或一个以上备选（替代）投标方案的；</w:t>
      </w:r>
    </w:p>
    <w:p w14:paraId="6CDFABE7">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18.2.5</w:t>
      </w:r>
      <w:r>
        <w:rPr>
          <w:rFonts w:hint="eastAsia" w:ascii="仿宋" w:hAnsi="仿宋" w:eastAsia="仿宋" w:cs="仿宋"/>
          <w:b/>
          <w:color w:val="auto"/>
          <w:sz w:val="24"/>
          <w:szCs w:val="24"/>
          <w:highlight w:val="none"/>
        </w:rPr>
        <w:t>发现有二份及二份以上投标文件的相互之间有特别相同或相似之处，且经询标澄清投标人无令人信服的理由和可靠证据证明其合理性的，经评标委员会半数以上成员确认有串通投标嫌疑的，其投标文件按无</w:t>
      </w:r>
      <w:r>
        <w:rPr>
          <w:rFonts w:hint="eastAsia" w:ascii="仿宋" w:hAnsi="仿宋" w:eastAsia="仿宋" w:cs="仿宋"/>
          <w:b/>
          <w:color w:val="auto"/>
          <w:sz w:val="24"/>
          <w:szCs w:val="24"/>
          <w:highlight w:val="none"/>
          <w:lang w:eastAsia="zh-CN"/>
        </w:rPr>
        <w:t>效投</w:t>
      </w:r>
      <w:r>
        <w:rPr>
          <w:rFonts w:hint="eastAsia" w:ascii="仿宋" w:hAnsi="仿宋" w:eastAsia="仿宋" w:cs="仿宋"/>
          <w:b/>
          <w:color w:val="auto"/>
          <w:sz w:val="24"/>
          <w:szCs w:val="24"/>
          <w:highlight w:val="none"/>
        </w:rPr>
        <w:t>标处理，予以废除，不再对其进行评审，也不影响招标工作继续评标。</w:t>
      </w:r>
    </w:p>
    <w:p w14:paraId="14ED199B">
      <w:pPr>
        <w:pStyle w:val="21"/>
        <w:snapToGrid w:val="0"/>
        <w:spacing w:after="0" w:line="420" w:lineRule="exact"/>
        <w:ind w:left="0" w:leftChars="0"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18.3在报价评审时，如发现下列情形之一的，投标文件将被视为无效：</w:t>
      </w:r>
    </w:p>
    <w:p w14:paraId="6A65C9F3">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（1）未采用人民币报价或者未按照招标文件标明的币种报价的；</w:t>
      </w:r>
    </w:p>
    <w:p w14:paraId="3A9DAA82">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（2）投标报价超过招标文件中规定的最高限价的；</w:t>
      </w:r>
    </w:p>
    <w:p w14:paraId="178CD5F7">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（3）评标委员会认为投标人的报价明显低于其他通过符合性审查投标人的报价，有可能影响产品质量或者不能诚信履约，且投标人不能证明其报价合理性的；</w:t>
      </w:r>
    </w:p>
    <w:p w14:paraId="3A82897E">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（4）投标人不接受报价文件中修正后的报价的；</w:t>
      </w:r>
    </w:p>
    <w:p w14:paraId="3A2FB196">
      <w:pPr>
        <w:snapToGrid w:val="0"/>
        <w:spacing w:line="42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（5）投标报价具有选择性。</w:t>
      </w:r>
    </w:p>
    <w:p w14:paraId="731B5760">
      <w:pPr>
        <w:pStyle w:val="21"/>
        <w:snapToGrid w:val="0"/>
        <w:spacing w:after="0" w:line="420" w:lineRule="exact"/>
        <w:ind w:left="0" w:leftChars="0"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18.4符合招标文件明确规定的其他无效投标条款的。</w:t>
      </w:r>
    </w:p>
    <w:p w14:paraId="17D460B5">
      <w:pPr>
        <w:pStyle w:val="3"/>
        <w:spacing w:before="0" w:after="0" w:line="480" w:lineRule="exact"/>
        <w:jc w:val="center"/>
        <w:rPr>
          <w:rFonts w:ascii="仿宋" w:hAnsi="仿宋" w:eastAsia="仿宋" w:cs="仿宋"/>
          <w:color w:val="auto"/>
          <w:sz w:val="28"/>
          <w:szCs w:val="28"/>
          <w:highlight w:val="none"/>
        </w:rPr>
      </w:pPr>
      <w:bookmarkStart w:id="5" w:name="_Toc125344507"/>
      <w:r>
        <w:rPr>
          <w:rFonts w:hint="eastAsia" w:ascii="仿宋" w:hAnsi="仿宋" w:eastAsia="仿宋" w:cs="仿宋"/>
          <w:color w:val="auto"/>
          <w:sz w:val="28"/>
          <w:szCs w:val="28"/>
          <w:highlight w:val="none"/>
        </w:rPr>
        <w:t>四、开</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标</w:t>
      </w:r>
      <w:bookmarkEnd w:id="5"/>
    </w:p>
    <w:p w14:paraId="5E6E5EF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19.</w:t>
      </w:r>
      <w:r>
        <w:rPr>
          <w:rFonts w:hint="eastAsia" w:ascii="仿宋" w:hAnsi="仿宋" w:eastAsia="仿宋" w:cs="仿宋"/>
          <w:b/>
          <w:color w:val="auto"/>
          <w:sz w:val="24"/>
          <w:highlight w:val="none"/>
        </w:rPr>
        <w:t>开标</w:t>
      </w:r>
    </w:p>
    <w:p w14:paraId="674C511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19.1采购代理机构将在前附表规定的时间、地点进行开标。无关人员不得进入开标现场。</w:t>
      </w:r>
    </w:p>
    <w:p w14:paraId="72135F2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19.2本项目实行电子开评标，投标人无需前往开评标现场，只需在规定时间内在“</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”平台上上传电子投标文件。</w:t>
      </w:r>
    </w:p>
    <w:p w14:paraId="25EA3A23">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20.开标程序</w:t>
      </w:r>
    </w:p>
    <w:p w14:paraId="54EEDCA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20.1投标截止时间后的30分钟内，由各投标人自行对电子投标文件进行解密（请各投标人务必在规定时间内完成电子投标文件的解密工作，在电子开评标期间，投标人（授权代表）需确保在各自所在的区域具备上网的技术条件并保持网络及联系方式畅通），同时为避免出现意外，建议全程由一台电脑进行操作（包括标书制作、上传、解密等），中途不要更换电脑；</w:t>
      </w:r>
    </w:p>
    <w:p w14:paraId="503D905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20.2评标委员会对投标人的资格和</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文件进行评审；</w:t>
      </w:r>
    </w:p>
    <w:p w14:paraId="28FA5DB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20.3对有效的投标单位的投标报价在“</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”平台上予以公开；</w:t>
      </w:r>
    </w:p>
    <w:p w14:paraId="6010100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20.4评标委员会对有效的投标单位进行投标报价评审，确定投标报价评审有效投标单位；</w:t>
      </w:r>
    </w:p>
    <w:p w14:paraId="5BD9E3D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20.5确定预中标人。</w:t>
      </w:r>
    </w:p>
    <w:p w14:paraId="0420305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CEA48A0">
      <w:pPr>
        <w:tabs>
          <w:tab w:val="left" w:pos="2730"/>
        </w:tabs>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乐采云</w:t>
      </w:r>
      <w:r>
        <w:rPr>
          <w:rFonts w:hint="eastAsia" w:ascii="仿宋" w:hAnsi="仿宋" w:eastAsia="仿宋" w:cs="仿宋"/>
          <w:b/>
          <w:color w:val="auto"/>
          <w:sz w:val="24"/>
          <w:highlight w:val="none"/>
        </w:rPr>
        <w:t>公司如对电子化开标及评审程序有调整的，按调整后的程序操作。</w:t>
      </w:r>
    </w:p>
    <w:p w14:paraId="220673CC">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2.如中标单位投标文件和招标文件要求不一致，且评审过程中未发现的，履约应按有利于采购人的要求执行。</w:t>
      </w:r>
    </w:p>
    <w:p w14:paraId="6A2A87AC">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3.采购过程中出现以下情形，导致电子交易平台无法正常运行，或者无法保证电子交易的公平、公正和安全时，采购组织机构可中止电子交易活动：</w:t>
      </w:r>
    </w:p>
    <w:p w14:paraId="5CCCD52C">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（一）电子交易平台发生故障而无法登录访问的；</w:t>
      </w:r>
    </w:p>
    <w:p w14:paraId="29854C62">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（二）电子交易平台应用或数据库出现错误，不能进行正常操作的；</w:t>
      </w:r>
    </w:p>
    <w:p w14:paraId="03BBFADA">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（三）电子交易平台发现严重安全漏洞，有潜在泄密危险的；</w:t>
      </w:r>
    </w:p>
    <w:p w14:paraId="65B53B9B">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（四）病毒发作导致不能进行正常操作的；</w:t>
      </w:r>
    </w:p>
    <w:p w14:paraId="05BFA884">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（五）其他无法保证电子交易的公平、公正和安全的情况。</w:t>
      </w:r>
    </w:p>
    <w:p w14:paraId="444D73B9">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出现前款规定情形，不影响采购公平、公正性的，采购组织机构可以待上述情形消除后继续组织电子交易活动；影响或可能影响采购公平、公正性的，应当重新采购。</w:t>
      </w:r>
    </w:p>
    <w:p w14:paraId="704A0E6E">
      <w:pPr>
        <w:pStyle w:val="3"/>
        <w:spacing w:before="0" w:after="0" w:line="480" w:lineRule="exact"/>
        <w:jc w:val="center"/>
        <w:rPr>
          <w:rFonts w:ascii="仿宋" w:hAnsi="仿宋" w:eastAsia="仿宋" w:cs="仿宋"/>
          <w:color w:val="auto"/>
          <w:sz w:val="28"/>
          <w:szCs w:val="28"/>
          <w:highlight w:val="none"/>
        </w:rPr>
      </w:pPr>
      <w:bookmarkStart w:id="6" w:name="_Toc125344508"/>
      <w:r>
        <w:rPr>
          <w:rFonts w:hint="eastAsia" w:ascii="仿宋" w:hAnsi="仿宋" w:eastAsia="仿宋" w:cs="仿宋"/>
          <w:color w:val="auto"/>
          <w:sz w:val="28"/>
          <w:szCs w:val="28"/>
          <w:highlight w:val="none"/>
        </w:rPr>
        <w:t>五、评</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标</w:t>
      </w:r>
      <w:bookmarkEnd w:id="6"/>
    </w:p>
    <w:p w14:paraId="70641A8C">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21.组建评标委员会</w:t>
      </w:r>
    </w:p>
    <w:p w14:paraId="7A07C083">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评标委员会按照有关规定组建。</w:t>
      </w:r>
    </w:p>
    <w:p w14:paraId="41920700">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22.评标原则</w:t>
      </w:r>
    </w:p>
    <w:p w14:paraId="39DFC316">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22.1评标委员会必须公平、公正、客观，不带任何倾向性和启发性；</w:t>
      </w:r>
    </w:p>
    <w:p w14:paraId="1A9801EF">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22.2不得向外界透露任何与评标有关的内容；</w:t>
      </w:r>
    </w:p>
    <w:p w14:paraId="584B70A2">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22.3任何单位和个人不得干扰、影响评标的正常进行；</w:t>
      </w:r>
    </w:p>
    <w:p w14:paraId="224B33BB">
      <w:pPr>
        <w:pStyle w:val="39"/>
        <w:spacing w:line="42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22.4评标委员会及有关工作人员不得私下与投标人接触</w:t>
      </w:r>
      <w:r>
        <w:rPr>
          <w:rFonts w:hint="eastAsia" w:ascii="仿宋" w:hAnsi="仿宋" w:eastAsia="仿宋" w:cs="仿宋"/>
          <w:color w:val="auto"/>
          <w:sz w:val="24"/>
          <w:highlight w:val="none"/>
          <w:lang w:eastAsia="zh-CN"/>
        </w:rPr>
        <w:t>；</w:t>
      </w:r>
    </w:p>
    <w:p w14:paraId="77F29105">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22.5评审专家因回避、临时缺席或健康原因等特殊情况不能继续参加评审工作的，应按规定更换评审专家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被更换的评审人员之前所作出的评审意见不再予以采纳，由更换后的评审人员重新进行评审。无法及时更换专家的，要立即停止评审工作、封存评审资料，并告知投标人择期重新评审的时间和地点。</w:t>
      </w:r>
    </w:p>
    <w:p w14:paraId="429200E5">
      <w:pPr>
        <w:snapToGrid w:val="0"/>
        <w:spacing w:line="42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22.6</w:t>
      </w:r>
      <w:r>
        <w:rPr>
          <w:rFonts w:hint="eastAsia" w:ascii="仿宋" w:hAnsi="仿宋" w:eastAsia="仿宋" w:cs="仿宋"/>
          <w:color w:val="auto"/>
          <w:sz w:val="24"/>
          <w:highlight w:val="none"/>
        </w:rPr>
        <w:t>以联合体形式参加采购活动的，联合体各方不得再单独参加或者与其他供应商另外组成联合体参加同一合同项下的采购活动。</w:t>
      </w:r>
    </w:p>
    <w:p w14:paraId="4C7D93C1">
      <w:pPr>
        <w:snapToGrid w:val="0"/>
        <w:spacing w:line="42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除单一来源采购以外，为采购项目提供整体设计、规范编制或者项目管理、监理、检测等服务的供应商，不得参加本采购项目。</w:t>
      </w:r>
    </w:p>
    <w:p w14:paraId="6EE5075C">
      <w:pPr>
        <w:snapToGrid w:val="0"/>
        <w:spacing w:line="42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单位负责人为同一人或者存在直接控股、管理关系的不同供应商，不得参加同一合同项下的采购活动。</w:t>
      </w:r>
    </w:p>
    <w:p w14:paraId="1DAB6679">
      <w:pPr>
        <w:pStyle w:val="25"/>
        <w:keepNext w:val="0"/>
        <w:keepLines w:val="0"/>
        <w:pageBreakBefore w:val="0"/>
        <w:widowControl w:val="0"/>
        <w:kinsoku/>
        <w:wordWrap/>
        <w:overflowPunct/>
        <w:topLinePunct w:val="0"/>
        <w:bidi w:val="0"/>
        <w:snapToGrid w:val="0"/>
        <w:spacing w:line="420" w:lineRule="exact"/>
        <w:ind w:firstLine="482" w:firstLineChars="200"/>
        <w:textAlignment w:val="auto"/>
        <w:rPr>
          <w:rFonts w:ascii="仿宋" w:hAnsi="仿宋" w:eastAsia="仿宋" w:cs="仿宋"/>
          <w:b/>
          <w:color w:val="auto"/>
          <w:highlight w:val="none"/>
        </w:rPr>
      </w:pPr>
      <w:r>
        <w:rPr>
          <w:rFonts w:hint="eastAsia" w:ascii="仿宋" w:hAnsi="仿宋" w:eastAsia="仿宋" w:cs="仿宋"/>
          <w:b/>
          <w:color w:val="auto"/>
          <w:highlight w:val="none"/>
        </w:rPr>
        <w:t>22.</w:t>
      </w:r>
      <w:r>
        <w:rPr>
          <w:rFonts w:hint="eastAsia" w:ascii="仿宋" w:hAnsi="仿宋" w:eastAsia="仿宋" w:cs="仿宋"/>
          <w:b/>
          <w:color w:val="auto"/>
          <w:highlight w:val="none"/>
          <w:lang w:val="en-US" w:eastAsia="zh-CN"/>
        </w:rPr>
        <w:t>9</w:t>
      </w:r>
      <w:r>
        <w:rPr>
          <w:rFonts w:hint="eastAsia" w:ascii="仿宋" w:hAnsi="仿宋" w:eastAsia="仿宋" w:cs="仿宋"/>
          <w:b/>
          <w:color w:val="auto"/>
          <w:highlight w:val="none"/>
        </w:rPr>
        <w:t>本项目涉及提供的有关资质证书，若原有资质证书处于年审期间，投标人提供年审证明的可按原资质投标；若投标人正在申报上一级别资质，在未获批准之前，仍按原级别资质投标。</w:t>
      </w:r>
    </w:p>
    <w:p w14:paraId="5CA60E89">
      <w:pPr>
        <w:keepNext w:val="0"/>
        <w:keepLines w:val="0"/>
        <w:pageBreakBefore w:val="0"/>
        <w:widowControl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23.评标程序</w:t>
      </w:r>
    </w:p>
    <w:p w14:paraId="260DCFE3">
      <w:pPr>
        <w:keepNext w:val="0"/>
        <w:keepLines w:val="0"/>
        <w:pageBreakBefore w:val="0"/>
        <w:widowControl w:val="0"/>
        <w:kinsoku/>
        <w:wordWrap/>
        <w:overflowPunct/>
        <w:topLinePunct w:val="0"/>
        <w:bidi w:val="0"/>
        <w:snapToGrid w:val="0"/>
        <w:spacing w:line="420" w:lineRule="exact"/>
        <w:ind w:firstLine="472" w:firstLineChars="196"/>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23.1形式审查</w:t>
      </w:r>
    </w:p>
    <w:p w14:paraId="1498783D">
      <w:pPr>
        <w:keepNext w:val="0"/>
        <w:keepLines w:val="0"/>
        <w:pageBreakBefore w:val="0"/>
        <w:widowControl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仿宋" w:hAnsi="仿宋" w:eastAsia="仿宋" w:cs="仿宋"/>
          <w:color w:val="auto"/>
          <w:kern w:val="2"/>
          <w:sz w:val="24"/>
          <w:szCs w:val="24"/>
          <w:highlight w:val="none"/>
        </w:rPr>
        <w:t>评标委员会对投标人的投标文件的完整性、合法性等进行审查。</w:t>
      </w:r>
    </w:p>
    <w:p w14:paraId="556C1FE3">
      <w:pPr>
        <w:keepNext w:val="0"/>
        <w:keepLines w:val="0"/>
        <w:pageBreakBefore w:val="0"/>
        <w:widowControl w:val="0"/>
        <w:kinsoku/>
        <w:wordWrap/>
        <w:overflowPunct/>
        <w:topLinePunct w:val="0"/>
        <w:bidi w:val="0"/>
        <w:snapToGrid w:val="0"/>
        <w:spacing w:line="420" w:lineRule="exact"/>
        <w:ind w:firstLine="472" w:firstLineChars="196"/>
        <w:textAlignment w:val="auto"/>
        <w:rPr>
          <w:rFonts w:ascii="仿宋" w:hAnsi="仿宋" w:eastAsia="仿宋" w:cs="仿宋"/>
          <w:b/>
          <w:bCs/>
          <w:color w:val="auto"/>
          <w:sz w:val="24"/>
          <w:szCs w:val="20"/>
          <w:highlight w:val="none"/>
        </w:rPr>
      </w:pPr>
      <w:r>
        <w:rPr>
          <w:rFonts w:hint="eastAsia" w:ascii="仿宋" w:hAnsi="仿宋" w:eastAsia="仿宋" w:cs="仿宋"/>
          <w:b/>
          <w:bCs/>
          <w:color w:val="auto"/>
          <w:sz w:val="24"/>
          <w:highlight w:val="none"/>
        </w:rPr>
        <w:t>23.2实质审查与比较</w:t>
      </w:r>
    </w:p>
    <w:p w14:paraId="69E735DE">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评标时，评标委员会将以招标文件为基本依据，首先评定每份投标文件是否在实质上响应了招标文件的要求。所谓实质上响应，是指投标文件应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平的影响。</w:t>
      </w:r>
    </w:p>
    <w:p w14:paraId="6DE0DDF4">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.2评标委员会将根据投标人的投标文件进行审查、核对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如有疑问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将对投标人进行询标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投标人要向评标委员会澄清有关问题</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并最终以“</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”在线询标或其他有效</w:t>
      </w:r>
      <w:r>
        <w:rPr>
          <w:rFonts w:hint="eastAsia" w:ascii="仿宋" w:hAnsi="仿宋" w:eastAsia="仿宋" w:cs="仿宋"/>
          <w:color w:val="auto"/>
          <w:sz w:val="24"/>
          <w:highlight w:val="none"/>
          <w:lang w:eastAsia="zh-CN"/>
        </w:rPr>
        <w:t>形式进行</w:t>
      </w:r>
      <w:r>
        <w:rPr>
          <w:rFonts w:hint="eastAsia" w:ascii="仿宋" w:hAnsi="仿宋" w:eastAsia="仿宋" w:cs="仿宋"/>
          <w:color w:val="auto"/>
          <w:sz w:val="24"/>
          <w:highlight w:val="none"/>
        </w:rPr>
        <w:t>答复。“</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”在线询标时间由评标委员会根据项目实际情况决定，投标人代表拒绝澄清或者澄清的内容改变了投标文件的实质性内容的，评标委员会有权对该投标文件作出不利于投标人的评判。</w:t>
      </w:r>
    </w:p>
    <w:p w14:paraId="77147661">
      <w:pPr>
        <w:pStyle w:val="39"/>
        <w:spacing w:line="42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23.</w:t>
      </w:r>
      <w:r>
        <w:rPr>
          <w:rFonts w:hint="eastAsia" w:ascii="仿宋" w:hAnsi="仿宋" w:eastAsia="仿宋" w:cs="仿宋"/>
          <w:b/>
          <w:bCs w:val="0"/>
          <w:color w:val="auto"/>
          <w:sz w:val="24"/>
          <w:highlight w:val="none"/>
          <w:lang w:val="en-US" w:eastAsia="zh-CN"/>
        </w:rPr>
        <w:t>2</w:t>
      </w:r>
      <w:r>
        <w:rPr>
          <w:rFonts w:hint="eastAsia" w:ascii="仿宋" w:hAnsi="仿宋" w:eastAsia="仿宋" w:cs="仿宋"/>
          <w:b/>
          <w:bCs w:val="0"/>
          <w:color w:val="auto"/>
          <w:sz w:val="24"/>
          <w:highlight w:val="none"/>
        </w:rPr>
        <w:t>.3</w:t>
      </w:r>
      <w:r>
        <w:rPr>
          <w:rFonts w:hint="eastAsia" w:ascii="仿宋" w:hAnsi="仿宋" w:eastAsia="仿宋" w:cs="仿宋"/>
          <w:b w:val="0"/>
          <w:bCs/>
          <w:color w:val="auto"/>
          <w:sz w:val="24"/>
          <w:highlight w:val="none"/>
        </w:rPr>
        <w:t>如果投标文件实质不响应招标文件的各项要求，评标委员会将予以拒绝，并且不允许投标人通过修改或撤销其不符合要求的差异或保留，使之成为具有响应性的投标。</w:t>
      </w:r>
    </w:p>
    <w:p w14:paraId="26B34806">
      <w:pPr>
        <w:pStyle w:val="39"/>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23.</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w:t>
      </w:r>
      <w:r>
        <w:rPr>
          <w:rFonts w:hint="eastAsia" w:ascii="仿宋" w:hAnsi="仿宋" w:eastAsia="仿宋" w:cs="仿宋"/>
          <w:color w:val="auto"/>
          <w:sz w:val="24"/>
          <w:highlight w:val="none"/>
        </w:rPr>
        <w:t>评标委员会完成评标后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按评标原则推荐中标候选人同时起草评标报告。</w:t>
      </w:r>
    </w:p>
    <w:p w14:paraId="78E9EB91">
      <w:pPr>
        <w:pStyle w:val="39"/>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23.2.5</w:t>
      </w:r>
      <w:r>
        <w:rPr>
          <w:rFonts w:hint="eastAsia" w:ascii="仿宋" w:hAnsi="仿宋" w:eastAsia="仿宋" w:cs="仿宋"/>
          <w:b/>
          <w:color w:val="auto"/>
          <w:sz w:val="24"/>
          <w:highlight w:val="none"/>
        </w:rPr>
        <w:t>评标委员会对明显不合理的投标报价，有权要求投标人在规定时间内提交说明，投标人不能提供的或提供的材料不能说明问题的，评标委员会可以判定其投标无效。</w:t>
      </w:r>
    </w:p>
    <w:p w14:paraId="4F60D861">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评审人员对有关招标文件、投标文件、解释、要求、标准存在不同意见的，持不同意见的评审人员及其意见或理由应予以完整记录，并在评审过程中按照少数服从多数的原则表决执行。评审人员拒绝在评审报告中签字又不说明其不同意见或理由的，由现场监督员记录在案后，可视为同意评审结果。</w:t>
      </w:r>
    </w:p>
    <w:p w14:paraId="62E8BC9F">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8F2FE45">
      <w:pPr>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24.</w:t>
      </w:r>
      <w:r>
        <w:rPr>
          <w:rFonts w:hint="eastAsia" w:ascii="仿宋" w:hAnsi="仿宋" w:eastAsia="仿宋" w:cs="仿宋"/>
          <w:color w:val="auto"/>
          <w:sz w:val="24"/>
          <w:szCs w:val="24"/>
          <w:highlight w:val="none"/>
        </w:rPr>
        <w:t>如投标人或采购人有下列情形之一的，应按串通投标行为认定，禁止其一至三年内进入本市采购市场，情节严重的移送有关部门依法处理。</w:t>
      </w:r>
    </w:p>
    <w:p w14:paraId="44819367">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24.1不同投标人的投标文件由同一单位或人员编制；</w:t>
      </w:r>
    </w:p>
    <w:p w14:paraId="61472831">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24.2不同投标人委托同一单位或个人办理投标事宜；</w:t>
      </w:r>
    </w:p>
    <w:p w14:paraId="00EA53BC">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24.3不同投标人的投标文件载明的项目管理或联系人员为同一人；</w:t>
      </w:r>
    </w:p>
    <w:p w14:paraId="1DDFCC82">
      <w:pPr>
        <w:spacing w:line="420" w:lineRule="exact"/>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24.4不同投标人的投标文件异常一致或者投标报价呈规律性差异；</w:t>
      </w:r>
    </w:p>
    <w:p w14:paraId="0E9C979A">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24.5不同投标人的投标文件遗留其他投标人不属于本投标人参加采购必需的信息资料的；</w:t>
      </w:r>
    </w:p>
    <w:p w14:paraId="4C2F6163">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24.6不同投标人的授权代表为同一单位的工作人员的；</w:t>
      </w:r>
    </w:p>
    <w:p w14:paraId="7E3026AD">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24.7采购响应截止时间后，采购人协助投标人撤换或更改投标文件的；</w:t>
      </w:r>
    </w:p>
    <w:p w14:paraId="64BF0120">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采购人泄露有意向参加采购的投标人名称、数量等应当保密的事项的；</w:t>
      </w:r>
    </w:p>
    <w:p w14:paraId="424384D7">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不同投标人之间私下达成书面或口头协议，指定一家投标人中标或轮流中标的；</w:t>
      </w:r>
    </w:p>
    <w:p w14:paraId="23506604">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属于同一集团、协会、商会等组织成员的投标人按照该组织要求协同的投标；</w:t>
      </w:r>
    </w:p>
    <w:p w14:paraId="2A7C0B23">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投标人之间为谋取中标或者排斥特定投标人而采取的其他联合行动；</w:t>
      </w:r>
    </w:p>
    <w:p w14:paraId="21D73AA5">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不同投标人与同一投标人联合投标的；</w:t>
      </w:r>
    </w:p>
    <w:p w14:paraId="25D1BD01">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采购人（或采购代理机构）明示或者暗示投标人压低或者抬高投标报价；</w:t>
      </w:r>
    </w:p>
    <w:p w14:paraId="15EEA1D8">
      <w:pPr>
        <w:spacing w:line="420" w:lineRule="exact"/>
        <w:ind w:firstLine="477" w:firstLineChars="19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采购人（或采购代理机构）明示或者暗示投标人为特定投标人中标提供方便；</w:t>
      </w:r>
    </w:p>
    <w:p w14:paraId="659E3DDA">
      <w:pPr>
        <w:snapToGrid w:val="0"/>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采购人（或采购代理机构）与投标人为谋求特定投标人中标而采取的其他串通行为；</w:t>
      </w:r>
    </w:p>
    <w:p w14:paraId="54B32784">
      <w:pPr>
        <w:snapToGrid w:val="0"/>
        <w:spacing w:line="420" w:lineRule="exact"/>
        <w:ind w:firstLine="480" w:firstLineChars="200"/>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24.1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法律、法规或规章规定的其他串通行为。</w:t>
      </w:r>
    </w:p>
    <w:p w14:paraId="23CF871F">
      <w:pPr>
        <w:spacing w:line="42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25.投标文件的澄清</w:t>
      </w:r>
    </w:p>
    <w:p w14:paraId="509D54F1">
      <w:pPr>
        <w:keepNext w:val="0"/>
        <w:keepLines w:val="0"/>
        <w:pageBreakBefore w:val="0"/>
        <w:widowControl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对投标文件中含义不明确、同类问题表述不一致或者有明显文字错误的内容，评标委员会可以在“</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凡属于评标小组在评标中发现的计算错误并进行核实的修改不在此列。投标人的澄清文件是其投标文件的组成部分。</w:t>
      </w:r>
    </w:p>
    <w:p w14:paraId="502BAD2A">
      <w:pPr>
        <w:pStyle w:val="25"/>
        <w:keepNext w:val="0"/>
        <w:keepLines w:val="0"/>
        <w:pageBreakBefore w:val="0"/>
        <w:widowControl w:val="0"/>
        <w:kinsoku/>
        <w:wordWrap/>
        <w:overflowPunct/>
        <w:topLinePunct w:val="0"/>
        <w:bidi w:val="0"/>
        <w:snapToGrid w:val="0"/>
        <w:spacing w:line="420" w:lineRule="exact"/>
        <w:ind w:firstLine="482" w:firstLineChars="200"/>
        <w:textAlignment w:val="auto"/>
        <w:rPr>
          <w:rFonts w:ascii="仿宋" w:hAnsi="仿宋" w:eastAsia="仿宋" w:cs="仿宋"/>
          <w:b/>
          <w:color w:val="auto"/>
          <w:highlight w:val="none"/>
        </w:rPr>
      </w:pPr>
      <w:r>
        <w:rPr>
          <w:rFonts w:hint="eastAsia" w:ascii="仿宋" w:hAnsi="仿宋" w:eastAsia="仿宋" w:cs="仿宋"/>
          <w:b/>
          <w:color w:val="auto"/>
          <w:highlight w:val="none"/>
        </w:rPr>
        <w:t>26.错误修正</w:t>
      </w:r>
    </w:p>
    <w:p w14:paraId="1EC8D2F3">
      <w:pPr>
        <w:pStyle w:val="39"/>
        <w:keepNext w:val="0"/>
        <w:keepLines w:val="0"/>
        <w:pageBreakBefore w:val="0"/>
        <w:widowControl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投标文件报价出现前后不一致的，按照下列规定修正：</w:t>
      </w:r>
    </w:p>
    <w:p w14:paraId="189CD28A">
      <w:pPr>
        <w:pStyle w:val="39"/>
        <w:keepNext w:val="0"/>
        <w:keepLines w:val="0"/>
        <w:pageBreakBefore w:val="0"/>
        <w:widowControl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26.1投标文件中开标一览表（报价表）内容与投标文件中相应内容不一致的，以开标一览表（报价表）为准。</w:t>
      </w:r>
    </w:p>
    <w:p w14:paraId="017CECC8">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26.2大写金额和小写金额不一致的，以大写金额为准。</w:t>
      </w:r>
    </w:p>
    <w:p w14:paraId="7239ABC0">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26.3单价金额小数点或者百分比有明显错位的，以开标一览表的总价为准，并修改单价。</w:t>
      </w:r>
    </w:p>
    <w:p w14:paraId="57DC3B63">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26.4总价金额与按单价汇总金额不一致的，以单价金额计算结果为准。</w:t>
      </w:r>
    </w:p>
    <w:p w14:paraId="5B9D56BC">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同时出现两种以上不一致的，按照上述规定的顺序修正。</w:t>
      </w:r>
    </w:p>
    <w:p w14:paraId="209E03D4">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按上述修正错误的原则及方法调整或修正投标文件的投标报价，投标人同意并加盖公章确认，调整后的投标报价对投标人具有约束作用。如果投标人不接受修正后的报价，则其投标将作为无效投标处理。</w:t>
      </w:r>
    </w:p>
    <w:p w14:paraId="055B4C5F">
      <w:pPr>
        <w:pStyle w:val="39"/>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27.评标办法</w:t>
      </w:r>
    </w:p>
    <w:p w14:paraId="57C3CA33">
      <w:pPr>
        <w:pStyle w:val="39"/>
        <w:spacing w:line="42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本项目评标办法是</w:t>
      </w:r>
      <w:r>
        <w:rPr>
          <w:rFonts w:hint="eastAsia" w:ascii="仿宋" w:hAnsi="仿宋" w:eastAsia="仿宋" w:cs="仿宋"/>
          <w:color w:val="auto"/>
          <w:sz w:val="24"/>
          <w:highlight w:val="none"/>
          <w:lang w:val="en-US" w:eastAsia="zh-CN"/>
        </w:rPr>
        <w:t>最低评标价</w:t>
      </w:r>
      <w:r>
        <w:rPr>
          <w:rFonts w:hint="eastAsia" w:ascii="仿宋" w:hAnsi="仿宋" w:eastAsia="仿宋" w:cs="仿宋"/>
          <w:color w:val="auto"/>
          <w:sz w:val="24"/>
          <w:highlight w:val="none"/>
        </w:rPr>
        <w:t>法，具体评标内容及评分标准等详见《第三章：评标办法》。</w:t>
      </w:r>
    </w:p>
    <w:p w14:paraId="63945F35">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28.</w:t>
      </w:r>
      <w:r>
        <w:rPr>
          <w:rFonts w:hint="eastAsia" w:ascii="仿宋" w:hAnsi="仿宋" w:eastAsia="仿宋" w:cs="仿宋"/>
          <w:b/>
          <w:bCs/>
          <w:color w:val="auto"/>
          <w:sz w:val="24"/>
          <w:highlight w:val="none"/>
        </w:rPr>
        <w:t>评标过程的保密</w:t>
      </w:r>
    </w:p>
    <w:p w14:paraId="40E4FEC8">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28.1开标后，直到宣布授予中标人合同为止，凡属于审查、澄清、评价和比较投标文件的有关资料和授予合同的信息，采购人、评标委员会成员都不应向投标人或与该过程无关的其他人员泄露。</w:t>
      </w:r>
    </w:p>
    <w:p w14:paraId="2D070D7C">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28.2任何单位和个人都不得干扰、影响评标活动的正常进行。投标人在评标过程中所进行的试图影响评标结果的一切不符合法律或招标规定的活动，都可能导致其被取消投标资格，并由其承担相应的法律责任。</w:t>
      </w:r>
    </w:p>
    <w:p w14:paraId="6B638A5C">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28.3中标人确定后，采购人不对未中标人就评标过程以及未能中标原因作出任何解释。未中标人不得向评标委员会或其他有关人员索问评标过程的情况和材料。</w:t>
      </w:r>
    </w:p>
    <w:p w14:paraId="7F9F18FA">
      <w:pPr>
        <w:pStyle w:val="3"/>
        <w:spacing w:before="0" w:after="0" w:line="480" w:lineRule="exact"/>
        <w:jc w:val="center"/>
        <w:rPr>
          <w:rFonts w:ascii="仿宋" w:hAnsi="仿宋" w:eastAsia="仿宋" w:cs="仿宋"/>
          <w:color w:val="auto"/>
          <w:sz w:val="28"/>
          <w:szCs w:val="28"/>
          <w:highlight w:val="none"/>
        </w:rPr>
      </w:pPr>
      <w:bookmarkStart w:id="7" w:name="_Toc125344509"/>
      <w:r>
        <w:rPr>
          <w:rFonts w:hint="eastAsia" w:ascii="仿宋" w:hAnsi="仿宋" w:eastAsia="仿宋" w:cs="仿宋"/>
          <w:color w:val="auto"/>
          <w:sz w:val="28"/>
          <w:szCs w:val="28"/>
          <w:highlight w:val="none"/>
        </w:rPr>
        <w:t>六、</w:t>
      </w:r>
      <w:bookmarkEnd w:id="7"/>
      <w:r>
        <w:rPr>
          <w:rFonts w:hint="eastAsia" w:ascii="仿宋" w:hAnsi="仿宋" w:eastAsia="仿宋" w:cs="仿宋"/>
          <w:color w:val="auto"/>
          <w:sz w:val="28"/>
          <w:szCs w:val="28"/>
          <w:highlight w:val="none"/>
        </w:rPr>
        <w:t>定</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标</w:t>
      </w:r>
    </w:p>
    <w:p w14:paraId="0DFC631C">
      <w:pPr>
        <w:pStyle w:val="39"/>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29.确定中标人。本项目由采购人确定中标人。</w:t>
      </w:r>
    </w:p>
    <w:p w14:paraId="579090F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29.1采购人应当自收到评标报告之日起５个工作日内，在评标报告确定的中标候选人名单中按顺序确定中标人。采购人在收到评标报告5个工作日内未按评标报告推荐的中标候选人顺序确定中标人，又不能说明合法理由的，视同按评标报告推荐的顺序确定的中标候选人为中标人。</w:t>
      </w:r>
    </w:p>
    <w:p w14:paraId="09F0CF47">
      <w:pPr>
        <w:spacing w:line="420" w:lineRule="exact"/>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29.2第一名中标候选人无正当理由放弃中标成交或被取消中标资格的，除其投标保证金不予退还外，同时上报</w:t>
      </w:r>
      <w:r>
        <w:rPr>
          <w:rFonts w:hint="eastAsia" w:ascii="仿宋" w:hAnsi="仿宋" w:eastAsia="仿宋" w:cs="仿宋"/>
          <w:color w:val="auto"/>
          <w:sz w:val="24"/>
          <w:highlight w:val="none"/>
          <w:lang w:eastAsia="zh-CN"/>
        </w:rPr>
        <w:t>诸暨市建设集团有限公司</w:t>
      </w:r>
      <w:r>
        <w:rPr>
          <w:rFonts w:hint="eastAsia" w:ascii="仿宋" w:hAnsi="仿宋" w:eastAsia="仿宋" w:cs="仿宋"/>
          <w:color w:val="auto"/>
          <w:sz w:val="24"/>
          <w:highlight w:val="none"/>
        </w:rPr>
        <w:t>招投标监管领导小组办公室，</w:t>
      </w:r>
      <w:r>
        <w:rPr>
          <w:rFonts w:hint="eastAsia" w:ascii="仿宋" w:hAnsi="仿宋" w:eastAsia="仿宋" w:cs="仿宋"/>
          <w:color w:val="auto"/>
          <w:sz w:val="24"/>
          <w:highlight w:val="none"/>
          <w:lang w:eastAsia="zh-CN"/>
        </w:rPr>
        <w:t>诸暨市建设集团有限公司</w:t>
      </w:r>
      <w:r>
        <w:rPr>
          <w:rFonts w:hint="eastAsia" w:ascii="仿宋" w:hAnsi="仿宋" w:eastAsia="仿宋" w:cs="仿宋"/>
          <w:color w:val="auto"/>
          <w:sz w:val="24"/>
          <w:highlight w:val="none"/>
        </w:rPr>
        <w:t>招投标监管领导小组办公室将按有关法律、法规、制度进行处理。</w:t>
      </w:r>
      <w:r>
        <w:rPr>
          <w:rFonts w:hint="eastAsia" w:ascii="仿宋" w:hAnsi="仿宋" w:eastAsia="仿宋" w:cs="仿宋"/>
          <w:b/>
          <w:bCs/>
          <w:color w:val="auto"/>
          <w:sz w:val="24"/>
          <w:highlight w:val="none"/>
        </w:rPr>
        <w:t>此标的将另行组织采购。</w:t>
      </w:r>
    </w:p>
    <w:p w14:paraId="0EC49725">
      <w:pPr>
        <w:pStyle w:val="39"/>
        <w:spacing w:line="42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30.中标通知</w:t>
      </w:r>
    </w:p>
    <w:p w14:paraId="56719E59">
      <w:pPr>
        <w:pStyle w:val="39"/>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30.1采购结果经采购人确认后，采购代理机构将于2个工作日内在浙江省政府采购网上发布中标公告，由采购代理机构通过“</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”平台确认并签发《中标通知书》。《中标通知书》一经发出即发生法律效力。</w:t>
      </w:r>
    </w:p>
    <w:p w14:paraId="08E89EF4">
      <w:pPr>
        <w:pStyle w:val="39"/>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4026E1F6">
      <w:pPr>
        <w:snapToGrid w:val="0"/>
        <w:spacing w:line="420" w:lineRule="exact"/>
        <w:ind w:firstLine="472" w:firstLineChars="196"/>
        <w:rPr>
          <w:rFonts w:ascii="仿宋" w:hAnsi="仿宋" w:eastAsia="仿宋" w:cs="仿宋"/>
          <w:b/>
          <w:bCs/>
          <w:color w:val="auto"/>
          <w:sz w:val="24"/>
          <w:highlight w:val="none"/>
        </w:rPr>
      </w:pPr>
      <w:r>
        <w:rPr>
          <w:rFonts w:hint="eastAsia" w:ascii="仿宋" w:hAnsi="仿宋" w:eastAsia="仿宋" w:cs="仿宋"/>
          <w:b/>
          <w:bCs/>
          <w:color w:val="auto"/>
          <w:sz w:val="24"/>
          <w:highlight w:val="none"/>
        </w:rPr>
        <w:t>31.中标无效情形</w:t>
      </w:r>
    </w:p>
    <w:p w14:paraId="4B7F8691">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中标人存在下列情形之一的，中标无效：</w:t>
      </w:r>
    </w:p>
    <w:p w14:paraId="6294C616">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31.1提供虚假材料谋取中标的；</w:t>
      </w:r>
    </w:p>
    <w:p w14:paraId="20F507B9">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31.2采取不正当手段诋毁、排挤其他投标人的；</w:t>
      </w:r>
    </w:p>
    <w:p w14:paraId="4E36B960">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31.3与采购人、其他投标人恶意串通的；</w:t>
      </w:r>
    </w:p>
    <w:p w14:paraId="5F8EF2B0">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31.4向采购人、采购代理机构行贿或者提供其他不正当利益的；</w:t>
      </w:r>
    </w:p>
    <w:p w14:paraId="4399266C">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31.5在招标过程中与采购人进行协商谈判；不按照招标文件和投标文件订立合同或者与采购人另行背离合同实质性内容的协议的；</w:t>
      </w:r>
    </w:p>
    <w:p w14:paraId="6442A737">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31.6拖延、拒签合同的；</w:t>
      </w:r>
    </w:p>
    <w:p w14:paraId="069C7BA2">
      <w:pPr>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highlight w:val="none"/>
        </w:rPr>
        <w:t>31.7存在法律、法规规定</w:t>
      </w:r>
      <w:r>
        <w:rPr>
          <w:rFonts w:hint="eastAsia" w:ascii="仿宋" w:hAnsi="仿宋" w:eastAsia="仿宋" w:cs="仿宋"/>
          <w:color w:val="auto"/>
          <w:sz w:val="24"/>
          <w:highlight w:val="none"/>
          <w:lang w:eastAsia="zh-CN"/>
        </w:rPr>
        <w:t>的其他</w:t>
      </w:r>
      <w:r>
        <w:rPr>
          <w:rFonts w:hint="eastAsia" w:ascii="仿宋" w:hAnsi="仿宋" w:eastAsia="仿宋" w:cs="仿宋"/>
          <w:color w:val="auto"/>
          <w:sz w:val="24"/>
          <w:highlight w:val="none"/>
        </w:rPr>
        <w:t>损害采购人或采购单位利益或社会公共利益的情形的</w:t>
      </w:r>
      <w:r>
        <w:rPr>
          <w:rFonts w:hint="eastAsia" w:ascii="仿宋" w:hAnsi="仿宋" w:eastAsia="仿宋" w:cs="仿宋"/>
          <w:color w:val="auto"/>
          <w:sz w:val="24"/>
          <w:szCs w:val="24"/>
          <w:highlight w:val="none"/>
        </w:rPr>
        <w:t>。</w:t>
      </w:r>
    </w:p>
    <w:p w14:paraId="794AC91B">
      <w:pPr>
        <w:snapToGrid w:val="0"/>
        <w:spacing w:line="420" w:lineRule="exact"/>
        <w:ind w:firstLine="472" w:firstLineChars="196"/>
        <w:rPr>
          <w:rFonts w:ascii="仿宋" w:hAnsi="仿宋" w:eastAsia="仿宋" w:cs="仿宋"/>
          <w:b/>
          <w:bCs/>
          <w:color w:val="auto"/>
          <w:sz w:val="24"/>
          <w:highlight w:val="none"/>
        </w:rPr>
      </w:pPr>
      <w:r>
        <w:rPr>
          <w:rFonts w:hint="eastAsia" w:ascii="仿宋" w:hAnsi="仿宋" w:eastAsia="仿宋" w:cs="仿宋"/>
          <w:b/>
          <w:bCs/>
          <w:color w:val="auto"/>
          <w:sz w:val="24"/>
          <w:highlight w:val="none"/>
        </w:rPr>
        <w:t>32.重新招标</w:t>
      </w:r>
    </w:p>
    <w:p w14:paraId="7449FE72">
      <w:pPr>
        <w:pStyle w:val="39"/>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32.1根据诸国资办〔2021〕5号文件有关事项的通知，通过公开招标方式进行采购的，经评审，</w:t>
      </w:r>
      <w:r>
        <w:rPr>
          <w:rFonts w:hint="eastAsia" w:ascii="仿宋" w:hAnsi="仿宋" w:eastAsia="仿宋" w:cs="仿宋"/>
          <w:color w:val="auto"/>
          <w:sz w:val="24"/>
          <w:highlight w:val="none"/>
          <w:lang w:eastAsia="zh-CN"/>
        </w:rPr>
        <w:t>只有两家</w:t>
      </w:r>
      <w:r>
        <w:rPr>
          <w:rFonts w:hint="eastAsia" w:ascii="仿宋" w:hAnsi="仿宋" w:eastAsia="仿宋" w:cs="仿宋"/>
          <w:color w:val="auto"/>
          <w:sz w:val="24"/>
          <w:highlight w:val="none"/>
        </w:rPr>
        <w:t>单位符合采购条件，且采购文件公告期间无异议，专家组一致认为采购文件没有限制性、排他性条款的，可以继续开标。</w:t>
      </w:r>
    </w:p>
    <w:p w14:paraId="2D7F1258">
      <w:pPr>
        <w:pStyle w:val="3"/>
        <w:spacing w:before="0" w:after="0" w:line="48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七、授予合同</w:t>
      </w:r>
    </w:p>
    <w:p w14:paraId="4E3E47D0">
      <w:pPr>
        <w:snapToGrid w:val="0"/>
        <w:spacing w:line="420" w:lineRule="exact"/>
        <w:ind w:firstLine="472" w:firstLineChars="196"/>
        <w:rPr>
          <w:rFonts w:ascii="仿宋" w:hAnsi="仿宋" w:eastAsia="仿宋" w:cs="仿宋"/>
          <w:b/>
          <w:bCs/>
          <w:color w:val="auto"/>
          <w:sz w:val="24"/>
          <w:highlight w:val="none"/>
        </w:rPr>
      </w:pPr>
      <w:r>
        <w:rPr>
          <w:rFonts w:hint="eastAsia" w:ascii="仿宋" w:hAnsi="仿宋" w:eastAsia="仿宋" w:cs="仿宋"/>
          <w:b/>
          <w:bCs/>
          <w:color w:val="auto"/>
          <w:sz w:val="24"/>
          <w:highlight w:val="none"/>
        </w:rPr>
        <w:t>33.签订合同</w:t>
      </w:r>
    </w:p>
    <w:p w14:paraId="5775375F">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33.1采购人与中标人应当在《中标通知书》发出之日起30日内签订采购合同。</w:t>
      </w:r>
    </w:p>
    <w:p w14:paraId="1391E5F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33.2招标文件、中标人的投标文件和评标过程中投标人的询标时作出的承诺及其澄清文件等作为合同签订的依据和主要附件。</w:t>
      </w:r>
    </w:p>
    <w:p w14:paraId="66F5DC0D">
      <w:pPr>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33.3合同一式</w:t>
      </w:r>
      <w:r>
        <w:rPr>
          <w:rFonts w:hint="eastAsia" w:ascii="仿宋" w:hAnsi="仿宋" w:eastAsia="仿宋" w:cs="仿宋"/>
          <w:color w:val="auto"/>
          <w:sz w:val="24"/>
          <w:szCs w:val="24"/>
          <w:highlight w:val="none"/>
          <w:lang w:val="en-US" w:eastAsia="zh-CN"/>
        </w:rPr>
        <w:t>陆</w:t>
      </w:r>
      <w:r>
        <w:rPr>
          <w:rFonts w:hint="eastAsia" w:ascii="仿宋" w:hAnsi="仿宋" w:eastAsia="仿宋" w:cs="仿宋"/>
          <w:color w:val="auto"/>
          <w:sz w:val="24"/>
          <w:szCs w:val="24"/>
          <w:highlight w:val="none"/>
        </w:rPr>
        <w:t>份，用户单位和中标人各执</w:t>
      </w:r>
      <w:r>
        <w:rPr>
          <w:rFonts w:hint="eastAsia" w:ascii="仿宋" w:hAnsi="仿宋" w:eastAsia="仿宋" w:cs="仿宋"/>
          <w:color w:val="auto"/>
          <w:sz w:val="24"/>
          <w:szCs w:val="24"/>
          <w:highlight w:val="none"/>
          <w:lang w:val="en-US" w:eastAsia="zh-CN"/>
        </w:rPr>
        <w:t>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代理公司、</w:t>
      </w:r>
      <w:r>
        <w:rPr>
          <w:rFonts w:hint="eastAsia" w:ascii="仿宋" w:hAnsi="仿宋" w:eastAsia="仿宋" w:cs="仿宋"/>
          <w:color w:val="auto"/>
          <w:sz w:val="24"/>
          <w:szCs w:val="24"/>
          <w:highlight w:val="none"/>
          <w:lang w:val="en-US" w:eastAsia="zh-CN"/>
        </w:rPr>
        <w:t>招标办</w:t>
      </w:r>
      <w:r>
        <w:rPr>
          <w:rFonts w:hint="eastAsia" w:ascii="仿宋" w:hAnsi="仿宋" w:eastAsia="仿宋" w:cs="仿宋"/>
          <w:color w:val="auto"/>
          <w:sz w:val="24"/>
          <w:szCs w:val="24"/>
          <w:highlight w:val="none"/>
        </w:rPr>
        <w:t>存档</w:t>
      </w:r>
      <w:r>
        <w:rPr>
          <w:rFonts w:hint="eastAsia" w:ascii="仿宋" w:hAnsi="仿宋" w:eastAsia="仿宋" w:cs="仿宋"/>
          <w:color w:val="auto"/>
          <w:sz w:val="24"/>
          <w:szCs w:val="24"/>
          <w:highlight w:val="none"/>
          <w:lang w:val="en-US" w:eastAsia="zh-CN"/>
        </w:rPr>
        <w:t>壹</w:t>
      </w:r>
      <w:r>
        <w:rPr>
          <w:rFonts w:hint="eastAsia" w:ascii="仿宋" w:hAnsi="仿宋" w:eastAsia="仿宋" w:cs="仿宋"/>
          <w:color w:val="auto"/>
          <w:sz w:val="24"/>
          <w:szCs w:val="24"/>
          <w:highlight w:val="none"/>
        </w:rPr>
        <w:t>份。</w:t>
      </w:r>
    </w:p>
    <w:p w14:paraId="073C3CC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33.4中标人和采购单位不得擅自变更、中止或者终止合同，不得另外订立背离合同实质性内容</w:t>
      </w:r>
      <w:r>
        <w:rPr>
          <w:rFonts w:hint="eastAsia" w:ascii="仿宋" w:hAnsi="仿宋" w:eastAsia="仿宋" w:cs="仿宋"/>
          <w:color w:val="auto"/>
          <w:sz w:val="24"/>
          <w:highlight w:val="none"/>
          <w:lang w:eastAsia="zh-CN"/>
        </w:rPr>
        <w:t>的其他</w:t>
      </w:r>
      <w:r>
        <w:rPr>
          <w:rFonts w:hint="eastAsia" w:ascii="仿宋" w:hAnsi="仿宋" w:eastAsia="仿宋" w:cs="仿宋"/>
          <w:color w:val="auto"/>
          <w:sz w:val="24"/>
          <w:highlight w:val="none"/>
        </w:rPr>
        <w:t>协议。</w:t>
      </w:r>
    </w:p>
    <w:p w14:paraId="2BE79A87">
      <w:pPr>
        <w:snapToGrid w:val="0"/>
        <w:spacing w:line="420" w:lineRule="exact"/>
        <w:ind w:firstLine="472" w:firstLineChars="196"/>
        <w:rPr>
          <w:rFonts w:ascii="仿宋" w:hAnsi="仿宋" w:eastAsia="仿宋" w:cs="仿宋"/>
          <w:b/>
          <w:bCs/>
          <w:color w:val="auto"/>
          <w:sz w:val="24"/>
          <w:highlight w:val="none"/>
        </w:rPr>
      </w:pPr>
      <w:r>
        <w:rPr>
          <w:rFonts w:hint="eastAsia" w:ascii="仿宋" w:hAnsi="仿宋" w:eastAsia="仿宋" w:cs="仿宋"/>
          <w:b/>
          <w:bCs/>
          <w:color w:val="auto"/>
          <w:sz w:val="24"/>
          <w:highlight w:val="none"/>
        </w:rPr>
        <w:t>34.履约保证金</w:t>
      </w:r>
    </w:p>
    <w:p w14:paraId="27EEF12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34.1中标人在</w:t>
      </w:r>
      <w:r>
        <w:rPr>
          <w:rFonts w:hint="eastAsia" w:ascii="仿宋" w:hAnsi="仿宋" w:eastAsia="仿宋" w:cs="仿宋"/>
          <w:color w:val="auto"/>
          <w:sz w:val="24"/>
          <w:highlight w:val="none"/>
          <w:lang w:val="en-US" w:eastAsia="zh-CN"/>
        </w:rPr>
        <w:t>合同签订</w:t>
      </w:r>
      <w:r>
        <w:rPr>
          <w:rFonts w:hint="eastAsia" w:ascii="仿宋" w:hAnsi="仿宋" w:eastAsia="仿宋" w:cs="仿宋"/>
          <w:color w:val="auto"/>
          <w:sz w:val="24"/>
          <w:highlight w:val="none"/>
        </w:rPr>
        <w:t>前，应按招标文件要求向采购人提交履约保证金，履约保证金作为中标人在</w:t>
      </w:r>
      <w:r>
        <w:rPr>
          <w:rFonts w:hint="eastAsia" w:ascii="仿宋" w:hAnsi="仿宋" w:eastAsia="仿宋" w:cs="仿宋"/>
          <w:color w:val="auto"/>
          <w:sz w:val="24"/>
          <w:highlight w:val="none"/>
          <w:lang w:eastAsia="zh-CN"/>
        </w:rPr>
        <w:t>履行合同</w:t>
      </w:r>
      <w:r>
        <w:rPr>
          <w:rFonts w:hint="eastAsia" w:ascii="仿宋" w:hAnsi="仿宋" w:eastAsia="仿宋" w:cs="仿宋"/>
          <w:color w:val="auto"/>
          <w:sz w:val="24"/>
          <w:highlight w:val="none"/>
        </w:rPr>
        <w:t>服务承诺的保证。</w:t>
      </w:r>
    </w:p>
    <w:p w14:paraId="2308E3D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34.2中标人应当以支票、汇票、本票等非现金形式提交。中标人在履行完合同约定事项后，采购人应及时退还履约保证金。履约保证金不计息。</w:t>
      </w:r>
    </w:p>
    <w:p w14:paraId="0DD20E2F">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34.3签订合同后，如中标人不按双方合同约定履约，则没收其全部履约保证金，履约保证金不足以赔偿损失的，按实际损失赔偿。</w:t>
      </w:r>
    </w:p>
    <w:p w14:paraId="61E2E69F">
      <w:pPr>
        <w:snapToGrid w:val="0"/>
        <w:spacing w:line="420" w:lineRule="exact"/>
        <w:ind w:firstLine="472" w:firstLineChars="196"/>
        <w:rPr>
          <w:rFonts w:ascii="仿宋" w:hAnsi="仿宋" w:eastAsia="仿宋" w:cs="仿宋"/>
          <w:b/>
          <w:bCs/>
          <w:color w:val="auto"/>
          <w:sz w:val="24"/>
          <w:highlight w:val="none"/>
        </w:rPr>
      </w:pPr>
      <w:r>
        <w:rPr>
          <w:rFonts w:hint="eastAsia" w:ascii="仿宋" w:hAnsi="仿宋" w:eastAsia="仿宋" w:cs="仿宋"/>
          <w:b/>
          <w:bCs/>
          <w:color w:val="auto"/>
          <w:sz w:val="24"/>
          <w:highlight w:val="none"/>
        </w:rPr>
        <w:t>35.合同备案</w:t>
      </w:r>
    </w:p>
    <w:p w14:paraId="0C271633">
      <w:pPr>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highlight w:val="none"/>
        </w:rPr>
        <w:t>采购人应当自采购合同签订之日起七个工作日内，</w:t>
      </w:r>
      <w:r>
        <w:rPr>
          <w:rFonts w:hint="eastAsia" w:ascii="仿宋" w:hAnsi="仿宋" w:eastAsia="仿宋" w:cs="仿宋"/>
          <w:color w:val="auto"/>
          <w:sz w:val="24"/>
          <w:szCs w:val="24"/>
          <w:highlight w:val="none"/>
        </w:rPr>
        <w:t>按照有关规定将采购合同送至诸暨市宸佳工程管理有限公司备案。</w:t>
      </w:r>
    </w:p>
    <w:p w14:paraId="4C4DD477">
      <w:pPr>
        <w:pStyle w:val="25"/>
        <w:tabs>
          <w:tab w:val="left" w:pos="900"/>
        </w:tabs>
        <w:spacing w:line="480" w:lineRule="exact"/>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八、质疑和投诉</w:t>
      </w:r>
    </w:p>
    <w:p w14:paraId="052B160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36.1开标过程中，投标人对开标有异议的，应当在“</w:t>
      </w:r>
      <w:r>
        <w:rPr>
          <w:rFonts w:hint="eastAsia" w:ascii="仿宋" w:hAnsi="仿宋" w:eastAsia="仿宋" w:cs="仿宋"/>
          <w:color w:val="auto"/>
          <w:sz w:val="24"/>
          <w:highlight w:val="none"/>
          <w:lang w:eastAsia="zh-CN"/>
        </w:rPr>
        <w:t>乐采云</w:t>
      </w:r>
      <w:r>
        <w:rPr>
          <w:rFonts w:hint="eastAsia" w:ascii="仿宋" w:hAnsi="仿宋" w:eastAsia="仿宋" w:cs="仿宋"/>
          <w:color w:val="auto"/>
          <w:sz w:val="24"/>
          <w:highlight w:val="none"/>
        </w:rPr>
        <w:t>”平台上及时提出，评审委员应对异常情况制作相关记录。</w:t>
      </w:r>
    </w:p>
    <w:p w14:paraId="131CC61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36.2开评标结束后，投标人或者其他利害关系人对依法必须进行招标的项目的评标结果有异议的，应在采购结果公告期限结束之日（公告发布之日起至第2日24小时止）起7个工作日内依据招投标相关法律法规向采购人、招标代理机构提出质疑。采购人或招标代理机构将在收到书面质疑后7个工作日内对质疑内容作出答复。若投标人对采购人或招标代理机构的答复、处理结果不满意，应在收到采购人或招标代理机构的书面答复后十五个工作日内到招标投标管理部门投诉。</w:t>
      </w:r>
    </w:p>
    <w:p w14:paraId="45DCAC2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36.3质疑投诉的相关规定</w:t>
      </w:r>
    </w:p>
    <w:p w14:paraId="31C3955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（一）质疑投诉递交的资料需为书面材料。质疑投诉书面材料需法人代表人（或负责人）或授权代表签字并加盖公章。</w:t>
      </w:r>
    </w:p>
    <w:p w14:paraId="1BA78A6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（二）质疑投诉属于以下情况之一的，将不予受理：</w:t>
      </w:r>
    </w:p>
    <w:p w14:paraId="229F98D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质疑投诉人不是所投诉项目的参与者，或者与质疑投诉项目无任何利害关系。</w:t>
      </w:r>
    </w:p>
    <w:p w14:paraId="31ECD8A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质疑投诉事项不具体，且未提供有效线索，难以查证。</w:t>
      </w:r>
    </w:p>
    <w:p w14:paraId="67A5E3A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未提供书面质疑或者质疑未加盖公章的；投诉人为法人或者其他组织，其投诉书未经法定代表人或者主要负责人签字并加盖公章的。</w:t>
      </w:r>
    </w:p>
    <w:p w14:paraId="4AEFBC0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已超过招标文件规定质疑投诉提出期限的事项。</w:t>
      </w:r>
    </w:p>
    <w:p w14:paraId="6A1ED11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投诉事项已作出处理决定，并且投诉人没有提出新的证据</w:t>
      </w:r>
    </w:p>
    <w:p w14:paraId="625F266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质疑投诉的事项已经进入行政复议或者行政诉讼程序的；投诉事项应先提出质疑而没有提出质疑的。</w:t>
      </w:r>
    </w:p>
    <w:p w14:paraId="6DF24B1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不符合采购相关法律法规等有关规定的投诉。</w:t>
      </w:r>
    </w:p>
    <w:p w14:paraId="7FAC0E5D">
      <w:pPr>
        <w:pStyle w:val="3"/>
        <w:spacing w:before="0" w:after="0" w:line="480" w:lineRule="exact"/>
        <w:ind w:firstLine="562" w:firstLineChars="20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九、不良行为记录</w:t>
      </w:r>
    </w:p>
    <w:p w14:paraId="463ACD1B">
      <w:pPr>
        <w:spacing w:line="42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投标人在采购活动中出现下列违规行为的将记入</w:t>
      </w:r>
      <w:r>
        <w:rPr>
          <w:rFonts w:hint="eastAsia" w:ascii="仿宋" w:hAnsi="仿宋" w:eastAsia="仿宋" w:cs="仿宋"/>
          <w:color w:val="auto"/>
          <w:sz w:val="24"/>
          <w:szCs w:val="24"/>
          <w:highlight w:val="none"/>
          <w:lang w:eastAsia="zh-CN"/>
        </w:rPr>
        <w:t>诸暨市建设集团有限公司</w:t>
      </w:r>
      <w:r>
        <w:rPr>
          <w:rFonts w:hint="eastAsia" w:ascii="仿宋" w:hAnsi="仿宋" w:eastAsia="仿宋" w:cs="仿宋"/>
          <w:color w:val="auto"/>
          <w:sz w:val="24"/>
          <w:szCs w:val="24"/>
          <w:highlight w:val="none"/>
        </w:rPr>
        <w:t>采购不良行为记录，并在记录时限内暂停其</w:t>
      </w:r>
      <w:r>
        <w:rPr>
          <w:rFonts w:hint="eastAsia" w:ascii="仿宋" w:hAnsi="仿宋" w:eastAsia="仿宋" w:cs="仿宋"/>
          <w:color w:val="auto"/>
          <w:sz w:val="24"/>
          <w:szCs w:val="24"/>
          <w:highlight w:val="none"/>
          <w:lang w:eastAsia="zh-CN"/>
        </w:rPr>
        <w:t>诸暨市建设集团有限公司</w:t>
      </w:r>
      <w:r>
        <w:rPr>
          <w:rFonts w:hint="eastAsia" w:ascii="仿宋" w:hAnsi="仿宋" w:eastAsia="仿宋" w:cs="仿宋"/>
          <w:color w:val="auto"/>
          <w:sz w:val="24"/>
          <w:szCs w:val="24"/>
          <w:highlight w:val="none"/>
        </w:rPr>
        <w:t>及下属公司范围内采购交易资格，同时将在诸暨市公共资源交易中心公示。</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433"/>
        <w:gridCol w:w="1326"/>
      </w:tblGrid>
      <w:tr w14:paraId="7F93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7" w:type="dxa"/>
            <w:noWrap/>
            <w:vAlign w:val="center"/>
          </w:tcPr>
          <w:p w14:paraId="420F2908">
            <w:pPr>
              <w:spacing w:line="3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6433" w:type="dxa"/>
            <w:noWrap/>
            <w:vAlign w:val="center"/>
          </w:tcPr>
          <w:p w14:paraId="4DD2EBB3">
            <w:pPr>
              <w:spacing w:line="3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不良行为</w:t>
            </w:r>
          </w:p>
        </w:tc>
        <w:tc>
          <w:tcPr>
            <w:tcW w:w="1326" w:type="dxa"/>
            <w:noWrap/>
            <w:vAlign w:val="center"/>
          </w:tcPr>
          <w:p w14:paraId="7D65D03D">
            <w:pPr>
              <w:spacing w:line="3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记录时限</w:t>
            </w:r>
          </w:p>
        </w:tc>
      </w:tr>
      <w:tr w14:paraId="2FF1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30CDF97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433" w:type="dxa"/>
            <w:noWrap/>
            <w:vAlign w:val="center"/>
          </w:tcPr>
          <w:p w14:paraId="5BF9EF8E">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在招标采购过程中，与采购人进行协商谈判的</w:t>
            </w:r>
          </w:p>
        </w:tc>
        <w:tc>
          <w:tcPr>
            <w:tcW w:w="1326" w:type="dxa"/>
            <w:noWrap/>
            <w:vAlign w:val="center"/>
          </w:tcPr>
          <w:p w14:paraId="59908B7E">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6个月</w:t>
            </w:r>
          </w:p>
        </w:tc>
      </w:tr>
      <w:tr w14:paraId="2672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44EEF0FB">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433" w:type="dxa"/>
            <w:noWrap/>
            <w:vAlign w:val="center"/>
          </w:tcPr>
          <w:p w14:paraId="6EE4BE7C">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投标有效期内撤回其采购响应文件的</w:t>
            </w:r>
          </w:p>
        </w:tc>
        <w:tc>
          <w:tcPr>
            <w:tcW w:w="1326" w:type="dxa"/>
            <w:noWrap/>
            <w:vAlign w:val="center"/>
          </w:tcPr>
          <w:p w14:paraId="2A8E85E8">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6个月</w:t>
            </w:r>
          </w:p>
        </w:tc>
      </w:tr>
      <w:tr w14:paraId="7867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7CBF82F1">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433" w:type="dxa"/>
            <w:noWrap/>
            <w:vAlign w:val="center"/>
          </w:tcPr>
          <w:p w14:paraId="24438E64">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拒绝有关部门监督检查或提供虚假情况的</w:t>
            </w:r>
          </w:p>
        </w:tc>
        <w:tc>
          <w:tcPr>
            <w:tcW w:w="1326" w:type="dxa"/>
            <w:noWrap/>
            <w:vAlign w:val="center"/>
          </w:tcPr>
          <w:p w14:paraId="6CE9843D">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6个月</w:t>
            </w:r>
          </w:p>
        </w:tc>
      </w:tr>
      <w:tr w14:paraId="27C1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0E22C1B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433" w:type="dxa"/>
            <w:noWrap/>
            <w:vAlign w:val="center"/>
          </w:tcPr>
          <w:p w14:paraId="3BFAA1D4">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不积极配合采购单位做好标的验收工作的</w:t>
            </w:r>
          </w:p>
        </w:tc>
        <w:tc>
          <w:tcPr>
            <w:tcW w:w="1326" w:type="dxa"/>
            <w:noWrap/>
            <w:vAlign w:val="center"/>
          </w:tcPr>
          <w:p w14:paraId="6A4C486F">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6个月</w:t>
            </w:r>
          </w:p>
        </w:tc>
      </w:tr>
      <w:tr w14:paraId="0C80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0CCA8FE3">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433" w:type="dxa"/>
            <w:noWrap/>
            <w:vAlign w:val="center"/>
          </w:tcPr>
          <w:p w14:paraId="1046348A">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在有关部门的监督检查或考核中被通报批评或处以警告及以上处罚的</w:t>
            </w:r>
          </w:p>
        </w:tc>
        <w:tc>
          <w:tcPr>
            <w:tcW w:w="1326" w:type="dxa"/>
            <w:noWrap/>
            <w:vAlign w:val="center"/>
          </w:tcPr>
          <w:p w14:paraId="771BE2E5">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6个月</w:t>
            </w:r>
          </w:p>
        </w:tc>
      </w:tr>
      <w:tr w14:paraId="76C6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23077906">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433" w:type="dxa"/>
            <w:noWrap/>
            <w:vAlign w:val="center"/>
          </w:tcPr>
          <w:p w14:paraId="53921B84">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不遵守投标会场纪律，无理取闹，扰乱交易秩序的</w:t>
            </w:r>
          </w:p>
        </w:tc>
        <w:tc>
          <w:tcPr>
            <w:tcW w:w="1326" w:type="dxa"/>
            <w:noWrap/>
            <w:vAlign w:val="center"/>
          </w:tcPr>
          <w:p w14:paraId="57535E39">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r>
      <w:tr w14:paraId="217E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6BE6F315">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433" w:type="dxa"/>
            <w:noWrap/>
            <w:vAlign w:val="center"/>
          </w:tcPr>
          <w:p w14:paraId="08FCFACC">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中标后无正当理由放弃中标，或在规定时间内不与采购人签订政府采购合同，或在签订合同时提出附加条件或更改合同实质性内容，或拒不提交所要求的履约保证金的</w:t>
            </w:r>
          </w:p>
        </w:tc>
        <w:tc>
          <w:tcPr>
            <w:tcW w:w="1326" w:type="dxa"/>
            <w:noWrap/>
            <w:vAlign w:val="center"/>
          </w:tcPr>
          <w:p w14:paraId="355C8577">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r>
      <w:tr w14:paraId="68A2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0E1BF2C8">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433" w:type="dxa"/>
            <w:noWrap/>
            <w:vAlign w:val="center"/>
          </w:tcPr>
          <w:p w14:paraId="18001FA8">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不按照与采购人订立的合同履行义务（包括提供标的、售后服务、技术支持等），严重违反合同规定和廉政合同要求的</w:t>
            </w:r>
          </w:p>
        </w:tc>
        <w:tc>
          <w:tcPr>
            <w:tcW w:w="1326" w:type="dxa"/>
            <w:noWrap/>
            <w:vAlign w:val="center"/>
          </w:tcPr>
          <w:p w14:paraId="5A07B0EF">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r>
      <w:tr w14:paraId="3E89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7955FAA3">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6433" w:type="dxa"/>
            <w:noWrap/>
            <w:vAlign w:val="center"/>
          </w:tcPr>
          <w:p w14:paraId="372FF7C5">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项目负责人不到位，或擅自变换项目负责人，或不认真履行职责造成采购人损失的</w:t>
            </w:r>
          </w:p>
        </w:tc>
        <w:tc>
          <w:tcPr>
            <w:tcW w:w="1326" w:type="dxa"/>
            <w:noWrap/>
            <w:vAlign w:val="center"/>
          </w:tcPr>
          <w:p w14:paraId="29C55CDC">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r>
      <w:tr w14:paraId="7B1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1C1ADE94">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6433" w:type="dxa"/>
            <w:noWrap/>
            <w:vAlign w:val="center"/>
          </w:tcPr>
          <w:p w14:paraId="61930C24">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发生经营状况重大变化以及重要担保、重大合同纠纷或诉讼、信用等级和资质变化等可能影响履约能力的重大事项，未及时向市公共资源交易中心提供书面报告，因而造成采购人损失的</w:t>
            </w:r>
          </w:p>
        </w:tc>
        <w:tc>
          <w:tcPr>
            <w:tcW w:w="1326" w:type="dxa"/>
            <w:noWrap/>
            <w:vAlign w:val="center"/>
          </w:tcPr>
          <w:p w14:paraId="1613C288">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r>
      <w:tr w14:paraId="4BD6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6B3F7AF9">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6433" w:type="dxa"/>
            <w:noWrap/>
            <w:vAlign w:val="center"/>
          </w:tcPr>
          <w:p w14:paraId="285EED6E">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与采购人、其他供应商或者采购代理机构相互串通的</w:t>
            </w:r>
          </w:p>
        </w:tc>
        <w:tc>
          <w:tcPr>
            <w:tcW w:w="1326" w:type="dxa"/>
            <w:noWrap/>
            <w:vAlign w:val="center"/>
          </w:tcPr>
          <w:p w14:paraId="66E57B44">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r>
      <w:tr w14:paraId="3827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41731BC4">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6433" w:type="dxa"/>
            <w:noWrap/>
            <w:vAlign w:val="center"/>
          </w:tcPr>
          <w:p w14:paraId="7D7F4DA8">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采取不正当手段排挤其他供应商，进行不公平竞争的</w:t>
            </w:r>
          </w:p>
        </w:tc>
        <w:tc>
          <w:tcPr>
            <w:tcW w:w="1326" w:type="dxa"/>
            <w:noWrap/>
            <w:vAlign w:val="center"/>
          </w:tcPr>
          <w:p w14:paraId="37359DF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r>
      <w:tr w14:paraId="3F6C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17D358D7">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6433" w:type="dxa"/>
            <w:noWrap/>
            <w:vAlign w:val="center"/>
          </w:tcPr>
          <w:p w14:paraId="15A60A1D">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中标后与采购人另行订立背离合同实质内容的协议的</w:t>
            </w:r>
          </w:p>
        </w:tc>
        <w:tc>
          <w:tcPr>
            <w:tcW w:w="1326" w:type="dxa"/>
            <w:noWrap/>
            <w:vAlign w:val="center"/>
          </w:tcPr>
          <w:p w14:paraId="2D7983A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r>
      <w:tr w14:paraId="386D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03B9330A">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6433" w:type="dxa"/>
            <w:noWrap/>
            <w:vAlign w:val="center"/>
          </w:tcPr>
          <w:p w14:paraId="7A475449">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事先有承诺，而事后违反承诺内容的</w:t>
            </w:r>
          </w:p>
        </w:tc>
        <w:tc>
          <w:tcPr>
            <w:tcW w:w="1326" w:type="dxa"/>
            <w:noWrap/>
            <w:vAlign w:val="center"/>
          </w:tcPr>
          <w:p w14:paraId="20C9D1B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r>
      <w:tr w14:paraId="2AB3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3A57B15B">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6433" w:type="dxa"/>
            <w:noWrap/>
            <w:vAlign w:val="center"/>
          </w:tcPr>
          <w:p w14:paraId="74DF3FDD">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将中标项目转包或违反规定进行分包的</w:t>
            </w:r>
          </w:p>
        </w:tc>
        <w:tc>
          <w:tcPr>
            <w:tcW w:w="1326" w:type="dxa"/>
            <w:noWrap/>
            <w:vAlign w:val="center"/>
          </w:tcPr>
          <w:p w14:paraId="1301C3B6">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r>
      <w:tr w14:paraId="7B90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341FF2A5">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6433" w:type="dxa"/>
            <w:noWrap/>
            <w:vAlign w:val="center"/>
          </w:tcPr>
          <w:p w14:paraId="504AA616">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以他人名义投标或允许他人以自己名义投标，或者以其他方式弄虚作假的</w:t>
            </w:r>
          </w:p>
        </w:tc>
        <w:tc>
          <w:tcPr>
            <w:tcW w:w="1326" w:type="dxa"/>
            <w:noWrap/>
            <w:vAlign w:val="center"/>
          </w:tcPr>
          <w:p w14:paraId="649C6C23">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3年</w:t>
            </w:r>
          </w:p>
        </w:tc>
      </w:tr>
      <w:tr w14:paraId="0311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0B470A39">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6433" w:type="dxa"/>
            <w:noWrap/>
            <w:vAlign w:val="center"/>
          </w:tcPr>
          <w:p w14:paraId="05D06784">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未按照采购合同约定及时提供全部货物的，或无故拖延工期的</w:t>
            </w:r>
          </w:p>
        </w:tc>
        <w:tc>
          <w:tcPr>
            <w:tcW w:w="1326" w:type="dxa"/>
            <w:noWrap/>
            <w:vAlign w:val="center"/>
          </w:tcPr>
          <w:p w14:paraId="25EB3C5D">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3年</w:t>
            </w:r>
          </w:p>
        </w:tc>
      </w:tr>
      <w:tr w14:paraId="7AD6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71B57E0C">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6433" w:type="dxa"/>
            <w:noWrap/>
            <w:vAlign w:val="center"/>
          </w:tcPr>
          <w:p w14:paraId="66516BD0">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无故不提供中标要求的型号、配置等产品的，或有拆换、调换、截留产品零部件和备品备件的行为的</w:t>
            </w:r>
          </w:p>
        </w:tc>
        <w:tc>
          <w:tcPr>
            <w:tcW w:w="1326" w:type="dxa"/>
            <w:noWrap/>
            <w:vAlign w:val="center"/>
          </w:tcPr>
          <w:p w14:paraId="0D5E4CA2">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3年</w:t>
            </w:r>
          </w:p>
        </w:tc>
      </w:tr>
      <w:tr w14:paraId="3E80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7828031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6433" w:type="dxa"/>
            <w:noWrap/>
            <w:vAlign w:val="center"/>
          </w:tcPr>
          <w:p w14:paraId="2B6378E0">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为获取自身利益，向采购人及其他有利害关系的单位或个人提供不正当利益的</w:t>
            </w:r>
          </w:p>
        </w:tc>
        <w:tc>
          <w:tcPr>
            <w:tcW w:w="1326" w:type="dxa"/>
            <w:noWrap/>
            <w:vAlign w:val="center"/>
          </w:tcPr>
          <w:p w14:paraId="201D556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3年</w:t>
            </w:r>
          </w:p>
        </w:tc>
      </w:tr>
      <w:tr w14:paraId="68EA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947" w:type="dxa"/>
            <w:noWrap/>
            <w:vAlign w:val="center"/>
          </w:tcPr>
          <w:p w14:paraId="0B6F75C6">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6433" w:type="dxa"/>
            <w:noWrap/>
            <w:vAlign w:val="center"/>
          </w:tcPr>
          <w:p w14:paraId="3BD4EE18">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highlight w:val="none"/>
              </w:rPr>
              <w:t>投标人、采购相关利益人、自然人</w:t>
            </w:r>
            <w:r>
              <w:rPr>
                <w:rFonts w:hint="eastAsia" w:ascii="仿宋" w:hAnsi="仿宋" w:eastAsia="仿宋" w:cs="仿宋"/>
                <w:color w:val="auto"/>
                <w:sz w:val="24"/>
                <w:szCs w:val="24"/>
                <w:highlight w:val="none"/>
              </w:rPr>
              <w:t>不按程序、规定时间进行质疑投诉；</w:t>
            </w:r>
            <w:r>
              <w:rPr>
                <w:rFonts w:hint="eastAsia" w:ascii="仿宋" w:hAnsi="仿宋" w:eastAsia="仿宋" w:cs="仿宋"/>
                <w:color w:val="auto"/>
                <w:sz w:val="24"/>
                <w:highlight w:val="none"/>
              </w:rPr>
              <w:t>虚假质疑投诉；非正规渠道质疑投诉（信访、网络炒作等）；并对采购工作造成不利影响的</w:t>
            </w:r>
          </w:p>
        </w:tc>
        <w:tc>
          <w:tcPr>
            <w:tcW w:w="1326" w:type="dxa"/>
            <w:noWrap/>
            <w:vAlign w:val="center"/>
          </w:tcPr>
          <w:p w14:paraId="46255E19">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3年</w:t>
            </w:r>
          </w:p>
        </w:tc>
      </w:tr>
      <w:tr w14:paraId="7378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47" w:type="dxa"/>
            <w:noWrap/>
            <w:vAlign w:val="center"/>
          </w:tcPr>
          <w:p w14:paraId="56A0407E">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6433" w:type="dxa"/>
            <w:noWrap/>
            <w:vAlign w:val="center"/>
          </w:tcPr>
          <w:p w14:paraId="11D57961">
            <w:pPr>
              <w:spacing w:line="3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投标人、采购相关利益人、自然人利用质疑投诉、非正规渠道质疑投诉达到自身目的，并对采购工作造成不利影响的</w:t>
            </w:r>
          </w:p>
        </w:tc>
        <w:tc>
          <w:tcPr>
            <w:tcW w:w="1326" w:type="dxa"/>
            <w:noWrap/>
            <w:vAlign w:val="center"/>
          </w:tcPr>
          <w:p w14:paraId="2EAA963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3年</w:t>
            </w:r>
          </w:p>
        </w:tc>
      </w:tr>
      <w:tr w14:paraId="14F7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2F20B61B">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6433" w:type="dxa"/>
            <w:noWrap/>
            <w:vAlign w:val="center"/>
          </w:tcPr>
          <w:p w14:paraId="2D30CE18">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提供假冒伪劣产品或走私物品的</w:t>
            </w:r>
          </w:p>
        </w:tc>
        <w:tc>
          <w:tcPr>
            <w:tcW w:w="1326" w:type="dxa"/>
            <w:noWrap/>
            <w:vAlign w:val="center"/>
          </w:tcPr>
          <w:p w14:paraId="517992F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5年</w:t>
            </w:r>
          </w:p>
        </w:tc>
      </w:tr>
      <w:tr w14:paraId="41CD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64701FD9">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6433" w:type="dxa"/>
            <w:noWrap/>
            <w:vAlign w:val="center"/>
          </w:tcPr>
          <w:p w14:paraId="376F66D0">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擅自变更、中止、终止或解除政府采购合同的</w:t>
            </w:r>
          </w:p>
        </w:tc>
        <w:tc>
          <w:tcPr>
            <w:tcW w:w="1326" w:type="dxa"/>
            <w:noWrap/>
            <w:vAlign w:val="center"/>
          </w:tcPr>
          <w:p w14:paraId="5EF1D527">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5年</w:t>
            </w:r>
          </w:p>
        </w:tc>
      </w:tr>
      <w:tr w14:paraId="5AC7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3B287DA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6433" w:type="dxa"/>
            <w:noWrap/>
            <w:vAlign w:val="center"/>
          </w:tcPr>
          <w:p w14:paraId="1C86FBB1">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向有关人员行贿或者提供不正当利益谋取中标的</w:t>
            </w:r>
          </w:p>
        </w:tc>
        <w:tc>
          <w:tcPr>
            <w:tcW w:w="1326" w:type="dxa"/>
            <w:noWrap/>
            <w:vAlign w:val="center"/>
          </w:tcPr>
          <w:p w14:paraId="36F39831">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5年</w:t>
            </w:r>
          </w:p>
        </w:tc>
      </w:tr>
      <w:tr w14:paraId="748B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947" w:type="dxa"/>
            <w:noWrap/>
            <w:vAlign w:val="center"/>
          </w:tcPr>
          <w:p w14:paraId="47F338D1">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6433" w:type="dxa"/>
            <w:noWrap/>
            <w:vAlign w:val="center"/>
          </w:tcPr>
          <w:p w14:paraId="3F5EEB31">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在政府采购活动期间，对管理机构、采购人、其他采购响应人、评标专家、中介机构等政府采购相关机构和人员，采取诋毁、诽谤、胁迫、暴力等不正当手段的</w:t>
            </w:r>
          </w:p>
        </w:tc>
        <w:tc>
          <w:tcPr>
            <w:tcW w:w="1326" w:type="dxa"/>
            <w:noWrap/>
            <w:vAlign w:val="center"/>
          </w:tcPr>
          <w:p w14:paraId="58D78F9E">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5年</w:t>
            </w:r>
          </w:p>
        </w:tc>
      </w:tr>
      <w:tr w14:paraId="4A6B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noWrap/>
            <w:vAlign w:val="center"/>
          </w:tcPr>
          <w:p w14:paraId="493EAA90">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6433" w:type="dxa"/>
            <w:noWrap/>
            <w:vAlign w:val="center"/>
          </w:tcPr>
          <w:p w14:paraId="79910F3E">
            <w:pPr>
              <w:autoSpaceDE/>
              <w:autoSpaceDN/>
              <w:adjustRightInd/>
              <w:spacing w:line="3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诸暨市建设集团有限公司</w:t>
            </w:r>
            <w:r>
              <w:rPr>
                <w:rFonts w:hint="eastAsia" w:ascii="仿宋" w:hAnsi="仿宋" w:eastAsia="仿宋" w:cs="仿宋"/>
                <w:color w:val="auto"/>
                <w:sz w:val="24"/>
                <w:szCs w:val="24"/>
                <w:highlight w:val="none"/>
              </w:rPr>
              <w:t>招投标监管领导小组办公室认定的其他违反政府采购管理的行为</w:t>
            </w:r>
          </w:p>
        </w:tc>
        <w:tc>
          <w:tcPr>
            <w:tcW w:w="1326" w:type="dxa"/>
            <w:noWrap/>
            <w:vAlign w:val="center"/>
          </w:tcPr>
          <w:p w14:paraId="1CFE5A33">
            <w:pPr>
              <w:spacing w:line="3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酌情处理</w:t>
            </w:r>
          </w:p>
        </w:tc>
      </w:tr>
    </w:tbl>
    <w:p w14:paraId="786A93B1">
      <w:pPr>
        <w:pStyle w:val="3"/>
        <w:spacing w:before="0" w:after="0" w:line="48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十、监督和解释</w:t>
      </w:r>
    </w:p>
    <w:p w14:paraId="68B53E22">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37.</w:t>
      </w:r>
      <w:r>
        <w:rPr>
          <w:rFonts w:hint="eastAsia" w:ascii="仿宋" w:hAnsi="仿宋" w:eastAsia="仿宋" w:cs="仿宋"/>
          <w:color w:val="auto"/>
          <w:sz w:val="24"/>
          <w:highlight w:val="none"/>
        </w:rPr>
        <w:t>本次招标活动接受</w:t>
      </w:r>
      <w:r>
        <w:rPr>
          <w:rFonts w:hint="eastAsia" w:ascii="仿宋" w:hAnsi="仿宋" w:eastAsia="仿宋" w:cs="仿宋"/>
          <w:color w:val="auto"/>
          <w:sz w:val="24"/>
          <w:highlight w:val="none"/>
          <w:lang w:eastAsia="zh-CN"/>
        </w:rPr>
        <w:t>诸暨市建设集团有限公司</w:t>
      </w:r>
      <w:r>
        <w:rPr>
          <w:rFonts w:hint="eastAsia" w:ascii="仿宋" w:hAnsi="仿宋" w:eastAsia="仿宋" w:cs="仿宋"/>
          <w:color w:val="auto"/>
          <w:sz w:val="24"/>
          <w:highlight w:val="none"/>
        </w:rPr>
        <w:t>招投标监管领导小组办公室监督。</w:t>
      </w:r>
    </w:p>
    <w:p w14:paraId="4C38E4F7">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38.</w:t>
      </w:r>
      <w:r>
        <w:rPr>
          <w:rFonts w:hint="eastAsia" w:ascii="仿宋" w:hAnsi="仿宋" w:eastAsia="仿宋" w:cs="仿宋"/>
          <w:color w:val="auto"/>
          <w:sz w:val="24"/>
          <w:highlight w:val="none"/>
        </w:rPr>
        <w:t>本招标文件的解释权属于采购单位和诸暨市宸佳工程管理有限公司。</w:t>
      </w:r>
    </w:p>
    <w:p w14:paraId="18EA2579">
      <w:pPr>
        <w:pStyle w:val="2"/>
        <w:spacing w:before="0" w:after="0" w:line="240" w:lineRule="auto"/>
        <w:jc w:val="center"/>
        <w:rPr>
          <w:rFonts w:hint="eastAsia" w:ascii="华文中宋" w:hAnsi="华文中宋" w:eastAsia="华文中宋"/>
          <w:color w:val="auto"/>
          <w:sz w:val="36"/>
          <w:szCs w:val="36"/>
          <w:highlight w:val="none"/>
        </w:rPr>
        <w:sectPr>
          <w:headerReference r:id="rId12" w:type="default"/>
          <w:footerReference r:id="rId13" w:type="default"/>
          <w:pgSz w:w="11905" w:h="16838"/>
          <w:pgMar w:top="1440" w:right="1083" w:bottom="1440" w:left="1083" w:header="850" w:footer="964" w:gutter="0"/>
          <w:pgNumType w:fmt="decimal"/>
          <w:cols w:space="0" w:num="1"/>
          <w:titlePg/>
          <w:rtlGutter w:val="0"/>
          <w:docGrid w:type="lines" w:linePitch="315" w:charSpace="0"/>
        </w:sectPr>
      </w:pPr>
      <w:bookmarkStart w:id="8" w:name="_Toc125344512"/>
    </w:p>
    <w:p w14:paraId="721E69A5">
      <w:pPr>
        <w:pStyle w:val="2"/>
        <w:keepNext/>
        <w:keepLines/>
        <w:pageBreakBefore w:val="0"/>
        <w:widowControl w:val="0"/>
        <w:kinsoku/>
        <w:wordWrap/>
        <w:overflowPunct/>
        <w:topLinePunct w:val="0"/>
        <w:autoSpaceDE w:val="0"/>
        <w:autoSpaceDN w:val="0"/>
        <w:bidi w:val="0"/>
        <w:adjustRightInd w:val="0"/>
        <w:snapToGrid/>
        <w:spacing w:before="220" w:after="220" w:line="360" w:lineRule="auto"/>
        <w:jc w:val="center"/>
        <w:textAlignment w:val="auto"/>
        <w:rPr>
          <w:rFonts w:ascii="华文中宋" w:hAnsi="华文中宋" w:eastAsia="华文中宋"/>
          <w:color w:val="auto"/>
          <w:sz w:val="36"/>
          <w:szCs w:val="36"/>
          <w:highlight w:val="none"/>
        </w:rPr>
      </w:pPr>
      <w:r>
        <w:rPr>
          <w:rFonts w:hint="eastAsia" w:ascii="华文中宋" w:hAnsi="华文中宋" w:eastAsia="华文中宋"/>
          <w:color w:val="auto"/>
          <w:sz w:val="36"/>
          <w:szCs w:val="36"/>
          <w:highlight w:val="none"/>
        </w:rPr>
        <w:t xml:space="preserve">第三章  </w:t>
      </w:r>
      <w:bookmarkEnd w:id="8"/>
      <w:r>
        <w:rPr>
          <w:rFonts w:hint="eastAsia" w:ascii="华文中宋" w:hAnsi="华文中宋" w:eastAsia="华文中宋"/>
          <w:color w:val="auto"/>
          <w:sz w:val="36"/>
          <w:szCs w:val="36"/>
          <w:highlight w:val="none"/>
        </w:rPr>
        <w:t>评标方法</w:t>
      </w:r>
    </w:p>
    <w:p w14:paraId="58CD22D2">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1、采用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u w:val="single"/>
          <w:lang w:val="zh-CN" w:eastAsia="zh-CN"/>
        </w:rPr>
        <w:t>最低评标价法</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eastAsia="zh-CN"/>
        </w:rPr>
        <w:t>。即在符合招标文件要求的前提下，择定</w:t>
      </w:r>
      <w:r>
        <w:rPr>
          <w:rFonts w:hint="eastAsia" w:ascii="仿宋" w:hAnsi="仿宋" w:eastAsia="仿宋" w:cs="仿宋"/>
          <w:color w:val="auto"/>
          <w:sz w:val="24"/>
          <w:highlight w:val="none"/>
          <w:lang w:val="en-US" w:eastAsia="zh-CN"/>
        </w:rPr>
        <w:t>各标的</w:t>
      </w:r>
      <w:r>
        <w:rPr>
          <w:rFonts w:hint="eastAsia" w:ascii="仿宋" w:hAnsi="仿宋" w:eastAsia="仿宋" w:cs="仿宋"/>
          <w:color w:val="auto"/>
          <w:sz w:val="24"/>
          <w:highlight w:val="none"/>
          <w:lang w:val="zh-CN" w:eastAsia="zh-CN"/>
        </w:rPr>
        <w:t>评标报价最低的单位为中标候选人，即中标供应商。</w:t>
      </w:r>
    </w:p>
    <w:p w14:paraId="56EE3F3F">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2、中标候选资格按评标报价由低到高顺序排列，如有两个或两个以上投标人的报价相同且均为最低报价的，则由该名投标人在限定时间内进行第二次报价，第二次报价应低于前次报价，若再次出现相同情况，以此类推，直至出现一个最低报价为止，最低报价者即为中标候选人。</w:t>
      </w:r>
    </w:p>
    <w:p w14:paraId="429C84E4">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3、若评审小组一致认为投标人的投标报价明显不合理，有降低质量、不能诚信履约的可能时，评审小组有权通知该投标人限期进行解释。如投标方未在规定期限内作出解释，或所作解释不合理，经评审小组取得一致意见后，可确定该投标人的报价无效。评审小组确定评标价次低的投标人为中标候选人。</w:t>
      </w:r>
    </w:p>
    <w:p w14:paraId="1750DED9">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4、若投标文件均不能满足采购文件要求的，将被废标。</w:t>
      </w:r>
    </w:p>
    <w:p w14:paraId="6FE3C145">
      <w:pPr>
        <w:spacing w:line="360" w:lineRule="auto"/>
        <w:ind w:firstLine="480" w:firstLineChars="200"/>
        <w:rPr>
          <w:rFonts w:hint="eastAsia" w:ascii="宋体" w:hAnsi="宋体" w:eastAsia="宋体" w:cs="宋体"/>
          <w:color w:val="auto"/>
          <w:sz w:val="24"/>
          <w:szCs w:val="24"/>
          <w:highlight w:val="none"/>
        </w:rPr>
        <w:sectPr>
          <w:pgSz w:w="11905" w:h="16838"/>
          <w:pgMar w:top="1440" w:right="1083" w:bottom="1440" w:left="1083" w:header="850" w:footer="964" w:gutter="0"/>
          <w:pgBorders>
            <w:top w:val="none" w:sz="0" w:space="0"/>
            <w:left w:val="none" w:sz="0" w:space="0"/>
            <w:bottom w:val="none" w:sz="0" w:space="0"/>
            <w:right w:val="none" w:sz="0" w:space="0"/>
          </w:pgBorders>
          <w:pgNumType w:fmt="decimal"/>
          <w:cols w:space="0" w:num="1"/>
          <w:titlePg/>
          <w:rtlGutter w:val="0"/>
          <w:docGrid w:type="lines" w:linePitch="315" w:charSpace="0"/>
        </w:sectPr>
      </w:pPr>
    </w:p>
    <w:p w14:paraId="1C1F78C6">
      <w:pPr>
        <w:pStyle w:val="2"/>
        <w:keepNext/>
        <w:keepLines/>
        <w:pageBreakBefore w:val="0"/>
        <w:widowControl w:val="0"/>
        <w:kinsoku/>
        <w:wordWrap/>
        <w:overflowPunct/>
        <w:topLinePunct w:val="0"/>
        <w:autoSpaceDE w:val="0"/>
        <w:autoSpaceDN w:val="0"/>
        <w:bidi w:val="0"/>
        <w:adjustRightInd w:val="0"/>
        <w:snapToGrid/>
        <w:spacing w:before="220" w:after="220" w:line="360" w:lineRule="auto"/>
        <w:jc w:val="center"/>
        <w:textAlignment w:val="auto"/>
        <w:rPr>
          <w:rFonts w:ascii="华文中宋" w:hAnsi="华文中宋" w:eastAsia="华文中宋"/>
          <w:color w:val="auto"/>
          <w:sz w:val="36"/>
          <w:szCs w:val="36"/>
          <w:highlight w:val="none"/>
        </w:rPr>
      </w:pPr>
      <w:r>
        <w:rPr>
          <w:rFonts w:hint="eastAsia" w:ascii="华文中宋" w:hAnsi="华文中宋" w:eastAsia="华文中宋"/>
          <w:color w:val="auto"/>
          <w:sz w:val="36"/>
          <w:szCs w:val="36"/>
          <w:highlight w:val="none"/>
        </w:rPr>
        <w:t xml:space="preserve">第四章 </w:t>
      </w:r>
      <w:r>
        <w:rPr>
          <w:rFonts w:hint="eastAsia" w:ascii="华文中宋" w:hAnsi="华文中宋" w:eastAsia="华文中宋"/>
          <w:color w:val="auto"/>
          <w:sz w:val="36"/>
          <w:szCs w:val="36"/>
          <w:highlight w:val="none"/>
          <w:lang w:val="en-US" w:eastAsia="zh-CN"/>
        </w:rPr>
        <w:t xml:space="preserve"> </w:t>
      </w:r>
      <w:r>
        <w:rPr>
          <w:rFonts w:hint="eastAsia" w:ascii="华文中宋" w:hAnsi="华文中宋" w:eastAsia="华文中宋"/>
          <w:color w:val="auto"/>
          <w:sz w:val="36"/>
          <w:szCs w:val="36"/>
          <w:highlight w:val="none"/>
        </w:rPr>
        <w:t>采购需求</w:t>
      </w:r>
    </w:p>
    <w:p w14:paraId="64E154EB">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firstLine="420" w:firstLineChars="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采购清单</w:t>
      </w:r>
    </w:p>
    <w:p w14:paraId="07FFB3B0">
      <w:pPr>
        <w:keepNext w:val="0"/>
        <w:keepLines w:val="0"/>
        <w:pageBreakBefore w:val="0"/>
        <w:widowControl/>
        <w:numPr>
          <w:ilvl w:val="0"/>
          <w:numId w:val="1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标项1：日杂百货</w:t>
      </w:r>
    </w:p>
    <w:p w14:paraId="11F8BE61">
      <w:pPr>
        <w:keepNext w:val="0"/>
        <w:keepLines w:val="0"/>
        <w:pageBreakBefore w:val="0"/>
        <w:widowControl/>
        <w:numPr>
          <w:ilvl w:val="1"/>
          <w:numId w:val="15"/>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采购清单及最高单价限价</w:t>
      </w:r>
    </w:p>
    <w:tbl>
      <w:tblPr>
        <w:tblStyle w:val="50"/>
        <w:tblW w:w="986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
        <w:gridCol w:w="3025"/>
        <w:gridCol w:w="3806"/>
        <w:gridCol w:w="769"/>
        <w:gridCol w:w="1403"/>
      </w:tblGrid>
      <w:tr w14:paraId="174BA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vMerge w:val="restart"/>
            <w:tcBorders>
              <w:top w:val="single" w:color="000000" w:sz="4" w:space="0"/>
              <w:left w:val="single" w:color="000000" w:sz="4" w:space="0"/>
              <w:bottom w:val="single" w:color="000000" w:sz="4" w:space="0"/>
              <w:right w:val="single" w:color="000000" w:sz="4" w:space="0"/>
            </w:tcBorders>
            <w:noWrap/>
            <w:vAlign w:val="center"/>
          </w:tcPr>
          <w:p w14:paraId="58F1FC4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3025" w:type="dxa"/>
            <w:vMerge w:val="restart"/>
            <w:tcBorders>
              <w:top w:val="single" w:color="000000" w:sz="4" w:space="0"/>
              <w:left w:val="single" w:color="000000" w:sz="4" w:space="0"/>
              <w:bottom w:val="single" w:color="000000" w:sz="4" w:space="0"/>
              <w:right w:val="single" w:color="000000" w:sz="4" w:space="0"/>
            </w:tcBorders>
            <w:noWrap/>
            <w:vAlign w:val="center"/>
          </w:tcPr>
          <w:p w14:paraId="1B945B5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3806" w:type="dxa"/>
            <w:vMerge w:val="restart"/>
            <w:tcBorders>
              <w:top w:val="single" w:color="000000" w:sz="4" w:space="0"/>
              <w:left w:val="single" w:color="000000" w:sz="4" w:space="0"/>
              <w:bottom w:val="single" w:color="000000" w:sz="4" w:space="0"/>
              <w:right w:val="single" w:color="000000" w:sz="4" w:space="0"/>
            </w:tcBorders>
            <w:noWrap/>
            <w:vAlign w:val="center"/>
          </w:tcPr>
          <w:p w14:paraId="5F5D1D0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规格型号</w:t>
            </w:r>
          </w:p>
        </w:tc>
        <w:tc>
          <w:tcPr>
            <w:tcW w:w="769" w:type="dxa"/>
            <w:vMerge w:val="restart"/>
            <w:tcBorders>
              <w:top w:val="single" w:color="000000" w:sz="4" w:space="0"/>
              <w:left w:val="single" w:color="000000" w:sz="4" w:space="0"/>
              <w:bottom w:val="single" w:color="000000" w:sz="4" w:space="0"/>
              <w:right w:val="single" w:color="000000" w:sz="4" w:space="0"/>
            </w:tcBorders>
            <w:noWrap w:val="0"/>
            <w:vAlign w:val="center"/>
          </w:tcPr>
          <w:p w14:paraId="5D0726B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40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9641C8">
            <w:pPr>
              <w:keepNext w:val="0"/>
              <w:keepLines w:val="0"/>
              <w:widowControl/>
              <w:suppressLineNumbers w:val="0"/>
              <w:jc w:val="center"/>
              <w:textAlignment w:val="center"/>
              <w:rPr>
                <w:rFonts w:hint="default" w:ascii="仿宋" w:hAnsi="仿宋" w:eastAsia="仿宋" w:cs="仿宋"/>
                <w:b/>
                <w:bCs/>
                <w:i w:val="0"/>
                <w:iCs w:val="0"/>
                <w:color w:val="auto"/>
                <w:sz w:val="24"/>
                <w:szCs w:val="24"/>
                <w:highlight w:val="none"/>
                <w:u w:val="none"/>
                <w:lang w:val="en-US"/>
              </w:rPr>
            </w:pPr>
            <w:r>
              <w:rPr>
                <w:rFonts w:hint="eastAsia" w:ascii="仿宋" w:hAnsi="仿宋" w:eastAsia="仿宋" w:cs="仿宋"/>
                <w:b/>
                <w:bCs/>
                <w:i w:val="0"/>
                <w:iCs w:val="0"/>
                <w:color w:val="auto"/>
                <w:kern w:val="0"/>
                <w:sz w:val="24"/>
                <w:szCs w:val="24"/>
                <w:highlight w:val="none"/>
                <w:u w:val="none"/>
                <w:lang w:val="en-US" w:eastAsia="zh-CN" w:bidi="ar"/>
              </w:rPr>
              <w:t>最高单价限价（元）</w:t>
            </w:r>
          </w:p>
        </w:tc>
      </w:tr>
      <w:tr w14:paraId="3B798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7" w:type="dxa"/>
            <w:vMerge w:val="continue"/>
            <w:tcBorders>
              <w:top w:val="single" w:color="000000" w:sz="4" w:space="0"/>
              <w:left w:val="single" w:color="000000" w:sz="4" w:space="0"/>
              <w:bottom w:val="single" w:color="000000" w:sz="4" w:space="0"/>
              <w:right w:val="single" w:color="000000" w:sz="4" w:space="0"/>
            </w:tcBorders>
            <w:noWrap/>
            <w:vAlign w:val="center"/>
          </w:tcPr>
          <w:p w14:paraId="6EAD97A3">
            <w:pPr>
              <w:jc w:val="center"/>
              <w:rPr>
                <w:rFonts w:hint="eastAsia" w:ascii="仿宋" w:hAnsi="仿宋" w:eastAsia="仿宋" w:cs="仿宋"/>
                <w:i w:val="0"/>
                <w:iCs w:val="0"/>
                <w:color w:val="auto"/>
                <w:sz w:val="24"/>
                <w:szCs w:val="24"/>
                <w:highlight w:val="none"/>
                <w:u w:val="none"/>
              </w:rPr>
            </w:pPr>
          </w:p>
        </w:tc>
        <w:tc>
          <w:tcPr>
            <w:tcW w:w="3025" w:type="dxa"/>
            <w:vMerge w:val="continue"/>
            <w:tcBorders>
              <w:top w:val="single" w:color="000000" w:sz="4" w:space="0"/>
              <w:left w:val="single" w:color="000000" w:sz="4" w:space="0"/>
              <w:bottom w:val="single" w:color="000000" w:sz="4" w:space="0"/>
              <w:right w:val="single" w:color="000000" w:sz="4" w:space="0"/>
            </w:tcBorders>
            <w:noWrap/>
            <w:vAlign w:val="center"/>
          </w:tcPr>
          <w:p w14:paraId="20F6EF80">
            <w:pPr>
              <w:jc w:val="center"/>
              <w:rPr>
                <w:rFonts w:hint="eastAsia" w:ascii="仿宋" w:hAnsi="仿宋" w:eastAsia="仿宋" w:cs="仿宋"/>
                <w:i w:val="0"/>
                <w:iCs w:val="0"/>
                <w:color w:val="auto"/>
                <w:sz w:val="24"/>
                <w:szCs w:val="24"/>
                <w:highlight w:val="none"/>
                <w:u w:val="none"/>
              </w:rPr>
            </w:pPr>
          </w:p>
        </w:tc>
        <w:tc>
          <w:tcPr>
            <w:tcW w:w="3806" w:type="dxa"/>
            <w:vMerge w:val="continue"/>
            <w:tcBorders>
              <w:top w:val="single" w:color="000000" w:sz="4" w:space="0"/>
              <w:left w:val="single" w:color="000000" w:sz="4" w:space="0"/>
              <w:bottom w:val="single" w:color="000000" w:sz="4" w:space="0"/>
              <w:right w:val="single" w:color="000000" w:sz="4" w:space="0"/>
            </w:tcBorders>
            <w:noWrap/>
            <w:vAlign w:val="center"/>
          </w:tcPr>
          <w:p w14:paraId="2FBFEE98">
            <w:pPr>
              <w:jc w:val="center"/>
              <w:rPr>
                <w:rFonts w:hint="eastAsia" w:ascii="仿宋" w:hAnsi="仿宋" w:eastAsia="仿宋" w:cs="仿宋"/>
                <w:i w:val="0"/>
                <w:iCs w:val="0"/>
                <w:color w:val="auto"/>
                <w:sz w:val="24"/>
                <w:szCs w:val="24"/>
                <w:highlight w:val="none"/>
                <w:u w:val="none"/>
              </w:rPr>
            </w:pPr>
          </w:p>
        </w:tc>
        <w:tc>
          <w:tcPr>
            <w:tcW w:w="7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13B52">
            <w:pPr>
              <w:jc w:val="center"/>
              <w:rPr>
                <w:rFonts w:hint="eastAsia" w:ascii="仿宋" w:hAnsi="仿宋" w:eastAsia="仿宋" w:cs="仿宋"/>
                <w:i w:val="0"/>
                <w:iCs w:val="0"/>
                <w:color w:val="auto"/>
                <w:sz w:val="24"/>
                <w:szCs w:val="24"/>
                <w:highlight w:val="none"/>
                <w:u w:val="none"/>
              </w:rPr>
            </w:pPr>
          </w:p>
        </w:tc>
        <w:tc>
          <w:tcPr>
            <w:tcW w:w="14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CBCB94">
            <w:pPr>
              <w:jc w:val="center"/>
              <w:rPr>
                <w:rFonts w:hint="eastAsia" w:ascii="仿宋" w:hAnsi="仿宋" w:eastAsia="仿宋" w:cs="仿宋"/>
                <w:i w:val="0"/>
                <w:iCs w:val="0"/>
                <w:color w:val="auto"/>
                <w:sz w:val="24"/>
                <w:szCs w:val="24"/>
                <w:highlight w:val="none"/>
                <w:u w:val="none"/>
              </w:rPr>
            </w:pPr>
          </w:p>
        </w:tc>
      </w:tr>
      <w:tr w14:paraId="0B54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21EDCAD">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2A5B1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硬丝扫帚</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B1029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柄长</w:t>
            </w:r>
            <w:r>
              <w:rPr>
                <w:rStyle w:val="278"/>
                <w:rFonts w:hint="eastAsia" w:ascii="仿宋" w:hAnsi="仿宋" w:eastAsia="仿宋" w:cs="仿宋"/>
                <w:color w:val="auto"/>
                <w:kern w:val="0"/>
                <w:sz w:val="24"/>
                <w:szCs w:val="24"/>
                <w:highlight w:val="none"/>
                <w:lang w:val="en-US" w:eastAsia="zh-CN" w:bidi="ar"/>
              </w:rPr>
              <w:t>150cm</w:t>
            </w:r>
            <w:r>
              <w:rPr>
                <w:rFonts w:hint="eastAsia" w:ascii="仿宋" w:hAnsi="仿宋" w:eastAsia="仿宋" w:cs="仿宋"/>
                <w:i w:val="0"/>
                <w:iCs w:val="0"/>
                <w:color w:val="auto"/>
                <w:kern w:val="2"/>
                <w:sz w:val="24"/>
                <w:szCs w:val="24"/>
                <w:highlight w:val="none"/>
                <w:u w:val="none"/>
                <w:lang w:val="en-US" w:eastAsia="zh-CN" w:bidi="ar"/>
              </w:rPr>
              <w:t>，扫丝宽</w:t>
            </w:r>
            <w:r>
              <w:rPr>
                <w:rStyle w:val="278"/>
                <w:rFonts w:hint="eastAsia" w:ascii="仿宋" w:hAnsi="仿宋" w:eastAsia="仿宋" w:cs="仿宋"/>
                <w:color w:val="auto"/>
                <w:kern w:val="0"/>
                <w:sz w:val="24"/>
                <w:szCs w:val="24"/>
                <w:highlight w:val="none"/>
                <w:lang w:val="en-US" w:eastAsia="zh-CN" w:bidi="ar"/>
              </w:rPr>
              <w:t>70cm</w:t>
            </w:r>
            <w:r>
              <w:rPr>
                <w:rFonts w:hint="eastAsia" w:ascii="仿宋" w:hAnsi="仿宋" w:eastAsia="仿宋" w:cs="仿宋"/>
                <w:i w:val="0"/>
                <w:iCs w:val="0"/>
                <w:color w:val="auto"/>
                <w:kern w:val="2"/>
                <w:sz w:val="24"/>
                <w:szCs w:val="24"/>
                <w:highlight w:val="none"/>
                <w:u w:val="none"/>
                <w:lang w:val="en-US" w:eastAsia="zh-CN" w:bidi="ar"/>
              </w:rPr>
              <w:t>，竹枝</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6651D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15A510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16.00</w:t>
            </w:r>
          </w:p>
        </w:tc>
      </w:tr>
      <w:tr w14:paraId="7CDAD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13F0F5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0EC20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软丝扫把</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6FEDB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柄长</w:t>
            </w:r>
            <w:r>
              <w:rPr>
                <w:rStyle w:val="278"/>
                <w:rFonts w:hint="eastAsia" w:ascii="仿宋" w:hAnsi="仿宋" w:eastAsia="仿宋" w:cs="仿宋"/>
                <w:color w:val="auto"/>
                <w:kern w:val="0"/>
                <w:sz w:val="24"/>
                <w:szCs w:val="24"/>
                <w:highlight w:val="none"/>
                <w:lang w:val="en-US" w:eastAsia="zh-CN" w:bidi="ar"/>
              </w:rPr>
              <w:t>150cm</w:t>
            </w:r>
            <w:r>
              <w:rPr>
                <w:rFonts w:hint="eastAsia" w:ascii="仿宋" w:hAnsi="仿宋" w:eastAsia="仿宋" w:cs="仿宋"/>
                <w:i w:val="0"/>
                <w:iCs w:val="0"/>
                <w:color w:val="auto"/>
                <w:kern w:val="2"/>
                <w:sz w:val="24"/>
                <w:szCs w:val="24"/>
                <w:highlight w:val="none"/>
                <w:u w:val="none"/>
                <w:lang w:val="en-US" w:eastAsia="zh-CN" w:bidi="ar"/>
              </w:rPr>
              <w:t>，扫丝宽</w:t>
            </w:r>
            <w:r>
              <w:rPr>
                <w:rStyle w:val="278"/>
                <w:rFonts w:hint="eastAsia" w:ascii="仿宋" w:hAnsi="仿宋" w:eastAsia="仿宋" w:cs="仿宋"/>
                <w:color w:val="auto"/>
                <w:kern w:val="0"/>
                <w:sz w:val="24"/>
                <w:szCs w:val="24"/>
                <w:highlight w:val="none"/>
                <w:lang w:val="en-US" w:eastAsia="zh-CN" w:bidi="ar"/>
              </w:rPr>
              <w:t>70cm</w:t>
            </w:r>
            <w:r>
              <w:rPr>
                <w:rFonts w:hint="eastAsia" w:ascii="仿宋" w:hAnsi="仿宋" w:eastAsia="仿宋" w:cs="仿宋"/>
                <w:i w:val="0"/>
                <w:iCs w:val="0"/>
                <w:color w:val="auto"/>
                <w:kern w:val="2"/>
                <w:sz w:val="24"/>
                <w:szCs w:val="24"/>
                <w:highlight w:val="none"/>
                <w:u w:val="none"/>
                <w:lang w:val="en-US" w:eastAsia="zh-CN" w:bidi="ar"/>
              </w:rPr>
              <w:t>，金丝草</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5F92C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77A3F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16.00</w:t>
            </w:r>
          </w:p>
        </w:tc>
      </w:tr>
      <w:tr w14:paraId="039BE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599B128">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ED53D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长柄硬刷</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96DC3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23.5*5.5*120cm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12D0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4B75C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w:t>
            </w:r>
          </w:p>
        </w:tc>
      </w:tr>
      <w:tr w14:paraId="68B42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010622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150F2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长柄软刷</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D732C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23.5*5.5*1800CM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D31D7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BB9841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35.00</w:t>
            </w:r>
          </w:p>
        </w:tc>
      </w:tr>
      <w:tr w14:paraId="261C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D4DCD0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0E026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布拖把（扁）</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1697E2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
              </w:rPr>
            </w:pPr>
            <w:r>
              <w:rPr>
                <w:rFonts w:hint="eastAsia" w:ascii="仿宋" w:hAnsi="仿宋" w:eastAsia="仿宋" w:cs="仿宋"/>
                <w:i w:val="0"/>
                <w:iCs w:val="0"/>
                <w:color w:val="auto"/>
                <w:kern w:val="2"/>
                <w:sz w:val="24"/>
                <w:szCs w:val="24"/>
                <w:highlight w:val="none"/>
                <w:u w:val="none"/>
                <w:lang w:val="en-US" w:eastAsia="zh-CN" w:bidi="ar"/>
              </w:rPr>
              <w:t>实木棉纤维（棉线或棉毛巾）</w:t>
            </w:r>
          </w:p>
          <w:p w14:paraId="5303BF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柄长</w:t>
            </w:r>
            <w:r>
              <w:rPr>
                <w:rStyle w:val="278"/>
                <w:rFonts w:hint="eastAsia" w:ascii="仿宋" w:hAnsi="仿宋" w:eastAsia="仿宋" w:cs="仿宋"/>
                <w:color w:val="auto"/>
                <w:kern w:val="0"/>
                <w:sz w:val="24"/>
                <w:szCs w:val="24"/>
                <w:highlight w:val="none"/>
                <w:lang w:val="en-US" w:eastAsia="zh-CN" w:bidi="ar"/>
              </w:rPr>
              <w:t>150CM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47134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A641E8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12.00</w:t>
            </w:r>
          </w:p>
        </w:tc>
      </w:tr>
      <w:tr w14:paraId="53E97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5046DC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18AE6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夹布平板拖把</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1C99C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38cm</w:t>
            </w:r>
            <w:r>
              <w:rPr>
                <w:rFonts w:hint="eastAsia" w:ascii="仿宋" w:hAnsi="仿宋" w:eastAsia="仿宋" w:cs="仿宋"/>
                <w:i w:val="0"/>
                <w:iCs w:val="0"/>
                <w:color w:val="auto"/>
                <w:kern w:val="2"/>
                <w:sz w:val="24"/>
                <w:szCs w:val="24"/>
                <w:highlight w:val="none"/>
                <w:u w:val="none"/>
                <w:lang w:val="en-US" w:eastAsia="zh-CN" w:bidi="ar"/>
              </w:rPr>
              <w:t>大拖头，不锈钢柄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40808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1F4260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35.00</w:t>
            </w:r>
          </w:p>
        </w:tc>
      </w:tr>
      <w:tr w14:paraId="06A6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3710EAD">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F66AF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墙拖（干湿两用）</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8FFB1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加长伸缩杆，干湿两用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17007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60AC65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25.00</w:t>
            </w:r>
          </w:p>
        </w:tc>
      </w:tr>
      <w:tr w14:paraId="40410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3DB9FF0">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5A5FB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60CM地刮</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11C1F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带弧度</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13FEC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64F177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50.00</w:t>
            </w:r>
          </w:p>
        </w:tc>
      </w:tr>
      <w:tr w14:paraId="6628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CD098B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07C69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海绵拖把</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3D9C2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吸水海绵宽</w:t>
            </w:r>
            <w:r>
              <w:rPr>
                <w:rStyle w:val="278"/>
                <w:rFonts w:hint="eastAsia" w:ascii="仿宋" w:hAnsi="仿宋" w:eastAsia="仿宋" w:cs="仿宋"/>
                <w:color w:val="auto"/>
                <w:kern w:val="0"/>
                <w:sz w:val="24"/>
                <w:szCs w:val="24"/>
                <w:highlight w:val="none"/>
                <w:lang w:val="en-US" w:eastAsia="zh-CN" w:bidi="ar"/>
              </w:rPr>
              <w:t>38CM，杆厚度0.5mm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F34DD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91EBBD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45.00</w:t>
            </w:r>
          </w:p>
        </w:tc>
      </w:tr>
      <w:tr w14:paraId="34CF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0A5D37D">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D7E6E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室内扫把簸箕套装</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2356B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不锈钢手柄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5F4B3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16520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25.00</w:t>
            </w:r>
          </w:p>
        </w:tc>
      </w:tr>
      <w:tr w14:paraId="791EB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480B20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F00AE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铁簸箕</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7488E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加大，白铁皮</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7EF97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4291B2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w:t>
            </w:r>
          </w:p>
        </w:tc>
      </w:tr>
      <w:tr w14:paraId="25E6B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0A95D1A">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C1E8B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塑料废纸篓</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89405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全新</w:t>
            </w:r>
            <w:r>
              <w:rPr>
                <w:rStyle w:val="278"/>
                <w:rFonts w:hint="eastAsia" w:ascii="仿宋" w:hAnsi="仿宋" w:eastAsia="仿宋" w:cs="仿宋"/>
                <w:color w:val="auto"/>
                <w:kern w:val="0"/>
                <w:sz w:val="24"/>
                <w:szCs w:val="24"/>
                <w:highlight w:val="none"/>
                <w:lang w:val="en-US" w:eastAsia="zh-CN" w:bidi="ar"/>
              </w:rPr>
              <w:t>PP</w:t>
            </w:r>
            <w:r>
              <w:rPr>
                <w:rFonts w:hint="eastAsia" w:ascii="仿宋" w:hAnsi="仿宋" w:eastAsia="仿宋" w:cs="仿宋"/>
                <w:i w:val="0"/>
                <w:iCs w:val="0"/>
                <w:color w:val="auto"/>
                <w:kern w:val="2"/>
                <w:sz w:val="24"/>
                <w:szCs w:val="24"/>
                <w:highlight w:val="none"/>
                <w:u w:val="none"/>
                <w:lang w:val="en-US" w:eastAsia="zh-CN" w:bidi="ar"/>
              </w:rPr>
              <w:t>材质，耐摔耐用，大敞口</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FE670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6F8BE4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7.00</w:t>
            </w:r>
          </w:p>
        </w:tc>
      </w:tr>
      <w:tr w14:paraId="15E4B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E1DC01B">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FF065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塑料桶</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246DA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全新</w:t>
            </w:r>
            <w:r>
              <w:rPr>
                <w:rStyle w:val="278"/>
                <w:rFonts w:hint="eastAsia" w:ascii="仿宋" w:hAnsi="仿宋" w:eastAsia="仿宋" w:cs="仿宋"/>
                <w:color w:val="auto"/>
                <w:kern w:val="0"/>
                <w:sz w:val="24"/>
                <w:szCs w:val="24"/>
                <w:highlight w:val="none"/>
                <w:lang w:val="en-US" w:eastAsia="zh-CN" w:bidi="ar"/>
              </w:rPr>
              <w:t>PP</w:t>
            </w:r>
            <w:r>
              <w:rPr>
                <w:rFonts w:hint="eastAsia" w:ascii="仿宋" w:hAnsi="仿宋" w:eastAsia="仿宋" w:cs="仿宋"/>
                <w:i w:val="0"/>
                <w:iCs w:val="0"/>
                <w:color w:val="auto"/>
                <w:kern w:val="2"/>
                <w:sz w:val="24"/>
                <w:szCs w:val="24"/>
                <w:highlight w:val="none"/>
                <w:u w:val="none"/>
                <w:lang w:val="en-US" w:eastAsia="zh-CN" w:bidi="ar"/>
              </w:rPr>
              <w:t>材质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86843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BAD820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w:t>
            </w:r>
          </w:p>
        </w:tc>
      </w:tr>
      <w:tr w14:paraId="3DD3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19DDBE5">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302E36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水勺长柄加厚</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2A577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全新</w:t>
            </w:r>
            <w:r>
              <w:rPr>
                <w:rStyle w:val="278"/>
                <w:rFonts w:hint="eastAsia" w:ascii="仿宋" w:hAnsi="仿宋" w:eastAsia="仿宋" w:cs="仿宋"/>
                <w:color w:val="auto"/>
                <w:kern w:val="0"/>
                <w:sz w:val="24"/>
                <w:szCs w:val="24"/>
                <w:highlight w:val="none"/>
                <w:lang w:val="en-US" w:eastAsia="zh-CN" w:bidi="ar"/>
              </w:rPr>
              <w:t>PP</w:t>
            </w:r>
            <w:r>
              <w:rPr>
                <w:rFonts w:hint="eastAsia" w:ascii="仿宋" w:hAnsi="仿宋" w:eastAsia="仿宋" w:cs="仿宋"/>
                <w:i w:val="0"/>
                <w:iCs w:val="0"/>
                <w:color w:val="auto"/>
                <w:kern w:val="2"/>
                <w:sz w:val="24"/>
                <w:szCs w:val="24"/>
                <w:highlight w:val="none"/>
                <w:u w:val="none"/>
                <w:lang w:val="en-US" w:eastAsia="zh-CN" w:bidi="ar"/>
              </w:rPr>
              <w:t>材质，耐摔耐用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C5888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EACD60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25.00</w:t>
            </w:r>
          </w:p>
        </w:tc>
      </w:tr>
      <w:tr w14:paraId="5AB8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0BEAB3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7F67A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0.8L喷壶</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942CE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PP</w:t>
            </w:r>
            <w:r>
              <w:rPr>
                <w:rFonts w:hint="eastAsia" w:ascii="仿宋" w:hAnsi="仿宋" w:eastAsia="仿宋" w:cs="仿宋"/>
                <w:i w:val="0"/>
                <w:iCs w:val="0"/>
                <w:color w:val="auto"/>
                <w:kern w:val="2"/>
                <w:sz w:val="24"/>
                <w:szCs w:val="24"/>
                <w:highlight w:val="none"/>
                <w:u w:val="none"/>
                <w:lang w:val="en-US" w:eastAsia="zh-CN" w:bidi="ar"/>
              </w:rPr>
              <w:t>塑料材质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F8ACC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65A039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3DD9F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EDCA1E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337AD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纤维毛巾</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6B17D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吸水聚酯纤维</w:t>
            </w:r>
            <w:r>
              <w:rPr>
                <w:rStyle w:val="278"/>
                <w:rFonts w:hint="eastAsia" w:ascii="仿宋" w:hAnsi="仿宋" w:eastAsia="仿宋" w:cs="仿宋"/>
                <w:color w:val="auto"/>
                <w:kern w:val="0"/>
                <w:sz w:val="24"/>
                <w:szCs w:val="24"/>
                <w:highlight w:val="none"/>
                <w:lang w:val="en-US" w:eastAsia="zh-CN" w:bidi="ar"/>
              </w:rPr>
              <w:t>30*40</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4F275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4E938C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6.50</w:t>
            </w:r>
          </w:p>
        </w:tc>
      </w:tr>
      <w:tr w14:paraId="66AD6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2EC640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511E1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洗车毛巾</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A3D98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加厚吸水珊瑚绒</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E644C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D0A7A8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6.50</w:t>
            </w:r>
          </w:p>
        </w:tc>
      </w:tr>
      <w:tr w14:paraId="247B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43DC9E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92015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百洁布（双面海绵擦）</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ACADC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尼龙纤维</w:t>
            </w:r>
            <w:r>
              <w:rPr>
                <w:rStyle w:val="278"/>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2"/>
                <w:sz w:val="24"/>
                <w:szCs w:val="24"/>
                <w:highlight w:val="none"/>
                <w:u w:val="none"/>
                <w:lang w:val="en-US" w:eastAsia="zh-CN" w:bidi="ar"/>
              </w:rPr>
              <w:t>聚氨酯</w:t>
            </w:r>
            <w:r>
              <w:rPr>
                <w:rStyle w:val="278"/>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2"/>
                <w:sz w:val="24"/>
                <w:szCs w:val="24"/>
                <w:highlight w:val="none"/>
                <w:u w:val="none"/>
                <w:lang w:val="en-US" w:eastAsia="zh-CN" w:bidi="ar"/>
              </w:rPr>
              <w:t>金刚砂材质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543B6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BD03B8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w:t>
            </w:r>
          </w:p>
        </w:tc>
      </w:tr>
      <w:tr w14:paraId="0E30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B278C6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4BCA2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衣帽钩</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688B3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334B1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0520DF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3.00</w:t>
            </w:r>
          </w:p>
        </w:tc>
      </w:tr>
      <w:tr w14:paraId="7A66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873584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6B4D4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钢丝球（清洁球）</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0912A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i w:val="0"/>
                <w:iCs w:val="0"/>
                <w:color w:val="auto"/>
                <w:kern w:val="2"/>
                <w:sz w:val="24"/>
                <w:szCs w:val="24"/>
                <w:highlight w:val="none"/>
                <w:u w:val="none"/>
                <w:lang w:val="en-US" w:eastAsia="zh-CN" w:bidi="ar"/>
              </w:rPr>
              <w:t>只装</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E26FD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B004F2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w:t>
            </w:r>
          </w:p>
        </w:tc>
      </w:tr>
      <w:tr w14:paraId="3FFB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0B0B3A0">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BD6EA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可伸缩静电掸子</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A2747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可伸缩不锈钢手柄微纤维</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5AB35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DF03BD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w:t>
            </w:r>
          </w:p>
        </w:tc>
      </w:tr>
      <w:tr w14:paraId="752B8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FD3A4E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C6F94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双用擦窗器</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49A6E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洗刮合一</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E56DB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1C802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25.00</w:t>
            </w:r>
          </w:p>
        </w:tc>
      </w:tr>
      <w:tr w14:paraId="1D947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E9AE52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92A11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洒水壶</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D7D13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9CA1C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8622ED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20.00</w:t>
            </w:r>
          </w:p>
        </w:tc>
      </w:tr>
      <w:tr w14:paraId="6A96F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E3953E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438CB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马桶吸（马桶疏通器）</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B60A6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蓝色黑底，大吸力</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84DD1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BC38A9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6F576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F96A74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2F15F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马桶刷</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775DD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不锈钢手柄加粗加长，浓密刷头</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1DB61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468744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8.00</w:t>
            </w:r>
          </w:p>
        </w:tc>
      </w:tr>
      <w:tr w14:paraId="09207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BB8AA1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6342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玻璃刮刀</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F1AC0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全新</w:t>
            </w:r>
            <w:r>
              <w:rPr>
                <w:rStyle w:val="278"/>
                <w:rFonts w:hint="eastAsia" w:ascii="仿宋" w:hAnsi="仿宋" w:eastAsia="仿宋" w:cs="仿宋"/>
                <w:color w:val="auto"/>
                <w:kern w:val="0"/>
                <w:sz w:val="24"/>
                <w:szCs w:val="24"/>
                <w:highlight w:val="none"/>
                <w:lang w:val="en-US" w:eastAsia="zh-CN" w:bidi="ar"/>
              </w:rPr>
              <w:t>PP</w:t>
            </w:r>
            <w:r>
              <w:rPr>
                <w:rFonts w:hint="eastAsia" w:ascii="仿宋" w:hAnsi="仿宋" w:eastAsia="仿宋" w:cs="仿宋"/>
                <w:i w:val="0"/>
                <w:iCs w:val="0"/>
                <w:color w:val="auto"/>
                <w:kern w:val="2"/>
                <w:sz w:val="24"/>
                <w:szCs w:val="24"/>
                <w:highlight w:val="none"/>
                <w:u w:val="none"/>
                <w:lang w:val="en-US" w:eastAsia="zh-CN" w:bidi="ar"/>
              </w:rPr>
              <w:t>材质，柔软环保，宽度</w:t>
            </w:r>
            <w:r>
              <w:rPr>
                <w:rStyle w:val="278"/>
                <w:rFonts w:hint="eastAsia" w:ascii="仿宋" w:hAnsi="仿宋" w:eastAsia="仿宋" w:cs="仿宋"/>
                <w:color w:val="auto"/>
                <w:kern w:val="0"/>
                <w:sz w:val="24"/>
                <w:szCs w:val="24"/>
                <w:highlight w:val="none"/>
                <w:lang w:val="en-US" w:eastAsia="zh-CN" w:bidi="ar"/>
              </w:rPr>
              <w:t>40CM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52C3C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23EBF8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w:t>
            </w:r>
          </w:p>
        </w:tc>
      </w:tr>
      <w:tr w14:paraId="60BA3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E0245D9">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2ECA2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玻璃水</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478D4C7">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500ml喷壶</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15353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EA87E5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703F8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B7B506D">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14A79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片碱</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82595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25KG</w:t>
            </w:r>
            <w:r>
              <w:rPr>
                <w:rFonts w:hint="eastAsia" w:ascii="仿宋" w:hAnsi="仿宋" w:eastAsia="仿宋" w:cs="仿宋"/>
                <w:i w:val="0"/>
                <w:iCs w:val="0"/>
                <w:color w:val="auto"/>
                <w:kern w:val="2"/>
                <w:sz w:val="24"/>
                <w:szCs w:val="24"/>
                <w:highlight w:val="none"/>
                <w:u w:val="none"/>
                <w:lang w:val="en-US" w:eastAsia="zh-CN" w:bidi="ar"/>
              </w:rPr>
              <w:t>装、片状</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2C829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袋</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86301B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160.00</w:t>
            </w:r>
          </w:p>
        </w:tc>
      </w:tr>
      <w:tr w14:paraId="7E9A7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567D02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B3E53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洗衣粉</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F3E67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252g*20</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CC974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大袋</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5D180A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45.00</w:t>
            </w:r>
          </w:p>
        </w:tc>
      </w:tr>
      <w:tr w14:paraId="17EB6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20CD73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4532C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洗洁精</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2F4B2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25KG</w:t>
            </w:r>
            <w:r>
              <w:rPr>
                <w:rFonts w:hint="eastAsia" w:ascii="仿宋" w:hAnsi="仿宋" w:eastAsia="仿宋" w:cs="仿宋"/>
                <w:i w:val="0"/>
                <w:iCs w:val="0"/>
                <w:color w:val="auto"/>
                <w:kern w:val="2"/>
                <w:sz w:val="24"/>
                <w:szCs w:val="24"/>
                <w:highlight w:val="none"/>
                <w:u w:val="none"/>
                <w:lang w:val="en-US" w:eastAsia="zh-CN" w:bidi="ar"/>
              </w:rPr>
              <w:t>装</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96F42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72BC7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160.00</w:t>
            </w:r>
          </w:p>
        </w:tc>
      </w:tr>
      <w:tr w14:paraId="71E9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06AA44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4BE9D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洁厕灵</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3ACC1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A5C11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B307E1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5F6EA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70C1A5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2A1E3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洗手液</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4C5F8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FD261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272AF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12.00</w:t>
            </w:r>
          </w:p>
        </w:tc>
      </w:tr>
      <w:tr w14:paraId="2AE8B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5F195B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39AC9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洗手液</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427EF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3.78L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3D061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5970F6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35.00</w:t>
            </w:r>
          </w:p>
        </w:tc>
      </w:tr>
      <w:tr w14:paraId="77E41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5E275A0">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B1334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尿酸融通剂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A341D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AA1D5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B4AD9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25.00</w:t>
            </w:r>
          </w:p>
        </w:tc>
      </w:tr>
      <w:tr w14:paraId="52D8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9518C9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DEE16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水泥清洁剂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7F892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2.5kg</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61FB3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17F570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20.00</w:t>
            </w:r>
          </w:p>
        </w:tc>
      </w:tr>
      <w:tr w14:paraId="36AD8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35AC98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BF97D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不干胶清洁剂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47B12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CC031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035B3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13.00</w:t>
            </w:r>
          </w:p>
        </w:tc>
      </w:tr>
      <w:tr w14:paraId="093DD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CA7394A">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DEBBC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脱漆剂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732E8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5B2CB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E9A6A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w:t>
            </w:r>
          </w:p>
        </w:tc>
      </w:tr>
      <w:tr w14:paraId="3A01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558A2D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FC5AA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空气清新剂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7E00F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DB68D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772658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1E3B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3BA1EF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D87CC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不锈钢保养剂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1B9F4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4FDAF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21C5C4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75.00</w:t>
            </w:r>
          </w:p>
        </w:tc>
      </w:tr>
      <w:tr w14:paraId="7AF6D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FEFB2D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35B2E6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强力化油剂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E3247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B6A43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6C9301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120.00</w:t>
            </w:r>
          </w:p>
        </w:tc>
      </w:tr>
      <w:tr w14:paraId="3DB2A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FC779D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B896D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去污剂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DB043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3.78L/</w:t>
            </w:r>
            <w:r>
              <w:rPr>
                <w:rFonts w:hint="eastAsia" w:ascii="仿宋" w:hAnsi="仿宋" w:eastAsia="仿宋" w:cs="仿宋"/>
                <w:i w:val="0"/>
                <w:iCs w:val="0"/>
                <w:color w:val="auto"/>
                <w:kern w:val="2"/>
                <w:sz w:val="24"/>
                <w:szCs w:val="24"/>
                <w:highlight w:val="none"/>
                <w:u w:val="none"/>
                <w:lang w:val="en-US" w:eastAsia="zh-CN" w:bidi="ar"/>
              </w:rPr>
              <w:t>瓶，</w:t>
            </w:r>
            <w:r>
              <w:rPr>
                <w:rStyle w:val="278"/>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i w:val="0"/>
                <w:iCs w:val="0"/>
                <w:color w:val="auto"/>
                <w:kern w:val="2"/>
                <w:sz w:val="24"/>
                <w:szCs w:val="24"/>
                <w:highlight w:val="none"/>
                <w:u w:val="none"/>
                <w:lang w:val="en-US" w:eastAsia="zh-CN" w:bidi="ar"/>
              </w:rPr>
              <w:t>瓶</w:t>
            </w:r>
            <w:r>
              <w:rPr>
                <w:rStyle w:val="278"/>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2"/>
                <w:sz w:val="24"/>
                <w:szCs w:val="24"/>
                <w:highlight w:val="none"/>
                <w:u w:val="none"/>
                <w:lang w:val="en-US" w:eastAsia="zh-CN" w:bidi="ar"/>
              </w:rPr>
              <w:t>箱</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4A9DC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31F12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110.00</w:t>
            </w:r>
          </w:p>
        </w:tc>
      </w:tr>
      <w:tr w14:paraId="566F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2BF219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9D6B2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香喷剂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72497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E047E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F11E98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20.00</w:t>
            </w:r>
          </w:p>
        </w:tc>
      </w:tr>
      <w:tr w14:paraId="22608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F5BFFF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82F6D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香精球/樟脑丸</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65852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i w:val="0"/>
                <w:iCs w:val="0"/>
                <w:color w:val="auto"/>
                <w:kern w:val="2"/>
                <w:sz w:val="24"/>
                <w:szCs w:val="24"/>
                <w:highlight w:val="none"/>
                <w:u w:val="none"/>
                <w:lang w:val="en-US" w:eastAsia="zh-CN" w:bidi="ar"/>
              </w:rPr>
              <w:t>个装</w:t>
            </w:r>
            <w:r>
              <w:rPr>
                <w:rStyle w:val="278"/>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2"/>
                <w:sz w:val="24"/>
                <w:szCs w:val="24"/>
                <w:highlight w:val="none"/>
                <w:u w:val="none"/>
                <w:lang w:val="en-US" w:eastAsia="zh-CN" w:bidi="ar"/>
              </w:rPr>
              <w:t>条</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882CF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335064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6.00</w:t>
            </w:r>
          </w:p>
        </w:tc>
      </w:tr>
      <w:tr w14:paraId="4222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13D4F2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99CDA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香薰杯（蜡烛）</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9557D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进口植物精油，</w:t>
            </w:r>
            <w:r>
              <w:rPr>
                <w:rStyle w:val="278"/>
                <w:rFonts w:hint="eastAsia" w:ascii="仿宋" w:hAnsi="仿宋" w:eastAsia="仿宋" w:cs="仿宋"/>
                <w:color w:val="auto"/>
                <w:kern w:val="0"/>
                <w:sz w:val="24"/>
                <w:szCs w:val="24"/>
                <w:highlight w:val="none"/>
                <w:lang w:val="en-US" w:eastAsia="zh-CN" w:bidi="ar"/>
              </w:rPr>
              <w:t>70*80MM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381F9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5F3D6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w:t>
            </w:r>
          </w:p>
        </w:tc>
      </w:tr>
      <w:tr w14:paraId="583AB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59226A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7E220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线手套</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5977A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毛线材质，电脑</w:t>
            </w:r>
            <w:r>
              <w:rPr>
                <w:rStyle w:val="278"/>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2"/>
                <w:sz w:val="24"/>
                <w:szCs w:val="24"/>
                <w:highlight w:val="none"/>
                <w:u w:val="none"/>
                <w:lang w:val="en-US" w:eastAsia="zh-CN" w:bidi="ar"/>
              </w:rPr>
              <w:t>针出口</w:t>
            </w:r>
            <w:r>
              <w:rPr>
                <w:rStyle w:val="278"/>
                <w:rFonts w:hint="eastAsia" w:ascii="仿宋" w:hAnsi="仿宋" w:eastAsia="仿宋" w:cs="仿宋"/>
                <w:color w:val="auto"/>
                <w:kern w:val="0"/>
                <w:sz w:val="24"/>
                <w:szCs w:val="24"/>
                <w:highlight w:val="none"/>
                <w:lang w:val="en-US" w:eastAsia="zh-CN" w:bidi="ar"/>
              </w:rPr>
              <w:t>400</w:t>
            </w:r>
            <w:r>
              <w:rPr>
                <w:rFonts w:hint="eastAsia" w:ascii="仿宋" w:hAnsi="仿宋" w:eastAsia="仿宋" w:cs="仿宋"/>
                <w:i w:val="0"/>
                <w:iCs w:val="0"/>
                <w:color w:val="auto"/>
                <w:kern w:val="2"/>
                <w:sz w:val="24"/>
                <w:szCs w:val="24"/>
                <w:highlight w:val="none"/>
                <w:u w:val="none"/>
                <w:lang w:val="en-US" w:eastAsia="zh-CN" w:bidi="ar"/>
              </w:rPr>
              <w:t>克线手套，</w:t>
            </w:r>
            <w:r>
              <w:rPr>
                <w:rStyle w:val="278"/>
                <w:rFonts w:hint="eastAsia" w:ascii="仿宋" w:hAnsi="仿宋" w:eastAsia="仿宋" w:cs="仿宋"/>
                <w:color w:val="auto"/>
                <w:kern w:val="0"/>
                <w:sz w:val="24"/>
                <w:szCs w:val="24"/>
                <w:highlight w:val="none"/>
                <w:lang w:val="en-US" w:eastAsia="zh-CN" w:bidi="ar"/>
              </w:rPr>
              <w:t>22—25cm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F80B4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854E7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r>
      <w:tr w14:paraId="2539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60692D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BB2B0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半胶手套</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B5536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13</w:t>
            </w:r>
            <w:r>
              <w:rPr>
                <w:rFonts w:hint="eastAsia" w:ascii="仿宋" w:hAnsi="仿宋" w:eastAsia="仿宋" w:cs="仿宋"/>
                <w:i w:val="0"/>
                <w:iCs w:val="0"/>
                <w:color w:val="auto"/>
                <w:kern w:val="2"/>
                <w:sz w:val="24"/>
                <w:szCs w:val="24"/>
                <w:highlight w:val="none"/>
                <w:u w:val="none"/>
                <w:lang w:val="en-US" w:eastAsia="zh-CN" w:bidi="ar"/>
              </w:rPr>
              <w:t>针涤纶编织加厚，丁晴乳胶材质，针织袖口，</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E0217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B8BC2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w:t>
            </w:r>
          </w:p>
        </w:tc>
      </w:tr>
      <w:tr w14:paraId="750F7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FCDB650">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34045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全胶手套</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8A3EE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PVC</w:t>
            </w:r>
            <w:r>
              <w:rPr>
                <w:rFonts w:hint="eastAsia" w:ascii="仿宋" w:hAnsi="仿宋" w:eastAsia="仿宋" w:cs="仿宋"/>
                <w:i w:val="0"/>
                <w:iCs w:val="0"/>
                <w:color w:val="auto"/>
                <w:kern w:val="2"/>
                <w:sz w:val="24"/>
                <w:szCs w:val="24"/>
                <w:highlight w:val="none"/>
                <w:u w:val="none"/>
                <w:lang w:val="en-US" w:eastAsia="zh-CN" w:bidi="ar"/>
              </w:rPr>
              <w:t>材质，双层浸胶，针织袖口，耐磨抗腐，防水耐油</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A822D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685BD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w:t>
            </w:r>
          </w:p>
        </w:tc>
      </w:tr>
      <w:tr w14:paraId="2B1FB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500009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A1A56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橡胶手套加长</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D4F0F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38cm</w:t>
            </w:r>
            <w:r>
              <w:rPr>
                <w:rFonts w:hint="eastAsia" w:ascii="仿宋" w:hAnsi="仿宋" w:eastAsia="仿宋" w:cs="仿宋"/>
                <w:i w:val="0"/>
                <w:iCs w:val="0"/>
                <w:color w:val="auto"/>
                <w:kern w:val="2"/>
                <w:sz w:val="24"/>
                <w:szCs w:val="24"/>
                <w:highlight w:val="none"/>
                <w:u w:val="none"/>
                <w:lang w:val="en-US" w:eastAsia="zh-CN" w:bidi="ar"/>
              </w:rPr>
              <w:t>，</w:t>
            </w:r>
            <w:r>
              <w:rPr>
                <w:rStyle w:val="278"/>
                <w:rFonts w:hint="eastAsia" w:ascii="仿宋" w:hAnsi="仿宋" w:eastAsia="仿宋" w:cs="仿宋"/>
                <w:color w:val="auto"/>
                <w:kern w:val="0"/>
                <w:sz w:val="24"/>
                <w:szCs w:val="24"/>
                <w:highlight w:val="none"/>
                <w:lang w:val="en-US" w:eastAsia="zh-CN" w:bidi="ar"/>
              </w:rPr>
              <w:t>PVC</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0806B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FBB63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w:t>
            </w:r>
          </w:p>
        </w:tc>
      </w:tr>
      <w:tr w14:paraId="23485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76887F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255B7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橡胶手套加长加绒</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B1378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38cm</w:t>
            </w:r>
            <w:r>
              <w:rPr>
                <w:rFonts w:hint="eastAsia" w:ascii="仿宋" w:hAnsi="仿宋" w:eastAsia="仿宋" w:cs="仿宋"/>
                <w:i w:val="0"/>
                <w:iCs w:val="0"/>
                <w:color w:val="auto"/>
                <w:kern w:val="2"/>
                <w:sz w:val="24"/>
                <w:szCs w:val="24"/>
                <w:highlight w:val="none"/>
                <w:u w:val="none"/>
                <w:lang w:val="en-US" w:eastAsia="zh-CN" w:bidi="ar"/>
              </w:rPr>
              <w:t>，</w:t>
            </w:r>
            <w:r>
              <w:rPr>
                <w:rStyle w:val="278"/>
                <w:rFonts w:hint="eastAsia" w:ascii="仿宋" w:hAnsi="仿宋" w:eastAsia="仿宋" w:cs="仿宋"/>
                <w:color w:val="auto"/>
                <w:kern w:val="0"/>
                <w:sz w:val="24"/>
                <w:szCs w:val="24"/>
                <w:highlight w:val="none"/>
                <w:lang w:val="en-US" w:eastAsia="zh-CN" w:bidi="ar"/>
              </w:rPr>
              <w:t>PVC</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EE922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7DCD5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r>
      <w:tr w14:paraId="4F8C0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35694B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072C0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皮围裙</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80BAB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皮革</w:t>
            </w:r>
            <w:r>
              <w:rPr>
                <w:rStyle w:val="278"/>
                <w:rFonts w:hint="eastAsia" w:ascii="仿宋" w:hAnsi="仿宋" w:eastAsia="仿宋" w:cs="仿宋"/>
                <w:color w:val="auto"/>
                <w:kern w:val="0"/>
                <w:sz w:val="24"/>
                <w:szCs w:val="24"/>
                <w:highlight w:val="none"/>
                <w:lang w:val="en-US" w:eastAsia="zh-CN" w:bidi="ar"/>
              </w:rPr>
              <w:t>PU</w:t>
            </w:r>
            <w:r>
              <w:rPr>
                <w:rFonts w:hint="eastAsia" w:ascii="仿宋" w:hAnsi="仿宋" w:eastAsia="仿宋" w:cs="仿宋"/>
                <w:i w:val="0"/>
                <w:iCs w:val="0"/>
                <w:color w:val="auto"/>
                <w:kern w:val="2"/>
                <w:sz w:val="24"/>
                <w:szCs w:val="24"/>
                <w:highlight w:val="none"/>
                <w:u w:val="none"/>
                <w:lang w:val="en-US" w:eastAsia="zh-CN" w:bidi="ar"/>
              </w:rPr>
              <w:t>软皮长</w:t>
            </w:r>
            <w:r>
              <w:rPr>
                <w:rStyle w:val="278"/>
                <w:rFonts w:hint="eastAsia" w:ascii="仿宋" w:hAnsi="仿宋" w:eastAsia="仿宋" w:cs="仿宋"/>
                <w:color w:val="auto"/>
                <w:kern w:val="0"/>
                <w:sz w:val="24"/>
                <w:szCs w:val="24"/>
                <w:highlight w:val="none"/>
                <w:lang w:val="en-US" w:eastAsia="zh-CN" w:bidi="ar"/>
              </w:rPr>
              <w:t>110CM</w:t>
            </w:r>
            <w:r>
              <w:rPr>
                <w:rFonts w:hint="eastAsia" w:ascii="仿宋" w:hAnsi="仿宋" w:eastAsia="仿宋" w:cs="仿宋"/>
                <w:i w:val="0"/>
                <w:iCs w:val="0"/>
                <w:color w:val="auto"/>
                <w:kern w:val="2"/>
                <w:sz w:val="24"/>
                <w:szCs w:val="24"/>
                <w:highlight w:val="none"/>
                <w:u w:val="none"/>
                <w:lang w:val="en-US" w:eastAsia="zh-CN" w:bidi="ar"/>
              </w:rPr>
              <w:t>宽</w:t>
            </w:r>
            <w:r>
              <w:rPr>
                <w:rStyle w:val="278"/>
                <w:rFonts w:hint="eastAsia" w:ascii="仿宋" w:hAnsi="仿宋" w:eastAsia="仿宋" w:cs="仿宋"/>
                <w:color w:val="auto"/>
                <w:kern w:val="0"/>
                <w:sz w:val="24"/>
                <w:szCs w:val="24"/>
                <w:highlight w:val="none"/>
                <w:lang w:val="en-US" w:eastAsia="zh-CN" w:bidi="ar"/>
              </w:rPr>
              <w:t>65CM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DDEB0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223D3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w:t>
            </w:r>
          </w:p>
        </w:tc>
      </w:tr>
      <w:tr w14:paraId="1E10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957729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4537F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电工绝缘手套</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EFAA4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12KV</w:t>
            </w:r>
            <w:r>
              <w:rPr>
                <w:rFonts w:hint="eastAsia" w:ascii="仿宋" w:hAnsi="仿宋" w:eastAsia="仿宋" w:cs="仿宋"/>
                <w:i w:val="0"/>
                <w:iCs w:val="0"/>
                <w:color w:val="auto"/>
                <w:kern w:val="2"/>
                <w:sz w:val="24"/>
                <w:szCs w:val="24"/>
                <w:highlight w:val="none"/>
                <w:u w:val="none"/>
                <w:lang w:val="en-US" w:eastAsia="zh-CN" w:bidi="ar"/>
              </w:rPr>
              <w:t>掌型款</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D428D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B097A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50.00</w:t>
            </w:r>
          </w:p>
        </w:tc>
      </w:tr>
      <w:tr w14:paraId="1C40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3A3468A">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D0025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电工绝缘鞋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08ACE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10KV</w:t>
            </w:r>
            <w:r>
              <w:rPr>
                <w:rFonts w:hint="eastAsia" w:ascii="仿宋" w:hAnsi="仿宋" w:eastAsia="仿宋" w:cs="仿宋"/>
                <w:i w:val="0"/>
                <w:iCs w:val="0"/>
                <w:color w:val="auto"/>
                <w:kern w:val="2"/>
                <w:sz w:val="24"/>
                <w:szCs w:val="24"/>
                <w:highlight w:val="none"/>
                <w:u w:val="none"/>
                <w:lang w:val="en-US" w:eastAsia="zh-CN" w:bidi="ar"/>
              </w:rPr>
              <w:t>黄色</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F1231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D1013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35.00</w:t>
            </w:r>
          </w:p>
        </w:tc>
      </w:tr>
      <w:tr w14:paraId="5816C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6F9B00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7A4D9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天然气防冻手套</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D5012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长款，牛皮材质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DDA8B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付</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A041C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50.00</w:t>
            </w:r>
          </w:p>
        </w:tc>
      </w:tr>
      <w:tr w14:paraId="61072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655C7CD">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38205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劳保鞋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E710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防砸防刺高帮翻毛皮鞋</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94DCD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A20E3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80.00</w:t>
            </w:r>
          </w:p>
        </w:tc>
      </w:tr>
      <w:tr w14:paraId="62BD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34A3E1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000C96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高帮雨鞋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A9AB9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WO-1095</w:t>
            </w:r>
            <w:r>
              <w:rPr>
                <w:rFonts w:hint="eastAsia" w:ascii="仿宋" w:hAnsi="仿宋" w:eastAsia="仿宋" w:cs="仿宋"/>
                <w:i w:val="0"/>
                <w:iCs w:val="0"/>
                <w:color w:val="auto"/>
                <w:kern w:val="2"/>
                <w:sz w:val="24"/>
                <w:szCs w:val="24"/>
                <w:highlight w:val="none"/>
                <w:u w:val="none"/>
                <w:lang w:val="en-US" w:eastAsia="zh-CN" w:bidi="ar"/>
              </w:rPr>
              <w:t>加厚型</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55199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5C967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50.00</w:t>
            </w:r>
          </w:p>
        </w:tc>
      </w:tr>
      <w:tr w14:paraId="278F1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A5C8B28">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0C3DDF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安全帽</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50A3D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ABS防砸</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355E8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84153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45.00</w:t>
            </w:r>
          </w:p>
        </w:tc>
      </w:tr>
      <w:tr w14:paraId="203A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BF35141">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0441C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长木柄枪刀</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F7DDA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1.5</w:t>
            </w:r>
            <w:r>
              <w:rPr>
                <w:rFonts w:hint="eastAsia" w:ascii="仿宋" w:hAnsi="仿宋" w:eastAsia="仿宋" w:cs="仿宋"/>
                <w:i w:val="0"/>
                <w:iCs w:val="0"/>
                <w:color w:val="auto"/>
                <w:kern w:val="2"/>
                <w:sz w:val="24"/>
                <w:szCs w:val="24"/>
                <w:highlight w:val="none"/>
                <w:u w:val="none"/>
                <w:lang w:val="en-US" w:eastAsia="zh-CN" w:bidi="ar"/>
              </w:rPr>
              <w:t>米木柄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FD1A1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1F319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w:t>
            </w:r>
          </w:p>
        </w:tc>
      </w:tr>
      <w:tr w14:paraId="6C11C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64ADD2B">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8AAE4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铲刀（长柄）</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03128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刀片款，可伸缩，</w:t>
            </w:r>
            <w:r>
              <w:rPr>
                <w:rStyle w:val="278"/>
                <w:rFonts w:hint="eastAsia" w:ascii="仿宋" w:hAnsi="仿宋" w:eastAsia="仿宋" w:cs="仿宋"/>
                <w:color w:val="auto"/>
                <w:kern w:val="0"/>
                <w:sz w:val="24"/>
                <w:szCs w:val="24"/>
                <w:highlight w:val="none"/>
                <w:lang w:val="en-US" w:eastAsia="zh-CN" w:bidi="ar"/>
              </w:rPr>
              <w:t>2</w:t>
            </w:r>
            <w:r>
              <w:rPr>
                <w:rFonts w:hint="eastAsia" w:ascii="仿宋" w:hAnsi="仿宋" w:eastAsia="仿宋" w:cs="仿宋"/>
                <w:i w:val="0"/>
                <w:iCs w:val="0"/>
                <w:color w:val="auto"/>
                <w:kern w:val="2"/>
                <w:sz w:val="24"/>
                <w:szCs w:val="24"/>
                <w:highlight w:val="none"/>
                <w:u w:val="none"/>
                <w:lang w:val="en-US" w:eastAsia="zh-CN" w:bidi="ar"/>
              </w:rPr>
              <w:t>米左右</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C313A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9659B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35.00</w:t>
            </w:r>
          </w:p>
        </w:tc>
      </w:tr>
      <w:tr w14:paraId="3B521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EC4FBCA">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67036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铲刀（短柄）</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15F93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刀片款</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79C2D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3CF07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r>
      <w:tr w14:paraId="7E05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17D220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9446B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阴沟铁钩</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9AE31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窨井盖钩</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00C9B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D3A3A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12.00</w:t>
            </w:r>
          </w:p>
        </w:tc>
      </w:tr>
      <w:tr w14:paraId="59E23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561C53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F7D5E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长柄垃圾钳</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600CB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不锈钢长</w:t>
            </w:r>
            <w:r>
              <w:rPr>
                <w:rStyle w:val="278"/>
                <w:rFonts w:hint="eastAsia" w:ascii="仿宋" w:hAnsi="仿宋" w:eastAsia="仿宋" w:cs="仿宋"/>
                <w:color w:val="auto"/>
                <w:kern w:val="0"/>
                <w:sz w:val="24"/>
                <w:szCs w:val="24"/>
                <w:highlight w:val="none"/>
                <w:lang w:val="en-US" w:eastAsia="zh-CN" w:bidi="ar"/>
              </w:rPr>
              <w:t>75CM</w:t>
            </w:r>
            <w:r>
              <w:rPr>
                <w:rFonts w:hint="eastAsia" w:ascii="仿宋" w:hAnsi="仿宋" w:eastAsia="仿宋" w:cs="仿宋"/>
                <w:i w:val="0"/>
                <w:iCs w:val="0"/>
                <w:color w:val="auto"/>
                <w:kern w:val="2"/>
                <w:sz w:val="24"/>
                <w:szCs w:val="24"/>
                <w:highlight w:val="none"/>
                <w:u w:val="none"/>
                <w:lang w:val="en-US" w:eastAsia="zh-CN" w:bidi="ar"/>
              </w:rPr>
              <w:t>以上</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3B9F5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755C3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25.00</w:t>
            </w:r>
          </w:p>
        </w:tc>
      </w:tr>
      <w:tr w14:paraId="0127D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CBD55EB">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87B9B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短柄垃圾钳</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98983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不锈钢长</w:t>
            </w:r>
            <w:r>
              <w:rPr>
                <w:rStyle w:val="278"/>
                <w:rFonts w:hint="eastAsia" w:ascii="仿宋" w:hAnsi="仿宋" w:eastAsia="仿宋" w:cs="仿宋"/>
                <w:color w:val="auto"/>
                <w:kern w:val="0"/>
                <w:sz w:val="24"/>
                <w:szCs w:val="24"/>
                <w:highlight w:val="none"/>
                <w:lang w:val="en-US" w:eastAsia="zh-CN" w:bidi="ar"/>
              </w:rPr>
              <w:t>68CM</w:t>
            </w:r>
            <w:r>
              <w:rPr>
                <w:rFonts w:hint="eastAsia" w:ascii="仿宋" w:hAnsi="仿宋" w:eastAsia="仿宋" w:cs="仿宋"/>
                <w:i w:val="0"/>
                <w:iCs w:val="0"/>
                <w:color w:val="auto"/>
                <w:kern w:val="2"/>
                <w:sz w:val="24"/>
                <w:szCs w:val="24"/>
                <w:highlight w:val="none"/>
                <w:u w:val="none"/>
                <w:lang w:val="en-US" w:eastAsia="zh-CN" w:bidi="ar"/>
              </w:rPr>
              <w:t>左右</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24590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D761F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13.00</w:t>
            </w:r>
          </w:p>
        </w:tc>
      </w:tr>
      <w:tr w14:paraId="4FB68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16DCAB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D517F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草耙（大）</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E5B31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不锈钢材质（</w:t>
            </w:r>
            <w:r>
              <w:rPr>
                <w:rStyle w:val="278"/>
                <w:rFonts w:hint="eastAsia" w:ascii="仿宋" w:hAnsi="仿宋" w:eastAsia="仿宋" w:cs="仿宋"/>
                <w:color w:val="auto"/>
                <w:kern w:val="0"/>
                <w:sz w:val="24"/>
                <w:szCs w:val="24"/>
                <w:highlight w:val="none"/>
                <w:lang w:val="en-US" w:eastAsia="zh-CN" w:bidi="ar"/>
              </w:rPr>
              <w:t>22</w:t>
            </w:r>
            <w:r>
              <w:rPr>
                <w:rFonts w:hint="eastAsia" w:ascii="仿宋" w:hAnsi="仿宋" w:eastAsia="仿宋" w:cs="仿宋"/>
                <w:i w:val="0"/>
                <w:iCs w:val="0"/>
                <w:color w:val="auto"/>
                <w:kern w:val="2"/>
                <w:sz w:val="24"/>
                <w:szCs w:val="24"/>
                <w:highlight w:val="none"/>
                <w:u w:val="none"/>
                <w:lang w:val="en-US" w:eastAsia="zh-CN" w:bidi="ar"/>
              </w:rPr>
              <w:t>齿）</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CE83A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FD4B8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19.00</w:t>
            </w:r>
          </w:p>
        </w:tc>
      </w:tr>
      <w:tr w14:paraId="080D8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39DC97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845C9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草耙（中）</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65CB6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不锈钢材质（</w:t>
            </w:r>
            <w:r>
              <w:rPr>
                <w:rStyle w:val="278"/>
                <w:rFonts w:hint="eastAsia" w:ascii="仿宋" w:hAnsi="仿宋" w:eastAsia="仿宋" w:cs="仿宋"/>
                <w:color w:val="auto"/>
                <w:kern w:val="0"/>
                <w:sz w:val="24"/>
                <w:szCs w:val="24"/>
                <w:highlight w:val="none"/>
                <w:lang w:val="en-US" w:eastAsia="zh-CN" w:bidi="ar"/>
              </w:rPr>
              <w:t>15</w:t>
            </w:r>
            <w:r>
              <w:rPr>
                <w:rFonts w:hint="eastAsia" w:ascii="仿宋" w:hAnsi="仿宋" w:eastAsia="仿宋" w:cs="仿宋"/>
                <w:i w:val="0"/>
                <w:iCs w:val="0"/>
                <w:color w:val="auto"/>
                <w:kern w:val="2"/>
                <w:sz w:val="24"/>
                <w:szCs w:val="24"/>
                <w:highlight w:val="none"/>
                <w:u w:val="none"/>
                <w:lang w:val="en-US" w:eastAsia="zh-CN" w:bidi="ar"/>
              </w:rPr>
              <w:t>齿）</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892C6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8639E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16.00</w:t>
            </w:r>
          </w:p>
        </w:tc>
      </w:tr>
      <w:tr w14:paraId="5D5EE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5EE47D5">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020E8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草耙（小）</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2D4DD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不锈钢材质（</w:t>
            </w:r>
            <w:r>
              <w:rPr>
                <w:rStyle w:val="278"/>
                <w:rFonts w:hint="eastAsia" w:ascii="仿宋" w:hAnsi="仿宋" w:eastAsia="仿宋" w:cs="仿宋"/>
                <w:color w:val="auto"/>
                <w:kern w:val="0"/>
                <w:sz w:val="24"/>
                <w:szCs w:val="24"/>
                <w:highlight w:val="none"/>
                <w:lang w:val="en-US" w:eastAsia="zh-CN" w:bidi="ar"/>
              </w:rPr>
              <w:t>9</w:t>
            </w:r>
            <w:r>
              <w:rPr>
                <w:rFonts w:hint="eastAsia" w:ascii="仿宋" w:hAnsi="仿宋" w:eastAsia="仿宋" w:cs="仿宋"/>
                <w:i w:val="0"/>
                <w:iCs w:val="0"/>
                <w:color w:val="auto"/>
                <w:kern w:val="2"/>
                <w:sz w:val="24"/>
                <w:szCs w:val="24"/>
                <w:highlight w:val="none"/>
                <w:u w:val="none"/>
                <w:lang w:val="en-US" w:eastAsia="zh-CN" w:bidi="ar"/>
              </w:rPr>
              <w:t>齿）</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7FF74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F8E93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14.00</w:t>
            </w:r>
          </w:p>
        </w:tc>
      </w:tr>
      <w:tr w14:paraId="3F13E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4066731">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197D77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铁耙（2齿）</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2432C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F9B82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51963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40.00</w:t>
            </w:r>
          </w:p>
        </w:tc>
      </w:tr>
      <w:tr w14:paraId="2478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60614F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5BFAC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锄头</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A7BCE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碳钢，木柄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B199F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7EB81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35.00</w:t>
            </w:r>
          </w:p>
        </w:tc>
      </w:tr>
      <w:tr w14:paraId="30B9A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97328CA">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BC5BC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镰刀</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47648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锰钢带柄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70CF5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E324E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w:t>
            </w:r>
          </w:p>
        </w:tc>
      </w:tr>
      <w:tr w14:paraId="159D6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E6DBA69">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A9A1B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铁锹（小）</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A113C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30*24mm</w:t>
            </w:r>
            <w:r>
              <w:rPr>
                <w:rFonts w:hint="eastAsia" w:ascii="仿宋" w:hAnsi="仿宋" w:eastAsia="仿宋" w:cs="仿宋"/>
                <w:i w:val="0"/>
                <w:iCs w:val="0"/>
                <w:color w:val="auto"/>
                <w:kern w:val="2"/>
                <w:sz w:val="24"/>
                <w:szCs w:val="24"/>
                <w:highlight w:val="none"/>
                <w:u w:val="none"/>
                <w:lang w:val="en-US" w:eastAsia="zh-CN" w:bidi="ar"/>
              </w:rPr>
              <w:t>，木柄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3FA6E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45DC6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18.00</w:t>
            </w:r>
          </w:p>
        </w:tc>
      </w:tr>
      <w:tr w14:paraId="7DBC7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FB13DB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568A7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铁锹（大）</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2A651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39*28mm</w:t>
            </w:r>
            <w:r>
              <w:rPr>
                <w:rFonts w:hint="eastAsia" w:ascii="仿宋" w:hAnsi="仿宋" w:eastAsia="仿宋" w:cs="仿宋"/>
                <w:i w:val="0"/>
                <w:iCs w:val="0"/>
                <w:color w:val="auto"/>
                <w:kern w:val="2"/>
                <w:sz w:val="24"/>
                <w:szCs w:val="24"/>
                <w:highlight w:val="none"/>
                <w:u w:val="none"/>
                <w:lang w:val="en-US" w:eastAsia="zh-CN" w:bidi="ar"/>
              </w:rPr>
              <w:t>，木柄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C548F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FDD50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17.00</w:t>
            </w:r>
          </w:p>
        </w:tc>
      </w:tr>
      <w:tr w14:paraId="10F63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4FEB8B0">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58D65D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铁锹柄</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D8F5F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37794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E38DA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w:t>
            </w:r>
          </w:p>
        </w:tc>
      </w:tr>
      <w:tr w14:paraId="70A08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3FA81BB">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70926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塑料锹</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7C9C2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宽42cm加厚款静音型</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63547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58C28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22.00</w:t>
            </w:r>
          </w:p>
        </w:tc>
      </w:tr>
      <w:tr w14:paraId="5D0EF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8BFF26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43F69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蛇皮袋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A890B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60*90cm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FEAA5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0BC19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r>
      <w:tr w14:paraId="0BEDC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A41F9BE">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BEECE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麻袋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D8A32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亚麻材质</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CE7F5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02A65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r>
      <w:tr w14:paraId="1ECFC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C28D038">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36E1F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蚊香盘</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4CE53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直径大于</w:t>
            </w:r>
            <w:r>
              <w:rPr>
                <w:rStyle w:val="278"/>
                <w:rFonts w:hint="eastAsia" w:ascii="仿宋" w:hAnsi="仿宋" w:eastAsia="仿宋" w:cs="仿宋"/>
                <w:color w:val="auto"/>
                <w:kern w:val="0"/>
                <w:sz w:val="24"/>
                <w:szCs w:val="24"/>
                <w:highlight w:val="none"/>
                <w:lang w:val="en-US" w:eastAsia="zh-CN" w:bidi="ar"/>
              </w:rPr>
              <w:t>15cm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70F06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B63EE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w:t>
            </w:r>
          </w:p>
        </w:tc>
      </w:tr>
      <w:tr w14:paraId="7CBC2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48CB201">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2446F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檀香</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442A4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30盒/箱</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8FBDF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30803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130.00</w:t>
            </w:r>
          </w:p>
        </w:tc>
      </w:tr>
      <w:tr w14:paraId="202AE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809BDDD">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ABD49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灭蝇蚊香</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ADA50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每盘直径约</w:t>
            </w:r>
            <w:r>
              <w:rPr>
                <w:rStyle w:val="278"/>
                <w:rFonts w:hint="eastAsia" w:ascii="仿宋" w:hAnsi="仿宋" w:eastAsia="仿宋" w:cs="仿宋"/>
                <w:color w:val="auto"/>
                <w:kern w:val="0"/>
                <w:sz w:val="24"/>
                <w:szCs w:val="24"/>
                <w:highlight w:val="none"/>
                <w:lang w:val="en-US" w:eastAsia="zh-CN" w:bidi="ar"/>
              </w:rPr>
              <w:t>7.5m 10</w:t>
            </w:r>
            <w:r>
              <w:rPr>
                <w:rFonts w:hint="eastAsia" w:ascii="仿宋" w:hAnsi="仿宋" w:eastAsia="仿宋" w:cs="仿宋"/>
                <w:i w:val="0"/>
                <w:iCs w:val="0"/>
                <w:color w:val="auto"/>
                <w:kern w:val="2"/>
                <w:sz w:val="24"/>
                <w:szCs w:val="24"/>
                <w:highlight w:val="none"/>
                <w:u w:val="none"/>
                <w:lang w:val="en-US" w:eastAsia="zh-CN" w:bidi="ar"/>
              </w:rPr>
              <w:t>单盘</w:t>
            </w:r>
            <w:r>
              <w:rPr>
                <w:rStyle w:val="278"/>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2"/>
                <w:sz w:val="24"/>
                <w:szCs w:val="24"/>
                <w:highlight w:val="none"/>
                <w:u w:val="none"/>
                <w:lang w:val="en-US" w:eastAsia="zh-CN" w:bidi="ar"/>
              </w:rPr>
              <w:t>盒</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AEB33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盒</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6B0B1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r>
      <w:tr w14:paraId="42E6D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2402A9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17B08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粘蝇纸</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921D3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51*30*20cm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F5A75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0DABA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0.20</w:t>
            </w:r>
          </w:p>
        </w:tc>
      </w:tr>
      <w:tr w14:paraId="0DDB7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97FAF7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194E0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粘鼠板</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D75F4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防水硬纸板，高粘力胶水</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E6A44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04F3C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w:t>
            </w:r>
          </w:p>
        </w:tc>
      </w:tr>
      <w:tr w14:paraId="281C1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9B17F0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D4348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捕蝇笼</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B9321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悬挂式，带诱饵</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F5D0B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DD11A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w:t>
            </w:r>
          </w:p>
        </w:tc>
      </w:tr>
      <w:tr w14:paraId="21E66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6FC8EE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4766E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强光手电（铝电池）</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9F43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
              </w:rPr>
              <w:t>快充、</w:t>
            </w:r>
            <w:r>
              <w:rPr>
                <w:rStyle w:val="278"/>
                <w:rFonts w:hint="eastAsia" w:ascii="仿宋" w:hAnsi="仿宋" w:eastAsia="仿宋" w:cs="仿宋"/>
                <w:color w:val="auto"/>
                <w:kern w:val="0"/>
                <w:sz w:val="24"/>
                <w:szCs w:val="24"/>
                <w:highlight w:val="none"/>
                <w:lang w:val="en-US" w:eastAsia="zh-CN" w:bidi="ar"/>
              </w:rPr>
              <w:t>11000</w:t>
            </w:r>
            <w:r>
              <w:rPr>
                <w:rFonts w:hint="eastAsia" w:ascii="仿宋" w:hAnsi="仿宋" w:eastAsia="仿宋" w:cs="仿宋"/>
                <w:i w:val="0"/>
                <w:iCs w:val="0"/>
                <w:color w:val="auto"/>
                <w:kern w:val="2"/>
                <w:sz w:val="24"/>
                <w:szCs w:val="24"/>
                <w:highlight w:val="none"/>
                <w:u w:val="none"/>
                <w:lang w:val="en-US" w:eastAsia="zh-CN" w:bidi="ar"/>
              </w:rPr>
              <w:t>毫安大电池，</w:t>
            </w:r>
            <w:r>
              <w:rPr>
                <w:rStyle w:val="278"/>
                <w:rFonts w:hint="eastAsia" w:ascii="仿宋" w:hAnsi="仿宋" w:eastAsia="仿宋" w:cs="仿宋"/>
                <w:color w:val="auto"/>
                <w:kern w:val="0"/>
                <w:sz w:val="24"/>
                <w:szCs w:val="24"/>
                <w:highlight w:val="none"/>
                <w:lang w:val="en-US" w:eastAsia="zh-CN" w:bidi="ar"/>
              </w:rPr>
              <w:t>15W</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0A4BB1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98AB8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150.00</w:t>
            </w:r>
          </w:p>
        </w:tc>
      </w:tr>
      <w:tr w14:paraId="4FBB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FF88A13">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D1800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杀虫喷雾剂</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D2831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600ml</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15E3E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罐</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613C6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20.00</w:t>
            </w:r>
          </w:p>
        </w:tc>
      </w:tr>
      <w:tr w14:paraId="035D7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F1554BC">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1467B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背式电动喷雾机</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97943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Style w:val="278"/>
                <w:rFonts w:hint="eastAsia" w:ascii="仿宋" w:hAnsi="仿宋" w:eastAsia="仿宋" w:cs="仿宋"/>
                <w:color w:val="auto"/>
                <w:kern w:val="0"/>
                <w:sz w:val="24"/>
                <w:szCs w:val="24"/>
                <w:highlight w:val="none"/>
                <w:lang w:val="en-US" w:eastAsia="zh-CN" w:bidi="ar"/>
              </w:rPr>
              <w:t>20L</w:t>
            </w:r>
            <w:r>
              <w:rPr>
                <w:rFonts w:hint="eastAsia" w:ascii="仿宋" w:hAnsi="仿宋" w:eastAsia="仿宋" w:cs="仿宋"/>
                <w:i w:val="0"/>
                <w:iCs w:val="0"/>
                <w:color w:val="auto"/>
                <w:kern w:val="2"/>
                <w:sz w:val="24"/>
                <w:szCs w:val="24"/>
                <w:highlight w:val="none"/>
                <w:u w:val="none"/>
                <w:lang w:val="en-US" w:eastAsia="zh-CN" w:bidi="ar"/>
              </w:rPr>
              <w:t>，</w:t>
            </w:r>
            <w:r>
              <w:rPr>
                <w:rStyle w:val="278"/>
                <w:rFonts w:hint="eastAsia" w:ascii="仿宋" w:hAnsi="仿宋" w:eastAsia="仿宋" w:cs="仿宋"/>
                <w:color w:val="auto"/>
                <w:kern w:val="0"/>
                <w:sz w:val="24"/>
                <w:szCs w:val="24"/>
                <w:highlight w:val="none"/>
                <w:lang w:val="en-US" w:eastAsia="zh-CN" w:bidi="ar"/>
              </w:rPr>
              <w:t>14A</w:t>
            </w:r>
            <w:r>
              <w:rPr>
                <w:rFonts w:hint="eastAsia" w:ascii="仿宋" w:hAnsi="仿宋" w:eastAsia="仿宋" w:cs="仿宋"/>
                <w:i w:val="0"/>
                <w:iCs w:val="0"/>
                <w:color w:val="auto"/>
                <w:kern w:val="2"/>
                <w:sz w:val="24"/>
                <w:szCs w:val="24"/>
                <w:highlight w:val="none"/>
                <w:u w:val="none"/>
                <w:lang w:val="en-US" w:eastAsia="zh-CN" w:bidi="ar"/>
              </w:rPr>
              <w:t>锂电池</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501D6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8D406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250.00</w:t>
            </w:r>
          </w:p>
        </w:tc>
      </w:tr>
      <w:tr w14:paraId="46963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C691E6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41E697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可移动清洁工具挂架</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A0FFC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128cm*20挂</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9E145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6102F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600.00</w:t>
            </w:r>
          </w:p>
        </w:tc>
      </w:tr>
      <w:tr w14:paraId="2523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51768C7">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112CBF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可移动清洁工具挂架</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6A7A1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98cm*16挂</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F258A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5290B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400.00</w:t>
            </w:r>
          </w:p>
        </w:tc>
      </w:tr>
      <w:tr w14:paraId="1947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E9E6AE4">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0"/>
            <w:vAlign w:val="center"/>
          </w:tcPr>
          <w:p w14:paraId="0AD926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皮垫</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42FE7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6M*0.5M*1CM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78767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卷</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44FE2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600.00</w:t>
            </w:r>
          </w:p>
        </w:tc>
      </w:tr>
      <w:tr w14:paraId="5BF29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E268711">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F05EE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自动喷漆</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03DC6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450ml*12瓶</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BF5FD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D7F90D6">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200.00</w:t>
            </w:r>
          </w:p>
        </w:tc>
      </w:tr>
      <w:tr w14:paraId="0A536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162DB2B">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4EE06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乳胶漆</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D7915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5kg</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F5862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桶</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0389549">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100.00</w:t>
            </w:r>
          </w:p>
        </w:tc>
      </w:tr>
      <w:tr w14:paraId="4F10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D9178F1">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77FBC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滚筒刷</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A6502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木柄</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C55BB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909736D">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10.00</w:t>
            </w:r>
          </w:p>
        </w:tc>
      </w:tr>
      <w:tr w14:paraId="0982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B17D358">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EC7F9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抽纸</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50E0A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3层，≥120，≥190*150mm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7E9867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65839A7">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5.00</w:t>
            </w:r>
          </w:p>
        </w:tc>
      </w:tr>
      <w:tr w14:paraId="3516E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DEF8FC5">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3EB2B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卷纸</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A55A8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24卷/提，宽129mm，4层</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6B631D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F8F0EE1">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45.00</w:t>
            </w:r>
          </w:p>
        </w:tc>
      </w:tr>
      <w:tr w14:paraId="6A67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300F59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EB74C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大盘卷纸</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4EF76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12卷/箱，宽90mm，4层，单盘≥800g</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1E463A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5BDFC5B">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150.00</w:t>
            </w:r>
          </w:p>
        </w:tc>
      </w:tr>
      <w:tr w14:paraId="09164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12A7FA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2A91A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双面泡沫胶</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C19FC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宽50mm，厚≥3mm，单卷≥2m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635E2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卷</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EFA3A9D">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5.00</w:t>
            </w:r>
          </w:p>
        </w:tc>
      </w:tr>
      <w:tr w14:paraId="186A7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78BDC42">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44593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平板棉线大拖把</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A33D9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02542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A75F2E5">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45.00</w:t>
            </w:r>
          </w:p>
        </w:tc>
      </w:tr>
      <w:tr w14:paraId="6446C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844FD96">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A3EB6F3">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PVC防滑地垫</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BA2D3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宽160cm，厚≥4.5mm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4EBD60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卷</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D8ACE5A">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80.00</w:t>
            </w:r>
          </w:p>
        </w:tc>
      </w:tr>
      <w:tr w14:paraId="7F04D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3D5BBDF">
            <w:pPr>
              <w:keepNext w:val="0"/>
              <w:keepLines w:val="0"/>
              <w:widowControl/>
              <w:numPr>
                <w:ilvl w:val="0"/>
                <w:numId w:val="16"/>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4FDF17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地毯（吸水防滑垫）</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4DCCE20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120cm*80cm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DE1E47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块</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DADC0F8">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40.00</w:t>
            </w:r>
          </w:p>
        </w:tc>
      </w:tr>
    </w:tbl>
    <w:p w14:paraId="660731A7">
      <w:pPr>
        <w:keepNext w:val="0"/>
        <w:keepLines w:val="0"/>
        <w:pageBreakBefore w:val="0"/>
        <w:widowControl/>
        <w:numPr>
          <w:ilvl w:val="1"/>
          <w:numId w:val="15"/>
        </w:numPr>
        <w:suppressLineNumbers w:val="0"/>
        <w:tabs>
          <w:tab w:val="left" w:pos="0"/>
        </w:tabs>
        <w:kinsoku/>
        <w:wordWrap/>
        <w:overflowPunct/>
        <w:topLinePunct w:val="0"/>
        <w:autoSpaceDE/>
        <w:autoSpaceDN/>
        <w:bidi w:val="0"/>
        <w:adjustRightInd w:val="0"/>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具体技术参数</w:t>
      </w:r>
    </w:p>
    <w:p w14:paraId="5111C2C2">
      <w:pPr>
        <w:keepNext w:val="0"/>
        <w:keepLines w:val="0"/>
        <w:pageBreakBefore w:val="0"/>
        <w:widowControl w:val="0"/>
        <w:numPr>
          <w:ilvl w:val="2"/>
          <w:numId w:val="17"/>
        </w:numPr>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pacing w:val="-4"/>
          <w:sz w:val="24"/>
          <w:szCs w:val="24"/>
          <w:highlight w:val="none"/>
        </w:rPr>
        <w:t>檀香：</w:t>
      </w:r>
    </w:p>
    <w:p w14:paraId="1E3DE599">
      <w:pPr>
        <w:keepNext w:val="0"/>
        <w:keepLines w:val="0"/>
        <w:pageBreakBefore w:val="0"/>
        <w:widowControl w:val="0"/>
        <w:kinsoku/>
        <w:wordWrap/>
        <w:overflowPunct/>
        <w:topLinePunct w:val="0"/>
        <w:autoSpaceDE/>
        <w:autoSpaceDN/>
        <w:bidi w:val="0"/>
        <w:adjustRightInd/>
        <w:snapToGrid/>
        <w:spacing w:line="420" w:lineRule="exact"/>
        <w:ind w:left="0" w:right="0" w:firstLine="47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rPr>
        <w:t>包装：每10盘/盒，每</w:t>
      </w:r>
      <w:r>
        <w:rPr>
          <w:rFonts w:hint="eastAsia" w:ascii="仿宋" w:hAnsi="仿宋" w:eastAsia="仿宋" w:cs="仿宋"/>
          <w:color w:val="auto"/>
          <w:spacing w:val="-2"/>
          <w:sz w:val="24"/>
          <w:szCs w:val="24"/>
          <w:highlight w:val="none"/>
          <w:lang w:val="en-US" w:eastAsia="zh-CN"/>
        </w:rPr>
        <w:t>3</w:t>
      </w:r>
      <w:r>
        <w:rPr>
          <w:rFonts w:hint="eastAsia" w:ascii="仿宋" w:hAnsi="仿宋" w:eastAsia="仿宋" w:cs="仿宋"/>
          <w:color w:val="auto"/>
          <w:spacing w:val="-2"/>
          <w:sz w:val="24"/>
          <w:szCs w:val="24"/>
          <w:highlight w:val="none"/>
        </w:rPr>
        <w:t>0盒/箱</w:t>
      </w:r>
      <w:r>
        <w:rPr>
          <w:rFonts w:hint="eastAsia" w:ascii="仿宋" w:hAnsi="仿宋" w:eastAsia="仿宋" w:cs="仿宋"/>
          <w:color w:val="auto"/>
          <w:spacing w:val="-2"/>
          <w:sz w:val="24"/>
          <w:szCs w:val="24"/>
          <w:highlight w:val="none"/>
          <w:lang w:eastAsia="zh-CN"/>
        </w:rPr>
        <w:t>；</w:t>
      </w:r>
    </w:p>
    <w:p w14:paraId="2AC0ADF0">
      <w:pPr>
        <w:keepNext w:val="0"/>
        <w:keepLines w:val="0"/>
        <w:pageBreakBefore w:val="0"/>
        <w:widowControl w:val="0"/>
        <w:kinsoku/>
        <w:wordWrap/>
        <w:overflowPunct/>
        <w:topLinePunct w:val="0"/>
        <w:autoSpaceDE/>
        <w:autoSpaceDN/>
        <w:bidi w:val="0"/>
        <w:adjustRightInd/>
        <w:snapToGrid/>
        <w:spacing w:line="420" w:lineRule="exact"/>
        <w:ind w:left="0" w:right="0" w:firstLine="476"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lang w:eastAsia="zh-CN"/>
        </w:rPr>
        <w:t>（</w:t>
      </w:r>
      <w:r>
        <w:rPr>
          <w:rFonts w:hint="eastAsia" w:ascii="仿宋" w:hAnsi="仿宋" w:eastAsia="仿宋" w:cs="仿宋"/>
          <w:color w:val="auto"/>
          <w:spacing w:val="-1"/>
          <w:sz w:val="24"/>
          <w:szCs w:val="24"/>
          <w:highlight w:val="none"/>
          <w:lang w:val="en-US" w:eastAsia="zh-CN"/>
        </w:rPr>
        <w:t>2</w:t>
      </w:r>
      <w:r>
        <w:rPr>
          <w:rFonts w:hint="eastAsia" w:ascii="仿宋" w:hAnsi="仿宋" w:eastAsia="仿宋" w:cs="仿宋"/>
          <w:color w:val="auto"/>
          <w:spacing w:val="-1"/>
          <w:sz w:val="24"/>
          <w:szCs w:val="24"/>
          <w:highlight w:val="none"/>
          <w:lang w:eastAsia="zh-CN"/>
        </w:rPr>
        <w:t>）</w:t>
      </w:r>
      <w:r>
        <w:rPr>
          <w:rFonts w:hint="eastAsia" w:ascii="仿宋" w:hAnsi="仿宋" w:eastAsia="仿宋" w:cs="仿宋"/>
          <w:color w:val="auto"/>
          <w:spacing w:val="-1"/>
          <w:sz w:val="24"/>
          <w:szCs w:val="24"/>
          <w:highlight w:val="none"/>
        </w:rPr>
        <w:t>抗折力≥1.5N；脱圈性好；燃点时间≥7小时</w:t>
      </w:r>
      <w:r>
        <w:rPr>
          <w:rFonts w:hint="eastAsia" w:ascii="仿宋" w:hAnsi="仿宋" w:eastAsia="仿宋" w:cs="仿宋"/>
          <w:color w:val="auto"/>
          <w:spacing w:val="-2"/>
          <w:sz w:val="24"/>
          <w:szCs w:val="24"/>
          <w:highlight w:val="none"/>
        </w:rPr>
        <w:t>；药效KT50≤8分钟；有效成分富右旋</w:t>
      </w:r>
      <w:r>
        <w:rPr>
          <w:rFonts w:hint="eastAsia" w:ascii="仿宋" w:hAnsi="仿宋" w:eastAsia="仿宋" w:cs="仿宋"/>
          <w:color w:val="auto"/>
          <w:sz w:val="24"/>
          <w:szCs w:val="24"/>
          <w:highlight w:val="none"/>
        </w:rPr>
        <w:t>反式烯丙菊酯主药含量区间位于0.2%与0.35%</w:t>
      </w:r>
      <w:r>
        <w:rPr>
          <w:rFonts w:hint="eastAsia" w:ascii="仿宋" w:hAnsi="仿宋" w:eastAsia="仿宋" w:cs="仿宋"/>
          <w:color w:val="auto"/>
          <w:spacing w:val="-1"/>
          <w:sz w:val="24"/>
          <w:szCs w:val="24"/>
          <w:highlight w:val="none"/>
        </w:rPr>
        <w:t>之间；水分含量≤10%；</w:t>
      </w:r>
    </w:p>
    <w:p w14:paraId="1EF22963">
      <w:pPr>
        <w:keepNext w:val="0"/>
        <w:keepLines w:val="0"/>
        <w:pageBreakBefore w:val="0"/>
        <w:widowControl w:val="0"/>
        <w:kinsoku/>
        <w:wordWrap/>
        <w:overflowPunct/>
        <w:topLinePunct w:val="0"/>
        <w:autoSpaceDE/>
        <w:autoSpaceDN/>
        <w:bidi w:val="0"/>
        <w:adjustRightInd/>
        <w:snapToGrid/>
        <w:spacing w:line="420" w:lineRule="exact"/>
        <w:ind w:left="0" w:right="0" w:firstLine="478"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1"/>
          <w:sz w:val="24"/>
          <w:szCs w:val="24"/>
          <w:highlight w:val="none"/>
          <w:lang w:eastAsia="zh-CN"/>
        </w:rPr>
        <w:t>（</w:t>
      </w:r>
      <w:r>
        <w:rPr>
          <w:rFonts w:hint="eastAsia" w:ascii="仿宋" w:hAnsi="仿宋" w:eastAsia="仿宋" w:cs="仿宋"/>
          <w:b/>
          <w:bCs/>
          <w:color w:val="auto"/>
          <w:spacing w:val="-1"/>
          <w:sz w:val="24"/>
          <w:szCs w:val="24"/>
          <w:highlight w:val="none"/>
          <w:lang w:val="en-US" w:eastAsia="zh-CN"/>
        </w:rPr>
        <w:t>3</w:t>
      </w:r>
      <w:r>
        <w:rPr>
          <w:rFonts w:hint="eastAsia" w:ascii="仿宋" w:hAnsi="仿宋" w:eastAsia="仿宋" w:cs="仿宋"/>
          <w:b/>
          <w:bCs/>
          <w:color w:val="auto"/>
          <w:spacing w:val="-1"/>
          <w:sz w:val="24"/>
          <w:szCs w:val="24"/>
          <w:highlight w:val="none"/>
          <w:lang w:eastAsia="zh-CN"/>
        </w:rPr>
        <w:t>）</w:t>
      </w:r>
      <w:r>
        <w:rPr>
          <w:rFonts w:hint="eastAsia" w:ascii="仿宋" w:hAnsi="仿宋" w:eastAsia="仿宋" w:cs="仿宋"/>
          <w:b/>
          <w:bCs/>
          <w:color w:val="auto"/>
          <w:spacing w:val="-1"/>
          <w:sz w:val="24"/>
          <w:szCs w:val="24"/>
          <w:highlight w:val="none"/>
          <w:lang w:val="en-US" w:eastAsia="zh-CN"/>
        </w:rPr>
        <w:t>★</w:t>
      </w:r>
      <w:r>
        <w:rPr>
          <w:rFonts w:hint="eastAsia" w:ascii="仿宋" w:hAnsi="仿宋" w:eastAsia="仿宋" w:cs="仿宋"/>
          <w:b/>
          <w:bCs/>
          <w:color w:val="auto"/>
          <w:spacing w:val="-1"/>
          <w:sz w:val="24"/>
          <w:szCs w:val="24"/>
          <w:highlight w:val="none"/>
        </w:rPr>
        <w:t>提供相应的检测报告</w:t>
      </w:r>
      <w:r>
        <w:rPr>
          <w:rFonts w:hint="eastAsia" w:ascii="仿宋" w:hAnsi="仿宋" w:eastAsia="仿宋" w:cs="仿宋"/>
          <w:b/>
          <w:bCs/>
          <w:color w:val="auto"/>
          <w:spacing w:val="-1"/>
          <w:sz w:val="24"/>
          <w:szCs w:val="24"/>
          <w:highlight w:val="none"/>
          <w:lang w:eastAsia="zh-CN"/>
        </w:rPr>
        <w:t>（</w:t>
      </w:r>
      <w:r>
        <w:rPr>
          <w:rFonts w:hint="eastAsia" w:ascii="仿宋" w:hAnsi="仿宋" w:eastAsia="仿宋" w:cs="仿宋"/>
          <w:b/>
          <w:bCs/>
          <w:color w:val="auto"/>
          <w:spacing w:val="-1"/>
          <w:sz w:val="24"/>
          <w:szCs w:val="24"/>
          <w:highlight w:val="none"/>
        </w:rPr>
        <w:t>检测报告需要有二维码便于查询检测报告内容，检测产</w:t>
      </w:r>
      <w:r>
        <w:rPr>
          <w:rFonts w:hint="eastAsia" w:ascii="仿宋" w:hAnsi="仿宋" w:eastAsia="仿宋" w:cs="仿宋"/>
          <w:b/>
          <w:bCs/>
          <w:color w:val="auto"/>
          <w:spacing w:val="-2"/>
          <w:sz w:val="24"/>
          <w:szCs w:val="24"/>
          <w:highlight w:val="none"/>
        </w:rPr>
        <w:t>品须</w:t>
      </w:r>
      <w:r>
        <w:rPr>
          <w:rFonts w:hint="eastAsia" w:ascii="仿宋" w:hAnsi="仿宋" w:eastAsia="仿宋" w:cs="仿宋"/>
          <w:b/>
          <w:bCs/>
          <w:color w:val="auto"/>
          <w:spacing w:val="-4"/>
          <w:sz w:val="24"/>
          <w:szCs w:val="24"/>
          <w:highlight w:val="none"/>
        </w:rPr>
        <w:t>为202</w:t>
      </w:r>
      <w:r>
        <w:rPr>
          <w:rFonts w:hint="eastAsia" w:ascii="仿宋" w:hAnsi="仿宋" w:eastAsia="仿宋" w:cs="仿宋"/>
          <w:b/>
          <w:bCs/>
          <w:color w:val="auto"/>
          <w:spacing w:val="-4"/>
          <w:sz w:val="24"/>
          <w:szCs w:val="24"/>
          <w:highlight w:val="none"/>
          <w:lang w:val="en-US" w:eastAsia="zh-CN"/>
        </w:rPr>
        <w:t>4</w:t>
      </w:r>
      <w:r>
        <w:rPr>
          <w:rFonts w:hint="eastAsia" w:ascii="仿宋" w:hAnsi="仿宋" w:eastAsia="仿宋" w:cs="仿宋"/>
          <w:b/>
          <w:bCs/>
          <w:color w:val="auto"/>
          <w:spacing w:val="-4"/>
          <w:sz w:val="24"/>
          <w:szCs w:val="24"/>
          <w:highlight w:val="none"/>
        </w:rPr>
        <w:t>年新品</w:t>
      </w:r>
      <w:r>
        <w:rPr>
          <w:rFonts w:hint="eastAsia" w:ascii="仿宋" w:hAnsi="仿宋" w:eastAsia="仿宋" w:cs="仿宋"/>
          <w:b/>
          <w:bCs/>
          <w:color w:val="auto"/>
          <w:sz w:val="24"/>
          <w:szCs w:val="24"/>
          <w:highlight w:val="none"/>
        </w:rPr>
        <w:t>）；</w:t>
      </w:r>
    </w:p>
    <w:p w14:paraId="194E0571">
      <w:pPr>
        <w:keepNext w:val="0"/>
        <w:keepLines w:val="0"/>
        <w:pageBreakBefore w:val="0"/>
        <w:widowControl w:val="0"/>
        <w:kinsoku/>
        <w:wordWrap/>
        <w:overflowPunct/>
        <w:topLinePunct w:val="0"/>
        <w:autoSpaceDE/>
        <w:autoSpaceDN/>
        <w:bidi w:val="0"/>
        <w:adjustRightInd/>
        <w:snapToGrid/>
        <w:spacing w:line="420" w:lineRule="exact"/>
        <w:ind w:left="0" w:right="0" w:firstLine="47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3"/>
          <w:sz w:val="24"/>
          <w:szCs w:val="24"/>
          <w:highlight w:val="none"/>
          <w:lang w:eastAsia="zh-CN"/>
        </w:rPr>
        <w:t>（</w:t>
      </w:r>
      <w:r>
        <w:rPr>
          <w:rFonts w:hint="eastAsia" w:ascii="仿宋" w:hAnsi="仿宋" w:eastAsia="仿宋" w:cs="仿宋"/>
          <w:b/>
          <w:bCs/>
          <w:color w:val="auto"/>
          <w:spacing w:val="-3"/>
          <w:sz w:val="24"/>
          <w:szCs w:val="24"/>
          <w:highlight w:val="none"/>
          <w:lang w:val="en-US" w:eastAsia="zh-CN"/>
        </w:rPr>
        <w:t>4</w:t>
      </w:r>
      <w:r>
        <w:rPr>
          <w:rFonts w:hint="eastAsia" w:ascii="仿宋" w:hAnsi="仿宋" w:eastAsia="仿宋" w:cs="仿宋"/>
          <w:b/>
          <w:bCs/>
          <w:color w:val="auto"/>
          <w:spacing w:val="-3"/>
          <w:sz w:val="24"/>
          <w:szCs w:val="24"/>
          <w:highlight w:val="none"/>
          <w:lang w:eastAsia="zh-CN"/>
        </w:rPr>
        <w:t>）</w:t>
      </w:r>
      <w:r>
        <w:rPr>
          <w:rFonts w:hint="eastAsia" w:ascii="仿宋" w:hAnsi="仿宋" w:eastAsia="仿宋" w:cs="仿宋"/>
          <w:b/>
          <w:bCs/>
          <w:color w:val="auto"/>
          <w:spacing w:val="-3"/>
          <w:sz w:val="24"/>
          <w:szCs w:val="24"/>
          <w:highlight w:val="none"/>
        </w:rPr>
        <w:t>提供产品的出厂合格证</w:t>
      </w:r>
      <w:r>
        <w:rPr>
          <w:rFonts w:hint="eastAsia" w:ascii="仿宋" w:hAnsi="仿宋" w:eastAsia="仿宋" w:cs="仿宋"/>
          <w:b/>
          <w:bCs/>
          <w:color w:val="auto"/>
          <w:spacing w:val="-3"/>
          <w:sz w:val="24"/>
          <w:szCs w:val="24"/>
          <w:highlight w:val="none"/>
          <w:lang w:eastAsia="zh-CN"/>
        </w:rPr>
        <w:t>。</w:t>
      </w:r>
    </w:p>
    <w:p w14:paraId="6CAD22D4">
      <w:pPr>
        <w:keepNext w:val="0"/>
        <w:keepLines w:val="0"/>
        <w:pageBreakBefore w:val="0"/>
        <w:widowControl w:val="0"/>
        <w:kinsoku/>
        <w:wordWrap/>
        <w:overflowPunct/>
        <w:topLinePunct w:val="0"/>
        <w:autoSpaceDE/>
        <w:autoSpaceDN/>
        <w:bidi w:val="0"/>
        <w:adjustRightInd/>
        <w:snapToGrid/>
        <w:spacing w:line="420" w:lineRule="exact"/>
        <w:ind w:left="0" w:right="0" w:firstLine="466"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4"/>
          <w:sz w:val="24"/>
          <w:szCs w:val="24"/>
          <w:highlight w:val="none"/>
        </w:rPr>
        <w:t>以上资料须在有效期内，不满足作废标处理。</w:t>
      </w:r>
    </w:p>
    <w:p w14:paraId="21F84BDC">
      <w:pPr>
        <w:keepNext w:val="0"/>
        <w:keepLines w:val="0"/>
        <w:pageBreakBefore w:val="0"/>
        <w:widowControl w:val="0"/>
        <w:numPr>
          <w:ilvl w:val="2"/>
          <w:numId w:val="17"/>
        </w:numPr>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rPr>
      </w:pPr>
      <w:r>
        <w:rPr>
          <w:rFonts w:hint="eastAsia" w:ascii="仿宋" w:hAnsi="仿宋" w:eastAsia="仿宋" w:cs="仿宋"/>
          <w:b/>
          <w:bCs/>
          <w:color w:val="auto"/>
          <w:spacing w:val="-4"/>
          <w:sz w:val="24"/>
          <w:szCs w:val="24"/>
          <w:highlight w:val="none"/>
        </w:rPr>
        <w:t>片碱（片状氢氧化钠）</w:t>
      </w:r>
    </w:p>
    <w:p w14:paraId="36BFF9D4">
      <w:pPr>
        <w:keepNext w:val="0"/>
        <w:keepLines w:val="0"/>
        <w:pageBreakBefore w:val="0"/>
        <w:widowControl w:val="0"/>
        <w:numPr>
          <w:ilvl w:val="3"/>
          <w:numId w:val="17"/>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rPr>
      </w:pPr>
      <w:r>
        <w:rPr>
          <w:rFonts w:hint="eastAsia" w:ascii="仿宋" w:hAnsi="仿宋" w:eastAsia="仿宋" w:cs="仿宋"/>
          <w:b w:val="0"/>
          <w:bCs w:val="0"/>
          <w:color w:val="auto"/>
          <w:spacing w:val="-4"/>
          <w:sz w:val="24"/>
          <w:szCs w:val="24"/>
          <w:highlight w:val="none"/>
        </w:rPr>
        <w:t>包装：25公斤一袋，包装袋上醒目位置应注明腐蚀性及安全措施，标注含氢氧化钠质量分数、生产许可证编号、净重、腐蚀品等级标志；</w:t>
      </w:r>
    </w:p>
    <w:p w14:paraId="7153148E">
      <w:pPr>
        <w:keepNext w:val="0"/>
        <w:keepLines w:val="0"/>
        <w:pageBreakBefore w:val="0"/>
        <w:widowControl w:val="0"/>
        <w:numPr>
          <w:ilvl w:val="3"/>
          <w:numId w:val="17"/>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rPr>
      </w:pPr>
      <w:r>
        <w:rPr>
          <w:rFonts w:hint="eastAsia" w:ascii="仿宋" w:hAnsi="仿宋" w:eastAsia="仿宋" w:cs="仿宋"/>
          <w:b w:val="0"/>
          <w:bCs w:val="0"/>
          <w:color w:val="auto"/>
          <w:spacing w:val="-4"/>
          <w:sz w:val="24"/>
          <w:szCs w:val="24"/>
          <w:highlight w:val="none"/>
        </w:rPr>
        <w:t>★质量需符合GB/T209-2018《工业用氢氧化钠》标准要求。主要指标如下：</w:t>
      </w:r>
    </w:p>
    <w:tbl>
      <w:tblPr>
        <w:tblStyle w:val="280"/>
        <w:tblW w:w="96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756"/>
        <w:gridCol w:w="4"/>
        <w:gridCol w:w="5016"/>
        <w:gridCol w:w="3885"/>
      </w:tblGrid>
      <w:tr w14:paraId="12E27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7" w:type="dxa"/>
            <w:gridSpan w:val="2"/>
            <w:vMerge w:val="restart"/>
            <w:tcBorders>
              <w:bottom w:val="nil"/>
            </w:tcBorders>
            <w:noWrap w:val="0"/>
            <w:vAlign w:val="center"/>
          </w:tcPr>
          <w:p w14:paraId="278096BA">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5020" w:type="dxa"/>
            <w:gridSpan w:val="2"/>
            <w:vMerge w:val="restart"/>
            <w:tcBorders>
              <w:bottom w:val="nil"/>
            </w:tcBorders>
            <w:noWrap w:val="0"/>
            <w:vAlign w:val="center"/>
          </w:tcPr>
          <w:p w14:paraId="51D5ABD4">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项目</w:t>
            </w:r>
          </w:p>
        </w:tc>
        <w:tc>
          <w:tcPr>
            <w:tcW w:w="3885" w:type="dxa"/>
            <w:noWrap w:val="0"/>
            <w:vAlign w:val="center"/>
          </w:tcPr>
          <w:p w14:paraId="48D93DD3">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指标要求</w:t>
            </w:r>
          </w:p>
        </w:tc>
      </w:tr>
      <w:tr w14:paraId="06091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57" w:type="dxa"/>
            <w:gridSpan w:val="2"/>
            <w:vMerge w:val="continue"/>
            <w:tcBorders>
              <w:top w:val="nil"/>
            </w:tcBorders>
            <w:noWrap w:val="0"/>
            <w:textDirection w:val="tbRlV"/>
            <w:vAlign w:val="center"/>
          </w:tcPr>
          <w:p w14:paraId="7984388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p>
        </w:tc>
        <w:tc>
          <w:tcPr>
            <w:tcW w:w="5020" w:type="dxa"/>
            <w:gridSpan w:val="2"/>
            <w:vMerge w:val="continue"/>
            <w:tcBorders>
              <w:top w:val="nil"/>
            </w:tcBorders>
            <w:noWrap w:val="0"/>
            <w:vAlign w:val="center"/>
          </w:tcPr>
          <w:p w14:paraId="46817EA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p>
        </w:tc>
        <w:tc>
          <w:tcPr>
            <w:tcW w:w="3885" w:type="dxa"/>
            <w:noWrap w:val="0"/>
            <w:vAlign w:val="center"/>
          </w:tcPr>
          <w:p w14:paraId="3C0E9E67">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片状氢氧化钠</w:t>
            </w:r>
          </w:p>
        </w:tc>
      </w:tr>
      <w:tr w14:paraId="0AB25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760" w:type="dxa"/>
            <w:gridSpan w:val="2"/>
            <w:noWrap w:val="0"/>
            <w:vAlign w:val="center"/>
          </w:tcPr>
          <w:p w14:paraId="76D11B7C">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5016" w:type="dxa"/>
            <w:noWrap w:val="0"/>
            <w:vAlign w:val="center"/>
          </w:tcPr>
          <w:p w14:paraId="109073EC">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色泽</w:t>
            </w:r>
          </w:p>
        </w:tc>
        <w:tc>
          <w:tcPr>
            <w:tcW w:w="3885" w:type="dxa"/>
            <w:noWrap w:val="0"/>
            <w:vAlign w:val="center"/>
          </w:tcPr>
          <w:p w14:paraId="3BB7590F">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白色或者近乎白色</w:t>
            </w:r>
          </w:p>
        </w:tc>
      </w:tr>
      <w:tr w14:paraId="13F05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760" w:type="dxa"/>
            <w:gridSpan w:val="2"/>
            <w:noWrap w:val="0"/>
            <w:vAlign w:val="center"/>
          </w:tcPr>
          <w:p w14:paraId="3D0C52B5">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5016" w:type="dxa"/>
            <w:noWrap w:val="0"/>
            <w:vAlign w:val="center"/>
          </w:tcPr>
          <w:p w14:paraId="5AD3C1B4">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状态</w:t>
            </w:r>
          </w:p>
        </w:tc>
        <w:tc>
          <w:tcPr>
            <w:tcW w:w="3885" w:type="dxa"/>
            <w:noWrap w:val="0"/>
            <w:vAlign w:val="center"/>
          </w:tcPr>
          <w:p w14:paraId="6C9D3F75">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固体、片状</w:t>
            </w:r>
          </w:p>
        </w:tc>
      </w:tr>
      <w:tr w14:paraId="49267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760" w:type="dxa"/>
            <w:gridSpan w:val="2"/>
            <w:noWrap w:val="0"/>
            <w:vAlign w:val="center"/>
          </w:tcPr>
          <w:p w14:paraId="7B2635CC">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5016" w:type="dxa"/>
            <w:noWrap w:val="0"/>
            <w:vAlign w:val="center"/>
          </w:tcPr>
          <w:p w14:paraId="13ED4933">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总碱量（以</w:t>
            </w:r>
            <w:r>
              <w:rPr>
                <w:rFonts w:hint="eastAsia" w:ascii="仿宋" w:hAnsi="仿宋" w:eastAsia="仿宋" w:cs="仿宋"/>
                <w:color w:val="auto"/>
                <w:sz w:val="24"/>
                <w:szCs w:val="24"/>
                <w:highlight w:val="none"/>
              </w:rPr>
              <w:t>NaOH</w:t>
            </w:r>
            <w:r>
              <w:rPr>
                <w:rFonts w:hint="eastAsia" w:ascii="仿宋" w:hAnsi="仿宋" w:eastAsia="仿宋" w:cs="仿宋"/>
                <w:color w:val="auto"/>
                <w:spacing w:val="9"/>
                <w:sz w:val="24"/>
                <w:szCs w:val="24"/>
                <w:highlight w:val="none"/>
              </w:rPr>
              <w:t>计</w:t>
            </w:r>
            <w:r>
              <w:rPr>
                <w:rFonts w:hint="eastAsia" w:ascii="仿宋" w:hAnsi="仿宋" w:eastAsia="仿宋" w:cs="仿宋"/>
                <w:color w:val="auto"/>
                <w:spacing w:val="8"/>
                <w:sz w:val="24"/>
                <w:szCs w:val="24"/>
                <w:highlight w:val="none"/>
              </w:rPr>
              <w:t>），</w:t>
            </w:r>
            <w:r>
              <w:rPr>
                <w:rFonts w:hint="eastAsia" w:ascii="仿宋" w:hAnsi="仿宋" w:eastAsia="仿宋" w:cs="仿宋"/>
                <w:color w:val="auto"/>
                <w:spacing w:val="9"/>
                <w:sz w:val="24"/>
                <w:szCs w:val="24"/>
                <w:highlight w:val="none"/>
              </w:rPr>
              <w:t>w/%</w:t>
            </w:r>
          </w:p>
        </w:tc>
        <w:tc>
          <w:tcPr>
            <w:tcW w:w="3885" w:type="dxa"/>
            <w:noWrap w:val="0"/>
            <w:vAlign w:val="center"/>
          </w:tcPr>
          <w:p w14:paraId="65BD39ED">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position w:val="1"/>
                <w:sz w:val="24"/>
                <w:szCs w:val="24"/>
                <w:highlight w:val="none"/>
              </w:rPr>
              <w:t>98.5～100.5</w:t>
            </w:r>
          </w:p>
        </w:tc>
      </w:tr>
      <w:tr w14:paraId="057FF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760" w:type="dxa"/>
            <w:gridSpan w:val="2"/>
            <w:noWrap w:val="0"/>
            <w:vAlign w:val="center"/>
          </w:tcPr>
          <w:p w14:paraId="4F3B5F60">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5016" w:type="dxa"/>
            <w:noWrap w:val="0"/>
            <w:vAlign w:val="center"/>
          </w:tcPr>
          <w:p w14:paraId="764154C9">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碳酸钠（以</w:t>
            </w:r>
            <w:r>
              <w:rPr>
                <w:rFonts w:hint="eastAsia" w:ascii="仿宋" w:hAnsi="仿宋" w:eastAsia="仿宋" w:cs="仿宋"/>
                <w:color w:val="auto"/>
                <w:sz w:val="24"/>
                <w:szCs w:val="24"/>
                <w:highlight w:val="none"/>
              </w:rPr>
              <w:t>Na</w:t>
            </w:r>
            <w:r>
              <w:rPr>
                <w:rFonts w:hint="eastAsia" w:ascii="仿宋" w:hAnsi="仿宋" w:eastAsia="仿宋" w:cs="仿宋"/>
                <w:color w:val="auto"/>
                <w:spacing w:val="7"/>
                <w:position w:val="-2"/>
                <w:sz w:val="24"/>
                <w:szCs w:val="24"/>
                <w:highlight w:val="none"/>
              </w:rPr>
              <w:t>2</w:t>
            </w:r>
            <w:r>
              <w:rPr>
                <w:rFonts w:hint="eastAsia" w:ascii="仿宋" w:hAnsi="仿宋" w:eastAsia="仿宋" w:cs="仿宋"/>
                <w:color w:val="auto"/>
                <w:sz w:val="24"/>
                <w:szCs w:val="24"/>
                <w:highlight w:val="none"/>
              </w:rPr>
              <w:t>CO</w:t>
            </w:r>
            <w:r>
              <w:rPr>
                <w:rFonts w:hint="eastAsia" w:ascii="仿宋" w:hAnsi="仿宋" w:eastAsia="仿宋" w:cs="仿宋"/>
                <w:color w:val="auto"/>
                <w:spacing w:val="7"/>
                <w:position w:val="-2"/>
                <w:sz w:val="24"/>
                <w:szCs w:val="24"/>
                <w:highlight w:val="none"/>
              </w:rPr>
              <w:t>3</w:t>
            </w:r>
            <w:r>
              <w:rPr>
                <w:rFonts w:hint="eastAsia" w:ascii="仿宋" w:hAnsi="仿宋" w:eastAsia="仿宋" w:cs="仿宋"/>
                <w:color w:val="auto"/>
                <w:spacing w:val="7"/>
                <w:sz w:val="24"/>
                <w:szCs w:val="24"/>
                <w:highlight w:val="none"/>
              </w:rPr>
              <w:t>计</w:t>
            </w:r>
            <w:r>
              <w:rPr>
                <w:rFonts w:hint="eastAsia" w:ascii="仿宋" w:hAnsi="仿宋" w:eastAsia="仿宋" w:cs="仿宋"/>
                <w:color w:val="auto"/>
                <w:spacing w:val="10"/>
                <w:sz w:val="24"/>
                <w:szCs w:val="24"/>
                <w:highlight w:val="none"/>
              </w:rPr>
              <w:t>），</w:t>
            </w:r>
            <w:r>
              <w:rPr>
                <w:rFonts w:hint="eastAsia" w:ascii="仿宋" w:hAnsi="仿宋" w:eastAsia="仿宋" w:cs="仿宋"/>
                <w:color w:val="auto"/>
                <w:spacing w:val="7"/>
                <w:sz w:val="24"/>
                <w:szCs w:val="24"/>
                <w:highlight w:val="none"/>
              </w:rPr>
              <w:t>w/%≤</w:t>
            </w:r>
          </w:p>
        </w:tc>
        <w:tc>
          <w:tcPr>
            <w:tcW w:w="3885" w:type="dxa"/>
            <w:noWrap w:val="0"/>
            <w:vAlign w:val="center"/>
          </w:tcPr>
          <w:p w14:paraId="7B78C1D7">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0.8</w:t>
            </w:r>
          </w:p>
        </w:tc>
      </w:tr>
      <w:tr w14:paraId="735EA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760" w:type="dxa"/>
            <w:gridSpan w:val="2"/>
            <w:noWrap w:val="0"/>
            <w:vAlign w:val="center"/>
          </w:tcPr>
          <w:p w14:paraId="047A7B3D">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5016" w:type="dxa"/>
            <w:noWrap w:val="0"/>
            <w:vAlign w:val="center"/>
          </w:tcPr>
          <w:p w14:paraId="70B6923A">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氯化钠（以</w:t>
            </w:r>
            <w:r>
              <w:rPr>
                <w:rFonts w:hint="eastAsia" w:ascii="仿宋" w:hAnsi="仿宋" w:eastAsia="仿宋" w:cs="仿宋"/>
                <w:color w:val="auto"/>
                <w:sz w:val="24"/>
                <w:szCs w:val="24"/>
                <w:highlight w:val="none"/>
              </w:rPr>
              <w:t>NaCl</w:t>
            </w:r>
            <w:r>
              <w:rPr>
                <w:rFonts w:hint="eastAsia" w:ascii="仿宋" w:hAnsi="仿宋" w:eastAsia="仿宋" w:cs="仿宋"/>
                <w:color w:val="auto"/>
                <w:spacing w:val="8"/>
                <w:sz w:val="24"/>
                <w:szCs w:val="24"/>
                <w:highlight w:val="none"/>
              </w:rPr>
              <w:t>计），w/%≤</w:t>
            </w:r>
          </w:p>
        </w:tc>
        <w:tc>
          <w:tcPr>
            <w:tcW w:w="3885" w:type="dxa"/>
            <w:noWrap w:val="0"/>
            <w:vAlign w:val="center"/>
          </w:tcPr>
          <w:p w14:paraId="1DE92AAB">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0.05</w:t>
            </w:r>
          </w:p>
        </w:tc>
      </w:tr>
      <w:tr w14:paraId="014F5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760" w:type="dxa"/>
            <w:gridSpan w:val="2"/>
            <w:noWrap w:val="0"/>
            <w:vAlign w:val="center"/>
          </w:tcPr>
          <w:p w14:paraId="1A7ABA62">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5016" w:type="dxa"/>
            <w:noWrap w:val="0"/>
            <w:vAlign w:val="center"/>
          </w:tcPr>
          <w:p w14:paraId="74351C36">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三氧化二铁（以</w:t>
            </w:r>
            <w:r>
              <w:rPr>
                <w:rFonts w:hint="eastAsia" w:ascii="仿宋" w:hAnsi="仿宋" w:eastAsia="仿宋" w:cs="仿宋"/>
                <w:color w:val="auto"/>
                <w:sz w:val="24"/>
                <w:szCs w:val="24"/>
                <w:highlight w:val="none"/>
              </w:rPr>
              <w:t>Fe</w:t>
            </w:r>
            <w:r>
              <w:rPr>
                <w:rFonts w:hint="eastAsia" w:ascii="仿宋" w:hAnsi="仿宋" w:eastAsia="仿宋" w:cs="仿宋"/>
                <w:color w:val="auto"/>
                <w:spacing w:val="5"/>
                <w:sz w:val="24"/>
                <w:szCs w:val="24"/>
                <w:highlight w:val="none"/>
              </w:rPr>
              <w:t>2 O3</w:t>
            </w:r>
            <w:r>
              <w:rPr>
                <w:rFonts w:hint="eastAsia" w:ascii="仿宋" w:hAnsi="仿宋" w:eastAsia="仿宋" w:cs="仿宋"/>
                <w:color w:val="auto"/>
                <w:spacing w:val="10"/>
                <w:sz w:val="24"/>
                <w:szCs w:val="24"/>
                <w:highlight w:val="none"/>
              </w:rPr>
              <w:t xml:space="preserve"> </w:t>
            </w:r>
            <w:r>
              <w:rPr>
                <w:rFonts w:hint="eastAsia" w:ascii="仿宋" w:hAnsi="仿宋" w:eastAsia="仿宋" w:cs="仿宋"/>
                <w:color w:val="auto"/>
                <w:spacing w:val="5"/>
                <w:sz w:val="24"/>
                <w:szCs w:val="24"/>
                <w:highlight w:val="none"/>
              </w:rPr>
              <w:t>计）/（</w:t>
            </w:r>
            <w:r>
              <w:rPr>
                <w:rFonts w:hint="eastAsia" w:ascii="仿宋" w:hAnsi="仿宋" w:eastAsia="仿宋" w:cs="仿宋"/>
                <w:color w:val="auto"/>
                <w:sz w:val="24"/>
                <w:szCs w:val="24"/>
                <w:highlight w:val="none"/>
              </w:rPr>
              <w:t>mg</w:t>
            </w:r>
            <w:r>
              <w:rPr>
                <w:rFonts w:hint="eastAsia" w:ascii="仿宋" w:hAnsi="仿宋" w:eastAsia="仿宋" w:cs="仿宋"/>
                <w:color w:val="auto"/>
                <w:spacing w:val="5"/>
                <w:sz w:val="24"/>
                <w:szCs w:val="24"/>
                <w:highlight w:val="none"/>
              </w:rPr>
              <w:t>/</w:t>
            </w:r>
            <w:r>
              <w:rPr>
                <w:rFonts w:hint="eastAsia" w:ascii="仿宋" w:hAnsi="仿宋" w:eastAsia="仿宋" w:cs="仿宋"/>
                <w:color w:val="auto"/>
                <w:sz w:val="24"/>
                <w:szCs w:val="24"/>
                <w:highlight w:val="none"/>
              </w:rPr>
              <w:t>kg</w:t>
            </w:r>
            <w:r>
              <w:rPr>
                <w:rFonts w:hint="eastAsia" w:ascii="仿宋" w:hAnsi="仿宋" w:eastAsia="仿宋" w:cs="仿宋"/>
                <w:color w:val="auto"/>
                <w:spacing w:val="5"/>
                <w:sz w:val="24"/>
                <w:szCs w:val="24"/>
                <w:highlight w:val="none"/>
              </w:rPr>
              <w:t>）≤</w:t>
            </w:r>
          </w:p>
        </w:tc>
        <w:tc>
          <w:tcPr>
            <w:tcW w:w="3885" w:type="dxa"/>
            <w:noWrap w:val="0"/>
            <w:vAlign w:val="center"/>
          </w:tcPr>
          <w:p w14:paraId="422109C6">
            <w:pPr>
              <w:pStyle w:val="279"/>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0.05</w:t>
            </w:r>
          </w:p>
        </w:tc>
      </w:tr>
      <w:tr w14:paraId="58378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54" w:hRule="atLeast"/>
          <w:jc w:val="center"/>
        </w:trPr>
        <w:tc>
          <w:tcPr>
            <w:tcW w:w="9661" w:type="dxa"/>
            <w:gridSpan w:val="4"/>
            <w:noWrap w:val="0"/>
            <w:vAlign w:val="center"/>
          </w:tcPr>
          <w:p w14:paraId="4B35D36B">
            <w:pPr>
              <w:pStyle w:val="279"/>
              <w:keepNext w:val="0"/>
              <w:keepLines w:val="0"/>
              <w:pageBreakBefore w:val="0"/>
              <w:widowControl w:val="0"/>
              <w:kinsoku/>
              <w:wordWrap/>
              <w:overflowPunct/>
              <w:topLinePunct w:val="0"/>
              <w:autoSpaceDE/>
              <w:autoSpaceDN/>
              <w:bidi w:val="0"/>
              <w:adjustRightInd/>
              <w:snapToGrid/>
              <w:spacing w:line="360" w:lineRule="exact"/>
              <w:ind w:left="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按氢氧化钠的标示值折算。</w:t>
            </w:r>
          </w:p>
        </w:tc>
      </w:tr>
    </w:tbl>
    <w:p w14:paraId="05329E51">
      <w:pPr>
        <w:keepNext w:val="0"/>
        <w:keepLines w:val="0"/>
        <w:pageBreakBefore w:val="0"/>
        <w:widowControl w:val="0"/>
        <w:kinsoku/>
        <w:wordWrap/>
        <w:overflowPunct/>
        <w:topLinePunct w:val="0"/>
        <w:autoSpaceDE/>
        <w:autoSpaceDN/>
        <w:bidi w:val="0"/>
        <w:adjustRightInd/>
        <w:snapToGrid/>
        <w:spacing w:line="420" w:lineRule="exact"/>
        <w:ind w:left="0" w:right="0" w:firstLine="472"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2"/>
          <w:sz w:val="24"/>
          <w:szCs w:val="24"/>
          <w:highlight w:val="none"/>
        </w:rPr>
        <w:t>开标时提供投标样品一袋，现场开袋检查，样品需满足★条款，投标人所供产品须为</w:t>
      </w:r>
      <w:r>
        <w:rPr>
          <w:rFonts w:hint="eastAsia" w:ascii="仿宋" w:hAnsi="仿宋" w:eastAsia="仿宋" w:cs="仿宋"/>
          <w:b w:val="0"/>
          <w:bCs w:val="0"/>
          <w:color w:val="auto"/>
          <w:spacing w:val="-3"/>
          <w:sz w:val="24"/>
          <w:szCs w:val="24"/>
          <w:highlight w:val="none"/>
        </w:rPr>
        <w:t>国标正品，提供下列资料复印件并加盖投标</w:t>
      </w:r>
      <w:r>
        <w:rPr>
          <w:rFonts w:hint="eastAsia" w:ascii="仿宋" w:hAnsi="仿宋" w:eastAsia="仿宋" w:cs="仿宋"/>
          <w:b w:val="0"/>
          <w:bCs w:val="0"/>
          <w:color w:val="auto"/>
          <w:spacing w:val="-3"/>
          <w:sz w:val="24"/>
          <w:szCs w:val="24"/>
          <w:highlight w:val="none"/>
          <w:lang w:val="en-US" w:eastAsia="zh-CN"/>
        </w:rPr>
        <w:t>人</w:t>
      </w:r>
      <w:r>
        <w:rPr>
          <w:rFonts w:hint="eastAsia" w:ascii="仿宋" w:hAnsi="仿宋" w:eastAsia="仿宋" w:cs="仿宋"/>
          <w:b w:val="0"/>
          <w:bCs w:val="0"/>
          <w:color w:val="auto"/>
          <w:spacing w:val="-3"/>
          <w:sz w:val="24"/>
          <w:szCs w:val="24"/>
          <w:highlight w:val="none"/>
        </w:rPr>
        <w:t>公章：</w:t>
      </w:r>
    </w:p>
    <w:p w14:paraId="3C6484F0">
      <w:pPr>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0" w:leftChars="0" w:right="0" w:firstLine="468"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3"/>
          <w:sz w:val="24"/>
          <w:szCs w:val="24"/>
          <w:highlight w:val="none"/>
          <w:lang w:val="en-US" w:eastAsia="zh-CN"/>
        </w:rPr>
        <w:t>第三方出具的检测报告；</w:t>
      </w:r>
    </w:p>
    <w:p w14:paraId="35C22E21">
      <w:pPr>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0" w:leftChars="0" w:right="0" w:firstLine="468"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3"/>
          <w:sz w:val="24"/>
          <w:szCs w:val="24"/>
          <w:highlight w:val="none"/>
        </w:rPr>
        <w:t>生产企业的营业执照；</w:t>
      </w:r>
    </w:p>
    <w:p w14:paraId="1364F9DA">
      <w:pPr>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0" w:leftChars="0" w:right="0" w:firstLine="468"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3"/>
          <w:sz w:val="24"/>
          <w:szCs w:val="24"/>
          <w:highlight w:val="none"/>
        </w:rPr>
        <w:t>生产企业的安全生产许可证；</w:t>
      </w:r>
    </w:p>
    <w:p w14:paraId="04B707EB">
      <w:pPr>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0" w:leftChars="0" w:right="0" w:firstLine="468"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3"/>
          <w:sz w:val="24"/>
          <w:szCs w:val="24"/>
          <w:highlight w:val="none"/>
        </w:rPr>
        <w:t>生产企业的安全技术说明书；</w:t>
      </w:r>
    </w:p>
    <w:p w14:paraId="57B830BE">
      <w:pPr>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0" w:leftChars="0" w:right="0" w:firstLine="468"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3"/>
          <w:sz w:val="24"/>
          <w:szCs w:val="24"/>
          <w:highlight w:val="none"/>
        </w:rPr>
        <w:t>生产企业的质量管理体系认证证书；</w:t>
      </w:r>
    </w:p>
    <w:p w14:paraId="3E898F5D">
      <w:pPr>
        <w:keepNext w:val="0"/>
        <w:keepLines w:val="0"/>
        <w:pageBreakBefore w:val="0"/>
        <w:widowControl w:val="0"/>
        <w:kinsoku/>
        <w:wordWrap/>
        <w:overflowPunct/>
        <w:topLinePunct w:val="0"/>
        <w:autoSpaceDE/>
        <w:autoSpaceDN/>
        <w:bidi w:val="0"/>
        <w:adjustRightInd/>
        <w:snapToGrid/>
        <w:spacing w:line="420" w:lineRule="exact"/>
        <w:ind w:left="0" w:right="0" w:firstLine="468" w:firstLineChars="200"/>
        <w:textAlignment w:val="auto"/>
        <w:rPr>
          <w:rFonts w:hint="eastAsia" w:ascii="仿宋" w:hAnsi="仿宋" w:eastAsia="仿宋" w:cs="仿宋"/>
          <w:b w:val="0"/>
          <w:bCs w:val="0"/>
          <w:color w:val="auto"/>
          <w:spacing w:val="-3"/>
          <w:sz w:val="24"/>
          <w:szCs w:val="24"/>
          <w:highlight w:val="none"/>
        </w:rPr>
      </w:pPr>
      <w:r>
        <w:rPr>
          <w:rFonts w:hint="eastAsia" w:ascii="仿宋" w:hAnsi="仿宋" w:eastAsia="仿宋" w:cs="仿宋"/>
          <w:b w:val="0"/>
          <w:bCs w:val="0"/>
          <w:color w:val="auto"/>
          <w:spacing w:val="-3"/>
          <w:sz w:val="24"/>
          <w:szCs w:val="24"/>
          <w:highlight w:val="none"/>
        </w:rPr>
        <w:t>以上资料须在有效期内，不满足作废标处理。</w:t>
      </w:r>
    </w:p>
    <w:p w14:paraId="4665318A">
      <w:pPr>
        <w:keepNext w:val="0"/>
        <w:keepLines w:val="0"/>
        <w:pageBreakBefore w:val="0"/>
        <w:widowControl w:val="0"/>
        <w:numPr>
          <w:ilvl w:val="2"/>
          <w:numId w:val="17"/>
        </w:numPr>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rPr>
      </w:pPr>
      <w:r>
        <w:rPr>
          <w:rFonts w:hint="eastAsia" w:ascii="仿宋" w:hAnsi="仿宋" w:eastAsia="仿宋" w:cs="仿宋"/>
          <w:b/>
          <w:bCs/>
          <w:color w:val="auto"/>
          <w:spacing w:val="-4"/>
          <w:sz w:val="24"/>
          <w:szCs w:val="24"/>
          <w:highlight w:val="none"/>
        </w:rPr>
        <w:t>清单内第5</w:t>
      </w:r>
      <w:r>
        <w:rPr>
          <w:rFonts w:hint="eastAsia" w:ascii="仿宋" w:hAnsi="仿宋" w:eastAsia="仿宋" w:cs="仿宋"/>
          <w:b/>
          <w:bCs/>
          <w:color w:val="auto"/>
          <w:spacing w:val="-4"/>
          <w:sz w:val="24"/>
          <w:szCs w:val="24"/>
          <w:highlight w:val="none"/>
          <w:lang w:val="en-US" w:eastAsia="zh-CN"/>
        </w:rPr>
        <w:t>1</w:t>
      </w:r>
      <w:r>
        <w:rPr>
          <w:rFonts w:hint="eastAsia" w:ascii="仿宋" w:hAnsi="仿宋" w:eastAsia="仿宋" w:cs="仿宋"/>
          <w:b/>
          <w:bCs/>
          <w:color w:val="auto"/>
          <w:spacing w:val="-4"/>
          <w:sz w:val="24"/>
          <w:szCs w:val="24"/>
          <w:highlight w:val="none"/>
        </w:rPr>
        <w:t>-</w:t>
      </w:r>
      <w:r>
        <w:rPr>
          <w:rFonts w:hint="eastAsia" w:ascii="仿宋" w:hAnsi="仿宋" w:eastAsia="仿宋" w:cs="仿宋"/>
          <w:b/>
          <w:bCs/>
          <w:color w:val="auto"/>
          <w:spacing w:val="-4"/>
          <w:sz w:val="24"/>
          <w:szCs w:val="24"/>
          <w:highlight w:val="none"/>
          <w:lang w:val="en-US" w:eastAsia="zh-CN"/>
        </w:rPr>
        <w:t>55</w:t>
      </w:r>
      <w:r>
        <w:rPr>
          <w:rFonts w:hint="eastAsia" w:ascii="仿宋" w:hAnsi="仿宋" w:eastAsia="仿宋" w:cs="仿宋"/>
          <w:b/>
          <w:bCs/>
          <w:color w:val="auto"/>
          <w:spacing w:val="-4"/>
          <w:sz w:val="24"/>
          <w:szCs w:val="24"/>
          <w:highlight w:val="none"/>
        </w:rPr>
        <w:t>项产品，中标人供货时需提供出厂合格证</w:t>
      </w:r>
      <w:r>
        <w:rPr>
          <w:rFonts w:hint="eastAsia" w:ascii="仿宋" w:hAnsi="仿宋" w:eastAsia="仿宋" w:cs="仿宋"/>
          <w:b/>
          <w:bCs/>
          <w:color w:val="auto"/>
          <w:spacing w:val="-4"/>
          <w:sz w:val="24"/>
          <w:szCs w:val="24"/>
          <w:highlight w:val="none"/>
          <w:lang w:eastAsia="zh-CN"/>
        </w:rPr>
        <w:t>，</w:t>
      </w:r>
      <w:r>
        <w:rPr>
          <w:rFonts w:hint="eastAsia" w:ascii="仿宋" w:hAnsi="仿宋" w:eastAsia="仿宋" w:cs="仿宋"/>
          <w:b/>
          <w:bCs/>
          <w:color w:val="auto"/>
          <w:spacing w:val="-4"/>
          <w:sz w:val="24"/>
          <w:szCs w:val="24"/>
          <w:highlight w:val="none"/>
        </w:rPr>
        <w:t>无合格证的产品采购人不予接受。</w:t>
      </w:r>
    </w:p>
    <w:p w14:paraId="48749621">
      <w:pPr>
        <w:keepNext w:val="0"/>
        <w:keepLines w:val="0"/>
        <w:pageBreakBefore w:val="0"/>
        <w:widowControl/>
        <w:numPr>
          <w:ilvl w:val="0"/>
          <w:numId w:val="1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标项2：垃圾收集专用物资</w:t>
      </w:r>
    </w:p>
    <w:p w14:paraId="07B5A782">
      <w:pPr>
        <w:keepNext w:val="0"/>
        <w:keepLines w:val="0"/>
        <w:pageBreakBefore w:val="0"/>
        <w:widowControl/>
        <w:numPr>
          <w:ilvl w:val="1"/>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采购清单及最高单价限价</w:t>
      </w:r>
    </w:p>
    <w:tbl>
      <w:tblPr>
        <w:tblStyle w:val="50"/>
        <w:tblW w:w="99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
        <w:gridCol w:w="3025"/>
        <w:gridCol w:w="3806"/>
        <w:gridCol w:w="748"/>
        <w:gridCol w:w="1491"/>
      </w:tblGrid>
      <w:tr w14:paraId="02295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noWrap/>
            <w:vAlign w:val="center"/>
          </w:tcPr>
          <w:p w14:paraId="0F5B89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3025" w:type="dxa"/>
            <w:vMerge w:val="restart"/>
            <w:tcBorders>
              <w:top w:val="single" w:color="000000" w:sz="4" w:space="0"/>
              <w:left w:val="single" w:color="000000" w:sz="4" w:space="0"/>
              <w:bottom w:val="single" w:color="000000" w:sz="4" w:space="0"/>
              <w:right w:val="single" w:color="000000" w:sz="4" w:space="0"/>
            </w:tcBorders>
            <w:noWrap/>
            <w:vAlign w:val="center"/>
          </w:tcPr>
          <w:p w14:paraId="39F0D0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名称</w:t>
            </w:r>
          </w:p>
        </w:tc>
        <w:tc>
          <w:tcPr>
            <w:tcW w:w="3806" w:type="dxa"/>
            <w:vMerge w:val="restart"/>
            <w:tcBorders>
              <w:top w:val="single" w:color="000000" w:sz="4" w:space="0"/>
              <w:left w:val="single" w:color="000000" w:sz="4" w:space="0"/>
              <w:bottom w:val="single" w:color="000000" w:sz="4" w:space="0"/>
              <w:right w:val="single" w:color="000000" w:sz="4" w:space="0"/>
            </w:tcBorders>
            <w:noWrap/>
            <w:vAlign w:val="center"/>
          </w:tcPr>
          <w:p w14:paraId="62F636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规格型号</w:t>
            </w:r>
          </w:p>
        </w:tc>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14:paraId="36018C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491" w:type="dxa"/>
            <w:vMerge w:val="restart"/>
            <w:tcBorders>
              <w:top w:val="single" w:color="000000" w:sz="4" w:space="0"/>
              <w:left w:val="single" w:color="000000" w:sz="4" w:space="0"/>
              <w:bottom w:val="single" w:color="000000" w:sz="4" w:space="0"/>
              <w:right w:val="single" w:color="000000" w:sz="4" w:space="0"/>
            </w:tcBorders>
            <w:noWrap w:val="0"/>
            <w:vAlign w:val="center"/>
          </w:tcPr>
          <w:p w14:paraId="4D42FE3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最高单价限价（元）</w:t>
            </w:r>
          </w:p>
        </w:tc>
      </w:tr>
      <w:tr w14:paraId="59116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noWrap/>
            <w:vAlign w:val="center"/>
          </w:tcPr>
          <w:p w14:paraId="4DD116DA">
            <w:pPr>
              <w:jc w:val="center"/>
              <w:rPr>
                <w:rFonts w:hint="eastAsia" w:ascii="仿宋" w:hAnsi="仿宋" w:eastAsia="仿宋" w:cs="仿宋"/>
                <w:i w:val="0"/>
                <w:iCs w:val="0"/>
                <w:color w:val="auto"/>
                <w:sz w:val="24"/>
                <w:szCs w:val="24"/>
                <w:highlight w:val="none"/>
                <w:u w:val="none"/>
              </w:rPr>
            </w:pPr>
          </w:p>
        </w:tc>
        <w:tc>
          <w:tcPr>
            <w:tcW w:w="3025" w:type="dxa"/>
            <w:vMerge w:val="continue"/>
            <w:tcBorders>
              <w:top w:val="single" w:color="000000" w:sz="4" w:space="0"/>
              <w:left w:val="single" w:color="000000" w:sz="4" w:space="0"/>
              <w:bottom w:val="single" w:color="000000" w:sz="4" w:space="0"/>
              <w:right w:val="single" w:color="000000" w:sz="4" w:space="0"/>
            </w:tcBorders>
            <w:noWrap/>
            <w:vAlign w:val="center"/>
          </w:tcPr>
          <w:p w14:paraId="6C9CB148">
            <w:pPr>
              <w:jc w:val="center"/>
              <w:rPr>
                <w:rFonts w:hint="eastAsia" w:ascii="仿宋" w:hAnsi="仿宋" w:eastAsia="仿宋" w:cs="仿宋"/>
                <w:i w:val="0"/>
                <w:iCs w:val="0"/>
                <w:color w:val="auto"/>
                <w:sz w:val="24"/>
                <w:szCs w:val="24"/>
                <w:highlight w:val="none"/>
                <w:u w:val="none"/>
              </w:rPr>
            </w:pPr>
          </w:p>
        </w:tc>
        <w:tc>
          <w:tcPr>
            <w:tcW w:w="3806" w:type="dxa"/>
            <w:vMerge w:val="continue"/>
            <w:tcBorders>
              <w:top w:val="single" w:color="000000" w:sz="4" w:space="0"/>
              <w:left w:val="single" w:color="000000" w:sz="4" w:space="0"/>
              <w:bottom w:val="single" w:color="000000" w:sz="4" w:space="0"/>
              <w:right w:val="single" w:color="000000" w:sz="4" w:space="0"/>
            </w:tcBorders>
            <w:noWrap/>
            <w:vAlign w:val="center"/>
          </w:tcPr>
          <w:p w14:paraId="6E81E851">
            <w:pPr>
              <w:jc w:val="center"/>
              <w:rPr>
                <w:rFonts w:hint="eastAsia" w:ascii="仿宋" w:hAnsi="仿宋" w:eastAsia="仿宋" w:cs="仿宋"/>
                <w:i w:val="0"/>
                <w:iCs w:val="0"/>
                <w:color w:val="auto"/>
                <w:sz w:val="24"/>
                <w:szCs w:val="24"/>
                <w:highlight w:val="none"/>
                <w:u w:val="none"/>
              </w:rPr>
            </w:pP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A79072">
            <w:pPr>
              <w:jc w:val="center"/>
              <w:rPr>
                <w:rFonts w:hint="eastAsia" w:ascii="仿宋" w:hAnsi="仿宋" w:eastAsia="仿宋" w:cs="仿宋"/>
                <w:i w:val="0"/>
                <w:iCs w:val="0"/>
                <w:color w:val="auto"/>
                <w:sz w:val="24"/>
                <w:szCs w:val="24"/>
                <w:highlight w:val="none"/>
                <w:u w:val="none"/>
              </w:rPr>
            </w:pPr>
          </w:p>
        </w:tc>
        <w:tc>
          <w:tcPr>
            <w:tcW w:w="14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012213">
            <w:pPr>
              <w:jc w:val="center"/>
              <w:rPr>
                <w:rFonts w:hint="eastAsia" w:ascii="仿宋" w:hAnsi="仿宋" w:eastAsia="仿宋" w:cs="仿宋"/>
                <w:i w:val="0"/>
                <w:iCs w:val="0"/>
                <w:color w:val="auto"/>
                <w:sz w:val="24"/>
                <w:szCs w:val="24"/>
                <w:highlight w:val="none"/>
                <w:u w:val="none"/>
              </w:rPr>
            </w:pPr>
          </w:p>
        </w:tc>
      </w:tr>
      <w:tr w14:paraId="0F30C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156DC691">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788B2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钢结构果壳箱</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CDA17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980mm×400mm×980mm（±5mm）</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63B228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5618790A">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650.00</w:t>
            </w:r>
          </w:p>
        </w:tc>
      </w:tr>
      <w:tr w14:paraId="4D684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7D9B6E7F">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EB520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果壳箱内胆</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A144D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玻璃钢材质，容积≥30L</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42E724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42DE5CB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80.00</w:t>
            </w:r>
          </w:p>
        </w:tc>
      </w:tr>
      <w:tr w14:paraId="07E26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0EC6A235">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BF4A9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果壳箱门锁</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279AB5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专用三角锁，配通用钥匙</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6CFBCD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40640C3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6.00</w:t>
            </w:r>
          </w:p>
        </w:tc>
      </w:tr>
      <w:tr w14:paraId="0425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2F6821C7">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BE2BE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240L垃圾桶（含桶盖）</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1FD6E9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长：750mm；宽：595mm；前沿高度1010mm/把手高度1040mm</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19C898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470448E6">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190.00</w:t>
            </w:r>
          </w:p>
        </w:tc>
      </w:tr>
      <w:tr w14:paraId="076E9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12D55127">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11382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120L钢结构果壳箱</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7CCC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脚踏式开盖，不锈钢箱体</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1CE3A9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1D610A35">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2000.00</w:t>
            </w:r>
          </w:p>
        </w:tc>
      </w:tr>
      <w:tr w14:paraId="16BCB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3265D449">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F2635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黑色垃圾袋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24967FB">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36cm*50cm</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147702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38572FA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0.20</w:t>
            </w:r>
          </w:p>
        </w:tc>
      </w:tr>
      <w:tr w14:paraId="2F5CC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002D955E">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EF8D3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灰色垃圾袋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40A79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100cm*120cm（2.2C）</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689564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099075E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0.70</w:t>
            </w:r>
          </w:p>
        </w:tc>
      </w:tr>
      <w:tr w14:paraId="7D1A5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65A32A2B">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4B7D9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白色果壳箱垃圾袋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7C271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60cm*104cm（2.2C）</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46DF07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3BE21C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0.60</w:t>
            </w:r>
          </w:p>
        </w:tc>
      </w:tr>
      <w:tr w14:paraId="4801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73C73E99">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F1F5F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新能源扫路机扫盘</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31129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直径400内孔50共4圈，每圈100孔，每孔28根全新料PBT刷丝，长度19cm</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52B58E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51E3883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250.00</w:t>
            </w:r>
          </w:p>
        </w:tc>
      </w:tr>
      <w:tr w14:paraId="30E59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34538A2A">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8B60B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小型扫路机扫盘</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26CC0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直径500，内孔25，4个定位孔共4圈刷丝，内外2圈C70#锰钢丝，中间2圈灰色波纹PP丝，每圈60孔，每孔不少于12根，长度不短于28cm</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0EB981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3DB5C216">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400.00</w:t>
            </w:r>
          </w:p>
        </w:tc>
      </w:tr>
      <w:tr w14:paraId="3ED35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7" w:type="dxa"/>
            <w:tcBorders>
              <w:top w:val="single" w:color="000000" w:sz="4" w:space="0"/>
              <w:left w:val="single" w:color="000000" w:sz="4" w:space="0"/>
              <w:bottom w:val="single" w:color="000000" w:sz="4" w:space="0"/>
              <w:right w:val="single" w:color="000000" w:sz="4" w:space="0"/>
            </w:tcBorders>
            <w:noWrap/>
            <w:vAlign w:val="center"/>
          </w:tcPr>
          <w:p w14:paraId="4B3E348B">
            <w:pPr>
              <w:keepNext w:val="0"/>
              <w:keepLines w:val="0"/>
              <w:widowControl/>
              <w:numPr>
                <w:ilvl w:val="0"/>
                <w:numId w:val="20"/>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BCCF1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4吨扫路机扫盘</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0FEB7A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盘扫参数值：外径350mm内孔52mm，盘厚：23mm—25mm四个直径110mm定位孔，全新PP丝</w:t>
            </w:r>
          </w:p>
        </w:tc>
        <w:tc>
          <w:tcPr>
            <w:tcW w:w="748" w:type="dxa"/>
            <w:tcBorders>
              <w:top w:val="single" w:color="000000" w:sz="4" w:space="0"/>
              <w:left w:val="single" w:color="000000" w:sz="4" w:space="0"/>
              <w:bottom w:val="single" w:color="000000" w:sz="4" w:space="0"/>
              <w:right w:val="single" w:color="000000" w:sz="4" w:space="0"/>
            </w:tcBorders>
            <w:noWrap/>
            <w:vAlign w:val="center"/>
          </w:tcPr>
          <w:p w14:paraId="3CC378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284937D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300.00</w:t>
            </w:r>
          </w:p>
        </w:tc>
      </w:tr>
    </w:tbl>
    <w:p w14:paraId="3772F0B9">
      <w:pPr>
        <w:keepNext w:val="0"/>
        <w:keepLines w:val="0"/>
        <w:pageBreakBefore w:val="0"/>
        <w:widowControl w:val="0"/>
        <w:kinsoku/>
        <w:wordWrap/>
        <w:overflowPunct/>
        <w:topLinePunct w:val="0"/>
        <w:autoSpaceDE/>
        <w:autoSpaceDN/>
        <w:bidi w:val="0"/>
        <w:adjustRightInd/>
        <w:snapToGrid/>
        <w:spacing w:line="420" w:lineRule="exact"/>
        <w:ind w:left="0" w:right="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4"/>
          <w:sz w:val="24"/>
          <w:szCs w:val="24"/>
          <w:highlight w:val="none"/>
        </w:rPr>
        <w:t>样品提供：</w:t>
      </w:r>
    </w:p>
    <w:tbl>
      <w:tblPr>
        <w:tblStyle w:val="280"/>
        <w:tblW w:w="99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8127"/>
        <w:gridCol w:w="1084"/>
      </w:tblGrid>
      <w:tr w14:paraId="442AF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716" w:type="dxa"/>
            <w:noWrap w:val="0"/>
            <w:vAlign w:val="center"/>
          </w:tcPr>
          <w:p w14:paraId="08E56139">
            <w:pPr>
              <w:pStyle w:val="279"/>
              <w:keepNext w:val="0"/>
              <w:keepLines w:val="0"/>
              <w:pageBreakBefore w:val="0"/>
              <w:widowControl w:val="0"/>
              <w:kinsoku/>
              <w:wordWrap/>
              <w:overflowPunct/>
              <w:topLinePunct w:val="0"/>
              <w:autoSpaceDE/>
              <w:autoSpaceDN/>
              <w:bidi w:val="0"/>
              <w:adjustRightInd/>
              <w:snapToGrid/>
              <w:spacing w:line="420" w:lineRule="exact"/>
              <w:ind w:left="0" w:right="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6"/>
                <w:sz w:val="24"/>
                <w:szCs w:val="24"/>
                <w:highlight w:val="none"/>
                <w:lang w:val="en-US" w:eastAsia="zh-CN"/>
              </w:rPr>
              <w:t>序号</w:t>
            </w:r>
          </w:p>
        </w:tc>
        <w:tc>
          <w:tcPr>
            <w:tcW w:w="8127" w:type="dxa"/>
            <w:noWrap w:val="0"/>
            <w:vAlign w:val="center"/>
          </w:tcPr>
          <w:p w14:paraId="0711AD66">
            <w:pPr>
              <w:pStyle w:val="279"/>
              <w:keepNext w:val="0"/>
              <w:keepLines w:val="0"/>
              <w:pageBreakBefore w:val="0"/>
              <w:widowControl w:val="0"/>
              <w:kinsoku/>
              <w:wordWrap/>
              <w:overflowPunct/>
              <w:topLinePunct w:val="0"/>
              <w:autoSpaceDE/>
              <w:autoSpaceDN/>
              <w:bidi w:val="0"/>
              <w:adjustRightInd/>
              <w:snapToGrid/>
              <w:spacing w:line="42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名称</w:t>
            </w:r>
          </w:p>
        </w:tc>
        <w:tc>
          <w:tcPr>
            <w:tcW w:w="1084" w:type="dxa"/>
            <w:noWrap w:val="0"/>
            <w:vAlign w:val="center"/>
          </w:tcPr>
          <w:p w14:paraId="00993C67">
            <w:pPr>
              <w:pStyle w:val="279"/>
              <w:keepNext w:val="0"/>
              <w:keepLines w:val="0"/>
              <w:pageBreakBefore w:val="0"/>
              <w:widowControl w:val="0"/>
              <w:kinsoku/>
              <w:wordWrap/>
              <w:overflowPunct/>
              <w:topLinePunct w:val="0"/>
              <w:autoSpaceDE/>
              <w:autoSpaceDN/>
              <w:bidi w:val="0"/>
              <w:adjustRightInd/>
              <w:snapToGrid/>
              <w:spacing w:line="42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数量</w:t>
            </w:r>
          </w:p>
        </w:tc>
      </w:tr>
      <w:tr w14:paraId="26B60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716" w:type="dxa"/>
            <w:noWrap w:val="0"/>
            <w:vAlign w:val="center"/>
          </w:tcPr>
          <w:p w14:paraId="23A3ECAA">
            <w:pPr>
              <w:keepNext w:val="0"/>
              <w:keepLines w:val="0"/>
              <w:widowControl/>
              <w:numPr>
                <w:ilvl w:val="0"/>
                <w:numId w:val="2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8127" w:type="dxa"/>
            <w:noWrap w:val="0"/>
            <w:vAlign w:val="center"/>
          </w:tcPr>
          <w:p w14:paraId="2EA54535">
            <w:pPr>
              <w:pStyle w:val="279"/>
              <w:keepNext w:val="0"/>
              <w:keepLines w:val="0"/>
              <w:pageBreakBefore w:val="0"/>
              <w:widowControl w:val="0"/>
              <w:kinsoku/>
              <w:wordWrap/>
              <w:overflowPunct/>
              <w:topLinePunct w:val="0"/>
              <w:autoSpaceDE/>
              <w:autoSpaceDN/>
              <w:bidi w:val="0"/>
              <w:adjustRightInd/>
              <w:snapToGrid/>
              <w:spacing w:line="42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钢结构果壳箱</w:t>
            </w:r>
          </w:p>
          <w:p w14:paraId="5409CD24">
            <w:pPr>
              <w:pStyle w:val="279"/>
              <w:keepNext w:val="0"/>
              <w:keepLines w:val="0"/>
              <w:pageBreakBefore w:val="0"/>
              <w:widowControl w:val="0"/>
              <w:kinsoku/>
              <w:wordWrap/>
              <w:overflowPunct/>
              <w:topLinePunct w:val="0"/>
              <w:autoSpaceDE/>
              <w:autoSpaceDN/>
              <w:bidi w:val="0"/>
              <w:adjustRightInd/>
              <w:snapToGrid/>
              <w:spacing w:line="420" w:lineRule="exact"/>
              <w:ind w:left="0" w:right="0" w:firstLine="2"/>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w:t>
            </w: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z w:val="24"/>
                <w:szCs w:val="24"/>
                <w:highlight w:val="none"/>
              </w:rPr>
              <w:t>提供</w:t>
            </w:r>
            <w:r>
              <w:rPr>
                <w:rFonts w:hint="eastAsia" w:ascii="仿宋" w:hAnsi="仿宋" w:eastAsia="仿宋" w:cs="仿宋"/>
                <w:color w:val="auto"/>
                <w:spacing w:val="-1"/>
                <w:sz w:val="24"/>
                <w:szCs w:val="24"/>
                <w:highlight w:val="none"/>
              </w:rPr>
              <w:t>符合参数要求的</w:t>
            </w:r>
            <w:r>
              <w:rPr>
                <w:rFonts w:hint="eastAsia" w:ascii="仿宋" w:hAnsi="仿宋" w:eastAsia="仿宋" w:cs="仿宋"/>
                <w:color w:val="auto"/>
                <w:sz w:val="24"/>
                <w:szCs w:val="24"/>
                <w:highlight w:val="none"/>
              </w:rPr>
              <w:t>样品，样品需满足★条款</w:t>
            </w:r>
            <w:r>
              <w:rPr>
                <w:rFonts w:hint="eastAsia" w:ascii="仿宋" w:hAnsi="仿宋" w:eastAsia="仿宋" w:cs="仿宋"/>
                <w:color w:val="auto"/>
                <w:spacing w:val="-1"/>
                <w:sz w:val="24"/>
                <w:szCs w:val="24"/>
                <w:highlight w:val="none"/>
              </w:rPr>
              <w:t>，并携带生产厂家样品检测</w:t>
            </w:r>
            <w:r>
              <w:rPr>
                <w:rFonts w:hint="eastAsia" w:ascii="仿宋" w:hAnsi="仿宋" w:eastAsia="仿宋" w:cs="仿宋"/>
                <w:color w:val="auto"/>
                <w:spacing w:val="3"/>
                <w:sz w:val="24"/>
                <w:szCs w:val="24"/>
                <w:highlight w:val="none"/>
              </w:rPr>
              <w:t>报告</w:t>
            </w:r>
            <w:r>
              <w:rPr>
                <w:rFonts w:hint="eastAsia" w:ascii="仿宋" w:hAnsi="仿宋" w:eastAsia="仿宋" w:cs="仿宋"/>
                <w:color w:val="auto"/>
                <w:spacing w:val="3"/>
                <w:sz w:val="24"/>
                <w:szCs w:val="24"/>
                <w:highlight w:val="none"/>
                <w:lang w:eastAsia="zh-CN"/>
              </w:rPr>
              <w:t>（</w:t>
            </w:r>
            <w:r>
              <w:rPr>
                <w:rFonts w:hint="eastAsia" w:ascii="仿宋" w:hAnsi="仿宋" w:eastAsia="仿宋" w:cs="仿宋"/>
                <w:color w:val="auto"/>
                <w:spacing w:val="3"/>
                <w:sz w:val="24"/>
                <w:szCs w:val="24"/>
                <w:highlight w:val="none"/>
              </w:rPr>
              <w:t>检测报告需要有二维码便于查询检测报告内容</w:t>
            </w:r>
            <w:r>
              <w:rPr>
                <w:rFonts w:hint="eastAsia" w:ascii="仿宋" w:hAnsi="仿宋" w:eastAsia="仿宋" w:cs="仿宋"/>
                <w:color w:val="auto"/>
                <w:spacing w:val="13"/>
                <w:sz w:val="24"/>
                <w:szCs w:val="24"/>
                <w:highlight w:val="none"/>
              </w:rPr>
              <w:t>），</w:t>
            </w:r>
            <w:r>
              <w:rPr>
                <w:rFonts w:hint="eastAsia" w:ascii="仿宋" w:hAnsi="仿宋" w:eastAsia="仿宋" w:cs="仿宋"/>
                <w:color w:val="auto"/>
                <w:spacing w:val="2"/>
                <w:sz w:val="24"/>
                <w:szCs w:val="24"/>
                <w:highlight w:val="none"/>
              </w:rPr>
              <w:t>不满足作废标处</w:t>
            </w:r>
            <w:r>
              <w:rPr>
                <w:rFonts w:hint="eastAsia" w:ascii="仿宋" w:hAnsi="仿宋" w:eastAsia="仿宋" w:cs="仿宋"/>
                <w:color w:val="auto"/>
                <w:spacing w:val="-4"/>
                <w:sz w:val="24"/>
                <w:szCs w:val="24"/>
                <w:highlight w:val="none"/>
              </w:rPr>
              <w:t>理。</w:t>
            </w:r>
          </w:p>
        </w:tc>
        <w:tc>
          <w:tcPr>
            <w:tcW w:w="1084" w:type="dxa"/>
            <w:noWrap w:val="0"/>
            <w:vAlign w:val="center"/>
          </w:tcPr>
          <w:p w14:paraId="675FC9A6">
            <w:pPr>
              <w:pStyle w:val="279"/>
              <w:keepNext w:val="0"/>
              <w:keepLines w:val="0"/>
              <w:pageBreakBefore w:val="0"/>
              <w:widowControl w:val="0"/>
              <w:kinsoku/>
              <w:wordWrap/>
              <w:overflowPunct/>
              <w:topLinePunct w:val="0"/>
              <w:autoSpaceDE/>
              <w:autoSpaceDN/>
              <w:bidi w:val="0"/>
              <w:adjustRightInd/>
              <w:snapToGrid/>
              <w:spacing w:line="42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一只</w:t>
            </w:r>
          </w:p>
        </w:tc>
      </w:tr>
      <w:tr w14:paraId="6AAC1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716" w:type="dxa"/>
            <w:noWrap w:val="0"/>
            <w:vAlign w:val="center"/>
          </w:tcPr>
          <w:p w14:paraId="42BA4682">
            <w:pPr>
              <w:keepNext w:val="0"/>
              <w:keepLines w:val="0"/>
              <w:widowControl/>
              <w:numPr>
                <w:ilvl w:val="0"/>
                <w:numId w:val="2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8127" w:type="dxa"/>
            <w:noWrap w:val="0"/>
            <w:vAlign w:val="center"/>
          </w:tcPr>
          <w:p w14:paraId="27625E3B">
            <w:pPr>
              <w:pStyle w:val="279"/>
              <w:keepNext w:val="0"/>
              <w:keepLines w:val="0"/>
              <w:pageBreakBefore w:val="0"/>
              <w:widowControl w:val="0"/>
              <w:kinsoku/>
              <w:wordWrap/>
              <w:overflowPunct/>
              <w:topLinePunct w:val="0"/>
              <w:autoSpaceDE/>
              <w:autoSpaceDN/>
              <w:bidi w:val="0"/>
              <w:adjustRightInd/>
              <w:snapToGrid/>
              <w:spacing w:line="42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240L垃圾桶</w:t>
            </w:r>
          </w:p>
          <w:p w14:paraId="68CA26AD">
            <w:pPr>
              <w:pStyle w:val="279"/>
              <w:keepNext w:val="0"/>
              <w:keepLines w:val="0"/>
              <w:pageBreakBefore w:val="0"/>
              <w:widowControl w:val="0"/>
              <w:kinsoku/>
              <w:wordWrap/>
              <w:overflowPunct/>
              <w:topLinePunct w:val="0"/>
              <w:autoSpaceDE/>
              <w:autoSpaceDN/>
              <w:bidi w:val="0"/>
              <w:adjustRightInd/>
              <w:snapToGrid/>
              <w:spacing w:line="420" w:lineRule="exact"/>
              <w:ind w:left="0" w:right="0" w:firstLine="8"/>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w:t>
            </w: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pacing w:val="-1"/>
                <w:sz w:val="24"/>
                <w:szCs w:val="24"/>
                <w:highlight w:val="none"/>
              </w:rPr>
              <w:t>提供符合参数要求的样品（须配套垃圾桶盖</w:t>
            </w:r>
            <w:r>
              <w:rPr>
                <w:rFonts w:hint="eastAsia" w:ascii="仿宋" w:hAnsi="仿宋" w:eastAsia="仿宋" w:cs="仿宋"/>
                <w:color w:val="auto"/>
                <w:spacing w:val="4"/>
                <w:sz w:val="24"/>
                <w:szCs w:val="24"/>
                <w:highlight w:val="none"/>
              </w:rPr>
              <w:t>），</w:t>
            </w:r>
            <w:r>
              <w:rPr>
                <w:rFonts w:hint="eastAsia" w:ascii="仿宋" w:hAnsi="仿宋" w:eastAsia="仿宋" w:cs="仿宋"/>
                <w:color w:val="auto"/>
                <w:spacing w:val="-1"/>
                <w:sz w:val="24"/>
                <w:szCs w:val="24"/>
                <w:highlight w:val="none"/>
              </w:rPr>
              <w:t>样品需满足★条款，颜色为原材料本色（纯白色、不</w:t>
            </w:r>
            <w:r>
              <w:rPr>
                <w:rFonts w:hint="eastAsia" w:ascii="仿宋" w:hAnsi="仿宋" w:eastAsia="仿宋" w:cs="仿宋"/>
                <w:color w:val="auto"/>
                <w:spacing w:val="-1"/>
                <w:sz w:val="24"/>
                <w:szCs w:val="24"/>
                <w:highlight w:val="none"/>
                <w:lang w:eastAsia="zh-CN"/>
              </w:rPr>
              <w:t>含其他</w:t>
            </w:r>
            <w:r>
              <w:rPr>
                <w:rFonts w:hint="eastAsia" w:ascii="仿宋" w:hAnsi="仿宋" w:eastAsia="仿宋" w:cs="仿宋"/>
                <w:color w:val="auto"/>
                <w:spacing w:val="-1"/>
                <w:sz w:val="24"/>
                <w:szCs w:val="24"/>
                <w:highlight w:val="none"/>
              </w:rPr>
              <w:t>色素</w:t>
            </w:r>
            <w:r>
              <w:rPr>
                <w:rFonts w:hint="eastAsia" w:ascii="仿宋" w:hAnsi="仿宋" w:eastAsia="仿宋" w:cs="仿宋"/>
                <w:color w:val="auto"/>
                <w:spacing w:val="6"/>
                <w:sz w:val="24"/>
                <w:szCs w:val="24"/>
                <w:highlight w:val="none"/>
              </w:rPr>
              <w:t>），</w:t>
            </w:r>
            <w:r>
              <w:rPr>
                <w:rFonts w:hint="eastAsia" w:ascii="仿宋" w:hAnsi="仿宋" w:eastAsia="仿宋" w:cs="仿宋"/>
                <w:color w:val="auto"/>
                <w:spacing w:val="-1"/>
                <w:sz w:val="24"/>
                <w:szCs w:val="24"/>
                <w:highlight w:val="none"/>
              </w:rPr>
              <w:t>不满足作废标处理。</w:t>
            </w:r>
          </w:p>
        </w:tc>
        <w:tc>
          <w:tcPr>
            <w:tcW w:w="1084" w:type="dxa"/>
            <w:noWrap w:val="0"/>
            <w:vAlign w:val="center"/>
          </w:tcPr>
          <w:p w14:paraId="1B028B06">
            <w:pPr>
              <w:pStyle w:val="279"/>
              <w:keepNext w:val="0"/>
              <w:keepLines w:val="0"/>
              <w:pageBreakBefore w:val="0"/>
              <w:widowControl w:val="0"/>
              <w:kinsoku/>
              <w:wordWrap/>
              <w:overflowPunct/>
              <w:topLinePunct w:val="0"/>
              <w:autoSpaceDE/>
              <w:autoSpaceDN/>
              <w:bidi w:val="0"/>
              <w:adjustRightInd/>
              <w:snapToGrid/>
              <w:spacing w:line="42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一只</w:t>
            </w:r>
          </w:p>
        </w:tc>
      </w:tr>
      <w:tr w14:paraId="4065A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716" w:type="dxa"/>
            <w:noWrap w:val="0"/>
            <w:vAlign w:val="center"/>
          </w:tcPr>
          <w:p w14:paraId="621CDF3A">
            <w:pPr>
              <w:keepNext w:val="0"/>
              <w:keepLines w:val="0"/>
              <w:widowControl/>
              <w:numPr>
                <w:ilvl w:val="0"/>
                <w:numId w:val="2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lang w:val="en-US" w:eastAsia="zh-CN"/>
              </w:rPr>
            </w:pPr>
          </w:p>
        </w:tc>
        <w:tc>
          <w:tcPr>
            <w:tcW w:w="8127" w:type="dxa"/>
            <w:noWrap w:val="0"/>
            <w:vAlign w:val="center"/>
          </w:tcPr>
          <w:p w14:paraId="3EE0F949">
            <w:pPr>
              <w:pStyle w:val="279"/>
              <w:keepNext w:val="0"/>
              <w:keepLines w:val="0"/>
              <w:pageBreakBefore w:val="0"/>
              <w:widowControl w:val="0"/>
              <w:kinsoku/>
              <w:wordWrap/>
              <w:overflowPunct/>
              <w:topLinePunct w:val="0"/>
              <w:autoSpaceDE/>
              <w:autoSpaceDN/>
              <w:bidi w:val="0"/>
              <w:adjustRightInd/>
              <w:snapToGrid/>
              <w:spacing w:line="420" w:lineRule="exact"/>
              <w:ind w:left="0" w:right="0" w:firstLine="8"/>
              <w:jc w:val="left"/>
              <w:textAlignment w:val="auto"/>
              <w:rPr>
                <w:rFonts w:hint="eastAsia" w:ascii="仿宋" w:hAnsi="仿宋" w:eastAsia="仿宋" w:cs="仿宋"/>
                <w:color w:val="auto"/>
                <w:spacing w:val="-1"/>
                <w:sz w:val="24"/>
                <w:szCs w:val="24"/>
                <w:highlight w:val="none"/>
                <w:lang w:val="en-US" w:eastAsia="zh-CN"/>
              </w:rPr>
            </w:pPr>
            <w:r>
              <w:rPr>
                <w:rFonts w:hint="eastAsia" w:ascii="仿宋" w:hAnsi="仿宋" w:eastAsia="仿宋" w:cs="仿宋"/>
                <w:color w:val="auto"/>
                <w:spacing w:val="-1"/>
                <w:sz w:val="24"/>
                <w:szCs w:val="24"/>
                <w:highlight w:val="none"/>
                <w:lang w:val="en-US" w:eastAsia="zh-CN"/>
              </w:rPr>
              <w:t>新能源扫路机扫盘</w:t>
            </w:r>
          </w:p>
          <w:p w14:paraId="37BD269C">
            <w:pPr>
              <w:pStyle w:val="279"/>
              <w:keepNext w:val="0"/>
              <w:keepLines w:val="0"/>
              <w:pageBreakBefore w:val="0"/>
              <w:widowControl w:val="0"/>
              <w:kinsoku/>
              <w:wordWrap/>
              <w:overflowPunct/>
              <w:topLinePunct w:val="0"/>
              <w:autoSpaceDE/>
              <w:autoSpaceDN/>
              <w:bidi w:val="0"/>
              <w:adjustRightInd/>
              <w:snapToGrid/>
              <w:spacing w:line="420" w:lineRule="exact"/>
              <w:ind w:left="0" w:right="0" w:firstLine="8"/>
              <w:jc w:val="left"/>
              <w:textAlignment w:val="auto"/>
              <w:rPr>
                <w:rFonts w:hint="eastAsia" w:ascii="仿宋" w:hAnsi="仿宋" w:eastAsia="仿宋" w:cs="仿宋"/>
                <w:color w:val="auto"/>
                <w:spacing w:val="-1"/>
                <w:sz w:val="24"/>
                <w:szCs w:val="24"/>
                <w:highlight w:val="none"/>
              </w:rPr>
            </w:pPr>
            <w:r>
              <w:rPr>
                <w:rFonts w:hint="eastAsia" w:ascii="仿宋" w:hAnsi="仿宋" w:eastAsia="仿宋" w:cs="仿宋"/>
                <w:color w:val="auto"/>
                <w:sz w:val="24"/>
                <w:szCs w:val="24"/>
                <w:highlight w:val="none"/>
              </w:rPr>
              <w:t>开标时</w:t>
            </w: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pacing w:val="-1"/>
                <w:sz w:val="24"/>
                <w:szCs w:val="24"/>
                <w:highlight w:val="none"/>
              </w:rPr>
              <w:t>提供符合参数要求的样品。</w:t>
            </w:r>
          </w:p>
        </w:tc>
        <w:tc>
          <w:tcPr>
            <w:tcW w:w="1084" w:type="dxa"/>
            <w:noWrap w:val="0"/>
            <w:vAlign w:val="center"/>
          </w:tcPr>
          <w:p w14:paraId="0086D875">
            <w:pPr>
              <w:pStyle w:val="279"/>
              <w:keepNext w:val="0"/>
              <w:keepLines w:val="0"/>
              <w:pageBreakBefore w:val="0"/>
              <w:widowControl w:val="0"/>
              <w:kinsoku/>
              <w:wordWrap/>
              <w:overflowPunct/>
              <w:topLinePunct w:val="0"/>
              <w:autoSpaceDE/>
              <w:autoSpaceDN/>
              <w:bidi w:val="0"/>
              <w:adjustRightInd/>
              <w:snapToGrid/>
              <w:spacing w:line="420" w:lineRule="exact"/>
              <w:ind w:left="0" w:right="0"/>
              <w:jc w:val="center"/>
              <w:textAlignment w:val="auto"/>
              <w:rPr>
                <w:rFonts w:hint="eastAsia" w:ascii="仿宋" w:hAnsi="仿宋" w:eastAsia="仿宋" w:cs="仿宋"/>
                <w:color w:val="auto"/>
                <w:spacing w:val="-7"/>
                <w:sz w:val="24"/>
                <w:szCs w:val="24"/>
                <w:highlight w:val="none"/>
              </w:rPr>
            </w:pPr>
            <w:r>
              <w:rPr>
                <w:rFonts w:hint="eastAsia" w:ascii="仿宋" w:hAnsi="仿宋" w:eastAsia="仿宋" w:cs="仿宋"/>
                <w:color w:val="auto"/>
                <w:spacing w:val="-7"/>
                <w:sz w:val="24"/>
                <w:szCs w:val="24"/>
                <w:highlight w:val="none"/>
              </w:rPr>
              <w:t>一只</w:t>
            </w:r>
          </w:p>
        </w:tc>
      </w:tr>
      <w:tr w14:paraId="0E4C8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716" w:type="dxa"/>
            <w:noWrap w:val="0"/>
            <w:vAlign w:val="center"/>
          </w:tcPr>
          <w:p w14:paraId="700B3953">
            <w:pPr>
              <w:keepNext w:val="0"/>
              <w:keepLines w:val="0"/>
              <w:widowControl/>
              <w:numPr>
                <w:ilvl w:val="0"/>
                <w:numId w:val="2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lang w:val="en-US" w:eastAsia="zh-CN"/>
              </w:rPr>
            </w:pPr>
          </w:p>
        </w:tc>
        <w:tc>
          <w:tcPr>
            <w:tcW w:w="8127" w:type="dxa"/>
            <w:noWrap w:val="0"/>
            <w:vAlign w:val="center"/>
          </w:tcPr>
          <w:p w14:paraId="2764311F">
            <w:pPr>
              <w:pStyle w:val="279"/>
              <w:keepNext w:val="0"/>
              <w:keepLines w:val="0"/>
              <w:pageBreakBefore w:val="0"/>
              <w:widowControl w:val="0"/>
              <w:kinsoku/>
              <w:wordWrap/>
              <w:overflowPunct/>
              <w:topLinePunct w:val="0"/>
              <w:autoSpaceDE/>
              <w:autoSpaceDN/>
              <w:bidi w:val="0"/>
              <w:adjustRightInd/>
              <w:snapToGrid/>
              <w:spacing w:line="420" w:lineRule="exact"/>
              <w:ind w:left="0" w:right="0" w:firstLine="8"/>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塑料袋</w:t>
            </w:r>
          </w:p>
          <w:p w14:paraId="4CDD4DAD">
            <w:pPr>
              <w:pStyle w:val="279"/>
              <w:keepNext w:val="0"/>
              <w:keepLines w:val="0"/>
              <w:pageBreakBefore w:val="0"/>
              <w:widowControl w:val="0"/>
              <w:kinsoku/>
              <w:wordWrap/>
              <w:overflowPunct/>
              <w:topLinePunct w:val="0"/>
              <w:autoSpaceDE/>
              <w:autoSpaceDN/>
              <w:bidi w:val="0"/>
              <w:adjustRightInd/>
              <w:snapToGrid/>
              <w:spacing w:line="420" w:lineRule="exact"/>
              <w:ind w:left="0" w:right="0" w:firstLine="8"/>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黑色垃圾袋、灰色垃圾袋、白色果壳垃圾袋开标时需提供符合参数要求的样品。</w:t>
            </w:r>
          </w:p>
        </w:tc>
        <w:tc>
          <w:tcPr>
            <w:tcW w:w="1084" w:type="dxa"/>
            <w:noWrap w:val="0"/>
            <w:vAlign w:val="center"/>
          </w:tcPr>
          <w:p w14:paraId="269AB1AE">
            <w:pPr>
              <w:pStyle w:val="279"/>
              <w:keepNext w:val="0"/>
              <w:keepLines w:val="0"/>
              <w:pageBreakBefore w:val="0"/>
              <w:widowControl w:val="0"/>
              <w:kinsoku/>
              <w:wordWrap/>
              <w:overflowPunct/>
              <w:topLinePunct w:val="0"/>
              <w:autoSpaceDE/>
              <w:autoSpaceDN/>
              <w:bidi w:val="0"/>
              <w:adjustRightInd/>
              <w:snapToGrid/>
              <w:spacing w:line="420" w:lineRule="exact"/>
              <w:ind w:left="0" w:right="0"/>
              <w:jc w:val="left"/>
              <w:textAlignment w:val="auto"/>
              <w:rPr>
                <w:rFonts w:hint="eastAsia" w:ascii="仿宋" w:hAnsi="仿宋" w:eastAsia="仿宋" w:cs="仿宋"/>
                <w:color w:val="auto"/>
                <w:spacing w:val="-7"/>
                <w:sz w:val="24"/>
                <w:szCs w:val="24"/>
                <w:highlight w:val="none"/>
              </w:rPr>
            </w:pPr>
            <w:r>
              <w:rPr>
                <w:rFonts w:hint="eastAsia" w:ascii="仿宋" w:hAnsi="仿宋" w:eastAsia="仿宋" w:cs="仿宋"/>
                <w:color w:val="auto"/>
                <w:spacing w:val="-7"/>
                <w:sz w:val="24"/>
                <w:szCs w:val="24"/>
                <w:highlight w:val="none"/>
                <w:lang w:val="en-US" w:eastAsia="zh-CN"/>
              </w:rPr>
              <w:t>每项10只</w:t>
            </w:r>
          </w:p>
        </w:tc>
      </w:tr>
    </w:tbl>
    <w:p w14:paraId="7D5749F4">
      <w:pPr>
        <w:keepNext w:val="0"/>
        <w:keepLines w:val="0"/>
        <w:pageBreakBefore w:val="0"/>
        <w:widowControl/>
        <w:numPr>
          <w:ilvl w:val="1"/>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具体技术参数</w:t>
      </w:r>
    </w:p>
    <w:p w14:paraId="00F87EA0">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钢结构果壳箱（包安装）</w:t>
      </w:r>
    </w:p>
    <w:p w14:paraId="4F2AFC6E">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款式：包括顶盖、桶身、底座、内胆、烟蒂收集盒、废电池回收盒等附配件。</w:t>
      </w:r>
    </w:p>
    <w:p w14:paraId="19222CEF">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外形规格尺寸：980×400×980mm（±5mm）（长×宽×高）。</w:t>
      </w:r>
    </w:p>
    <w:p w14:paraId="1699D2FC">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★外观材质：</w:t>
      </w:r>
    </w:p>
    <w:p w14:paraId="5EFD964E">
      <w:pPr>
        <w:keepNext w:val="0"/>
        <w:keepLines w:val="0"/>
        <w:pageBreakBefore w:val="0"/>
        <w:widowControl/>
        <w:numPr>
          <w:ilvl w:val="0"/>
          <w:numId w:val="22"/>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顶盖采用≥1.2mm厚的优质304不锈钢板经模具一次性压制成型，顶盖尺寸980×400×60mm（±5mm），开标现场化学药水进行检测；</w:t>
      </w:r>
    </w:p>
    <w:p w14:paraId="4CC81B63">
      <w:pPr>
        <w:keepNext w:val="0"/>
        <w:keepLines w:val="0"/>
        <w:pageBreakBefore w:val="0"/>
        <w:widowControl/>
        <w:numPr>
          <w:ilvl w:val="0"/>
          <w:numId w:val="22"/>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箱体、支架及侧板部分：均采用≥1.2mm厚的优质不锈钢板制作；</w:t>
      </w:r>
    </w:p>
    <w:p w14:paraId="6E87A8E2">
      <w:pPr>
        <w:keepNext w:val="0"/>
        <w:keepLines w:val="0"/>
        <w:pageBreakBefore w:val="0"/>
        <w:widowControl/>
        <w:numPr>
          <w:ilvl w:val="0"/>
          <w:numId w:val="22"/>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底座部分：采用优质玻璃钢纤维经压机高温熔化液压一次成型，单层设计，便于清洗；厚度≥5mm，尺寸为980x400x100mm（±5mm），底部设置≥6个膨胀螺栓安装孔；</w:t>
      </w:r>
    </w:p>
    <w:p w14:paraId="129EE94D">
      <w:pPr>
        <w:keepNext w:val="0"/>
        <w:keepLines w:val="0"/>
        <w:pageBreakBefore w:val="0"/>
        <w:widowControl/>
        <w:numPr>
          <w:ilvl w:val="0"/>
          <w:numId w:val="22"/>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废弃物投放口：采用≥1.2mm厚的优质不锈钢板焊接成型。</w:t>
      </w:r>
    </w:p>
    <w:p w14:paraId="64228034">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内胆：</w:t>
      </w:r>
    </w:p>
    <w:p w14:paraId="4807E25A">
      <w:pPr>
        <w:keepNext w:val="0"/>
        <w:keepLines w:val="0"/>
        <w:pageBreakBefore w:val="0"/>
        <w:widowControl/>
        <w:numPr>
          <w:ilvl w:val="0"/>
          <w:numId w:val="23"/>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设垃圾分类收集可回收物和其他垃圾内胆各一只，采用玻璃钢材质，经压机模具一次性成型，配料中含色料拒绝喷涂上色；厚度≥2mm，单个容积≥30L；具有防腐、阻燃、不变形的特点，光滑表面易于倾倒垃圾；</w:t>
      </w:r>
    </w:p>
    <w:p w14:paraId="659B7BBD">
      <w:pPr>
        <w:keepNext w:val="0"/>
        <w:keepLines w:val="0"/>
        <w:pageBreakBefore w:val="0"/>
        <w:widowControl/>
        <w:numPr>
          <w:ilvl w:val="0"/>
          <w:numId w:val="23"/>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不变形的特点，光滑表面易于倾倒垃圾；</w:t>
      </w:r>
    </w:p>
    <w:p w14:paraId="2AB68F24">
      <w:pPr>
        <w:keepNext w:val="0"/>
        <w:keepLines w:val="0"/>
        <w:pageBreakBefore w:val="0"/>
        <w:widowControl/>
        <w:numPr>
          <w:ilvl w:val="0"/>
          <w:numId w:val="23"/>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配置烟蒂收集盒废电池收集盒各一只，采用玻璃钢材质，经压机模具一次性成型，具有防腐、阻燃、不变形的特点，光滑表面易于倾倒垃圾，收集盒为绿色，配料中含色料拒绝喷涂上色。</w:t>
      </w:r>
    </w:p>
    <w:p w14:paraId="13F5E27A">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开门方式为上下开门，不用锁具，便于环卫工人操作。</w:t>
      </w:r>
    </w:p>
    <w:p w14:paraId="76EBB753">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分类标识采用模具压制成型，凹凸设计，丝网印刷；（例如“可回收物”“其他垃圾”“有害垃圾”等）。分类标识参照新国标《城市生活垃圾分类标识》。</w:t>
      </w:r>
    </w:p>
    <w:p w14:paraId="2302FEE6">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门铰链采用优质不锈钢材质合页，门启闭灵活；安装固定果皮箱采用不锈钢膨胀螺栓。</w:t>
      </w:r>
    </w:p>
    <w:p w14:paraId="133AA537">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款型、颜色自行设计搭配、美观大方、功能齐全、使用方便。</w:t>
      </w:r>
    </w:p>
    <w:p w14:paraId="3D3212E7">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开标时提供投标样品一只，样品需满足★条款，并携带生产厂家样品检测报告（检测报告需要有二维码便于查询检测报告内容），不满足作废标处理。</w:t>
      </w:r>
    </w:p>
    <w:p w14:paraId="39F35CE1">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果壳箱按照招标人要求的时间、位置进行安装，所需人工、工具、辅料等一切费用均由投标人自行承担。</w:t>
      </w:r>
    </w:p>
    <w:p w14:paraId="3871612B">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附参考图：</w:t>
      </w:r>
    </w:p>
    <w:p w14:paraId="447FE301">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drawing>
          <wp:inline distT="0" distB="0" distL="114300" distR="114300">
            <wp:extent cx="2135505" cy="1874520"/>
            <wp:effectExtent l="0" t="0" r="17145" b="11430"/>
            <wp:docPr id="9"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片2"/>
                    <pic:cNvPicPr>
                      <a:picLocks noChangeAspect="1"/>
                    </pic:cNvPicPr>
                  </pic:nvPicPr>
                  <pic:blipFill>
                    <a:blip r:embed="rId16"/>
                    <a:stretch>
                      <a:fillRect/>
                    </a:stretch>
                  </pic:blipFill>
                  <pic:spPr>
                    <a:xfrm>
                      <a:off x="0" y="0"/>
                      <a:ext cx="2135505" cy="1874520"/>
                    </a:xfrm>
                    <a:prstGeom prst="rect">
                      <a:avLst/>
                    </a:prstGeom>
                    <a:noFill/>
                    <a:ln>
                      <a:noFill/>
                    </a:ln>
                  </pic:spPr>
                </pic:pic>
              </a:graphicData>
            </a:graphic>
          </wp:inline>
        </w:drawing>
      </w:r>
    </w:p>
    <w:p w14:paraId="6A1060E8">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果壳箱内胆</w:t>
      </w:r>
    </w:p>
    <w:p w14:paraId="2BCB236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采用玻璃钢材质，经压机模具一次性成型，配料中含色料拒绝喷涂上色；厚度≥2mm，单个容积≥30L；具有防腐、阻燃、不变形的特点，光滑表面易于倾倒垃圾。</w:t>
      </w:r>
    </w:p>
    <w:p w14:paraId="763EC626">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果壳箱门锁：采用果壳箱保险专用三角锁，配通用钥匙。</w:t>
      </w:r>
    </w:p>
    <w:p w14:paraId="0E01A050">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240L垃圾桶</w:t>
      </w:r>
    </w:p>
    <w:p w14:paraId="1101932A">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容量：240升；</w:t>
      </w:r>
    </w:p>
    <w:p w14:paraId="28D24BFD">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桶身尺寸（偏差±10mm）：长：750mm；宽：595mm；前沿高度1010mm/把手高度1040mm；</w:t>
      </w:r>
    </w:p>
    <w:p w14:paraId="7977F706">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重量：桶身（不包括盖、轮轴、轮子插销等）≥11.0kg；总重量≥16kg；</w:t>
      </w:r>
    </w:p>
    <w:p w14:paraId="4EDE0D04">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材料：采用100%高密度聚乙烯，添加高质量增强、抗紫外线剂，颜色色素达5%，确保颜色鲜艳，长时间不褪色；适用温度：-20℃-65℃气温下，不发生变形、开裂等损坏；</w:t>
      </w:r>
    </w:p>
    <w:p w14:paraId="7EB83E82">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桶身四面采用纵向凹面设计，凹面需直接与桶顶加强筋相连；同时三面通过波浪面加强筋与底部连接，加大底部的强度和受力面积，使桶身韧性更强，承载力更大，性能更稳定；</w:t>
      </w:r>
    </w:p>
    <w:p w14:paraId="78EC14AD">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桶身壁厚：≥4.5mm，桶盖厚度≥3.0mm；垃圾桶沿口挂车部位及两侧边沿采用双层裙边设计，并设有牢固的蜂窝状加强筋，确保垃圾桶沿口部位在挂车提升上架时有足够的机械强度；垃圾桶正面挂车口位置设有纵向加强筋7条（不含圆角处），同时垃圾桶两侧上边沿各设有5条纵向加强筋（加强筋总数不少于24条，桶身与把手连接纵向加强筋不计算在内），增强挂壁边沿受力与强度；</w:t>
      </w:r>
    </w:p>
    <w:p w14:paraId="383FC75D">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7、垃圾桶把手采用无空段一体化整体连接，以增加把手牢固度；盖子和桶身采用两插销连接；把手两侧带防滑粒，把手与桶身采用4组共8根加强筯连接方式；</w:t>
      </w:r>
    </w:p>
    <w:p w14:paraId="5A7668D5">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桶盖上配有标准卡槽，可配套防盗芯片，也可配套区域管理卡片。跟垃圾桶的投放口边缘接触良好，整体密封性强，且不易变形。桶盖整体“鸭嘴型”设计，盖体表面呈中间高周侧低一道弧形立体设计，有效防止积水、积污、易清理无死角。桶盖前端呈上下双层全方位内凹式开放大提手设计，手动开启使用时将手伸入凹槽内握持盖沿向上推动即可轻松打开盖体。桶盖后端中部呈自上而下阶梯状流水形设计，美观大方，结构稳固。桶盖两侧前端镂空设计上方并有一次性成型辅助提手，提手处有不少于5条加强筋有效增强桶盖提手强度；桶盖跟桶身上口边缘接触良好，整体密封性强，且不易变形。为防止垃圾桶内蒸汽冷凝水溢流桶外，同时防止蚊蝇桶内滋生造成二次污染，桶盖下方设有冷凝水外流阻断设计及防蚊蝇进入桶内的挡圈设计，即桶盖双圈沿（外圈沿加内圈沿）双重密封设计；</w:t>
      </w:r>
    </w:p>
    <w:p w14:paraId="436EA4C6">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垃圾桶桶底采用三裙边设计制作，并设计有≥12条加强筋在桶底匀称分布，并采用蜂窝状（外层）和辐射状（内层）加强设计，保证垃圾桶在超负荷运作时不因底部受力过大而开裂；并在桶底嵌有钢质耐磨钉，耐磨钉数量≥30颗，保证在使用过程中底部不易磨损、底部并安装有一块经模具一次性压注成型的U型橡胶防滑耐磨垫，耐磨垫单边长度不小于28cm，确保产品经久耐用；</w:t>
      </w:r>
    </w:p>
    <w:p w14:paraId="0DA2B761">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桶体内部四面均设有一体化注塑成型的刻度标识（从70L起，10L/刻度），垃圾处理人员能通过垃圾密度系数，快速算出垃圾的重量；把手两边有垃圾袋收紧固定装置，让操作人员能将垃圾袋收紧扣牢且不易松脱；为提升操作者的脚踩舒适度及灵活性、提高工作效率，垃圾桶背面底部中间位置设有脚踏凹槽，环卫工人手抓把手配合踩踏钢轴形成支点，即使在重负荷的情况下也可轻松实现垃圾桶倾斜并拖动；钢轴也可以作为垃圾桶底部提手，方便清理垃圾；</w:t>
      </w:r>
    </w:p>
    <w:p w14:paraId="29CC7629">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轮轴采用Q235普通碳素结构钢材质，在两端切削形成凹槽，三次酸洗彻底清除氧化面，经过电镀锌特殊工艺制成的钢轮轴。坚固耐用、抗氧化、防锈功能。橡胶轮与底轴连接，插入式止退固定防盗连接；实心轴长度不小于470mm，直径不小于18mm，重量不小于1.25kg；大橡胶轮子直径不小于160mm，重量不小于1.2kg；</w:t>
      </w:r>
    </w:p>
    <w:p w14:paraId="14528580">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能与现有垃圾压缩车辆配套使用，桶体前口与车辆提升机架配合吊桶处设有加 强筋，提高了运载能力、装载重量不小于200kg；</w:t>
      </w:r>
    </w:p>
    <w:p w14:paraId="7BD35E36">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耐腐蚀，并且足够的机械强度和良好的冲击韧性。桶身及桶盖颜色符合国家垃 圾分类标志标准。桶身印刷相关的标语、图案等供货前按采购人要求制作；</w:t>
      </w:r>
    </w:p>
    <w:p w14:paraId="3C203455">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为提升操作者的脚踩舒适度及灵活性、提高工作效率，垃圾桶背面底部中间位 置设有脚踩防滑凹槽，环卫工人双手抓把配合踩踏形成支点，即使在重负荷的情况下也可 轻松实现垃圾桶倾斜并拖动；钢轴也可以作为垃圾桶底部提手，方便清理垃圾桶；</w:t>
      </w:r>
    </w:p>
    <w:p w14:paraId="32599BEB">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在桶身背面下方设计注塑一体成型提手装置，即使垃圾桶负荷工作的情况下，工作人员仍能轻松地翻倒垃圾桶；</w:t>
      </w:r>
    </w:p>
    <w:p w14:paraId="52A6C084">
      <w:pPr>
        <w:keepNext w:val="0"/>
        <w:keepLines w:val="0"/>
        <w:pageBreakBefore w:val="0"/>
        <w:widowControl/>
        <w:numPr>
          <w:ilvl w:val="3"/>
          <w:numId w:val="19"/>
        </w:numPr>
        <w:suppressLineNumbers w:val="0"/>
        <w:tabs>
          <w:tab w:val="left" w:pos="0"/>
        </w:tabs>
        <w:kinsoku/>
        <w:wordWrap/>
        <w:overflowPunct/>
        <w:topLinePunct w:val="0"/>
        <w:autoSpaceDE/>
        <w:autoSpaceDN/>
        <w:bidi w:val="0"/>
        <w:adjustRightInd/>
        <w:snapToGrid/>
        <w:spacing w:line="420" w:lineRule="exact"/>
        <w:ind w:left="0" w:leftChars="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其他技术要求和物理性能均要达到国家CJ/T280-2008行业标准。</w:t>
      </w:r>
    </w:p>
    <w:p w14:paraId="6C7A3FE7">
      <w:pPr>
        <w:keepNext w:val="0"/>
        <w:keepLines w:val="0"/>
        <w:pageBreakBefore w:val="0"/>
        <w:kinsoku/>
        <w:wordWrap/>
        <w:overflowPunct/>
        <w:topLinePunct w:val="0"/>
        <w:autoSpaceDE/>
        <w:autoSpaceDN/>
        <w:bidi w:val="0"/>
        <w:adjustRightInd/>
        <w:snapToGrid/>
        <w:spacing w:line="420" w:lineRule="exact"/>
        <w:ind w:left="0" w:right="0" w:firstLine="47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3"/>
          <w:sz w:val="24"/>
          <w:szCs w:val="24"/>
          <w:highlight w:val="none"/>
        </w:rPr>
        <w:t>需提供符合参数要求的样品一只（须配套垃圾桶盖</w:t>
      </w:r>
      <w:r>
        <w:rPr>
          <w:rFonts w:hint="eastAsia" w:ascii="仿宋" w:hAnsi="仿宋" w:eastAsia="仿宋" w:cs="仿宋"/>
          <w:b/>
          <w:bCs/>
          <w:color w:val="auto"/>
          <w:spacing w:val="10"/>
          <w:sz w:val="24"/>
          <w:szCs w:val="24"/>
          <w:highlight w:val="none"/>
        </w:rPr>
        <w:t>），</w:t>
      </w:r>
      <w:r>
        <w:rPr>
          <w:rFonts w:hint="eastAsia" w:ascii="仿宋" w:hAnsi="仿宋" w:eastAsia="仿宋" w:cs="仿宋"/>
          <w:b/>
          <w:bCs/>
          <w:color w:val="auto"/>
          <w:spacing w:val="-3"/>
          <w:sz w:val="24"/>
          <w:szCs w:val="24"/>
          <w:highlight w:val="none"/>
        </w:rPr>
        <w:t>样品需满足★条款，颜色为原</w:t>
      </w:r>
      <w:r>
        <w:rPr>
          <w:rFonts w:hint="eastAsia" w:ascii="仿宋" w:hAnsi="仿宋" w:eastAsia="仿宋" w:cs="仿宋"/>
          <w:b/>
          <w:bCs/>
          <w:color w:val="auto"/>
          <w:spacing w:val="-2"/>
          <w:sz w:val="24"/>
          <w:szCs w:val="24"/>
          <w:highlight w:val="none"/>
        </w:rPr>
        <w:t>材料本色（纯白色、不</w:t>
      </w:r>
      <w:r>
        <w:rPr>
          <w:rFonts w:hint="eastAsia" w:ascii="仿宋" w:hAnsi="仿宋" w:eastAsia="仿宋" w:cs="仿宋"/>
          <w:b/>
          <w:bCs/>
          <w:color w:val="auto"/>
          <w:spacing w:val="-2"/>
          <w:sz w:val="24"/>
          <w:szCs w:val="24"/>
          <w:highlight w:val="none"/>
          <w:lang w:eastAsia="zh-CN"/>
        </w:rPr>
        <w:t>含其他</w:t>
      </w:r>
      <w:r>
        <w:rPr>
          <w:rFonts w:hint="eastAsia" w:ascii="仿宋" w:hAnsi="仿宋" w:eastAsia="仿宋" w:cs="仿宋"/>
          <w:b/>
          <w:bCs/>
          <w:color w:val="auto"/>
          <w:spacing w:val="-2"/>
          <w:sz w:val="24"/>
          <w:szCs w:val="24"/>
          <w:highlight w:val="none"/>
        </w:rPr>
        <w:t>色素</w:t>
      </w:r>
      <w:r>
        <w:rPr>
          <w:rFonts w:hint="eastAsia" w:ascii="仿宋" w:hAnsi="仿宋" w:eastAsia="仿宋" w:cs="仿宋"/>
          <w:b/>
          <w:bCs/>
          <w:color w:val="auto"/>
          <w:spacing w:val="4"/>
          <w:sz w:val="24"/>
          <w:szCs w:val="24"/>
          <w:highlight w:val="none"/>
        </w:rPr>
        <w:t>），</w:t>
      </w:r>
      <w:r>
        <w:rPr>
          <w:rFonts w:hint="eastAsia" w:ascii="仿宋" w:hAnsi="仿宋" w:eastAsia="仿宋" w:cs="仿宋"/>
          <w:b/>
          <w:bCs/>
          <w:color w:val="auto"/>
          <w:spacing w:val="-2"/>
          <w:sz w:val="24"/>
          <w:szCs w:val="24"/>
          <w:highlight w:val="none"/>
        </w:rPr>
        <w:t>拒绝3D打印及拼接，不满足</w:t>
      </w:r>
      <w:r>
        <w:rPr>
          <w:rFonts w:hint="eastAsia" w:ascii="仿宋" w:hAnsi="仿宋" w:eastAsia="仿宋" w:cs="仿宋"/>
          <w:b/>
          <w:bCs/>
          <w:color w:val="auto"/>
          <w:spacing w:val="-3"/>
          <w:sz w:val="24"/>
          <w:szCs w:val="24"/>
          <w:highlight w:val="none"/>
        </w:rPr>
        <w:t>作废标处理。</w:t>
      </w:r>
    </w:p>
    <w:p w14:paraId="4C29B2C6">
      <w:pPr>
        <w:keepNext w:val="0"/>
        <w:keepLines w:val="0"/>
        <w:pageBreakBefore w:val="0"/>
        <w:widowControl w:val="0"/>
        <w:kinsoku/>
        <w:wordWrap/>
        <w:overflowPunct/>
        <w:topLinePunct w:val="0"/>
        <w:autoSpaceDE/>
        <w:autoSpaceDN/>
        <w:bidi w:val="0"/>
        <w:adjustRightInd/>
        <w:snapToGrid/>
        <w:spacing w:line="420" w:lineRule="exact"/>
        <w:ind w:left="0" w:firstLine="458"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pacing w:val="-6"/>
          <w:sz w:val="24"/>
          <w:szCs w:val="24"/>
          <w:highlight w:val="none"/>
        </w:rPr>
        <w:t>附参考图：</w:t>
      </w:r>
    </w:p>
    <w:tbl>
      <w:tblPr>
        <w:tblStyle w:val="280"/>
        <w:tblW w:w="99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8"/>
        <w:gridCol w:w="1642"/>
        <w:gridCol w:w="1433"/>
        <w:gridCol w:w="3710"/>
      </w:tblGrid>
      <w:tr w14:paraId="59E66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983" w:type="dxa"/>
            <w:gridSpan w:val="4"/>
            <w:noWrap w:val="0"/>
            <w:vAlign w:val="top"/>
          </w:tcPr>
          <w:p w14:paraId="5C641DAC">
            <w:pPr>
              <w:pStyle w:val="279"/>
              <w:spacing w:before="168" w:line="220" w:lineRule="auto"/>
              <w:ind w:left="4241"/>
              <w:rPr>
                <w:rFonts w:hint="eastAsia" w:ascii="仿宋" w:hAnsi="仿宋" w:eastAsia="仿宋" w:cs="仿宋"/>
                <w:color w:val="auto"/>
                <w:sz w:val="30"/>
                <w:szCs w:val="30"/>
                <w:highlight w:val="none"/>
              </w:rPr>
            </w:pPr>
            <w:r>
              <w:rPr>
                <w:rFonts w:hint="eastAsia" w:ascii="仿宋" w:hAnsi="仿宋" w:eastAsia="仿宋" w:cs="仿宋"/>
                <w:b/>
                <w:bCs/>
                <w:color w:val="auto"/>
                <w:spacing w:val="-3"/>
                <w:sz w:val="30"/>
                <w:szCs w:val="30"/>
                <w:highlight w:val="none"/>
              </w:rPr>
              <w:t>垃圾桶（240L）</w:t>
            </w:r>
          </w:p>
        </w:tc>
      </w:tr>
      <w:tr w14:paraId="4CD37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198" w:type="dxa"/>
            <w:tcBorders>
              <w:bottom w:val="nil"/>
              <w:right w:val="nil"/>
            </w:tcBorders>
            <w:noWrap w:val="0"/>
            <w:vAlign w:val="top"/>
          </w:tcPr>
          <w:p w14:paraId="0BBF07B9">
            <w:pPr>
              <w:spacing w:before="24" w:line="4008" w:lineRule="exact"/>
              <w:ind w:firstLine="108"/>
              <w:rPr>
                <w:rFonts w:hint="eastAsia" w:ascii="仿宋" w:hAnsi="仿宋" w:eastAsia="仿宋" w:cs="仿宋"/>
                <w:color w:val="auto"/>
                <w:highlight w:val="none"/>
              </w:rPr>
            </w:pPr>
            <w:r>
              <w:rPr>
                <w:rFonts w:hint="eastAsia" w:ascii="仿宋" w:hAnsi="仿宋" w:eastAsia="仿宋" w:cs="仿宋"/>
                <w:color w:val="auto"/>
                <w:position w:val="-80"/>
                <w:highlight w:val="none"/>
              </w:rPr>
              <w:drawing>
                <wp:inline distT="0" distB="0" distL="114300" distR="114300">
                  <wp:extent cx="1866900" cy="2544445"/>
                  <wp:effectExtent l="0" t="0" r="0" b="8255"/>
                  <wp:docPr id="19" name="图片 2"/>
                  <wp:cNvGraphicFramePr/>
                  <a:graphic xmlns:a="http://schemas.openxmlformats.org/drawingml/2006/main">
                    <a:graphicData uri="http://schemas.openxmlformats.org/drawingml/2006/picture">
                      <pic:pic xmlns:pic="http://schemas.openxmlformats.org/drawingml/2006/picture">
                        <pic:nvPicPr>
                          <pic:cNvPr id="19" name="图片 2"/>
                          <pic:cNvPicPr/>
                        </pic:nvPicPr>
                        <pic:blipFill>
                          <a:blip r:embed="rId17"/>
                          <a:stretch>
                            <a:fillRect/>
                          </a:stretch>
                        </pic:blipFill>
                        <pic:spPr>
                          <a:xfrm>
                            <a:off x="0" y="0"/>
                            <a:ext cx="1866900" cy="2544445"/>
                          </a:xfrm>
                          <a:prstGeom prst="rect">
                            <a:avLst/>
                          </a:prstGeom>
                          <a:noFill/>
                          <a:ln>
                            <a:noFill/>
                          </a:ln>
                        </pic:spPr>
                      </pic:pic>
                    </a:graphicData>
                  </a:graphic>
                </wp:inline>
              </w:drawing>
            </w:r>
          </w:p>
        </w:tc>
        <w:tc>
          <w:tcPr>
            <w:tcW w:w="3075" w:type="dxa"/>
            <w:gridSpan w:val="2"/>
            <w:tcBorders>
              <w:left w:val="nil"/>
              <w:bottom w:val="nil"/>
              <w:right w:val="nil"/>
            </w:tcBorders>
            <w:noWrap w:val="0"/>
            <w:vAlign w:val="top"/>
          </w:tcPr>
          <w:p w14:paraId="587CF211">
            <w:pPr>
              <w:spacing w:before="31" w:line="4001" w:lineRule="exact"/>
              <w:ind w:firstLine="254"/>
              <w:rPr>
                <w:rFonts w:hint="eastAsia" w:ascii="仿宋" w:hAnsi="仿宋" w:eastAsia="仿宋" w:cs="仿宋"/>
                <w:color w:val="auto"/>
                <w:highlight w:val="none"/>
              </w:rPr>
            </w:pPr>
            <w:r>
              <w:rPr>
                <w:rFonts w:hint="eastAsia" w:ascii="仿宋" w:hAnsi="仿宋" w:eastAsia="仿宋" w:cs="仿宋"/>
                <w:color w:val="auto"/>
                <w:position w:val="-80"/>
                <w:highlight w:val="none"/>
              </w:rPr>
              <w:drawing>
                <wp:inline distT="0" distB="0" distL="114300" distR="114300">
                  <wp:extent cx="1946275" cy="2540000"/>
                  <wp:effectExtent l="0" t="0" r="15875" b="12700"/>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8"/>
                          <a:stretch>
                            <a:fillRect/>
                          </a:stretch>
                        </pic:blipFill>
                        <pic:spPr>
                          <a:xfrm>
                            <a:off x="0" y="0"/>
                            <a:ext cx="1946275" cy="2540000"/>
                          </a:xfrm>
                          <a:prstGeom prst="rect">
                            <a:avLst/>
                          </a:prstGeom>
                          <a:noFill/>
                          <a:ln>
                            <a:noFill/>
                          </a:ln>
                        </pic:spPr>
                      </pic:pic>
                    </a:graphicData>
                  </a:graphic>
                </wp:inline>
              </w:drawing>
            </w:r>
          </w:p>
        </w:tc>
        <w:tc>
          <w:tcPr>
            <w:tcW w:w="3710" w:type="dxa"/>
            <w:tcBorders>
              <w:left w:val="nil"/>
              <w:bottom w:val="nil"/>
            </w:tcBorders>
            <w:noWrap w:val="0"/>
            <w:vAlign w:val="top"/>
          </w:tcPr>
          <w:p w14:paraId="0D1BBFF1">
            <w:pPr>
              <w:spacing w:before="26" w:line="4001" w:lineRule="exact"/>
              <w:ind w:firstLine="90"/>
              <w:rPr>
                <w:rFonts w:hint="eastAsia" w:ascii="仿宋" w:hAnsi="仿宋" w:eastAsia="仿宋" w:cs="仿宋"/>
                <w:color w:val="auto"/>
                <w:highlight w:val="none"/>
              </w:rPr>
            </w:pPr>
            <w:r>
              <w:rPr>
                <w:rFonts w:hint="eastAsia" w:ascii="仿宋" w:hAnsi="仿宋" w:eastAsia="仿宋" w:cs="仿宋"/>
                <w:color w:val="auto"/>
                <w:position w:val="-80"/>
                <w:highlight w:val="none"/>
              </w:rPr>
              <w:drawing>
                <wp:inline distT="0" distB="0" distL="114300" distR="114300">
                  <wp:extent cx="1814830" cy="2540000"/>
                  <wp:effectExtent l="0" t="0" r="13970" b="12700"/>
                  <wp:docPr id="20" name="图片 4"/>
                  <wp:cNvGraphicFramePr/>
                  <a:graphic xmlns:a="http://schemas.openxmlformats.org/drawingml/2006/main">
                    <a:graphicData uri="http://schemas.openxmlformats.org/drawingml/2006/picture">
                      <pic:pic xmlns:pic="http://schemas.openxmlformats.org/drawingml/2006/picture">
                        <pic:nvPicPr>
                          <pic:cNvPr id="20" name="图片 4"/>
                          <pic:cNvPicPr/>
                        </pic:nvPicPr>
                        <pic:blipFill>
                          <a:blip r:embed="rId19"/>
                          <a:stretch>
                            <a:fillRect/>
                          </a:stretch>
                        </pic:blipFill>
                        <pic:spPr>
                          <a:xfrm>
                            <a:off x="0" y="0"/>
                            <a:ext cx="1814830" cy="2540000"/>
                          </a:xfrm>
                          <a:prstGeom prst="rect">
                            <a:avLst/>
                          </a:prstGeom>
                          <a:noFill/>
                          <a:ln>
                            <a:noFill/>
                          </a:ln>
                        </pic:spPr>
                      </pic:pic>
                    </a:graphicData>
                  </a:graphic>
                </wp:inline>
              </w:drawing>
            </w:r>
          </w:p>
        </w:tc>
      </w:tr>
      <w:tr w14:paraId="51AC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9983" w:type="dxa"/>
            <w:gridSpan w:val="4"/>
            <w:tcBorders>
              <w:top w:val="nil"/>
            </w:tcBorders>
            <w:noWrap w:val="0"/>
            <w:vAlign w:val="top"/>
          </w:tcPr>
          <w:p w14:paraId="4D57407C">
            <w:pPr>
              <w:pStyle w:val="279"/>
              <w:spacing w:before="37" w:line="231" w:lineRule="auto"/>
              <w:ind w:left="117" w:right="45"/>
              <w:jc w:val="both"/>
              <w:rPr>
                <w:rFonts w:hint="eastAsia" w:ascii="仿宋" w:hAnsi="仿宋" w:eastAsia="仿宋" w:cs="仿宋"/>
                <w:color w:val="auto"/>
                <w:highlight w:val="none"/>
              </w:rPr>
            </w:pPr>
            <w:r>
              <w:rPr>
                <w:rFonts w:hint="eastAsia" w:ascii="仿宋" w:hAnsi="仿宋" w:eastAsia="仿宋" w:cs="仿宋"/>
                <w:b/>
                <w:bCs/>
                <w:color w:val="auto"/>
                <w:spacing w:val="-2"/>
                <w:highlight w:val="none"/>
              </w:rPr>
              <w:t>采用</w:t>
            </w:r>
            <w:r>
              <w:rPr>
                <w:rFonts w:hint="eastAsia" w:ascii="仿宋" w:hAnsi="仿宋" w:eastAsia="仿宋" w:cs="仿宋"/>
                <w:color w:val="auto"/>
                <w:spacing w:val="-39"/>
                <w:highlight w:val="none"/>
                <w:lang w:val="en-US" w:eastAsia="zh-CN"/>
              </w:rPr>
              <w:t>1</w:t>
            </w:r>
            <w:r>
              <w:rPr>
                <w:rFonts w:hint="eastAsia" w:ascii="仿宋" w:hAnsi="仿宋" w:eastAsia="仿宋" w:cs="仿宋"/>
                <w:b/>
                <w:bCs/>
                <w:color w:val="auto"/>
                <w:spacing w:val="-2"/>
                <w:highlight w:val="none"/>
              </w:rPr>
              <w:t>00%高密度聚乙烯（HDPE）原生料一次性注塑成型，绝无焊接缝，外表光滑平整</w:t>
            </w:r>
            <w:r>
              <w:rPr>
                <w:rFonts w:hint="eastAsia" w:ascii="仿宋" w:hAnsi="仿宋" w:eastAsia="仿宋" w:cs="仿宋"/>
                <w:b/>
                <w:bCs/>
                <w:color w:val="auto"/>
                <w:spacing w:val="-2"/>
                <w:highlight w:val="none"/>
                <w:lang w:eastAsia="zh-CN"/>
              </w:rPr>
              <w:t>，</w:t>
            </w:r>
            <w:r>
              <w:rPr>
                <w:rFonts w:hint="eastAsia" w:ascii="仿宋" w:hAnsi="仿宋" w:eastAsia="仿宋" w:cs="仿宋"/>
                <w:b/>
                <w:bCs/>
                <w:color w:val="auto"/>
                <w:spacing w:val="-2"/>
                <w:highlight w:val="none"/>
              </w:rPr>
              <w:t>桶盖盖合</w:t>
            </w:r>
            <w:r>
              <w:rPr>
                <w:rFonts w:hint="eastAsia" w:ascii="仿宋" w:hAnsi="仿宋" w:eastAsia="仿宋" w:cs="仿宋"/>
                <w:b/>
                <w:bCs/>
                <w:color w:val="auto"/>
                <w:spacing w:val="-5"/>
                <w:highlight w:val="none"/>
              </w:rPr>
              <w:t>严密，连接可靠、坚固；产品具有抗腐蚀性、抗冻、耐热、抗紫外线能力强，垃圾倾倒</w:t>
            </w:r>
            <w:r>
              <w:rPr>
                <w:rFonts w:hint="eastAsia" w:ascii="仿宋" w:hAnsi="仿宋" w:eastAsia="仿宋" w:cs="仿宋"/>
                <w:b/>
                <w:bCs/>
                <w:color w:val="auto"/>
                <w:spacing w:val="-6"/>
                <w:highlight w:val="none"/>
              </w:rPr>
              <w:t>后容易清洗，</w:t>
            </w:r>
            <w:r>
              <w:rPr>
                <w:rFonts w:hint="eastAsia" w:ascii="仿宋" w:hAnsi="仿宋" w:eastAsia="仿宋" w:cs="仿宋"/>
                <w:b/>
                <w:bCs/>
                <w:color w:val="auto"/>
                <w:spacing w:val="-2"/>
                <w:highlight w:val="none"/>
              </w:rPr>
              <w:t>手柄表面设有防滑横条，使手掌能舒适</w:t>
            </w:r>
            <w:r>
              <w:rPr>
                <w:rFonts w:hint="eastAsia" w:ascii="仿宋" w:hAnsi="仿宋" w:eastAsia="仿宋" w:cs="仿宋"/>
                <w:b/>
                <w:bCs/>
                <w:color w:val="auto"/>
                <w:spacing w:val="-2"/>
                <w:highlight w:val="none"/>
                <w:lang w:eastAsia="zh-CN"/>
              </w:rPr>
              <w:t>地</w:t>
            </w:r>
            <w:r>
              <w:rPr>
                <w:rFonts w:hint="eastAsia" w:ascii="仿宋" w:hAnsi="仿宋" w:eastAsia="仿宋" w:cs="仿宋"/>
                <w:b/>
                <w:bCs/>
                <w:color w:val="auto"/>
                <w:spacing w:val="-2"/>
                <w:highlight w:val="none"/>
              </w:rPr>
              <w:t>掌握，并能发挥全部手部力量。桶底采用波浪纹设计，以最大程度上增强垃圾桶桶壁刚性，缓减产品在使用过程中受力变形。</w:t>
            </w:r>
          </w:p>
        </w:tc>
      </w:tr>
      <w:tr w14:paraId="08D0B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840" w:type="dxa"/>
            <w:gridSpan w:val="2"/>
            <w:noWrap w:val="0"/>
            <w:vAlign w:val="top"/>
          </w:tcPr>
          <w:p w14:paraId="7290E932">
            <w:pPr>
              <w:spacing w:before="47" w:line="3972" w:lineRule="exact"/>
              <w:ind w:firstLine="821"/>
              <w:rPr>
                <w:rFonts w:hint="eastAsia" w:ascii="仿宋" w:hAnsi="仿宋" w:eastAsia="仿宋" w:cs="仿宋"/>
                <w:b/>
                <w:bCs/>
                <w:color w:val="auto"/>
                <w:spacing w:val="-2"/>
                <w:kern w:val="2"/>
                <w:sz w:val="24"/>
                <w:szCs w:val="24"/>
                <w:highlight w:val="none"/>
                <w:lang w:val="en-US" w:eastAsia="en-US" w:bidi="ar-SA"/>
              </w:rPr>
            </w:pPr>
            <w:r>
              <w:rPr>
                <w:rFonts w:hint="eastAsia" w:ascii="仿宋" w:hAnsi="仿宋" w:eastAsia="仿宋" w:cs="仿宋"/>
                <w:b/>
                <w:bCs/>
                <w:color w:val="auto"/>
                <w:spacing w:val="-2"/>
                <w:kern w:val="2"/>
                <w:sz w:val="24"/>
                <w:szCs w:val="24"/>
                <w:highlight w:val="none"/>
                <w:lang w:val="en-US" w:eastAsia="en-US" w:bidi="ar-SA"/>
              </w:rPr>
              <w:drawing>
                <wp:anchor distT="0" distB="0" distL="114300" distR="114300" simplePos="0" relativeHeight="251665408" behindDoc="1" locked="0" layoutInCell="1" allowOverlap="1">
                  <wp:simplePos x="0" y="0"/>
                  <wp:positionH relativeFrom="column">
                    <wp:posOffset>530225</wp:posOffset>
                  </wp:positionH>
                  <wp:positionV relativeFrom="paragraph">
                    <wp:posOffset>12065</wp:posOffset>
                  </wp:positionV>
                  <wp:extent cx="1579245" cy="2123440"/>
                  <wp:effectExtent l="0" t="0" r="1905" b="10160"/>
                  <wp:wrapThrough wrapText="bothSides">
                    <wp:wrapPolygon>
                      <wp:start x="0" y="0"/>
                      <wp:lineTo x="0" y="21316"/>
                      <wp:lineTo x="21366" y="21316"/>
                      <wp:lineTo x="21366" y="0"/>
                      <wp:lineTo x="0" y="0"/>
                    </wp:wrapPolygon>
                  </wp:wrapThrough>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20"/>
                          <a:stretch>
                            <a:fillRect/>
                          </a:stretch>
                        </pic:blipFill>
                        <pic:spPr>
                          <a:xfrm>
                            <a:off x="0" y="0"/>
                            <a:ext cx="1579245" cy="2123440"/>
                          </a:xfrm>
                          <a:prstGeom prst="rect">
                            <a:avLst/>
                          </a:prstGeom>
                          <a:noFill/>
                          <a:ln>
                            <a:noFill/>
                          </a:ln>
                        </pic:spPr>
                      </pic:pic>
                    </a:graphicData>
                  </a:graphic>
                </wp:anchor>
              </w:drawing>
            </w:r>
          </w:p>
          <w:p w14:paraId="5C4030EB">
            <w:pPr>
              <w:pStyle w:val="279"/>
              <w:spacing w:before="37" w:line="231" w:lineRule="auto"/>
              <w:ind w:right="45"/>
              <w:jc w:val="both"/>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桶盖两侧设有拉手，既方便环卫工人启闭桶盖进行环卫工作，又清洁卫生。桶盖提手3条加强筋加固，有效防止提手位置变</w:t>
            </w:r>
          </w:p>
          <w:p w14:paraId="127B2D15">
            <w:pPr>
              <w:pStyle w:val="279"/>
              <w:spacing w:before="37" w:line="231" w:lineRule="auto"/>
              <w:ind w:left="117" w:right="45"/>
              <w:jc w:val="both"/>
              <w:rPr>
                <w:rFonts w:hint="eastAsia" w:ascii="仿宋" w:hAnsi="仿宋" w:eastAsia="仿宋" w:cs="仿宋"/>
                <w:b/>
                <w:bCs/>
                <w:color w:val="auto"/>
                <w:spacing w:val="-2"/>
                <w:kern w:val="2"/>
                <w:sz w:val="24"/>
                <w:szCs w:val="24"/>
                <w:highlight w:val="none"/>
                <w:lang w:val="en-US" w:eastAsia="en-US" w:bidi="ar-SA"/>
              </w:rPr>
            </w:pPr>
            <w:r>
              <w:rPr>
                <w:rFonts w:hint="eastAsia" w:ascii="仿宋" w:hAnsi="仿宋" w:eastAsia="仿宋" w:cs="仿宋"/>
                <w:b/>
                <w:bCs/>
                <w:color w:val="auto"/>
                <w:spacing w:val="-5"/>
                <w:highlight w:val="none"/>
                <w:lang w:val="en-US" w:eastAsia="en-US"/>
              </w:rPr>
              <w:t>形或损坏。</w:t>
            </w:r>
          </w:p>
        </w:tc>
        <w:tc>
          <w:tcPr>
            <w:tcW w:w="5143" w:type="dxa"/>
            <w:gridSpan w:val="2"/>
            <w:noWrap w:val="0"/>
            <w:vAlign w:val="top"/>
          </w:tcPr>
          <w:p w14:paraId="08815135">
            <w:pPr>
              <w:spacing w:before="47" w:line="3972" w:lineRule="exact"/>
              <w:ind w:firstLine="1503"/>
              <w:rPr>
                <w:rFonts w:hint="eastAsia" w:ascii="仿宋" w:hAnsi="仿宋" w:eastAsia="仿宋" w:cs="仿宋"/>
                <w:b/>
                <w:bCs/>
                <w:color w:val="auto"/>
                <w:spacing w:val="-5"/>
                <w:kern w:val="2"/>
                <w:sz w:val="24"/>
                <w:szCs w:val="24"/>
                <w:highlight w:val="none"/>
                <w:lang w:val="en-US" w:eastAsia="en-US" w:bidi="ar-SA"/>
              </w:rPr>
            </w:pPr>
            <w:r>
              <w:rPr>
                <w:rFonts w:hint="eastAsia" w:ascii="仿宋" w:hAnsi="仿宋" w:eastAsia="仿宋" w:cs="仿宋"/>
                <w:b/>
                <w:bCs/>
                <w:color w:val="auto"/>
                <w:spacing w:val="-5"/>
                <w:kern w:val="2"/>
                <w:sz w:val="24"/>
                <w:szCs w:val="24"/>
                <w:highlight w:val="none"/>
                <w:lang w:val="en-US" w:eastAsia="en-US" w:bidi="ar-SA"/>
              </w:rPr>
              <w:drawing>
                <wp:anchor distT="0" distB="0" distL="114300" distR="114300" simplePos="0" relativeHeight="251659264" behindDoc="1" locked="0" layoutInCell="1" allowOverlap="1">
                  <wp:simplePos x="0" y="0"/>
                  <wp:positionH relativeFrom="column">
                    <wp:posOffset>798195</wp:posOffset>
                  </wp:positionH>
                  <wp:positionV relativeFrom="paragraph">
                    <wp:posOffset>27940</wp:posOffset>
                  </wp:positionV>
                  <wp:extent cx="1447800" cy="2080895"/>
                  <wp:effectExtent l="0" t="0" r="0" b="14605"/>
                  <wp:wrapNone/>
                  <wp:docPr id="11" name="IM 12"/>
                  <wp:cNvGraphicFramePr/>
                  <a:graphic xmlns:a="http://schemas.openxmlformats.org/drawingml/2006/main">
                    <a:graphicData uri="http://schemas.openxmlformats.org/drawingml/2006/picture">
                      <pic:pic xmlns:pic="http://schemas.openxmlformats.org/drawingml/2006/picture">
                        <pic:nvPicPr>
                          <pic:cNvPr id="11" name="IM 12"/>
                          <pic:cNvPicPr/>
                        </pic:nvPicPr>
                        <pic:blipFill>
                          <a:blip r:embed="rId21"/>
                          <a:stretch>
                            <a:fillRect/>
                          </a:stretch>
                        </pic:blipFill>
                        <pic:spPr>
                          <a:xfrm>
                            <a:off x="0" y="0"/>
                            <a:ext cx="1447800" cy="2080895"/>
                          </a:xfrm>
                          <a:prstGeom prst="rect">
                            <a:avLst/>
                          </a:prstGeom>
                          <a:noFill/>
                          <a:ln>
                            <a:noFill/>
                          </a:ln>
                        </pic:spPr>
                      </pic:pic>
                    </a:graphicData>
                  </a:graphic>
                </wp:anchor>
              </w:drawing>
            </w:r>
          </w:p>
          <w:p w14:paraId="27371309">
            <w:pPr>
              <w:pStyle w:val="279"/>
              <w:spacing w:before="37" w:line="231" w:lineRule="auto"/>
              <w:ind w:right="45"/>
              <w:jc w:val="both"/>
              <w:rPr>
                <w:rFonts w:hint="eastAsia" w:ascii="仿宋" w:hAnsi="仿宋" w:eastAsia="仿宋" w:cs="仿宋"/>
                <w:b/>
                <w:bCs/>
                <w:color w:val="auto"/>
                <w:spacing w:val="-2"/>
                <w:kern w:val="2"/>
                <w:sz w:val="24"/>
                <w:szCs w:val="24"/>
                <w:highlight w:val="none"/>
                <w:lang w:val="en-US" w:eastAsia="en-US" w:bidi="ar-SA"/>
              </w:rPr>
            </w:pPr>
            <w:r>
              <w:rPr>
                <w:rFonts w:hint="eastAsia" w:ascii="仿宋" w:hAnsi="仿宋" w:eastAsia="仿宋" w:cs="仿宋"/>
                <w:b/>
                <w:bCs/>
                <w:color w:val="auto"/>
                <w:spacing w:val="-5"/>
                <w:kern w:val="2"/>
                <w:sz w:val="24"/>
                <w:szCs w:val="24"/>
                <w:highlight w:val="none"/>
                <w:lang w:val="en-US" w:eastAsia="en-US" w:bidi="ar-SA"/>
              </w:rPr>
              <w:t>桶内光洁，方便倾倒垃圾，减少垃圾残留，易于清洁。垃圾桶桶身内壁有容积刻度（从20升起，10升/刻度），垃圾处理人员能通过容积刻度，快速看出垃圾容积。</w:t>
            </w:r>
          </w:p>
        </w:tc>
      </w:tr>
      <w:tr w14:paraId="39763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840" w:type="dxa"/>
            <w:gridSpan w:val="2"/>
            <w:noWrap w:val="0"/>
            <w:vAlign w:val="top"/>
          </w:tcPr>
          <w:p w14:paraId="07ADBFB8">
            <w:pPr>
              <w:pStyle w:val="279"/>
              <w:spacing w:before="37" w:line="231" w:lineRule="auto"/>
              <w:ind w:left="117" w:right="45"/>
              <w:jc w:val="center"/>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drawing>
                <wp:inline distT="0" distB="0" distL="114300" distR="114300">
                  <wp:extent cx="2103755" cy="1516380"/>
                  <wp:effectExtent l="0" t="0" r="10795" b="7620"/>
                  <wp:docPr id="7" name="图片 5"/>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22"/>
                          <a:stretch>
                            <a:fillRect/>
                          </a:stretch>
                        </pic:blipFill>
                        <pic:spPr>
                          <a:xfrm>
                            <a:off x="0" y="0"/>
                            <a:ext cx="2103755" cy="1516380"/>
                          </a:xfrm>
                          <a:prstGeom prst="rect">
                            <a:avLst/>
                          </a:prstGeom>
                          <a:noFill/>
                          <a:ln>
                            <a:noFill/>
                          </a:ln>
                        </pic:spPr>
                      </pic:pic>
                    </a:graphicData>
                  </a:graphic>
                </wp:inline>
              </w:drawing>
            </w:r>
          </w:p>
          <w:p w14:paraId="0FB3945C">
            <w:pPr>
              <w:pStyle w:val="279"/>
              <w:spacing w:before="37" w:line="231" w:lineRule="auto"/>
              <w:ind w:left="117" w:right="45"/>
              <w:jc w:val="both"/>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把手防滑凸点设计，使手掌能舒适</w:t>
            </w:r>
            <w:r>
              <w:rPr>
                <w:rFonts w:hint="eastAsia" w:ascii="仿宋" w:hAnsi="仿宋" w:eastAsia="仿宋" w:cs="仿宋"/>
                <w:b/>
                <w:bCs/>
                <w:color w:val="auto"/>
                <w:spacing w:val="-5"/>
                <w:highlight w:val="none"/>
                <w:lang w:val="en-US" w:eastAsia="zh-CN"/>
              </w:rPr>
              <w:t>地</w:t>
            </w:r>
            <w:r>
              <w:rPr>
                <w:rFonts w:hint="eastAsia" w:ascii="仿宋" w:hAnsi="仿宋" w:eastAsia="仿宋" w:cs="仿宋"/>
                <w:b/>
                <w:bCs/>
                <w:color w:val="auto"/>
                <w:spacing w:val="-5"/>
                <w:highlight w:val="none"/>
                <w:lang w:val="en-US" w:eastAsia="en-US"/>
              </w:rPr>
              <w:t>掌握，</w:t>
            </w:r>
          </w:p>
          <w:p w14:paraId="389D5C90">
            <w:pPr>
              <w:pStyle w:val="279"/>
              <w:spacing w:before="37" w:line="231" w:lineRule="auto"/>
              <w:ind w:left="117" w:right="45"/>
              <w:jc w:val="both"/>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并能发挥全部手部力量。在移动垃圾桶时</w:t>
            </w:r>
          </w:p>
          <w:p w14:paraId="05811F9B">
            <w:pPr>
              <w:pStyle w:val="279"/>
              <w:spacing w:before="37" w:line="231" w:lineRule="auto"/>
              <w:ind w:left="117" w:right="45"/>
              <w:jc w:val="both"/>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更轻松，推拉灵活方便。</w:t>
            </w:r>
          </w:p>
          <w:p w14:paraId="00A124AF">
            <w:pPr>
              <w:pStyle w:val="279"/>
              <w:spacing w:before="37" w:line="231" w:lineRule="auto"/>
              <w:ind w:left="117" w:right="45"/>
              <w:jc w:val="both"/>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把手两边有垃圾袋收紧固定装置，让操作 人员能将垃圾袋收紧扣牢且不易松脱。</w:t>
            </w:r>
          </w:p>
        </w:tc>
        <w:tc>
          <w:tcPr>
            <w:tcW w:w="5143" w:type="dxa"/>
            <w:gridSpan w:val="2"/>
            <w:noWrap w:val="0"/>
            <w:vAlign w:val="center"/>
          </w:tcPr>
          <w:p w14:paraId="67578424">
            <w:pPr>
              <w:pStyle w:val="279"/>
              <w:spacing w:before="37" w:line="231" w:lineRule="auto"/>
              <w:ind w:left="117" w:right="45"/>
              <w:jc w:val="center"/>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drawing>
                <wp:inline distT="0" distB="0" distL="114300" distR="114300">
                  <wp:extent cx="2127250" cy="1555750"/>
                  <wp:effectExtent l="0" t="0" r="6350" b="6350"/>
                  <wp:docPr id="18" name="图片 6"/>
                  <wp:cNvGraphicFramePr/>
                  <a:graphic xmlns:a="http://schemas.openxmlformats.org/drawingml/2006/main">
                    <a:graphicData uri="http://schemas.openxmlformats.org/drawingml/2006/picture">
                      <pic:pic xmlns:pic="http://schemas.openxmlformats.org/drawingml/2006/picture">
                        <pic:nvPicPr>
                          <pic:cNvPr id="18" name="图片 6"/>
                          <pic:cNvPicPr/>
                        </pic:nvPicPr>
                        <pic:blipFill>
                          <a:blip r:embed="rId23"/>
                          <a:stretch>
                            <a:fillRect/>
                          </a:stretch>
                        </pic:blipFill>
                        <pic:spPr>
                          <a:xfrm>
                            <a:off x="0" y="0"/>
                            <a:ext cx="2127250" cy="1555750"/>
                          </a:xfrm>
                          <a:prstGeom prst="rect">
                            <a:avLst/>
                          </a:prstGeom>
                          <a:noFill/>
                          <a:ln>
                            <a:noFill/>
                          </a:ln>
                        </pic:spPr>
                      </pic:pic>
                    </a:graphicData>
                  </a:graphic>
                </wp:inline>
              </w:drawing>
            </w:r>
          </w:p>
          <w:p w14:paraId="03E94C70">
            <w:pPr>
              <w:pStyle w:val="279"/>
              <w:spacing w:before="37" w:line="231" w:lineRule="auto"/>
              <w:ind w:left="117" w:right="45"/>
              <w:jc w:val="left"/>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2"/>
                <w:highlight w:val="none"/>
                <w:lang w:val="en-US" w:eastAsia="en-US"/>
              </w:rPr>
              <w:t>垃圾桶桶体正面沿口添置连贯性加强筋，使桶能承受足够的机械强度和更大的冲击力，挂车更牢固。</w:t>
            </w:r>
          </w:p>
        </w:tc>
      </w:tr>
      <w:tr w14:paraId="5D30B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840" w:type="dxa"/>
            <w:gridSpan w:val="2"/>
            <w:noWrap w:val="0"/>
            <w:vAlign w:val="top"/>
          </w:tcPr>
          <w:p w14:paraId="7566802D">
            <w:pPr>
              <w:spacing w:before="79" w:line="2969" w:lineRule="exact"/>
              <w:ind w:firstLine="610"/>
              <w:rPr>
                <w:rFonts w:hint="eastAsia" w:ascii="仿宋" w:hAnsi="仿宋" w:eastAsia="仿宋" w:cs="仿宋"/>
                <w:color w:val="auto"/>
                <w:highlight w:val="none"/>
              </w:rPr>
            </w:pPr>
            <w:r>
              <w:rPr>
                <w:rFonts w:hint="eastAsia" w:ascii="仿宋" w:hAnsi="仿宋" w:eastAsia="仿宋" w:cs="仿宋"/>
                <w:color w:val="auto"/>
                <w:position w:val="-59"/>
                <w:highlight w:val="none"/>
              </w:rPr>
              <w:drawing>
                <wp:inline distT="0" distB="0" distL="114300" distR="114300">
                  <wp:extent cx="1953895" cy="1651635"/>
                  <wp:effectExtent l="0" t="0" r="8255" b="5715"/>
                  <wp:docPr id="15" name="图片 7"/>
                  <wp:cNvGraphicFramePr/>
                  <a:graphic xmlns:a="http://schemas.openxmlformats.org/drawingml/2006/main">
                    <a:graphicData uri="http://schemas.openxmlformats.org/drawingml/2006/picture">
                      <pic:pic xmlns:pic="http://schemas.openxmlformats.org/drawingml/2006/picture">
                        <pic:nvPicPr>
                          <pic:cNvPr id="15" name="图片 7"/>
                          <pic:cNvPicPr/>
                        </pic:nvPicPr>
                        <pic:blipFill>
                          <a:blip r:embed="rId24"/>
                          <a:stretch>
                            <a:fillRect/>
                          </a:stretch>
                        </pic:blipFill>
                        <pic:spPr>
                          <a:xfrm>
                            <a:off x="0" y="0"/>
                            <a:ext cx="1953895" cy="1651635"/>
                          </a:xfrm>
                          <a:prstGeom prst="rect">
                            <a:avLst/>
                          </a:prstGeom>
                          <a:noFill/>
                          <a:ln>
                            <a:noFill/>
                          </a:ln>
                        </pic:spPr>
                      </pic:pic>
                    </a:graphicData>
                  </a:graphic>
                </wp:inline>
              </w:drawing>
            </w:r>
          </w:p>
          <w:p w14:paraId="610A67B2">
            <w:pPr>
              <w:pStyle w:val="279"/>
              <w:spacing w:before="111" w:line="223" w:lineRule="auto"/>
              <w:ind w:left="160" w:right="140" w:hanging="7"/>
              <w:rPr>
                <w:rFonts w:hint="eastAsia" w:ascii="仿宋" w:hAnsi="仿宋" w:eastAsia="仿宋" w:cs="仿宋"/>
                <w:color w:val="auto"/>
                <w:highlight w:val="none"/>
              </w:rPr>
            </w:pPr>
            <w:r>
              <w:rPr>
                <w:rFonts w:hint="eastAsia" w:ascii="仿宋" w:hAnsi="仿宋" w:eastAsia="仿宋" w:cs="仿宋"/>
                <w:b/>
                <w:bCs/>
                <w:color w:val="auto"/>
                <w:spacing w:val="-5"/>
                <w:highlight w:val="none"/>
                <w:lang w:val="en-US" w:eastAsia="en-US"/>
              </w:rPr>
              <w:t>垃圾桶底部铁轴按提手设计，即使垃圾桶负荷工作的情况下，工作人员仍能轻松</w:t>
            </w:r>
            <w:r>
              <w:rPr>
                <w:rFonts w:hint="eastAsia" w:ascii="仿宋" w:hAnsi="仿宋" w:eastAsia="仿宋" w:cs="仿宋"/>
                <w:b/>
                <w:bCs/>
                <w:color w:val="auto"/>
                <w:spacing w:val="-5"/>
                <w:highlight w:val="none"/>
                <w:lang w:val="en-US" w:eastAsia="zh-CN"/>
              </w:rPr>
              <w:t>地</w:t>
            </w:r>
            <w:r>
              <w:rPr>
                <w:rFonts w:hint="eastAsia" w:ascii="仿宋" w:hAnsi="仿宋" w:eastAsia="仿宋" w:cs="仿宋"/>
                <w:b/>
                <w:bCs/>
                <w:color w:val="auto"/>
                <w:spacing w:val="-3"/>
                <w:highlight w:val="none"/>
              </w:rPr>
              <w:t>翻倒垃圾桶。</w:t>
            </w:r>
          </w:p>
        </w:tc>
        <w:tc>
          <w:tcPr>
            <w:tcW w:w="5143" w:type="dxa"/>
            <w:gridSpan w:val="2"/>
            <w:noWrap w:val="0"/>
            <w:vAlign w:val="top"/>
          </w:tcPr>
          <w:p w14:paraId="3CF41744">
            <w:pPr>
              <w:spacing w:before="137" w:line="3165" w:lineRule="exact"/>
              <w:ind w:firstLine="1068"/>
              <w:rPr>
                <w:rFonts w:hint="eastAsia" w:ascii="仿宋" w:hAnsi="仿宋" w:eastAsia="仿宋" w:cs="仿宋"/>
                <w:color w:val="auto"/>
                <w:highlight w:val="none"/>
              </w:rPr>
            </w:pPr>
            <w:r>
              <w:rPr>
                <w:rFonts w:hint="eastAsia" w:ascii="仿宋" w:hAnsi="仿宋" w:eastAsia="仿宋" w:cs="仿宋"/>
                <w:color w:val="auto"/>
                <w:position w:val="-63"/>
                <w:highlight w:val="none"/>
              </w:rPr>
              <w:drawing>
                <wp:anchor distT="0" distB="0" distL="114300" distR="114300" simplePos="0" relativeHeight="251660288" behindDoc="1" locked="0" layoutInCell="1" allowOverlap="1">
                  <wp:simplePos x="0" y="0"/>
                  <wp:positionH relativeFrom="column">
                    <wp:posOffset>340360</wp:posOffset>
                  </wp:positionH>
                  <wp:positionV relativeFrom="paragraph">
                    <wp:posOffset>59055</wp:posOffset>
                  </wp:positionV>
                  <wp:extent cx="2440940" cy="2009775"/>
                  <wp:effectExtent l="0" t="0" r="16510" b="9525"/>
                  <wp:wrapNone/>
                  <wp:docPr id="10" name="图片 4"/>
                  <wp:cNvGraphicFramePr/>
                  <a:graphic xmlns:a="http://schemas.openxmlformats.org/drawingml/2006/main">
                    <a:graphicData uri="http://schemas.openxmlformats.org/drawingml/2006/picture">
                      <pic:pic xmlns:pic="http://schemas.openxmlformats.org/drawingml/2006/picture">
                        <pic:nvPicPr>
                          <pic:cNvPr id="10" name="图片 4"/>
                          <pic:cNvPicPr/>
                        </pic:nvPicPr>
                        <pic:blipFill>
                          <a:blip r:embed="rId25"/>
                          <a:stretch>
                            <a:fillRect/>
                          </a:stretch>
                        </pic:blipFill>
                        <pic:spPr>
                          <a:xfrm>
                            <a:off x="0" y="0"/>
                            <a:ext cx="2440940" cy="2009775"/>
                          </a:xfrm>
                          <a:prstGeom prst="rect">
                            <a:avLst/>
                          </a:prstGeom>
                          <a:noFill/>
                          <a:ln>
                            <a:noFill/>
                          </a:ln>
                        </pic:spPr>
                      </pic:pic>
                    </a:graphicData>
                  </a:graphic>
                </wp:anchor>
              </w:drawing>
            </w:r>
          </w:p>
          <w:p w14:paraId="4D21C231">
            <w:pPr>
              <w:pStyle w:val="279"/>
              <w:spacing w:before="37" w:line="231" w:lineRule="auto"/>
              <w:ind w:left="117" w:right="45"/>
              <w:jc w:val="both"/>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垃圾桶桶底采用三裙边设计制作，并在桶底嵌有钢质耐磨钉，耐磨钉数量≥30颗，保证在使用过程中底部不易</w:t>
            </w:r>
          </w:p>
          <w:p w14:paraId="35192EA6">
            <w:pPr>
              <w:pStyle w:val="279"/>
              <w:spacing w:before="37" w:line="231" w:lineRule="auto"/>
              <w:ind w:left="117" w:right="45"/>
              <w:jc w:val="both"/>
              <w:rPr>
                <w:rFonts w:hint="eastAsia" w:ascii="仿宋" w:hAnsi="仿宋" w:eastAsia="仿宋" w:cs="仿宋"/>
                <w:color w:val="auto"/>
                <w:highlight w:val="none"/>
              </w:rPr>
            </w:pPr>
            <w:r>
              <w:rPr>
                <w:rFonts w:hint="eastAsia" w:ascii="仿宋" w:hAnsi="仿宋" w:eastAsia="仿宋" w:cs="仿宋"/>
                <w:b/>
                <w:bCs/>
                <w:color w:val="auto"/>
                <w:spacing w:val="-5"/>
                <w:highlight w:val="none"/>
                <w:lang w:val="en-US" w:eastAsia="en-US"/>
              </w:rPr>
              <w:t>磨损、底部并安装有一块经模具一次性</w:t>
            </w:r>
            <w:r>
              <w:rPr>
                <w:rFonts w:hint="eastAsia" w:ascii="仿宋" w:hAnsi="仿宋" w:eastAsia="仿宋" w:cs="仿宋"/>
                <w:b/>
                <w:bCs/>
                <w:color w:val="auto"/>
                <w:spacing w:val="-5"/>
                <w:highlight w:val="none"/>
                <w:lang w:val="en-US" w:eastAsia="zh-CN"/>
              </w:rPr>
              <w:t>压铸</w:t>
            </w:r>
            <w:r>
              <w:rPr>
                <w:rFonts w:hint="eastAsia" w:ascii="仿宋" w:hAnsi="仿宋" w:eastAsia="仿宋" w:cs="仿宋"/>
                <w:b/>
                <w:bCs/>
                <w:color w:val="auto"/>
                <w:spacing w:val="-5"/>
                <w:highlight w:val="none"/>
                <w:lang w:val="en-US" w:eastAsia="en-US"/>
              </w:rPr>
              <w:t>成型的U型橡胶防滑耐磨垫。</w:t>
            </w:r>
          </w:p>
        </w:tc>
      </w:tr>
      <w:tr w14:paraId="2CF3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840" w:type="dxa"/>
            <w:gridSpan w:val="2"/>
            <w:noWrap w:val="0"/>
            <w:vAlign w:val="top"/>
          </w:tcPr>
          <w:p w14:paraId="4B183326">
            <w:pPr>
              <w:pStyle w:val="279"/>
              <w:spacing w:before="41" w:line="22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drawing>
                <wp:anchor distT="0" distB="0" distL="114300" distR="114300" simplePos="0" relativeHeight="251661312" behindDoc="1" locked="0" layoutInCell="1" allowOverlap="1">
                  <wp:simplePos x="0" y="0"/>
                  <wp:positionH relativeFrom="column">
                    <wp:posOffset>172085</wp:posOffset>
                  </wp:positionH>
                  <wp:positionV relativeFrom="paragraph">
                    <wp:posOffset>65405</wp:posOffset>
                  </wp:positionV>
                  <wp:extent cx="2571750" cy="1562100"/>
                  <wp:effectExtent l="0" t="0" r="0" b="0"/>
                  <wp:wrapNone/>
                  <wp:docPr id="17"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图片3"/>
                          <pic:cNvPicPr>
                            <a:picLocks noChangeAspect="1"/>
                          </pic:cNvPicPr>
                        </pic:nvPicPr>
                        <pic:blipFill>
                          <a:blip r:embed="rId26"/>
                          <a:stretch>
                            <a:fillRect/>
                          </a:stretch>
                        </pic:blipFill>
                        <pic:spPr>
                          <a:xfrm>
                            <a:off x="0" y="0"/>
                            <a:ext cx="2571750" cy="1562100"/>
                          </a:xfrm>
                          <a:prstGeom prst="rect">
                            <a:avLst/>
                          </a:prstGeom>
                          <a:noFill/>
                          <a:ln>
                            <a:noFill/>
                          </a:ln>
                        </pic:spPr>
                      </pic:pic>
                    </a:graphicData>
                  </a:graphic>
                </wp:anchor>
              </w:drawing>
            </w:r>
          </w:p>
          <w:p w14:paraId="2878A455">
            <w:pPr>
              <w:bidi w:val="0"/>
              <w:rPr>
                <w:rFonts w:hint="eastAsia"/>
                <w:color w:val="auto"/>
                <w:highlight w:val="none"/>
                <w:lang w:eastAsia="zh-CN"/>
              </w:rPr>
            </w:pPr>
          </w:p>
          <w:p w14:paraId="0A2170E3">
            <w:pPr>
              <w:bidi w:val="0"/>
              <w:rPr>
                <w:rFonts w:hint="eastAsia"/>
                <w:color w:val="auto"/>
                <w:highlight w:val="none"/>
                <w:lang w:eastAsia="zh-CN"/>
              </w:rPr>
            </w:pPr>
          </w:p>
          <w:p w14:paraId="1946C3E7">
            <w:pPr>
              <w:bidi w:val="0"/>
              <w:rPr>
                <w:rFonts w:hint="eastAsia"/>
                <w:color w:val="auto"/>
                <w:highlight w:val="none"/>
                <w:lang w:eastAsia="zh-CN"/>
              </w:rPr>
            </w:pPr>
          </w:p>
          <w:p w14:paraId="77F29E92">
            <w:pPr>
              <w:bidi w:val="0"/>
              <w:rPr>
                <w:rFonts w:hint="eastAsia"/>
                <w:color w:val="auto"/>
                <w:highlight w:val="none"/>
                <w:lang w:eastAsia="zh-CN"/>
              </w:rPr>
            </w:pPr>
          </w:p>
          <w:p w14:paraId="6C8AD98E">
            <w:pPr>
              <w:bidi w:val="0"/>
              <w:rPr>
                <w:rFonts w:hint="eastAsia"/>
                <w:color w:val="auto"/>
                <w:highlight w:val="none"/>
                <w:lang w:eastAsia="zh-CN"/>
              </w:rPr>
            </w:pPr>
          </w:p>
          <w:p w14:paraId="51B14011">
            <w:pPr>
              <w:bidi w:val="0"/>
              <w:rPr>
                <w:rFonts w:hint="eastAsia"/>
                <w:color w:val="auto"/>
                <w:highlight w:val="none"/>
                <w:lang w:eastAsia="zh-CN"/>
              </w:rPr>
            </w:pPr>
          </w:p>
          <w:p w14:paraId="1AED77CE">
            <w:pPr>
              <w:bidi w:val="0"/>
              <w:rPr>
                <w:rFonts w:hint="eastAsia"/>
                <w:color w:val="auto"/>
                <w:highlight w:val="none"/>
                <w:lang w:eastAsia="zh-CN"/>
              </w:rPr>
            </w:pPr>
          </w:p>
          <w:p w14:paraId="70DDA29A">
            <w:pPr>
              <w:bidi w:val="0"/>
              <w:rPr>
                <w:rFonts w:hint="eastAsia"/>
                <w:color w:val="auto"/>
                <w:highlight w:val="none"/>
                <w:lang w:eastAsia="zh-CN"/>
              </w:rPr>
            </w:pPr>
          </w:p>
          <w:p w14:paraId="4F7CDA88">
            <w:pPr>
              <w:bidi w:val="0"/>
              <w:rPr>
                <w:rFonts w:hint="eastAsia"/>
                <w:color w:val="auto"/>
                <w:highlight w:val="none"/>
                <w:lang w:eastAsia="zh-CN"/>
              </w:rPr>
            </w:pPr>
          </w:p>
          <w:p w14:paraId="59C8A47E">
            <w:pPr>
              <w:pStyle w:val="279"/>
              <w:spacing w:before="111" w:line="223" w:lineRule="auto"/>
              <w:ind w:left="160" w:right="140" w:hanging="7"/>
              <w:rPr>
                <w:rFonts w:hint="eastAsia" w:ascii="仿宋" w:hAnsi="仿宋" w:eastAsia="仿宋" w:cs="仿宋"/>
                <w:b/>
                <w:bCs/>
                <w:color w:val="auto"/>
                <w:spacing w:val="-5"/>
                <w:highlight w:val="none"/>
                <w:lang w:val="en-US" w:eastAsia="en-US"/>
              </w:rPr>
            </w:pPr>
            <w:r>
              <w:rPr>
                <w:rFonts w:hint="eastAsia" w:ascii="仿宋" w:hAnsi="仿宋" w:eastAsia="仿宋" w:cs="仿宋"/>
                <w:b/>
                <w:bCs/>
                <w:color w:val="auto"/>
                <w:spacing w:val="-5"/>
                <w:highlight w:val="none"/>
                <w:lang w:val="en-US" w:eastAsia="en-US"/>
              </w:rPr>
              <w:t>身与把手连接设纵向加强筋，坚固耐用，</w:t>
            </w:r>
          </w:p>
          <w:p w14:paraId="25FFCD21">
            <w:pPr>
              <w:pStyle w:val="279"/>
              <w:spacing w:before="111" w:line="223" w:lineRule="auto"/>
              <w:ind w:left="160" w:right="140" w:hanging="7"/>
              <w:rPr>
                <w:rFonts w:hint="eastAsia"/>
                <w:color w:val="auto"/>
                <w:highlight w:val="none"/>
                <w:lang w:eastAsia="zh-CN"/>
              </w:rPr>
            </w:pPr>
            <w:r>
              <w:rPr>
                <w:rFonts w:hint="eastAsia" w:ascii="仿宋" w:hAnsi="仿宋" w:eastAsia="仿宋" w:cs="仿宋"/>
                <w:b/>
                <w:bCs/>
                <w:color w:val="auto"/>
                <w:spacing w:val="-5"/>
                <w:highlight w:val="none"/>
                <w:lang w:val="en-US" w:eastAsia="en-US"/>
              </w:rPr>
              <w:t>使用时间更长。</w:t>
            </w:r>
          </w:p>
        </w:tc>
        <w:tc>
          <w:tcPr>
            <w:tcW w:w="5143" w:type="dxa"/>
            <w:gridSpan w:val="2"/>
            <w:noWrap w:val="0"/>
            <w:vAlign w:val="top"/>
          </w:tcPr>
          <w:p w14:paraId="236DFF95">
            <w:pPr>
              <w:pStyle w:val="279"/>
              <w:spacing w:before="24" w:line="224" w:lineRule="auto"/>
              <w:ind w:left="2036" w:right="109" w:hanging="19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drawing>
                <wp:anchor distT="0" distB="0" distL="114300" distR="114300" simplePos="0" relativeHeight="251662336" behindDoc="1" locked="0" layoutInCell="1" allowOverlap="1">
                  <wp:simplePos x="0" y="0"/>
                  <wp:positionH relativeFrom="column">
                    <wp:posOffset>178435</wp:posOffset>
                  </wp:positionH>
                  <wp:positionV relativeFrom="paragraph">
                    <wp:posOffset>109220</wp:posOffset>
                  </wp:positionV>
                  <wp:extent cx="2692400" cy="1338580"/>
                  <wp:effectExtent l="0" t="0" r="12700" b="13970"/>
                  <wp:wrapNone/>
                  <wp:docPr id="12"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图片4"/>
                          <pic:cNvPicPr>
                            <a:picLocks noChangeAspect="1"/>
                          </pic:cNvPicPr>
                        </pic:nvPicPr>
                        <pic:blipFill>
                          <a:blip r:embed="rId27"/>
                          <a:stretch>
                            <a:fillRect/>
                          </a:stretch>
                        </pic:blipFill>
                        <pic:spPr>
                          <a:xfrm>
                            <a:off x="0" y="0"/>
                            <a:ext cx="2692400" cy="1338580"/>
                          </a:xfrm>
                          <a:prstGeom prst="rect">
                            <a:avLst/>
                          </a:prstGeom>
                          <a:noFill/>
                          <a:ln>
                            <a:noFill/>
                          </a:ln>
                        </pic:spPr>
                      </pic:pic>
                    </a:graphicData>
                  </a:graphic>
                </wp:anchor>
              </w:drawing>
            </w:r>
          </w:p>
          <w:p w14:paraId="14AA88F3">
            <w:pPr>
              <w:bidi w:val="0"/>
              <w:rPr>
                <w:rFonts w:hint="eastAsia"/>
                <w:color w:val="auto"/>
                <w:highlight w:val="none"/>
                <w:lang w:eastAsia="zh-CN"/>
              </w:rPr>
            </w:pPr>
          </w:p>
          <w:p w14:paraId="1398BA8A">
            <w:pPr>
              <w:bidi w:val="0"/>
              <w:rPr>
                <w:rFonts w:hint="eastAsia"/>
                <w:color w:val="auto"/>
                <w:highlight w:val="none"/>
                <w:lang w:eastAsia="zh-CN"/>
              </w:rPr>
            </w:pPr>
          </w:p>
          <w:p w14:paraId="02812A21">
            <w:pPr>
              <w:bidi w:val="0"/>
              <w:rPr>
                <w:rFonts w:hint="eastAsia"/>
                <w:color w:val="auto"/>
                <w:highlight w:val="none"/>
                <w:lang w:eastAsia="zh-CN"/>
              </w:rPr>
            </w:pPr>
          </w:p>
          <w:p w14:paraId="095A3F81">
            <w:pPr>
              <w:bidi w:val="0"/>
              <w:rPr>
                <w:rFonts w:hint="eastAsia"/>
                <w:color w:val="auto"/>
                <w:highlight w:val="none"/>
                <w:lang w:eastAsia="zh-CN"/>
              </w:rPr>
            </w:pPr>
          </w:p>
          <w:p w14:paraId="099F9011">
            <w:pPr>
              <w:bidi w:val="0"/>
              <w:rPr>
                <w:rFonts w:hint="eastAsia"/>
                <w:color w:val="auto"/>
                <w:highlight w:val="none"/>
                <w:lang w:eastAsia="zh-CN"/>
              </w:rPr>
            </w:pPr>
          </w:p>
          <w:p w14:paraId="52B0123A">
            <w:pPr>
              <w:bidi w:val="0"/>
              <w:rPr>
                <w:rFonts w:hint="eastAsia"/>
                <w:color w:val="auto"/>
                <w:highlight w:val="none"/>
                <w:lang w:eastAsia="zh-CN"/>
              </w:rPr>
            </w:pPr>
          </w:p>
          <w:p w14:paraId="5456CFE3">
            <w:pPr>
              <w:bidi w:val="0"/>
              <w:rPr>
                <w:rFonts w:hint="eastAsia"/>
                <w:color w:val="auto"/>
                <w:highlight w:val="none"/>
                <w:lang w:eastAsia="zh-CN"/>
              </w:rPr>
            </w:pPr>
          </w:p>
          <w:p w14:paraId="5E6A1051">
            <w:pPr>
              <w:bidi w:val="0"/>
              <w:rPr>
                <w:rFonts w:hint="eastAsia"/>
                <w:color w:val="auto"/>
                <w:highlight w:val="none"/>
                <w:lang w:eastAsia="zh-CN"/>
              </w:rPr>
            </w:pPr>
          </w:p>
          <w:p w14:paraId="499596FF">
            <w:pPr>
              <w:bidi w:val="0"/>
              <w:rPr>
                <w:rFonts w:hint="eastAsia"/>
                <w:color w:val="auto"/>
                <w:highlight w:val="none"/>
                <w:lang w:eastAsia="zh-CN"/>
              </w:rPr>
            </w:pPr>
          </w:p>
          <w:p w14:paraId="471CBE00">
            <w:pPr>
              <w:pStyle w:val="279"/>
              <w:spacing w:before="111" w:line="223" w:lineRule="auto"/>
              <w:ind w:right="140"/>
              <w:rPr>
                <w:rFonts w:hint="eastAsia"/>
                <w:color w:val="auto"/>
                <w:highlight w:val="none"/>
                <w:lang w:eastAsia="zh-CN"/>
              </w:rPr>
            </w:pPr>
            <w:r>
              <w:rPr>
                <w:rFonts w:hint="eastAsia" w:ascii="仿宋" w:hAnsi="仿宋" w:eastAsia="仿宋" w:cs="仿宋"/>
                <w:b/>
                <w:bCs/>
                <w:color w:val="auto"/>
                <w:spacing w:val="-5"/>
                <w:highlight w:val="none"/>
                <w:lang w:val="en-US" w:eastAsia="zh-CN"/>
              </w:rPr>
              <w:t>四周加强筋，使桶能承受足够的机械强度和更大的冲击力。</w:t>
            </w:r>
          </w:p>
        </w:tc>
      </w:tr>
      <w:tr w14:paraId="754F4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840" w:type="dxa"/>
            <w:gridSpan w:val="2"/>
            <w:noWrap w:val="0"/>
            <w:vAlign w:val="top"/>
          </w:tcPr>
          <w:p w14:paraId="11F6608D">
            <w:pPr>
              <w:spacing w:before="43" w:line="1169" w:lineRule="exact"/>
              <w:ind w:firstLine="264"/>
              <w:rPr>
                <w:rFonts w:hint="eastAsia" w:ascii="仿宋" w:hAnsi="仿宋" w:eastAsia="仿宋" w:cs="仿宋"/>
                <w:color w:val="auto"/>
                <w:highlight w:val="none"/>
              </w:rPr>
            </w:pPr>
            <w:r>
              <w:rPr>
                <w:rFonts w:hint="eastAsia" w:ascii="仿宋" w:hAnsi="仿宋" w:eastAsia="仿宋" w:cs="仿宋"/>
                <w:color w:val="auto"/>
                <w:position w:val="-23"/>
                <w:highlight w:val="none"/>
              </w:rPr>
              <w:drawing>
                <wp:inline distT="0" distB="0" distL="114300" distR="114300">
                  <wp:extent cx="2596515" cy="741680"/>
                  <wp:effectExtent l="0" t="0" r="13335" b="1270"/>
                  <wp:docPr id="1" name="图片 8"/>
                  <wp:cNvGraphicFramePr/>
                  <a:graphic xmlns:a="http://schemas.openxmlformats.org/drawingml/2006/main">
                    <a:graphicData uri="http://schemas.openxmlformats.org/drawingml/2006/picture">
                      <pic:pic xmlns:pic="http://schemas.openxmlformats.org/drawingml/2006/picture">
                        <pic:nvPicPr>
                          <pic:cNvPr id="1" name="图片 8"/>
                          <pic:cNvPicPr/>
                        </pic:nvPicPr>
                        <pic:blipFill>
                          <a:blip r:embed="rId28"/>
                          <a:stretch>
                            <a:fillRect/>
                          </a:stretch>
                        </pic:blipFill>
                        <pic:spPr>
                          <a:xfrm>
                            <a:off x="0" y="0"/>
                            <a:ext cx="2596515" cy="741680"/>
                          </a:xfrm>
                          <a:prstGeom prst="rect">
                            <a:avLst/>
                          </a:prstGeom>
                          <a:noFill/>
                          <a:ln>
                            <a:noFill/>
                          </a:ln>
                        </pic:spPr>
                      </pic:pic>
                    </a:graphicData>
                  </a:graphic>
                </wp:inline>
              </w:drawing>
            </w:r>
          </w:p>
          <w:p w14:paraId="2F0EF258">
            <w:pPr>
              <w:spacing w:before="105" w:line="1428" w:lineRule="exact"/>
              <w:ind w:firstLine="108"/>
              <w:rPr>
                <w:rFonts w:hint="eastAsia" w:ascii="仿宋" w:hAnsi="仿宋" w:eastAsia="仿宋" w:cs="仿宋"/>
                <w:color w:val="auto"/>
                <w:highlight w:val="none"/>
              </w:rPr>
            </w:pPr>
            <w:r>
              <w:rPr>
                <w:rFonts w:hint="eastAsia" w:ascii="仿宋" w:hAnsi="仿宋" w:eastAsia="仿宋" w:cs="仿宋"/>
                <w:color w:val="auto"/>
                <w:position w:val="-28"/>
                <w:highlight w:val="none"/>
              </w:rPr>
              <w:drawing>
                <wp:inline distT="0" distB="0" distL="114300" distR="114300">
                  <wp:extent cx="2809875" cy="906145"/>
                  <wp:effectExtent l="0" t="0" r="9525" b="8255"/>
                  <wp:docPr id="13" name="图片 9"/>
                  <wp:cNvGraphicFramePr/>
                  <a:graphic xmlns:a="http://schemas.openxmlformats.org/drawingml/2006/main">
                    <a:graphicData uri="http://schemas.openxmlformats.org/drawingml/2006/picture">
                      <pic:pic xmlns:pic="http://schemas.openxmlformats.org/drawingml/2006/picture">
                        <pic:nvPicPr>
                          <pic:cNvPr id="13" name="图片 9"/>
                          <pic:cNvPicPr/>
                        </pic:nvPicPr>
                        <pic:blipFill>
                          <a:blip r:embed="rId29"/>
                          <a:stretch>
                            <a:fillRect/>
                          </a:stretch>
                        </pic:blipFill>
                        <pic:spPr>
                          <a:xfrm>
                            <a:off x="0" y="0"/>
                            <a:ext cx="2809875" cy="906145"/>
                          </a:xfrm>
                          <a:prstGeom prst="rect">
                            <a:avLst/>
                          </a:prstGeom>
                          <a:noFill/>
                          <a:ln>
                            <a:noFill/>
                          </a:ln>
                        </pic:spPr>
                      </pic:pic>
                    </a:graphicData>
                  </a:graphic>
                </wp:inline>
              </w:drawing>
            </w:r>
          </w:p>
          <w:p w14:paraId="7314A8C5">
            <w:pPr>
              <w:pStyle w:val="279"/>
              <w:spacing w:before="101" w:line="224" w:lineRule="auto"/>
              <w:ind w:left="1475" w:right="140" w:hanging="1324"/>
              <w:rPr>
                <w:rFonts w:hint="eastAsia" w:ascii="仿宋" w:hAnsi="仿宋" w:eastAsia="仿宋" w:cs="仿宋"/>
                <w:color w:val="auto"/>
                <w:highlight w:val="none"/>
              </w:rPr>
            </w:pPr>
            <w:r>
              <w:rPr>
                <w:rFonts w:hint="eastAsia" w:ascii="仿宋" w:hAnsi="仿宋" w:eastAsia="仿宋" w:cs="仿宋"/>
                <w:b/>
                <w:bCs/>
                <w:color w:val="auto"/>
                <w:spacing w:val="-5"/>
                <w:highlight w:val="none"/>
                <w:lang w:val="en-US" w:eastAsia="en-US"/>
              </w:rPr>
              <w:t>轮轴采用实心铁材料，需电镀锌处理，防 锈且坚固耐用。</w:t>
            </w:r>
          </w:p>
        </w:tc>
        <w:tc>
          <w:tcPr>
            <w:tcW w:w="5143" w:type="dxa"/>
            <w:gridSpan w:val="2"/>
            <w:noWrap w:val="0"/>
            <w:vAlign w:val="top"/>
          </w:tcPr>
          <w:p w14:paraId="4F845977">
            <w:pPr>
              <w:spacing w:line="398" w:lineRule="auto"/>
              <w:rPr>
                <w:rFonts w:hint="eastAsia" w:ascii="仿宋" w:hAnsi="仿宋" w:eastAsia="仿宋" w:cs="仿宋"/>
                <w:color w:val="auto"/>
                <w:sz w:val="21"/>
                <w:highlight w:val="none"/>
              </w:rPr>
            </w:pPr>
          </w:p>
          <w:p w14:paraId="17A46E9F">
            <w:pPr>
              <w:spacing w:line="1702" w:lineRule="exact"/>
              <w:ind w:firstLine="907"/>
              <w:rPr>
                <w:rFonts w:hint="eastAsia" w:ascii="仿宋" w:hAnsi="仿宋" w:eastAsia="仿宋" w:cs="仿宋"/>
                <w:color w:val="auto"/>
                <w:highlight w:val="none"/>
              </w:rPr>
            </w:pPr>
            <w:r>
              <w:rPr>
                <w:rFonts w:hint="eastAsia" w:ascii="仿宋" w:hAnsi="仿宋" w:eastAsia="仿宋" w:cs="仿宋"/>
                <w:color w:val="auto"/>
                <w:position w:val="-34"/>
                <w:highlight w:val="none"/>
              </w:rPr>
              <w:drawing>
                <wp:inline distT="0" distB="0" distL="114300" distR="114300">
                  <wp:extent cx="1986915" cy="880745"/>
                  <wp:effectExtent l="0" t="0" r="13335" b="14605"/>
                  <wp:docPr id="16" name="图片 10"/>
                  <wp:cNvGraphicFramePr/>
                  <a:graphic xmlns:a="http://schemas.openxmlformats.org/drawingml/2006/main">
                    <a:graphicData uri="http://schemas.openxmlformats.org/drawingml/2006/picture">
                      <pic:pic xmlns:pic="http://schemas.openxmlformats.org/drawingml/2006/picture">
                        <pic:nvPicPr>
                          <pic:cNvPr id="16" name="图片 10"/>
                          <pic:cNvPicPr/>
                        </pic:nvPicPr>
                        <pic:blipFill>
                          <a:blip r:embed="rId30"/>
                          <a:stretch>
                            <a:fillRect/>
                          </a:stretch>
                        </pic:blipFill>
                        <pic:spPr>
                          <a:xfrm>
                            <a:off x="0" y="0"/>
                            <a:ext cx="1986915" cy="880745"/>
                          </a:xfrm>
                          <a:prstGeom prst="rect">
                            <a:avLst/>
                          </a:prstGeom>
                          <a:noFill/>
                          <a:ln>
                            <a:noFill/>
                          </a:ln>
                        </pic:spPr>
                      </pic:pic>
                    </a:graphicData>
                  </a:graphic>
                </wp:inline>
              </w:drawing>
            </w:r>
          </w:p>
          <w:p w14:paraId="4528EE14">
            <w:pPr>
              <w:pStyle w:val="279"/>
              <w:spacing w:before="111" w:line="223" w:lineRule="auto"/>
              <w:ind w:left="160" w:right="140" w:hanging="7"/>
              <w:rPr>
                <w:rFonts w:hint="eastAsia" w:ascii="仿宋" w:hAnsi="仿宋" w:eastAsia="仿宋" w:cs="仿宋"/>
                <w:color w:val="auto"/>
                <w:highlight w:val="none"/>
              </w:rPr>
            </w:pPr>
            <w:r>
              <w:rPr>
                <w:rFonts w:hint="eastAsia" w:ascii="仿宋" w:hAnsi="仿宋" w:eastAsia="仿宋" w:cs="仿宋"/>
                <w:b/>
                <w:bCs/>
                <w:color w:val="auto"/>
                <w:spacing w:val="-5"/>
                <w:highlight w:val="none"/>
                <w:lang w:val="en-US" w:eastAsia="en-US"/>
              </w:rPr>
              <w:t>桶盖与桶身采用2插销固定</w:t>
            </w:r>
            <w:r>
              <w:rPr>
                <w:rFonts w:hint="eastAsia" w:ascii="仿宋" w:hAnsi="仿宋" w:eastAsia="仿宋" w:cs="仿宋"/>
                <w:b/>
                <w:bCs/>
                <w:color w:val="auto"/>
                <w:spacing w:val="-5"/>
                <w:highlight w:val="none"/>
                <w:lang w:val="en-US" w:eastAsia="zh-CN"/>
              </w:rPr>
              <w:t>连接</w:t>
            </w:r>
            <w:r>
              <w:rPr>
                <w:rFonts w:hint="eastAsia" w:ascii="仿宋" w:hAnsi="仿宋" w:eastAsia="仿宋" w:cs="仿宋"/>
                <w:b/>
                <w:bCs/>
                <w:color w:val="auto"/>
                <w:spacing w:val="-5"/>
                <w:highlight w:val="none"/>
                <w:lang w:val="en-US" w:eastAsia="en-US"/>
              </w:rPr>
              <w:t>，高强度、坚固耐用、安装简单并具备倒钩防盗特性并直接与桶盖相连接，增加稳定性。</w:t>
            </w:r>
          </w:p>
        </w:tc>
      </w:tr>
    </w:tbl>
    <w:p w14:paraId="376BA21B">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2"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120L钢结构果壳箱：</w:t>
      </w:r>
      <w:r>
        <w:rPr>
          <w:rFonts w:hint="eastAsia" w:ascii="仿宋" w:hAnsi="仿宋" w:eastAsia="仿宋" w:cs="仿宋"/>
          <w:b w:val="0"/>
          <w:bCs w:val="0"/>
          <w:color w:val="auto"/>
          <w:sz w:val="24"/>
          <w:szCs w:val="24"/>
          <w:highlight w:val="none"/>
          <w:lang w:val="en-US" w:eastAsia="zh-CN"/>
        </w:rPr>
        <w:t>1.0mm厚度不锈钢材质，尺寸规格140cm*95cm*160cm，内置2个120L垃圾桶。</w:t>
      </w:r>
    </w:p>
    <w:p w14:paraId="58A28CC0">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2"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黑色垃圾袋：</w:t>
      </w:r>
      <w:r>
        <w:rPr>
          <w:rFonts w:hint="eastAsia" w:ascii="仿宋" w:hAnsi="仿宋" w:eastAsia="仿宋" w:cs="仿宋"/>
          <w:b w:val="0"/>
          <w:bCs w:val="0"/>
          <w:color w:val="auto"/>
          <w:sz w:val="24"/>
          <w:szCs w:val="24"/>
          <w:highlight w:val="none"/>
          <w:lang w:val="en-US" w:eastAsia="zh-CN"/>
        </w:rPr>
        <w:t>平铺尺寸36cm*50cm，厚度2.2丝及以上，高密度聚乙烯材质。</w:t>
      </w:r>
    </w:p>
    <w:p w14:paraId="3B66328A">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2"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灰色垃圾袋：</w:t>
      </w:r>
      <w:r>
        <w:rPr>
          <w:rFonts w:hint="eastAsia" w:ascii="仿宋" w:hAnsi="仿宋" w:eastAsia="仿宋" w:cs="仿宋"/>
          <w:b w:val="0"/>
          <w:bCs w:val="0"/>
          <w:color w:val="auto"/>
          <w:sz w:val="24"/>
          <w:szCs w:val="24"/>
          <w:highlight w:val="none"/>
          <w:lang w:val="en-US" w:eastAsia="zh-CN"/>
        </w:rPr>
        <w:t>平铺尺寸100cm*120cm,厚度2.2丝及以上，高密度聚乙烯材质。平铺尺寸100*120cm，厚度2.2丝及以上，高密度聚乙烯材质，刺点压纹，防滑耐磨。需印刷环卫集团标识。</w:t>
      </w:r>
    </w:p>
    <w:p w14:paraId="3D630D1B">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2" w:firstLineChars="200"/>
        <w:jc w:val="both"/>
        <w:textAlignment w:val="auto"/>
        <w:rPr>
          <w:rFonts w:hint="eastAsia" w:ascii="仿宋" w:hAnsi="仿宋" w:eastAsia="仿宋" w:cs="仿宋"/>
          <w:b w:val="0"/>
          <w:bCs w:val="0"/>
          <w:strike/>
          <w:dstrike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白色果壳箱垃圾袋：</w:t>
      </w:r>
      <w:r>
        <w:rPr>
          <w:rFonts w:hint="eastAsia" w:ascii="仿宋" w:hAnsi="仿宋" w:eastAsia="仿宋" w:cs="仿宋"/>
          <w:b w:val="0"/>
          <w:bCs w:val="0"/>
          <w:color w:val="auto"/>
          <w:sz w:val="24"/>
          <w:szCs w:val="24"/>
          <w:highlight w:val="none"/>
          <w:lang w:val="en-US" w:eastAsia="zh-CN"/>
        </w:rPr>
        <w:t>平铺尺寸60*105cm，厚度2.2丝及以上，PVC材质。</w:t>
      </w:r>
    </w:p>
    <w:p w14:paraId="2C83F79D">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2"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新能源扫路机扫盘：</w:t>
      </w:r>
      <w:r>
        <w:rPr>
          <w:rFonts w:hint="eastAsia" w:ascii="仿宋" w:hAnsi="仿宋" w:eastAsia="仿宋" w:cs="仿宋"/>
          <w:b w:val="0"/>
          <w:bCs w:val="0"/>
          <w:color w:val="auto"/>
          <w:sz w:val="24"/>
          <w:szCs w:val="24"/>
          <w:highlight w:val="none"/>
          <w:lang w:val="en-US" w:eastAsia="zh-CN"/>
        </w:rPr>
        <w:t>直径400内孔50共4圈，每圈100孔，每孔28根全新料PBT刷丝，长度19cm。</w:t>
      </w:r>
    </w:p>
    <w:p w14:paraId="05877742">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420" w:lineRule="exact"/>
        <w:ind w:leftChars="200" w:right="0" w:rightChars="0"/>
        <w:jc w:val="both"/>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附参考图片：</w:t>
      </w:r>
    </w:p>
    <w:p w14:paraId="4E80CEB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265B48B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6A2CB1A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drawing>
          <wp:anchor distT="0" distB="0" distL="114300" distR="114300" simplePos="0" relativeHeight="251663360" behindDoc="1" locked="0" layoutInCell="1" allowOverlap="1">
            <wp:simplePos x="0" y="0"/>
            <wp:positionH relativeFrom="column">
              <wp:posOffset>239395</wp:posOffset>
            </wp:positionH>
            <wp:positionV relativeFrom="paragraph">
              <wp:posOffset>-144780</wp:posOffset>
            </wp:positionV>
            <wp:extent cx="2077720" cy="2087880"/>
            <wp:effectExtent l="0" t="0" r="17780" b="7620"/>
            <wp:wrapNone/>
            <wp:docPr id="14"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图片1"/>
                    <pic:cNvPicPr>
                      <a:picLocks noChangeAspect="1"/>
                    </pic:cNvPicPr>
                  </pic:nvPicPr>
                  <pic:blipFill>
                    <a:blip r:embed="rId31"/>
                    <a:srcRect t="18829" b="29468"/>
                    <a:stretch>
                      <a:fillRect/>
                    </a:stretch>
                  </pic:blipFill>
                  <pic:spPr>
                    <a:xfrm>
                      <a:off x="0" y="0"/>
                      <a:ext cx="2077720" cy="2087880"/>
                    </a:xfrm>
                    <a:prstGeom prst="rect">
                      <a:avLst/>
                    </a:prstGeom>
                    <a:noFill/>
                    <a:ln>
                      <a:noFill/>
                    </a:ln>
                  </pic:spPr>
                </pic:pic>
              </a:graphicData>
            </a:graphic>
          </wp:anchor>
        </w:drawing>
      </w:r>
    </w:p>
    <w:p w14:paraId="464A5EC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365D54D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049BDF2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67CF5ED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4C0B655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59DD3EC7">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0C24F3CB">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6DCF885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16CFB78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left"/>
        <w:textAlignment w:val="auto"/>
        <w:rPr>
          <w:rFonts w:hint="eastAsia" w:ascii="仿宋" w:hAnsi="仿宋" w:eastAsia="仿宋" w:cs="仿宋"/>
          <w:b/>
          <w:bCs/>
          <w:color w:val="auto"/>
          <w:sz w:val="24"/>
          <w:szCs w:val="24"/>
          <w:highlight w:val="none"/>
          <w:lang w:val="en-US" w:eastAsia="zh-CN"/>
        </w:rPr>
      </w:pPr>
    </w:p>
    <w:p w14:paraId="74CA54FB">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小型扫路机扫盘：直径500内孔250 4个定位孔共4圈刷丝，内外2圈C70#锰钢丝，中间2圈灰色波纹PP丝，每圈60孔，每孔不少于12根，长度不短于28cm。</w:t>
      </w:r>
    </w:p>
    <w:p w14:paraId="456D6E9C">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420" w:lineRule="exact"/>
        <w:ind w:leftChars="200" w:right="0" w:right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附参考图片：</w:t>
      </w:r>
    </w:p>
    <w:p w14:paraId="09F9297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drawing>
          <wp:inline distT="0" distB="0" distL="114300" distR="114300">
            <wp:extent cx="2043430" cy="2087880"/>
            <wp:effectExtent l="0" t="0" r="13970" b="7620"/>
            <wp:docPr id="8"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图片2"/>
                    <pic:cNvPicPr>
                      <a:picLocks noChangeAspect="1"/>
                    </pic:cNvPicPr>
                  </pic:nvPicPr>
                  <pic:blipFill>
                    <a:blip r:embed="rId32"/>
                    <a:srcRect t="15155" b="29851"/>
                    <a:stretch>
                      <a:fillRect/>
                    </a:stretch>
                  </pic:blipFill>
                  <pic:spPr>
                    <a:xfrm>
                      <a:off x="0" y="0"/>
                      <a:ext cx="2043430" cy="2087880"/>
                    </a:xfrm>
                    <a:prstGeom prst="rect">
                      <a:avLst/>
                    </a:prstGeom>
                    <a:noFill/>
                    <a:ln>
                      <a:noFill/>
                    </a:ln>
                  </pic:spPr>
                </pic:pic>
              </a:graphicData>
            </a:graphic>
          </wp:inline>
        </w:drawing>
      </w:r>
    </w:p>
    <w:p w14:paraId="5C750951">
      <w:pPr>
        <w:keepNext w:val="0"/>
        <w:keepLines w:val="0"/>
        <w:pageBreakBefore w:val="0"/>
        <w:widowControl/>
        <w:numPr>
          <w:ilvl w:val="2"/>
          <w:numId w:val="19"/>
        </w:numPr>
        <w:suppressLineNumbers w:val="0"/>
        <w:tabs>
          <w:tab w:val="left" w:pos="0"/>
        </w:tabs>
        <w:kinsoku/>
        <w:wordWrap/>
        <w:overflowPunct/>
        <w:topLinePunct w:val="0"/>
        <w:autoSpaceDE/>
        <w:autoSpaceDN/>
        <w:bidi w:val="0"/>
        <w:adjustRightInd/>
        <w:snapToGrid/>
        <w:spacing w:line="420" w:lineRule="exact"/>
        <w:ind w:left="0" w:leftChars="0" w:right="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4吨扫路机扫盘：盘扫参数值：外径 350mm内孔52mm，盘厚：23mm—25mm四个直径110mm定位孔，全新PP丝。</w:t>
      </w:r>
    </w:p>
    <w:p w14:paraId="1C7B774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420" w:lineRule="exact"/>
        <w:ind w:leftChars="200" w:right="0" w:right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附参考图片：</w:t>
      </w:r>
    </w:p>
    <w:p w14:paraId="6843172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5C2893A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drawing>
          <wp:anchor distT="0" distB="0" distL="114300" distR="114300" simplePos="0" relativeHeight="251664384" behindDoc="1" locked="0" layoutInCell="1" allowOverlap="1">
            <wp:simplePos x="0" y="0"/>
            <wp:positionH relativeFrom="column">
              <wp:posOffset>304800</wp:posOffset>
            </wp:positionH>
            <wp:positionV relativeFrom="paragraph">
              <wp:posOffset>-137160</wp:posOffset>
            </wp:positionV>
            <wp:extent cx="2098040" cy="2087880"/>
            <wp:effectExtent l="0" t="0" r="16510" b="7620"/>
            <wp:wrapNone/>
            <wp:docPr id="21"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图片3"/>
                    <pic:cNvPicPr>
                      <a:picLocks noChangeAspect="1"/>
                    </pic:cNvPicPr>
                  </pic:nvPicPr>
                  <pic:blipFill>
                    <a:blip r:embed="rId33"/>
                    <a:srcRect t="27390" b="30922"/>
                    <a:stretch>
                      <a:fillRect/>
                    </a:stretch>
                  </pic:blipFill>
                  <pic:spPr>
                    <a:xfrm>
                      <a:off x="0" y="0"/>
                      <a:ext cx="2098040" cy="2087880"/>
                    </a:xfrm>
                    <a:prstGeom prst="rect">
                      <a:avLst/>
                    </a:prstGeom>
                    <a:noFill/>
                    <a:ln>
                      <a:noFill/>
                    </a:ln>
                  </pic:spPr>
                </pic:pic>
              </a:graphicData>
            </a:graphic>
          </wp:anchor>
        </w:drawing>
      </w:r>
    </w:p>
    <w:p w14:paraId="3B7BC37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0A217F9A">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0C06B24E">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51B475F6">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6AE8986D">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6CF23D89">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66A5F16F">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49D134F5">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69123990">
      <w:pPr>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line="240" w:lineRule="auto"/>
        <w:ind w:leftChars="200" w:right="0" w:rightChars="0"/>
        <w:jc w:val="both"/>
        <w:textAlignment w:val="auto"/>
        <w:rPr>
          <w:rFonts w:hint="eastAsia" w:ascii="仿宋" w:hAnsi="仿宋" w:eastAsia="仿宋" w:cs="仿宋"/>
          <w:b/>
          <w:bCs/>
          <w:color w:val="auto"/>
          <w:sz w:val="24"/>
          <w:szCs w:val="24"/>
          <w:highlight w:val="none"/>
          <w:lang w:val="en-US" w:eastAsia="zh-CN"/>
        </w:rPr>
      </w:pPr>
    </w:p>
    <w:p w14:paraId="2599A374">
      <w:pPr>
        <w:keepNext w:val="0"/>
        <w:keepLines w:val="0"/>
        <w:pageBreakBefore w:val="0"/>
        <w:widowControl/>
        <w:numPr>
          <w:ilvl w:val="0"/>
          <w:numId w:val="1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标项3：填埋场专用物资</w:t>
      </w:r>
    </w:p>
    <w:p w14:paraId="72D1A90D">
      <w:pPr>
        <w:keepNext w:val="0"/>
        <w:keepLines w:val="0"/>
        <w:pageBreakBefore w:val="0"/>
        <w:widowControl/>
        <w:numPr>
          <w:ilvl w:val="1"/>
          <w:numId w:val="2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default" w:ascii="仿宋" w:hAnsi="仿宋" w:eastAsia="仿宋" w:cs="仿宋"/>
          <w:b/>
          <w:bCs/>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采购清单及最高单价限价</w:t>
      </w:r>
    </w:p>
    <w:tbl>
      <w:tblPr>
        <w:tblStyle w:val="50"/>
        <w:tblW w:w="981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
        <w:gridCol w:w="3025"/>
        <w:gridCol w:w="3806"/>
        <w:gridCol w:w="769"/>
        <w:gridCol w:w="1353"/>
      </w:tblGrid>
      <w:tr w14:paraId="202C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vMerge w:val="restart"/>
            <w:tcBorders>
              <w:top w:val="single" w:color="000000" w:sz="4" w:space="0"/>
              <w:left w:val="single" w:color="000000" w:sz="4" w:space="0"/>
              <w:bottom w:val="single" w:color="000000" w:sz="4" w:space="0"/>
              <w:right w:val="single" w:color="000000" w:sz="4" w:space="0"/>
            </w:tcBorders>
            <w:noWrap/>
            <w:vAlign w:val="center"/>
          </w:tcPr>
          <w:p w14:paraId="675BB67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3025" w:type="dxa"/>
            <w:vMerge w:val="restart"/>
            <w:tcBorders>
              <w:top w:val="single" w:color="000000" w:sz="4" w:space="0"/>
              <w:left w:val="single" w:color="000000" w:sz="4" w:space="0"/>
              <w:bottom w:val="single" w:color="000000" w:sz="4" w:space="0"/>
              <w:right w:val="single" w:color="000000" w:sz="4" w:space="0"/>
            </w:tcBorders>
            <w:noWrap/>
            <w:vAlign w:val="center"/>
          </w:tcPr>
          <w:p w14:paraId="04F2CAA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3806" w:type="dxa"/>
            <w:vMerge w:val="restart"/>
            <w:tcBorders>
              <w:top w:val="single" w:color="000000" w:sz="4" w:space="0"/>
              <w:left w:val="single" w:color="000000" w:sz="4" w:space="0"/>
              <w:bottom w:val="single" w:color="000000" w:sz="4" w:space="0"/>
              <w:right w:val="single" w:color="000000" w:sz="4" w:space="0"/>
            </w:tcBorders>
            <w:noWrap/>
            <w:vAlign w:val="center"/>
          </w:tcPr>
          <w:p w14:paraId="65ECBC1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规格型号</w:t>
            </w:r>
          </w:p>
        </w:tc>
        <w:tc>
          <w:tcPr>
            <w:tcW w:w="769" w:type="dxa"/>
            <w:vMerge w:val="restart"/>
            <w:tcBorders>
              <w:top w:val="single" w:color="000000" w:sz="4" w:space="0"/>
              <w:left w:val="single" w:color="000000" w:sz="4" w:space="0"/>
              <w:bottom w:val="single" w:color="000000" w:sz="4" w:space="0"/>
              <w:right w:val="single" w:color="000000" w:sz="4" w:space="0"/>
            </w:tcBorders>
            <w:noWrap w:val="0"/>
            <w:vAlign w:val="center"/>
          </w:tcPr>
          <w:p w14:paraId="125DCDD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135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B8580D">
            <w:pPr>
              <w:keepNext w:val="0"/>
              <w:keepLines w:val="0"/>
              <w:widowControl/>
              <w:suppressLineNumbers w:val="0"/>
              <w:jc w:val="center"/>
              <w:textAlignment w:val="center"/>
              <w:rPr>
                <w:rFonts w:hint="default" w:ascii="仿宋" w:hAnsi="仿宋" w:eastAsia="仿宋" w:cs="仿宋"/>
                <w:b/>
                <w:bCs/>
                <w:i w:val="0"/>
                <w:iCs w:val="0"/>
                <w:color w:val="auto"/>
                <w:sz w:val="24"/>
                <w:szCs w:val="24"/>
                <w:highlight w:val="none"/>
                <w:u w:val="none"/>
                <w:lang w:val="en-US"/>
              </w:rPr>
            </w:pPr>
            <w:r>
              <w:rPr>
                <w:rFonts w:hint="eastAsia" w:ascii="仿宋" w:hAnsi="仿宋" w:eastAsia="仿宋" w:cs="仿宋"/>
                <w:b/>
                <w:bCs/>
                <w:i w:val="0"/>
                <w:iCs w:val="0"/>
                <w:color w:val="auto"/>
                <w:kern w:val="0"/>
                <w:sz w:val="24"/>
                <w:szCs w:val="24"/>
                <w:highlight w:val="none"/>
                <w:u w:val="none"/>
                <w:lang w:val="en-US" w:eastAsia="zh-CN" w:bidi="ar"/>
              </w:rPr>
              <w:t>最高单价限价（元）</w:t>
            </w:r>
          </w:p>
        </w:tc>
      </w:tr>
      <w:tr w14:paraId="4C99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vMerge w:val="continue"/>
            <w:tcBorders>
              <w:top w:val="single" w:color="000000" w:sz="4" w:space="0"/>
              <w:left w:val="single" w:color="000000" w:sz="4" w:space="0"/>
              <w:bottom w:val="single" w:color="000000" w:sz="4" w:space="0"/>
              <w:right w:val="single" w:color="000000" w:sz="4" w:space="0"/>
            </w:tcBorders>
            <w:noWrap/>
            <w:vAlign w:val="center"/>
          </w:tcPr>
          <w:p w14:paraId="0E8CED64">
            <w:pPr>
              <w:jc w:val="center"/>
              <w:rPr>
                <w:rFonts w:hint="eastAsia" w:ascii="仿宋" w:hAnsi="仿宋" w:eastAsia="仿宋" w:cs="仿宋"/>
                <w:i w:val="0"/>
                <w:iCs w:val="0"/>
                <w:color w:val="auto"/>
                <w:sz w:val="24"/>
                <w:szCs w:val="24"/>
                <w:highlight w:val="none"/>
                <w:u w:val="none"/>
              </w:rPr>
            </w:pPr>
          </w:p>
        </w:tc>
        <w:tc>
          <w:tcPr>
            <w:tcW w:w="3025" w:type="dxa"/>
            <w:vMerge w:val="continue"/>
            <w:tcBorders>
              <w:top w:val="single" w:color="000000" w:sz="4" w:space="0"/>
              <w:left w:val="single" w:color="000000" w:sz="4" w:space="0"/>
              <w:bottom w:val="single" w:color="000000" w:sz="4" w:space="0"/>
              <w:right w:val="single" w:color="000000" w:sz="4" w:space="0"/>
            </w:tcBorders>
            <w:noWrap/>
            <w:vAlign w:val="center"/>
          </w:tcPr>
          <w:p w14:paraId="2D2DEBB0">
            <w:pPr>
              <w:jc w:val="center"/>
              <w:rPr>
                <w:rFonts w:hint="eastAsia" w:ascii="仿宋" w:hAnsi="仿宋" w:eastAsia="仿宋" w:cs="仿宋"/>
                <w:i w:val="0"/>
                <w:iCs w:val="0"/>
                <w:color w:val="auto"/>
                <w:sz w:val="24"/>
                <w:szCs w:val="24"/>
                <w:highlight w:val="none"/>
                <w:u w:val="none"/>
              </w:rPr>
            </w:pPr>
          </w:p>
        </w:tc>
        <w:tc>
          <w:tcPr>
            <w:tcW w:w="3806" w:type="dxa"/>
            <w:vMerge w:val="continue"/>
            <w:tcBorders>
              <w:top w:val="single" w:color="000000" w:sz="4" w:space="0"/>
              <w:left w:val="single" w:color="000000" w:sz="4" w:space="0"/>
              <w:bottom w:val="single" w:color="000000" w:sz="4" w:space="0"/>
              <w:right w:val="single" w:color="000000" w:sz="4" w:space="0"/>
            </w:tcBorders>
            <w:noWrap/>
            <w:vAlign w:val="center"/>
          </w:tcPr>
          <w:p w14:paraId="1A1117C3">
            <w:pPr>
              <w:jc w:val="center"/>
              <w:rPr>
                <w:rFonts w:hint="eastAsia" w:ascii="仿宋" w:hAnsi="仿宋" w:eastAsia="仿宋" w:cs="仿宋"/>
                <w:i w:val="0"/>
                <w:iCs w:val="0"/>
                <w:color w:val="auto"/>
                <w:sz w:val="24"/>
                <w:szCs w:val="24"/>
                <w:highlight w:val="none"/>
                <w:u w:val="none"/>
              </w:rPr>
            </w:pPr>
          </w:p>
        </w:tc>
        <w:tc>
          <w:tcPr>
            <w:tcW w:w="7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FF52CA">
            <w:pPr>
              <w:jc w:val="center"/>
              <w:rPr>
                <w:rFonts w:hint="eastAsia" w:ascii="仿宋" w:hAnsi="仿宋" w:eastAsia="仿宋" w:cs="仿宋"/>
                <w:i w:val="0"/>
                <w:iCs w:val="0"/>
                <w:color w:val="auto"/>
                <w:sz w:val="24"/>
                <w:szCs w:val="24"/>
                <w:highlight w:val="none"/>
                <w:u w:val="none"/>
              </w:rPr>
            </w:pPr>
          </w:p>
        </w:tc>
        <w:tc>
          <w:tcPr>
            <w:tcW w:w="135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BCBD3">
            <w:pPr>
              <w:jc w:val="center"/>
              <w:rPr>
                <w:rFonts w:hint="eastAsia" w:ascii="仿宋" w:hAnsi="仿宋" w:eastAsia="仿宋" w:cs="仿宋"/>
                <w:i w:val="0"/>
                <w:iCs w:val="0"/>
                <w:color w:val="auto"/>
                <w:sz w:val="24"/>
                <w:szCs w:val="24"/>
                <w:highlight w:val="none"/>
                <w:u w:val="none"/>
              </w:rPr>
            </w:pPr>
          </w:p>
        </w:tc>
      </w:tr>
      <w:tr w14:paraId="07156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7B20455">
            <w:pPr>
              <w:keepNext w:val="0"/>
              <w:keepLines w:val="0"/>
              <w:widowControl/>
              <w:numPr>
                <w:ilvl w:val="0"/>
                <w:numId w:val="25"/>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F8291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土工袋</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339E6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50mm*70mm，聚丙烯300g</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415A7C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353" w:type="dxa"/>
            <w:tcBorders>
              <w:top w:val="single" w:color="000000" w:sz="4" w:space="0"/>
              <w:left w:val="single" w:color="000000" w:sz="4" w:space="0"/>
              <w:bottom w:val="single" w:color="000000" w:sz="4" w:space="0"/>
              <w:right w:val="single" w:color="000000" w:sz="4" w:space="0"/>
            </w:tcBorders>
            <w:noWrap/>
            <w:vAlign w:val="center"/>
          </w:tcPr>
          <w:p w14:paraId="593273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7370F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598B4FF">
            <w:pPr>
              <w:keepNext w:val="0"/>
              <w:keepLines w:val="0"/>
              <w:widowControl/>
              <w:numPr>
                <w:ilvl w:val="0"/>
                <w:numId w:val="25"/>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ADEF9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土工膜</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59A60B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HDPE 1.0厚高密度聚乙烯</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5785E8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c>
          <w:tcPr>
            <w:tcW w:w="1353" w:type="dxa"/>
            <w:tcBorders>
              <w:top w:val="single" w:color="000000" w:sz="4" w:space="0"/>
              <w:left w:val="single" w:color="000000" w:sz="4" w:space="0"/>
              <w:bottom w:val="single" w:color="000000" w:sz="4" w:space="0"/>
              <w:right w:val="single" w:color="000000" w:sz="4" w:space="0"/>
            </w:tcBorders>
            <w:noWrap/>
            <w:vAlign w:val="center"/>
          </w:tcPr>
          <w:p w14:paraId="6CFE312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13.00</w:t>
            </w:r>
          </w:p>
        </w:tc>
      </w:tr>
      <w:tr w14:paraId="52D93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135D997">
            <w:pPr>
              <w:keepNext w:val="0"/>
              <w:keepLines w:val="0"/>
              <w:widowControl/>
              <w:numPr>
                <w:ilvl w:val="0"/>
                <w:numId w:val="25"/>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DE468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竹联片</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6F0FF6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color w:val="auto"/>
                <w:spacing w:val="-4"/>
                <w:sz w:val="24"/>
                <w:szCs w:val="24"/>
                <w:highlight w:val="none"/>
                <w:lang w:val="en-US" w:eastAsia="zh-CN"/>
              </w:rPr>
              <w:t>1M×1M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33F8C7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c>
          <w:tcPr>
            <w:tcW w:w="1353" w:type="dxa"/>
            <w:tcBorders>
              <w:top w:val="single" w:color="000000" w:sz="4" w:space="0"/>
              <w:left w:val="single" w:color="000000" w:sz="4" w:space="0"/>
              <w:bottom w:val="single" w:color="000000" w:sz="4" w:space="0"/>
              <w:right w:val="single" w:color="000000" w:sz="4" w:space="0"/>
            </w:tcBorders>
            <w:noWrap/>
            <w:vAlign w:val="center"/>
          </w:tcPr>
          <w:p w14:paraId="653C052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10.00</w:t>
            </w:r>
          </w:p>
        </w:tc>
      </w:tr>
      <w:tr w14:paraId="6B51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2B6D114">
            <w:pPr>
              <w:keepNext w:val="0"/>
              <w:keepLines w:val="0"/>
              <w:widowControl/>
              <w:numPr>
                <w:ilvl w:val="0"/>
                <w:numId w:val="25"/>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82DB2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绿色尼龙绳</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72C1E6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直径≥10mm</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E95D1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1353" w:type="dxa"/>
            <w:tcBorders>
              <w:top w:val="single" w:color="000000" w:sz="4" w:space="0"/>
              <w:left w:val="single" w:color="000000" w:sz="4" w:space="0"/>
              <w:bottom w:val="single" w:color="000000" w:sz="4" w:space="0"/>
              <w:right w:val="single" w:color="000000" w:sz="4" w:space="0"/>
            </w:tcBorders>
            <w:noWrap/>
            <w:vAlign w:val="center"/>
          </w:tcPr>
          <w:p w14:paraId="4EA193D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5.00</w:t>
            </w:r>
          </w:p>
        </w:tc>
      </w:tr>
      <w:tr w14:paraId="4FB2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9E9137D">
            <w:pPr>
              <w:keepNext w:val="0"/>
              <w:keepLines w:val="0"/>
              <w:widowControl/>
              <w:numPr>
                <w:ilvl w:val="0"/>
                <w:numId w:val="25"/>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4DAA0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浸塑布</w:t>
            </w:r>
          </w:p>
        </w:tc>
        <w:tc>
          <w:tcPr>
            <w:tcW w:w="3806" w:type="dxa"/>
            <w:tcBorders>
              <w:top w:val="single" w:color="000000" w:sz="4" w:space="0"/>
              <w:left w:val="single" w:color="000000" w:sz="4" w:space="0"/>
              <w:bottom w:val="single" w:color="000000" w:sz="4" w:space="0"/>
              <w:right w:val="single" w:color="000000" w:sz="4" w:space="0"/>
            </w:tcBorders>
            <w:noWrap/>
            <w:vAlign w:val="center"/>
          </w:tcPr>
          <w:p w14:paraId="343E5A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长*宽（20米*10米）</w:t>
            </w:r>
          </w:p>
        </w:tc>
        <w:tc>
          <w:tcPr>
            <w:tcW w:w="769" w:type="dxa"/>
            <w:tcBorders>
              <w:top w:val="single" w:color="000000" w:sz="4" w:space="0"/>
              <w:left w:val="single" w:color="000000" w:sz="4" w:space="0"/>
              <w:bottom w:val="single" w:color="000000" w:sz="4" w:space="0"/>
              <w:right w:val="single" w:color="000000" w:sz="4" w:space="0"/>
            </w:tcBorders>
            <w:noWrap/>
            <w:vAlign w:val="center"/>
          </w:tcPr>
          <w:p w14:paraId="275050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平方</w:t>
            </w:r>
          </w:p>
        </w:tc>
        <w:tc>
          <w:tcPr>
            <w:tcW w:w="1353" w:type="dxa"/>
            <w:tcBorders>
              <w:top w:val="single" w:color="000000" w:sz="4" w:space="0"/>
              <w:left w:val="single" w:color="000000" w:sz="4" w:space="0"/>
              <w:bottom w:val="single" w:color="000000" w:sz="4" w:space="0"/>
              <w:right w:val="single" w:color="000000" w:sz="4" w:space="0"/>
            </w:tcBorders>
            <w:noWrap/>
            <w:vAlign w:val="center"/>
          </w:tcPr>
          <w:p w14:paraId="3100BB5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6.00</w:t>
            </w:r>
          </w:p>
        </w:tc>
      </w:tr>
    </w:tbl>
    <w:p w14:paraId="682174B2">
      <w:pPr>
        <w:keepNext w:val="0"/>
        <w:keepLines w:val="0"/>
        <w:pageBreakBefore w:val="0"/>
        <w:widowControl/>
        <w:numPr>
          <w:ilvl w:val="1"/>
          <w:numId w:val="2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具体技术参数</w:t>
      </w:r>
    </w:p>
    <w:p w14:paraId="72402A31">
      <w:pPr>
        <w:keepNext w:val="0"/>
        <w:keepLines w:val="0"/>
        <w:pageBreakBefore w:val="0"/>
        <w:widowControl w:val="0"/>
        <w:numPr>
          <w:ilvl w:val="2"/>
          <w:numId w:val="26"/>
        </w:numPr>
        <w:kinsoku/>
        <w:wordWrap/>
        <w:overflowPunct/>
        <w:topLinePunct w:val="0"/>
        <w:autoSpaceDE/>
        <w:autoSpaceDN/>
        <w:bidi w:val="0"/>
        <w:adjustRightInd/>
        <w:snapToGrid/>
        <w:spacing w:line="420" w:lineRule="exact"/>
        <w:ind w:left="0" w:leftChars="0" w:right="0" w:firstLine="464" w:firstLineChars="0"/>
        <w:textAlignment w:val="auto"/>
        <w:rPr>
          <w:rFonts w:hint="default"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土工袋：</w:t>
      </w:r>
    </w:p>
    <w:p w14:paraId="4AB9787E">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颜色：白色；</w:t>
      </w:r>
    </w:p>
    <w:p w14:paraId="66860422">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材质：聚丙烯</w:t>
      </w:r>
    </w:p>
    <w:p w14:paraId="0C52B5EF">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克重：</w:t>
      </w:r>
      <w:r>
        <w:rPr>
          <w:rFonts w:hint="eastAsia" w:ascii="仿宋" w:hAnsi="仿宋" w:eastAsia="仿宋" w:cs="仿宋"/>
          <w:color w:val="auto"/>
          <w:spacing w:val="5"/>
          <w:sz w:val="24"/>
          <w:szCs w:val="24"/>
          <w:highlight w:val="none"/>
        </w:rPr>
        <w:t>≥</w:t>
      </w:r>
      <w:r>
        <w:rPr>
          <w:rFonts w:hint="eastAsia" w:ascii="仿宋" w:hAnsi="仿宋" w:eastAsia="仿宋" w:cs="仿宋"/>
          <w:b w:val="0"/>
          <w:bCs w:val="0"/>
          <w:color w:val="auto"/>
          <w:spacing w:val="-4"/>
          <w:sz w:val="24"/>
          <w:szCs w:val="24"/>
          <w:highlight w:val="none"/>
          <w:lang w:val="en-US" w:eastAsia="zh-CN"/>
        </w:rPr>
        <w:t>300g；</w:t>
      </w:r>
    </w:p>
    <w:p w14:paraId="1945F9AD">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规格尺寸及偏差：50</w:t>
      </w:r>
      <w:r>
        <w:rPr>
          <w:rFonts w:hint="default" w:ascii="仿宋" w:hAnsi="仿宋" w:eastAsia="仿宋" w:cs="仿宋"/>
          <w:b w:val="0"/>
          <w:bCs w:val="0"/>
          <w:color w:val="auto"/>
          <w:spacing w:val="-4"/>
          <w:sz w:val="24"/>
          <w:szCs w:val="24"/>
          <w:highlight w:val="none"/>
          <w:lang w:val="en-US" w:eastAsia="zh-CN"/>
        </w:rPr>
        <w:t>mm*</w:t>
      </w:r>
      <w:r>
        <w:rPr>
          <w:rFonts w:hint="eastAsia" w:ascii="仿宋" w:hAnsi="仿宋" w:eastAsia="仿宋" w:cs="仿宋"/>
          <w:b w:val="0"/>
          <w:bCs w:val="0"/>
          <w:color w:val="auto"/>
          <w:spacing w:val="-4"/>
          <w:sz w:val="24"/>
          <w:szCs w:val="24"/>
          <w:highlight w:val="none"/>
          <w:lang w:val="en-US" w:eastAsia="zh-CN"/>
        </w:rPr>
        <w:t>7</w:t>
      </w:r>
      <w:r>
        <w:rPr>
          <w:rFonts w:hint="default" w:ascii="仿宋" w:hAnsi="仿宋" w:eastAsia="仿宋" w:cs="仿宋"/>
          <w:b w:val="0"/>
          <w:bCs w:val="0"/>
          <w:color w:val="auto"/>
          <w:spacing w:val="-4"/>
          <w:sz w:val="24"/>
          <w:szCs w:val="24"/>
          <w:highlight w:val="none"/>
          <w:lang w:val="en-US" w:eastAsia="zh-CN"/>
        </w:rPr>
        <w:t>0mm</w:t>
      </w:r>
      <w:r>
        <w:rPr>
          <w:rFonts w:hint="eastAsia" w:ascii="仿宋" w:hAnsi="仿宋" w:eastAsia="仿宋" w:cs="仿宋"/>
          <w:b w:val="0"/>
          <w:bCs w:val="0"/>
          <w:color w:val="auto"/>
          <w:spacing w:val="-4"/>
          <w:sz w:val="24"/>
          <w:szCs w:val="24"/>
          <w:highlight w:val="none"/>
          <w:lang w:val="en-US" w:eastAsia="zh-CN"/>
        </w:rPr>
        <w:t>，尺寸偏差</w:t>
      </w:r>
      <w:r>
        <w:rPr>
          <w:rFonts w:hint="eastAsia" w:ascii="仿宋" w:hAnsi="仿宋" w:eastAsia="仿宋" w:cs="仿宋"/>
          <w:color w:val="auto"/>
          <w:spacing w:val="5"/>
          <w:sz w:val="24"/>
          <w:szCs w:val="24"/>
          <w:highlight w:val="none"/>
        </w:rPr>
        <w:t>±</w:t>
      </w:r>
      <w:r>
        <w:rPr>
          <w:rFonts w:hint="eastAsia" w:ascii="仿宋" w:hAnsi="仿宋" w:eastAsia="仿宋" w:cs="仿宋"/>
          <w:color w:val="auto"/>
          <w:spacing w:val="5"/>
          <w:sz w:val="24"/>
          <w:szCs w:val="24"/>
          <w:highlight w:val="none"/>
          <w:lang w:val="en-US" w:eastAsia="zh-CN"/>
        </w:rPr>
        <w:t>3mm。</w:t>
      </w:r>
    </w:p>
    <w:p w14:paraId="3192D96A">
      <w:pPr>
        <w:keepNext w:val="0"/>
        <w:keepLines w:val="0"/>
        <w:pageBreakBefore w:val="0"/>
        <w:widowControl w:val="0"/>
        <w:numPr>
          <w:ilvl w:val="2"/>
          <w:numId w:val="26"/>
        </w:numPr>
        <w:kinsoku/>
        <w:wordWrap/>
        <w:overflowPunct/>
        <w:topLinePunct w:val="0"/>
        <w:autoSpaceDE/>
        <w:autoSpaceDN/>
        <w:bidi w:val="0"/>
        <w:adjustRightInd/>
        <w:snapToGrid/>
        <w:spacing w:line="420" w:lineRule="exact"/>
        <w:ind w:left="0" w:leftChars="0" w:right="0" w:firstLine="464" w:firstLineChars="0"/>
        <w:textAlignment w:val="auto"/>
        <w:rPr>
          <w:rFonts w:hint="default" w:ascii="仿宋" w:hAnsi="仿宋" w:eastAsia="仿宋" w:cs="仿宋"/>
          <w:b/>
          <w:bCs/>
          <w:color w:val="auto"/>
          <w:spacing w:val="-4"/>
          <w:sz w:val="24"/>
          <w:szCs w:val="24"/>
          <w:highlight w:val="none"/>
          <w:lang w:val="en-US" w:eastAsia="zh-CN"/>
        </w:rPr>
      </w:pPr>
      <w:r>
        <w:rPr>
          <w:rFonts w:hint="default" w:ascii="仿宋" w:hAnsi="仿宋" w:eastAsia="仿宋" w:cs="仿宋"/>
          <w:b/>
          <w:bCs/>
          <w:color w:val="auto"/>
          <w:spacing w:val="-4"/>
          <w:sz w:val="24"/>
          <w:szCs w:val="24"/>
          <w:highlight w:val="none"/>
          <w:lang w:val="en-US" w:eastAsia="zh-CN"/>
        </w:rPr>
        <w:t>土工膜</w:t>
      </w:r>
    </w:p>
    <w:p w14:paraId="1FD94990">
      <w:pPr>
        <w:keepNext w:val="0"/>
        <w:keepLines w:val="0"/>
        <w:pageBreakBefore w:val="0"/>
        <w:widowControl w:val="0"/>
        <w:kinsoku/>
        <w:wordWrap/>
        <w:overflowPunct/>
        <w:topLinePunct w:val="0"/>
        <w:autoSpaceDE/>
        <w:autoSpaceDN/>
        <w:bidi w:val="0"/>
        <w:adjustRightInd/>
        <w:snapToGrid/>
        <w:spacing w:line="420" w:lineRule="exact"/>
        <w:ind w:right="0" w:firstLine="45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光面</w:t>
      </w:r>
      <w:r>
        <w:rPr>
          <w:rFonts w:hint="eastAsia" w:ascii="仿宋" w:hAnsi="仿宋" w:eastAsia="仿宋" w:cs="仿宋"/>
          <w:color w:val="auto"/>
          <w:spacing w:val="-53"/>
          <w:sz w:val="24"/>
          <w:szCs w:val="24"/>
          <w:highlight w:val="none"/>
        </w:rPr>
        <w:t xml:space="preserve"> </w:t>
      </w:r>
      <w:r>
        <w:rPr>
          <w:rFonts w:hint="eastAsia" w:ascii="仿宋" w:hAnsi="仿宋" w:eastAsia="仿宋" w:cs="仿宋"/>
          <w:color w:val="auto"/>
          <w:spacing w:val="-7"/>
          <w:sz w:val="24"/>
          <w:szCs w:val="24"/>
          <w:highlight w:val="none"/>
        </w:rPr>
        <w:t>HDP</w:t>
      </w:r>
      <w:r>
        <w:rPr>
          <w:rFonts w:hint="eastAsia" w:ascii="仿宋" w:hAnsi="仿宋" w:eastAsia="仿宋" w:cs="仿宋"/>
          <w:color w:val="auto"/>
          <w:spacing w:val="-7"/>
          <w:sz w:val="24"/>
          <w:szCs w:val="24"/>
          <w:highlight w:val="none"/>
          <w:lang w:val="en-US" w:eastAsia="zh-CN"/>
        </w:rPr>
        <w:t>E</w:t>
      </w:r>
      <w:r>
        <w:rPr>
          <w:rFonts w:hint="eastAsia" w:ascii="仿宋" w:hAnsi="仿宋" w:eastAsia="仿宋" w:cs="仿宋"/>
          <w:color w:val="auto"/>
          <w:spacing w:val="-7"/>
          <w:sz w:val="24"/>
          <w:szCs w:val="24"/>
          <w:highlight w:val="none"/>
        </w:rPr>
        <w:t>双色国产土工膜（1.0mm</w:t>
      </w:r>
      <w:r>
        <w:rPr>
          <w:rFonts w:hint="eastAsia" w:ascii="仿宋" w:hAnsi="仿宋" w:eastAsia="仿宋" w:cs="仿宋"/>
          <w:color w:val="auto"/>
          <w:spacing w:val="-54"/>
          <w:w w:val="86"/>
          <w:sz w:val="24"/>
          <w:szCs w:val="24"/>
          <w:highlight w:val="none"/>
        </w:rPr>
        <w:t>），</w:t>
      </w:r>
      <w:r>
        <w:rPr>
          <w:rFonts w:hint="eastAsia" w:ascii="仿宋" w:hAnsi="仿宋" w:eastAsia="仿宋" w:cs="仿宋"/>
          <w:color w:val="auto"/>
          <w:spacing w:val="-7"/>
          <w:sz w:val="24"/>
          <w:szCs w:val="24"/>
          <w:highlight w:val="none"/>
        </w:rPr>
        <w:t>参数符合</w:t>
      </w:r>
      <w:r>
        <w:rPr>
          <w:rFonts w:hint="eastAsia" w:ascii="仿宋" w:hAnsi="仿宋" w:eastAsia="仿宋" w:cs="仿宋"/>
          <w:color w:val="auto"/>
          <w:spacing w:val="-53"/>
          <w:sz w:val="24"/>
          <w:szCs w:val="24"/>
          <w:highlight w:val="none"/>
        </w:rPr>
        <w:t xml:space="preserve"> </w:t>
      </w:r>
      <w:r>
        <w:rPr>
          <w:rFonts w:hint="eastAsia" w:ascii="仿宋" w:hAnsi="仿宋" w:eastAsia="仿宋" w:cs="仿宋"/>
          <w:color w:val="auto"/>
          <w:spacing w:val="-7"/>
          <w:sz w:val="24"/>
          <w:szCs w:val="24"/>
          <w:highlight w:val="none"/>
        </w:rPr>
        <w:t>CJ/T234-2006</w:t>
      </w:r>
      <w:r>
        <w:rPr>
          <w:rFonts w:hint="eastAsia" w:ascii="仿宋" w:hAnsi="仿宋" w:eastAsia="仿宋" w:cs="仿宋"/>
          <w:color w:val="auto"/>
          <w:spacing w:val="-4"/>
          <w:sz w:val="24"/>
          <w:szCs w:val="24"/>
          <w:highlight w:val="none"/>
        </w:rPr>
        <w:t>要求。</w:t>
      </w:r>
    </w:p>
    <w:p w14:paraId="18253711">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default" w:ascii="仿宋" w:hAnsi="仿宋" w:eastAsia="仿宋" w:cs="仿宋"/>
          <w:b w:val="0"/>
          <w:bCs w:val="0"/>
          <w:color w:val="auto"/>
          <w:spacing w:val="-4"/>
          <w:sz w:val="24"/>
          <w:szCs w:val="24"/>
          <w:highlight w:val="none"/>
          <w:lang w:val="en-US" w:eastAsia="zh-CN"/>
        </w:rPr>
        <w:t>规格尺寸及偏差：膜厚度：极限偏差±5%，平均偏差≥0；所供膜必须达到宽幅≥6米（偏差为±100mm），长度≥50米，整圈无折叠；</w:t>
      </w:r>
    </w:p>
    <w:p w14:paraId="5ED73934">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default" w:ascii="仿宋" w:hAnsi="仿宋" w:eastAsia="仿宋" w:cs="仿宋"/>
          <w:b w:val="0"/>
          <w:bCs w:val="0"/>
          <w:color w:val="auto"/>
          <w:spacing w:val="-4"/>
          <w:sz w:val="24"/>
          <w:szCs w:val="24"/>
          <w:highlight w:val="none"/>
          <w:lang w:val="en-US" w:eastAsia="zh-CN"/>
        </w:rPr>
        <w:t>外观质量：切口须平直、无明显锯齿现象，穿孔修复点每卷不超过2个，水纹、云雾和机械划痕不明显，杂质和僵块</w:t>
      </w:r>
      <w:r>
        <w:rPr>
          <w:rFonts w:hint="eastAsia" w:ascii="仿宋" w:hAnsi="仿宋" w:eastAsia="仿宋" w:cs="仿宋"/>
          <w:b w:val="0"/>
          <w:bCs w:val="0"/>
          <w:color w:val="auto"/>
          <w:spacing w:val="-4"/>
          <w:sz w:val="24"/>
          <w:szCs w:val="24"/>
          <w:highlight w:val="none"/>
          <w:lang w:val="en-US" w:eastAsia="zh-CN"/>
        </w:rPr>
        <w:t>每平方米</w:t>
      </w:r>
      <w:r>
        <w:rPr>
          <w:rFonts w:hint="default" w:ascii="仿宋" w:hAnsi="仿宋" w:eastAsia="仿宋" w:cs="仿宋"/>
          <w:b w:val="0"/>
          <w:bCs w:val="0"/>
          <w:color w:val="auto"/>
          <w:spacing w:val="-4"/>
          <w:sz w:val="24"/>
          <w:szCs w:val="24"/>
          <w:highlight w:val="none"/>
          <w:lang w:val="en-US" w:eastAsia="zh-CN"/>
        </w:rPr>
        <w:t>20个内，不允许</w:t>
      </w:r>
      <w:r>
        <w:rPr>
          <w:rFonts w:hint="eastAsia" w:ascii="仿宋" w:hAnsi="仿宋" w:eastAsia="仿宋" w:cs="仿宋"/>
          <w:b w:val="0"/>
          <w:bCs w:val="0"/>
          <w:color w:val="auto"/>
          <w:spacing w:val="-4"/>
          <w:sz w:val="24"/>
          <w:szCs w:val="24"/>
          <w:highlight w:val="none"/>
          <w:lang w:val="en-US" w:eastAsia="zh-CN"/>
        </w:rPr>
        <w:t>有</w:t>
      </w:r>
      <w:r>
        <w:rPr>
          <w:rFonts w:hint="default" w:ascii="仿宋" w:hAnsi="仿宋" w:eastAsia="仿宋" w:cs="仿宋"/>
          <w:b w:val="0"/>
          <w:bCs w:val="0"/>
          <w:color w:val="auto"/>
          <w:spacing w:val="-4"/>
          <w:sz w:val="24"/>
          <w:szCs w:val="24"/>
          <w:highlight w:val="none"/>
          <w:lang w:val="en-US" w:eastAsia="zh-CN"/>
        </w:rPr>
        <w:t>接头断头</w:t>
      </w:r>
      <w:r>
        <w:rPr>
          <w:rFonts w:hint="eastAsia" w:ascii="仿宋" w:hAnsi="仿宋" w:eastAsia="仿宋" w:cs="仿宋"/>
          <w:b w:val="0"/>
          <w:bCs w:val="0"/>
          <w:color w:val="auto"/>
          <w:spacing w:val="-4"/>
          <w:sz w:val="24"/>
          <w:szCs w:val="24"/>
          <w:highlight w:val="none"/>
          <w:lang w:val="en-US" w:eastAsia="zh-CN"/>
        </w:rPr>
        <w:t>；</w:t>
      </w:r>
    </w:p>
    <w:p w14:paraId="6F12BADA">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default" w:ascii="仿宋" w:hAnsi="仿宋" w:eastAsia="仿宋" w:cs="仿宋"/>
          <w:b w:val="0"/>
          <w:bCs w:val="0"/>
          <w:color w:val="auto"/>
          <w:spacing w:val="-4"/>
          <w:sz w:val="24"/>
          <w:szCs w:val="24"/>
          <w:highlight w:val="none"/>
          <w:lang w:val="en-US" w:eastAsia="zh-CN"/>
        </w:rPr>
        <w:t>物理力学性能</w:t>
      </w:r>
    </w:p>
    <w:tbl>
      <w:tblPr>
        <w:tblStyle w:val="280"/>
        <w:tblW w:w="98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2887"/>
        <w:gridCol w:w="1041"/>
        <w:gridCol w:w="1504"/>
        <w:gridCol w:w="3673"/>
      </w:tblGrid>
      <w:tr w14:paraId="1C44E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restart"/>
            <w:tcBorders>
              <w:bottom w:val="nil"/>
            </w:tcBorders>
            <w:noWrap w:val="0"/>
            <w:vAlign w:val="top"/>
          </w:tcPr>
          <w:p w14:paraId="02AF315B">
            <w:pPr>
              <w:pStyle w:val="279"/>
              <w:spacing w:before="216" w:line="230" w:lineRule="auto"/>
              <w:ind w:left="186"/>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序号</w:t>
            </w:r>
          </w:p>
        </w:tc>
        <w:tc>
          <w:tcPr>
            <w:tcW w:w="2887" w:type="dxa"/>
            <w:vMerge w:val="restart"/>
            <w:tcBorders>
              <w:bottom w:val="nil"/>
            </w:tcBorders>
            <w:noWrap w:val="0"/>
            <w:vAlign w:val="top"/>
          </w:tcPr>
          <w:p w14:paraId="2AE8B4ED">
            <w:pPr>
              <w:pStyle w:val="279"/>
              <w:spacing w:before="216" w:line="229" w:lineRule="auto"/>
              <w:ind w:left="1241"/>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指标</w:t>
            </w:r>
          </w:p>
        </w:tc>
        <w:tc>
          <w:tcPr>
            <w:tcW w:w="1041" w:type="dxa"/>
            <w:vMerge w:val="restart"/>
            <w:tcBorders>
              <w:bottom w:val="nil"/>
            </w:tcBorders>
            <w:noWrap w:val="0"/>
            <w:vAlign w:val="top"/>
          </w:tcPr>
          <w:p w14:paraId="08E5926D">
            <w:pPr>
              <w:pStyle w:val="279"/>
              <w:spacing w:before="216" w:line="229" w:lineRule="auto"/>
              <w:ind w:left="316"/>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单位</w:t>
            </w:r>
          </w:p>
        </w:tc>
        <w:tc>
          <w:tcPr>
            <w:tcW w:w="5177" w:type="dxa"/>
            <w:gridSpan w:val="2"/>
            <w:noWrap w:val="0"/>
            <w:vAlign w:val="top"/>
          </w:tcPr>
          <w:p w14:paraId="086A78F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测试值</w:t>
            </w:r>
          </w:p>
        </w:tc>
      </w:tr>
      <w:tr w14:paraId="6249D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continue"/>
            <w:tcBorders>
              <w:top w:val="nil"/>
            </w:tcBorders>
            <w:noWrap w:val="0"/>
            <w:vAlign w:val="top"/>
          </w:tcPr>
          <w:p w14:paraId="6BB01039">
            <w:pPr>
              <w:rPr>
                <w:rFonts w:hint="eastAsia" w:ascii="仿宋" w:hAnsi="仿宋" w:eastAsia="仿宋" w:cs="仿宋"/>
                <w:color w:val="auto"/>
                <w:sz w:val="24"/>
                <w:szCs w:val="24"/>
                <w:highlight w:val="none"/>
              </w:rPr>
            </w:pPr>
          </w:p>
        </w:tc>
        <w:tc>
          <w:tcPr>
            <w:tcW w:w="2887" w:type="dxa"/>
            <w:vMerge w:val="continue"/>
            <w:tcBorders>
              <w:top w:val="nil"/>
            </w:tcBorders>
            <w:noWrap w:val="0"/>
            <w:vAlign w:val="top"/>
          </w:tcPr>
          <w:p w14:paraId="5565B16B">
            <w:pPr>
              <w:rPr>
                <w:rFonts w:hint="eastAsia" w:ascii="仿宋" w:hAnsi="仿宋" w:eastAsia="仿宋" w:cs="仿宋"/>
                <w:color w:val="auto"/>
                <w:sz w:val="24"/>
                <w:szCs w:val="24"/>
                <w:highlight w:val="none"/>
              </w:rPr>
            </w:pPr>
          </w:p>
        </w:tc>
        <w:tc>
          <w:tcPr>
            <w:tcW w:w="1041" w:type="dxa"/>
            <w:vMerge w:val="continue"/>
            <w:tcBorders>
              <w:top w:val="nil"/>
            </w:tcBorders>
            <w:noWrap w:val="0"/>
            <w:vAlign w:val="top"/>
          </w:tcPr>
          <w:p w14:paraId="541E23D1">
            <w:pPr>
              <w:rPr>
                <w:rFonts w:hint="eastAsia" w:ascii="仿宋" w:hAnsi="仿宋" w:eastAsia="仿宋" w:cs="仿宋"/>
                <w:color w:val="auto"/>
                <w:sz w:val="24"/>
                <w:szCs w:val="24"/>
                <w:highlight w:val="none"/>
              </w:rPr>
            </w:pPr>
          </w:p>
        </w:tc>
        <w:tc>
          <w:tcPr>
            <w:tcW w:w="5177" w:type="dxa"/>
            <w:gridSpan w:val="2"/>
            <w:noWrap w:val="0"/>
            <w:vAlign w:val="top"/>
          </w:tcPr>
          <w:p w14:paraId="3193C858">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厚度1.0mm</w:t>
            </w:r>
          </w:p>
        </w:tc>
      </w:tr>
      <w:tr w14:paraId="0B63F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restart"/>
            <w:noWrap w:val="0"/>
            <w:vAlign w:val="center"/>
          </w:tcPr>
          <w:p w14:paraId="5C06A426">
            <w:pPr>
              <w:pStyle w:val="279"/>
              <w:spacing w:before="248" w:line="189" w:lineRule="auto"/>
              <w:ind w:left="36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87" w:type="dxa"/>
            <w:noWrap w:val="0"/>
            <w:vAlign w:val="center"/>
          </w:tcPr>
          <w:p w14:paraId="224E5851">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屈服强度</w:t>
            </w:r>
          </w:p>
        </w:tc>
        <w:tc>
          <w:tcPr>
            <w:tcW w:w="1041" w:type="dxa"/>
            <w:noWrap w:val="0"/>
            <w:vAlign w:val="center"/>
          </w:tcPr>
          <w:p w14:paraId="30FF263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N/mm</w:t>
            </w:r>
          </w:p>
        </w:tc>
        <w:tc>
          <w:tcPr>
            <w:tcW w:w="5177" w:type="dxa"/>
            <w:gridSpan w:val="2"/>
            <w:noWrap w:val="0"/>
            <w:vAlign w:val="center"/>
          </w:tcPr>
          <w:p w14:paraId="2A961C2B">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≥18</w:t>
            </w:r>
          </w:p>
        </w:tc>
      </w:tr>
      <w:tr w14:paraId="27042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continue"/>
            <w:noWrap w:val="0"/>
            <w:vAlign w:val="top"/>
          </w:tcPr>
          <w:p w14:paraId="158F92F8">
            <w:pPr>
              <w:rPr>
                <w:rFonts w:hint="eastAsia" w:ascii="仿宋" w:hAnsi="仿宋" w:eastAsia="仿宋" w:cs="仿宋"/>
                <w:color w:val="auto"/>
                <w:sz w:val="24"/>
                <w:szCs w:val="24"/>
                <w:highlight w:val="none"/>
              </w:rPr>
            </w:pPr>
          </w:p>
        </w:tc>
        <w:tc>
          <w:tcPr>
            <w:tcW w:w="2887" w:type="dxa"/>
            <w:noWrap w:val="0"/>
            <w:vAlign w:val="center"/>
          </w:tcPr>
          <w:p w14:paraId="15DCC85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断裂强度</w:t>
            </w:r>
          </w:p>
        </w:tc>
        <w:tc>
          <w:tcPr>
            <w:tcW w:w="1041" w:type="dxa"/>
            <w:noWrap w:val="0"/>
            <w:vAlign w:val="center"/>
          </w:tcPr>
          <w:p w14:paraId="5DDDB7FA">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N/mm</w:t>
            </w:r>
          </w:p>
        </w:tc>
        <w:tc>
          <w:tcPr>
            <w:tcW w:w="5177" w:type="dxa"/>
            <w:gridSpan w:val="2"/>
            <w:noWrap w:val="0"/>
            <w:vAlign w:val="center"/>
          </w:tcPr>
          <w:p w14:paraId="3903F1B9">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≥30</w:t>
            </w:r>
          </w:p>
        </w:tc>
      </w:tr>
      <w:tr w14:paraId="7753A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continue"/>
            <w:noWrap w:val="0"/>
            <w:vAlign w:val="top"/>
          </w:tcPr>
          <w:p w14:paraId="0F2966F7">
            <w:pPr>
              <w:rPr>
                <w:rFonts w:hint="eastAsia" w:ascii="仿宋" w:hAnsi="仿宋" w:eastAsia="仿宋" w:cs="仿宋"/>
                <w:color w:val="auto"/>
                <w:sz w:val="21"/>
                <w:highlight w:val="none"/>
              </w:rPr>
            </w:pPr>
          </w:p>
        </w:tc>
        <w:tc>
          <w:tcPr>
            <w:tcW w:w="2887" w:type="dxa"/>
            <w:noWrap w:val="0"/>
            <w:vAlign w:val="center"/>
          </w:tcPr>
          <w:p w14:paraId="02AA8DE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屈服伸长率</w:t>
            </w:r>
          </w:p>
        </w:tc>
        <w:tc>
          <w:tcPr>
            <w:tcW w:w="1041" w:type="dxa"/>
            <w:noWrap w:val="0"/>
            <w:vAlign w:val="center"/>
          </w:tcPr>
          <w:p w14:paraId="5AD6F0E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w:t>
            </w:r>
          </w:p>
        </w:tc>
        <w:tc>
          <w:tcPr>
            <w:tcW w:w="5177" w:type="dxa"/>
            <w:gridSpan w:val="2"/>
            <w:noWrap w:val="0"/>
            <w:vAlign w:val="center"/>
          </w:tcPr>
          <w:p w14:paraId="11CEC251">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≥12</w:t>
            </w:r>
          </w:p>
        </w:tc>
      </w:tr>
      <w:tr w14:paraId="6E5DA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continue"/>
            <w:noWrap w:val="0"/>
            <w:vAlign w:val="top"/>
          </w:tcPr>
          <w:p w14:paraId="66820A20">
            <w:pPr>
              <w:rPr>
                <w:rFonts w:hint="eastAsia" w:ascii="仿宋" w:hAnsi="仿宋" w:eastAsia="仿宋" w:cs="仿宋"/>
                <w:color w:val="auto"/>
                <w:sz w:val="21"/>
                <w:highlight w:val="none"/>
              </w:rPr>
            </w:pPr>
          </w:p>
        </w:tc>
        <w:tc>
          <w:tcPr>
            <w:tcW w:w="2887" w:type="dxa"/>
            <w:noWrap w:val="0"/>
            <w:vAlign w:val="center"/>
          </w:tcPr>
          <w:p w14:paraId="23977A83">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断裂伸长率</w:t>
            </w:r>
          </w:p>
        </w:tc>
        <w:tc>
          <w:tcPr>
            <w:tcW w:w="1041" w:type="dxa"/>
            <w:noWrap w:val="0"/>
            <w:vAlign w:val="center"/>
          </w:tcPr>
          <w:p w14:paraId="290FE916">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w:t>
            </w:r>
          </w:p>
        </w:tc>
        <w:tc>
          <w:tcPr>
            <w:tcW w:w="5177" w:type="dxa"/>
            <w:gridSpan w:val="2"/>
            <w:noWrap w:val="0"/>
            <w:vAlign w:val="center"/>
          </w:tcPr>
          <w:p w14:paraId="158D8939">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≥700</w:t>
            </w:r>
          </w:p>
        </w:tc>
      </w:tr>
      <w:tr w14:paraId="0F8BD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22FF14E0">
            <w:pPr>
              <w:pStyle w:val="279"/>
              <w:spacing w:before="56" w:line="228" w:lineRule="auto"/>
              <w:jc w:val="center"/>
              <w:rPr>
                <w:rFonts w:hint="eastAsia" w:ascii="仿宋" w:hAnsi="仿宋" w:eastAsia="仿宋" w:cs="仿宋"/>
                <w:color w:val="auto"/>
                <w:spacing w:val="5"/>
                <w:kern w:val="2"/>
                <w:sz w:val="24"/>
                <w:szCs w:val="24"/>
                <w:highlight w:val="none"/>
                <w:lang w:val="en-US" w:eastAsia="en-US" w:bidi="ar-SA"/>
              </w:rPr>
            </w:pPr>
            <w:r>
              <w:rPr>
                <w:rFonts w:hint="eastAsia" w:ascii="仿宋" w:hAnsi="仿宋" w:eastAsia="仿宋" w:cs="仿宋"/>
                <w:color w:val="auto"/>
                <w:spacing w:val="5"/>
                <w:kern w:val="2"/>
                <w:sz w:val="24"/>
                <w:szCs w:val="24"/>
                <w:highlight w:val="none"/>
                <w:lang w:val="en-US" w:eastAsia="en-US" w:bidi="ar-SA"/>
              </w:rPr>
              <w:t>2</w:t>
            </w:r>
          </w:p>
        </w:tc>
        <w:tc>
          <w:tcPr>
            <w:tcW w:w="2887" w:type="dxa"/>
            <w:noWrap w:val="0"/>
            <w:vAlign w:val="center"/>
          </w:tcPr>
          <w:p w14:paraId="2CBB566B">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直角撕裂强度</w:t>
            </w:r>
          </w:p>
        </w:tc>
        <w:tc>
          <w:tcPr>
            <w:tcW w:w="1041" w:type="dxa"/>
            <w:noWrap w:val="0"/>
            <w:vAlign w:val="center"/>
          </w:tcPr>
          <w:p w14:paraId="43E73F54">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N</w:t>
            </w:r>
          </w:p>
        </w:tc>
        <w:tc>
          <w:tcPr>
            <w:tcW w:w="5177" w:type="dxa"/>
            <w:gridSpan w:val="2"/>
            <w:noWrap w:val="0"/>
            <w:vAlign w:val="center"/>
          </w:tcPr>
          <w:p w14:paraId="37F7383E">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≥150</w:t>
            </w:r>
          </w:p>
        </w:tc>
      </w:tr>
      <w:tr w14:paraId="2647A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12983332">
            <w:pPr>
              <w:pStyle w:val="279"/>
              <w:spacing w:before="56" w:line="228" w:lineRule="auto"/>
              <w:jc w:val="center"/>
              <w:rPr>
                <w:rFonts w:hint="eastAsia" w:ascii="仿宋" w:hAnsi="仿宋" w:eastAsia="仿宋" w:cs="仿宋"/>
                <w:color w:val="auto"/>
                <w:spacing w:val="5"/>
                <w:kern w:val="2"/>
                <w:sz w:val="24"/>
                <w:szCs w:val="24"/>
                <w:highlight w:val="none"/>
                <w:lang w:val="en-US" w:eastAsia="en-US" w:bidi="ar-SA"/>
              </w:rPr>
            </w:pPr>
            <w:r>
              <w:rPr>
                <w:rFonts w:hint="eastAsia" w:ascii="仿宋" w:hAnsi="仿宋" w:eastAsia="仿宋" w:cs="仿宋"/>
                <w:color w:val="auto"/>
                <w:spacing w:val="5"/>
                <w:kern w:val="2"/>
                <w:sz w:val="24"/>
                <w:szCs w:val="24"/>
                <w:highlight w:val="none"/>
                <w:lang w:val="en-US" w:eastAsia="en-US" w:bidi="ar-SA"/>
              </w:rPr>
              <w:t>3</w:t>
            </w:r>
          </w:p>
        </w:tc>
        <w:tc>
          <w:tcPr>
            <w:tcW w:w="2887" w:type="dxa"/>
            <w:noWrap w:val="0"/>
            <w:vAlign w:val="center"/>
          </w:tcPr>
          <w:p w14:paraId="3CB72FCF">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穿刺强度</w:t>
            </w:r>
          </w:p>
        </w:tc>
        <w:tc>
          <w:tcPr>
            <w:tcW w:w="1041" w:type="dxa"/>
            <w:noWrap w:val="0"/>
            <w:vAlign w:val="center"/>
          </w:tcPr>
          <w:p w14:paraId="16CEAEAF">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N</w:t>
            </w:r>
          </w:p>
        </w:tc>
        <w:tc>
          <w:tcPr>
            <w:tcW w:w="5177" w:type="dxa"/>
            <w:gridSpan w:val="2"/>
            <w:noWrap w:val="0"/>
            <w:vAlign w:val="center"/>
          </w:tcPr>
          <w:p w14:paraId="0905331F">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≥400</w:t>
            </w:r>
          </w:p>
        </w:tc>
      </w:tr>
      <w:tr w14:paraId="1D0C1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12FCA11A">
            <w:pPr>
              <w:pStyle w:val="279"/>
              <w:spacing w:before="56" w:line="228" w:lineRule="auto"/>
              <w:jc w:val="center"/>
              <w:rPr>
                <w:rFonts w:hint="eastAsia" w:ascii="仿宋" w:hAnsi="仿宋" w:eastAsia="仿宋" w:cs="仿宋"/>
                <w:color w:val="auto"/>
                <w:spacing w:val="5"/>
                <w:kern w:val="2"/>
                <w:sz w:val="24"/>
                <w:szCs w:val="24"/>
                <w:highlight w:val="none"/>
                <w:lang w:val="en-US" w:eastAsia="en-US" w:bidi="ar-SA"/>
              </w:rPr>
            </w:pPr>
            <w:r>
              <w:rPr>
                <w:rFonts w:hint="eastAsia" w:ascii="仿宋" w:hAnsi="仿宋" w:eastAsia="仿宋" w:cs="仿宋"/>
                <w:color w:val="auto"/>
                <w:spacing w:val="5"/>
                <w:kern w:val="2"/>
                <w:sz w:val="24"/>
                <w:szCs w:val="24"/>
                <w:highlight w:val="none"/>
                <w:lang w:val="en-US" w:eastAsia="en-US" w:bidi="ar-SA"/>
              </w:rPr>
              <w:t>4</w:t>
            </w:r>
          </w:p>
        </w:tc>
        <w:tc>
          <w:tcPr>
            <w:tcW w:w="2887" w:type="dxa"/>
            <w:noWrap w:val="0"/>
            <w:vAlign w:val="center"/>
          </w:tcPr>
          <w:p w14:paraId="75E4F446">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耐环境应力开裂</w:t>
            </w:r>
          </w:p>
        </w:tc>
        <w:tc>
          <w:tcPr>
            <w:tcW w:w="1041" w:type="dxa"/>
            <w:noWrap w:val="0"/>
            <w:vAlign w:val="center"/>
          </w:tcPr>
          <w:p w14:paraId="18F3DA09">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h</w:t>
            </w:r>
          </w:p>
        </w:tc>
        <w:tc>
          <w:tcPr>
            <w:tcW w:w="5177" w:type="dxa"/>
            <w:gridSpan w:val="2"/>
            <w:noWrap w:val="0"/>
            <w:vAlign w:val="center"/>
          </w:tcPr>
          <w:p w14:paraId="721729D8">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≥300</w:t>
            </w:r>
          </w:p>
        </w:tc>
      </w:tr>
      <w:tr w14:paraId="2247C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restart"/>
            <w:tcBorders>
              <w:bottom w:val="nil"/>
            </w:tcBorders>
            <w:noWrap w:val="0"/>
            <w:vAlign w:val="center"/>
          </w:tcPr>
          <w:p w14:paraId="74187967">
            <w:pPr>
              <w:pStyle w:val="279"/>
              <w:spacing w:before="56" w:line="228" w:lineRule="auto"/>
              <w:jc w:val="center"/>
              <w:rPr>
                <w:rFonts w:hint="eastAsia" w:ascii="仿宋" w:hAnsi="仿宋" w:eastAsia="仿宋" w:cs="仿宋"/>
                <w:color w:val="auto"/>
                <w:spacing w:val="5"/>
                <w:kern w:val="2"/>
                <w:sz w:val="24"/>
                <w:szCs w:val="24"/>
                <w:highlight w:val="none"/>
                <w:lang w:val="en-US" w:eastAsia="en-US" w:bidi="ar-SA"/>
              </w:rPr>
            </w:pPr>
            <w:r>
              <w:rPr>
                <w:rFonts w:hint="eastAsia" w:ascii="仿宋" w:hAnsi="仿宋" w:eastAsia="仿宋" w:cs="仿宋"/>
                <w:color w:val="auto"/>
                <w:spacing w:val="5"/>
                <w:kern w:val="2"/>
                <w:sz w:val="24"/>
                <w:szCs w:val="24"/>
                <w:highlight w:val="none"/>
                <w:lang w:val="en-US" w:eastAsia="en-US" w:bidi="ar-SA"/>
              </w:rPr>
              <w:t>5</w:t>
            </w:r>
          </w:p>
        </w:tc>
        <w:tc>
          <w:tcPr>
            <w:tcW w:w="2887" w:type="dxa"/>
            <w:noWrap w:val="0"/>
            <w:vAlign w:val="center"/>
          </w:tcPr>
          <w:p w14:paraId="0B05CC23">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碳黑含量</w:t>
            </w:r>
          </w:p>
        </w:tc>
        <w:tc>
          <w:tcPr>
            <w:tcW w:w="1041" w:type="dxa"/>
            <w:noWrap w:val="0"/>
            <w:vAlign w:val="center"/>
          </w:tcPr>
          <w:p w14:paraId="4205E74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w:t>
            </w:r>
          </w:p>
        </w:tc>
        <w:tc>
          <w:tcPr>
            <w:tcW w:w="5177" w:type="dxa"/>
            <w:gridSpan w:val="2"/>
            <w:noWrap w:val="0"/>
            <w:vAlign w:val="center"/>
          </w:tcPr>
          <w:p w14:paraId="614CDA57">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2.0-3.0</w:t>
            </w:r>
          </w:p>
        </w:tc>
      </w:tr>
      <w:tr w14:paraId="55D41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vMerge w:val="continue"/>
            <w:tcBorders>
              <w:top w:val="nil"/>
            </w:tcBorders>
            <w:noWrap w:val="0"/>
            <w:vAlign w:val="center"/>
          </w:tcPr>
          <w:p w14:paraId="43CD1971">
            <w:pPr>
              <w:jc w:val="center"/>
              <w:rPr>
                <w:rFonts w:hint="eastAsia" w:ascii="仿宋" w:hAnsi="仿宋" w:eastAsia="仿宋" w:cs="仿宋"/>
                <w:color w:val="auto"/>
                <w:spacing w:val="5"/>
                <w:kern w:val="2"/>
                <w:sz w:val="24"/>
                <w:szCs w:val="24"/>
                <w:highlight w:val="none"/>
                <w:lang w:val="en-US" w:eastAsia="en-US" w:bidi="ar-SA"/>
              </w:rPr>
            </w:pPr>
          </w:p>
        </w:tc>
        <w:tc>
          <w:tcPr>
            <w:tcW w:w="2887" w:type="dxa"/>
            <w:noWrap w:val="0"/>
            <w:vAlign w:val="center"/>
          </w:tcPr>
          <w:p w14:paraId="27EB8181">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碳黑分散度</w:t>
            </w:r>
          </w:p>
        </w:tc>
        <w:tc>
          <w:tcPr>
            <w:tcW w:w="6218" w:type="dxa"/>
            <w:gridSpan w:val="3"/>
            <w:noWrap w:val="0"/>
            <w:vAlign w:val="center"/>
          </w:tcPr>
          <w:p w14:paraId="4C2E7ECA">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10个观察区域中的9次应属于第1级或第</w:t>
            </w:r>
            <w:r>
              <w:rPr>
                <w:rFonts w:hint="eastAsia" w:ascii="仿宋" w:hAnsi="仿宋" w:eastAsia="仿宋" w:cs="仿宋"/>
                <w:color w:val="auto"/>
                <w:spacing w:val="5"/>
                <w:sz w:val="24"/>
                <w:szCs w:val="24"/>
                <w:highlight w:val="none"/>
                <w:lang w:val="en-US" w:eastAsia="zh-CN"/>
              </w:rPr>
              <w:t>2</w:t>
            </w:r>
            <w:r>
              <w:rPr>
                <w:rFonts w:hint="eastAsia" w:ascii="仿宋" w:hAnsi="仿宋" w:eastAsia="仿宋" w:cs="仿宋"/>
                <w:color w:val="auto"/>
                <w:spacing w:val="5"/>
                <w:sz w:val="24"/>
                <w:szCs w:val="24"/>
                <w:highlight w:val="none"/>
              </w:rPr>
              <w:t>级，属于第3级的不应多</w:t>
            </w:r>
            <w:r>
              <w:rPr>
                <w:rFonts w:hint="eastAsia" w:ascii="仿宋" w:hAnsi="仿宋" w:eastAsia="仿宋" w:cs="仿宋"/>
                <w:color w:val="auto"/>
                <w:spacing w:val="5"/>
                <w:sz w:val="24"/>
                <w:szCs w:val="24"/>
                <w:highlight w:val="none"/>
                <w:lang w:eastAsia="zh-CN"/>
              </w:rPr>
              <w:t>于</w:t>
            </w:r>
            <w:r>
              <w:rPr>
                <w:rFonts w:hint="eastAsia" w:ascii="仿宋" w:hAnsi="仿宋" w:eastAsia="仿宋" w:cs="仿宋"/>
                <w:color w:val="auto"/>
                <w:spacing w:val="5"/>
                <w:sz w:val="24"/>
                <w:szCs w:val="24"/>
                <w:highlight w:val="none"/>
              </w:rPr>
              <w:t>1次。</w:t>
            </w:r>
          </w:p>
        </w:tc>
      </w:tr>
      <w:tr w14:paraId="78389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6F1E6CAE">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6</w:t>
            </w:r>
          </w:p>
        </w:tc>
        <w:tc>
          <w:tcPr>
            <w:tcW w:w="2887" w:type="dxa"/>
            <w:noWrap w:val="0"/>
            <w:vAlign w:val="center"/>
          </w:tcPr>
          <w:p w14:paraId="1313EA5C">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-70℃低温冲击脆化性能</w:t>
            </w:r>
          </w:p>
        </w:tc>
        <w:tc>
          <w:tcPr>
            <w:tcW w:w="6218" w:type="dxa"/>
            <w:gridSpan w:val="3"/>
            <w:noWrap w:val="0"/>
            <w:vAlign w:val="center"/>
          </w:tcPr>
          <w:p w14:paraId="6FA6319B">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通过</w:t>
            </w:r>
          </w:p>
        </w:tc>
      </w:tr>
      <w:tr w14:paraId="11515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07024F50">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7</w:t>
            </w:r>
          </w:p>
        </w:tc>
        <w:tc>
          <w:tcPr>
            <w:tcW w:w="2887" w:type="dxa"/>
            <w:noWrap w:val="0"/>
            <w:vAlign w:val="center"/>
          </w:tcPr>
          <w:p w14:paraId="7778DDBE">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水蒸气渗透系数</w:t>
            </w:r>
          </w:p>
        </w:tc>
        <w:tc>
          <w:tcPr>
            <w:tcW w:w="2545" w:type="dxa"/>
            <w:gridSpan w:val="2"/>
            <w:noWrap w:val="0"/>
            <w:vAlign w:val="center"/>
          </w:tcPr>
          <w:p w14:paraId="2E5AA621">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g.cm/（cm2.s.Pa）</w:t>
            </w:r>
          </w:p>
        </w:tc>
        <w:tc>
          <w:tcPr>
            <w:tcW w:w="3673" w:type="dxa"/>
            <w:noWrap w:val="0"/>
            <w:vAlign w:val="center"/>
          </w:tcPr>
          <w:p w14:paraId="1142F827">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≤1.0×10</w:t>
            </w:r>
          </w:p>
        </w:tc>
      </w:tr>
      <w:tr w14:paraId="4348A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50D0E196">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8</w:t>
            </w:r>
          </w:p>
        </w:tc>
        <w:tc>
          <w:tcPr>
            <w:tcW w:w="2887" w:type="dxa"/>
            <w:noWrap w:val="0"/>
            <w:vAlign w:val="center"/>
          </w:tcPr>
          <w:p w14:paraId="05F58B88">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幅宽</w:t>
            </w:r>
          </w:p>
        </w:tc>
        <w:tc>
          <w:tcPr>
            <w:tcW w:w="2545" w:type="dxa"/>
            <w:gridSpan w:val="2"/>
            <w:noWrap w:val="0"/>
            <w:vAlign w:val="center"/>
          </w:tcPr>
          <w:p w14:paraId="6E3B095E">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m</w:t>
            </w:r>
          </w:p>
        </w:tc>
        <w:tc>
          <w:tcPr>
            <w:tcW w:w="3673" w:type="dxa"/>
            <w:noWrap w:val="0"/>
            <w:vAlign w:val="center"/>
          </w:tcPr>
          <w:p w14:paraId="1928A662">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≥6</w:t>
            </w:r>
          </w:p>
        </w:tc>
      </w:tr>
      <w:tr w14:paraId="78063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784" w:type="dxa"/>
            <w:noWrap w:val="0"/>
            <w:vAlign w:val="center"/>
          </w:tcPr>
          <w:p w14:paraId="1406F855">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9</w:t>
            </w:r>
          </w:p>
        </w:tc>
        <w:tc>
          <w:tcPr>
            <w:tcW w:w="2887" w:type="dxa"/>
            <w:noWrap w:val="0"/>
            <w:vAlign w:val="center"/>
          </w:tcPr>
          <w:p w14:paraId="43A498E5">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尺寸稳定性</w:t>
            </w:r>
          </w:p>
        </w:tc>
        <w:tc>
          <w:tcPr>
            <w:tcW w:w="2545" w:type="dxa"/>
            <w:gridSpan w:val="2"/>
            <w:noWrap w:val="0"/>
            <w:vAlign w:val="center"/>
          </w:tcPr>
          <w:p w14:paraId="665D064F">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w:t>
            </w:r>
          </w:p>
        </w:tc>
        <w:tc>
          <w:tcPr>
            <w:tcW w:w="3673" w:type="dxa"/>
            <w:noWrap w:val="0"/>
            <w:vAlign w:val="center"/>
          </w:tcPr>
          <w:p w14:paraId="753C7F72">
            <w:pPr>
              <w:pStyle w:val="279"/>
              <w:spacing w:before="56" w:line="228" w:lineRule="auto"/>
              <w:jc w:val="center"/>
              <w:rPr>
                <w:rFonts w:hint="eastAsia" w:ascii="仿宋" w:hAnsi="仿宋" w:eastAsia="仿宋" w:cs="仿宋"/>
                <w:color w:val="auto"/>
                <w:spacing w:val="5"/>
                <w:sz w:val="24"/>
                <w:szCs w:val="24"/>
                <w:highlight w:val="none"/>
              </w:rPr>
            </w:pPr>
            <w:r>
              <w:rPr>
                <w:rFonts w:hint="eastAsia" w:ascii="仿宋" w:hAnsi="仿宋" w:eastAsia="仿宋" w:cs="仿宋"/>
                <w:color w:val="auto"/>
                <w:spacing w:val="5"/>
                <w:sz w:val="24"/>
                <w:szCs w:val="24"/>
                <w:highlight w:val="none"/>
              </w:rPr>
              <w:t>±2</w:t>
            </w:r>
          </w:p>
        </w:tc>
      </w:tr>
    </w:tbl>
    <w:p w14:paraId="2473871F">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default" w:ascii="仿宋" w:hAnsi="仿宋" w:eastAsia="仿宋" w:cs="仿宋"/>
          <w:b w:val="0"/>
          <w:bCs w:val="0"/>
          <w:color w:val="auto"/>
          <w:spacing w:val="-4"/>
          <w:sz w:val="24"/>
          <w:szCs w:val="24"/>
          <w:highlight w:val="none"/>
          <w:lang w:val="en-US" w:eastAsia="zh-CN"/>
        </w:rPr>
        <w:t>本次采购的 HDPE 覆盖膜为高密度聚乙烯土工膜，用于填埋库区垃圾表面覆盖；</w:t>
      </w:r>
    </w:p>
    <w:p w14:paraId="22ABBD9B">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80" w:firstLineChars="200"/>
        <w:textAlignment w:val="auto"/>
        <w:rPr>
          <w:rFonts w:hint="default"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pacing w:val="-4"/>
          <w:sz w:val="24"/>
          <w:szCs w:val="24"/>
          <w:highlight w:val="none"/>
          <w:lang w:val="en-US" w:eastAsia="zh-CN"/>
        </w:rPr>
        <w:t>投标时提供以上规格近一年内的第三方质检报告，如未提供作废标处理</w:t>
      </w:r>
      <w:r>
        <w:rPr>
          <w:rFonts w:hint="eastAsia" w:ascii="仿宋" w:hAnsi="仿宋" w:eastAsia="仿宋" w:cs="仿宋"/>
          <w:b w:val="0"/>
          <w:bCs w:val="0"/>
          <w:color w:val="auto"/>
          <w:spacing w:val="-4"/>
          <w:sz w:val="24"/>
          <w:szCs w:val="24"/>
          <w:highlight w:val="none"/>
          <w:lang w:val="en-US" w:eastAsia="zh-CN"/>
        </w:rPr>
        <w:t>；</w:t>
      </w:r>
    </w:p>
    <w:p w14:paraId="28D6DECB">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default" w:ascii="仿宋" w:hAnsi="仿宋" w:eastAsia="仿宋" w:cs="仿宋"/>
          <w:b w:val="0"/>
          <w:bCs w:val="0"/>
          <w:color w:val="auto"/>
          <w:spacing w:val="-4"/>
          <w:sz w:val="24"/>
          <w:szCs w:val="24"/>
          <w:highlight w:val="none"/>
          <w:lang w:val="en-US" w:eastAsia="zh-CN"/>
        </w:rPr>
      </w:pPr>
      <w:r>
        <w:rPr>
          <w:rFonts w:hint="default" w:ascii="仿宋" w:hAnsi="仿宋" w:eastAsia="仿宋" w:cs="仿宋"/>
          <w:b w:val="0"/>
          <w:bCs w:val="0"/>
          <w:color w:val="auto"/>
          <w:spacing w:val="-4"/>
          <w:sz w:val="24"/>
          <w:szCs w:val="24"/>
          <w:highlight w:val="none"/>
          <w:lang w:val="en-US" w:eastAsia="zh-CN"/>
        </w:rPr>
        <w:t>本次采购国产膜质保期要求5年以上。</w:t>
      </w:r>
    </w:p>
    <w:p w14:paraId="563B3F0A">
      <w:pPr>
        <w:keepNext w:val="0"/>
        <w:keepLines w:val="0"/>
        <w:pageBreakBefore w:val="0"/>
        <w:widowControl w:val="0"/>
        <w:numPr>
          <w:ilvl w:val="2"/>
          <w:numId w:val="26"/>
        </w:numPr>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竹联片</w:t>
      </w:r>
    </w:p>
    <w:p w14:paraId="249DBA98">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竹联板规格：1M×1M；</w:t>
      </w:r>
    </w:p>
    <w:p w14:paraId="5DF8E161">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材质：新干毛竹；</w:t>
      </w:r>
    </w:p>
    <w:p w14:paraId="0E9AD443">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壁厚要求：粗，直，壁厚7—9mm；</w:t>
      </w:r>
    </w:p>
    <w:p w14:paraId="6CF93F4C">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竹龄：4—6年；</w:t>
      </w:r>
    </w:p>
    <w:p w14:paraId="6D20243D">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正常使用最高温度达到80摄氏度；</w:t>
      </w:r>
    </w:p>
    <w:p w14:paraId="5BE982EA">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产品具有耐高压，抗老化，耐腐蚀，韧性较好的特性，须符合行业相关标准。</w:t>
      </w:r>
    </w:p>
    <w:p w14:paraId="61FD7825">
      <w:pPr>
        <w:keepNext w:val="0"/>
        <w:keepLines w:val="0"/>
        <w:pageBreakBefore w:val="0"/>
        <w:widowControl w:val="0"/>
        <w:numPr>
          <w:ilvl w:val="2"/>
          <w:numId w:val="26"/>
        </w:numPr>
        <w:kinsoku/>
        <w:wordWrap/>
        <w:overflowPunct/>
        <w:topLinePunct w:val="0"/>
        <w:autoSpaceDE/>
        <w:autoSpaceDN/>
        <w:bidi w:val="0"/>
        <w:adjustRightInd/>
        <w:snapToGrid/>
        <w:spacing w:line="420" w:lineRule="exact"/>
        <w:ind w:left="0" w:leftChars="0" w:right="0" w:firstLine="466" w:firstLineChars="20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绿色尼龙绳</w:t>
      </w:r>
    </w:p>
    <w:p w14:paraId="212BC682">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颜色：绿色；</w:t>
      </w:r>
    </w:p>
    <w:p w14:paraId="70F5BF18">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规格：直径1CM以上；</w:t>
      </w:r>
    </w:p>
    <w:p w14:paraId="7078BC07">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承重力：600KG以上；</w:t>
      </w:r>
    </w:p>
    <w:p w14:paraId="3669796E">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材质：聚乙烯。</w:t>
      </w:r>
    </w:p>
    <w:p w14:paraId="020553D5">
      <w:pPr>
        <w:keepNext w:val="0"/>
        <w:keepLines w:val="0"/>
        <w:pageBreakBefore w:val="0"/>
        <w:widowControl w:val="0"/>
        <w:numPr>
          <w:ilvl w:val="2"/>
          <w:numId w:val="26"/>
        </w:numPr>
        <w:kinsoku/>
        <w:wordWrap/>
        <w:overflowPunct/>
        <w:topLinePunct w:val="0"/>
        <w:autoSpaceDE/>
        <w:autoSpaceDN/>
        <w:bidi w:val="0"/>
        <w:adjustRightInd/>
        <w:snapToGrid/>
        <w:spacing w:line="420" w:lineRule="exact"/>
        <w:ind w:left="0" w:leftChars="0" w:right="0" w:firstLine="466" w:firstLineChars="20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浸塑布</w:t>
      </w:r>
    </w:p>
    <w:p w14:paraId="05D2CB47">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颜色：双面绿色；</w:t>
      </w:r>
    </w:p>
    <w:p w14:paraId="6D9E32AF">
      <w:pPr>
        <w:keepNext w:val="0"/>
        <w:keepLines w:val="0"/>
        <w:pageBreakBefore w:val="0"/>
        <w:widowControl w:val="0"/>
        <w:numPr>
          <w:ilvl w:val="3"/>
          <w:numId w:val="26"/>
        </w:numPr>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宽幅及长度：每块浸塑布（PE 编织布）宽幅及长度要求：宽幅10米定长，长度20米定长；</w:t>
      </w:r>
    </w:p>
    <w:p w14:paraId="2C29057A">
      <w:pPr>
        <w:keepNext w:val="0"/>
        <w:keepLines w:val="0"/>
        <w:pageBreakBefore w:val="0"/>
        <w:widowControl w:val="0"/>
        <w:numPr>
          <w:ilvl w:val="3"/>
          <w:numId w:val="26"/>
        </w:numPr>
        <w:kinsoku/>
        <w:wordWrap/>
        <w:overflowPunct/>
        <w:topLinePunct w:val="0"/>
        <w:autoSpaceDE/>
        <w:autoSpaceDN/>
        <w:bidi w:val="0"/>
        <w:adjustRightInd w:val="0"/>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制造工艺：每块浸塑布（PE编织布）制造工艺要求：拼缝用热合工艺拼接，拼接缝热合力≥230N。每块浸塑布要求小于等于四条拼缝。四边以热合工艺包绳（绳直径≥4mm），并且每米至少用一个铝扣固定。四角使用加强三角，并打上铝扣。膜的剥离强度为不可剥离；</w:t>
      </w:r>
    </w:p>
    <w:p w14:paraId="4146FC16">
      <w:pPr>
        <w:keepNext w:val="0"/>
        <w:keepLines w:val="0"/>
        <w:pageBreakBefore w:val="0"/>
        <w:widowControl w:val="0"/>
        <w:numPr>
          <w:ilvl w:val="3"/>
          <w:numId w:val="26"/>
        </w:numPr>
        <w:kinsoku/>
        <w:wordWrap/>
        <w:overflowPunct/>
        <w:topLinePunct w:val="0"/>
        <w:autoSpaceDE/>
        <w:autoSpaceDN/>
        <w:bidi w:val="0"/>
        <w:adjustRightInd w:val="0"/>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材质：高压聚乙烯拉丝编织，低压聚乙烯覆膜；</w:t>
      </w:r>
    </w:p>
    <w:p w14:paraId="7B776849">
      <w:pPr>
        <w:keepNext w:val="0"/>
        <w:keepLines w:val="0"/>
        <w:pageBreakBefore w:val="0"/>
        <w:widowControl w:val="0"/>
        <w:numPr>
          <w:ilvl w:val="3"/>
          <w:numId w:val="26"/>
        </w:numPr>
        <w:kinsoku/>
        <w:wordWrap/>
        <w:overflowPunct/>
        <w:topLinePunct w:val="0"/>
        <w:autoSpaceDE/>
        <w:autoSpaceDN/>
        <w:bidi w:val="0"/>
        <w:adjustRightInd w:val="0"/>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克重：≥120g/㎡膜（不包括包绳和铝扣的质量）；</w:t>
      </w:r>
    </w:p>
    <w:p w14:paraId="6F5FDE69">
      <w:pPr>
        <w:keepNext w:val="0"/>
        <w:keepLines w:val="0"/>
        <w:pageBreakBefore w:val="0"/>
        <w:widowControl w:val="0"/>
        <w:numPr>
          <w:ilvl w:val="3"/>
          <w:numId w:val="26"/>
        </w:numPr>
        <w:kinsoku/>
        <w:wordWrap/>
        <w:overflowPunct/>
        <w:topLinePunct w:val="0"/>
        <w:autoSpaceDE/>
        <w:autoSpaceDN/>
        <w:bidi w:val="0"/>
        <w:adjustRightInd w:val="0"/>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纬向可承受拉力：≥400N。</w:t>
      </w:r>
    </w:p>
    <w:p w14:paraId="5B98D07F">
      <w:pPr>
        <w:keepNext w:val="0"/>
        <w:keepLines w:val="0"/>
        <w:pageBreakBefore w:val="0"/>
        <w:widowControl/>
        <w:numPr>
          <w:ilvl w:val="0"/>
          <w:numId w:val="1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标项4：除臭专用物资</w:t>
      </w:r>
    </w:p>
    <w:p w14:paraId="63419EBA">
      <w:pPr>
        <w:keepNext w:val="0"/>
        <w:keepLines w:val="0"/>
        <w:pageBreakBefore w:val="0"/>
        <w:widowControl/>
        <w:numPr>
          <w:ilvl w:val="1"/>
          <w:numId w:val="27"/>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采购清单及最高单价限价</w:t>
      </w:r>
    </w:p>
    <w:tbl>
      <w:tblPr>
        <w:tblStyle w:val="50"/>
        <w:tblW w:w="97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
        <w:gridCol w:w="3025"/>
        <w:gridCol w:w="3194"/>
        <w:gridCol w:w="832"/>
        <w:gridCol w:w="1810"/>
      </w:tblGrid>
      <w:tr w14:paraId="5BBC5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vMerge w:val="restart"/>
            <w:tcBorders>
              <w:top w:val="single" w:color="000000" w:sz="4" w:space="0"/>
              <w:left w:val="single" w:color="000000" w:sz="4" w:space="0"/>
              <w:bottom w:val="single" w:color="000000" w:sz="4" w:space="0"/>
              <w:right w:val="single" w:color="000000" w:sz="4" w:space="0"/>
            </w:tcBorders>
            <w:noWrap/>
            <w:vAlign w:val="center"/>
          </w:tcPr>
          <w:p w14:paraId="2E2491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3025" w:type="dxa"/>
            <w:vMerge w:val="restart"/>
            <w:tcBorders>
              <w:top w:val="single" w:color="000000" w:sz="4" w:space="0"/>
              <w:left w:val="single" w:color="000000" w:sz="4" w:space="0"/>
              <w:bottom w:val="single" w:color="000000" w:sz="4" w:space="0"/>
              <w:right w:val="single" w:color="000000" w:sz="4" w:space="0"/>
            </w:tcBorders>
            <w:noWrap/>
            <w:vAlign w:val="center"/>
          </w:tcPr>
          <w:p w14:paraId="609165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名称</w:t>
            </w:r>
          </w:p>
        </w:tc>
        <w:tc>
          <w:tcPr>
            <w:tcW w:w="3194" w:type="dxa"/>
            <w:vMerge w:val="restart"/>
            <w:tcBorders>
              <w:top w:val="single" w:color="000000" w:sz="4" w:space="0"/>
              <w:left w:val="single" w:color="000000" w:sz="4" w:space="0"/>
              <w:bottom w:val="single" w:color="000000" w:sz="4" w:space="0"/>
              <w:right w:val="single" w:color="000000" w:sz="4" w:space="0"/>
            </w:tcBorders>
            <w:noWrap/>
            <w:vAlign w:val="center"/>
          </w:tcPr>
          <w:p w14:paraId="2B7158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规格型号</w:t>
            </w:r>
          </w:p>
        </w:tc>
        <w:tc>
          <w:tcPr>
            <w:tcW w:w="832" w:type="dxa"/>
            <w:vMerge w:val="restart"/>
            <w:tcBorders>
              <w:top w:val="single" w:color="000000" w:sz="4" w:space="0"/>
              <w:left w:val="single" w:color="000000" w:sz="4" w:space="0"/>
              <w:bottom w:val="single" w:color="000000" w:sz="4" w:space="0"/>
              <w:right w:val="single" w:color="000000" w:sz="4" w:space="0"/>
            </w:tcBorders>
            <w:noWrap w:val="0"/>
            <w:vAlign w:val="center"/>
          </w:tcPr>
          <w:p w14:paraId="34D061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810" w:type="dxa"/>
            <w:vMerge w:val="restart"/>
            <w:tcBorders>
              <w:top w:val="single" w:color="000000" w:sz="4" w:space="0"/>
              <w:left w:val="single" w:color="000000" w:sz="4" w:space="0"/>
              <w:bottom w:val="single" w:color="000000" w:sz="4" w:space="0"/>
              <w:right w:val="single" w:color="000000" w:sz="4" w:space="0"/>
            </w:tcBorders>
            <w:noWrap w:val="0"/>
            <w:vAlign w:val="center"/>
          </w:tcPr>
          <w:p w14:paraId="6CBA196A">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最高单价限价（元）</w:t>
            </w:r>
          </w:p>
        </w:tc>
      </w:tr>
      <w:tr w14:paraId="3D67D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vMerge w:val="continue"/>
            <w:tcBorders>
              <w:top w:val="single" w:color="000000" w:sz="4" w:space="0"/>
              <w:left w:val="single" w:color="000000" w:sz="4" w:space="0"/>
              <w:bottom w:val="single" w:color="000000" w:sz="4" w:space="0"/>
              <w:right w:val="single" w:color="000000" w:sz="4" w:space="0"/>
            </w:tcBorders>
            <w:noWrap/>
            <w:vAlign w:val="center"/>
          </w:tcPr>
          <w:p w14:paraId="0A383D62">
            <w:pPr>
              <w:jc w:val="center"/>
              <w:rPr>
                <w:rFonts w:hint="eastAsia" w:ascii="仿宋" w:hAnsi="仿宋" w:eastAsia="仿宋" w:cs="仿宋"/>
                <w:i w:val="0"/>
                <w:iCs w:val="0"/>
                <w:color w:val="auto"/>
                <w:sz w:val="24"/>
                <w:szCs w:val="24"/>
                <w:highlight w:val="none"/>
                <w:u w:val="none"/>
              </w:rPr>
            </w:pPr>
          </w:p>
        </w:tc>
        <w:tc>
          <w:tcPr>
            <w:tcW w:w="3025" w:type="dxa"/>
            <w:vMerge w:val="continue"/>
            <w:tcBorders>
              <w:top w:val="single" w:color="000000" w:sz="4" w:space="0"/>
              <w:left w:val="single" w:color="000000" w:sz="4" w:space="0"/>
              <w:bottom w:val="single" w:color="000000" w:sz="4" w:space="0"/>
              <w:right w:val="single" w:color="000000" w:sz="4" w:space="0"/>
            </w:tcBorders>
            <w:noWrap/>
            <w:vAlign w:val="center"/>
          </w:tcPr>
          <w:p w14:paraId="62F720BC">
            <w:pPr>
              <w:jc w:val="center"/>
              <w:rPr>
                <w:rFonts w:hint="eastAsia" w:ascii="仿宋" w:hAnsi="仿宋" w:eastAsia="仿宋" w:cs="仿宋"/>
                <w:i w:val="0"/>
                <w:iCs w:val="0"/>
                <w:color w:val="auto"/>
                <w:sz w:val="24"/>
                <w:szCs w:val="24"/>
                <w:highlight w:val="none"/>
                <w:u w:val="none"/>
              </w:rPr>
            </w:pPr>
          </w:p>
        </w:tc>
        <w:tc>
          <w:tcPr>
            <w:tcW w:w="3194" w:type="dxa"/>
            <w:vMerge w:val="continue"/>
            <w:tcBorders>
              <w:top w:val="single" w:color="000000" w:sz="4" w:space="0"/>
              <w:left w:val="single" w:color="000000" w:sz="4" w:space="0"/>
              <w:bottom w:val="single" w:color="000000" w:sz="4" w:space="0"/>
              <w:right w:val="single" w:color="000000" w:sz="4" w:space="0"/>
            </w:tcBorders>
            <w:noWrap/>
            <w:vAlign w:val="center"/>
          </w:tcPr>
          <w:p w14:paraId="72B364FF">
            <w:pPr>
              <w:jc w:val="center"/>
              <w:rPr>
                <w:rFonts w:hint="eastAsia" w:ascii="仿宋" w:hAnsi="仿宋" w:eastAsia="仿宋" w:cs="仿宋"/>
                <w:i w:val="0"/>
                <w:iCs w:val="0"/>
                <w:color w:val="auto"/>
                <w:sz w:val="24"/>
                <w:szCs w:val="24"/>
                <w:highlight w:val="none"/>
                <w:u w:val="none"/>
              </w:rPr>
            </w:pPr>
          </w:p>
        </w:tc>
        <w:tc>
          <w:tcPr>
            <w:tcW w:w="8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824BA">
            <w:pPr>
              <w:jc w:val="center"/>
              <w:rPr>
                <w:rFonts w:hint="eastAsia" w:ascii="仿宋" w:hAnsi="仿宋" w:eastAsia="仿宋" w:cs="仿宋"/>
                <w:i w:val="0"/>
                <w:iCs w:val="0"/>
                <w:color w:val="auto"/>
                <w:sz w:val="24"/>
                <w:szCs w:val="24"/>
                <w:highlight w:val="none"/>
                <w:u w:val="none"/>
              </w:rPr>
            </w:pPr>
          </w:p>
        </w:tc>
        <w:tc>
          <w:tcPr>
            <w:tcW w:w="18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C14385">
            <w:pPr>
              <w:jc w:val="center"/>
              <w:rPr>
                <w:rFonts w:hint="eastAsia" w:ascii="仿宋" w:hAnsi="仿宋" w:eastAsia="仿宋" w:cs="仿宋"/>
                <w:i w:val="0"/>
                <w:iCs w:val="0"/>
                <w:color w:val="auto"/>
                <w:sz w:val="24"/>
                <w:szCs w:val="24"/>
                <w:highlight w:val="none"/>
                <w:u w:val="none"/>
              </w:rPr>
            </w:pPr>
          </w:p>
        </w:tc>
      </w:tr>
      <w:tr w14:paraId="28E09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639F00A">
            <w:pPr>
              <w:keepNext w:val="0"/>
              <w:keepLines w:val="0"/>
              <w:widowControl/>
              <w:numPr>
                <w:ilvl w:val="0"/>
                <w:numId w:val="28"/>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78FBC9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植物除臭剂</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D27227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25L/桶，稀释比例1：200</w:t>
            </w:r>
            <w:r>
              <w:rPr>
                <w:rFonts w:hint="eastAsia" w:ascii="仿宋" w:hAnsi="仿宋" w:eastAsia="仿宋" w:cs="仿宋"/>
                <w:b w:val="0"/>
                <w:bCs w:val="0"/>
                <w:color w:val="auto"/>
                <w:spacing w:val="-4"/>
                <w:sz w:val="24"/>
                <w:szCs w:val="24"/>
                <w:highlight w:val="none"/>
                <w:lang w:val="en-US" w:eastAsia="zh-CN"/>
              </w:rPr>
              <w:t>L</w:t>
            </w:r>
          </w:p>
        </w:tc>
        <w:tc>
          <w:tcPr>
            <w:tcW w:w="832" w:type="dxa"/>
            <w:tcBorders>
              <w:top w:val="single" w:color="000000" w:sz="4" w:space="0"/>
              <w:left w:val="single" w:color="000000" w:sz="4" w:space="0"/>
              <w:bottom w:val="single" w:color="000000" w:sz="4" w:space="0"/>
              <w:right w:val="single" w:color="000000" w:sz="4" w:space="0"/>
            </w:tcBorders>
            <w:noWrap/>
            <w:vAlign w:val="center"/>
          </w:tcPr>
          <w:p w14:paraId="0E4184E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F1D63D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12000.00</w:t>
            </w:r>
          </w:p>
        </w:tc>
      </w:tr>
      <w:tr w14:paraId="077BC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C572AEB">
            <w:pPr>
              <w:keepNext w:val="0"/>
              <w:keepLines w:val="0"/>
              <w:widowControl/>
              <w:numPr>
                <w:ilvl w:val="0"/>
                <w:numId w:val="28"/>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F2E576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生物除臭剂</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911D01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25L/桶，稀释比例1:200</w:t>
            </w:r>
            <w:r>
              <w:rPr>
                <w:rFonts w:hint="eastAsia" w:ascii="仿宋" w:hAnsi="仿宋" w:eastAsia="仿宋" w:cs="仿宋"/>
                <w:b w:val="0"/>
                <w:bCs w:val="0"/>
                <w:color w:val="auto"/>
                <w:spacing w:val="-4"/>
                <w:sz w:val="24"/>
                <w:szCs w:val="24"/>
                <w:highlight w:val="none"/>
                <w:lang w:val="en-US" w:eastAsia="zh-CN"/>
              </w:rPr>
              <w:t>L</w:t>
            </w:r>
          </w:p>
        </w:tc>
        <w:tc>
          <w:tcPr>
            <w:tcW w:w="832" w:type="dxa"/>
            <w:tcBorders>
              <w:top w:val="single" w:color="000000" w:sz="4" w:space="0"/>
              <w:left w:val="single" w:color="000000" w:sz="4" w:space="0"/>
              <w:bottom w:val="single" w:color="000000" w:sz="4" w:space="0"/>
              <w:right w:val="single" w:color="000000" w:sz="4" w:space="0"/>
            </w:tcBorders>
            <w:noWrap/>
            <w:vAlign w:val="center"/>
          </w:tcPr>
          <w:p w14:paraId="561DB35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1ECB41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7000.00</w:t>
            </w:r>
          </w:p>
        </w:tc>
      </w:tr>
      <w:tr w14:paraId="4E1ED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DFB044E">
            <w:pPr>
              <w:keepNext w:val="0"/>
              <w:keepLines w:val="0"/>
              <w:widowControl/>
              <w:numPr>
                <w:ilvl w:val="0"/>
                <w:numId w:val="28"/>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C99547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PAC污水处理剂</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6F445A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PAC含量≥28%</w:t>
            </w:r>
          </w:p>
        </w:tc>
        <w:tc>
          <w:tcPr>
            <w:tcW w:w="832" w:type="dxa"/>
            <w:tcBorders>
              <w:top w:val="single" w:color="000000" w:sz="4" w:space="0"/>
              <w:left w:val="single" w:color="000000" w:sz="4" w:space="0"/>
              <w:bottom w:val="single" w:color="000000" w:sz="4" w:space="0"/>
              <w:right w:val="single" w:color="000000" w:sz="4" w:space="0"/>
            </w:tcBorders>
            <w:noWrap/>
            <w:vAlign w:val="center"/>
          </w:tcPr>
          <w:p w14:paraId="7DB6E0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5F65EA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2800.00</w:t>
            </w:r>
          </w:p>
        </w:tc>
      </w:tr>
      <w:tr w14:paraId="1CDE9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7760DB1">
            <w:pPr>
              <w:keepNext w:val="0"/>
              <w:keepLines w:val="0"/>
              <w:widowControl/>
              <w:numPr>
                <w:ilvl w:val="0"/>
                <w:numId w:val="28"/>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4F4348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PAM污水处理剂</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E84000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阳离子12000万分子量</w:t>
            </w:r>
          </w:p>
        </w:tc>
        <w:tc>
          <w:tcPr>
            <w:tcW w:w="832" w:type="dxa"/>
            <w:tcBorders>
              <w:top w:val="single" w:color="000000" w:sz="4" w:space="0"/>
              <w:left w:val="single" w:color="000000" w:sz="4" w:space="0"/>
              <w:bottom w:val="single" w:color="000000" w:sz="4" w:space="0"/>
              <w:right w:val="single" w:color="000000" w:sz="4" w:space="0"/>
            </w:tcBorders>
            <w:noWrap/>
            <w:vAlign w:val="center"/>
          </w:tcPr>
          <w:p w14:paraId="615788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4C65765">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25000.00</w:t>
            </w:r>
          </w:p>
        </w:tc>
      </w:tr>
      <w:tr w14:paraId="4BF23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D686E8C">
            <w:pPr>
              <w:keepNext w:val="0"/>
              <w:keepLines w:val="0"/>
              <w:widowControl/>
              <w:numPr>
                <w:ilvl w:val="0"/>
                <w:numId w:val="28"/>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234E91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消泡剂</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551B2C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浓度≥20%</w:t>
            </w:r>
          </w:p>
        </w:tc>
        <w:tc>
          <w:tcPr>
            <w:tcW w:w="832" w:type="dxa"/>
            <w:tcBorders>
              <w:top w:val="single" w:color="000000" w:sz="4" w:space="0"/>
              <w:left w:val="single" w:color="000000" w:sz="4" w:space="0"/>
              <w:bottom w:val="single" w:color="000000" w:sz="4" w:space="0"/>
              <w:right w:val="single" w:color="000000" w:sz="4" w:space="0"/>
            </w:tcBorders>
            <w:noWrap/>
            <w:vAlign w:val="center"/>
          </w:tcPr>
          <w:p w14:paraId="58DBC7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48380B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15500.00</w:t>
            </w:r>
          </w:p>
        </w:tc>
      </w:tr>
    </w:tbl>
    <w:p w14:paraId="18AD4E35">
      <w:pPr>
        <w:keepNext w:val="0"/>
        <w:keepLines w:val="0"/>
        <w:pageBreakBefore w:val="0"/>
        <w:widowControl/>
        <w:numPr>
          <w:ilvl w:val="1"/>
          <w:numId w:val="27"/>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具体技术参数</w:t>
      </w:r>
    </w:p>
    <w:p w14:paraId="7508FA47">
      <w:pPr>
        <w:keepNext w:val="0"/>
        <w:keepLines w:val="0"/>
        <w:pageBreakBefore w:val="0"/>
        <w:widowControl w:val="0"/>
        <w:numPr>
          <w:ilvl w:val="2"/>
          <w:numId w:val="29"/>
        </w:numPr>
        <w:tabs>
          <w:tab w:val="left" w:pos="420"/>
        </w:tabs>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植物除臭剂</w:t>
      </w:r>
    </w:p>
    <w:p w14:paraId="77C26297">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pacing w:val="-4"/>
          <w:sz w:val="24"/>
          <w:szCs w:val="24"/>
          <w:highlight w:val="none"/>
          <w:lang w:val="en-US" w:eastAsia="zh-CN"/>
          <w14:textFill>
            <w14:solidFill>
              <w14:schemeClr w14:val="tx1"/>
            </w14:solidFill>
          </w14:textFill>
        </w:rPr>
        <w:t>规格：25L/桶；</w:t>
      </w:r>
    </w:p>
    <w:p w14:paraId="2FF5240D">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参数要求：外观无分层现象，色度≤30 度，无异味，符合规定香型，植物提取物含 量≥50%，硫化氢去除率≥96%，氨气去除率≥90%，甲硫醇去除率≥99%，甲硫醚去除率≥ 99%，稀释比例≥1:200L；</w:t>
      </w:r>
    </w:p>
    <w:p w14:paraId="20B8E1A3">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毒性报告：急性经口毒性报告，眼刺激性报告，急性吸入毒性报告，皮肤刺激性报告；</w:t>
      </w:r>
    </w:p>
    <w:p w14:paraId="2584FD62">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杀菌报告；大肠杆菌，黄金色葡萄球菌；</w:t>
      </w:r>
    </w:p>
    <w:p w14:paraId="5A76EC3F">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重金属报告；</w:t>
      </w:r>
    </w:p>
    <w:p w14:paraId="38DBEDCF">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腐蚀性报告；</w:t>
      </w:r>
    </w:p>
    <w:p w14:paraId="58BDBD7B">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无糖检测报告；</w:t>
      </w:r>
    </w:p>
    <w:p w14:paraId="0278BA7A">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质保要求&gt;6个月；</w:t>
      </w:r>
    </w:p>
    <w:p w14:paraId="77D430D8">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72"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color w:val="auto"/>
          <w:spacing w:val="-2"/>
          <w:sz w:val="24"/>
          <w:szCs w:val="24"/>
          <w:highlight w:val="none"/>
        </w:rPr>
        <w:t>★</w:t>
      </w:r>
      <w:r>
        <w:rPr>
          <w:rFonts w:hint="eastAsia" w:ascii="仿宋" w:hAnsi="仿宋" w:eastAsia="仿宋" w:cs="仿宋"/>
          <w:b w:val="0"/>
          <w:bCs w:val="0"/>
          <w:color w:val="auto"/>
          <w:spacing w:val="-4"/>
          <w:sz w:val="24"/>
          <w:szCs w:val="24"/>
          <w:highlight w:val="none"/>
          <w:lang w:val="en-US" w:eastAsia="zh-CN"/>
        </w:rPr>
        <w:t>投标文件中需提供产品检测报告、厂家三体系证书复印件并加盖投标人公章，需通过计量认证（CMA）通过中国实验室国家认可委员会（CNAS）认可的检测报告，（ilac-MRA）</w:t>
      </w:r>
    </w:p>
    <w:p w14:paraId="79CD2DDA">
      <w:pPr>
        <w:keepNext w:val="0"/>
        <w:keepLines w:val="0"/>
        <w:pageBreakBefore w:val="0"/>
        <w:widowControl w:val="0"/>
        <w:numPr>
          <w:ilvl w:val="0"/>
          <w:numId w:val="0"/>
        </w:numPr>
        <w:tabs>
          <w:tab w:val="left" w:pos="420"/>
        </w:tabs>
        <w:kinsoku/>
        <w:wordWrap w:val="0"/>
        <w:overflowPunct/>
        <w:topLinePunct/>
        <w:autoSpaceDE/>
        <w:autoSpaceDN/>
        <w:bidi w:val="0"/>
        <w:adjustRightInd/>
        <w:snapToGrid/>
        <w:spacing w:line="420" w:lineRule="exact"/>
        <w:ind w:right="0" w:rightChars="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国际互认标志的检测报告。如未提供作废标处理。</w:t>
      </w:r>
    </w:p>
    <w:p w14:paraId="70C3BD4A">
      <w:pPr>
        <w:keepNext w:val="0"/>
        <w:keepLines w:val="0"/>
        <w:pageBreakBefore w:val="0"/>
        <w:widowControl w:val="0"/>
        <w:numPr>
          <w:ilvl w:val="2"/>
          <w:numId w:val="29"/>
        </w:numPr>
        <w:tabs>
          <w:tab w:val="left" w:pos="420"/>
        </w:tabs>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生物除臭剂</w:t>
      </w:r>
    </w:p>
    <w:p w14:paraId="180A9798">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规格：25L/桶；</w:t>
      </w:r>
    </w:p>
    <w:p w14:paraId="632B5C87">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参数要求：液体沉淀≤20%，有效菌数≥2x108CFU/mL，杂菌≤20%，菌群数＜200个/mL，硫化氢去除率≥96%，氨气去除率≥90%，甲硫醇去除率≥99%，甲硫醚去除率≥99%，稀释比例≥1:200L；</w:t>
      </w:r>
    </w:p>
    <w:p w14:paraId="45AADCE0">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质保要求&gt;6个月；</w:t>
      </w:r>
    </w:p>
    <w:p w14:paraId="55AF4DD4">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毒性报告：急性经口毒性报告，眼刺激性报告，急性吸入毒性报告，皮肤刺激性报告；</w:t>
      </w:r>
    </w:p>
    <w:p w14:paraId="581E45E4">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★投标文件中需提供产品检测报告、厂家三体系证书复印件并加盖投标人公章，需通过计量认证（CMA）通过中国实验室国家认可委员会（CNAS）认可的检测报告，（ilac-MRA） 国际互认标志的检测报告。如未提供作废标处理。</w:t>
      </w:r>
    </w:p>
    <w:p w14:paraId="349B1EEC">
      <w:pPr>
        <w:keepNext w:val="0"/>
        <w:keepLines w:val="0"/>
        <w:pageBreakBefore w:val="0"/>
        <w:widowControl w:val="0"/>
        <w:numPr>
          <w:ilvl w:val="2"/>
          <w:numId w:val="29"/>
        </w:numPr>
        <w:tabs>
          <w:tab w:val="left" w:pos="420"/>
        </w:tabs>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PAC污水处理剂</w:t>
      </w:r>
    </w:p>
    <w:p w14:paraId="000706F9">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PAC含量≥28%。</w:t>
      </w:r>
    </w:p>
    <w:p w14:paraId="5874B839">
      <w:pPr>
        <w:keepNext w:val="0"/>
        <w:keepLines w:val="0"/>
        <w:pageBreakBefore w:val="0"/>
        <w:widowControl w:val="0"/>
        <w:numPr>
          <w:ilvl w:val="2"/>
          <w:numId w:val="29"/>
        </w:numPr>
        <w:tabs>
          <w:tab w:val="left" w:pos="420"/>
        </w:tabs>
        <w:kinsoku/>
        <w:wordWrap/>
        <w:overflowPunct/>
        <w:topLinePunct w:val="0"/>
        <w:autoSpaceDE/>
        <w:autoSpaceDN/>
        <w:bidi w:val="0"/>
        <w:adjustRightInd/>
        <w:snapToGrid/>
        <w:spacing w:line="420" w:lineRule="exact"/>
        <w:ind w:left="0" w:leftChars="0" w:right="0" w:firstLine="464" w:firstLineChars="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PAM污水处理剂</w:t>
      </w:r>
    </w:p>
    <w:p w14:paraId="20F0EA90">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阳离子12000万分子量。</w:t>
      </w:r>
    </w:p>
    <w:p w14:paraId="35F64502">
      <w:pPr>
        <w:keepNext w:val="0"/>
        <w:keepLines w:val="0"/>
        <w:pageBreakBefore w:val="0"/>
        <w:widowControl w:val="0"/>
        <w:numPr>
          <w:ilvl w:val="2"/>
          <w:numId w:val="29"/>
        </w:numPr>
        <w:tabs>
          <w:tab w:val="left" w:pos="420"/>
        </w:tabs>
        <w:kinsoku/>
        <w:wordWrap/>
        <w:overflowPunct/>
        <w:topLinePunct w:val="0"/>
        <w:autoSpaceDE/>
        <w:autoSpaceDN/>
        <w:bidi w:val="0"/>
        <w:adjustRightInd/>
        <w:snapToGrid/>
        <w:spacing w:line="420" w:lineRule="exact"/>
        <w:ind w:left="0" w:leftChars="0" w:right="0" w:firstLine="466" w:firstLineChars="20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消泡剂</w:t>
      </w:r>
    </w:p>
    <w:p w14:paraId="1AC72715">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浓度≥20%。</w:t>
      </w:r>
    </w:p>
    <w:p w14:paraId="057A223B">
      <w:pPr>
        <w:keepNext w:val="0"/>
        <w:keepLines w:val="0"/>
        <w:pageBreakBefore w:val="0"/>
        <w:widowControl w:val="0"/>
        <w:numPr>
          <w:ilvl w:val="2"/>
          <w:numId w:val="29"/>
        </w:numPr>
        <w:tabs>
          <w:tab w:val="left" w:pos="420"/>
        </w:tabs>
        <w:kinsoku/>
        <w:wordWrap/>
        <w:overflowPunct/>
        <w:topLinePunct w:val="0"/>
        <w:autoSpaceDE/>
        <w:autoSpaceDN/>
        <w:bidi w:val="0"/>
        <w:adjustRightInd/>
        <w:snapToGrid/>
        <w:spacing w:line="420" w:lineRule="exact"/>
        <w:ind w:left="0" w:leftChars="0" w:right="0" w:firstLine="466" w:firstLineChars="200"/>
        <w:textAlignment w:val="auto"/>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bCs/>
          <w:color w:val="auto"/>
          <w:spacing w:val="-4"/>
          <w:sz w:val="24"/>
          <w:szCs w:val="24"/>
          <w:highlight w:val="none"/>
          <w:lang w:val="en-US" w:eastAsia="zh-CN"/>
        </w:rPr>
        <w:t>企业资质</w:t>
      </w:r>
    </w:p>
    <w:p w14:paraId="1B481BF9">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需提供商标注册证；</w:t>
      </w:r>
    </w:p>
    <w:p w14:paraId="5EE69B50">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企业ISO体系认证证书（ISO9001,ISO14001,ISO45001）三体系证书；</w:t>
      </w:r>
    </w:p>
    <w:p w14:paraId="2AD909BD">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业资信证书（资信等级AAA级企业）或AAA级以上资信企业证书；</w:t>
      </w:r>
    </w:p>
    <w:p w14:paraId="399230E4">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国家安全生产标准化企业证书；</w:t>
      </w:r>
    </w:p>
    <w:p w14:paraId="0444BB5E">
      <w:pPr>
        <w:keepNext w:val="0"/>
        <w:keepLines w:val="0"/>
        <w:pageBreakBefore w:val="0"/>
        <w:widowControl w:val="0"/>
        <w:numPr>
          <w:ilvl w:val="3"/>
          <w:numId w:val="29"/>
        </w:numPr>
        <w:tabs>
          <w:tab w:val="left" w:pos="420"/>
        </w:tabs>
        <w:kinsoku/>
        <w:wordWrap/>
        <w:overflowPunct/>
        <w:topLinePunct w:val="0"/>
        <w:autoSpaceDE/>
        <w:autoSpaceDN/>
        <w:bidi w:val="0"/>
        <w:adjustRightInd/>
        <w:snapToGrid/>
        <w:spacing w:line="420" w:lineRule="exact"/>
        <w:ind w:left="0" w:leftChars="0" w:right="0" w:firstLine="464" w:firstLineChars="200"/>
        <w:textAlignment w:val="auto"/>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中国绿色环保产品证书。</w:t>
      </w:r>
    </w:p>
    <w:p w14:paraId="6E88C38D">
      <w:pPr>
        <w:keepNext w:val="0"/>
        <w:keepLines w:val="0"/>
        <w:pageBreakBefore w:val="0"/>
        <w:widowControl w:val="0"/>
        <w:kinsoku/>
        <w:wordWrap/>
        <w:overflowPunct/>
        <w:topLinePunct w:val="0"/>
        <w:autoSpaceDE/>
        <w:autoSpaceDN/>
        <w:bidi w:val="0"/>
        <w:adjustRightInd/>
        <w:snapToGrid/>
        <w:spacing w:line="360" w:lineRule="exact"/>
        <w:ind w:left="0" w:right="0" w:firstLine="578" w:firstLineChars="200"/>
        <w:jc w:val="center"/>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pacing w:val="4"/>
          <w:sz w:val="28"/>
          <w:szCs w:val="28"/>
          <w:highlight w:val="none"/>
        </w:rPr>
        <w:t>技术要求</w:t>
      </w:r>
    </w:p>
    <w:tbl>
      <w:tblPr>
        <w:tblStyle w:val="280"/>
        <w:tblW w:w="99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1189"/>
        <w:gridCol w:w="2584"/>
        <w:gridCol w:w="989"/>
        <w:gridCol w:w="4039"/>
      </w:tblGrid>
      <w:tr w14:paraId="2FE17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tcBorders>
              <w:tl2br w:val="nil"/>
              <w:tr2bl w:val="nil"/>
            </w:tcBorders>
            <w:noWrap w:val="0"/>
            <w:vAlign w:val="center"/>
          </w:tcPr>
          <w:p w14:paraId="25EE4440">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4" w:firstLineChars="20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pacing w:val="-7"/>
                <w:sz w:val="24"/>
                <w:szCs w:val="24"/>
                <w:highlight w:val="none"/>
              </w:rPr>
              <w:t>名称</w:t>
            </w:r>
          </w:p>
        </w:tc>
        <w:tc>
          <w:tcPr>
            <w:tcW w:w="3773" w:type="dxa"/>
            <w:gridSpan w:val="2"/>
            <w:tcBorders>
              <w:tl2br w:val="nil"/>
              <w:tr2bl w:val="nil"/>
            </w:tcBorders>
            <w:noWrap w:val="0"/>
            <w:vAlign w:val="center"/>
          </w:tcPr>
          <w:p w14:paraId="6DB1C3CE">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4" w:firstLineChars="20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pacing w:val="-7"/>
                <w:sz w:val="24"/>
                <w:szCs w:val="24"/>
                <w:highlight w:val="none"/>
              </w:rPr>
              <w:t>项目</w:t>
            </w:r>
          </w:p>
        </w:tc>
        <w:tc>
          <w:tcPr>
            <w:tcW w:w="989" w:type="dxa"/>
            <w:tcBorders>
              <w:tl2br w:val="nil"/>
              <w:tr2bl w:val="nil"/>
            </w:tcBorders>
            <w:noWrap w:val="0"/>
            <w:vAlign w:val="center"/>
          </w:tcPr>
          <w:p w14:paraId="0789CFFE">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计量单位</w:t>
            </w:r>
          </w:p>
        </w:tc>
        <w:tc>
          <w:tcPr>
            <w:tcW w:w="4039" w:type="dxa"/>
            <w:tcBorders>
              <w:tl2br w:val="nil"/>
              <w:tr2bl w:val="nil"/>
            </w:tcBorders>
            <w:noWrap w:val="0"/>
            <w:vAlign w:val="center"/>
          </w:tcPr>
          <w:p w14:paraId="1F8011C5">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70" w:firstLineChars="20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pacing w:val="-3"/>
                <w:sz w:val="24"/>
                <w:szCs w:val="24"/>
                <w:highlight w:val="none"/>
              </w:rPr>
              <w:t>技术要求</w:t>
            </w:r>
          </w:p>
        </w:tc>
      </w:tr>
      <w:tr w14:paraId="47C23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restart"/>
            <w:tcBorders>
              <w:tl2br w:val="nil"/>
              <w:tr2bl w:val="nil"/>
            </w:tcBorders>
            <w:noWrap w:val="0"/>
            <w:vAlign w:val="center"/>
          </w:tcPr>
          <w:p w14:paraId="4A6358BB">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植物液</w:t>
            </w:r>
          </w:p>
          <w:p w14:paraId="71EF36E7">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除臭剂</w:t>
            </w:r>
          </w:p>
        </w:tc>
        <w:tc>
          <w:tcPr>
            <w:tcW w:w="3773" w:type="dxa"/>
            <w:gridSpan w:val="2"/>
            <w:tcBorders>
              <w:tl2br w:val="nil"/>
              <w:tr2bl w:val="nil"/>
            </w:tcBorders>
            <w:noWrap w:val="0"/>
            <w:vAlign w:val="center"/>
          </w:tcPr>
          <w:p w14:paraId="1F3C0A62">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环保要求</w:t>
            </w:r>
          </w:p>
        </w:tc>
        <w:tc>
          <w:tcPr>
            <w:tcW w:w="989" w:type="dxa"/>
            <w:tcBorders>
              <w:tl2br w:val="nil"/>
              <w:tr2bl w:val="nil"/>
            </w:tcBorders>
            <w:noWrap w:val="0"/>
            <w:vAlign w:val="center"/>
          </w:tcPr>
          <w:p w14:paraId="602411C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329F3D0C">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无毒、无害</w:t>
            </w:r>
          </w:p>
        </w:tc>
      </w:tr>
      <w:tr w14:paraId="2A2CB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69DEE2CE">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4CE78296">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性状</w:t>
            </w:r>
          </w:p>
        </w:tc>
        <w:tc>
          <w:tcPr>
            <w:tcW w:w="989" w:type="dxa"/>
            <w:tcBorders>
              <w:tl2br w:val="nil"/>
              <w:tr2bl w:val="nil"/>
            </w:tcBorders>
            <w:noWrap w:val="0"/>
            <w:vAlign w:val="center"/>
          </w:tcPr>
          <w:p w14:paraId="544FE8E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2B2B4CB1">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6"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液体</w:t>
            </w:r>
          </w:p>
        </w:tc>
      </w:tr>
      <w:tr w14:paraId="488C3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66617D86">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6667FAD9">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成分</w:t>
            </w:r>
          </w:p>
        </w:tc>
        <w:tc>
          <w:tcPr>
            <w:tcW w:w="989" w:type="dxa"/>
            <w:tcBorders>
              <w:tl2br w:val="nil"/>
              <w:tr2bl w:val="nil"/>
            </w:tcBorders>
            <w:noWrap w:val="0"/>
            <w:vAlign w:val="center"/>
          </w:tcPr>
          <w:p w14:paraId="46B0B5E5">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t>%</w:t>
            </w:r>
          </w:p>
        </w:tc>
        <w:tc>
          <w:tcPr>
            <w:tcW w:w="4039" w:type="dxa"/>
            <w:tcBorders>
              <w:tl2br w:val="nil"/>
              <w:tr2bl w:val="nil"/>
            </w:tcBorders>
            <w:noWrap w:val="0"/>
            <w:vAlign w:val="center"/>
          </w:tcPr>
          <w:p w14:paraId="2B40100A">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植物提取物所属化合物类别（萜烯类、</w:t>
            </w:r>
            <w:r>
              <w:rPr>
                <w:rFonts w:hint="eastAsia" w:ascii="仿宋" w:hAnsi="仿宋" w:eastAsia="仿宋" w:cs="仿宋"/>
                <w:color w:val="auto"/>
                <w:spacing w:val="-6"/>
                <w:sz w:val="24"/>
                <w:szCs w:val="24"/>
                <w:highlight w:val="none"/>
              </w:rPr>
              <w:t>醛类</w:t>
            </w:r>
            <w:r>
              <w:rPr>
                <w:rFonts w:hint="eastAsia" w:ascii="仿宋" w:hAnsi="仿宋" w:eastAsia="仿宋" w:cs="仿宋"/>
                <w:color w:val="auto"/>
                <w:spacing w:val="-6"/>
                <w:sz w:val="24"/>
                <w:szCs w:val="24"/>
                <w:highlight w:val="none"/>
                <w:lang w:eastAsia="zh-CN"/>
              </w:rPr>
              <w:t>或</w:t>
            </w:r>
            <w:r>
              <w:rPr>
                <w:rFonts w:hint="eastAsia" w:ascii="仿宋" w:hAnsi="仿宋" w:eastAsia="仿宋" w:cs="仿宋"/>
                <w:color w:val="auto"/>
                <w:spacing w:val="-6"/>
                <w:sz w:val="24"/>
                <w:szCs w:val="24"/>
                <w:highlight w:val="none"/>
              </w:rPr>
              <w:t>酯类等</w:t>
            </w:r>
            <w:r>
              <w:rPr>
                <w:rFonts w:hint="eastAsia" w:ascii="仿宋" w:hAnsi="仿宋" w:eastAsia="仿宋" w:cs="仿宋"/>
                <w:color w:val="auto"/>
                <w:spacing w:val="-7"/>
                <w:sz w:val="24"/>
                <w:szCs w:val="24"/>
                <w:highlight w:val="none"/>
              </w:rPr>
              <w:t>），</w:t>
            </w:r>
            <w:r>
              <w:rPr>
                <w:rFonts w:hint="eastAsia" w:ascii="仿宋" w:hAnsi="仿宋" w:eastAsia="仿宋" w:cs="仿宋"/>
                <w:color w:val="auto"/>
                <w:spacing w:val="-6"/>
                <w:sz w:val="24"/>
                <w:szCs w:val="24"/>
                <w:highlight w:val="none"/>
              </w:rPr>
              <w:t>以及所添加的表面</w:t>
            </w:r>
            <w:r>
              <w:rPr>
                <w:rFonts w:hint="eastAsia" w:ascii="仿宋" w:hAnsi="仿宋" w:eastAsia="仿宋" w:cs="仿宋"/>
                <w:color w:val="auto"/>
                <w:spacing w:val="-7"/>
                <w:sz w:val="24"/>
                <w:szCs w:val="24"/>
                <w:highlight w:val="none"/>
              </w:rPr>
              <w:t>活性剂等的种类，植物提取物、表面活性剂和水等，提供省级以上检测机构出具的植物液质量检验报告，其中植物提</w:t>
            </w:r>
            <w:r>
              <w:rPr>
                <w:rFonts w:hint="eastAsia" w:ascii="仿宋" w:hAnsi="仿宋" w:eastAsia="仿宋" w:cs="仿宋"/>
                <w:color w:val="auto"/>
                <w:spacing w:val="-2"/>
                <w:sz w:val="24"/>
                <w:szCs w:val="24"/>
                <w:highlight w:val="none"/>
              </w:rPr>
              <w:t>取物含量≥50%</w:t>
            </w:r>
          </w:p>
        </w:tc>
      </w:tr>
      <w:tr w14:paraId="149F2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03B3B1D4">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14DA2774">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植物液除臭剂为无毒级产品</w:t>
            </w:r>
          </w:p>
        </w:tc>
        <w:tc>
          <w:tcPr>
            <w:tcW w:w="989" w:type="dxa"/>
            <w:tcBorders>
              <w:tl2br w:val="nil"/>
              <w:tr2bl w:val="nil"/>
            </w:tcBorders>
            <w:noWrap w:val="0"/>
            <w:vAlign w:val="center"/>
          </w:tcPr>
          <w:p w14:paraId="02F9B39C">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jc w:val="both"/>
              <w:textAlignment w:val="auto"/>
              <w:rPr>
                <w:rFonts w:hint="eastAsia" w:ascii="仿宋" w:hAnsi="仿宋" w:eastAsia="仿宋" w:cs="仿宋"/>
                <w:color w:val="auto"/>
                <w:spacing w:val="-3"/>
                <w:kern w:val="2"/>
                <w:sz w:val="24"/>
                <w:szCs w:val="24"/>
                <w:highlight w:val="none"/>
                <w:lang w:val="en-US" w:eastAsia="en-US" w:bidi="ar-SA"/>
              </w:rPr>
            </w:pPr>
          </w:p>
        </w:tc>
        <w:tc>
          <w:tcPr>
            <w:tcW w:w="4039" w:type="dxa"/>
            <w:tcBorders>
              <w:tl2br w:val="nil"/>
              <w:tr2bl w:val="nil"/>
            </w:tcBorders>
            <w:noWrap w:val="0"/>
            <w:vAlign w:val="center"/>
          </w:tcPr>
          <w:p w14:paraId="0142889D">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提供省疾控部门毒性试验报告或省级以上重点实验室产品对鼠类的安全性</w:t>
            </w:r>
            <w:r>
              <w:rPr>
                <w:rFonts w:hint="eastAsia" w:ascii="仿宋" w:hAnsi="仿宋" w:eastAsia="仿宋" w:cs="仿宋"/>
                <w:color w:val="auto"/>
                <w:spacing w:val="-7"/>
                <w:sz w:val="24"/>
                <w:szCs w:val="24"/>
                <w:highlight w:val="none"/>
              </w:rPr>
              <w:t>毒性评价报告、急性经口毒性报告，眼刺激性报告，急性吸入毒性报告，皮肤</w:t>
            </w:r>
            <w:r>
              <w:rPr>
                <w:rFonts w:hint="eastAsia" w:ascii="仿宋" w:hAnsi="仿宋" w:eastAsia="仿宋" w:cs="仿宋"/>
                <w:color w:val="auto"/>
                <w:spacing w:val="15"/>
                <w:sz w:val="24"/>
                <w:szCs w:val="24"/>
                <w:highlight w:val="none"/>
              </w:rPr>
              <w:t xml:space="preserve"> </w:t>
            </w:r>
            <w:r>
              <w:rPr>
                <w:rFonts w:hint="eastAsia" w:ascii="仿宋" w:hAnsi="仿宋" w:eastAsia="仿宋" w:cs="仿宋"/>
                <w:color w:val="auto"/>
                <w:spacing w:val="-2"/>
                <w:sz w:val="24"/>
                <w:szCs w:val="24"/>
                <w:highlight w:val="none"/>
              </w:rPr>
              <w:t>刺激性报告。</w:t>
            </w:r>
          </w:p>
        </w:tc>
      </w:tr>
      <w:tr w14:paraId="0AE7D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27E7976B">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1189" w:type="dxa"/>
            <w:vMerge w:val="restart"/>
            <w:tcBorders>
              <w:tl2br w:val="nil"/>
              <w:tr2bl w:val="nil"/>
            </w:tcBorders>
            <w:noWrap w:val="0"/>
            <w:vAlign w:val="center"/>
          </w:tcPr>
          <w:p w14:paraId="530F6CF8">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7"/>
                <w:sz w:val="24"/>
                <w:szCs w:val="24"/>
                <w:highlight w:val="none"/>
              </w:rPr>
              <w:t>植物液除臭剂重金属含量检</w:t>
            </w:r>
            <w:r>
              <w:rPr>
                <w:rFonts w:hint="eastAsia" w:ascii="仿宋" w:hAnsi="仿宋" w:eastAsia="仿宋" w:cs="仿宋"/>
                <w:color w:val="auto"/>
                <w:sz w:val="24"/>
                <w:szCs w:val="24"/>
                <w:highlight w:val="none"/>
              </w:rPr>
              <w:t>测</w:t>
            </w:r>
          </w:p>
        </w:tc>
        <w:tc>
          <w:tcPr>
            <w:tcW w:w="2584" w:type="dxa"/>
            <w:tcBorders>
              <w:tl2br w:val="nil"/>
              <w:tr2bl w:val="nil"/>
            </w:tcBorders>
            <w:noWrap w:val="0"/>
            <w:vAlign w:val="center"/>
          </w:tcPr>
          <w:p w14:paraId="43ACACE7">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汞化合物（以Hg计）</w:t>
            </w:r>
          </w:p>
        </w:tc>
        <w:tc>
          <w:tcPr>
            <w:tcW w:w="989" w:type="dxa"/>
            <w:tcBorders>
              <w:tl2br w:val="nil"/>
              <w:tr2bl w:val="nil"/>
            </w:tcBorders>
            <w:noWrap w:val="0"/>
            <w:vAlign w:val="center"/>
          </w:tcPr>
          <w:p w14:paraId="2EFA5B27">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mg/kg</w:t>
            </w:r>
          </w:p>
        </w:tc>
        <w:tc>
          <w:tcPr>
            <w:tcW w:w="4039" w:type="dxa"/>
            <w:tcBorders>
              <w:tl2br w:val="nil"/>
              <w:tr2bl w:val="nil"/>
            </w:tcBorders>
            <w:noWrap w:val="0"/>
            <w:vAlign w:val="center"/>
          </w:tcPr>
          <w:p w14:paraId="13D8AEB9">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6"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≤0.01</w:t>
            </w:r>
          </w:p>
        </w:tc>
      </w:tr>
      <w:tr w14:paraId="19A7B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537D5560">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1189" w:type="dxa"/>
            <w:vMerge w:val="continue"/>
            <w:tcBorders>
              <w:tl2br w:val="nil"/>
              <w:tr2bl w:val="nil"/>
            </w:tcBorders>
            <w:noWrap w:val="0"/>
            <w:vAlign w:val="center"/>
          </w:tcPr>
          <w:p w14:paraId="2F36C21E">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2584" w:type="dxa"/>
            <w:tcBorders>
              <w:tl2br w:val="nil"/>
              <w:tr2bl w:val="nil"/>
            </w:tcBorders>
            <w:noWrap w:val="0"/>
            <w:vAlign w:val="center"/>
          </w:tcPr>
          <w:p w14:paraId="34EDE7B7">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镉化合物（以Cd计）</w:t>
            </w:r>
          </w:p>
        </w:tc>
        <w:tc>
          <w:tcPr>
            <w:tcW w:w="989" w:type="dxa"/>
            <w:tcBorders>
              <w:tl2br w:val="nil"/>
              <w:tr2bl w:val="nil"/>
            </w:tcBorders>
            <w:noWrap w:val="0"/>
            <w:vAlign w:val="center"/>
          </w:tcPr>
          <w:p w14:paraId="32004053">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mg/kg</w:t>
            </w:r>
          </w:p>
        </w:tc>
        <w:tc>
          <w:tcPr>
            <w:tcW w:w="4039" w:type="dxa"/>
            <w:tcBorders>
              <w:tl2br w:val="nil"/>
              <w:tr2bl w:val="nil"/>
            </w:tcBorders>
            <w:noWrap w:val="0"/>
            <w:vAlign w:val="center"/>
          </w:tcPr>
          <w:p w14:paraId="394E3338">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6"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≤0.01</w:t>
            </w:r>
          </w:p>
        </w:tc>
      </w:tr>
      <w:tr w14:paraId="2E85B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3AD62697">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1189" w:type="dxa"/>
            <w:vMerge w:val="continue"/>
            <w:tcBorders>
              <w:tl2br w:val="nil"/>
              <w:tr2bl w:val="nil"/>
            </w:tcBorders>
            <w:noWrap w:val="0"/>
            <w:vAlign w:val="center"/>
          </w:tcPr>
          <w:p w14:paraId="24031ACC">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2584" w:type="dxa"/>
            <w:tcBorders>
              <w:tl2br w:val="nil"/>
              <w:tr2bl w:val="nil"/>
            </w:tcBorders>
            <w:noWrap w:val="0"/>
            <w:vAlign w:val="center"/>
          </w:tcPr>
          <w:p w14:paraId="1DF09221">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砷化合物（以As计）</w:t>
            </w:r>
          </w:p>
        </w:tc>
        <w:tc>
          <w:tcPr>
            <w:tcW w:w="989" w:type="dxa"/>
            <w:tcBorders>
              <w:tl2br w:val="nil"/>
              <w:tr2bl w:val="nil"/>
            </w:tcBorders>
            <w:noWrap w:val="0"/>
            <w:vAlign w:val="center"/>
          </w:tcPr>
          <w:p w14:paraId="2C12BD46">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mg/kg</w:t>
            </w:r>
          </w:p>
        </w:tc>
        <w:tc>
          <w:tcPr>
            <w:tcW w:w="4039" w:type="dxa"/>
            <w:tcBorders>
              <w:tl2br w:val="nil"/>
              <w:tr2bl w:val="nil"/>
            </w:tcBorders>
            <w:noWrap w:val="0"/>
            <w:vAlign w:val="center"/>
          </w:tcPr>
          <w:p w14:paraId="2C365B5B">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2"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≤0.1</w:t>
            </w:r>
          </w:p>
        </w:tc>
      </w:tr>
      <w:tr w14:paraId="3E0BD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47F52A9C">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1189" w:type="dxa"/>
            <w:vMerge w:val="continue"/>
            <w:tcBorders>
              <w:tl2br w:val="nil"/>
              <w:tr2bl w:val="nil"/>
            </w:tcBorders>
            <w:noWrap w:val="0"/>
            <w:vAlign w:val="center"/>
          </w:tcPr>
          <w:p w14:paraId="7838EAC6">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2584" w:type="dxa"/>
            <w:tcBorders>
              <w:tl2br w:val="nil"/>
              <w:tr2bl w:val="nil"/>
            </w:tcBorders>
            <w:noWrap w:val="0"/>
            <w:vAlign w:val="center"/>
          </w:tcPr>
          <w:p w14:paraId="608625C3">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铅化合物（以Pb计）</w:t>
            </w:r>
          </w:p>
        </w:tc>
        <w:tc>
          <w:tcPr>
            <w:tcW w:w="989" w:type="dxa"/>
            <w:tcBorders>
              <w:tl2br w:val="nil"/>
              <w:tr2bl w:val="nil"/>
            </w:tcBorders>
            <w:noWrap w:val="0"/>
            <w:vAlign w:val="center"/>
          </w:tcPr>
          <w:p w14:paraId="0CB2819A">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mg/kg</w:t>
            </w:r>
          </w:p>
        </w:tc>
        <w:tc>
          <w:tcPr>
            <w:tcW w:w="4039" w:type="dxa"/>
            <w:tcBorders>
              <w:tl2br w:val="nil"/>
              <w:tr2bl w:val="nil"/>
            </w:tcBorders>
            <w:noWrap w:val="0"/>
            <w:vAlign w:val="center"/>
          </w:tcPr>
          <w:p w14:paraId="1BF3A765">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52"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≤0.1</w:t>
            </w:r>
          </w:p>
        </w:tc>
      </w:tr>
      <w:tr w14:paraId="441B6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16110BBE">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3A6A9D00">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致病菌（沙门氏菌、金黄色葡萄球菌、志贺氏菌）杀菌率</w:t>
            </w:r>
          </w:p>
        </w:tc>
        <w:tc>
          <w:tcPr>
            <w:tcW w:w="989" w:type="dxa"/>
            <w:tcBorders>
              <w:tl2br w:val="nil"/>
              <w:tr2bl w:val="nil"/>
            </w:tcBorders>
            <w:noWrap w:val="0"/>
            <w:vAlign w:val="center"/>
          </w:tcPr>
          <w:p w14:paraId="37316DFB">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3F667AF8">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536"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4"/>
                <w:sz w:val="24"/>
                <w:szCs w:val="24"/>
                <w:highlight w:val="none"/>
              </w:rPr>
              <w:t>&gt;99.9%</w:t>
            </w:r>
          </w:p>
        </w:tc>
      </w:tr>
      <w:tr w14:paraId="0CD5B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167D47B1">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6A665E4D">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硫化氢去除率（CJ/T516—2017）</w:t>
            </w:r>
          </w:p>
        </w:tc>
        <w:tc>
          <w:tcPr>
            <w:tcW w:w="989" w:type="dxa"/>
            <w:tcBorders>
              <w:tl2br w:val="nil"/>
              <w:tr2bl w:val="nil"/>
            </w:tcBorders>
            <w:noWrap w:val="0"/>
            <w:vAlign w:val="center"/>
          </w:tcPr>
          <w:p w14:paraId="240894B4">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133DF822">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≥96%</w:t>
            </w:r>
          </w:p>
        </w:tc>
      </w:tr>
      <w:tr w14:paraId="72C06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5CA0236A">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6B0E58F2">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氨气去除率（CJ/T516—2017）</w:t>
            </w:r>
          </w:p>
        </w:tc>
        <w:tc>
          <w:tcPr>
            <w:tcW w:w="989" w:type="dxa"/>
            <w:tcBorders>
              <w:tl2br w:val="nil"/>
              <w:tr2bl w:val="nil"/>
            </w:tcBorders>
            <w:noWrap w:val="0"/>
            <w:vAlign w:val="center"/>
          </w:tcPr>
          <w:p w14:paraId="76C6E82C">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182228DE">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≥90%</w:t>
            </w:r>
          </w:p>
        </w:tc>
      </w:tr>
      <w:tr w14:paraId="1F6BC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0FEE5185">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4268A959">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甲硫醇去除率（CJ/T516—2017）</w:t>
            </w:r>
          </w:p>
        </w:tc>
        <w:tc>
          <w:tcPr>
            <w:tcW w:w="989" w:type="dxa"/>
            <w:tcBorders>
              <w:tl2br w:val="nil"/>
              <w:tr2bl w:val="nil"/>
            </w:tcBorders>
            <w:noWrap w:val="0"/>
            <w:vAlign w:val="center"/>
          </w:tcPr>
          <w:p w14:paraId="67D55A7E">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0789474E">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≥99%</w:t>
            </w:r>
          </w:p>
        </w:tc>
      </w:tr>
      <w:tr w14:paraId="0200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296ACAC7">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1F2DBCDD">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甲硫醚去除率（CJ/T516—2017）</w:t>
            </w:r>
          </w:p>
        </w:tc>
        <w:tc>
          <w:tcPr>
            <w:tcW w:w="989" w:type="dxa"/>
            <w:tcBorders>
              <w:tl2br w:val="nil"/>
              <w:tr2bl w:val="nil"/>
            </w:tcBorders>
            <w:noWrap w:val="0"/>
            <w:vAlign w:val="center"/>
          </w:tcPr>
          <w:p w14:paraId="0779B4EC">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5B02E715">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≥99%</w:t>
            </w:r>
          </w:p>
        </w:tc>
      </w:tr>
      <w:tr w14:paraId="25162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restart"/>
            <w:tcBorders>
              <w:tl2br w:val="nil"/>
              <w:tr2bl w:val="nil"/>
            </w:tcBorders>
            <w:noWrap w:val="0"/>
            <w:vAlign w:val="center"/>
          </w:tcPr>
          <w:p w14:paraId="266973C4">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生物液</w:t>
            </w:r>
          </w:p>
          <w:p w14:paraId="6B0F24D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除臭剂</w:t>
            </w:r>
          </w:p>
        </w:tc>
        <w:tc>
          <w:tcPr>
            <w:tcW w:w="3773" w:type="dxa"/>
            <w:gridSpan w:val="2"/>
            <w:tcBorders>
              <w:tl2br w:val="nil"/>
              <w:tr2bl w:val="nil"/>
            </w:tcBorders>
            <w:noWrap w:val="0"/>
            <w:vAlign w:val="center"/>
          </w:tcPr>
          <w:p w14:paraId="788F0AF8">
            <w:pPr>
              <w:pStyle w:val="279"/>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6"/>
                <w:sz w:val="24"/>
                <w:szCs w:val="24"/>
                <w:highlight w:val="none"/>
              </w:rPr>
              <w:t>成分</w:t>
            </w:r>
          </w:p>
        </w:tc>
        <w:tc>
          <w:tcPr>
            <w:tcW w:w="989" w:type="dxa"/>
            <w:tcBorders>
              <w:tl2br w:val="nil"/>
              <w:tr2bl w:val="nil"/>
            </w:tcBorders>
            <w:noWrap w:val="0"/>
            <w:vAlign w:val="center"/>
          </w:tcPr>
          <w:p w14:paraId="017C04AA">
            <w:pPr>
              <w:pStyle w:val="279"/>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cfu/ml</w:t>
            </w:r>
          </w:p>
        </w:tc>
        <w:tc>
          <w:tcPr>
            <w:tcW w:w="4039" w:type="dxa"/>
            <w:tcBorders>
              <w:tl2br w:val="nil"/>
              <w:tr2bl w:val="nil"/>
            </w:tcBorders>
            <w:noWrap w:val="0"/>
            <w:vAlign w:val="center"/>
          </w:tcPr>
          <w:p w14:paraId="6E2C4EDE">
            <w:pPr>
              <w:pStyle w:val="27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72" w:firstLineChars="200"/>
              <w:jc w:val="center"/>
              <w:textAlignment w:val="auto"/>
              <w:rPr>
                <w:rFonts w:hint="eastAsia" w:ascii="仿宋" w:hAnsi="仿宋" w:eastAsia="仿宋" w:cs="仿宋"/>
                <w:color w:val="auto"/>
                <w:spacing w:val="-9"/>
                <w:sz w:val="24"/>
                <w:szCs w:val="24"/>
                <w:highlight w:val="none"/>
              </w:rPr>
            </w:pPr>
            <w:r>
              <w:rPr>
                <w:rFonts w:hint="eastAsia" w:ascii="仿宋" w:hAnsi="仿宋" w:eastAsia="仿宋" w:cs="仿宋"/>
                <w:color w:val="auto"/>
                <w:spacing w:val="-2"/>
                <w:sz w:val="24"/>
                <w:szCs w:val="24"/>
                <w:highlight w:val="none"/>
              </w:rPr>
              <w:t>菌落总数≥10</w:t>
            </w:r>
            <w:r>
              <w:rPr>
                <w:rFonts w:hint="eastAsia" w:ascii="仿宋" w:hAnsi="仿宋" w:eastAsia="仿宋" w:cs="仿宋"/>
                <w:color w:val="auto"/>
                <w:spacing w:val="-2"/>
                <w:position w:val="12"/>
                <w:sz w:val="24"/>
                <w:szCs w:val="24"/>
                <w:highlight w:val="none"/>
              </w:rPr>
              <w:t>5</w:t>
            </w:r>
            <w:r>
              <w:rPr>
                <w:rFonts w:hint="eastAsia" w:ascii="仿宋" w:hAnsi="仿宋" w:eastAsia="仿宋" w:cs="仿宋"/>
                <w:color w:val="auto"/>
                <w:spacing w:val="-2"/>
                <w:sz w:val="24"/>
                <w:szCs w:val="24"/>
                <w:highlight w:val="none"/>
              </w:rPr>
              <w:t>cfu/ml</w:t>
            </w:r>
          </w:p>
        </w:tc>
      </w:tr>
      <w:tr w14:paraId="2CD0D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3500729C">
            <w:pPr>
              <w:keepNext w:val="0"/>
              <w:keepLines w:val="0"/>
              <w:pageBreakBefore w:val="0"/>
              <w:widowControl w:val="0"/>
              <w:kinsoku/>
              <w:wordWrap/>
              <w:overflowPunct/>
              <w:topLinePunct w:val="0"/>
              <w:autoSpaceDE/>
              <w:autoSpaceDN/>
              <w:bidi w:val="0"/>
              <w:adjustRightInd/>
              <w:snapToGrid/>
              <w:spacing w:line="360" w:lineRule="exact"/>
              <w:ind w:left="0" w:right="0" w:firstLine="464" w:firstLineChars="200"/>
              <w:jc w:val="center"/>
              <w:textAlignment w:val="auto"/>
              <w:rPr>
                <w:rFonts w:hint="eastAsia" w:ascii="仿宋" w:hAnsi="仿宋" w:eastAsia="仿宋" w:cs="仿宋"/>
                <w:color w:val="auto"/>
                <w:spacing w:val="-4"/>
                <w:sz w:val="24"/>
                <w:szCs w:val="24"/>
                <w:highlight w:val="none"/>
              </w:rPr>
            </w:pPr>
          </w:p>
        </w:tc>
        <w:tc>
          <w:tcPr>
            <w:tcW w:w="3773" w:type="dxa"/>
            <w:gridSpan w:val="2"/>
            <w:tcBorders>
              <w:tl2br w:val="nil"/>
              <w:tr2bl w:val="nil"/>
            </w:tcBorders>
            <w:noWrap w:val="0"/>
            <w:vAlign w:val="center"/>
          </w:tcPr>
          <w:p w14:paraId="48C9130B">
            <w:pPr>
              <w:pStyle w:val="279"/>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1"/>
                <w:sz w:val="24"/>
                <w:szCs w:val="24"/>
                <w:highlight w:val="none"/>
              </w:rPr>
              <w:t>致病菌（沙门氏菌、金黄色</w:t>
            </w:r>
            <w:r>
              <w:rPr>
                <w:rFonts w:hint="eastAsia" w:ascii="仿宋" w:hAnsi="仿宋" w:eastAsia="仿宋" w:cs="仿宋"/>
                <w:color w:val="auto"/>
                <w:spacing w:val="-2"/>
                <w:sz w:val="24"/>
                <w:szCs w:val="24"/>
                <w:highlight w:val="none"/>
              </w:rPr>
              <w:t>葡萄球菌、志贺氏菌）</w:t>
            </w:r>
          </w:p>
        </w:tc>
        <w:tc>
          <w:tcPr>
            <w:tcW w:w="989" w:type="dxa"/>
            <w:tcBorders>
              <w:tl2br w:val="nil"/>
              <w:tr2bl w:val="nil"/>
            </w:tcBorders>
            <w:noWrap w:val="0"/>
            <w:vAlign w:val="center"/>
          </w:tcPr>
          <w:p w14:paraId="0CD8CCF3">
            <w:pPr>
              <w:pStyle w:val="279"/>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07F73CAF">
            <w:pPr>
              <w:pStyle w:val="279"/>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64" w:firstLineChars="200"/>
              <w:jc w:val="center"/>
              <w:textAlignment w:val="auto"/>
              <w:rPr>
                <w:rFonts w:hint="eastAsia" w:ascii="仿宋" w:hAnsi="仿宋" w:eastAsia="仿宋" w:cs="仿宋"/>
                <w:color w:val="auto"/>
                <w:spacing w:val="-9"/>
                <w:sz w:val="24"/>
                <w:szCs w:val="24"/>
                <w:highlight w:val="none"/>
              </w:rPr>
            </w:pPr>
            <w:r>
              <w:rPr>
                <w:rFonts w:hint="eastAsia" w:ascii="仿宋" w:hAnsi="仿宋" w:eastAsia="仿宋" w:cs="仿宋"/>
                <w:color w:val="auto"/>
                <w:spacing w:val="-4"/>
                <w:sz w:val="24"/>
                <w:szCs w:val="24"/>
                <w:highlight w:val="none"/>
              </w:rPr>
              <w:t>不得检出</w:t>
            </w:r>
          </w:p>
        </w:tc>
      </w:tr>
      <w:tr w14:paraId="4A22E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705763A8">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7D42B74B">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硫化氢去除率（CJ/T516—2017）</w:t>
            </w:r>
          </w:p>
        </w:tc>
        <w:tc>
          <w:tcPr>
            <w:tcW w:w="989" w:type="dxa"/>
            <w:tcBorders>
              <w:tl2br w:val="nil"/>
              <w:tr2bl w:val="nil"/>
            </w:tcBorders>
            <w:noWrap w:val="0"/>
            <w:vAlign w:val="center"/>
          </w:tcPr>
          <w:p w14:paraId="0B911D8D">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6404E351">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≥96%</w:t>
            </w:r>
          </w:p>
        </w:tc>
      </w:tr>
      <w:tr w14:paraId="09B95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409E2610">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46AA69C8">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氨气去除率（CJ/T516—2017）</w:t>
            </w:r>
          </w:p>
        </w:tc>
        <w:tc>
          <w:tcPr>
            <w:tcW w:w="989" w:type="dxa"/>
            <w:tcBorders>
              <w:tl2br w:val="nil"/>
              <w:tr2bl w:val="nil"/>
            </w:tcBorders>
            <w:noWrap w:val="0"/>
            <w:vAlign w:val="center"/>
          </w:tcPr>
          <w:p w14:paraId="096780E1">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51382C64">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≥90%</w:t>
            </w:r>
          </w:p>
        </w:tc>
      </w:tr>
      <w:tr w14:paraId="1705D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3A81DBDC">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1EA8FFBA">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甲硫醇去除率（CJ/T516—2017）</w:t>
            </w:r>
          </w:p>
        </w:tc>
        <w:tc>
          <w:tcPr>
            <w:tcW w:w="989" w:type="dxa"/>
            <w:tcBorders>
              <w:tl2br w:val="nil"/>
              <w:tr2bl w:val="nil"/>
            </w:tcBorders>
            <w:noWrap w:val="0"/>
            <w:vAlign w:val="center"/>
          </w:tcPr>
          <w:p w14:paraId="36CD3F53">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767373E0">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44"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≥99%</w:t>
            </w:r>
          </w:p>
        </w:tc>
      </w:tr>
      <w:tr w14:paraId="2FB31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6C85083E">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1DC6A4E1">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甲硫醚去除率（CJ/T516—2017）</w:t>
            </w:r>
          </w:p>
        </w:tc>
        <w:tc>
          <w:tcPr>
            <w:tcW w:w="989" w:type="dxa"/>
            <w:tcBorders>
              <w:tl2br w:val="nil"/>
              <w:tr2bl w:val="nil"/>
            </w:tcBorders>
            <w:noWrap w:val="0"/>
            <w:vAlign w:val="center"/>
          </w:tcPr>
          <w:p w14:paraId="70EC989C">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2AE38136">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≥99%</w:t>
            </w:r>
          </w:p>
        </w:tc>
      </w:tr>
      <w:tr w14:paraId="02188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07DDCF34">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257387DD">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无毒、无害、无二次污染，必须省级以上检测机构出具的菌剂安全证明报告</w:t>
            </w:r>
          </w:p>
        </w:tc>
        <w:tc>
          <w:tcPr>
            <w:tcW w:w="989" w:type="dxa"/>
            <w:tcBorders>
              <w:tl2br w:val="nil"/>
              <w:tr2bl w:val="nil"/>
            </w:tcBorders>
            <w:noWrap w:val="0"/>
            <w:vAlign w:val="center"/>
          </w:tcPr>
          <w:p w14:paraId="6A8FE7A4">
            <w:pPr>
              <w:pStyle w:val="27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 w:hAnsi="仿宋" w:eastAsia="仿宋" w:cs="仿宋"/>
                <w:color w:val="auto"/>
                <w:spacing w:val="-3"/>
                <w:kern w:val="2"/>
                <w:sz w:val="24"/>
                <w:szCs w:val="24"/>
                <w:highlight w:val="none"/>
                <w:lang w:val="en-US" w:eastAsia="en-US" w:bidi="ar-SA"/>
              </w:rPr>
            </w:pPr>
            <w:r>
              <w:rPr>
                <w:rFonts w:hint="eastAsia" w:ascii="仿宋" w:hAnsi="仿宋" w:eastAsia="仿宋" w:cs="仿宋"/>
                <w:color w:val="auto"/>
                <w:spacing w:val="-3"/>
                <w:kern w:val="2"/>
                <w:sz w:val="24"/>
                <w:szCs w:val="24"/>
                <w:highlight w:val="none"/>
                <w:lang w:val="en-US" w:eastAsia="en-US" w:bidi="ar-SA"/>
              </w:rPr>
              <w:t>——</w:t>
            </w:r>
          </w:p>
        </w:tc>
        <w:tc>
          <w:tcPr>
            <w:tcW w:w="4039" w:type="dxa"/>
            <w:tcBorders>
              <w:tl2br w:val="nil"/>
              <w:tr2bl w:val="nil"/>
            </w:tcBorders>
            <w:noWrap w:val="0"/>
            <w:vAlign w:val="center"/>
          </w:tcPr>
          <w:p w14:paraId="2C940105">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含鱼类急性毒性测试报告；</w:t>
            </w:r>
          </w:p>
          <w:p w14:paraId="2C2E223D">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Ames试验报告；</w:t>
            </w:r>
          </w:p>
          <w:p w14:paraId="1256DD77">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藻类急性毒性试验报告；</w:t>
            </w:r>
          </w:p>
          <w:p w14:paraId="0633EFFC">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致病菌检测试验报告；</w:t>
            </w:r>
          </w:p>
          <w:p w14:paraId="1BA8A40D">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小鼠经口急性毒性试验报告；</w:t>
            </w:r>
          </w:p>
          <w:p w14:paraId="56ADB5FB">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急性吸入毒性试验报告；</w:t>
            </w:r>
          </w:p>
          <w:p w14:paraId="5E682C1B">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皮肤刺激试验报告；</w:t>
            </w:r>
          </w:p>
          <w:p w14:paraId="5315CFDA">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急性眼刺激测试报告。</w:t>
            </w:r>
          </w:p>
        </w:tc>
      </w:tr>
      <w:tr w14:paraId="658D9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38310022">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1A9CE8E7">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76"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对金属碳钢腐蚀率：</w:t>
            </w:r>
          </w:p>
        </w:tc>
        <w:tc>
          <w:tcPr>
            <w:tcW w:w="989" w:type="dxa"/>
            <w:tcBorders>
              <w:tl2br w:val="nil"/>
              <w:tr2bl w:val="nil"/>
            </w:tcBorders>
            <w:noWrap w:val="0"/>
            <w:vAlign w:val="center"/>
          </w:tcPr>
          <w:p w14:paraId="5BDF944E">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jc w:val="center"/>
              <w:textAlignment w:val="auto"/>
              <w:rPr>
                <w:rFonts w:hint="eastAsia" w:ascii="仿宋" w:hAnsi="仿宋" w:eastAsia="仿宋" w:cs="仿宋"/>
                <w:color w:val="auto"/>
                <w:spacing w:val="-3"/>
                <w:kern w:val="2"/>
                <w:sz w:val="24"/>
                <w:szCs w:val="24"/>
                <w:highlight w:val="none"/>
                <w:lang w:val="en-US" w:eastAsia="en-US" w:bidi="ar-SA"/>
              </w:rPr>
            </w:pPr>
          </w:p>
        </w:tc>
        <w:tc>
          <w:tcPr>
            <w:tcW w:w="4039" w:type="dxa"/>
            <w:tcBorders>
              <w:tl2br w:val="nil"/>
              <w:tr2bl w:val="nil"/>
            </w:tcBorders>
            <w:noWrap w:val="0"/>
            <w:vAlign w:val="center"/>
          </w:tcPr>
          <w:p w14:paraId="13E71A27">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≤0.05mm/a</w:t>
            </w:r>
          </w:p>
        </w:tc>
      </w:tr>
      <w:tr w14:paraId="1EE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083BDA14">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524D443D">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pH</w:t>
            </w:r>
            <w:r>
              <w:rPr>
                <w:rFonts w:hint="eastAsia" w:ascii="仿宋" w:hAnsi="仿宋" w:eastAsia="仿宋" w:cs="仿宋"/>
                <w:color w:val="auto"/>
                <w:spacing w:val="19"/>
                <w:sz w:val="24"/>
                <w:szCs w:val="24"/>
                <w:highlight w:val="none"/>
              </w:rPr>
              <w:t>值</w:t>
            </w:r>
            <w:r>
              <w:rPr>
                <w:rFonts w:hint="eastAsia" w:ascii="仿宋" w:hAnsi="仿宋" w:eastAsia="仿宋" w:cs="仿宋"/>
                <w:color w:val="auto"/>
                <w:spacing w:val="19"/>
                <w:sz w:val="24"/>
                <w:szCs w:val="24"/>
                <w:highlight w:val="none"/>
                <w:lang w:eastAsia="zh-CN"/>
              </w:rPr>
              <w:t>：</w:t>
            </w:r>
          </w:p>
        </w:tc>
        <w:tc>
          <w:tcPr>
            <w:tcW w:w="989" w:type="dxa"/>
            <w:tcBorders>
              <w:tl2br w:val="nil"/>
              <w:tr2bl w:val="nil"/>
            </w:tcBorders>
            <w:noWrap w:val="0"/>
            <w:vAlign w:val="center"/>
          </w:tcPr>
          <w:p w14:paraId="043A7DE2">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jc w:val="center"/>
              <w:textAlignment w:val="auto"/>
              <w:rPr>
                <w:rFonts w:hint="eastAsia" w:ascii="仿宋" w:hAnsi="仿宋" w:eastAsia="仿宋" w:cs="仿宋"/>
                <w:color w:val="auto"/>
                <w:spacing w:val="-3"/>
                <w:kern w:val="2"/>
                <w:sz w:val="24"/>
                <w:szCs w:val="24"/>
                <w:highlight w:val="none"/>
                <w:lang w:val="en-US" w:eastAsia="en-US" w:bidi="ar-SA"/>
              </w:rPr>
            </w:pPr>
          </w:p>
        </w:tc>
        <w:tc>
          <w:tcPr>
            <w:tcW w:w="4039" w:type="dxa"/>
            <w:tcBorders>
              <w:tl2br w:val="nil"/>
              <w:tr2bl w:val="nil"/>
            </w:tcBorders>
            <w:noWrap w:val="0"/>
            <w:vAlign w:val="center"/>
          </w:tcPr>
          <w:p w14:paraId="28B8F020">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4.0～6.0</w:t>
            </w:r>
          </w:p>
        </w:tc>
      </w:tr>
      <w:tr w14:paraId="08376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89" w:type="dxa"/>
            <w:vMerge w:val="continue"/>
            <w:tcBorders>
              <w:tl2br w:val="nil"/>
              <w:tr2bl w:val="nil"/>
            </w:tcBorders>
            <w:noWrap w:val="0"/>
            <w:vAlign w:val="center"/>
          </w:tcPr>
          <w:p w14:paraId="51628FC4">
            <w:pPr>
              <w:keepNext w:val="0"/>
              <w:keepLines w:val="0"/>
              <w:pageBreakBefore w:val="0"/>
              <w:widowControl w:val="0"/>
              <w:kinsoku/>
              <w:wordWrap/>
              <w:overflowPunct/>
              <w:topLinePunct w:val="0"/>
              <w:autoSpaceDE/>
              <w:autoSpaceDN/>
              <w:bidi w:val="0"/>
              <w:adjustRightInd/>
              <w:snapToGrid/>
              <w:spacing w:line="360" w:lineRule="exact"/>
              <w:ind w:left="0" w:right="0" w:firstLine="480" w:firstLineChars="200"/>
              <w:jc w:val="center"/>
              <w:textAlignment w:val="auto"/>
              <w:rPr>
                <w:rFonts w:hint="eastAsia" w:ascii="仿宋" w:hAnsi="仿宋" w:eastAsia="仿宋" w:cs="仿宋"/>
                <w:color w:val="auto"/>
                <w:sz w:val="24"/>
                <w:szCs w:val="24"/>
                <w:highlight w:val="none"/>
              </w:rPr>
            </w:pPr>
          </w:p>
        </w:tc>
        <w:tc>
          <w:tcPr>
            <w:tcW w:w="3773" w:type="dxa"/>
            <w:gridSpan w:val="2"/>
            <w:tcBorders>
              <w:tl2br w:val="nil"/>
              <w:tr2bl w:val="nil"/>
            </w:tcBorders>
            <w:noWrap w:val="0"/>
            <w:vAlign w:val="center"/>
          </w:tcPr>
          <w:p w14:paraId="520736CD">
            <w:pPr>
              <w:pStyle w:val="279"/>
              <w:keepNext w:val="0"/>
              <w:keepLines w:val="0"/>
              <w:pageBreakBefore w:val="0"/>
              <w:widowControl w:val="0"/>
              <w:kinsoku/>
              <w:wordWrap/>
              <w:overflowPunct/>
              <w:topLinePunct w:val="0"/>
              <w:autoSpaceDE/>
              <w:autoSpaceDN/>
              <w:bidi w:val="0"/>
              <w:adjustRightInd/>
              <w:snapToGrid/>
              <w:spacing w:line="360" w:lineRule="exact"/>
              <w:ind w:left="0" w:right="0" w:firstLine="472"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*生物菌来源合法</w:t>
            </w:r>
          </w:p>
        </w:tc>
        <w:tc>
          <w:tcPr>
            <w:tcW w:w="989" w:type="dxa"/>
            <w:tcBorders>
              <w:tl2br w:val="nil"/>
              <w:tr2bl w:val="nil"/>
            </w:tcBorders>
            <w:noWrap w:val="0"/>
            <w:vAlign w:val="center"/>
          </w:tcPr>
          <w:p w14:paraId="7D4BBF5F">
            <w:pPr>
              <w:keepNext w:val="0"/>
              <w:keepLines w:val="0"/>
              <w:pageBreakBefore w:val="0"/>
              <w:widowControl w:val="0"/>
              <w:kinsoku/>
              <w:wordWrap/>
              <w:overflowPunct/>
              <w:topLinePunct w:val="0"/>
              <w:autoSpaceDE/>
              <w:autoSpaceDN/>
              <w:bidi w:val="0"/>
              <w:adjustRightInd/>
              <w:snapToGrid/>
              <w:spacing w:line="360" w:lineRule="exact"/>
              <w:ind w:left="0" w:right="0" w:firstLine="468" w:firstLineChars="200"/>
              <w:jc w:val="center"/>
              <w:textAlignment w:val="auto"/>
              <w:rPr>
                <w:rFonts w:hint="eastAsia" w:ascii="仿宋" w:hAnsi="仿宋" w:eastAsia="仿宋" w:cs="仿宋"/>
                <w:color w:val="auto"/>
                <w:spacing w:val="-3"/>
                <w:kern w:val="2"/>
                <w:sz w:val="24"/>
                <w:szCs w:val="24"/>
                <w:highlight w:val="none"/>
                <w:lang w:val="en-US" w:eastAsia="en-US" w:bidi="ar-SA"/>
              </w:rPr>
            </w:pPr>
          </w:p>
        </w:tc>
        <w:tc>
          <w:tcPr>
            <w:tcW w:w="4039" w:type="dxa"/>
            <w:tcBorders>
              <w:tl2br w:val="nil"/>
              <w:tr2bl w:val="nil"/>
            </w:tcBorders>
            <w:noWrap w:val="0"/>
            <w:vAlign w:val="center"/>
          </w:tcPr>
          <w:p w14:paraId="1F32E310">
            <w:pPr>
              <w:pStyle w:val="279"/>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提供国</w:t>
            </w:r>
            <w:r>
              <w:rPr>
                <w:rFonts w:hint="eastAsia" w:ascii="仿宋" w:hAnsi="仿宋" w:eastAsia="仿宋" w:cs="仿宋"/>
                <w:color w:val="auto"/>
                <w:sz w:val="24"/>
                <w:szCs w:val="24"/>
                <w:highlight w:val="none"/>
                <w:lang w:val="en-US" w:eastAsia="zh-CN"/>
              </w:rPr>
              <w:t>家级菌种管理中心的证明材料</w:t>
            </w:r>
          </w:p>
        </w:tc>
      </w:tr>
    </w:tbl>
    <w:p w14:paraId="5B0106D3">
      <w:pPr>
        <w:keepNext w:val="0"/>
        <w:keepLines w:val="0"/>
        <w:pageBreakBefore w:val="0"/>
        <w:widowControl w:val="0"/>
        <w:kinsoku/>
        <w:wordWrap/>
        <w:overflowPunct/>
        <w:topLinePunct w:val="0"/>
        <w:autoSpaceDE/>
        <w:autoSpaceDN/>
        <w:bidi w:val="0"/>
        <w:adjustRightInd/>
        <w:snapToGrid/>
        <w:spacing w:line="420" w:lineRule="exact"/>
        <w:ind w:left="0" w:right="0" w:firstLine="454"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pacing w:val="-7"/>
          <w:sz w:val="24"/>
          <w:szCs w:val="24"/>
          <w:highlight w:val="none"/>
        </w:rPr>
        <w:t>备注：</w:t>
      </w:r>
    </w:p>
    <w:p w14:paraId="0723A0A9">
      <w:pPr>
        <w:keepNext w:val="0"/>
        <w:keepLines w:val="0"/>
        <w:pageBreakBefore w:val="0"/>
        <w:widowControl w:val="0"/>
        <w:kinsoku/>
        <w:wordWrap/>
        <w:overflowPunct/>
        <w:topLinePunct w:val="0"/>
        <w:autoSpaceDE/>
        <w:autoSpaceDN/>
        <w:bidi w:val="0"/>
        <w:adjustRightInd/>
        <w:snapToGrid/>
        <w:spacing w:line="420" w:lineRule="exact"/>
        <w:ind w:left="0" w:right="0" w:firstLine="472"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2"/>
          <w:sz w:val="24"/>
          <w:szCs w:val="24"/>
          <w:highlight w:val="none"/>
        </w:rPr>
        <w:t>1、以上检测报告全部需提供通过（CMA）检测机</w:t>
      </w:r>
      <w:r>
        <w:rPr>
          <w:rFonts w:hint="eastAsia" w:ascii="仿宋" w:hAnsi="仿宋" w:eastAsia="仿宋" w:cs="仿宋"/>
          <w:b w:val="0"/>
          <w:bCs w:val="0"/>
          <w:color w:val="auto"/>
          <w:spacing w:val="-3"/>
          <w:sz w:val="24"/>
          <w:szCs w:val="24"/>
          <w:highlight w:val="none"/>
        </w:rPr>
        <w:t>构或省级以上检测机构出具的检</w:t>
      </w:r>
      <w:r>
        <w:rPr>
          <w:rFonts w:hint="eastAsia" w:ascii="仿宋" w:hAnsi="仿宋" w:eastAsia="仿宋" w:cs="仿宋"/>
          <w:b w:val="0"/>
          <w:bCs w:val="0"/>
          <w:color w:val="auto"/>
          <w:spacing w:val="-2"/>
          <w:sz w:val="24"/>
          <w:szCs w:val="24"/>
          <w:highlight w:val="none"/>
        </w:rPr>
        <w:t>测报告（除臭剂除臭效率依据标准</w:t>
      </w:r>
      <w:r>
        <w:rPr>
          <w:rFonts w:hint="eastAsia" w:ascii="仿宋" w:hAnsi="仿宋" w:eastAsia="仿宋" w:cs="仿宋"/>
          <w:b w:val="0"/>
          <w:bCs w:val="0"/>
          <w:color w:val="auto"/>
          <w:spacing w:val="-50"/>
          <w:sz w:val="24"/>
          <w:szCs w:val="24"/>
          <w:highlight w:val="none"/>
        </w:rPr>
        <w:t xml:space="preserve"> </w:t>
      </w:r>
      <w:r>
        <w:rPr>
          <w:rFonts w:hint="eastAsia" w:ascii="仿宋" w:hAnsi="仿宋" w:eastAsia="仿宋" w:cs="仿宋"/>
          <w:b w:val="0"/>
          <w:bCs w:val="0"/>
          <w:color w:val="auto"/>
          <w:spacing w:val="-2"/>
          <w:sz w:val="24"/>
          <w:szCs w:val="24"/>
          <w:highlight w:val="none"/>
        </w:rPr>
        <w:t>CJ/5</w:t>
      </w:r>
      <w:r>
        <w:rPr>
          <w:rFonts w:hint="eastAsia" w:ascii="仿宋" w:hAnsi="仿宋" w:eastAsia="仿宋" w:cs="仿宋"/>
          <w:b w:val="0"/>
          <w:bCs w:val="0"/>
          <w:color w:val="auto"/>
          <w:spacing w:val="-3"/>
          <w:sz w:val="24"/>
          <w:szCs w:val="24"/>
          <w:highlight w:val="none"/>
        </w:rPr>
        <w:t>16—2017</w:t>
      </w:r>
      <w:r>
        <w:rPr>
          <w:rFonts w:hint="eastAsia" w:ascii="仿宋" w:hAnsi="仿宋" w:eastAsia="仿宋" w:cs="仿宋"/>
          <w:b w:val="0"/>
          <w:bCs w:val="0"/>
          <w:color w:val="auto"/>
          <w:spacing w:val="-4"/>
          <w:sz w:val="24"/>
          <w:szCs w:val="24"/>
          <w:highlight w:val="none"/>
        </w:rPr>
        <w:t>）；</w:t>
      </w:r>
    </w:p>
    <w:p w14:paraId="2D44071C">
      <w:pPr>
        <w:keepNext w:val="0"/>
        <w:keepLines w:val="0"/>
        <w:pageBreakBefore w:val="0"/>
        <w:widowControl w:val="0"/>
        <w:kinsoku/>
        <w:wordWrap/>
        <w:overflowPunct/>
        <w:topLinePunct w:val="0"/>
        <w:autoSpaceDE/>
        <w:autoSpaceDN/>
        <w:bidi w:val="0"/>
        <w:adjustRightInd/>
        <w:snapToGrid/>
        <w:spacing w:line="420" w:lineRule="exact"/>
        <w:ind w:left="0" w:right="0" w:firstLine="472"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2"/>
          <w:sz w:val="24"/>
          <w:szCs w:val="24"/>
          <w:highlight w:val="none"/>
        </w:rPr>
        <w:t>2、★</w:t>
      </w:r>
      <w:r>
        <w:rPr>
          <w:rFonts w:hint="eastAsia" w:ascii="仿宋" w:hAnsi="仿宋" w:eastAsia="仿宋" w:cs="仿宋"/>
          <w:b w:val="0"/>
          <w:bCs w:val="0"/>
          <w:color w:val="auto"/>
          <w:spacing w:val="-2"/>
          <w:sz w:val="24"/>
          <w:szCs w:val="24"/>
          <w:highlight w:val="none"/>
          <w:lang w:val="en-US" w:eastAsia="zh-CN"/>
        </w:rPr>
        <w:t>投标文件中需以上</w:t>
      </w:r>
      <w:r>
        <w:rPr>
          <w:rFonts w:hint="eastAsia" w:ascii="仿宋" w:hAnsi="仿宋" w:eastAsia="仿宋" w:cs="仿宋"/>
          <w:b w:val="0"/>
          <w:bCs w:val="0"/>
          <w:color w:val="auto"/>
          <w:spacing w:val="-2"/>
          <w:sz w:val="24"/>
          <w:szCs w:val="24"/>
          <w:highlight w:val="none"/>
        </w:rPr>
        <w:t>所有证书及检测报告</w:t>
      </w:r>
      <w:r>
        <w:rPr>
          <w:rFonts w:hint="eastAsia" w:ascii="仿宋" w:hAnsi="仿宋" w:eastAsia="仿宋" w:cs="仿宋"/>
          <w:b w:val="0"/>
          <w:bCs w:val="0"/>
          <w:color w:val="auto"/>
          <w:spacing w:val="-2"/>
          <w:sz w:val="24"/>
          <w:szCs w:val="24"/>
          <w:highlight w:val="none"/>
          <w:lang w:val="en-US" w:eastAsia="zh-CN"/>
        </w:rPr>
        <w:t>扫描件并加盖投标人公章，</w:t>
      </w:r>
      <w:r>
        <w:rPr>
          <w:rFonts w:hint="eastAsia" w:ascii="仿宋" w:hAnsi="仿宋" w:eastAsia="仿宋" w:cs="仿宋"/>
          <w:b w:val="0"/>
          <w:bCs w:val="0"/>
          <w:color w:val="auto"/>
          <w:spacing w:val="-3"/>
          <w:sz w:val="24"/>
          <w:szCs w:val="24"/>
          <w:highlight w:val="none"/>
        </w:rPr>
        <w:t>提供检测机构电话并提供检测机构</w:t>
      </w:r>
      <w:r>
        <w:rPr>
          <w:rFonts w:hint="eastAsia" w:ascii="仿宋" w:hAnsi="仿宋" w:eastAsia="仿宋" w:cs="仿宋"/>
          <w:b w:val="0"/>
          <w:bCs w:val="0"/>
          <w:color w:val="auto"/>
          <w:spacing w:val="-35"/>
          <w:sz w:val="24"/>
          <w:szCs w:val="24"/>
          <w:highlight w:val="none"/>
        </w:rPr>
        <w:t xml:space="preserve"> </w:t>
      </w:r>
      <w:r>
        <w:rPr>
          <w:rFonts w:hint="eastAsia" w:ascii="仿宋" w:hAnsi="仿宋" w:eastAsia="仿宋" w:cs="仿宋"/>
          <w:b w:val="0"/>
          <w:bCs w:val="0"/>
          <w:color w:val="auto"/>
          <w:spacing w:val="-3"/>
          <w:sz w:val="24"/>
          <w:szCs w:val="24"/>
          <w:highlight w:val="none"/>
        </w:rPr>
        <w:t>CMA、CANS</w:t>
      </w:r>
      <w:r>
        <w:rPr>
          <w:rFonts w:hint="eastAsia" w:ascii="仿宋" w:hAnsi="仿宋" w:eastAsia="仿宋" w:cs="仿宋"/>
          <w:b w:val="0"/>
          <w:bCs w:val="0"/>
          <w:color w:val="auto"/>
          <w:spacing w:val="-41"/>
          <w:sz w:val="24"/>
          <w:szCs w:val="24"/>
          <w:highlight w:val="none"/>
        </w:rPr>
        <w:t xml:space="preserve"> </w:t>
      </w:r>
      <w:r>
        <w:rPr>
          <w:rFonts w:hint="eastAsia" w:ascii="仿宋" w:hAnsi="仿宋" w:eastAsia="仿宋" w:cs="仿宋"/>
          <w:b w:val="0"/>
          <w:bCs w:val="0"/>
          <w:color w:val="auto"/>
          <w:spacing w:val="-3"/>
          <w:sz w:val="24"/>
          <w:szCs w:val="24"/>
          <w:highlight w:val="none"/>
        </w:rPr>
        <w:t>资质认定证书扫描件，以便专家核</w:t>
      </w:r>
      <w:r>
        <w:rPr>
          <w:rFonts w:hint="eastAsia" w:ascii="仿宋" w:hAnsi="仿宋" w:eastAsia="仿宋" w:cs="仿宋"/>
          <w:b w:val="0"/>
          <w:bCs w:val="0"/>
          <w:color w:val="auto"/>
          <w:spacing w:val="-8"/>
          <w:sz w:val="24"/>
          <w:szCs w:val="24"/>
          <w:highlight w:val="none"/>
        </w:rPr>
        <w:t>实；</w:t>
      </w:r>
    </w:p>
    <w:p w14:paraId="43E48AFD">
      <w:pPr>
        <w:keepNext w:val="0"/>
        <w:keepLines w:val="0"/>
        <w:pageBreakBefore w:val="0"/>
        <w:widowControl w:val="0"/>
        <w:kinsoku/>
        <w:wordWrap/>
        <w:overflowPunct/>
        <w:topLinePunct w:val="0"/>
        <w:autoSpaceDE/>
        <w:autoSpaceDN/>
        <w:bidi w:val="0"/>
        <w:adjustRightInd/>
        <w:snapToGrid/>
        <w:spacing w:line="420" w:lineRule="exact"/>
        <w:ind w:left="0" w:right="0" w:firstLine="464"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pacing w:val="-4"/>
          <w:sz w:val="24"/>
          <w:szCs w:val="24"/>
          <w:highlight w:val="none"/>
        </w:rPr>
        <w:t>3、表格内所有技术参数为必要条件，投标供应商不满足为不响应招标货物要求，作无效标处理</w:t>
      </w:r>
      <w:r>
        <w:rPr>
          <w:rFonts w:hint="eastAsia" w:ascii="仿宋" w:hAnsi="仿宋" w:eastAsia="仿宋" w:cs="仿宋"/>
          <w:b w:val="0"/>
          <w:bCs w:val="0"/>
          <w:color w:val="auto"/>
          <w:spacing w:val="-4"/>
          <w:sz w:val="24"/>
          <w:szCs w:val="24"/>
          <w:highlight w:val="none"/>
          <w:lang w:eastAsia="zh-CN"/>
        </w:rPr>
        <w:t>。</w:t>
      </w:r>
    </w:p>
    <w:p w14:paraId="59EFC64B">
      <w:pPr>
        <w:keepNext w:val="0"/>
        <w:keepLines w:val="0"/>
        <w:pageBreakBefore w:val="0"/>
        <w:widowControl/>
        <w:numPr>
          <w:ilvl w:val="0"/>
          <w:numId w:val="14"/>
        </w:numPr>
        <w:suppressLineNumbers w:val="0"/>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标项5维修专用物资</w:t>
      </w:r>
    </w:p>
    <w:p w14:paraId="3EAAD3D3">
      <w:pPr>
        <w:keepNext w:val="0"/>
        <w:keepLines w:val="0"/>
        <w:pageBreakBefore w:val="0"/>
        <w:widowControl/>
        <w:numPr>
          <w:ilvl w:val="1"/>
          <w:numId w:val="30"/>
        </w:numPr>
        <w:suppressLineNumbers w:val="0"/>
        <w:tabs>
          <w:tab w:val="left" w:pos="0"/>
        </w:tabs>
        <w:kinsoku/>
        <w:wordWrap/>
        <w:overflowPunct/>
        <w:topLinePunct w:val="0"/>
        <w:autoSpaceDE/>
        <w:autoSpaceDN/>
        <w:bidi w:val="0"/>
        <w:adjustRightInd/>
        <w:snapToGrid/>
        <w:spacing w:line="420" w:lineRule="exact"/>
        <w:ind w:left="0" w:leftChars="0" w:firstLine="482" w:firstLine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采购清单及最高单价限价</w:t>
      </w:r>
    </w:p>
    <w:tbl>
      <w:tblPr>
        <w:tblStyle w:val="50"/>
        <w:tblW w:w="97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
        <w:gridCol w:w="3025"/>
        <w:gridCol w:w="3194"/>
        <w:gridCol w:w="723"/>
        <w:gridCol w:w="1919"/>
      </w:tblGrid>
      <w:tr w14:paraId="6830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vMerge w:val="restart"/>
            <w:tcBorders>
              <w:top w:val="single" w:color="000000" w:sz="4" w:space="0"/>
              <w:left w:val="single" w:color="000000" w:sz="4" w:space="0"/>
              <w:bottom w:val="single" w:color="000000" w:sz="4" w:space="0"/>
              <w:right w:val="single" w:color="000000" w:sz="4" w:space="0"/>
            </w:tcBorders>
            <w:noWrap/>
            <w:vAlign w:val="center"/>
          </w:tcPr>
          <w:p w14:paraId="48BB6B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3025" w:type="dxa"/>
            <w:vMerge w:val="restart"/>
            <w:tcBorders>
              <w:top w:val="single" w:color="000000" w:sz="4" w:space="0"/>
              <w:left w:val="single" w:color="000000" w:sz="4" w:space="0"/>
              <w:bottom w:val="single" w:color="000000" w:sz="4" w:space="0"/>
              <w:right w:val="single" w:color="000000" w:sz="4" w:space="0"/>
            </w:tcBorders>
            <w:noWrap/>
            <w:vAlign w:val="center"/>
          </w:tcPr>
          <w:p w14:paraId="3DB705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名称</w:t>
            </w:r>
          </w:p>
        </w:tc>
        <w:tc>
          <w:tcPr>
            <w:tcW w:w="3194" w:type="dxa"/>
            <w:vMerge w:val="restart"/>
            <w:tcBorders>
              <w:top w:val="single" w:color="000000" w:sz="4" w:space="0"/>
              <w:left w:val="single" w:color="000000" w:sz="4" w:space="0"/>
              <w:bottom w:val="single" w:color="000000" w:sz="4" w:space="0"/>
              <w:right w:val="single" w:color="000000" w:sz="4" w:space="0"/>
            </w:tcBorders>
            <w:noWrap/>
            <w:vAlign w:val="center"/>
          </w:tcPr>
          <w:p w14:paraId="1EB9BE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规格型号</w:t>
            </w:r>
          </w:p>
        </w:tc>
        <w:tc>
          <w:tcPr>
            <w:tcW w:w="723" w:type="dxa"/>
            <w:vMerge w:val="restart"/>
            <w:tcBorders>
              <w:top w:val="single" w:color="000000" w:sz="4" w:space="0"/>
              <w:left w:val="single" w:color="000000" w:sz="4" w:space="0"/>
              <w:bottom w:val="single" w:color="000000" w:sz="4" w:space="0"/>
              <w:right w:val="single" w:color="000000" w:sz="4" w:space="0"/>
            </w:tcBorders>
            <w:noWrap w:val="0"/>
            <w:vAlign w:val="center"/>
          </w:tcPr>
          <w:p w14:paraId="397213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919" w:type="dxa"/>
            <w:vMerge w:val="restart"/>
            <w:tcBorders>
              <w:top w:val="single" w:color="000000" w:sz="4" w:space="0"/>
              <w:left w:val="single" w:color="000000" w:sz="4" w:space="0"/>
              <w:bottom w:val="single" w:color="000000" w:sz="4" w:space="0"/>
              <w:right w:val="single" w:color="000000" w:sz="4" w:space="0"/>
            </w:tcBorders>
            <w:noWrap w:val="0"/>
            <w:vAlign w:val="center"/>
          </w:tcPr>
          <w:p w14:paraId="216FD7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最高单价限价（元）</w:t>
            </w:r>
          </w:p>
        </w:tc>
      </w:tr>
      <w:tr w14:paraId="566C1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7" w:type="dxa"/>
            <w:vMerge w:val="continue"/>
            <w:tcBorders>
              <w:top w:val="single" w:color="000000" w:sz="4" w:space="0"/>
              <w:left w:val="single" w:color="000000" w:sz="4" w:space="0"/>
              <w:bottom w:val="single" w:color="000000" w:sz="4" w:space="0"/>
              <w:right w:val="single" w:color="000000" w:sz="4" w:space="0"/>
            </w:tcBorders>
            <w:noWrap/>
            <w:vAlign w:val="center"/>
          </w:tcPr>
          <w:p w14:paraId="1CD6D5E9">
            <w:pPr>
              <w:jc w:val="center"/>
              <w:rPr>
                <w:rFonts w:hint="eastAsia" w:ascii="仿宋" w:hAnsi="仿宋" w:eastAsia="仿宋" w:cs="仿宋"/>
                <w:i w:val="0"/>
                <w:iCs w:val="0"/>
                <w:color w:val="auto"/>
                <w:sz w:val="24"/>
                <w:szCs w:val="24"/>
                <w:highlight w:val="none"/>
                <w:u w:val="none"/>
              </w:rPr>
            </w:pPr>
          </w:p>
        </w:tc>
        <w:tc>
          <w:tcPr>
            <w:tcW w:w="3025" w:type="dxa"/>
            <w:vMerge w:val="continue"/>
            <w:tcBorders>
              <w:top w:val="single" w:color="000000" w:sz="4" w:space="0"/>
              <w:left w:val="single" w:color="000000" w:sz="4" w:space="0"/>
              <w:bottom w:val="single" w:color="000000" w:sz="4" w:space="0"/>
              <w:right w:val="single" w:color="000000" w:sz="4" w:space="0"/>
            </w:tcBorders>
            <w:noWrap/>
            <w:vAlign w:val="center"/>
          </w:tcPr>
          <w:p w14:paraId="59BB5AA6">
            <w:pPr>
              <w:jc w:val="center"/>
              <w:rPr>
                <w:rFonts w:hint="eastAsia" w:ascii="仿宋" w:hAnsi="仿宋" w:eastAsia="仿宋" w:cs="仿宋"/>
                <w:i w:val="0"/>
                <w:iCs w:val="0"/>
                <w:color w:val="auto"/>
                <w:sz w:val="24"/>
                <w:szCs w:val="24"/>
                <w:highlight w:val="none"/>
                <w:u w:val="none"/>
              </w:rPr>
            </w:pPr>
          </w:p>
        </w:tc>
        <w:tc>
          <w:tcPr>
            <w:tcW w:w="3194" w:type="dxa"/>
            <w:vMerge w:val="continue"/>
            <w:tcBorders>
              <w:top w:val="single" w:color="000000" w:sz="4" w:space="0"/>
              <w:left w:val="single" w:color="000000" w:sz="4" w:space="0"/>
              <w:bottom w:val="single" w:color="000000" w:sz="4" w:space="0"/>
              <w:right w:val="single" w:color="000000" w:sz="4" w:space="0"/>
            </w:tcBorders>
            <w:noWrap/>
            <w:vAlign w:val="center"/>
          </w:tcPr>
          <w:p w14:paraId="30B005D8">
            <w:pPr>
              <w:jc w:val="center"/>
              <w:rPr>
                <w:rFonts w:hint="eastAsia" w:ascii="仿宋" w:hAnsi="仿宋" w:eastAsia="仿宋" w:cs="仿宋"/>
                <w:i w:val="0"/>
                <w:iCs w:val="0"/>
                <w:color w:val="auto"/>
                <w:sz w:val="24"/>
                <w:szCs w:val="24"/>
                <w:highlight w:val="none"/>
                <w:u w:val="none"/>
              </w:rPr>
            </w:pP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7360DF">
            <w:pPr>
              <w:jc w:val="center"/>
              <w:rPr>
                <w:rFonts w:hint="eastAsia" w:ascii="仿宋" w:hAnsi="仿宋" w:eastAsia="仿宋" w:cs="仿宋"/>
                <w:i w:val="0"/>
                <w:iCs w:val="0"/>
                <w:color w:val="auto"/>
                <w:sz w:val="24"/>
                <w:szCs w:val="24"/>
                <w:highlight w:val="none"/>
                <w:u w:val="none"/>
              </w:rPr>
            </w:pPr>
          </w:p>
        </w:tc>
        <w:tc>
          <w:tcPr>
            <w:tcW w:w="191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072DB8">
            <w:pPr>
              <w:jc w:val="center"/>
              <w:rPr>
                <w:rFonts w:hint="eastAsia" w:ascii="仿宋" w:hAnsi="仿宋" w:eastAsia="仿宋" w:cs="仿宋"/>
                <w:i w:val="0"/>
                <w:iCs w:val="0"/>
                <w:color w:val="auto"/>
                <w:sz w:val="24"/>
                <w:szCs w:val="24"/>
                <w:highlight w:val="none"/>
                <w:u w:val="none"/>
              </w:rPr>
            </w:pPr>
          </w:p>
        </w:tc>
      </w:tr>
      <w:tr w14:paraId="02C71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9B8C753">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17AE7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保洁作业警示牌</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F5A792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塑料A字告示牌，厚度1.5mm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F32B1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E873F1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35.00</w:t>
            </w:r>
          </w:p>
        </w:tc>
      </w:tr>
      <w:tr w14:paraId="240DF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C94FF1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5C939B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设备维修警示牌</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BD2000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塑料A字告示牌，加厚sbs</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FA1EB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8BF2C5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35.00</w:t>
            </w:r>
          </w:p>
        </w:tc>
      </w:tr>
      <w:tr w14:paraId="11A7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A59813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C8E75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玻璃胶</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69C25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带胶嘴</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B41E53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瓶</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7DFF40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18.00</w:t>
            </w:r>
          </w:p>
        </w:tc>
      </w:tr>
      <w:tr w14:paraId="0E47F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4D363C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184F28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玻璃胶枪</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D44D69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加厚</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40240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7C6D61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15.00</w:t>
            </w:r>
          </w:p>
        </w:tc>
      </w:tr>
      <w:tr w14:paraId="27479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F68797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C54646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剪刀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716621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154mm*80mm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6530ED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AEAA2F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4861C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38282EA">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5EADEB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美工刀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0D6F0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18mm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0AA699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6BDD03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12.00</w:t>
            </w:r>
          </w:p>
        </w:tc>
      </w:tr>
      <w:tr w14:paraId="6498E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B165A47">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C0031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美工刀刀片</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418607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18mm黑色防锈，10片/盒</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852039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盒</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715F12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8.00</w:t>
            </w:r>
          </w:p>
        </w:tc>
      </w:tr>
      <w:tr w14:paraId="058E1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36FFA23">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9F5031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十字螺丝刀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D844D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6*150mm，磁性合金批头</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6EE2C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AE6CB3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12.00</w:t>
            </w:r>
          </w:p>
        </w:tc>
      </w:tr>
      <w:tr w14:paraId="4170C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EB7058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15E7C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一字螺丝刀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C838E5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6*150mm，磁性合金批头</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4AD2DF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989EBA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12.00</w:t>
            </w:r>
          </w:p>
        </w:tc>
      </w:tr>
      <w:tr w14:paraId="5511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D00BDB7">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E0B358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万能表</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A1476E1">
            <w:pPr>
              <w:keepNext w:val="0"/>
              <w:keepLines w:val="0"/>
              <w:widowControl/>
              <w:suppressLineNumbers w:val="0"/>
              <w:jc w:val="center"/>
              <w:textAlignment w:val="center"/>
              <w:rPr>
                <w:rStyle w:val="281"/>
                <w:rFonts w:hint="eastAsia" w:ascii="仿宋" w:hAnsi="仿宋" w:eastAsia="仿宋" w:cs="仿宋"/>
                <w:color w:val="auto"/>
                <w:kern w:val="0"/>
                <w:sz w:val="24"/>
                <w:szCs w:val="24"/>
                <w:highlight w:val="none"/>
                <w:lang w:val="en-US" w:eastAsia="zh-CN" w:bidi="ar"/>
              </w:rPr>
            </w:pPr>
            <w:r>
              <w:rPr>
                <w:rStyle w:val="281"/>
                <w:rFonts w:hint="eastAsia" w:ascii="仿宋" w:hAnsi="仿宋" w:eastAsia="仿宋" w:cs="仿宋"/>
                <w:color w:val="auto"/>
                <w:kern w:val="0"/>
                <w:sz w:val="24"/>
                <w:szCs w:val="24"/>
                <w:highlight w:val="none"/>
                <w:lang w:val="en-US" w:eastAsia="zh-CN" w:bidi="ar"/>
              </w:rPr>
              <w:t>具有防烧防摔等功能，</w:t>
            </w:r>
          </w:p>
          <w:p w14:paraId="2E0563A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一线品牌</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0D09F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9CF826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100.00</w:t>
            </w:r>
          </w:p>
        </w:tc>
      </w:tr>
      <w:tr w14:paraId="6923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B3BE22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19A0B9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电笔</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AA61C8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带数显</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8F4DB9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4CE686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10.00</w:t>
            </w:r>
          </w:p>
        </w:tc>
      </w:tr>
      <w:tr w14:paraId="7DF22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E222AD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B1175D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尖嘴钳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E30EC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C5DC81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677E68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66E5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8B2ECE8">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E54FC3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老虎钳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7B03EB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7C80F1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87BF64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4D342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10B2B4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44BA7A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管子钳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4FDE0D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18寸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4BB936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E08683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80.00</w:t>
            </w:r>
          </w:p>
        </w:tc>
      </w:tr>
      <w:tr w14:paraId="76478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5207B6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92609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开口扳手</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565608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22-24</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B53FA2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1D3222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689FC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D57C51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FCC2EF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活动扳手</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412F40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碳钢，12寸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474F80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058CE6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25.00</w:t>
            </w:r>
          </w:p>
        </w:tc>
      </w:tr>
      <w:tr w14:paraId="5B411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B33FA37">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64045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多功能万用扳手</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774452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9—32mm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CC5DA9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EFFA6D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40.00</w:t>
            </w:r>
          </w:p>
        </w:tc>
      </w:tr>
      <w:tr w14:paraId="35AE9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C0EC027">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7C661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绝缘胶带</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06E97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无铅阻燃</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0FC21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卷</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F92417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4.00</w:t>
            </w:r>
          </w:p>
        </w:tc>
      </w:tr>
      <w:tr w14:paraId="0E8BC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6B7F3B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EADB8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生料带</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295FE2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19*1500mm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BABD3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卷</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6B4880D">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3.00</w:t>
            </w:r>
          </w:p>
        </w:tc>
      </w:tr>
      <w:tr w14:paraId="15B37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B35670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DF69A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不锈钢沉头自攻螺丝钉</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2D88D7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30mm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53495F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B66294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0.30</w:t>
            </w:r>
          </w:p>
        </w:tc>
      </w:tr>
      <w:tr w14:paraId="72217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F25BA4D">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45F701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不锈钢沉头自攻螺丝钉</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C8D1C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40mm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515A8E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5D17E8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0.40</w:t>
            </w:r>
          </w:p>
        </w:tc>
      </w:tr>
      <w:tr w14:paraId="3F95F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DA619A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6A58E5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塑料膨胀管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5D24E1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100颗/包</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18817D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包</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51A23F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9.00</w:t>
            </w:r>
          </w:p>
        </w:tc>
      </w:tr>
      <w:tr w14:paraId="67728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D30C48A">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16B681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干电池</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0EABFC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9A6F58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节</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663803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9.00</w:t>
            </w:r>
          </w:p>
        </w:tc>
      </w:tr>
      <w:tr w14:paraId="7909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B9BFA72">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3BF1FB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干电池</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5579DB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2号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6DB9F8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节</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E363B7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7.50</w:t>
            </w:r>
          </w:p>
        </w:tc>
      </w:tr>
      <w:tr w14:paraId="09BEB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E05A67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6CDF92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干电池</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579CB9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5号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58FC8E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节</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F9F0D6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2.50</w:t>
            </w:r>
          </w:p>
        </w:tc>
      </w:tr>
      <w:tr w14:paraId="4BB3A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F7118D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FA5B0F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干电池</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CAEDFE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7号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66C792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节</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49DABB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2.50</w:t>
            </w:r>
          </w:p>
        </w:tc>
      </w:tr>
      <w:tr w14:paraId="3FE48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764F96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4B5F8C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自动感应洗手液机</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08D19E6">
            <w:pPr>
              <w:keepNext w:val="0"/>
              <w:keepLines w:val="0"/>
              <w:widowControl/>
              <w:suppressLineNumbers w:val="0"/>
              <w:jc w:val="center"/>
              <w:textAlignment w:val="center"/>
              <w:rPr>
                <w:rStyle w:val="281"/>
                <w:rFonts w:hint="eastAsia" w:ascii="仿宋" w:hAnsi="仿宋" w:eastAsia="仿宋" w:cs="仿宋"/>
                <w:color w:val="auto"/>
                <w:kern w:val="0"/>
                <w:sz w:val="24"/>
                <w:szCs w:val="24"/>
                <w:highlight w:val="none"/>
                <w:lang w:val="en-US" w:eastAsia="zh-CN" w:bidi="ar"/>
              </w:rPr>
            </w:pPr>
            <w:r>
              <w:rPr>
                <w:rStyle w:val="281"/>
                <w:rFonts w:hint="eastAsia" w:ascii="仿宋" w:hAnsi="仿宋" w:eastAsia="仿宋" w:cs="仿宋"/>
                <w:color w:val="auto"/>
                <w:kern w:val="0"/>
                <w:sz w:val="24"/>
                <w:szCs w:val="24"/>
                <w:highlight w:val="none"/>
                <w:lang w:val="en-US" w:eastAsia="zh-CN" w:bidi="ar"/>
              </w:rPr>
              <w:t>壁挂式，ABS塑料材质，</w:t>
            </w:r>
          </w:p>
          <w:p w14:paraId="2563CF5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规格12mm*112mm*280mm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C6577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56B909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200.00</w:t>
            </w:r>
          </w:p>
        </w:tc>
      </w:tr>
      <w:tr w14:paraId="219D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03C6002">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025E87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自动烘手机</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E28328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壁挂式，自动感应</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A2DB63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636A55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140.00</w:t>
            </w:r>
          </w:p>
        </w:tc>
      </w:tr>
      <w:tr w14:paraId="0EC77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9F3E50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94308F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喷香机</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35275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9.2cm*9.6cm*2.5cm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7C3EC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05BF3D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90.00</w:t>
            </w:r>
          </w:p>
        </w:tc>
      </w:tr>
      <w:tr w14:paraId="56183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35104E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4F4A5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集成吊顶灯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0CD27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30*30</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CB498B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522ADE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35.00</w:t>
            </w:r>
          </w:p>
        </w:tc>
      </w:tr>
      <w:tr w14:paraId="20C74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612521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68083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集成吊顶灯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CD70D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30*60</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202938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01A573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50.00</w:t>
            </w:r>
          </w:p>
        </w:tc>
      </w:tr>
      <w:tr w14:paraId="23C32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A3D32F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65653A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集成吊顶灯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FFB940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60*60</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E80026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DFA0DF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68.00</w:t>
            </w:r>
          </w:p>
        </w:tc>
      </w:tr>
      <w:tr w14:paraId="25A3A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555232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FD5A8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投光灯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295FD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LED灯珠，100W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68CA66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48F627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80.00</w:t>
            </w:r>
          </w:p>
        </w:tc>
      </w:tr>
      <w:tr w14:paraId="13D48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0BCE87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29595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镜前灯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00CE4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12W，白光，60cm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DE19AB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40D4AE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85.00</w:t>
            </w:r>
          </w:p>
        </w:tc>
      </w:tr>
      <w:tr w14:paraId="5661E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3A7E0F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7933B6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LED灯泡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CE2180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45W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9E0767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CFFDFD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45.00</w:t>
            </w:r>
          </w:p>
        </w:tc>
      </w:tr>
      <w:tr w14:paraId="077F9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DB015B3">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1DFB8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LED灯泡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2C13ED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13W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A4451D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EF0BD0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15.00</w:t>
            </w:r>
          </w:p>
        </w:tc>
      </w:tr>
      <w:tr w14:paraId="1272A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44B2E3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B308DA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LED灯泡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E26665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5W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6824F8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F84ABC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8.00</w:t>
            </w:r>
          </w:p>
        </w:tc>
      </w:tr>
      <w:tr w14:paraId="45A2C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3BCE27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6820D9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LED节能灯片</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EA454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13W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017D3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441001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43F8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2E00AA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F5E208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LED节能灯片</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A7022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15W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74E042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5C6D72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25.00</w:t>
            </w:r>
          </w:p>
        </w:tc>
      </w:tr>
      <w:tr w14:paraId="347C7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B24839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0C90B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筒灯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6694B0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6W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2A945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DF4A410">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12.00</w:t>
            </w:r>
          </w:p>
        </w:tc>
      </w:tr>
      <w:tr w14:paraId="29E7B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80EC97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D156D1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筒灯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85D0E2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10W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1F079A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12C9CA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18.00</w:t>
            </w:r>
          </w:p>
        </w:tc>
      </w:tr>
      <w:tr w14:paraId="597A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A3F516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645B75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筒灯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016E0C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13W</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3BE450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968E92D">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25.00</w:t>
            </w:r>
          </w:p>
        </w:tc>
      </w:tr>
      <w:tr w14:paraId="7603C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5EBD08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33247C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圆形吸顶灯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F2C77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14W以上</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986B5E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EFF563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38.00</w:t>
            </w:r>
          </w:p>
        </w:tc>
      </w:tr>
      <w:tr w14:paraId="1883E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12E780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347A0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圆形吸顶灯灯罩</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5615B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圆形 纯白</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F8EF4E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AEDC7A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10.00</w:t>
            </w:r>
          </w:p>
        </w:tc>
      </w:tr>
      <w:tr w14:paraId="2BDD4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621285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CABF06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隔门把手</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E834F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9F2F37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0787E9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15.00</w:t>
            </w:r>
          </w:p>
        </w:tc>
      </w:tr>
      <w:tr w14:paraId="454BB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63D3D77">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E0EE2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隔门合页</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1C0CBE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8DC554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付</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4CA67E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28.00</w:t>
            </w:r>
          </w:p>
        </w:tc>
      </w:tr>
      <w:tr w14:paraId="1FFD6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ADCE282">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82100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马桶盖</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00239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PP塑料 V型加厚</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C49C60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FA652A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50.00</w:t>
            </w:r>
          </w:p>
        </w:tc>
      </w:tr>
      <w:tr w14:paraId="25C64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646A6A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0FBA1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马桶盖</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387F6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PP塑料 U型加厚</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D33035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D2BA72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50.00</w:t>
            </w:r>
          </w:p>
        </w:tc>
      </w:tr>
      <w:tr w14:paraId="2542F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D7EDBD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8F450B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水箱进水阀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75BE7B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Abs材质</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B32A93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EDFA05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30.00</w:t>
            </w:r>
          </w:p>
        </w:tc>
      </w:tr>
      <w:tr w14:paraId="6CBF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90BA577">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CCFCE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水箱浮球进水阀+排水阀配件套装</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B57E3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Abs材质</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3708FA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BD14FF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75.00</w:t>
            </w:r>
          </w:p>
        </w:tc>
      </w:tr>
      <w:tr w14:paraId="6F9C3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2F6349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63C14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马桶水箱按钮</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DDCD7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圆形大</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9293C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171A68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10.00</w:t>
            </w:r>
          </w:p>
        </w:tc>
      </w:tr>
      <w:tr w14:paraId="6118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1EEA8B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92A60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马桶水箱按钮</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6BC777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圆形小</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10EDE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1F2915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9.00</w:t>
            </w:r>
          </w:p>
        </w:tc>
      </w:tr>
      <w:tr w14:paraId="5FF4E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3EB0A2D">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EA8D16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蹲坑水箱</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CB888B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全新PP塑料</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B6138A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DDC700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85.00</w:t>
            </w:r>
          </w:p>
        </w:tc>
      </w:tr>
      <w:tr w14:paraId="09BDF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E78EDB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F0A2F8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螺口灯头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4A2AB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耐高温 明装款</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0624A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AD61558">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5.00</w:t>
            </w:r>
          </w:p>
        </w:tc>
      </w:tr>
      <w:tr w14:paraId="1D7CC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6B2FB0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A72976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电线</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628D41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铜芯软线，1.5平方.50m/卷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09BAD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卷</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B9AB8C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110.00</w:t>
            </w:r>
          </w:p>
        </w:tc>
      </w:tr>
      <w:tr w14:paraId="18B78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82F368D">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AE907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电线</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B22C47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铜芯软线，2.5平方.50m/卷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8D0A7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卷</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20C629D">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170.00</w:t>
            </w:r>
          </w:p>
        </w:tc>
      </w:tr>
      <w:tr w14:paraId="0792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9715C7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F3FD0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插座</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291BD4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16A</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27F66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823BF7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18.00</w:t>
            </w:r>
          </w:p>
        </w:tc>
      </w:tr>
      <w:tr w14:paraId="15A1A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375D6B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24055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插座</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8CE238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一插一方</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158CAB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0FA155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15.00</w:t>
            </w:r>
          </w:p>
        </w:tc>
      </w:tr>
      <w:tr w14:paraId="0B4BA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56E2E9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389676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插座</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DAA765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一插一方一开</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12F4C1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CA2045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15.00</w:t>
            </w:r>
          </w:p>
        </w:tc>
      </w:tr>
      <w:tr w14:paraId="32CF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CCDF69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704A37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插座</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3A3E7C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双两眼</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8A0B7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96EA7D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1EED6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0E9A90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FCC528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86开关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65D50E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单开</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D68E23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F29E8F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9.00</w:t>
            </w:r>
          </w:p>
        </w:tc>
      </w:tr>
      <w:tr w14:paraId="404B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C6DEC52">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889F2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86开关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00B577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双开</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9E37C9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EF360A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15.00</w:t>
            </w:r>
          </w:p>
        </w:tc>
      </w:tr>
      <w:tr w14:paraId="4BDD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6C2B63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4CE92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86开关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F11B41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三开</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D3B510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911C47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19.00</w:t>
            </w:r>
          </w:p>
        </w:tc>
      </w:tr>
      <w:tr w14:paraId="1F9BE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9DEA73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BB4DA0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86开关</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AD6507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四开</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1026E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6E1CAB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25.00</w:t>
            </w:r>
          </w:p>
        </w:tc>
      </w:tr>
      <w:tr w14:paraId="7946B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4D5B96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60ED5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明线盒</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060B8A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86型</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E8A4F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504DAF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3.00</w:t>
            </w:r>
          </w:p>
        </w:tc>
      </w:tr>
      <w:tr w14:paraId="2B02D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EA716D3">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92CE43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金属软管铜帽铜芯Ifan</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63289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三元乙丙不锈钢编织，40CM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1FE433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根</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355172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16.00</w:t>
            </w:r>
          </w:p>
        </w:tc>
      </w:tr>
      <w:tr w14:paraId="20692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EFFD49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DF177B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金属软管铜帽铜芯Ifan</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4B3649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三元乙丙不锈钢编织，60CM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B448A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根</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05A9FB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20.00</w:t>
            </w:r>
          </w:p>
        </w:tc>
      </w:tr>
      <w:tr w14:paraId="5C2C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44971A8">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76C13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小便器落水管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057BB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硬管</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C65F3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根</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F2951C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12.00</w:t>
            </w:r>
          </w:p>
        </w:tc>
      </w:tr>
      <w:tr w14:paraId="497A6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D8BD8C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C5DBD9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电热水龙头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711B43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不锈钢机身</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A115A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E7A387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190.00</w:t>
            </w:r>
          </w:p>
        </w:tc>
      </w:tr>
      <w:tr w14:paraId="43CD3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E105CB9">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BD658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全自动感应龙头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37322D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全铜镀镍</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217886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CD7137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165.00</w:t>
            </w:r>
          </w:p>
        </w:tc>
      </w:tr>
      <w:tr w14:paraId="0D521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F0F1332">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41772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脚踏水龙头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EDBE94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全铜，大号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E37D5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CFB97A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80.00 </w:t>
            </w:r>
          </w:p>
        </w:tc>
      </w:tr>
      <w:tr w14:paraId="425C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C84102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6243FD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脚踏水龙头中号</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750C4D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全铜，中号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3CD18E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AE521C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200.00 </w:t>
            </w:r>
          </w:p>
        </w:tc>
      </w:tr>
      <w:tr w14:paraId="52EA8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36D09A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CF005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拖把池加长龙头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D2A41F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电镀铜芯</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6052F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E63B4E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88.00 </w:t>
            </w:r>
          </w:p>
        </w:tc>
      </w:tr>
      <w:tr w14:paraId="19B44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24A89F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5554B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拖把池龙头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820CAF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纯铜电镀带钥匙</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74DA22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9D2995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16.00 </w:t>
            </w:r>
          </w:p>
        </w:tc>
      </w:tr>
      <w:tr w14:paraId="1507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7AE2FE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422C5D9">
            <w:pPr>
              <w:keepNext w:val="0"/>
              <w:keepLines w:val="0"/>
              <w:widowControl/>
              <w:suppressLineNumbers w:val="0"/>
              <w:jc w:val="center"/>
              <w:textAlignment w:val="center"/>
              <w:rPr>
                <w:rStyle w:val="281"/>
                <w:rFonts w:hint="eastAsia" w:ascii="仿宋" w:hAnsi="仿宋" w:eastAsia="仿宋" w:cs="仿宋"/>
                <w:color w:val="auto"/>
                <w:kern w:val="0"/>
                <w:sz w:val="24"/>
                <w:szCs w:val="24"/>
                <w:highlight w:val="none"/>
                <w:lang w:val="en-US" w:eastAsia="zh-CN" w:bidi="ar"/>
              </w:rPr>
            </w:pPr>
            <w:r>
              <w:rPr>
                <w:rStyle w:val="281"/>
                <w:rFonts w:hint="eastAsia" w:ascii="仿宋" w:hAnsi="仿宋" w:eastAsia="仿宋" w:cs="仿宋"/>
                <w:color w:val="auto"/>
                <w:kern w:val="0"/>
                <w:sz w:val="24"/>
                <w:szCs w:val="24"/>
                <w:highlight w:val="none"/>
                <w:lang w:val="en-US" w:eastAsia="zh-CN" w:bidi="ar"/>
              </w:rPr>
              <w:t>洗手盆龙头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123AC41">
            <w:pPr>
              <w:keepNext w:val="0"/>
              <w:keepLines w:val="0"/>
              <w:widowControl/>
              <w:suppressLineNumbers w:val="0"/>
              <w:jc w:val="center"/>
              <w:textAlignment w:val="center"/>
              <w:rPr>
                <w:rStyle w:val="281"/>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全铜镀镍，</w:t>
            </w:r>
            <w:r>
              <w:rPr>
                <w:rStyle w:val="281"/>
                <w:rFonts w:hint="eastAsia" w:ascii="仿宋" w:hAnsi="仿宋" w:eastAsia="仿宋" w:cs="仿宋"/>
                <w:color w:val="auto"/>
                <w:kern w:val="0"/>
                <w:sz w:val="24"/>
                <w:szCs w:val="24"/>
                <w:highlight w:val="none"/>
                <w:lang w:val="en-US" w:eastAsia="zh-CN" w:bidi="ar"/>
              </w:rPr>
              <w:t>高16cm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59DD086">
            <w:pPr>
              <w:keepNext w:val="0"/>
              <w:keepLines w:val="0"/>
              <w:widowControl/>
              <w:suppressLineNumbers w:val="0"/>
              <w:jc w:val="center"/>
              <w:textAlignment w:val="center"/>
              <w:rPr>
                <w:rStyle w:val="281"/>
                <w:rFonts w:hint="eastAsia" w:ascii="仿宋" w:hAnsi="仿宋" w:eastAsia="仿宋" w:cs="仿宋"/>
                <w:color w:val="auto"/>
                <w:kern w:val="0"/>
                <w:sz w:val="24"/>
                <w:szCs w:val="24"/>
                <w:highlight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53D0C6F8">
            <w:pPr>
              <w:keepNext w:val="0"/>
              <w:keepLines w:val="0"/>
              <w:widowControl/>
              <w:suppressLineNumbers w:val="0"/>
              <w:jc w:val="center"/>
              <w:textAlignment w:val="center"/>
              <w:rPr>
                <w:rStyle w:val="281"/>
                <w:rFonts w:hint="eastAsia" w:ascii="仿宋" w:hAnsi="仿宋" w:eastAsia="仿宋" w:cs="仿宋"/>
                <w:color w:val="auto"/>
                <w:kern w:val="0"/>
                <w:sz w:val="24"/>
                <w:szCs w:val="24"/>
                <w:highlight w:val="none"/>
                <w:lang w:val="en-US" w:eastAsia="zh-CN" w:bidi="ar"/>
              </w:rPr>
            </w:pPr>
            <w:r>
              <w:rPr>
                <w:rStyle w:val="281"/>
                <w:rFonts w:hint="eastAsia" w:ascii="仿宋" w:hAnsi="仿宋" w:eastAsia="仿宋" w:cs="仿宋"/>
                <w:color w:val="auto"/>
                <w:kern w:val="0"/>
                <w:sz w:val="24"/>
                <w:szCs w:val="24"/>
                <w:highlight w:val="none"/>
                <w:lang w:val="en-US" w:eastAsia="zh-CN" w:bidi="ar"/>
              </w:rPr>
              <w:t xml:space="preserve">45.00 </w:t>
            </w:r>
          </w:p>
        </w:tc>
      </w:tr>
      <w:tr w14:paraId="1653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0D5F1F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B819BA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洗手盆龙头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124B56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全铜陶瓷阀芯，</w:t>
            </w:r>
            <w:r>
              <w:rPr>
                <w:rStyle w:val="281"/>
                <w:rFonts w:hint="eastAsia" w:ascii="仿宋" w:hAnsi="仿宋" w:eastAsia="仿宋" w:cs="仿宋"/>
                <w:color w:val="auto"/>
                <w:kern w:val="0"/>
                <w:sz w:val="24"/>
                <w:szCs w:val="24"/>
                <w:highlight w:val="none"/>
                <w:lang w:val="en-US" w:eastAsia="zh-CN" w:bidi="ar"/>
              </w:rPr>
              <w:t>高30cm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23A8C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E157125">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85.00 </w:t>
            </w:r>
          </w:p>
        </w:tc>
      </w:tr>
      <w:tr w14:paraId="0CFC7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B8E7C9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527D83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普通水龙头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322B5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电镀铜芯</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0F2C8E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DCEE31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8.00 </w:t>
            </w:r>
          </w:p>
        </w:tc>
      </w:tr>
      <w:tr w14:paraId="3367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9A7681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CC1E0E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手按式冲水阀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23FE9A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铜制</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64823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2B51EA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28.00 </w:t>
            </w:r>
          </w:p>
        </w:tc>
      </w:tr>
      <w:tr w14:paraId="7BFA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9DB5B5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6D6C91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脚踩冲水阀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2B1ED3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铜制</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22871A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C618F9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78.00 </w:t>
            </w:r>
          </w:p>
        </w:tc>
      </w:tr>
      <w:tr w14:paraId="44A59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1AF414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F290AE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洗手盆落水管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9B8C20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ABS材质</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77785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3C4E08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8.00 </w:t>
            </w:r>
          </w:p>
        </w:tc>
      </w:tr>
      <w:tr w14:paraId="20041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EDF9B7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6B3FB1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洗手盆下水器</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95AB21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不锈钢，翻板</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766705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C6B0BB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45.00 </w:t>
            </w:r>
          </w:p>
        </w:tc>
      </w:tr>
      <w:tr w14:paraId="13F8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0E56BD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0BF77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洗手盆下水器翻板塞子</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4CDD8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4F6F89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B51336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6.00 </w:t>
            </w:r>
          </w:p>
        </w:tc>
      </w:tr>
      <w:tr w14:paraId="412BE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312C88D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B86D7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地漏盖</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0640C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D1363A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FB30EE4">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6.00 </w:t>
            </w:r>
          </w:p>
        </w:tc>
      </w:tr>
      <w:tr w14:paraId="05DC2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DC1DE0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E7B69E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三角阀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682BA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电镀铜芯</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226A10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14F3C54">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15.00 </w:t>
            </w:r>
          </w:p>
        </w:tc>
      </w:tr>
      <w:tr w14:paraId="76F90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21EBC3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6A2DE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透明PVC挡风帘</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9E5EBA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2.5mm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DF17B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米</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521A31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10.00 </w:t>
            </w:r>
          </w:p>
        </w:tc>
      </w:tr>
      <w:tr w14:paraId="5DD35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820DC9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21A87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挡风帘龙骨</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274C3E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6A842B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米</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96D063B">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30.00 </w:t>
            </w:r>
          </w:p>
        </w:tc>
      </w:tr>
      <w:tr w14:paraId="5C83A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4F3E58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01126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挡风帘夹片</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0ED7D0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不锈钢</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B4AD5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片</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35C29B6">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3.00 </w:t>
            </w:r>
          </w:p>
        </w:tc>
      </w:tr>
      <w:tr w14:paraId="7CF06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D08AB5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3A245B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小便感应器</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1897F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铜制，不锈钢面板</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8A8AA5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CE73F2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230.00 </w:t>
            </w:r>
          </w:p>
        </w:tc>
      </w:tr>
      <w:tr w14:paraId="3908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C3CDA2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C34B00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全自动大便感应器</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25CB67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铜制，不锈钢面板</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A9159E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8397CC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190.00 </w:t>
            </w:r>
          </w:p>
        </w:tc>
      </w:tr>
      <w:tr w14:paraId="6CE0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1996271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8CB4A5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四冲程机油</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6F933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1升装</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FBDC4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瓶</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497B97E">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40.00 </w:t>
            </w:r>
          </w:p>
        </w:tc>
      </w:tr>
      <w:tr w14:paraId="6E904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DCAF04C">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6EF8D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CH-4柴机油</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3E3B1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18L装</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D23AC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桶</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FC3CC6A">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160.00 </w:t>
            </w:r>
          </w:p>
        </w:tc>
      </w:tr>
      <w:tr w14:paraId="2F5FF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E28A44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AC7CB8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工程机械专用脂（黄油）</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D88D4B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高温耐磨大桶装</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8648A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桶</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A9E5B4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130.00 </w:t>
            </w:r>
          </w:p>
        </w:tc>
      </w:tr>
      <w:tr w14:paraId="7E1A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0ABF2BA">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825970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高压水枪</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C9604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耐高压全铜阀芯不锈钢枪管</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CC6176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把</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64442DC">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150.00 </w:t>
            </w:r>
          </w:p>
        </w:tc>
      </w:tr>
      <w:tr w14:paraId="19422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AEA321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FFECE2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高压皮管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F6CCDA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20M</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D41057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根</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4457780">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200.00 </w:t>
            </w:r>
          </w:p>
        </w:tc>
      </w:tr>
      <w:tr w14:paraId="1E2B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9BDA1F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6E4CE0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4分软管蛇皮管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D2F1AC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50米/卷</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08C515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Style w:val="281"/>
                <w:rFonts w:hint="eastAsia" w:ascii="仿宋" w:hAnsi="仿宋" w:eastAsia="仿宋" w:cs="仿宋"/>
                <w:color w:val="auto"/>
                <w:kern w:val="0"/>
                <w:sz w:val="24"/>
                <w:szCs w:val="24"/>
                <w:highlight w:val="none"/>
                <w:lang w:val="en-US" w:eastAsia="zh-CN" w:bidi="ar"/>
              </w:rPr>
              <w:t>卷</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68812A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180.00 </w:t>
            </w:r>
          </w:p>
        </w:tc>
      </w:tr>
      <w:tr w14:paraId="53B39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ADB12A8">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0C21148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软管蛇皮管头尾</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63EB85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塑料</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469F3E6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对</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05EB823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8.00 </w:t>
            </w:r>
          </w:p>
        </w:tc>
      </w:tr>
      <w:tr w14:paraId="7B0A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5BD234E">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94489E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台上盆感应加高龙头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7481FE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全铜镀镍</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3970D2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71FC17CF">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230.00 </w:t>
            </w:r>
          </w:p>
        </w:tc>
      </w:tr>
      <w:tr w14:paraId="0B1C7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0E392A86">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2E032E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马桶法兰圈密封圈</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2AF389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马桶密封泥</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5EC117C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6F2532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10.00 </w:t>
            </w:r>
          </w:p>
        </w:tc>
      </w:tr>
      <w:tr w14:paraId="3C600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F4DC13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2FA6B02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内外丝接头</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78DBD1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不锈钢/纯铜材质，各种常用尺寸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DCA985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FFE6AF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5.00 </w:t>
            </w:r>
          </w:p>
        </w:tc>
      </w:tr>
      <w:tr w14:paraId="5A7A7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AA1A48B">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D32325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家具修补膏</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F498B8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≥20g</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7C9FEE8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支</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9C6C38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6.00 </w:t>
            </w:r>
          </w:p>
        </w:tc>
      </w:tr>
      <w:tr w14:paraId="52D76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2017BA1">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58D40E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抗磨液压油</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3413AC2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L-HM 46号，高压高清，200L/桶</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3FE6C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桶</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E5ED141">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2500.00 </w:t>
            </w:r>
          </w:p>
        </w:tc>
      </w:tr>
      <w:tr w14:paraId="7F861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475509A">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3C91B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管理房门锁芯</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4C2AF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铝包铜</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1E200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69C449B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20.00 </w:t>
            </w:r>
          </w:p>
        </w:tc>
      </w:tr>
      <w:tr w14:paraId="083AC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A2DBB2F">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1C4B9D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管理房门锁</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513515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木门锁带把手，不锈钢把手面板</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913783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0729A6D">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60.00 </w:t>
            </w:r>
          </w:p>
        </w:tc>
      </w:tr>
      <w:tr w14:paraId="3BD72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478F2EF2">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184F2B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手按式冲水阀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24ED5F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铜制，小体6分</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3F76B4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86AED9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35.00 </w:t>
            </w:r>
          </w:p>
        </w:tc>
      </w:tr>
      <w:tr w14:paraId="4DE39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67638FE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5D41D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手按式冲水阀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271842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铜制，中体1寸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62A8749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0D248F7">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45.00 </w:t>
            </w:r>
          </w:p>
        </w:tc>
      </w:tr>
      <w:tr w14:paraId="594F1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A5135A3">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AC53DC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手按式冲水阀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A20EF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铜制，大体1寸</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2D3CE90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0710BA2">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110.00 </w:t>
            </w:r>
          </w:p>
        </w:tc>
      </w:tr>
      <w:tr w14:paraId="5D4AA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9D9B195">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2A91A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手按式冲水阀</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9852CA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铜制</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17C622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1F55F363">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65.00 </w:t>
            </w:r>
          </w:p>
        </w:tc>
      </w:tr>
      <w:tr w14:paraId="44E43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509F858D">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1F0459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洗脸盆下水管</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4C4DEE6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塑料</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E8CFCF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4D4E87B9">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6.00 </w:t>
            </w:r>
          </w:p>
        </w:tc>
      </w:tr>
      <w:tr w14:paraId="5A501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73E68AA0">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47A1B4F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橡胶路锥</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1842F49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重量≥2kg，带晶格反光膜</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300F3DC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295618C5">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30.00</w:t>
            </w:r>
          </w:p>
        </w:tc>
      </w:tr>
      <w:tr w14:paraId="4051B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57" w:type="dxa"/>
            <w:tcBorders>
              <w:top w:val="single" w:color="000000" w:sz="4" w:space="0"/>
              <w:left w:val="single" w:color="000000" w:sz="4" w:space="0"/>
              <w:bottom w:val="single" w:color="000000" w:sz="4" w:space="0"/>
              <w:right w:val="single" w:color="000000" w:sz="4" w:space="0"/>
            </w:tcBorders>
            <w:noWrap/>
            <w:vAlign w:val="center"/>
          </w:tcPr>
          <w:p w14:paraId="20545174">
            <w:pPr>
              <w:keepNext w:val="0"/>
              <w:keepLines w:val="0"/>
              <w:widowControl/>
              <w:numPr>
                <w:ilvl w:val="0"/>
                <w:numId w:val="31"/>
              </w:numPr>
              <w:suppressLineNumbers w:val="0"/>
              <w:ind w:left="425" w:leftChars="0" w:hanging="425" w:firstLineChars="0"/>
              <w:jc w:val="center"/>
              <w:textAlignment w:val="center"/>
              <w:rPr>
                <w:rFonts w:hint="eastAsia" w:ascii="仿宋" w:hAnsi="仿宋" w:eastAsia="仿宋" w:cs="仿宋"/>
                <w:i w:val="0"/>
                <w:iCs w:val="0"/>
                <w:color w:val="auto"/>
                <w:sz w:val="24"/>
                <w:szCs w:val="24"/>
                <w:highlight w:val="none"/>
                <w:u w:val="none"/>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74109FAD">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全自动感应洁具</w:t>
            </w:r>
          </w:p>
        </w:tc>
        <w:tc>
          <w:tcPr>
            <w:tcW w:w="3194" w:type="dxa"/>
            <w:tcBorders>
              <w:top w:val="single" w:color="000000" w:sz="4" w:space="0"/>
              <w:left w:val="single" w:color="000000" w:sz="4" w:space="0"/>
              <w:bottom w:val="single" w:color="000000" w:sz="4" w:space="0"/>
              <w:right w:val="single" w:color="000000" w:sz="4" w:space="0"/>
            </w:tcBorders>
            <w:noWrap/>
            <w:vAlign w:val="center"/>
          </w:tcPr>
          <w:p w14:paraId="02F66D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明装款</w:t>
            </w:r>
          </w:p>
        </w:tc>
        <w:tc>
          <w:tcPr>
            <w:tcW w:w="723" w:type="dxa"/>
            <w:tcBorders>
              <w:top w:val="single" w:color="000000" w:sz="4" w:space="0"/>
              <w:left w:val="single" w:color="000000" w:sz="4" w:space="0"/>
              <w:bottom w:val="single" w:color="000000" w:sz="4" w:space="0"/>
              <w:right w:val="single" w:color="000000" w:sz="4" w:space="0"/>
            </w:tcBorders>
            <w:noWrap/>
            <w:vAlign w:val="center"/>
          </w:tcPr>
          <w:p w14:paraId="003B870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1919" w:type="dxa"/>
            <w:tcBorders>
              <w:top w:val="single" w:color="000000" w:sz="4" w:space="0"/>
              <w:left w:val="single" w:color="000000" w:sz="4" w:space="0"/>
              <w:bottom w:val="single" w:color="000000" w:sz="4" w:space="0"/>
              <w:right w:val="single" w:color="000000" w:sz="4" w:space="0"/>
            </w:tcBorders>
            <w:noWrap/>
            <w:vAlign w:val="center"/>
          </w:tcPr>
          <w:p w14:paraId="305B1E7B">
            <w:pPr>
              <w:keepNext w:val="0"/>
              <w:keepLines w:val="0"/>
              <w:widowControl/>
              <w:suppressLineNumbers w:val="0"/>
              <w:jc w:val="center"/>
              <w:textAlignment w:val="center"/>
              <w:rPr>
                <w:rFonts w:hint="default"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90.00</w:t>
            </w:r>
          </w:p>
        </w:tc>
      </w:tr>
    </w:tbl>
    <w:p w14:paraId="518F6EB8">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firstLine="482" w:firstLineChars="200"/>
        <w:jc w:val="left"/>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报价说明</w:t>
      </w:r>
    </w:p>
    <w:p w14:paraId="42FAE36E">
      <w:pPr>
        <w:keepNext w:val="0"/>
        <w:keepLines w:val="0"/>
        <w:pageBreakBefore w:val="0"/>
        <w:widowControl/>
        <w:numPr>
          <w:ilvl w:val="0"/>
          <w:numId w:val="32"/>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本项目采用按标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统一单价折扣报价（折扣统一按百分比填写，如报九折，则按90.00%填写）。折扣报价可保留到小数点后二位。中标单价=最高单价限价*中标折扣。</w:t>
      </w:r>
    </w:p>
    <w:p w14:paraId="6CEF3A87">
      <w:pPr>
        <w:keepNext w:val="0"/>
        <w:keepLines w:val="0"/>
        <w:pageBreakBefore w:val="0"/>
        <w:widowControl/>
        <w:numPr>
          <w:ilvl w:val="0"/>
          <w:numId w:val="32"/>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上述价格按折扣同比例折扣确定结算价款。</w:t>
      </w:r>
    </w:p>
    <w:p w14:paraId="50689C48">
      <w:pPr>
        <w:keepNext w:val="0"/>
        <w:keepLines w:val="0"/>
        <w:pageBreakBefore w:val="0"/>
        <w:widowControl/>
        <w:numPr>
          <w:ilvl w:val="0"/>
          <w:numId w:val="32"/>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本项目实施不区分节假日，中标</w:t>
      </w:r>
      <w:r>
        <w:rPr>
          <w:rFonts w:hint="eastAsia" w:ascii="仿宋" w:hAnsi="仿宋" w:eastAsia="仿宋" w:cs="仿宋"/>
          <w:b w:val="0"/>
          <w:bCs w:val="0"/>
          <w:color w:val="auto"/>
          <w:sz w:val="24"/>
          <w:szCs w:val="24"/>
          <w:highlight w:val="none"/>
          <w:lang w:val="en-US" w:eastAsia="zh-CN"/>
        </w:rPr>
        <w:t>人</w:t>
      </w:r>
      <w:r>
        <w:rPr>
          <w:rFonts w:hint="default" w:ascii="仿宋" w:hAnsi="仿宋" w:eastAsia="仿宋" w:cs="仿宋"/>
          <w:b w:val="0"/>
          <w:bCs w:val="0"/>
          <w:color w:val="auto"/>
          <w:sz w:val="24"/>
          <w:szCs w:val="24"/>
          <w:highlight w:val="none"/>
          <w:lang w:val="en-US" w:eastAsia="zh-CN"/>
        </w:rPr>
        <w:t>无故不响应采购</w:t>
      </w:r>
      <w:r>
        <w:rPr>
          <w:rFonts w:hint="eastAsia" w:ascii="仿宋" w:hAnsi="仿宋" w:eastAsia="仿宋" w:cs="仿宋"/>
          <w:b w:val="0"/>
          <w:bCs w:val="0"/>
          <w:color w:val="auto"/>
          <w:sz w:val="24"/>
          <w:szCs w:val="24"/>
          <w:highlight w:val="none"/>
          <w:lang w:val="en-US" w:eastAsia="zh-CN"/>
        </w:rPr>
        <w:t>人</w:t>
      </w:r>
      <w:r>
        <w:rPr>
          <w:rFonts w:hint="default" w:ascii="仿宋" w:hAnsi="仿宋" w:eastAsia="仿宋" w:cs="仿宋"/>
          <w:b w:val="0"/>
          <w:bCs w:val="0"/>
          <w:color w:val="auto"/>
          <w:sz w:val="24"/>
          <w:szCs w:val="24"/>
          <w:highlight w:val="none"/>
          <w:lang w:val="en-US" w:eastAsia="zh-CN"/>
        </w:rPr>
        <w:t>或货物质量不合格3次的，采购</w:t>
      </w:r>
      <w:r>
        <w:rPr>
          <w:rFonts w:hint="eastAsia" w:ascii="仿宋" w:hAnsi="仿宋" w:eastAsia="仿宋" w:cs="仿宋"/>
          <w:b w:val="0"/>
          <w:bCs w:val="0"/>
          <w:color w:val="auto"/>
          <w:sz w:val="24"/>
          <w:szCs w:val="24"/>
          <w:highlight w:val="none"/>
          <w:lang w:val="en-US" w:eastAsia="zh-CN"/>
        </w:rPr>
        <w:t>人</w:t>
      </w:r>
      <w:r>
        <w:rPr>
          <w:rFonts w:hint="default" w:ascii="仿宋" w:hAnsi="仿宋" w:eastAsia="仿宋" w:cs="仿宋"/>
          <w:b w:val="0"/>
          <w:bCs w:val="0"/>
          <w:color w:val="auto"/>
          <w:sz w:val="24"/>
          <w:szCs w:val="24"/>
          <w:highlight w:val="none"/>
          <w:lang w:val="en-US" w:eastAsia="zh-CN"/>
        </w:rPr>
        <w:t>有权单方面解除合同，履约保证金不予</w:t>
      </w:r>
      <w:r>
        <w:rPr>
          <w:rFonts w:hint="eastAsia" w:ascii="仿宋" w:hAnsi="仿宋" w:eastAsia="仿宋" w:cs="仿宋"/>
          <w:b w:val="0"/>
          <w:bCs w:val="0"/>
          <w:color w:val="auto"/>
          <w:sz w:val="24"/>
          <w:szCs w:val="24"/>
          <w:highlight w:val="none"/>
          <w:lang w:val="en-US" w:eastAsia="zh-CN"/>
        </w:rPr>
        <w:t>退还</w:t>
      </w:r>
      <w:r>
        <w:rPr>
          <w:rFonts w:hint="default" w:ascii="仿宋" w:hAnsi="仿宋" w:eastAsia="仿宋" w:cs="仿宋"/>
          <w:b w:val="0"/>
          <w:bCs w:val="0"/>
          <w:color w:val="auto"/>
          <w:sz w:val="24"/>
          <w:szCs w:val="24"/>
          <w:highlight w:val="none"/>
          <w:lang w:val="en-US" w:eastAsia="zh-CN"/>
        </w:rPr>
        <w:t>。</w:t>
      </w:r>
    </w:p>
    <w:p w14:paraId="688F560C">
      <w:pPr>
        <w:keepNext w:val="0"/>
        <w:keepLines w:val="0"/>
        <w:pageBreakBefore w:val="0"/>
        <w:widowControl/>
        <w:numPr>
          <w:ilvl w:val="0"/>
          <w:numId w:val="32"/>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报价应包括设计、制作、安装、材料、包装、运输、装卸、保险、税金以及售后服务等一切税金、利润和费用。</w:t>
      </w:r>
    </w:p>
    <w:p w14:paraId="54076E4C">
      <w:pPr>
        <w:keepNext w:val="0"/>
        <w:keepLines w:val="0"/>
        <w:pageBreakBefore w:val="0"/>
        <w:widowControl/>
        <w:numPr>
          <w:ilvl w:val="0"/>
          <w:numId w:val="32"/>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本项目不允许转包和分包，中标</w:t>
      </w:r>
      <w:r>
        <w:rPr>
          <w:rFonts w:hint="eastAsia" w:ascii="仿宋" w:hAnsi="仿宋" w:eastAsia="仿宋" w:cs="仿宋"/>
          <w:b w:val="0"/>
          <w:bCs w:val="0"/>
          <w:color w:val="auto"/>
          <w:sz w:val="24"/>
          <w:szCs w:val="24"/>
          <w:highlight w:val="none"/>
          <w:lang w:val="en-US" w:eastAsia="zh-CN"/>
        </w:rPr>
        <w:t>人</w:t>
      </w:r>
      <w:r>
        <w:rPr>
          <w:rFonts w:hint="default" w:ascii="仿宋" w:hAnsi="仿宋" w:eastAsia="仿宋" w:cs="仿宋"/>
          <w:b w:val="0"/>
          <w:bCs w:val="0"/>
          <w:color w:val="auto"/>
          <w:sz w:val="24"/>
          <w:szCs w:val="24"/>
          <w:highlight w:val="none"/>
          <w:lang w:val="en-US" w:eastAsia="zh-CN"/>
        </w:rPr>
        <w:t>若出现转包或分包的情形，一经发现采购</w:t>
      </w:r>
      <w:r>
        <w:rPr>
          <w:rFonts w:hint="eastAsia" w:ascii="仿宋" w:hAnsi="仿宋" w:eastAsia="仿宋" w:cs="仿宋"/>
          <w:b w:val="0"/>
          <w:bCs w:val="0"/>
          <w:color w:val="auto"/>
          <w:sz w:val="24"/>
          <w:szCs w:val="24"/>
          <w:highlight w:val="none"/>
          <w:lang w:val="en-US" w:eastAsia="zh-CN"/>
        </w:rPr>
        <w:t>人</w:t>
      </w:r>
      <w:r>
        <w:rPr>
          <w:rFonts w:hint="default" w:ascii="仿宋" w:hAnsi="仿宋" w:eastAsia="仿宋" w:cs="仿宋"/>
          <w:b w:val="0"/>
          <w:bCs w:val="0"/>
          <w:color w:val="auto"/>
          <w:sz w:val="24"/>
          <w:szCs w:val="24"/>
          <w:highlight w:val="none"/>
          <w:lang w:val="en-US" w:eastAsia="zh-CN"/>
        </w:rPr>
        <w:t>有权单方面解除合同，履约保证金不予</w:t>
      </w:r>
      <w:r>
        <w:rPr>
          <w:rFonts w:hint="eastAsia" w:ascii="仿宋" w:hAnsi="仿宋" w:eastAsia="仿宋" w:cs="仿宋"/>
          <w:b w:val="0"/>
          <w:bCs w:val="0"/>
          <w:color w:val="auto"/>
          <w:sz w:val="24"/>
          <w:szCs w:val="24"/>
          <w:highlight w:val="none"/>
          <w:lang w:val="en-US" w:eastAsia="zh-CN"/>
        </w:rPr>
        <w:t>退还</w:t>
      </w:r>
      <w:r>
        <w:rPr>
          <w:rFonts w:hint="default" w:ascii="仿宋" w:hAnsi="仿宋" w:eastAsia="仿宋" w:cs="仿宋"/>
          <w:b w:val="0"/>
          <w:bCs w:val="0"/>
          <w:color w:val="auto"/>
          <w:sz w:val="24"/>
          <w:szCs w:val="24"/>
          <w:highlight w:val="none"/>
          <w:lang w:val="en-US" w:eastAsia="zh-CN"/>
        </w:rPr>
        <w:t>。</w:t>
      </w:r>
    </w:p>
    <w:p w14:paraId="7283039F">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注：如潜在投标人对以上各标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采购需求内容存在疑问，可到采购</w:t>
      </w:r>
      <w:r>
        <w:rPr>
          <w:rFonts w:hint="eastAsia" w:ascii="仿宋" w:hAnsi="仿宋" w:eastAsia="仿宋" w:cs="仿宋"/>
          <w:b w:val="0"/>
          <w:bCs w:val="0"/>
          <w:color w:val="auto"/>
          <w:sz w:val="24"/>
          <w:szCs w:val="24"/>
          <w:highlight w:val="none"/>
          <w:lang w:val="en-US" w:eastAsia="zh-CN"/>
        </w:rPr>
        <w:t>人</w:t>
      </w:r>
      <w:r>
        <w:rPr>
          <w:rFonts w:hint="default" w:ascii="仿宋" w:hAnsi="仿宋" w:eastAsia="仿宋" w:cs="仿宋"/>
          <w:b w:val="0"/>
          <w:bCs w:val="0"/>
          <w:color w:val="auto"/>
          <w:sz w:val="24"/>
          <w:szCs w:val="24"/>
          <w:highlight w:val="none"/>
          <w:lang w:val="en-US" w:eastAsia="zh-CN"/>
        </w:rPr>
        <w:t>现场观摩实样，采购单位联系人：蒋科毅，联系方式：15068710722。</w:t>
      </w:r>
    </w:p>
    <w:p w14:paraId="60523F4E">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firstLine="482" w:firstLineChars="200"/>
        <w:jc w:val="left"/>
        <w:textAlignment w:val="auto"/>
        <w:rPr>
          <w:rFonts w:hint="default" w:ascii="仿宋" w:hAnsi="仿宋" w:eastAsia="仿宋" w:cs="仿宋"/>
          <w:b/>
          <w:bCs/>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样品</w:t>
      </w:r>
      <w:r>
        <w:rPr>
          <w:rFonts w:hint="eastAsia" w:ascii="仿宋" w:hAnsi="仿宋" w:eastAsia="仿宋" w:cs="仿宋"/>
          <w:b/>
          <w:bCs/>
          <w:color w:val="auto"/>
          <w:sz w:val="24"/>
          <w:szCs w:val="24"/>
          <w:highlight w:val="none"/>
          <w:lang w:val="en-US" w:eastAsia="zh-CN"/>
        </w:rPr>
        <w:t>要求</w:t>
      </w:r>
    </w:p>
    <w:p w14:paraId="393C5A65">
      <w:pPr>
        <w:keepNext w:val="0"/>
        <w:keepLines w:val="0"/>
        <w:pageBreakBefore w:val="0"/>
        <w:widowControl/>
        <w:numPr>
          <w:ilvl w:val="0"/>
          <w:numId w:val="33"/>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时间要求：</w:t>
      </w:r>
      <w:r>
        <w:rPr>
          <w:rFonts w:hint="eastAsia" w:ascii="仿宋" w:hAnsi="仿宋" w:eastAsia="仿宋" w:cs="仿宋"/>
          <w:b w:val="0"/>
          <w:bCs w:val="0"/>
          <w:color w:val="auto"/>
          <w:sz w:val="24"/>
          <w:szCs w:val="24"/>
          <w:highlight w:val="none"/>
          <w:lang w:val="en-US" w:eastAsia="zh-CN"/>
        </w:rPr>
        <w:t>投标</w:t>
      </w:r>
      <w:r>
        <w:rPr>
          <w:rFonts w:hint="default" w:ascii="仿宋" w:hAnsi="仿宋" w:eastAsia="仿宋" w:cs="仿宋"/>
          <w:b w:val="0"/>
          <w:bCs w:val="0"/>
          <w:color w:val="auto"/>
          <w:sz w:val="24"/>
          <w:szCs w:val="24"/>
          <w:highlight w:val="none"/>
          <w:lang w:val="en-US" w:eastAsia="zh-CN"/>
        </w:rPr>
        <w:t>截止时间前（202</w:t>
      </w:r>
      <w:r>
        <w:rPr>
          <w:rFonts w:hint="eastAsia" w:ascii="仿宋" w:hAnsi="仿宋" w:eastAsia="仿宋" w:cs="仿宋"/>
          <w:b w:val="0"/>
          <w:bCs w:val="0"/>
          <w:color w:val="auto"/>
          <w:sz w:val="24"/>
          <w:szCs w:val="24"/>
          <w:highlight w:val="none"/>
          <w:lang w:val="en-US" w:eastAsia="zh-CN"/>
        </w:rPr>
        <w:t>4</w:t>
      </w:r>
      <w:r>
        <w:rPr>
          <w:rFonts w:hint="default" w:ascii="仿宋" w:hAnsi="仿宋" w:eastAsia="仿宋" w:cs="仿宋"/>
          <w:b w:val="0"/>
          <w:bCs w:val="0"/>
          <w:color w:val="auto"/>
          <w:sz w:val="24"/>
          <w:szCs w:val="24"/>
          <w:highlight w:val="none"/>
          <w:lang w:val="en-US" w:eastAsia="zh-CN"/>
        </w:rPr>
        <w:t>年</w:t>
      </w:r>
      <w:r>
        <w:rPr>
          <w:rFonts w:hint="eastAsia" w:ascii="仿宋" w:hAnsi="仿宋" w:eastAsia="仿宋" w:cs="仿宋"/>
          <w:b w:val="0"/>
          <w:bCs w:val="0"/>
          <w:color w:val="auto"/>
          <w:sz w:val="24"/>
          <w:szCs w:val="24"/>
          <w:highlight w:val="none"/>
          <w:lang w:val="en-US" w:eastAsia="zh-CN"/>
        </w:rPr>
        <w:t>11</w:t>
      </w:r>
      <w:r>
        <w:rPr>
          <w:rFonts w:hint="default" w:ascii="仿宋" w:hAnsi="仿宋" w:eastAsia="仿宋" w:cs="仿宋"/>
          <w:b w:val="0"/>
          <w:bCs w:val="0"/>
          <w:color w:val="auto"/>
          <w:sz w:val="24"/>
          <w:szCs w:val="24"/>
          <w:highlight w:val="none"/>
          <w:lang w:val="en-US" w:eastAsia="zh-CN"/>
        </w:rPr>
        <w:t>月</w:t>
      </w:r>
      <w:r>
        <w:rPr>
          <w:rFonts w:hint="eastAsia" w:ascii="仿宋" w:hAnsi="仿宋" w:eastAsia="仿宋" w:cs="仿宋"/>
          <w:b w:val="0"/>
          <w:bCs w:val="0"/>
          <w:color w:val="auto"/>
          <w:sz w:val="24"/>
          <w:szCs w:val="24"/>
          <w:highlight w:val="none"/>
          <w:lang w:val="en-US" w:eastAsia="zh-CN"/>
        </w:rPr>
        <w:t>21</w:t>
      </w:r>
      <w:r>
        <w:rPr>
          <w:rFonts w:hint="default" w:ascii="仿宋" w:hAnsi="仿宋" w:eastAsia="仿宋" w:cs="仿宋"/>
          <w:b w:val="0"/>
          <w:bCs w:val="0"/>
          <w:color w:val="auto"/>
          <w:sz w:val="24"/>
          <w:szCs w:val="24"/>
          <w:highlight w:val="none"/>
          <w:lang w:val="en-US" w:eastAsia="zh-CN"/>
        </w:rPr>
        <w:t>日</w:t>
      </w:r>
      <w:r>
        <w:rPr>
          <w:rFonts w:hint="eastAsia" w:ascii="仿宋" w:hAnsi="仿宋" w:eastAsia="仿宋" w:cs="仿宋"/>
          <w:b w:val="0"/>
          <w:bCs w:val="0"/>
          <w:color w:val="auto"/>
          <w:sz w:val="24"/>
          <w:szCs w:val="24"/>
          <w:highlight w:val="none"/>
          <w:lang w:val="en-US" w:eastAsia="zh-CN"/>
        </w:rPr>
        <w:t>09：30</w:t>
      </w:r>
      <w:r>
        <w:rPr>
          <w:rFonts w:hint="default"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以邮寄或现场提交形式提交样品</w:t>
      </w:r>
      <w:r>
        <w:rPr>
          <w:rFonts w:hint="default" w:ascii="仿宋" w:hAnsi="仿宋" w:eastAsia="仿宋" w:cs="仿宋"/>
          <w:b w:val="0"/>
          <w:bCs w:val="0"/>
          <w:color w:val="auto"/>
          <w:sz w:val="24"/>
          <w:szCs w:val="24"/>
          <w:highlight w:val="none"/>
          <w:lang w:val="en-US" w:eastAsia="zh-CN"/>
        </w:rPr>
        <w:t>，逾期视为未送达</w:t>
      </w:r>
      <w:r>
        <w:rPr>
          <w:rFonts w:hint="eastAsia" w:ascii="仿宋" w:hAnsi="仿宋" w:eastAsia="仿宋" w:cs="仿宋"/>
          <w:b w:val="0"/>
          <w:bCs w:val="0"/>
          <w:color w:val="auto"/>
          <w:sz w:val="24"/>
          <w:szCs w:val="24"/>
          <w:highlight w:val="none"/>
          <w:lang w:val="en-US" w:eastAsia="zh-CN"/>
        </w:rPr>
        <w:t>。</w:t>
      </w:r>
    </w:p>
    <w:p w14:paraId="71A4EF2F">
      <w:pPr>
        <w:keepNext w:val="0"/>
        <w:keepLines w:val="0"/>
        <w:pageBreakBefore w:val="0"/>
        <w:widowControl/>
        <w:numPr>
          <w:ilvl w:val="0"/>
          <w:numId w:val="33"/>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样品规格及数量：（投标人投各标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时须提供相应标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样品，未提供或提供不齐全则相应标段做无效投标处理，提供的样品</w:t>
      </w:r>
      <w:r>
        <w:rPr>
          <w:rFonts w:hint="eastAsia" w:ascii="仿宋" w:hAnsi="仿宋" w:eastAsia="仿宋" w:cs="仿宋"/>
          <w:b w:val="0"/>
          <w:bCs w:val="0"/>
          <w:color w:val="auto"/>
          <w:sz w:val="24"/>
          <w:szCs w:val="24"/>
          <w:highlight w:val="none"/>
          <w:lang w:val="en-US" w:eastAsia="zh-CN"/>
        </w:rPr>
        <w:t>不得</w:t>
      </w:r>
      <w:r>
        <w:rPr>
          <w:rFonts w:hint="default" w:ascii="仿宋" w:hAnsi="仿宋" w:eastAsia="仿宋" w:cs="仿宋"/>
          <w:b w:val="0"/>
          <w:bCs w:val="0"/>
          <w:color w:val="auto"/>
          <w:sz w:val="24"/>
          <w:szCs w:val="24"/>
          <w:highlight w:val="none"/>
          <w:lang w:val="en-US" w:eastAsia="zh-CN"/>
        </w:rPr>
        <w:t>出现公司名称或与公司有关的商标和标记）</w:t>
      </w:r>
    </w:p>
    <w:p w14:paraId="5C961990">
      <w:pPr>
        <w:keepNext w:val="0"/>
        <w:keepLines w:val="0"/>
        <w:pageBreakBefore w:val="0"/>
        <w:widowControl/>
        <w:numPr>
          <w:ilvl w:val="0"/>
          <w:numId w:val="33"/>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提交样品地址</w:t>
      </w:r>
      <w:r>
        <w:rPr>
          <w:rFonts w:hint="default" w:ascii="仿宋" w:hAnsi="仿宋" w:eastAsia="仿宋" w:cs="仿宋"/>
          <w:b w:val="0"/>
          <w:bCs w:val="0"/>
          <w:color w:val="auto"/>
          <w:sz w:val="24"/>
          <w:szCs w:val="24"/>
          <w:highlight w:val="none"/>
          <w:lang w:val="en-US" w:eastAsia="zh-CN"/>
        </w:rPr>
        <w:t>：诸暨市暨阳街道苎萝东路218号金悦华庭商铺232号</w:t>
      </w: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z w:val="24"/>
          <w:szCs w:val="24"/>
          <w:highlight w:val="none"/>
          <w:lang w:val="en-US" w:eastAsia="zh-CN"/>
        </w:rPr>
        <w:t>诸暨市</w:t>
      </w:r>
      <w:r>
        <w:rPr>
          <w:rFonts w:hint="eastAsia" w:ascii="仿宋" w:hAnsi="仿宋" w:eastAsia="仿宋" w:cs="仿宋"/>
          <w:b w:val="0"/>
          <w:bCs w:val="0"/>
          <w:color w:val="auto"/>
          <w:sz w:val="24"/>
          <w:szCs w:val="24"/>
          <w:highlight w:val="none"/>
          <w:lang w:val="en-US" w:eastAsia="zh-CN"/>
        </w:rPr>
        <w:t>宸佳工程管理有限公司二楼）</w:t>
      </w:r>
      <w:r>
        <w:rPr>
          <w:rFonts w:hint="default" w:ascii="仿宋" w:hAnsi="仿宋" w:eastAsia="仿宋" w:cs="仿宋"/>
          <w:b w:val="0"/>
          <w:bCs w:val="0"/>
          <w:color w:val="auto"/>
          <w:sz w:val="24"/>
          <w:szCs w:val="24"/>
          <w:highlight w:val="none"/>
          <w:lang w:val="en-US" w:eastAsia="zh-CN"/>
        </w:rPr>
        <w:t>。</w:t>
      </w:r>
    </w:p>
    <w:p w14:paraId="16695B8F">
      <w:pPr>
        <w:keepNext w:val="0"/>
        <w:keepLines w:val="0"/>
        <w:pageBreakBefore w:val="0"/>
        <w:widowControl/>
        <w:numPr>
          <w:ilvl w:val="0"/>
          <w:numId w:val="33"/>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提交样品联系方式：联系人：周路平；联系电话：18989561075。</w:t>
      </w:r>
    </w:p>
    <w:p w14:paraId="460F7895">
      <w:pPr>
        <w:keepNext w:val="0"/>
        <w:keepLines w:val="0"/>
        <w:pageBreakBefore w:val="0"/>
        <w:widowControl/>
        <w:numPr>
          <w:ilvl w:val="0"/>
          <w:numId w:val="33"/>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其他：未中标的样品当天自行处理，中标人样品不予退回由采购人进行封存，作为以后验收的标准和依据。</w:t>
      </w:r>
    </w:p>
    <w:p w14:paraId="38D2617C">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right="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其他要求</w:t>
      </w:r>
    </w:p>
    <w:p w14:paraId="2CD22286">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所供货物无特殊说明的质保期均为一年，有特殊说明的质保期按照列明期限，交付使用质保期内免费提供维修或改换。</w:t>
      </w:r>
    </w:p>
    <w:p w14:paraId="3284C471">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交货地点：采购人指定地点。</w:t>
      </w:r>
    </w:p>
    <w:p w14:paraId="4B1F9772">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本次采购分批次供应，每批次按采购人通知要求时限内供货到指定地点，否则，由于中标人不及时供货对采购人造成损失的应赔偿损失，采购人有权终止合同。</w:t>
      </w:r>
    </w:p>
    <w:p w14:paraId="5D0B759B">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供货期：合同签订后一年或本项目采购预算金额满止，以先到为准。（若供货期满一年但未达到采购预算金额，则按照实际金额结算）</w:t>
      </w:r>
    </w:p>
    <w:p w14:paraId="7E9617F9">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人提供的产品必须是按投标时注明的产品，供货前须先送样品由采购人确认，如所供产品不能满足采购人规定参数要求的，作退货处理，或产品质量达不到要求的，采购人有权单方面终止合同，如对采购人已造成经济损失的，均由中标人赔偿。</w:t>
      </w:r>
    </w:p>
    <w:p w14:paraId="25CCF84E">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标一至标五所有产品到货后，采购人有权将产品送至第三方检测中心进行抽样检测（费用由中标人承担），若抽样产品达不到要求，中标人须无条件更换整批产品，如二次送检仍达不到要求，采购人有权单方面解除合同，保证金不予退还，且中标人承担由此产生的一切损失。</w:t>
      </w:r>
    </w:p>
    <w:p w14:paraId="05050D3A">
      <w:pPr>
        <w:keepNext w:val="0"/>
        <w:keepLines w:val="0"/>
        <w:pageBreakBefore w:val="0"/>
        <w:widowControl/>
        <w:numPr>
          <w:ilvl w:val="0"/>
          <w:numId w:val="34"/>
        </w:numPr>
        <w:suppressLineNumbers w:val="0"/>
        <w:kinsoku/>
        <w:wordWrap/>
        <w:overflowPunct/>
        <w:topLinePunct w:val="0"/>
        <w:autoSpaceDE/>
        <w:autoSpaceDN/>
        <w:bidi w:val="0"/>
        <w:adjustRightInd/>
        <w:snapToGrid/>
        <w:spacing w:line="420" w:lineRule="exact"/>
        <w:ind w:left="0" w:lef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★违约责任</w:t>
      </w:r>
    </w:p>
    <w:p w14:paraId="4C609390">
      <w:pPr>
        <w:keepNext w:val="0"/>
        <w:keepLines w:val="0"/>
        <w:pageBreakBefore w:val="0"/>
        <w:widowControl w:val="0"/>
        <w:numPr>
          <w:ilvl w:val="0"/>
          <w:numId w:val="35"/>
        </w:numPr>
        <w:kinsoku/>
        <w:wordWrap/>
        <w:overflowPunct/>
        <w:topLinePunct w:val="0"/>
        <w:autoSpaceDE/>
        <w:autoSpaceDN/>
        <w:bidi w:val="0"/>
        <w:adjustRightInd/>
        <w:snapToGrid/>
        <w:spacing w:line="420" w:lineRule="exact"/>
        <w:ind w:left="0" w:leftChars="0" w:right="0" w:firstLine="476"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1"/>
          <w:sz w:val="24"/>
          <w:szCs w:val="24"/>
          <w:highlight w:val="none"/>
        </w:rPr>
        <w:t>中标</w:t>
      </w:r>
      <w:r>
        <w:rPr>
          <w:rFonts w:hint="eastAsia" w:ascii="仿宋" w:hAnsi="仿宋" w:eastAsia="仿宋" w:cs="仿宋"/>
          <w:color w:val="auto"/>
          <w:spacing w:val="-1"/>
          <w:sz w:val="24"/>
          <w:szCs w:val="24"/>
          <w:highlight w:val="none"/>
          <w:lang w:val="en-US" w:eastAsia="zh-CN"/>
        </w:rPr>
        <w:t>人</w:t>
      </w:r>
      <w:r>
        <w:rPr>
          <w:rFonts w:hint="eastAsia" w:ascii="仿宋" w:hAnsi="仿宋" w:eastAsia="仿宋" w:cs="仿宋"/>
          <w:color w:val="auto"/>
          <w:spacing w:val="-1"/>
          <w:sz w:val="24"/>
          <w:szCs w:val="24"/>
          <w:highlight w:val="none"/>
        </w:rPr>
        <w:t>在接到采购</w:t>
      </w:r>
      <w:r>
        <w:rPr>
          <w:rFonts w:hint="eastAsia" w:ascii="仿宋" w:hAnsi="仿宋" w:eastAsia="仿宋" w:cs="仿宋"/>
          <w:color w:val="auto"/>
          <w:spacing w:val="-1"/>
          <w:sz w:val="24"/>
          <w:szCs w:val="24"/>
          <w:highlight w:val="none"/>
          <w:lang w:val="en-US" w:eastAsia="zh-CN"/>
        </w:rPr>
        <w:t>人</w:t>
      </w:r>
      <w:r>
        <w:rPr>
          <w:rFonts w:hint="eastAsia" w:ascii="仿宋" w:hAnsi="仿宋" w:eastAsia="仿宋" w:cs="仿宋"/>
          <w:color w:val="auto"/>
          <w:spacing w:val="-1"/>
          <w:sz w:val="24"/>
          <w:szCs w:val="24"/>
          <w:highlight w:val="none"/>
        </w:rPr>
        <w:t>供货通知后，要求2天内回复，未及时回复的即视为拒绝供货，采购</w:t>
      </w:r>
      <w:r>
        <w:rPr>
          <w:rFonts w:hint="eastAsia" w:ascii="仿宋" w:hAnsi="仿宋" w:eastAsia="仿宋" w:cs="仿宋"/>
          <w:color w:val="auto"/>
          <w:spacing w:val="-1"/>
          <w:sz w:val="24"/>
          <w:szCs w:val="24"/>
          <w:highlight w:val="none"/>
          <w:lang w:val="en-US" w:eastAsia="zh-CN"/>
        </w:rPr>
        <w:t>人</w:t>
      </w:r>
      <w:r>
        <w:rPr>
          <w:rFonts w:hint="eastAsia" w:ascii="仿宋" w:hAnsi="仿宋" w:eastAsia="仿宋" w:cs="仿宋"/>
          <w:color w:val="auto"/>
          <w:spacing w:val="-1"/>
          <w:sz w:val="24"/>
          <w:szCs w:val="24"/>
          <w:highlight w:val="none"/>
        </w:rPr>
        <w:t>有权要求中标</w:t>
      </w:r>
      <w:r>
        <w:rPr>
          <w:rFonts w:hint="eastAsia" w:ascii="仿宋" w:hAnsi="仿宋" w:eastAsia="仿宋" w:cs="仿宋"/>
          <w:color w:val="auto"/>
          <w:spacing w:val="-1"/>
          <w:sz w:val="24"/>
          <w:szCs w:val="24"/>
          <w:highlight w:val="none"/>
          <w:lang w:val="en-US" w:eastAsia="zh-CN"/>
        </w:rPr>
        <w:t>人</w:t>
      </w:r>
      <w:r>
        <w:rPr>
          <w:rFonts w:hint="eastAsia" w:ascii="仿宋" w:hAnsi="仿宋" w:eastAsia="仿宋" w:cs="仿宋"/>
          <w:color w:val="auto"/>
          <w:spacing w:val="-1"/>
          <w:sz w:val="24"/>
          <w:szCs w:val="24"/>
          <w:highlight w:val="none"/>
        </w:rPr>
        <w:t>支付合同价款的5%作</w:t>
      </w:r>
      <w:r>
        <w:rPr>
          <w:rFonts w:hint="eastAsia" w:ascii="仿宋" w:hAnsi="仿宋" w:eastAsia="仿宋" w:cs="仿宋"/>
          <w:color w:val="auto"/>
          <w:spacing w:val="-2"/>
          <w:sz w:val="24"/>
          <w:szCs w:val="24"/>
          <w:highlight w:val="none"/>
        </w:rPr>
        <w:t>为违约金赔偿；</w:t>
      </w:r>
      <w:r>
        <w:rPr>
          <w:rFonts w:hint="eastAsia" w:ascii="仿宋" w:hAnsi="仿宋" w:eastAsia="仿宋" w:cs="仿宋"/>
          <w:color w:val="auto"/>
          <w:spacing w:val="-2"/>
          <w:sz w:val="24"/>
          <w:szCs w:val="24"/>
          <w:highlight w:val="none"/>
          <w:lang w:eastAsia="zh-CN"/>
        </w:rPr>
        <w:t>超过3天以上</w:t>
      </w:r>
      <w:r>
        <w:rPr>
          <w:rFonts w:hint="eastAsia" w:ascii="仿宋" w:hAnsi="仿宋" w:eastAsia="仿宋" w:cs="仿宋"/>
          <w:color w:val="auto"/>
          <w:spacing w:val="-2"/>
          <w:sz w:val="24"/>
          <w:szCs w:val="24"/>
          <w:highlight w:val="none"/>
        </w:rPr>
        <w:t>仍</w:t>
      </w:r>
      <w:r>
        <w:rPr>
          <w:rFonts w:hint="eastAsia" w:ascii="仿宋" w:hAnsi="仿宋" w:eastAsia="仿宋" w:cs="仿宋"/>
          <w:color w:val="auto"/>
          <w:sz w:val="24"/>
          <w:szCs w:val="24"/>
          <w:highlight w:val="none"/>
        </w:rPr>
        <w:t>未回复的，采购</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有权解除合同并扣除履约保证金，由此引起</w:t>
      </w:r>
      <w:r>
        <w:rPr>
          <w:rFonts w:hint="eastAsia" w:ascii="仿宋" w:hAnsi="仿宋" w:eastAsia="仿宋" w:cs="仿宋"/>
          <w:color w:val="auto"/>
          <w:spacing w:val="-1"/>
          <w:sz w:val="24"/>
          <w:szCs w:val="24"/>
          <w:highlight w:val="none"/>
        </w:rPr>
        <w:t>的法律责任均由中标</w:t>
      </w:r>
      <w:r>
        <w:rPr>
          <w:rFonts w:hint="eastAsia" w:ascii="仿宋" w:hAnsi="仿宋" w:eastAsia="仿宋" w:cs="仿宋"/>
          <w:color w:val="auto"/>
          <w:spacing w:val="-1"/>
          <w:sz w:val="24"/>
          <w:szCs w:val="24"/>
          <w:highlight w:val="none"/>
          <w:lang w:val="en-US" w:eastAsia="zh-CN"/>
        </w:rPr>
        <w:t>人</w:t>
      </w:r>
      <w:r>
        <w:rPr>
          <w:rFonts w:hint="eastAsia" w:ascii="仿宋" w:hAnsi="仿宋" w:eastAsia="仿宋" w:cs="仿宋"/>
          <w:color w:val="auto"/>
          <w:spacing w:val="-2"/>
          <w:sz w:val="24"/>
          <w:szCs w:val="24"/>
          <w:highlight w:val="none"/>
        </w:rPr>
        <w:t>全部承担</w:t>
      </w:r>
      <w:r>
        <w:rPr>
          <w:rFonts w:hint="eastAsia" w:ascii="仿宋" w:hAnsi="仿宋" w:eastAsia="仿宋" w:cs="仿宋"/>
          <w:color w:val="auto"/>
          <w:spacing w:val="-2"/>
          <w:sz w:val="24"/>
          <w:szCs w:val="24"/>
          <w:highlight w:val="none"/>
          <w:lang w:eastAsia="zh-CN"/>
        </w:rPr>
        <w:t>。</w:t>
      </w:r>
    </w:p>
    <w:p w14:paraId="2D3637E5">
      <w:pPr>
        <w:keepNext w:val="0"/>
        <w:keepLines w:val="0"/>
        <w:pageBreakBefore w:val="0"/>
        <w:widowControl w:val="0"/>
        <w:numPr>
          <w:ilvl w:val="0"/>
          <w:numId w:val="35"/>
        </w:numPr>
        <w:kinsoku/>
        <w:wordWrap/>
        <w:overflowPunct/>
        <w:topLinePunct w:val="0"/>
        <w:autoSpaceDE/>
        <w:autoSpaceDN/>
        <w:bidi w:val="0"/>
        <w:adjustRightInd/>
        <w:snapToGrid/>
        <w:spacing w:line="420" w:lineRule="exact"/>
        <w:ind w:left="0" w:leftChars="0" w:right="0" w:firstLine="472" w:firstLineChars="200"/>
        <w:jc w:val="both"/>
        <w:textAlignment w:val="auto"/>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中标</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应在接到工作通知后</w:t>
      </w:r>
      <w:r>
        <w:rPr>
          <w:rFonts w:hint="eastAsia" w:ascii="仿宋" w:hAnsi="仿宋" w:eastAsia="仿宋" w:cs="仿宋"/>
          <w:color w:val="auto"/>
          <w:spacing w:val="-2"/>
          <w:sz w:val="24"/>
          <w:szCs w:val="24"/>
          <w:highlight w:val="none"/>
          <w:lang w:val="en-US" w:eastAsia="zh-CN"/>
        </w:rPr>
        <w:t>3</w:t>
      </w:r>
      <w:r>
        <w:rPr>
          <w:rFonts w:hint="eastAsia" w:ascii="仿宋" w:hAnsi="仿宋" w:eastAsia="仿宋" w:cs="仿宋"/>
          <w:color w:val="auto"/>
          <w:spacing w:val="-2"/>
          <w:sz w:val="24"/>
          <w:szCs w:val="24"/>
          <w:highlight w:val="none"/>
        </w:rPr>
        <w:t>个工作日内，</w:t>
      </w:r>
      <w:r>
        <w:rPr>
          <w:rFonts w:hint="eastAsia" w:ascii="仿宋" w:hAnsi="仿宋" w:eastAsia="仿宋" w:cs="仿宋"/>
          <w:color w:val="auto"/>
          <w:spacing w:val="-3"/>
          <w:sz w:val="24"/>
          <w:szCs w:val="24"/>
          <w:highlight w:val="none"/>
        </w:rPr>
        <w:t>将产品免费送达采购</w:t>
      </w:r>
      <w:r>
        <w:rPr>
          <w:rFonts w:hint="eastAsia" w:ascii="仿宋" w:hAnsi="仿宋" w:eastAsia="仿宋" w:cs="仿宋"/>
          <w:color w:val="auto"/>
          <w:spacing w:val="-3"/>
          <w:sz w:val="24"/>
          <w:szCs w:val="24"/>
          <w:highlight w:val="none"/>
          <w:lang w:val="en-US" w:eastAsia="zh-CN"/>
        </w:rPr>
        <w:t>人</w:t>
      </w:r>
      <w:r>
        <w:rPr>
          <w:rFonts w:hint="eastAsia" w:ascii="仿宋" w:hAnsi="仿宋" w:eastAsia="仿宋" w:cs="仿宋"/>
          <w:color w:val="auto"/>
          <w:spacing w:val="-3"/>
          <w:sz w:val="24"/>
          <w:szCs w:val="24"/>
          <w:highlight w:val="none"/>
        </w:rPr>
        <w:t>指定地点</w:t>
      </w:r>
      <w:r>
        <w:rPr>
          <w:rFonts w:hint="eastAsia" w:ascii="仿宋" w:hAnsi="仿宋" w:eastAsia="仿宋" w:cs="仿宋"/>
          <w:color w:val="auto"/>
          <w:spacing w:val="-1"/>
          <w:sz w:val="24"/>
          <w:szCs w:val="24"/>
          <w:highlight w:val="none"/>
        </w:rPr>
        <w:t>（除不可抗力因素外</w:t>
      </w:r>
      <w:r>
        <w:rPr>
          <w:rFonts w:hint="eastAsia" w:ascii="仿宋" w:hAnsi="仿宋" w:eastAsia="仿宋" w:cs="仿宋"/>
          <w:color w:val="auto"/>
          <w:spacing w:val="13"/>
          <w:sz w:val="24"/>
          <w:szCs w:val="24"/>
          <w:highlight w:val="none"/>
        </w:rPr>
        <w:t>），</w:t>
      </w:r>
      <w:r>
        <w:rPr>
          <w:rFonts w:hint="eastAsia" w:ascii="仿宋" w:hAnsi="仿宋" w:eastAsia="仿宋" w:cs="仿宋"/>
          <w:color w:val="auto"/>
          <w:spacing w:val="-1"/>
          <w:sz w:val="24"/>
          <w:szCs w:val="24"/>
          <w:highlight w:val="none"/>
        </w:rPr>
        <w:t>如需使用培训的，中</w:t>
      </w:r>
      <w:r>
        <w:rPr>
          <w:rFonts w:hint="eastAsia" w:ascii="仿宋" w:hAnsi="仿宋" w:eastAsia="仿宋" w:cs="仿宋"/>
          <w:color w:val="auto"/>
          <w:spacing w:val="-2"/>
          <w:sz w:val="24"/>
          <w:szCs w:val="24"/>
          <w:highlight w:val="none"/>
        </w:rPr>
        <w:t>标</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无偿提供服务。如中标</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逾期未提供样品或未按要求提供培训服务，造成延迟交货，每逾期</w:t>
      </w:r>
      <w:r>
        <w:rPr>
          <w:rFonts w:hint="eastAsia" w:ascii="仿宋" w:hAnsi="仿宋" w:eastAsia="仿宋" w:cs="仿宋"/>
          <w:color w:val="auto"/>
          <w:spacing w:val="-2"/>
          <w:sz w:val="24"/>
          <w:szCs w:val="24"/>
          <w:highlight w:val="none"/>
          <w:lang w:val="en-US" w:eastAsia="zh-CN"/>
        </w:rPr>
        <w:t>1</w:t>
      </w:r>
      <w:r>
        <w:rPr>
          <w:rFonts w:hint="eastAsia" w:ascii="仿宋" w:hAnsi="仿宋" w:eastAsia="仿宋" w:cs="仿宋"/>
          <w:color w:val="auto"/>
          <w:spacing w:val="-2"/>
          <w:sz w:val="24"/>
          <w:szCs w:val="24"/>
          <w:highlight w:val="none"/>
        </w:rPr>
        <w:t>天，采购</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有权扣除中标</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逾期交货部分货物货款的</w:t>
      </w:r>
      <w:r>
        <w:rPr>
          <w:rFonts w:hint="eastAsia" w:ascii="仿宋" w:hAnsi="仿宋" w:eastAsia="仿宋" w:cs="仿宋"/>
          <w:color w:val="auto"/>
          <w:spacing w:val="-2"/>
          <w:sz w:val="24"/>
          <w:szCs w:val="24"/>
          <w:highlight w:val="none"/>
          <w:lang w:val="en-US" w:eastAsia="zh-CN"/>
        </w:rPr>
        <w:t>1</w:t>
      </w:r>
      <w:r>
        <w:rPr>
          <w:rFonts w:hint="eastAsia" w:ascii="仿宋" w:hAnsi="仿宋" w:eastAsia="仿宋" w:cs="仿宋"/>
          <w:color w:val="auto"/>
          <w:spacing w:val="-2"/>
          <w:sz w:val="24"/>
          <w:szCs w:val="24"/>
          <w:highlight w:val="none"/>
        </w:rPr>
        <w:t>%作为滞纳金；如中标</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逾期交货超过</w:t>
      </w:r>
      <w:r>
        <w:rPr>
          <w:rFonts w:hint="eastAsia" w:ascii="仿宋" w:hAnsi="仿宋" w:eastAsia="仿宋" w:cs="仿宋"/>
          <w:color w:val="auto"/>
          <w:spacing w:val="-2"/>
          <w:sz w:val="24"/>
          <w:szCs w:val="24"/>
          <w:highlight w:val="none"/>
          <w:lang w:val="en-US" w:eastAsia="zh-CN"/>
        </w:rPr>
        <w:t>5</w:t>
      </w:r>
      <w:r>
        <w:rPr>
          <w:rFonts w:hint="eastAsia" w:ascii="仿宋" w:hAnsi="仿宋" w:eastAsia="仿宋" w:cs="仿宋"/>
          <w:color w:val="auto"/>
          <w:spacing w:val="-2"/>
          <w:sz w:val="24"/>
          <w:szCs w:val="24"/>
          <w:highlight w:val="none"/>
        </w:rPr>
        <w:t>天，采购</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有权解除合同并扣除履约保证金，解除合同的通知自到达中标</w:t>
      </w:r>
      <w:r>
        <w:rPr>
          <w:rFonts w:hint="eastAsia" w:ascii="仿宋" w:hAnsi="仿宋" w:eastAsia="仿宋" w:cs="仿宋"/>
          <w:color w:val="auto"/>
          <w:spacing w:val="-2"/>
          <w:sz w:val="24"/>
          <w:szCs w:val="24"/>
          <w:highlight w:val="none"/>
          <w:lang w:val="en-US" w:eastAsia="zh-CN"/>
        </w:rPr>
        <w:t>人</w:t>
      </w:r>
      <w:r>
        <w:rPr>
          <w:rFonts w:hint="eastAsia" w:ascii="仿宋" w:hAnsi="仿宋" w:eastAsia="仿宋" w:cs="仿宋"/>
          <w:color w:val="auto"/>
          <w:spacing w:val="-2"/>
          <w:sz w:val="24"/>
          <w:szCs w:val="24"/>
          <w:highlight w:val="none"/>
        </w:rPr>
        <w:t>时生效。</w:t>
      </w:r>
    </w:p>
    <w:p w14:paraId="492F84F9">
      <w:pPr>
        <w:keepNext w:val="0"/>
        <w:keepLines w:val="0"/>
        <w:pageBreakBefore w:val="0"/>
        <w:widowControl w:val="0"/>
        <w:numPr>
          <w:ilvl w:val="0"/>
          <w:numId w:val="35"/>
        </w:numPr>
        <w:kinsoku/>
        <w:wordWrap/>
        <w:overflowPunct/>
        <w:topLinePunct w:val="0"/>
        <w:autoSpaceDE/>
        <w:autoSpaceDN/>
        <w:bidi w:val="0"/>
        <w:adjustRightInd/>
        <w:snapToGrid/>
        <w:spacing w:line="420" w:lineRule="exact"/>
        <w:ind w:left="0" w:leftChars="0" w:right="0" w:firstLine="472" w:firstLineChars="200"/>
        <w:jc w:val="both"/>
        <w:textAlignment w:val="auto"/>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lang w:val="en-US" w:eastAsia="zh-CN"/>
        </w:rPr>
        <w:t>采购人中标后有权要求中标人提供招标文件要求的相关检测报告、证书等原件核查，如中标人不能提供或提供虚假资料，采购人有权取消中标结果，并上报监管部门列入不良行为记录名单。若造成采购人损失的，则有权要求该中标人赔偿损失。</w:t>
      </w:r>
    </w:p>
    <w:p w14:paraId="7277665E">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right="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履约保证金及付款方式</w:t>
      </w:r>
    </w:p>
    <w:p w14:paraId="4FDCC949">
      <w:pPr>
        <w:keepNext w:val="0"/>
        <w:keepLines w:val="0"/>
        <w:pageBreakBefore w:val="0"/>
        <w:widowControl/>
        <w:numPr>
          <w:ilvl w:val="0"/>
          <w:numId w:val="36"/>
        </w:numPr>
        <w:suppressLineNumbers w:val="0"/>
        <w:kinsoku/>
        <w:wordWrap/>
        <w:overflowPunct/>
        <w:topLinePunct w:val="0"/>
        <w:autoSpaceDE/>
        <w:autoSpaceDN/>
        <w:bidi w:val="0"/>
        <w:adjustRightInd/>
        <w:snapToGrid/>
        <w:spacing w:line="420" w:lineRule="exact"/>
        <w:ind w:left="0" w:leftChars="0" w:firstLine="482"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履约保证金：</w:t>
      </w:r>
      <w:r>
        <w:rPr>
          <w:rFonts w:hint="eastAsia" w:ascii="仿宋" w:hAnsi="仿宋" w:eastAsia="仿宋" w:cs="仿宋"/>
          <w:b w:val="0"/>
          <w:bCs w:val="0"/>
          <w:color w:val="auto"/>
          <w:sz w:val="24"/>
          <w:szCs w:val="24"/>
          <w:highlight w:val="none"/>
          <w:lang w:val="en-US" w:eastAsia="zh-CN"/>
        </w:rPr>
        <w:t>合同签订前，各标项中标人须向采购人缴纳合同金额5%的履约保证金，合同期满3个月后无息退还。</w:t>
      </w:r>
    </w:p>
    <w:p w14:paraId="027FDEFF">
      <w:pPr>
        <w:keepNext w:val="0"/>
        <w:keepLines w:val="0"/>
        <w:pageBreakBefore w:val="0"/>
        <w:widowControl/>
        <w:numPr>
          <w:ilvl w:val="0"/>
          <w:numId w:val="36"/>
        </w:numPr>
        <w:suppressLineNumbers w:val="0"/>
        <w:kinsoku/>
        <w:wordWrap/>
        <w:overflowPunct/>
        <w:topLinePunct w:val="0"/>
        <w:autoSpaceDE/>
        <w:autoSpaceDN/>
        <w:bidi w:val="0"/>
        <w:adjustRightInd/>
        <w:snapToGrid/>
        <w:spacing w:line="420" w:lineRule="exact"/>
        <w:ind w:left="0" w:leftChars="0" w:firstLine="482"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付款方式：</w:t>
      </w:r>
      <w:r>
        <w:rPr>
          <w:rFonts w:hint="eastAsia" w:ascii="仿宋" w:hAnsi="仿宋" w:eastAsia="仿宋" w:cs="仿宋"/>
          <w:b w:val="0"/>
          <w:bCs w:val="0"/>
          <w:color w:val="auto"/>
          <w:sz w:val="24"/>
          <w:szCs w:val="24"/>
          <w:highlight w:val="none"/>
          <w:lang w:val="en-US" w:eastAsia="zh-CN"/>
        </w:rPr>
        <w:t>费用按月结算，先做后付，产品质量验收合格后，货款按批次在次月初结算。</w:t>
      </w:r>
    </w:p>
    <w:p w14:paraId="78E2695B">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right="0" w:firstLine="482" w:firstLineChars="200"/>
        <w:jc w:val="left"/>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最高限价</w:t>
      </w:r>
    </w:p>
    <w:p w14:paraId="11AC1B9C">
      <w:pPr>
        <w:keepNext w:val="0"/>
        <w:keepLines w:val="0"/>
        <w:pageBreakBefore w:val="0"/>
        <w:widowControl/>
        <w:kinsoku/>
        <w:wordWrap/>
        <w:overflowPunct/>
        <w:topLinePunct w:val="0"/>
        <w:autoSpaceDE/>
        <w:autoSpaceDN/>
        <w:bidi w:val="0"/>
        <w:adjustRightInd/>
        <w:snapToGrid w:val="0"/>
        <w:spacing w:line="420" w:lineRule="exact"/>
        <w:ind w:leftChars="0" w:firstLine="482" w:firstLineChars="200"/>
        <w:textAlignment w:val="auto"/>
        <w:rPr>
          <w:rFonts w:hint="eastAsia" w:ascii="仿宋" w:hAnsi="仿宋" w:eastAsia="仿宋" w:cs="仿宋"/>
          <w:b/>
          <w:bCs w:val="0"/>
          <w:color w:val="auto"/>
          <w:sz w:val="24"/>
          <w:szCs w:val="24"/>
          <w:highlight w:val="none"/>
          <w:lang w:val="zh-CN"/>
        </w:rPr>
      </w:pPr>
      <w:r>
        <w:rPr>
          <w:rFonts w:hint="eastAsia" w:ascii="仿宋" w:hAnsi="仿宋" w:eastAsia="仿宋" w:cs="仿宋"/>
          <w:b/>
          <w:bCs w:val="0"/>
          <w:color w:val="auto"/>
          <w:sz w:val="24"/>
          <w:szCs w:val="24"/>
          <w:highlight w:val="none"/>
          <w:lang w:val="zh-CN" w:eastAsia="zh-CN"/>
        </w:rPr>
        <w:t>本项目按单价招标，以统一单价折扣报价，具体数量按实结算。</w:t>
      </w:r>
      <w:r>
        <w:rPr>
          <w:rFonts w:hint="eastAsia" w:ascii="仿宋" w:hAnsi="仿宋" w:eastAsia="仿宋" w:cs="宋体"/>
          <w:b/>
          <w:bCs w:val="0"/>
          <w:color w:val="auto"/>
          <w:sz w:val="24"/>
          <w:highlight w:val="none"/>
          <w:lang w:val="en-US" w:eastAsia="zh-CN"/>
        </w:rPr>
        <w:t>最高</w:t>
      </w:r>
      <w:r>
        <w:rPr>
          <w:rFonts w:hint="eastAsia" w:ascii="仿宋" w:hAnsi="仿宋" w:eastAsia="仿宋" w:cs="宋体"/>
          <w:b/>
          <w:bCs w:val="0"/>
          <w:color w:val="auto"/>
          <w:sz w:val="24"/>
          <w:szCs w:val="24"/>
          <w:highlight w:val="none"/>
        </w:rPr>
        <w:t>单价</w:t>
      </w:r>
      <w:r>
        <w:rPr>
          <w:rFonts w:hint="eastAsia" w:ascii="仿宋" w:hAnsi="仿宋" w:eastAsia="仿宋" w:cs="宋体"/>
          <w:b/>
          <w:bCs w:val="0"/>
          <w:color w:val="auto"/>
          <w:sz w:val="24"/>
          <w:szCs w:val="24"/>
          <w:highlight w:val="none"/>
          <w:lang w:val="en-US" w:eastAsia="zh-CN"/>
        </w:rPr>
        <w:t>限价</w:t>
      </w:r>
      <w:r>
        <w:rPr>
          <w:rFonts w:hint="eastAsia" w:ascii="仿宋" w:hAnsi="仿宋" w:eastAsia="仿宋" w:cs="宋体"/>
          <w:b/>
          <w:bCs w:val="0"/>
          <w:color w:val="auto"/>
          <w:sz w:val="24"/>
          <w:szCs w:val="24"/>
          <w:highlight w:val="none"/>
        </w:rPr>
        <w:t>详见</w:t>
      </w:r>
      <w:r>
        <w:rPr>
          <w:rFonts w:hint="eastAsia" w:ascii="仿宋" w:hAnsi="仿宋" w:eastAsia="仿宋" w:cs="宋体"/>
          <w:b/>
          <w:bCs w:val="0"/>
          <w:color w:val="auto"/>
          <w:sz w:val="24"/>
          <w:szCs w:val="24"/>
          <w:highlight w:val="none"/>
          <w:lang w:val="en-US" w:eastAsia="zh-CN"/>
        </w:rPr>
        <w:t>采购各标项采购清单，任</w:t>
      </w:r>
      <w:r>
        <w:rPr>
          <w:rFonts w:hint="eastAsia" w:ascii="仿宋" w:hAnsi="仿宋" w:eastAsia="仿宋" w:cs="仿宋"/>
          <w:b/>
          <w:bCs w:val="0"/>
          <w:color w:val="auto"/>
          <w:sz w:val="24"/>
          <w:szCs w:val="24"/>
          <w:highlight w:val="none"/>
          <w:lang w:val="zh-CN"/>
        </w:rPr>
        <w:t>何超过最高</w:t>
      </w:r>
      <w:r>
        <w:rPr>
          <w:rFonts w:hint="eastAsia" w:ascii="仿宋" w:hAnsi="仿宋" w:eastAsia="仿宋" w:cs="仿宋"/>
          <w:b/>
          <w:bCs w:val="0"/>
          <w:color w:val="auto"/>
          <w:sz w:val="24"/>
          <w:szCs w:val="24"/>
          <w:highlight w:val="none"/>
          <w:lang w:val="en-US" w:eastAsia="zh-CN"/>
        </w:rPr>
        <w:t>单价</w:t>
      </w:r>
      <w:r>
        <w:rPr>
          <w:rFonts w:hint="eastAsia" w:ascii="仿宋" w:hAnsi="仿宋" w:eastAsia="仿宋" w:cs="仿宋"/>
          <w:b/>
          <w:bCs w:val="0"/>
          <w:color w:val="auto"/>
          <w:sz w:val="24"/>
          <w:szCs w:val="24"/>
          <w:highlight w:val="none"/>
          <w:lang w:val="zh-CN"/>
        </w:rPr>
        <w:t>限价的报价将被认定为无效报价。</w:t>
      </w:r>
    </w:p>
    <w:p w14:paraId="598647BB">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right="0" w:righ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一最高合同金额为人民币</w:t>
      </w:r>
      <w:r>
        <w:rPr>
          <w:rFonts w:hint="eastAsia" w:ascii="仿宋" w:hAnsi="仿宋" w:eastAsia="仿宋" w:cs="仿宋"/>
          <w:b w:val="0"/>
          <w:bCs w:val="0"/>
          <w:color w:val="auto"/>
          <w:sz w:val="24"/>
          <w:szCs w:val="24"/>
          <w:highlight w:val="none"/>
          <w:lang w:val="en-US" w:eastAsia="zh-CN"/>
        </w:rPr>
        <w:t>壹佰伍拾捌万柒仟零捌拾陆</w:t>
      </w:r>
      <w:r>
        <w:rPr>
          <w:rFonts w:hint="default" w:ascii="仿宋" w:hAnsi="仿宋" w:eastAsia="仿宋" w:cs="仿宋"/>
          <w:b w:val="0"/>
          <w:bCs w:val="0"/>
          <w:color w:val="auto"/>
          <w:sz w:val="24"/>
          <w:szCs w:val="24"/>
          <w:highlight w:val="none"/>
          <w:lang w:val="en-US" w:eastAsia="zh-CN"/>
        </w:rPr>
        <w:t>元整</w:t>
      </w: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en-US" w:eastAsia="zh-CN"/>
        </w:rPr>
        <w:t>587086</w:t>
      </w:r>
      <w:r>
        <w:rPr>
          <w:rFonts w:hint="default" w:ascii="仿宋" w:hAnsi="仿宋" w:eastAsia="仿宋" w:cs="仿宋"/>
          <w:b w:val="0"/>
          <w:bCs w:val="0"/>
          <w:color w:val="auto"/>
          <w:sz w:val="24"/>
          <w:szCs w:val="24"/>
          <w:highlight w:val="none"/>
          <w:lang w:val="en-US" w:eastAsia="zh-CN"/>
        </w:rPr>
        <w:t>.00）</w:t>
      </w:r>
      <w:r>
        <w:rPr>
          <w:rFonts w:hint="eastAsia" w:ascii="仿宋" w:hAnsi="仿宋" w:eastAsia="仿宋" w:cs="仿宋"/>
          <w:b w:val="0"/>
          <w:bCs w:val="0"/>
          <w:color w:val="auto"/>
          <w:sz w:val="24"/>
          <w:szCs w:val="24"/>
          <w:highlight w:val="none"/>
          <w:lang w:val="en-US" w:eastAsia="zh-CN"/>
        </w:rPr>
        <w:t>；</w:t>
      </w:r>
    </w:p>
    <w:p w14:paraId="259B19BC">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right="0" w:righ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二最高合同金额为人民币</w:t>
      </w:r>
      <w:r>
        <w:rPr>
          <w:rFonts w:hint="eastAsia" w:ascii="仿宋" w:hAnsi="仿宋" w:eastAsia="仿宋" w:cs="仿宋"/>
          <w:b w:val="0"/>
          <w:bCs w:val="0"/>
          <w:color w:val="auto"/>
          <w:sz w:val="24"/>
          <w:szCs w:val="24"/>
          <w:highlight w:val="none"/>
          <w:lang w:val="en-US" w:eastAsia="zh-CN"/>
        </w:rPr>
        <w:t>壹佰柒拾叁万壹仟陆佰</w:t>
      </w:r>
      <w:r>
        <w:rPr>
          <w:rFonts w:hint="default" w:ascii="仿宋" w:hAnsi="仿宋" w:eastAsia="仿宋" w:cs="仿宋"/>
          <w:b w:val="0"/>
          <w:bCs w:val="0"/>
          <w:color w:val="auto"/>
          <w:sz w:val="24"/>
          <w:szCs w:val="24"/>
          <w:highlight w:val="none"/>
          <w:lang w:val="en-US" w:eastAsia="zh-CN"/>
        </w:rPr>
        <w:t>元整</w:t>
      </w: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1731600</w:t>
      </w:r>
      <w:r>
        <w:rPr>
          <w:rFonts w:hint="default" w:ascii="仿宋" w:hAnsi="仿宋" w:eastAsia="仿宋" w:cs="仿宋"/>
          <w:b w:val="0"/>
          <w:bCs w:val="0"/>
          <w:color w:val="auto"/>
          <w:sz w:val="24"/>
          <w:szCs w:val="24"/>
          <w:highlight w:val="none"/>
          <w:lang w:val="en-US" w:eastAsia="zh-CN"/>
        </w:rPr>
        <w:t>.00）</w:t>
      </w:r>
      <w:r>
        <w:rPr>
          <w:rFonts w:hint="eastAsia" w:ascii="仿宋" w:hAnsi="仿宋" w:eastAsia="仿宋" w:cs="仿宋"/>
          <w:b w:val="0"/>
          <w:bCs w:val="0"/>
          <w:color w:val="auto"/>
          <w:sz w:val="24"/>
          <w:szCs w:val="24"/>
          <w:highlight w:val="none"/>
          <w:lang w:val="en-US" w:eastAsia="zh-CN"/>
        </w:rPr>
        <w:t>；</w:t>
      </w:r>
    </w:p>
    <w:p w14:paraId="6A10BB85">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right="0" w:righ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标的三最高合同金额为人民币</w:t>
      </w:r>
      <w:r>
        <w:rPr>
          <w:rFonts w:hint="eastAsia" w:ascii="仿宋" w:hAnsi="仿宋" w:eastAsia="仿宋" w:cs="仿宋"/>
          <w:b w:val="0"/>
          <w:bCs w:val="0"/>
          <w:color w:val="auto"/>
          <w:sz w:val="24"/>
          <w:szCs w:val="24"/>
          <w:highlight w:val="none"/>
          <w:lang w:val="en-US" w:eastAsia="zh-CN"/>
        </w:rPr>
        <w:t>陆拾壹万伍仟</w:t>
      </w:r>
      <w:r>
        <w:rPr>
          <w:rFonts w:hint="default" w:ascii="仿宋" w:hAnsi="仿宋" w:eastAsia="仿宋" w:cs="仿宋"/>
          <w:b w:val="0"/>
          <w:bCs w:val="0"/>
          <w:color w:val="auto"/>
          <w:sz w:val="24"/>
          <w:szCs w:val="24"/>
          <w:highlight w:val="none"/>
          <w:lang w:val="en-US" w:eastAsia="zh-CN"/>
        </w:rPr>
        <w:t>元整</w:t>
      </w: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615000</w:t>
      </w:r>
      <w:r>
        <w:rPr>
          <w:rFonts w:hint="default" w:ascii="仿宋" w:hAnsi="仿宋" w:eastAsia="仿宋" w:cs="仿宋"/>
          <w:b w:val="0"/>
          <w:bCs w:val="0"/>
          <w:color w:val="auto"/>
          <w:sz w:val="24"/>
          <w:szCs w:val="24"/>
          <w:highlight w:val="none"/>
          <w:lang w:val="en-US" w:eastAsia="zh-CN"/>
        </w:rPr>
        <w:t>.00）</w:t>
      </w:r>
      <w:r>
        <w:rPr>
          <w:rFonts w:hint="eastAsia" w:ascii="仿宋" w:hAnsi="仿宋" w:eastAsia="仿宋" w:cs="仿宋"/>
          <w:b w:val="0"/>
          <w:bCs w:val="0"/>
          <w:color w:val="auto"/>
          <w:sz w:val="24"/>
          <w:szCs w:val="24"/>
          <w:highlight w:val="none"/>
          <w:lang w:val="en-US" w:eastAsia="zh-CN"/>
        </w:rPr>
        <w:t>；</w:t>
      </w:r>
    </w:p>
    <w:p w14:paraId="61340F35">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right="0" w:rightChars="0"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四最高合同金额为人民币</w:t>
      </w:r>
      <w:r>
        <w:rPr>
          <w:rFonts w:hint="eastAsia" w:ascii="仿宋" w:hAnsi="仿宋" w:eastAsia="仿宋" w:cs="仿宋"/>
          <w:b w:val="0"/>
          <w:bCs w:val="0"/>
          <w:color w:val="auto"/>
          <w:sz w:val="24"/>
          <w:szCs w:val="24"/>
          <w:highlight w:val="none"/>
          <w:lang w:val="en-US" w:eastAsia="zh-CN"/>
        </w:rPr>
        <w:t>壹佰零肆万叁仟伍佰</w:t>
      </w:r>
      <w:r>
        <w:rPr>
          <w:rFonts w:hint="default" w:ascii="仿宋" w:hAnsi="仿宋" w:eastAsia="仿宋" w:cs="仿宋"/>
          <w:b w:val="0"/>
          <w:bCs w:val="0"/>
          <w:color w:val="auto"/>
          <w:sz w:val="24"/>
          <w:szCs w:val="24"/>
          <w:highlight w:val="none"/>
          <w:lang w:val="en-US" w:eastAsia="zh-CN"/>
        </w:rPr>
        <w:t>元整</w:t>
      </w: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1043500</w:t>
      </w:r>
      <w:r>
        <w:rPr>
          <w:rFonts w:hint="default" w:ascii="仿宋" w:hAnsi="仿宋" w:eastAsia="仿宋" w:cs="仿宋"/>
          <w:b w:val="0"/>
          <w:bCs w:val="0"/>
          <w:color w:val="auto"/>
          <w:sz w:val="24"/>
          <w:szCs w:val="24"/>
          <w:highlight w:val="none"/>
          <w:lang w:val="en-US" w:eastAsia="zh-CN"/>
        </w:rPr>
        <w:t>.00）</w:t>
      </w:r>
      <w:r>
        <w:rPr>
          <w:rFonts w:hint="eastAsia" w:ascii="仿宋" w:hAnsi="仿宋" w:eastAsia="仿宋" w:cs="仿宋"/>
          <w:b w:val="0"/>
          <w:bCs w:val="0"/>
          <w:color w:val="auto"/>
          <w:sz w:val="24"/>
          <w:szCs w:val="24"/>
          <w:highlight w:val="none"/>
          <w:lang w:val="en-US" w:eastAsia="zh-CN"/>
        </w:rPr>
        <w:t>；</w:t>
      </w:r>
    </w:p>
    <w:p w14:paraId="6F8333E8">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right="0" w:righ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五最高合同金额为人民币</w:t>
      </w:r>
      <w:r>
        <w:rPr>
          <w:rFonts w:hint="eastAsia" w:ascii="仿宋" w:hAnsi="仿宋" w:eastAsia="仿宋" w:cs="仿宋"/>
          <w:b w:val="0"/>
          <w:bCs w:val="0"/>
          <w:color w:val="auto"/>
          <w:sz w:val="24"/>
          <w:szCs w:val="24"/>
          <w:highlight w:val="none"/>
          <w:lang w:val="en-US" w:eastAsia="zh-CN"/>
        </w:rPr>
        <w:t>肆拾肆万肆仟壹佰肆拾伍</w:t>
      </w:r>
      <w:r>
        <w:rPr>
          <w:rFonts w:hint="default" w:ascii="仿宋" w:hAnsi="仿宋" w:eastAsia="仿宋" w:cs="仿宋"/>
          <w:b w:val="0"/>
          <w:bCs w:val="0"/>
          <w:color w:val="auto"/>
          <w:sz w:val="24"/>
          <w:szCs w:val="24"/>
          <w:highlight w:val="none"/>
          <w:lang w:val="en-US" w:eastAsia="zh-CN"/>
        </w:rPr>
        <w:t>元整</w:t>
      </w:r>
      <w:r>
        <w:rPr>
          <w:rFonts w:hint="eastAsia" w:ascii="仿宋" w:hAnsi="仿宋" w:eastAsia="仿宋" w:cs="仿宋"/>
          <w:b w:val="0"/>
          <w:bCs w:val="0"/>
          <w:color w:val="auto"/>
          <w:sz w:val="24"/>
          <w:szCs w:val="24"/>
          <w:highlight w:val="none"/>
          <w:lang w:val="en-US" w:eastAsia="zh-CN"/>
        </w:rPr>
        <w:t>（</w:t>
      </w:r>
      <w:r>
        <w:rPr>
          <w:rFonts w:hint="default"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444145</w:t>
      </w:r>
      <w:r>
        <w:rPr>
          <w:rFonts w:hint="default" w:ascii="仿宋" w:hAnsi="仿宋" w:eastAsia="仿宋" w:cs="仿宋"/>
          <w:b w:val="0"/>
          <w:bCs w:val="0"/>
          <w:color w:val="auto"/>
          <w:sz w:val="24"/>
          <w:szCs w:val="24"/>
          <w:highlight w:val="none"/>
          <w:lang w:val="en-US" w:eastAsia="zh-CN"/>
        </w:rPr>
        <w:t>.00）。</w:t>
      </w:r>
    </w:p>
    <w:p w14:paraId="52A5A9D4">
      <w:pPr>
        <w:keepNext w:val="0"/>
        <w:keepLines w:val="0"/>
        <w:pageBreakBefore w:val="0"/>
        <w:widowControl/>
        <w:numPr>
          <w:ilvl w:val="0"/>
          <w:numId w:val="13"/>
        </w:numPr>
        <w:suppressLineNumbers w:val="0"/>
        <w:kinsoku/>
        <w:wordWrap/>
        <w:overflowPunct/>
        <w:topLinePunct w:val="0"/>
        <w:autoSpaceDE/>
        <w:autoSpaceDN/>
        <w:bidi w:val="0"/>
        <w:adjustRightInd/>
        <w:snapToGrid/>
        <w:spacing w:line="420" w:lineRule="exact"/>
        <w:ind w:left="0" w:leftChars="0" w:right="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特别说明</w:t>
      </w:r>
    </w:p>
    <w:p w14:paraId="58FA4F63">
      <w:pPr>
        <w:keepNext w:val="0"/>
        <w:keepLines w:val="0"/>
        <w:pageBreakBefore w:val="0"/>
        <w:widowControl/>
        <w:kinsoku/>
        <w:wordWrap/>
        <w:overflowPunct/>
        <w:topLinePunct w:val="0"/>
        <w:autoSpaceDE/>
        <w:autoSpaceDN/>
        <w:bidi w:val="0"/>
        <w:adjustRightInd/>
        <w:snapToGrid w:val="0"/>
        <w:spacing w:line="420" w:lineRule="exact"/>
        <w:ind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zh-CN" w:eastAsia="zh-CN"/>
        </w:rPr>
        <w:t>特别说明本采购需求中标注“★”项为实质性要求条款，必须作出实质性响应。若其中任意一条打“★”的条款不满足（或出现“负偏离”）则投标无效。供应商须在投标文件中提供相关证明材料复印件或作出相关承诺（承诺函格式自拟），未提供相关证明材料复印件或相关承诺（或承诺内容不符）均作无效投标处理。</w:t>
      </w:r>
    </w:p>
    <w:p w14:paraId="07AEC2C9">
      <w:pPr>
        <w:keepNext w:val="0"/>
        <w:keepLines w:val="0"/>
        <w:pageBreakBefore w:val="0"/>
        <w:widowControl/>
        <w:kinsoku/>
        <w:wordWrap/>
        <w:overflowPunct/>
        <w:topLinePunct w:val="0"/>
        <w:autoSpaceDE/>
        <w:autoSpaceDN/>
        <w:bidi w:val="0"/>
        <w:adjustRightInd/>
        <w:snapToGrid w:val="0"/>
        <w:spacing w:line="420" w:lineRule="exact"/>
        <w:ind w:leftChars="0" w:firstLine="480" w:firstLineChars="200"/>
        <w:textAlignment w:val="auto"/>
        <w:rPr>
          <w:rFonts w:hint="eastAsia" w:ascii="仿宋" w:hAnsi="仿宋" w:eastAsia="仿宋" w:cs="仿宋"/>
          <w:b w:val="0"/>
          <w:bCs/>
          <w:color w:val="auto"/>
          <w:sz w:val="24"/>
          <w:szCs w:val="24"/>
          <w:highlight w:val="none"/>
          <w:lang w:val="en-US" w:eastAsia="zh-CN"/>
        </w:rPr>
      </w:pPr>
    </w:p>
    <w:p w14:paraId="1EF21F9F">
      <w:pPr>
        <w:pStyle w:val="2"/>
        <w:keepNext/>
        <w:keepLines/>
        <w:pageBreakBefore w:val="0"/>
        <w:widowControl w:val="0"/>
        <w:kinsoku/>
        <w:wordWrap/>
        <w:overflowPunct/>
        <w:topLinePunct w:val="0"/>
        <w:autoSpaceDE w:val="0"/>
        <w:autoSpaceDN w:val="0"/>
        <w:bidi w:val="0"/>
        <w:adjustRightInd w:val="0"/>
        <w:snapToGrid/>
        <w:spacing w:before="220" w:after="220" w:line="360" w:lineRule="auto"/>
        <w:jc w:val="center"/>
        <w:textAlignment w:val="auto"/>
        <w:rPr>
          <w:rFonts w:hint="eastAsia" w:ascii="华文中宋" w:hAnsi="华文中宋" w:eastAsia="华文中宋"/>
          <w:color w:val="auto"/>
          <w:sz w:val="36"/>
          <w:szCs w:val="36"/>
          <w:highlight w:val="none"/>
          <w:lang w:val="en-US" w:eastAsia="zh-CN"/>
        </w:rPr>
        <w:sectPr>
          <w:pgSz w:w="11905" w:h="16838"/>
          <w:pgMar w:top="1440" w:right="1083" w:bottom="1440" w:left="1083" w:header="850" w:footer="964" w:gutter="0"/>
          <w:pgBorders>
            <w:top w:val="none" w:sz="0" w:space="0"/>
            <w:left w:val="none" w:sz="0" w:space="0"/>
            <w:bottom w:val="none" w:sz="0" w:space="0"/>
            <w:right w:val="none" w:sz="0" w:space="0"/>
          </w:pgBorders>
          <w:pgNumType w:fmt="decimal"/>
          <w:cols w:space="0" w:num="1"/>
          <w:titlePg/>
          <w:rtlGutter w:val="0"/>
          <w:docGrid w:type="lines" w:linePitch="315" w:charSpace="0"/>
        </w:sectPr>
      </w:pPr>
    </w:p>
    <w:p w14:paraId="0250AC3D">
      <w:pPr>
        <w:pStyle w:val="2"/>
        <w:keepNext/>
        <w:keepLines/>
        <w:pageBreakBefore w:val="0"/>
        <w:widowControl w:val="0"/>
        <w:kinsoku/>
        <w:wordWrap/>
        <w:overflowPunct/>
        <w:topLinePunct w:val="0"/>
        <w:autoSpaceDE w:val="0"/>
        <w:autoSpaceDN w:val="0"/>
        <w:bidi w:val="0"/>
        <w:adjustRightInd w:val="0"/>
        <w:snapToGrid/>
        <w:spacing w:before="220" w:after="220" w:line="360" w:lineRule="auto"/>
        <w:jc w:val="center"/>
        <w:textAlignment w:val="auto"/>
        <w:rPr>
          <w:rFonts w:hint="eastAsia" w:ascii="华文中宋" w:hAnsi="华文中宋" w:eastAsia="华文中宋"/>
          <w:color w:val="auto"/>
          <w:sz w:val="36"/>
          <w:szCs w:val="36"/>
          <w:highlight w:val="none"/>
          <w:lang w:val="en-US" w:eastAsia="zh-CN"/>
        </w:rPr>
      </w:pPr>
      <w:r>
        <w:rPr>
          <w:rFonts w:hint="eastAsia" w:ascii="华文中宋" w:hAnsi="华文中宋" w:eastAsia="华文中宋"/>
          <w:color w:val="auto"/>
          <w:sz w:val="36"/>
          <w:szCs w:val="36"/>
          <w:highlight w:val="none"/>
          <w:lang w:val="en-US" w:eastAsia="zh-CN"/>
        </w:rPr>
        <w:t>第五章  采购项目采购合同</w:t>
      </w:r>
    </w:p>
    <w:p w14:paraId="47F534BD">
      <w:pPr>
        <w:keepNext w:val="0"/>
        <w:keepLines w:val="0"/>
        <w:pageBreakBefore w:val="0"/>
        <w:widowControl w:val="0"/>
        <w:kinsoku/>
        <w:wordWrap/>
        <w:overflowPunct/>
        <w:topLinePunct w:val="0"/>
        <w:autoSpaceDE w:val="0"/>
        <w:autoSpaceDN w:val="0"/>
        <w:bidi w:val="0"/>
        <w:adjustRightInd w:val="0"/>
        <w:snapToGrid/>
        <w:spacing w:line="360" w:lineRule="exact"/>
        <w:ind w:left="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甲方（采购单位）：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签订日期：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2CB8D96F">
      <w:pPr>
        <w:keepNext w:val="0"/>
        <w:keepLines w:val="0"/>
        <w:pageBreakBefore w:val="0"/>
        <w:widowControl w:val="0"/>
        <w:kinsoku/>
        <w:wordWrap/>
        <w:overflowPunct/>
        <w:topLinePunct w:val="0"/>
        <w:autoSpaceDE w:val="0"/>
        <w:autoSpaceDN w:val="0"/>
        <w:bidi w:val="0"/>
        <w:adjustRightInd w:val="0"/>
        <w:snapToGrid/>
        <w:spacing w:line="360" w:lineRule="exact"/>
        <w:ind w:left="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乙方（供货单位）：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签订地点：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14:paraId="56CE368A">
      <w:pPr>
        <w:keepNext w:val="0"/>
        <w:keepLines w:val="0"/>
        <w:pageBreakBefore w:val="0"/>
        <w:widowControl w:val="0"/>
        <w:kinsoku/>
        <w:wordWrap/>
        <w:overflowPunct/>
        <w:topLinePunct w:val="0"/>
        <w:autoSpaceDE w:val="0"/>
        <w:autoSpaceDN w:val="0"/>
        <w:bidi w:val="0"/>
        <w:adjustRightInd w:val="0"/>
        <w:snapToGrid/>
        <w:spacing w:line="42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根据《中华人民共和国</w:t>
      </w:r>
      <w:r>
        <w:rPr>
          <w:rFonts w:hint="eastAsia" w:ascii="仿宋" w:hAnsi="仿宋" w:eastAsia="仿宋" w:cs="仿宋"/>
          <w:color w:val="auto"/>
          <w:highlight w:val="none"/>
          <w:lang w:val="en-US" w:eastAsia="zh-CN"/>
        </w:rPr>
        <w:t>民法典</w:t>
      </w:r>
      <w:r>
        <w:rPr>
          <w:rFonts w:hint="eastAsia" w:ascii="仿宋" w:hAnsi="仿宋" w:eastAsia="仿宋" w:cs="仿宋"/>
          <w:color w:val="auto"/>
          <w:highlight w:val="none"/>
        </w:rPr>
        <w:t>》《中华人民共和国政府采购法》等有关规定，以及</w:t>
      </w:r>
      <w:r>
        <w:rPr>
          <w:rFonts w:hint="eastAsia" w:ascii="仿宋" w:hAnsi="仿宋" w:eastAsia="仿宋" w:cs="仿宋"/>
          <w:color w:val="auto"/>
          <w:highlight w:val="none"/>
          <w:lang w:val="en-US" w:eastAsia="zh-CN"/>
        </w:rPr>
        <w:t>诸暨宸佳工程管理有限公司</w:t>
      </w:r>
      <w:r>
        <w:rPr>
          <w:rFonts w:hint="eastAsia" w:ascii="仿宋" w:hAnsi="仿宋" w:eastAsia="仿宋" w:cs="仿宋"/>
          <w:color w:val="auto"/>
          <w:highlight w:val="none"/>
        </w:rPr>
        <w:t>（编号：</w:t>
      </w:r>
      <w:r>
        <w:rPr>
          <w:rFonts w:hint="eastAsia" w:ascii="仿宋" w:hAnsi="仿宋" w:eastAsia="仿宋" w:cs="仿宋"/>
          <w:color w:val="auto"/>
          <w:highlight w:val="none"/>
          <w:lang w:val="en-US" w:eastAsia="zh-CN"/>
        </w:rPr>
        <w:t>诸宸佳</w:t>
      </w:r>
      <w:r>
        <w:rPr>
          <w:rFonts w:hint="eastAsia" w:ascii="仿宋" w:hAnsi="仿宋" w:eastAsia="仿宋" w:cs="仿宋"/>
          <w:color w:val="auto"/>
          <w:highlight w:val="none"/>
        </w:rPr>
        <w:t>20</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号）</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相关要求，经法定程序采购，双方同意签订以下合同条款，以便双方共同遵守、履行合同。</w:t>
      </w:r>
    </w:p>
    <w:p w14:paraId="78D75539">
      <w:pPr>
        <w:keepNext w:val="0"/>
        <w:keepLines w:val="0"/>
        <w:pageBreakBefore w:val="0"/>
        <w:widowControl w:val="0"/>
        <w:kinsoku/>
        <w:wordWrap/>
        <w:overflowPunct/>
        <w:topLinePunct w:val="0"/>
        <w:autoSpaceDE w:val="0"/>
        <w:autoSpaceDN w:val="0"/>
        <w:bidi w:val="0"/>
        <w:adjustRightInd w:val="0"/>
        <w:snapToGrid/>
        <w:spacing w:line="36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一、</w:t>
      </w:r>
      <w:r>
        <w:rPr>
          <w:rFonts w:hint="eastAsia" w:ascii="仿宋" w:hAnsi="仿宋" w:eastAsia="仿宋" w:cs="仿宋"/>
          <w:b/>
          <w:color w:val="auto"/>
          <w:highlight w:val="none"/>
          <w:lang w:val="en-US" w:eastAsia="zh-CN"/>
        </w:rPr>
        <w:t>合同标的物</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073"/>
        <w:gridCol w:w="3942"/>
        <w:gridCol w:w="1313"/>
        <w:gridCol w:w="1313"/>
      </w:tblGrid>
      <w:tr w14:paraId="7A7A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95" w:type="dxa"/>
            <w:vMerge w:val="restart"/>
            <w:noWrap w:val="0"/>
            <w:vAlign w:val="center"/>
          </w:tcPr>
          <w:p w14:paraId="1EC78FAA">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标项</w:t>
            </w:r>
          </w:p>
        </w:tc>
        <w:tc>
          <w:tcPr>
            <w:tcW w:w="2073" w:type="dxa"/>
            <w:vMerge w:val="restart"/>
            <w:noWrap w:val="0"/>
            <w:vAlign w:val="center"/>
          </w:tcPr>
          <w:p w14:paraId="04D9070D">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标项内容</w:t>
            </w:r>
          </w:p>
        </w:tc>
        <w:tc>
          <w:tcPr>
            <w:tcW w:w="3942" w:type="dxa"/>
            <w:vMerge w:val="restart"/>
            <w:noWrap w:val="0"/>
            <w:vAlign w:val="center"/>
          </w:tcPr>
          <w:p w14:paraId="404BA33A">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服务期限</w:t>
            </w:r>
          </w:p>
        </w:tc>
        <w:tc>
          <w:tcPr>
            <w:tcW w:w="2626" w:type="dxa"/>
            <w:gridSpan w:val="2"/>
            <w:noWrap w:val="0"/>
            <w:vAlign w:val="center"/>
          </w:tcPr>
          <w:p w14:paraId="513D12BF">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中标折扣（%）</w:t>
            </w:r>
          </w:p>
        </w:tc>
      </w:tr>
      <w:tr w14:paraId="4D70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5" w:type="dxa"/>
            <w:vMerge w:val="continue"/>
            <w:noWrap w:val="0"/>
            <w:vAlign w:val="center"/>
          </w:tcPr>
          <w:p w14:paraId="79379F6D">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color w:val="auto"/>
                <w:highlight w:val="none"/>
              </w:rPr>
            </w:pPr>
          </w:p>
        </w:tc>
        <w:tc>
          <w:tcPr>
            <w:tcW w:w="2073" w:type="dxa"/>
            <w:vMerge w:val="continue"/>
            <w:noWrap w:val="0"/>
            <w:vAlign w:val="center"/>
          </w:tcPr>
          <w:p w14:paraId="3F3F1993">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color w:val="auto"/>
                <w:highlight w:val="none"/>
              </w:rPr>
            </w:pPr>
          </w:p>
        </w:tc>
        <w:tc>
          <w:tcPr>
            <w:tcW w:w="3942" w:type="dxa"/>
            <w:vMerge w:val="continue"/>
            <w:noWrap w:val="0"/>
            <w:vAlign w:val="center"/>
          </w:tcPr>
          <w:p w14:paraId="39AB2A98">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color w:val="auto"/>
                <w:highlight w:val="none"/>
              </w:rPr>
            </w:pPr>
          </w:p>
        </w:tc>
        <w:tc>
          <w:tcPr>
            <w:tcW w:w="1313" w:type="dxa"/>
            <w:noWrap w:val="0"/>
            <w:vAlign w:val="center"/>
          </w:tcPr>
          <w:p w14:paraId="089BD6BA">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大写</w:t>
            </w:r>
          </w:p>
        </w:tc>
        <w:tc>
          <w:tcPr>
            <w:tcW w:w="1313" w:type="dxa"/>
            <w:noWrap w:val="0"/>
            <w:vAlign w:val="center"/>
          </w:tcPr>
          <w:p w14:paraId="14032C20">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小写</w:t>
            </w:r>
          </w:p>
        </w:tc>
      </w:tr>
      <w:tr w14:paraId="76ED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995" w:type="dxa"/>
            <w:noWrap w:val="0"/>
            <w:vAlign w:val="center"/>
          </w:tcPr>
          <w:p w14:paraId="6F8A9CE4">
            <w:pPr>
              <w:pStyle w:val="20"/>
              <w:keepNext w:val="0"/>
              <w:keepLines w:val="0"/>
              <w:pageBreakBefore w:val="0"/>
              <w:widowControl w:val="0"/>
              <w:kinsoku/>
              <w:wordWrap/>
              <w:overflowPunct/>
              <w:topLinePunct w:val="0"/>
              <w:autoSpaceDE/>
              <w:autoSpaceDN/>
              <w:bidi w:val="0"/>
              <w:adjustRightInd w:val="0"/>
              <w:snapToGrid/>
              <w:spacing w:after="0" w:line="360" w:lineRule="exact"/>
              <w:jc w:val="center"/>
              <w:textAlignment w:val="auto"/>
              <w:rPr>
                <w:rFonts w:hint="eastAsia" w:ascii="仿宋" w:hAnsi="仿宋" w:eastAsia="仿宋" w:cs="仿宋"/>
                <w:color w:val="auto"/>
                <w:sz w:val="18"/>
                <w:szCs w:val="18"/>
                <w:highlight w:val="none"/>
              </w:rPr>
            </w:pPr>
          </w:p>
        </w:tc>
        <w:tc>
          <w:tcPr>
            <w:tcW w:w="2073" w:type="dxa"/>
            <w:noWrap w:val="0"/>
            <w:vAlign w:val="center"/>
          </w:tcPr>
          <w:p w14:paraId="7DE28160">
            <w:pPr>
              <w:pStyle w:val="20"/>
              <w:keepNext w:val="0"/>
              <w:keepLines w:val="0"/>
              <w:pageBreakBefore w:val="0"/>
              <w:widowControl w:val="0"/>
              <w:kinsoku/>
              <w:wordWrap/>
              <w:overflowPunct/>
              <w:topLinePunct w:val="0"/>
              <w:autoSpaceDE/>
              <w:autoSpaceDN/>
              <w:bidi w:val="0"/>
              <w:adjustRightInd w:val="0"/>
              <w:snapToGrid/>
              <w:spacing w:after="0" w:line="360" w:lineRule="exact"/>
              <w:jc w:val="center"/>
              <w:textAlignment w:val="auto"/>
              <w:rPr>
                <w:rFonts w:hint="eastAsia" w:ascii="仿宋" w:hAnsi="仿宋" w:eastAsia="仿宋" w:cs="仿宋"/>
                <w:color w:val="auto"/>
                <w:sz w:val="18"/>
                <w:szCs w:val="18"/>
                <w:highlight w:val="none"/>
              </w:rPr>
            </w:pPr>
          </w:p>
        </w:tc>
        <w:tc>
          <w:tcPr>
            <w:tcW w:w="3942" w:type="dxa"/>
            <w:noWrap w:val="0"/>
            <w:vAlign w:val="top"/>
          </w:tcPr>
          <w:p w14:paraId="4565A6BD">
            <w:pPr>
              <w:keepNext w:val="0"/>
              <w:keepLines w:val="0"/>
              <w:pageBreakBefore w:val="0"/>
              <w:widowControl w:val="0"/>
              <w:kinsoku/>
              <w:wordWrap/>
              <w:overflowPunct/>
              <w:topLinePunct w:val="0"/>
              <w:autoSpaceDE w:val="0"/>
              <w:autoSpaceDN w:val="0"/>
              <w:bidi w:val="0"/>
              <w:adjustRightInd w:val="0"/>
              <w:snapToGrid/>
              <w:spacing w:line="360" w:lineRule="exact"/>
              <w:ind w:left="0"/>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合同签订后一年或本</w:t>
            </w:r>
            <w:r>
              <w:rPr>
                <w:rFonts w:hint="eastAsia" w:ascii="仿宋" w:hAnsi="仿宋" w:eastAsia="仿宋" w:cs="仿宋"/>
                <w:color w:val="auto"/>
                <w:highlight w:val="none"/>
                <w:lang w:val="en-US" w:eastAsia="zh-CN"/>
              </w:rPr>
              <w:t>标项合同</w:t>
            </w:r>
            <w:r>
              <w:rPr>
                <w:rFonts w:hint="eastAsia" w:ascii="仿宋" w:hAnsi="仿宋" w:eastAsia="仿宋" w:cs="仿宋"/>
                <w:color w:val="auto"/>
                <w:highlight w:val="none"/>
              </w:rPr>
              <w:t>金额满止，以先到为准。（若供货期满一年但未达到</w:t>
            </w:r>
            <w:r>
              <w:rPr>
                <w:rFonts w:hint="eastAsia" w:ascii="仿宋" w:hAnsi="仿宋" w:eastAsia="仿宋" w:cs="仿宋"/>
                <w:color w:val="auto"/>
                <w:highlight w:val="none"/>
                <w:lang w:val="en-US" w:eastAsia="zh-CN"/>
              </w:rPr>
              <w:t>合同</w:t>
            </w:r>
            <w:r>
              <w:rPr>
                <w:rFonts w:hint="eastAsia" w:ascii="仿宋" w:hAnsi="仿宋" w:eastAsia="仿宋" w:cs="仿宋"/>
                <w:color w:val="auto"/>
                <w:highlight w:val="none"/>
              </w:rPr>
              <w:t>金额，则按照实际金额结算）</w:t>
            </w:r>
          </w:p>
        </w:tc>
        <w:tc>
          <w:tcPr>
            <w:tcW w:w="1313" w:type="dxa"/>
            <w:noWrap w:val="0"/>
            <w:vAlign w:val="top"/>
          </w:tcPr>
          <w:p w14:paraId="49FA386C">
            <w:pPr>
              <w:keepNext w:val="0"/>
              <w:keepLines w:val="0"/>
              <w:pageBreakBefore w:val="0"/>
              <w:widowControl w:val="0"/>
              <w:kinsoku/>
              <w:wordWrap/>
              <w:overflowPunct/>
              <w:topLinePunct w:val="0"/>
              <w:autoSpaceDE w:val="0"/>
              <w:autoSpaceDN w:val="0"/>
              <w:bidi w:val="0"/>
              <w:adjustRightInd w:val="0"/>
              <w:snapToGrid/>
              <w:spacing w:line="360" w:lineRule="exact"/>
              <w:ind w:left="0"/>
              <w:textAlignment w:val="auto"/>
              <w:rPr>
                <w:rFonts w:hint="eastAsia" w:ascii="仿宋" w:hAnsi="仿宋" w:eastAsia="仿宋" w:cs="仿宋"/>
                <w:color w:val="auto"/>
                <w:highlight w:val="none"/>
              </w:rPr>
            </w:pPr>
          </w:p>
        </w:tc>
        <w:tc>
          <w:tcPr>
            <w:tcW w:w="1313" w:type="dxa"/>
            <w:noWrap w:val="0"/>
            <w:vAlign w:val="top"/>
          </w:tcPr>
          <w:p w14:paraId="0E0ED5A7">
            <w:pPr>
              <w:keepNext w:val="0"/>
              <w:keepLines w:val="0"/>
              <w:pageBreakBefore w:val="0"/>
              <w:widowControl w:val="0"/>
              <w:kinsoku/>
              <w:wordWrap/>
              <w:overflowPunct/>
              <w:topLinePunct w:val="0"/>
              <w:autoSpaceDE w:val="0"/>
              <w:autoSpaceDN w:val="0"/>
              <w:bidi w:val="0"/>
              <w:adjustRightInd w:val="0"/>
              <w:snapToGrid/>
              <w:spacing w:line="360" w:lineRule="exact"/>
              <w:ind w:left="0"/>
              <w:textAlignment w:val="auto"/>
              <w:rPr>
                <w:rFonts w:hint="eastAsia" w:ascii="仿宋" w:hAnsi="仿宋" w:eastAsia="仿宋" w:cs="仿宋"/>
                <w:color w:val="auto"/>
                <w:highlight w:val="none"/>
              </w:rPr>
            </w:pPr>
          </w:p>
        </w:tc>
      </w:tr>
    </w:tbl>
    <w:p w14:paraId="383C6F5F">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w:t>
      </w:r>
      <w:r>
        <w:rPr>
          <w:rFonts w:hint="eastAsia" w:ascii="仿宋" w:hAnsi="仿宋" w:eastAsia="仿宋" w:cs="仿宋"/>
          <w:b/>
          <w:color w:val="auto"/>
          <w:highlight w:val="none"/>
          <w:lang w:val="en-US" w:eastAsia="zh-CN"/>
        </w:rPr>
        <w:t>具体标的物详见附件采购清单</w:t>
      </w:r>
      <w:r>
        <w:rPr>
          <w:rFonts w:hint="eastAsia" w:ascii="仿宋" w:hAnsi="仿宋" w:eastAsia="仿宋" w:cs="仿宋"/>
          <w:b/>
          <w:color w:val="auto"/>
          <w:highlight w:val="none"/>
          <w:lang w:eastAsia="zh-CN"/>
        </w:rPr>
        <w:t>）</w:t>
      </w:r>
    </w:p>
    <w:p w14:paraId="6E40EC7D">
      <w:pPr>
        <w:keepNext w:val="0"/>
        <w:keepLines w:val="0"/>
        <w:pageBreakBefore w:val="0"/>
        <w:widowControl w:val="0"/>
        <w:numPr>
          <w:ilvl w:val="0"/>
          <w:numId w:val="37"/>
        </w:numPr>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合同总价</w:t>
      </w:r>
    </w:p>
    <w:p w14:paraId="0715C656">
      <w:pPr>
        <w:keepNext w:val="0"/>
        <w:keepLines w:val="0"/>
        <w:pageBreakBefore w:val="0"/>
        <w:widowControl w:val="0"/>
        <w:numPr>
          <w:ilvl w:val="0"/>
          <w:numId w:val="0"/>
        </w:numPr>
        <w:kinsoku/>
        <w:wordWrap/>
        <w:overflowPunct/>
        <w:topLinePunct w:val="0"/>
        <w:autoSpaceDE w:val="0"/>
        <w:autoSpaceDN w:val="0"/>
        <w:bidi w:val="0"/>
        <w:adjustRightInd w:val="0"/>
        <w:snapToGrid/>
        <w:spacing w:line="340" w:lineRule="exact"/>
        <w:ind w:leftChars="200"/>
        <w:textAlignment w:val="auto"/>
        <w:rPr>
          <w:rFonts w:hint="default" w:ascii="仿宋" w:hAnsi="仿宋" w:eastAsia="仿宋" w:cs="仿宋"/>
          <w:b w:val="0"/>
          <w:bCs/>
          <w:color w:val="auto"/>
          <w:highlight w:val="none"/>
          <w:u w:val="single"/>
          <w:lang w:val="en-US" w:eastAsia="zh-CN"/>
        </w:rPr>
      </w:pPr>
      <w:r>
        <w:rPr>
          <w:rFonts w:hint="eastAsia" w:ascii="仿宋" w:hAnsi="仿宋" w:eastAsia="仿宋" w:cs="仿宋"/>
          <w:b w:val="0"/>
          <w:bCs/>
          <w:color w:val="auto"/>
          <w:highlight w:val="none"/>
          <w:lang w:val="en-US" w:eastAsia="zh-CN"/>
        </w:rPr>
        <w:t>本合同总价为</w:t>
      </w:r>
      <w:r>
        <w:rPr>
          <w:rFonts w:hint="eastAsia" w:ascii="仿宋" w:hAnsi="仿宋" w:eastAsia="仿宋" w:cs="仿宋"/>
          <w:b w:val="0"/>
          <w:bCs/>
          <w:color w:val="auto"/>
          <w:highlight w:val="none"/>
          <w:u w:val="single"/>
          <w:lang w:val="en-US" w:eastAsia="zh-CN"/>
        </w:rPr>
        <w:t xml:space="preserve">         </w:t>
      </w:r>
      <w:r>
        <w:rPr>
          <w:rFonts w:hint="eastAsia" w:ascii="仿宋" w:hAnsi="仿宋" w:eastAsia="仿宋" w:cs="仿宋"/>
          <w:b w:val="0"/>
          <w:bCs/>
          <w:color w:val="auto"/>
          <w:highlight w:val="none"/>
          <w:u w:val="none"/>
          <w:lang w:val="en-US" w:eastAsia="zh-CN"/>
        </w:rPr>
        <w:t>元人民币，大写</w:t>
      </w:r>
      <w:r>
        <w:rPr>
          <w:rFonts w:hint="eastAsia" w:ascii="仿宋" w:hAnsi="仿宋" w:eastAsia="仿宋" w:cs="仿宋"/>
          <w:b w:val="0"/>
          <w:bCs/>
          <w:color w:val="auto"/>
          <w:highlight w:val="none"/>
          <w:u w:val="single"/>
          <w:lang w:val="en-US" w:eastAsia="zh-CN"/>
        </w:rPr>
        <w:t xml:space="preserve">        </w:t>
      </w:r>
    </w:p>
    <w:p w14:paraId="40C3767D">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b/>
          <w:color w:val="auto"/>
          <w:highlight w:val="none"/>
        </w:rPr>
        <w:t>三、</w:t>
      </w:r>
      <w:r>
        <w:rPr>
          <w:rFonts w:hint="eastAsia" w:ascii="仿宋" w:hAnsi="仿宋" w:eastAsia="仿宋" w:cs="仿宋"/>
          <w:b/>
          <w:color w:val="auto"/>
          <w:highlight w:val="none"/>
          <w:lang w:val="en-US" w:eastAsia="zh-CN"/>
        </w:rPr>
        <w:t>其他要求</w:t>
      </w:r>
    </w:p>
    <w:p w14:paraId="3CD613F5">
      <w:pPr>
        <w:keepNext w:val="0"/>
        <w:keepLines w:val="0"/>
        <w:pageBreakBefore w:val="0"/>
        <w:widowControl w:val="0"/>
        <w:numPr>
          <w:ilvl w:val="0"/>
          <w:numId w:val="38"/>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所供货物无特殊说明的质保期均为一年，有特殊说明的质保期按照列明期限，交付使用质保期内免费提供维修或改换。</w:t>
      </w:r>
    </w:p>
    <w:p w14:paraId="6059D6B7">
      <w:pPr>
        <w:keepNext w:val="0"/>
        <w:keepLines w:val="0"/>
        <w:pageBreakBefore w:val="0"/>
        <w:widowControl w:val="0"/>
        <w:numPr>
          <w:ilvl w:val="0"/>
          <w:numId w:val="38"/>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交货地点：甲方指定地点。</w:t>
      </w:r>
    </w:p>
    <w:p w14:paraId="2A85ECA4">
      <w:pPr>
        <w:keepNext w:val="0"/>
        <w:keepLines w:val="0"/>
        <w:pageBreakBefore w:val="0"/>
        <w:widowControl w:val="0"/>
        <w:numPr>
          <w:ilvl w:val="0"/>
          <w:numId w:val="38"/>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本次采购分批次供应，每批次按甲方通知要求时限内供货到指定地点，否则，由于乙方不及时供货对甲方造成损失的应赔偿损失，甲方有权终止合同。</w:t>
      </w:r>
    </w:p>
    <w:p w14:paraId="447E43E2">
      <w:pPr>
        <w:keepNext w:val="0"/>
        <w:keepLines w:val="0"/>
        <w:pageBreakBefore w:val="0"/>
        <w:widowControl w:val="0"/>
        <w:numPr>
          <w:ilvl w:val="0"/>
          <w:numId w:val="38"/>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乙方提供的产品必须是按投标时注明的产品，供货前须先送样品由甲方确认，如所供产品不能满足甲方规定参数要求的，作退货处理，或产品质量达不到要求的，甲方有权单方面终止合同，如对甲方已造成经济损失的，均由乙方赔偿。</w:t>
      </w:r>
    </w:p>
    <w:p w14:paraId="4CCAF5B4">
      <w:pPr>
        <w:keepNext w:val="0"/>
        <w:keepLines w:val="0"/>
        <w:pageBreakBefore w:val="0"/>
        <w:widowControl w:val="0"/>
        <w:numPr>
          <w:ilvl w:val="0"/>
          <w:numId w:val="38"/>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标一至标五所有产品到货后，甲方有权将产品送至第三方检测中心进行抽样检测（费用由乙方承担），若抽样产品达不到要求，乙方须无条件更换整批产品，如二次送检仍达不到要求，甲方有权单方面解除合同，保证金不予退还，且乙方承担由此产生的一切损失。</w:t>
      </w:r>
    </w:p>
    <w:p w14:paraId="23872BDC">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四、</w:t>
      </w:r>
      <w:r>
        <w:rPr>
          <w:rFonts w:hint="eastAsia" w:ascii="仿宋" w:hAnsi="仿宋" w:eastAsia="仿宋" w:cs="仿宋"/>
          <w:b/>
          <w:color w:val="auto"/>
          <w:highlight w:val="none"/>
          <w:lang w:val="en-US" w:eastAsia="zh-CN"/>
        </w:rPr>
        <w:t>项目</w:t>
      </w:r>
      <w:r>
        <w:rPr>
          <w:rFonts w:hint="eastAsia" w:ascii="仿宋" w:hAnsi="仿宋" w:eastAsia="仿宋" w:cs="仿宋"/>
          <w:b/>
          <w:color w:val="auto"/>
          <w:highlight w:val="none"/>
        </w:rPr>
        <w:t>验收</w:t>
      </w:r>
    </w:p>
    <w:p w14:paraId="371BC964">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项目</w:t>
      </w:r>
      <w:r>
        <w:rPr>
          <w:rFonts w:hint="eastAsia" w:ascii="仿宋" w:hAnsi="仿宋" w:eastAsia="仿宋" w:cs="仿宋"/>
          <w:color w:val="auto"/>
          <w:highlight w:val="none"/>
        </w:rPr>
        <w:t>由甲方单位组织验收，产品</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或服务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完成</w:t>
      </w:r>
      <w:r>
        <w:rPr>
          <w:rFonts w:hint="eastAsia" w:ascii="仿宋" w:hAnsi="仿宋" w:eastAsia="仿宋" w:cs="仿宋"/>
          <w:color w:val="auto"/>
          <w:highlight w:val="none"/>
        </w:rPr>
        <w:t>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天内验收完毕，</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天内提出质量异议。具体按照《诸暨市政府采购合同履约和验收管理暂行规定》执行。</w:t>
      </w:r>
    </w:p>
    <w:p w14:paraId="688945DD">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五、付款方式</w:t>
      </w:r>
    </w:p>
    <w:p w14:paraId="3CDBAA71">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费用按月结算，先做后付，产品质量验收合格后，货款按批次在次月初结算。</w:t>
      </w:r>
    </w:p>
    <w:p w14:paraId="214B3B1B">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六、履约保证金</w:t>
      </w:r>
    </w:p>
    <w:p w14:paraId="1E6F52AA">
      <w:pPr>
        <w:keepNext w:val="0"/>
        <w:keepLines w:val="0"/>
        <w:pageBreakBefore w:val="0"/>
        <w:widowControl w:val="0"/>
        <w:numPr>
          <w:ilvl w:val="0"/>
          <w:numId w:val="39"/>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合同签订前，乙方须向甲方缴纳合同金额5%的履约保证金，合同期满3个月后无息退还。</w:t>
      </w:r>
    </w:p>
    <w:p w14:paraId="39E5FBD7">
      <w:pPr>
        <w:keepNext w:val="0"/>
        <w:keepLines w:val="0"/>
        <w:pageBreakBefore w:val="0"/>
        <w:widowControl w:val="0"/>
        <w:numPr>
          <w:ilvl w:val="0"/>
          <w:numId w:val="39"/>
        </w:numPr>
        <w:kinsoku/>
        <w:wordWrap/>
        <w:overflowPunct/>
        <w:topLinePunct w:val="0"/>
        <w:autoSpaceDE w:val="0"/>
        <w:autoSpaceDN w:val="0"/>
        <w:bidi w:val="0"/>
        <w:adjustRightInd w:val="0"/>
        <w:snapToGrid/>
        <w:spacing w:line="340" w:lineRule="exact"/>
        <w:ind w:left="0" w:leftChars="0" w:firstLine="420" w:firstLineChars="200"/>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履约保证金用于补偿甲方因乙方不能履行其合同义务而蒙受的损失。</w:t>
      </w:r>
    </w:p>
    <w:p w14:paraId="102B2150">
      <w:pPr>
        <w:keepNext w:val="0"/>
        <w:keepLines w:val="0"/>
        <w:pageBreakBefore w:val="0"/>
        <w:widowControl w:val="0"/>
        <w:numPr>
          <w:ilvl w:val="0"/>
          <w:numId w:val="39"/>
        </w:numPr>
        <w:kinsoku/>
        <w:wordWrap/>
        <w:overflowPunct/>
        <w:topLinePunct w:val="0"/>
        <w:autoSpaceDE w:val="0"/>
        <w:autoSpaceDN w:val="0"/>
        <w:bidi w:val="0"/>
        <w:adjustRightInd w:val="0"/>
        <w:snapToGrid/>
        <w:spacing w:line="340" w:lineRule="exact"/>
        <w:ind w:left="0" w:leftChars="0" w:firstLine="420" w:firstLineChars="200"/>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履约保证金有效期限：合同签订之日起至合同期满结束。</w:t>
      </w:r>
    </w:p>
    <w:p w14:paraId="75A6255B">
      <w:pPr>
        <w:keepNext w:val="0"/>
        <w:keepLines w:val="0"/>
        <w:pageBreakBefore w:val="0"/>
        <w:widowControl w:val="0"/>
        <w:numPr>
          <w:ilvl w:val="0"/>
          <w:numId w:val="39"/>
        </w:numPr>
        <w:kinsoku/>
        <w:wordWrap/>
        <w:overflowPunct/>
        <w:topLinePunct w:val="0"/>
        <w:autoSpaceDE w:val="0"/>
        <w:autoSpaceDN w:val="0"/>
        <w:bidi w:val="0"/>
        <w:adjustRightInd w:val="0"/>
        <w:snapToGrid/>
        <w:spacing w:line="340" w:lineRule="exact"/>
        <w:ind w:left="0" w:leftChars="0" w:firstLine="420" w:firstLineChars="200"/>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履约保证金退还：待合同期满无异议后3个月内，按合同约定扣除相关款项（如有）后无息退还。</w:t>
      </w:r>
    </w:p>
    <w:p w14:paraId="5C7A3BF8">
      <w:pPr>
        <w:keepNext w:val="0"/>
        <w:keepLines w:val="0"/>
        <w:pageBreakBefore w:val="0"/>
        <w:widowControl w:val="0"/>
        <w:tabs>
          <w:tab w:val="left" w:pos="7770"/>
        </w:tabs>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七、产品数量变更</w:t>
      </w:r>
    </w:p>
    <w:p w14:paraId="7B92FBEA">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合同履行过程中，甲方根据实际情况，需要增减与合同标的相同的产品</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或服务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，在不改变合同其他条款的前提下，可以与乙方协商签订补充合同，但所有补充合同的采购金额不得超过原合同采购金额的10%，增减产品</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或服务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的价格为相应中标产品</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或服务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的价格，且事先须向诸暨市建设集团有限公司招投标监管领导小组办公室审核备案。</w:t>
      </w:r>
    </w:p>
    <w:p w14:paraId="35EF0E82">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八、售后服务</w:t>
      </w:r>
    </w:p>
    <w:p w14:paraId="61C85809">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具体售后服务条款参照</w:t>
      </w:r>
      <w:r>
        <w:rPr>
          <w:rFonts w:hint="eastAsia" w:ascii="仿宋" w:hAnsi="仿宋" w:eastAsia="仿宋" w:cs="仿宋"/>
          <w:color w:val="auto"/>
          <w:highlight w:val="none"/>
          <w:lang w:val="en-US" w:eastAsia="zh-CN"/>
        </w:rPr>
        <w:t>招标</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及乙方</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rPr>
        <w:t>文件中的售后服务承诺。</w:t>
      </w:r>
    </w:p>
    <w:p w14:paraId="0E2837D0">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九、违约责任</w:t>
      </w:r>
    </w:p>
    <w:p w14:paraId="43D01761">
      <w:pPr>
        <w:keepNext w:val="0"/>
        <w:keepLines w:val="0"/>
        <w:pageBreakBefore w:val="0"/>
        <w:widowControl w:val="0"/>
        <w:numPr>
          <w:ilvl w:val="0"/>
          <w:numId w:val="40"/>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本项目不允许转包和分包，乙方若出现转包或分包的情形，一经发现甲方有权单方面解除合同，履约保证金不予退还。</w:t>
      </w:r>
    </w:p>
    <w:p w14:paraId="6424C631">
      <w:pPr>
        <w:keepNext w:val="0"/>
        <w:keepLines w:val="0"/>
        <w:pageBreakBefore w:val="0"/>
        <w:widowControl w:val="0"/>
        <w:numPr>
          <w:ilvl w:val="0"/>
          <w:numId w:val="40"/>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乙方在接到甲方供货通知后，要求2天内回复，未及时回复的即视为拒绝供货，甲方有权要求乙方支付合同价款的5%作为违约金赔偿；超过3天仍未回复的，甲方有权解除合同并扣除履约保证金，由此引起的法律责任均由乙方全部承担。</w:t>
      </w:r>
    </w:p>
    <w:p w14:paraId="3D734E71">
      <w:pPr>
        <w:keepNext w:val="0"/>
        <w:keepLines w:val="0"/>
        <w:pageBreakBefore w:val="0"/>
        <w:widowControl w:val="0"/>
        <w:numPr>
          <w:ilvl w:val="0"/>
          <w:numId w:val="40"/>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乙方应在接到工作通知后3个工作日内，将产品免费送达甲方指定地点（除不可抗力因素外），如需使用培训的，乙方无偿提供服务。如乙方逾期未提供样品或未按要求提供培训服务，造成延迟交货，每逾期1天，甲方有权扣除乙方逾期交货部分货物货款的1%作为滞纳金；如乙方逾期交货超过5天，甲方有权解除合同并扣除履约保证金，解除合同的通知自到达乙方时生效。</w:t>
      </w:r>
    </w:p>
    <w:p w14:paraId="37FAF68D">
      <w:pPr>
        <w:keepNext w:val="0"/>
        <w:keepLines w:val="0"/>
        <w:pageBreakBefore w:val="0"/>
        <w:widowControl w:val="0"/>
        <w:numPr>
          <w:ilvl w:val="0"/>
          <w:numId w:val="40"/>
        </w:numPr>
        <w:kinsoku/>
        <w:wordWrap/>
        <w:overflowPunct/>
        <w:topLinePunct w:val="0"/>
        <w:autoSpaceDE w:val="0"/>
        <w:autoSpaceDN w:val="0"/>
        <w:bidi w:val="0"/>
        <w:adjustRightInd w:val="0"/>
        <w:snapToGrid/>
        <w:spacing w:line="340" w:lineRule="exact"/>
        <w:ind w:left="0" w:leftChars="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中标后有权要求乙方提供招标文件要求的相关检测报告、证书等原件核查，如乙方不能提供或提供虚假资料，甲方有权取消中标结果，并上报监管部门列入不良行为记录名单。若造成甲方损失的，则有权要求该乙方赔偿损失。</w:t>
      </w:r>
    </w:p>
    <w:p w14:paraId="05AB4FC5">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color w:val="auto"/>
          <w:highlight w:val="none"/>
          <w:u w:val="single"/>
        </w:rPr>
      </w:pPr>
      <w:r>
        <w:rPr>
          <w:rFonts w:hint="eastAsia" w:ascii="仿宋" w:hAnsi="仿宋" w:eastAsia="仿宋" w:cs="仿宋"/>
          <w:b/>
          <w:color w:val="auto"/>
          <w:highlight w:val="none"/>
        </w:rPr>
        <w:t>十、其他约定事项</w:t>
      </w:r>
      <w:r>
        <w:rPr>
          <w:rFonts w:hint="eastAsia" w:ascii="仿宋" w:hAnsi="仿宋" w:eastAsia="仿宋" w:cs="仿宋"/>
          <w:b/>
          <w:color w:val="auto"/>
          <w:highlight w:val="none"/>
          <w:u w:val="none"/>
          <w:lang w:val="en-US" w:eastAsia="zh-CN"/>
        </w:rPr>
        <w:t xml:space="preserve">  </w:t>
      </w:r>
      <w:r>
        <w:rPr>
          <w:rFonts w:hint="eastAsia" w:ascii="仿宋" w:hAnsi="仿宋" w:eastAsia="仿宋" w:cs="仿宋"/>
          <w:color w:val="auto"/>
          <w:highlight w:val="none"/>
          <w:u w:val="single"/>
        </w:rPr>
        <w:t xml:space="preserve">                                                                    </w:t>
      </w:r>
    </w:p>
    <w:p w14:paraId="30F530EC">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十一、解决合同纠纷方式</w:t>
      </w:r>
    </w:p>
    <w:p w14:paraId="0F5A48A1">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其它未尽事宜或履行时发生争议，由双方本着诚实信用的原则协商解决，协商不成功可向</w:t>
      </w:r>
      <w:r>
        <w:rPr>
          <w:rFonts w:hint="eastAsia" w:ascii="仿宋" w:hAnsi="仿宋" w:eastAsia="仿宋" w:cs="仿宋"/>
          <w:color w:val="auto"/>
          <w:highlight w:val="none"/>
          <w:u w:val="single"/>
          <w:lang w:val="en-US" w:eastAsia="zh-CN"/>
        </w:rPr>
        <w:t>诸暨市</w:t>
      </w:r>
      <w:r>
        <w:rPr>
          <w:rFonts w:hint="eastAsia" w:ascii="仿宋" w:hAnsi="仿宋" w:eastAsia="仿宋" w:cs="仿宋"/>
          <w:color w:val="auto"/>
          <w:highlight w:val="none"/>
        </w:rPr>
        <w:t>人民法院起诉。</w:t>
      </w:r>
    </w:p>
    <w:p w14:paraId="5E267E61">
      <w:pPr>
        <w:keepNext w:val="0"/>
        <w:keepLines w:val="0"/>
        <w:pageBreakBefore w:val="0"/>
        <w:widowControl w:val="0"/>
        <w:kinsoku/>
        <w:wordWrap/>
        <w:overflowPunct/>
        <w:topLinePunct w:val="0"/>
        <w:autoSpaceDE w:val="0"/>
        <w:autoSpaceDN w:val="0"/>
        <w:bidi w:val="0"/>
        <w:adjustRightInd w:val="0"/>
        <w:snapToGrid/>
        <w:spacing w:line="3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十二、其它</w:t>
      </w:r>
    </w:p>
    <w:p w14:paraId="37314D21">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1、本项目的</w:t>
      </w:r>
      <w:r>
        <w:rPr>
          <w:rFonts w:hint="eastAsia" w:ascii="仿宋" w:hAnsi="仿宋" w:eastAsia="仿宋" w:cs="仿宋"/>
          <w:color w:val="auto"/>
          <w:highlight w:val="none"/>
          <w:lang w:val="en-US" w:eastAsia="zh-CN"/>
        </w:rPr>
        <w:t>招标文件、投标文件、中标通知书作为合同的附件，具有同等法律效力。</w:t>
      </w:r>
    </w:p>
    <w:p w14:paraId="253ADA77">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2、本合同自签订之日起生效。授权代表签署的应附法定代表人授权书。</w:t>
      </w:r>
    </w:p>
    <w:p w14:paraId="127AD39A">
      <w:pPr>
        <w:keepNext w:val="0"/>
        <w:keepLines w:val="0"/>
        <w:pageBreakBefore w:val="0"/>
        <w:widowControl w:val="0"/>
        <w:kinsoku/>
        <w:wordWrap/>
        <w:overflowPunct/>
        <w:topLinePunct w:val="0"/>
        <w:autoSpaceDE w:val="0"/>
        <w:autoSpaceDN w:val="0"/>
        <w:bidi w:val="0"/>
        <w:adjustRightInd w:val="0"/>
        <w:snapToGrid/>
        <w:spacing w:line="340" w:lineRule="exact"/>
        <w:ind w:left="0"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3、本合同一式陆份，甲乙双方各执贰份，代理机构壹份、采购人招标办各备案壹份。</w:t>
      </w:r>
    </w:p>
    <w:tbl>
      <w:tblPr>
        <w:tblStyle w:val="50"/>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9"/>
        <w:gridCol w:w="4650"/>
      </w:tblGrid>
      <w:tr w14:paraId="1B7E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589" w:type="dxa"/>
            <w:noWrap w:val="0"/>
            <w:vAlign w:val="center"/>
          </w:tcPr>
          <w:p w14:paraId="7F5DA60D">
            <w:pPr>
              <w:keepNext w:val="0"/>
              <w:keepLines w:val="0"/>
              <w:pageBreakBefore w:val="0"/>
              <w:widowControl w:val="0"/>
              <w:kinsoku/>
              <w:wordWrap/>
              <w:overflowPunct/>
              <w:topLinePunct w:val="0"/>
              <w:autoSpaceDE w:val="0"/>
              <w:autoSpaceDN w:val="0"/>
              <w:bidi w:val="0"/>
              <w:adjustRightInd w:val="0"/>
              <w:snapToGrid/>
              <w:spacing w:line="320" w:lineRule="exact"/>
              <w:ind w:left="0"/>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甲方</w:t>
            </w:r>
          </w:p>
        </w:tc>
        <w:tc>
          <w:tcPr>
            <w:tcW w:w="4650" w:type="dxa"/>
            <w:noWrap w:val="0"/>
            <w:vAlign w:val="center"/>
          </w:tcPr>
          <w:p w14:paraId="4CE80965">
            <w:pPr>
              <w:keepNext w:val="0"/>
              <w:keepLines w:val="0"/>
              <w:pageBreakBefore w:val="0"/>
              <w:widowControl w:val="0"/>
              <w:kinsoku/>
              <w:wordWrap/>
              <w:overflowPunct/>
              <w:topLinePunct w:val="0"/>
              <w:autoSpaceDE w:val="0"/>
              <w:autoSpaceDN w:val="0"/>
              <w:bidi w:val="0"/>
              <w:adjustRightInd w:val="0"/>
              <w:snapToGrid/>
              <w:spacing w:line="320" w:lineRule="exact"/>
              <w:ind w:left="0"/>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乙方</w:t>
            </w:r>
          </w:p>
        </w:tc>
      </w:tr>
      <w:tr w14:paraId="5B11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589" w:type="dxa"/>
            <w:noWrap w:val="0"/>
            <w:vAlign w:val="top"/>
          </w:tcPr>
          <w:p w14:paraId="394F23B1">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单位名称（盖章）</w:t>
            </w:r>
          </w:p>
          <w:p w14:paraId="6D77A4BF">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单位地址：</w:t>
            </w:r>
          </w:p>
          <w:p w14:paraId="3BA34EAF">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w:t>
            </w:r>
          </w:p>
          <w:p w14:paraId="2A298332">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w:t>
            </w:r>
          </w:p>
          <w:p w14:paraId="489F7F7C">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p>
          <w:p w14:paraId="640BF016">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传真号码：</w:t>
            </w:r>
          </w:p>
          <w:p w14:paraId="5849E399">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邮政编码：</w:t>
            </w:r>
          </w:p>
        </w:tc>
        <w:tc>
          <w:tcPr>
            <w:tcW w:w="4650" w:type="dxa"/>
            <w:noWrap w:val="0"/>
            <w:vAlign w:val="top"/>
          </w:tcPr>
          <w:p w14:paraId="72D16579">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单位名称（盖章）</w:t>
            </w:r>
          </w:p>
          <w:p w14:paraId="0FFDD827">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单位地址：</w:t>
            </w:r>
          </w:p>
          <w:p w14:paraId="62D5F4BA">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法定代表人：</w:t>
            </w:r>
          </w:p>
          <w:p w14:paraId="00DFA6D6">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委托代理人：</w:t>
            </w:r>
          </w:p>
          <w:p w14:paraId="5B753F5A">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p>
          <w:p w14:paraId="7FA5F11D">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传真号码：</w:t>
            </w:r>
          </w:p>
          <w:p w14:paraId="64397521">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邮政编码：</w:t>
            </w:r>
          </w:p>
          <w:p w14:paraId="7919A4B0">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开户银行：</w:t>
            </w:r>
          </w:p>
          <w:p w14:paraId="090CB751">
            <w:pPr>
              <w:keepNext w:val="0"/>
              <w:keepLines w:val="0"/>
              <w:pageBreakBefore w:val="0"/>
              <w:widowControl w:val="0"/>
              <w:kinsoku/>
              <w:wordWrap/>
              <w:overflowPunct/>
              <w:topLinePunct w:val="0"/>
              <w:autoSpaceDE w:val="0"/>
              <w:autoSpaceDN w:val="0"/>
              <w:bidi w:val="0"/>
              <w:adjustRightInd w:val="0"/>
              <w:snapToGrid/>
              <w:spacing w:line="320" w:lineRule="exact"/>
              <w:ind w:left="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账    号：</w:t>
            </w:r>
          </w:p>
        </w:tc>
      </w:tr>
    </w:tbl>
    <w:p w14:paraId="028B6411">
      <w:pPr>
        <w:spacing w:before="120" w:line="288" w:lineRule="auto"/>
        <w:rPr>
          <w:rFonts w:hint="eastAsia" w:ascii="仿宋" w:hAnsi="仿宋" w:eastAsia="仿宋" w:cs="仿宋"/>
          <w:color w:val="auto"/>
          <w:sz w:val="22"/>
          <w:szCs w:val="20"/>
          <w:highlight w:val="none"/>
        </w:rPr>
      </w:pPr>
      <w:r>
        <w:rPr>
          <w:rFonts w:hint="eastAsia" w:ascii="仿宋" w:hAnsi="仿宋" w:eastAsia="仿宋" w:cs="仿宋"/>
          <w:color w:val="auto"/>
          <w:sz w:val="22"/>
          <w:szCs w:val="20"/>
          <w:highlight w:val="none"/>
          <w:lang w:val="en-US" w:eastAsia="zh-CN"/>
        </w:rPr>
        <w:t>注：</w:t>
      </w:r>
      <w:r>
        <w:rPr>
          <w:rFonts w:hint="eastAsia" w:ascii="仿宋" w:hAnsi="仿宋" w:eastAsia="仿宋" w:cs="仿宋"/>
          <w:color w:val="auto"/>
          <w:sz w:val="22"/>
          <w:szCs w:val="20"/>
          <w:highlight w:val="none"/>
        </w:rPr>
        <w:t>该合同模板与招标文件中实质性内容不相符部分，以招标文件规定为准，在签订前相应调整。</w:t>
      </w:r>
    </w:p>
    <w:p w14:paraId="566D552F">
      <w:pPr>
        <w:spacing w:before="120" w:line="288" w:lineRule="auto"/>
        <w:rPr>
          <w:rFonts w:hint="eastAsia" w:ascii="仿宋" w:hAnsi="仿宋" w:eastAsia="仿宋" w:cs="仿宋"/>
          <w:color w:val="auto"/>
          <w:sz w:val="22"/>
          <w:szCs w:val="20"/>
          <w:highlight w:val="none"/>
        </w:rPr>
        <w:sectPr>
          <w:pgSz w:w="11905" w:h="16838"/>
          <w:pgMar w:top="1440" w:right="1083" w:bottom="1440" w:left="1083" w:header="850" w:footer="964" w:gutter="0"/>
          <w:pgBorders>
            <w:top w:val="none" w:sz="0" w:space="0"/>
            <w:left w:val="none" w:sz="0" w:space="0"/>
            <w:bottom w:val="none" w:sz="0" w:space="0"/>
            <w:right w:val="none" w:sz="0" w:space="0"/>
          </w:pgBorders>
          <w:pgNumType w:fmt="decimal"/>
          <w:cols w:space="0" w:num="1"/>
          <w:titlePg/>
          <w:rtlGutter w:val="0"/>
          <w:docGrid w:type="lines" w:linePitch="315" w:charSpace="0"/>
        </w:sectPr>
      </w:pPr>
    </w:p>
    <w:p w14:paraId="121C0B5F">
      <w:pPr>
        <w:keepNext w:val="0"/>
        <w:keepLines w:val="0"/>
        <w:pageBreakBefore w:val="0"/>
        <w:widowControl w:val="0"/>
        <w:kinsoku/>
        <w:wordWrap/>
        <w:overflowPunct/>
        <w:topLinePunct w:val="0"/>
        <w:autoSpaceDE w:val="0"/>
        <w:autoSpaceDN w:val="0"/>
        <w:bidi w:val="0"/>
        <w:adjustRightInd w:val="0"/>
        <w:snapToGrid/>
        <w:spacing w:before="220" w:after="220" w:line="360" w:lineRule="auto"/>
        <w:jc w:val="center"/>
        <w:textAlignment w:val="auto"/>
        <w:rPr>
          <w:rFonts w:ascii="华文中宋" w:hAnsi="华文中宋" w:eastAsia="华文中宋"/>
          <w:b/>
          <w:color w:val="auto"/>
          <w:sz w:val="36"/>
          <w:szCs w:val="36"/>
          <w:highlight w:val="none"/>
        </w:rPr>
      </w:pPr>
      <w:r>
        <w:rPr>
          <w:rFonts w:hint="eastAsia" w:ascii="华文中宋" w:hAnsi="华文中宋" w:eastAsia="华文中宋"/>
          <w:b/>
          <w:color w:val="auto"/>
          <w:sz w:val="36"/>
          <w:szCs w:val="36"/>
          <w:highlight w:val="none"/>
        </w:rPr>
        <w:t>第六章  应提交的有关格式范例</w:t>
      </w:r>
    </w:p>
    <w:p w14:paraId="59ED38C1">
      <w:pPr>
        <w:keepNext w:val="0"/>
        <w:keepLines w:val="0"/>
        <w:pageBreakBefore w:val="0"/>
        <w:widowControl/>
        <w:tabs>
          <w:tab w:val="left" w:pos="450"/>
          <w:tab w:val="left" w:pos="8280"/>
        </w:tabs>
        <w:kinsoku/>
        <w:wordWrap/>
        <w:overflowPunct/>
        <w:topLinePunct w:val="0"/>
        <w:autoSpaceDE w:val="0"/>
        <w:autoSpaceDN w:val="0"/>
        <w:bidi w:val="0"/>
        <w:adjustRightInd w:val="0"/>
        <w:snapToGrid/>
        <w:spacing w:beforeLines="100" w:after="946" w:afterLines="300" w:line="360" w:lineRule="auto"/>
        <w:ind w:firstLine="482"/>
        <w:jc w:val="center"/>
        <w:textAlignment w:val="auto"/>
        <w:rPr>
          <w:rFonts w:ascii="华文中宋" w:hAnsi="华文中宋" w:eastAsia="华文中宋"/>
          <w:b/>
          <w:color w:val="auto"/>
          <w:sz w:val="32"/>
          <w:szCs w:val="32"/>
          <w:highlight w:val="none"/>
        </w:rPr>
      </w:pPr>
      <w:r>
        <w:rPr>
          <w:rFonts w:ascii="华文中宋" w:hAnsi="华文中宋" w:eastAsia="华文中宋"/>
          <w:b/>
          <w:color w:val="auto"/>
          <w:sz w:val="32"/>
          <w:szCs w:val="32"/>
          <w:highlight w:val="none"/>
        </w:rPr>
        <w:t>（注：未提供格式部分由投标人自拟）</w:t>
      </w:r>
    </w:p>
    <w:p w14:paraId="12B05699">
      <w:pPr>
        <w:widowControl/>
        <w:tabs>
          <w:tab w:val="left" w:pos="450"/>
          <w:tab w:val="left" w:pos="2520"/>
          <w:tab w:val="left" w:pos="8280"/>
        </w:tabs>
        <w:spacing w:line="360" w:lineRule="auto"/>
        <w:jc w:val="center"/>
        <w:rPr>
          <w:rFonts w:ascii="仿宋" w:hAnsi="仿宋" w:eastAsia="仿宋" w:cs="宋体"/>
          <w:b/>
          <w:color w:val="auto"/>
          <w:sz w:val="32"/>
          <w:szCs w:val="32"/>
          <w:highlight w:val="none"/>
        </w:rPr>
      </w:pPr>
      <w:r>
        <w:rPr>
          <w:rFonts w:hint="eastAsia" w:ascii="仿宋" w:hAnsi="仿宋" w:eastAsia="仿宋"/>
          <w:b/>
          <w:color w:val="auto"/>
          <w:sz w:val="32"/>
          <w:szCs w:val="32"/>
          <w:highlight w:val="none"/>
        </w:rPr>
        <w:t>一、封面格式</w:t>
      </w:r>
    </w:p>
    <w:p w14:paraId="5AAEE158">
      <w:pPr>
        <w:widowControl/>
        <w:tabs>
          <w:tab w:val="left" w:pos="8280"/>
        </w:tabs>
        <w:spacing w:beforeLines="200" w:afterLines="100" w:line="360" w:lineRule="auto"/>
        <w:ind w:firstLine="482"/>
        <w:jc w:val="center"/>
        <w:rPr>
          <w:rFonts w:ascii="仿宋" w:hAnsi="仿宋" w:eastAsia="仿宋" w:cs="宋体"/>
          <w:b/>
          <w:color w:val="auto"/>
          <w:sz w:val="32"/>
          <w:szCs w:val="32"/>
          <w:highlight w:val="none"/>
        </w:rPr>
      </w:pPr>
      <w:r>
        <w:rPr>
          <w:rFonts w:hint="eastAsia" w:ascii="仿宋" w:hAnsi="仿宋" w:eastAsia="仿宋" w:cs="宋体"/>
          <w:b/>
          <w:color w:val="auto"/>
          <w:sz w:val="32"/>
          <w:szCs w:val="32"/>
          <w:highlight w:val="none"/>
        </w:rPr>
        <w:t>资格文件或</w:t>
      </w:r>
      <w:r>
        <w:rPr>
          <w:rFonts w:hint="eastAsia" w:ascii="仿宋" w:hAnsi="仿宋" w:eastAsia="仿宋" w:cs="宋体"/>
          <w:b/>
          <w:color w:val="auto"/>
          <w:sz w:val="32"/>
          <w:szCs w:val="32"/>
          <w:highlight w:val="none"/>
          <w:lang w:val="en-US" w:eastAsia="zh-CN"/>
        </w:rPr>
        <w:t>投标</w:t>
      </w:r>
      <w:r>
        <w:rPr>
          <w:rFonts w:hint="eastAsia" w:ascii="仿宋" w:hAnsi="仿宋" w:eastAsia="仿宋" w:cs="宋体"/>
          <w:b/>
          <w:color w:val="auto"/>
          <w:sz w:val="32"/>
          <w:szCs w:val="32"/>
          <w:highlight w:val="none"/>
        </w:rPr>
        <w:t>文件</w:t>
      </w:r>
    </w:p>
    <w:p w14:paraId="1F523F80">
      <w:pPr>
        <w:widowControl/>
        <w:tabs>
          <w:tab w:val="left" w:pos="275"/>
          <w:tab w:val="left" w:pos="8280"/>
        </w:tabs>
        <w:spacing w:line="360" w:lineRule="auto"/>
        <w:ind w:firstLine="1606" w:firstLineChars="500"/>
        <w:jc w:val="left"/>
        <w:rPr>
          <w:rFonts w:hint="eastAsia" w:ascii="仿宋" w:hAnsi="仿宋" w:eastAsia="仿宋" w:cs="宋体"/>
          <w:b/>
          <w:color w:val="auto"/>
          <w:sz w:val="32"/>
          <w:szCs w:val="32"/>
          <w:highlight w:val="none"/>
        </w:rPr>
      </w:pPr>
    </w:p>
    <w:p w14:paraId="658960EF">
      <w:pPr>
        <w:widowControl/>
        <w:tabs>
          <w:tab w:val="left" w:pos="275"/>
          <w:tab w:val="left" w:pos="8280"/>
        </w:tabs>
        <w:spacing w:line="360" w:lineRule="auto"/>
        <w:ind w:firstLine="1606" w:firstLineChars="500"/>
        <w:jc w:val="left"/>
        <w:rPr>
          <w:rFonts w:hint="default" w:ascii="仿宋" w:hAnsi="仿宋" w:eastAsia="仿宋" w:cs="宋体"/>
          <w:b/>
          <w:color w:val="auto"/>
          <w:sz w:val="32"/>
          <w:szCs w:val="32"/>
          <w:highlight w:val="none"/>
          <w:lang w:val="en-US" w:eastAsia="zh-CN"/>
        </w:rPr>
      </w:pPr>
      <w:r>
        <w:rPr>
          <w:rFonts w:hint="eastAsia" w:ascii="仿宋" w:hAnsi="仿宋" w:eastAsia="仿宋" w:cs="宋体"/>
          <w:b/>
          <w:color w:val="auto"/>
          <w:sz w:val="32"/>
          <w:szCs w:val="32"/>
          <w:highlight w:val="none"/>
        </w:rPr>
        <w:t>项目名称：</w:t>
      </w:r>
      <w:r>
        <w:rPr>
          <w:rFonts w:hint="eastAsia" w:ascii="仿宋" w:hAnsi="仿宋" w:eastAsia="仿宋" w:cs="宋体"/>
          <w:b/>
          <w:color w:val="auto"/>
          <w:sz w:val="32"/>
          <w:szCs w:val="32"/>
          <w:highlight w:val="none"/>
          <w:u w:val="single"/>
          <w:lang w:val="en-US" w:eastAsia="zh-CN"/>
        </w:rPr>
        <w:t xml:space="preserve">                              </w:t>
      </w:r>
    </w:p>
    <w:p w14:paraId="05443CB1">
      <w:pPr>
        <w:widowControl/>
        <w:tabs>
          <w:tab w:val="left" w:pos="275"/>
          <w:tab w:val="left" w:pos="8280"/>
        </w:tabs>
        <w:spacing w:line="360" w:lineRule="auto"/>
        <w:ind w:firstLine="964" w:firstLineChars="300"/>
        <w:jc w:val="left"/>
        <w:rPr>
          <w:rFonts w:hint="eastAsia" w:ascii="仿宋" w:hAnsi="仿宋" w:eastAsia="仿宋" w:cs="宋体"/>
          <w:b/>
          <w:color w:val="auto"/>
          <w:sz w:val="32"/>
          <w:szCs w:val="32"/>
          <w:highlight w:val="none"/>
        </w:rPr>
      </w:pPr>
    </w:p>
    <w:p w14:paraId="6C301D3D">
      <w:pPr>
        <w:keepNext w:val="0"/>
        <w:keepLines w:val="0"/>
        <w:pageBreakBefore w:val="0"/>
        <w:widowControl/>
        <w:tabs>
          <w:tab w:val="left" w:pos="275"/>
          <w:tab w:val="left" w:pos="8280"/>
        </w:tabs>
        <w:kinsoku/>
        <w:wordWrap/>
        <w:overflowPunct/>
        <w:topLinePunct w:val="0"/>
        <w:autoSpaceDE w:val="0"/>
        <w:autoSpaceDN w:val="0"/>
        <w:bidi w:val="0"/>
        <w:adjustRightInd w:val="0"/>
        <w:snapToGrid/>
        <w:spacing w:line="360" w:lineRule="auto"/>
        <w:ind w:firstLine="1606" w:firstLineChars="500"/>
        <w:jc w:val="left"/>
        <w:textAlignment w:val="auto"/>
        <w:rPr>
          <w:rFonts w:hint="default" w:ascii="仿宋" w:hAnsi="仿宋" w:eastAsia="仿宋" w:cs="宋体"/>
          <w:b/>
          <w:color w:val="auto"/>
          <w:sz w:val="36"/>
          <w:szCs w:val="36"/>
          <w:highlight w:val="none"/>
          <w:u w:val="single"/>
          <w:lang w:val="en-US" w:eastAsia="zh-CN"/>
        </w:rPr>
      </w:pPr>
      <w:r>
        <w:rPr>
          <w:rFonts w:hint="eastAsia" w:ascii="仿宋" w:hAnsi="仿宋" w:eastAsia="仿宋" w:cs="宋体"/>
          <w:b/>
          <w:color w:val="auto"/>
          <w:sz w:val="32"/>
          <w:szCs w:val="32"/>
          <w:highlight w:val="none"/>
        </w:rPr>
        <w:t>项目编号：</w:t>
      </w:r>
      <w:r>
        <w:rPr>
          <w:rFonts w:hint="eastAsia" w:ascii="仿宋" w:hAnsi="仿宋" w:eastAsia="仿宋" w:cs="宋体"/>
          <w:b/>
          <w:color w:val="auto"/>
          <w:sz w:val="32"/>
          <w:szCs w:val="32"/>
          <w:highlight w:val="none"/>
          <w:u w:val="single"/>
          <w:lang w:val="en-US" w:eastAsia="zh-CN"/>
        </w:rPr>
        <w:t xml:space="preserve">                              </w:t>
      </w:r>
    </w:p>
    <w:p w14:paraId="0E88C768">
      <w:pPr>
        <w:keepNext w:val="0"/>
        <w:keepLines w:val="0"/>
        <w:pageBreakBefore w:val="0"/>
        <w:widowControl/>
        <w:tabs>
          <w:tab w:val="left" w:pos="275"/>
          <w:tab w:val="left" w:pos="8280"/>
        </w:tabs>
        <w:kinsoku/>
        <w:wordWrap/>
        <w:overflowPunct/>
        <w:topLinePunct w:val="0"/>
        <w:autoSpaceDE w:val="0"/>
        <w:autoSpaceDN w:val="0"/>
        <w:bidi w:val="0"/>
        <w:adjustRightInd w:val="0"/>
        <w:snapToGrid/>
        <w:spacing w:line="360" w:lineRule="auto"/>
        <w:ind w:firstLine="964" w:firstLineChars="300"/>
        <w:jc w:val="left"/>
        <w:textAlignment w:val="auto"/>
        <w:rPr>
          <w:rFonts w:hint="eastAsia" w:ascii="仿宋" w:hAnsi="仿宋" w:eastAsia="仿宋" w:cs="宋体"/>
          <w:b/>
          <w:color w:val="auto"/>
          <w:sz w:val="32"/>
          <w:szCs w:val="32"/>
          <w:highlight w:val="none"/>
        </w:rPr>
      </w:pPr>
    </w:p>
    <w:p w14:paraId="32A6F4D3">
      <w:pPr>
        <w:keepNext w:val="0"/>
        <w:keepLines w:val="0"/>
        <w:pageBreakBefore w:val="0"/>
        <w:widowControl/>
        <w:tabs>
          <w:tab w:val="left" w:pos="275"/>
          <w:tab w:val="left" w:pos="8280"/>
        </w:tabs>
        <w:kinsoku/>
        <w:wordWrap/>
        <w:overflowPunct/>
        <w:topLinePunct w:val="0"/>
        <w:autoSpaceDE w:val="0"/>
        <w:autoSpaceDN w:val="0"/>
        <w:bidi w:val="0"/>
        <w:adjustRightInd w:val="0"/>
        <w:snapToGrid/>
        <w:spacing w:line="360" w:lineRule="auto"/>
        <w:ind w:firstLine="1606" w:firstLineChars="500"/>
        <w:jc w:val="left"/>
        <w:textAlignment w:val="auto"/>
        <w:rPr>
          <w:rFonts w:hint="default" w:ascii="仿宋" w:hAnsi="仿宋" w:eastAsia="仿宋" w:cs="宋体"/>
          <w:b/>
          <w:color w:val="auto"/>
          <w:sz w:val="32"/>
          <w:szCs w:val="32"/>
          <w:highlight w:val="none"/>
          <w:u w:val="single"/>
          <w:lang w:val="en-US" w:eastAsia="zh-CN"/>
        </w:rPr>
      </w:pPr>
      <w:r>
        <w:rPr>
          <w:rFonts w:hint="eastAsia" w:ascii="仿宋" w:hAnsi="仿宋" w:eastAsia="仿宋" w:cs="宋体"/>
          <w:b/>
          <w:color w:val="auto"/>
          <w:sz w:val="32"/>
          <w:szCs w:val="32"/>
          <w:highlight w:val="none"/>
        </w:rPr>
        <w:t>标</w:t>
      </w:r>
      <w:r>
        <w:rPr>
          <w:rFonts w:hint="eastAsia" w:ascii="仿宋" w:hAnsi="仿宋" w:eastAsia="仿宋" w:cs="宋体"/>
          <w:b/>
          <w:color w:val="auto"/>
          <w:sz w:val="32"/>
          <w:szCs w:val="32"/>
          <w:highlight w:val="none"/>
          <w:lang w:val="en-US" w:eastAsia="zh-CN"/>
        </w:rPr>
        <w:t xml:space="preserve">   </w:t>
      </w:r>
      <w:r>
        <w:rPr>
          <w:rFonts w:hint="eastAsia" w:ascii="仿宋" w:hAnsi="仿宋" w:eastAsia="仿宋" w:cs="宋体"/>
          <w:b/>
          <w:color w:val="auto"/>
          <w:sz w:val="32"/>
          <w:szCs w:val="32"/>
          <w:highlight w:val="none"/>
        </w:rPr>
        <w:t xml:space="preserve"> 项：</w:t>
      </w:r>
      <w:r>
        <w:rPr>
          <w:rFonts w:hint="eastAsia" w:ascii="仿宋" w:hAnsi="仿宋" w:eastAsia="仿宋" w:cs="宋体"/>
          <w:b/>
          <w:color w:val="auto"/>
          <w:sz w:val="32"/>
          <w:szCs w:val="32"/>
          <w:highlight w:val="none"/>
          <w:u w:val="single"/>
          <w:lang w:val="en-US" w:eastAsia="zh-CN"/>
        </w:rPr>
        <w:t xml:space="preserve">  </w:t>
      </w:r>
      <w:r>
        <w:rPr>
          <w:rFonts w:hint="eastAsia" w:ascii="仿宋" w:hAnsi="仿宋" w:eastAsia="仿宋" w:cs="宋体"/>
          <w:b/>
          <w:color w:val="auto"/>
          <w:sz w:val="32"/>
          <w:szCs w:val="32"/>
          <w:highlight w:val="none"/>
          <w:u w:val="single"/>
        </w:rPr>
        <w:t>（标项一或标项二或标项三…）</w:t>
      </w:r>
      <w:r>
        <w:rPr>
          <w:rFonts w:hint="eastAsia" w:ascii="仿宋" w:hAnsi="仿宋" w:eastAsia="仿宋" w:cs="宋体"/>
          <w:b/>
          <w:color w:val="auto"/>
          <w:sz w:val="32"/>
          <w:szCs w:val="32"/>
          <w:highlight w:val="none"/>
          <w:u w:val="single"/>
          <w:lang w:val="en-US" w:eastAsia="zh-CN"/>
        </w:rPr>
        <w:t xml:space="preserve">  </w:t>
      </w:r>
    </w:p>
    <w:p w14:paraId="59787F30">
      <w:pPr>
        <w:keepNext w:val="0"/>
        <w:keepLines w:val="0"/>
        <w:pageBreakBefore w:val="0"/>
        <w:widowControl/>
        <w:tabs>
          <w:tab w:val="left" w:pos="765"/>
          <w:tab w:val="left" w:pos="8280"/>
        </w:tabs>
        <w:kinsoku/>
        <w:wordWrap/>
        <w:overflowPunct/>
        <w:topLinePunct w:val="0"/>
        <w:autoSpaceDE w:val="0"/>
        <w:autoSpaceDN w:val="0"/>
        <w:bidi w:val="0"/>
        <w:adjustRightInd w:val="0"/>
        <w:snapToGrid/>
        <w:spacing w:line="360" w:lineRule="auto"/>
        <w:ind w:firstLine="1606" w:firstLineChars="500"/>
        <w:jc w:val="left"/>
        <w:textAlignment w:val="auto"/>
        <w:rPr>
          <w:rFonts w:hint="eastAsia" w:ascii="仿宋" w:hAnsi="仿宋" w:eastAsia="仿宋" w:cs="宋体"/>
          <w:b/>
          <w:color w:val="auto"/>
          <w:sz w:val="32"/>
          <w:szCs w:val="32"/>
          <w:highlight w:val="none"/>
        </w:rPr>
      </w:pPr>
    </w:p>
    <w:p w14:paraId="0894004B">
      <w:pPr>
        <w:keepNext w:val="0"/>
        <w:keepLines w:val="0"/>
        <w:pageBreakBefore w:val="0"/>
        <w:widowControl/>
        <w:tabs>
          <w:tab w:val="left" w:pos="765"/>
          <w:tab w:val="left" w:pos="8280"/>
        </w:tabs>
        <w:kinsoku/>
        <w:wordWrap/>
        <w:overflowPunct/>
        <w:topLinePunct w:val="0"/>
        <w:autoSpaceDE w:val="0"/>
        <w:autoSpaceDN w:val="0"/>
        <w:bidi w:val="0"/>
        <w:adjustRightInd w:val="0"/>
        <w:snapToGrid/>
        <w:spacing w:line="360" w:lineRule="auto"/>
        <w:ind w:firstLine="1606" w:firstLineChars="500"/>
        <w:jc w:val="left"/>
        <w:textAlignment w:val="auto"/>
        <w:rPr>
          <w:rFonts w:ascii="仿宋" w:hAnsi="仿宋" w:eastAsia="仿宋" w:cs="宋体"/>
          <w:b/>
          <w:color w:val="auto"/>
          <w:sz w:val="36"/>
          <w:szCs w:val="36"/>
          <w:highlight w:val="none"/>
          <w:u w:val="single"/>
        </w:rPr>
      </w:pPr>
      <w:r>
        <w:rPr>
          <w:rFonts w:hint="eastAsia" w:ascii="仿宋" w:hAnsi="仿宋" w:eastAsia="仿宋" w:cs="宋体"/>
          <w:b/>
          <w:color w:val="auto"/>
          <w:sz w:val="32"/>
          <w:szCs w:val="32"/>
          <w:highlight w:val="none"/>
        </w:rPr>
        <w:t>投 标 人：</w:t>
      </w:r>
      <w:r>
        <w:rPr>
          <w:rFonts w:hint="eastAsia" w:ascii="仿宋" w:hAnsi="仿宋" w:eastAsia="仿宋" w:cs="宋体"/>
          <w:b/>
          <w:color w:val="auto"/>
          <w:sz w:val="32"/>
          <w:szCs w:val="32"/>
          <w:highlight w:val="none"/>
          <w:u w:val="single"/>
        </w:rPr>
        <w:t xml:space="preserve">           （盖单位公章）     </w:t>
      </w:r>
    </w:p>
    <w:p w14:paraId="525989C8">
      <w:pPr>
        <w:widowControl/>
        <w:tabs>
          <w:tab w:val="left" w:pos="8280"/>
        </w:tabs>
        <w:spacing w:line="360" w:lineRule="auto"/>
        <w:ind w:firstLine="480"/>
        <w:jc w:val="center"/>
        <w:rPr>
          <w:rFonts w:ascii="仿宋" w:hAnsi="仿宋" w:eastAsia="仿宋" w:cs="宋体"/>
          <w:b/>
          <w:color w:val="auto"/>
          <w:sz w:val="32"/>
          <w:szCs w:val="32"/>
          <w:highlight w:val="none"/>
        </w:rPr>
      </w:pPr>
    </w:p>
    <w:p w14:paraId="1EB306A6">
      <w:pPr>
        <w:widowControl/>
        <w:tabs>
          <w:tab w:val="left" w:pos="8280"/>
        </w:tabs>
        <w:spacing w:line="360" w:lineRule="auto"/>
        <w:ind w:firstLine="480"/>
        <w:jc w:val="center"/>
        <w:rPr>
          <w:rFonts w:ascii="仿宋" w:hAnsi="仿宋" w:eastAsia="仿宋" w:cs="宋体"/>
          <w:b/>
          <w:color w:val="auto"/>
          <w:sz w:val="32"/>
          <w:szCs w:val="32"/>
          <w:highlight w:val="none"/>
        </w:rPr>
      </w:pPr>
    </w:p>
    <w:p w14:paraId="2B4949B6">
      <w:pPr>
        <w:widowControl/>
        <w:tabs>
          <w:tab w:val="left" w:pos="350"/>
          <w:tab w:val="left" w:pos="8280"/>
        </w:tabs>
        <w:spacing w:line="360" w:lineRule="auto"/>
        <w:ind w:firstLine="1606" w:firstLineChars="500"/>
        <w:jc w:val="left"/>
        <w:rPr>
          <w:rFonts w:ascii="仿宋" w:hAnsi="仿宋" w:eastAsia="仿宋" w:cs="宋体"/>
          <w:b/>
          <w:color w:val="auto"/>
          <w:sz w:val="32"/>
          <w:szCs w:val="32"/>
          <w:highlight w:val="none"/>
        </w:rPr>
      </w:pPr>
      <w:r>
        <w:rPr>
          <w:rFonts w:hint="eastAsia" w:ascii="仿宋" w:hAnsi="仿宋" w:eastAsia="仿宋" w:cs="宋体"/>
          <w:b/>
          <w:color w:val="auto"/>
          <w:sz w:val="32"/>
          <w:szCs w:val="32"/>
          <w:highlight w:val="none"/>
        </w:rPr>
        <w:t>日    期：     年     月    日</w:t>
      </w:r>
    </w:p>
    <w:p w14:paraId="62565595">
      <w:pPr>
        <w:widowControl/>
        <w:tabs>
          <w:tab w:val="left" w:pos="350"/>
          <w:tab w:val="left" w:pos="8280"/>
        </w:tabs>
        <w:spacing w:line="360" w:lineRule="auto"/>
        <w:jc w:val="left"/>
        <w:rPr>
          <w:rFonts w:ascii="仿宋" w:hAnsi="仿宋" w:eastAsia="仿宋" w:cs="宋体"/>
          <w:b/>
          <w:color w:val="auto"/>
          <w:sz w:val="32"/>
          <w:szCs w:val="32"/>
          <w:highlight w:val="none"/>
        </w:rPr>
        <w:sectPr>
          <w:headerReference r:id="rId14" w:type="first"/>
          <w:pgSz w:w="11905" w:h="16838"/>
          <w:pgMar w:top="1440" w:right="1083" w:bottom="1440" w:left="1083" w:header="850" w:footer="964" w:gutter="0"/>
          <w:pgBorders>
            <w:top w:val="none" w:sz="0" w:space="0"/>
            <w:left w:val="none" w:sz="0" w:space="0"/>
            <w:bottom w:val="none" w:sz="0" w:space="0"/>
            <w:right w:val="none" w:sz="0" w:space="0"/>
          </w:pgBorders>
          <w:pgNumType w:fmt="decimal"/>
          <w:cols w:space="0" w:num="1"/>
          <w:titlePg/>
          <w:rtlGutter w:val="0"/>
          <w:docGrid w:type="lines" w:linePitch="315" w:charSpace="0"/>
        </w:sectPr>
      </w:pPr>
    </w:p>
    <w:p w14:paraId="6050F7A0">
      <w:pPr>
        <w:spacing w:after="260" w:line="500" w:lineRule="exact"/>
        <w:jc w:val="center"/>
        <w:rPr>
          <w:rFonts w:ascii="微软雅黑" w:hAnsi="微软雅黑" w:eastAsia="微软雅黑"/>
          <w:b/>
          <w:color w:val="auto"/>
          <w:sz w:val="40"/>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符合</w:t>
      </w:r>
      <w:r>
        <w:rPr>
          <w:rFonts w:ascii="仿宋" w:hAnsi="仿宋" w:eastAsia="仿宋"/>
          <w:b/>
          <w:color w:val="auto"/>
          <w:sz w:val="32"/>
          <w:szCs w:val="32"/>
          <w:highlight w:val="none"/>
        </w:rPr>
        <w:t>参与采购活动资格条件的承诺函</w:t>
      </w:r>
    </w:p>
    <w:p w14:paraId="2942C6FB">
      <w:pPr>
        <w:spacing w:line="360" w:lineRule="auto"/>
        <w:rPr>
          <w:rFonts w:ascii="仿宋" w:hAnsi="仿宋" w:eastAsia="仿宋" w:cs="宋体"/>
          <w:b/>
          <w:color w:val="auto"/>
          <w:sz w:val="24"/>
          <w:szCs w:val="24"/>
          <w:highlight w:val="none"/>
        </w:rPr>
      </w:pPr>
      <w:r>
        <w:rPr>
          <w:rFonts w:hint="eastAsia" w:ascii="仿宋" w:hAnsi="仿宋" w:eastAsia="仿宋" w:cs="宋体"/>
          <w:color w:val="auto"/>
          <w:spacing w:val="8"/>
          <w:sz w:val="24"/>
          <w:szCs w:val="24"/>
          <w:highlight w:val="none"/>
        </w:rPr>
        <w:t>诸暨市环境卫生管理集团有限公司</w:t>
      </w:r>
      <w:r>
        <w:rPr>
          <w:rFonts w:hint="eastAsia" w:ascii="仿宋" w:hAnsi="仿宋" w:eastAsia="仿宋" w:cs="宋体"/>
          <w:b/>
          <w:color w:val="auto"/>
          <w:sz w:val="24"/>
          <w:szCs w:val="24"/>
          <w:highlight w:val="none"/>
        </w:rPr>
        <w:t>、</w:t>
      </w:r>
      <w:r>
        <w:rPr>
          <w:rFonts w:hint="eastAsia" w:ascii="仿宋" w:hAnsi="仿宋" w:eastAsia="仿宋" w:cs="仿宋"/>
          <w:color w:val="auto"/>
          <w:spacing w:val="8"/>
          <w:sz w:val="24"/>
          <w:szCs w:val="24"/>
          <w:highlight w:val="none"/>
        </w:rPr>
        <w:t>诸暨市宸佳工程管理有限公司</w:t>
      </w:r>
      <w:r>
        <w:rPr>
          <w:rFonts w:hint="eastAsia" w:ascii="仿宋" w:hAnsi="仿宋" w:eastAsia="仿宋" w:cs="宋体"/>
          <w:color w:val="auto"/>
          <w:spacing w:val="8"/>
          <w:sz w:val="24"/>
          <w:szCs w:val="24"/>
          <w:highlight w:val="none"/>
        </w:rPr>
        <w:t>：</w:t>
      </w:r>
    </w:p>
    <w:p w14:paraId="5E9A2640">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我方参与</w:t>
      </w:r>
      <w:r>
        <w:rPr>
          <w:rFonts w:hint="eastAsia" w:ascii="仿宋" w:hAnsi="仿宋" w:eastAsia="仿宋" w:cs="宋体"/>
          <w:i/>
          <w:color w:val="auto"/>
          <w:spacing w:val="8"/>
          <w:sz w:val="24"/>
          <w:szCs w:val="24"/>
          <w:highlight w:val="none"/>
          <w:u w:val="single"/>
        </w:rPr>
        <w:t>（项目名称）   （项目编号：     ）</w:t>
      </w:r>
      <w:r>
        <w:rPr>
          <w:rFonts w:hint="eastAsia" w:ascii="仿宋" w:hAnsi="仿宋" w:eastAsia="仿宋" w:cs="宋体"/>
          <w:color w:val="auto"/>
          <w:spacing w:val="8"/>
          <w:sz w:val="24"/>
          <w:szCs w:val="24"/>
          <w:highlight w:val="none"/>
        </w:rPr>
        <w:t>采购活动，郑重承诺：</w:t>
      </w:r>
    </w:p>
    <w:p w14:paraId="7D25255D">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（一）我方具备</w:t>
      </w:r>
      <w:r>
        <w:rPr>
          <w:rFonts w:hint="eastAsia" w:ascii="仿宋" w:hAnsi="仿宋" w:eastAsia="仿宋" w:cs="Arial"/>
          <w:color w:val="auto"/>
          <w:sz w:val="24"/>
          <w:szCs w:val="24"/>
          <w:highlight w:val="none"/>
          <w:u w:val="single"/>
        </w:rPr>
        <w:t>“</w:t>
      </w:r>
      <w:r>
        <w:rPr>
          <w:rFonts w:hint="eastAsia" w:ascii="仿宋" w:hAnsi="仿宋" w:eastAsia="仿宋"/>
          <w:color w:val="auto"/>
          <w:sz w:val="24"/>
          <w:szCs w:val="24"/>
          <w:highlight w:val="none"/>
          <w:u w:val="single"/>
        </w:rPr>
        <w:t>投标（供应商）人</w:t>
      </w:r>
      <w:r>
        <w:rPr>
          <w:rFonts w:hint="eastAsia" w:ascii="仿宋" w:hAnsi="仿宋" w:eastAsia="仿宋" w:cs="Arial"/>
          <w:color w:val="auto"/>
          <w:sz w:val="24"/>
          <w:szCs w:val="24"/>
          <w:highlight w:val="none"/>
          <w:u w:val="single"/>
        </w:rPr>
        <w:t>资格要求”</w:t>
      </w:r>
      <w:r>
        <w:rPr>
          <w:rFonts w:hint="eastAsia" w:ascii="仿宋" w:hAnsi="仿宋" w:eastAsia="仿宋" w:cs="宋体"/>
          <w:color w:val="auto"/>
          <w:spacing w:val="8"/>
          <w:sz w:val="24"/>
          <w:szCs w:val="24"/>
          <w:highlight w:val="none"/>
        </w:rPr>
        <w:t>第一条规定的条件：</w:t>
      </w:r>
    </w:p>
    <w:p w14:paraId="152CC46A">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1.具有独立承担民事责任的能力；</w:t>
      </w:r>
    </w:p>
    <w:p w14:paraId="77AAB9F1">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2.具有良好的商业信誉和健全的财务会计制度；</w:t>
      </w:r>
    </w:p>
    <w:p w14:paraId="5CB57D64">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3.具有履行合同所必需的设备和专业技术能力；</w:t>
      </w:r>
    </w:p>
    <w:p w14:paraId="2A91E62B">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4.有依法缴纳税收和社会保障资金的良好记录；</w:t>
      </w:r>
    </w:p>
    <w:p w14:paraId="25190C88">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5.参加采购活动前三年内，在经营活动中没有重大违法记录（即我方没有因违法经营受到刑事处罚，没有被责令停产停业、被吊销许可证或者执照、被处以较大数额罚款等行政处罚）；</w:t>
      </w:r>
    </w:p>
    <w:p w14:paraId="1D58FBAD">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6.具有法律、行政法规规定的其他条件。</w:t>
      </w:r>
    </w:p>
    <w:p w14:paraId="55DF498D">
      <w:pPr>
        <w:spacing w:line="300" w:lineRule="auto"/>
        <w:ind w:firstLine="512" w:firstLineChars="200"/>
        <w:rPr>
          <w:color w:val="auto"/>
          <w:highlight w:val="none"/>
        </w:rPr>
      </w:pPr>
      <w:r>
        <w:rPr>
          <w:rFonts w:hint="eastAsia" w:ascii="仿宋" w:hAnsi="仿宋" w:eastAsia="仿宋" w:cs="宋体"/>
          <w:color w:val="auto"/>
          <w:spacing w:val="8"/>
          <w:sz w:val="24"/>
          <w:szCs w:val="24"/>
          <w:highlight w:val="none"/>
        </w:rPr>
        <w:t>（二）</w:t>
      </w:r>
      <w:r>
        <w:rPr>
          <w:rFonts w:ascii="仿宋" w:hAnsi="仿宋" w:eastAsia="仿宋" w:cs="宋体"/>
          <w:color w:val="auto"/>
          <w:spacing w:val="8"/>
          <w:sz w:val="24"/>
          <w:szCs w:val="24"/>
          <w:highlight w:val="none"/>
        </w:rPr>
        <w:t>未被“信用中国”</w:t>
      </w:r>
      <w:r>
        <w:rPr>
          <w:rFonts w:hAnsi="仿宋" w:eastAsia="仿宋"/>
          <w:color w:val="auto"/>
          <w:spacing w:val="8"/>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56"/>
          <w:rFonts w:eastAsia="仿宋"/>
          <w:color w:val="auto"/>
          <w:spacing w:val="8"/>
          <w:highlight w:val="none"/>
          <w:u w:val="none"/>
        </w:rPr>
        <w:t>www.creditchina.gov.cn</w:t>
      </w:r>
      <w:r>
        <w:rPr>
          <w:rStyle w:val="56"/>
          <w:rFonts w:eastAsia="仿宋"/>
          <w:color w:val="auto"/>
          <w:spacing w:val="8"/>
          <w:highlight w:val="none"/>
          <w:u w:val="none"/>
        </w:rPr>
        <w:fldChar w:fldCharType="end"/>
      </w:r>
      <w:r>
        <w:rPr>
          <w:rFonts w:hAnsi="仿宋" w:eastAsia="仿宋"/>
          <w:color w:val="auto"/>
          <w:spacing w:val="8"/>
          <w:highlight w:val="none"/>
        </w:rPr>
        <w:t>）</w:t>
      </w:r>
      <w:r>
        <w:rPr>
          <w:rFonts w:ascii="仿宋" w:hAnsi="仿宋" w:eastAsia="仿宋" w:cs="宋体"/>
          <w:color w:val="auto"/>
          <w:spacing w:val="8"/>
          <w:sz w:val="24"/>
          <w:szCs w:val="24"/>
          <w:highlight w:val="none"/>
        </w:rPr>
        <w:t>、中国政府采购网</w:t>
      </w:r>
      <w:r>
        <w:rPr>
          <w:rFonts w:hAnsi="仿宋" w:eastAsia="仿宋"/>
          <w:color w:val="auto"/>
          <w:spacing w:val="8"/>
          <w:highlight w:val="none"/>
        </w:rPr>
        <w:t>（www.ccgp.gov.cn）</w:t>
      </w:r>
      <w:r>
        <w:rPr>
          <w:rFonts w:ascii="仿宋" w:hAnsi="仿宋" w:eastAsia="仿宋" w:cs="宋体"/>
          <w:color w:val="auto"/>
          <w:spacing w:val="8"/>
          <w:sz w:val="24"/>
          <w:szCs w:val="24"/>
          <w:highlight w:val="none"/>
        </w:rPr>
        <w:t>列入失信被执行人、重大税收违法案件当事人名单、政府采购严重违法失信行为记录名单。</w:t>
      </w:r>
    </w:p>
    <w:p w14:paraId="7A3C36FF">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（三）不存在以下情况：</w:t>
      </w:r>
    </w:p>
    <w:p w14:paraId="0F76B372">
      <w:pPr>
        <w:spacing w:line="360" w:lineRule="auto"/>
        <w:ind w:firstLine="512" w:firstLineChars="200"/>
        <w:rPr>
          <w:rFonts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1.</w:t>
      </w:r>
      <w:r>
        <w:rPr>
          <w:rFonts w:ascii="仿宋" w:hAnsi="仿宋" w:eastAsia="仿宋" w:cs="宋体"/>
          <w:color w:val="auto"/>
          <w:spacing w:val="8"/>
          <w:sz w:val="24"/>
          <w:szCs w:val="24"/>
          <w:highlight w:val="none"/>
        </w:rPr>
        <w:t>单位负责人为同一人或者存在直接控股、管理关系的不同供应商参加同一合同项下的采购活动的。</w:t>
      </w:r>
    </w:p>
    <w:p w14:paraId="58AFBCB4">
      <w:pPr>
        <w:spacing w:line="360" w:lineRule="auto"/>
        <w:ind w:firstLine="512" w:firstLineChars="200"/>
        <w:rPr>
          <w:rFonts w:ascii="仿宋" w:hAnsi="仿宋" w:eastAsia="仿宋" w:cs="Arial"/>
          <w:color w:val="auto"/>
          <w:sz w:val="24"/>
          <w:szCs w:val="24"/>
          <w:highlight w:val="none"/>
        </w:rPr>
      </w:pPr>
      <w:r>
        <w:rPr>
          <w:rFonts w:hint="eastAsia" w:ascii="仿宋" w:hAnsi="仿宋" w:eastAsia="仿宋" w:cs="宋体"/>
          <w:color w:val="auto"/>
          <w:spacing w:val="8"/>
          <w:sz w:val="24"/>
          <w:szCs w:val="24"/>
          <w:highlight w:val="none"/>
        </w:rPr>
        <w:t>2.为采购项目提供整体设计、规范编制或者项目管理、监理、检测等服务后再参加该采购项目的其他采购活动的。</w:t>
      </w:r>
    </w:p>
    <w:p w14:paraId="74BC886E">
      <w:pPr>
        <w:ind w:firstLine="420" w:firstLineChars="200"/>
        <w:rPr>
          <w:color w:val="auto"/>
          <w:highlight w:val="none"/>
        </w:rPr>
      </w:pPr>
    </w:p>
    <w:p w14:paraId="1CBFE975">
      <w:pPr>
        <w:wordWrap w:val="0"/>
        <w:spacing w:line="360" w:lineRule="auto"/>
        <w:ind w:firstLine="425"/>
        <w:jc w:val="both"/>
        <w:rPr>
          <w:rFonts w:ascii="仿宋" w:hAnsi="仿宋" w:eastAsia="仿宋"/>
          <w:color w:val="auto"/>
          <w:sz w:val="24"/>
          <w:szCs w:val="24"/>
          <w:highlight w:val="none"/>
          <w:u w:val="single"/>
        </w:rPr>
      </w:pPr>
      <w:r>
        <w:rPr>
          <w:rFonts w:hint="eastAsia" w:ascii="仿宋" w:hAnsi="仿宋" w:eastAsia="仿宋"/>
          <w:color w:val="auto"/>
          <w:sz w:val="24"/>
          <w:szCs w:val="24"/>
          <w:highlight w:val="none"/>
        </w:rPr>
        <w:t>投标人全称（电子签章）：</w:t>
      </w:r>
      <w:r>
        <w:rPr>
          <w:rFonts w:hint="eastAsia" w:ascii="仿宋" w:hAnsi="仿宋" w:eastAsia="仿宋"/>
          <w:color w:val="auto"/>
          <w:sz w:val="24"/>
          <w:szCs w:val="24"/>
          <w:highlight w:val="none"/>
          <w:u w:val="none"/>
        </w:rPr>
        <w:t>____________</w:t>
      </w:r>
    </w:p>
    <w:p w14:paraId="7088A1D2">
      <w:pPr>
        <w:keepNext w:val="0"/>
        <w:keepLines w:val="0"/>
        <w:pageBreakBefore w:val="0"/>
        <w:widowControl w:val="0"/>
        <w:kinsoku/>
        <w:wordWrap/>
        <w:overflowPunct/>
        <w:topLinePunct w:val="0"/>
        <w:autoSpaceDE w:val="0"/>
        <w:autoSpaceDN w:val="0"/>
        <w:bidi w:val="0"/>
        <w:adjustRightInd w:val="0"/>
        <w:snapToGrid/>
        <w:spacing w:line="480" w:lineRule="auto"/>
        <w:ind w:firstLine="480" w:firstLineChars="200"/>
        <w:textAlignment w:val="auto"/>
        <w:rPr>
          <w:rFonts w:hint="eastAsia" w:ascii="仿宋" w:hAnsi="仿宋" w:eastAsia="仿宋"/>
          <w:color w:val="auto"/>
          <w:sz w:val="24"/>
          <w:szCs w:val="24"/>
          <w:highlight w:val="none"/>
        </w:rPr>
      </w:pPr>
      <w:r>
        <w:rPr>
          <w:rFonts w:hint="eastAsia" w:ascii="仿宋" w:hAnsi="仿宋" w:eastAsia="仿宋" w:cs="仿宋"/>
          <w:color w:val="auto"/>
          <w:sz w:val="24"/>
          <w:szCs w:val="24"/>
          <w:highlight w:val="none"/>
        </w:rPr>
        <w:t>日期：_____年_____月_____日</w:t>
      </w:r>
    </w:p>
    <w:p w14:paraId="75487DCF">
      <w:pPr>
        <w:keepNext w:val="0"/>
        <w:keepLines w:val="0"/>
        <w:pageBreakBefore w:val="0"/>
        <w:widowControl w:val="0"/>
        <w:kinsoku/>
        <w:wordWrap/>
        <w:overflowPunct/>
        <w:topLinePunct w:val="0"/>
        <w:autoSpaceDE w:val="0"/>
        <w:autoSpaceDN w:val="0"/>
        <w:bidi w:val="0"/>
        <w:adjustRightInd w:val="0"/>
        <w:snapToGrid/>
        <w:spacing w:line="480" w:lineRule="auto"/>
        <w:ind w:firstLine="482" w:firstLineChars="200"/>
        <w:textAlignment w:val="auto"/>
        <w:rPr>
          <w:rFonts w:ascii="仿宋" w:hAnsi="仿宋" w:eastAsia="仿宋"/>
          <w:color w:val="auto"/>
          <w:sz w:val="24"/>
          <w:szCs w:val="24"/>
          <w:highlight w:val="none"/>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b/>
          <w:i/>
          <w:color w:val="auto"/>
          <w:sz w:val="24"/>
          <w:szCs w:val="24"/>
          <w:highlight w:val="none"/>
          <w:u w:val="single"/>
        </w:rPr>
        <w:t>注：按本格式要求提供。</w:t>
      </w:r>
    </w:p>
    <w:p w14:paraId="07ED6F07">
      <w:pPr>
        <w:pStyle w:val="3"/>
        <w:spacing w:before="0" w:line="500" w:lineRule="exact"/>
        <w:jc w:val="center"/>
        <w:rPr>
          <w:rFonts w:ascii="仿宋" w:hAnsi="仿宋" w:eastAsia="仿宋"/>
          <w:bCs w:val="0"/>
          <w:color w:val="auto"/>
          <w:highlight w:val="none"/>
        </w:rPr>
      </w:pPr>
      <w:r>
        <w:rPr>
          <w:rFonts w:hint="eastAsia" w:ascii="仿宋" w:hAnsi="仿宋" w:eastAsia="仿宋"/>
          <w:bCs w:val="0"/>
          <w:color w:val="auto"/>
          <w:highlight w:val="none"/>
          <w:lang w:val="en-US" w:eastAsia="zh-CN"/>
        </w:rPr>
        <w:t>三、</w:t>
      </w:r>
      <w:r>
        <w:rPr>
          <w:rFonts w:hint="eastAsia" w:ascii="仿宋" w:hAnsi="仿宋" w:eastAsia="仿宋"/>
          <w:bCs w:val="0"/>
          <w:color w:val="auto"/>
          <w:highlight w:val="none"/>
        </w:rPr>
        <w:t>投标函（格式）</w:t>
      </w:r>
    </w:p>
    <w:p w14:paraId="0A5B98E0">
      <w:pPr>
        <w:keepNext w:val="0"/>
        <w:keepLines w:val="0"/>
        <w:pageBreakBefore w:val="0"/>
        <w:widowControl w:val="0"/>
        <w:kinsoku/>
        <w:wordWrap/>
        <w:overflowPunct/>
        <w:topLinePunct w:val="0"/>
        <w:autoSpaceDE w:val="0"/>
        <w:autoSpaceDN w:val="0"/>
        <w:bidi w:val="0"/>
        <w:adjustRightInd w:val="0"/>
        <w:spacing w:line="420" w:lineRule="exact"/>
        <w:textAlignment w:val="auto"/>
        <w:rPr>
          <w:rFonts w:hint="eastAsia" w:ascii="仿宋" w:hAnsi="仿宋" w:eastAsia="仿宋" w:cs="Times New Roman"/>
          <w:color w:val="auto"/>
          <w:spacing w:val="8"/>
          <w:sz w:val="24"/>
          <w:szCs w:val="24"/>
          <w:highlight w:val="none"/>
          <w:lang w:eastAsia="zh-CN"/>
        </w:rPr>
      </w:pPr>
      <w:r>
        <w:rPr>
          <w:rFonts w:hint="eastAsia" w:ascii="仿宋" w:hAnsi="仿宋" w:eastAsia="仿宋" w:cs="Times New Roman"/>
          <w:color w:val="auto"/>
          <w:spacing w:val="8"/>
          <w:sz w:val="24"/>
          <w:szCs w:val="24"/>
          <w:highlight w:val="none"/>
        </w:rPr>
        <w:t>诸暨市环境卫生管理集团有限公司、诸暨市宸佳工程管理有限公司</w:t>
      </w:r>
      <w:r>
        <w:rPr>
          <w:rFonts w:hint="eastAsia" w:ascii="仿宋" w:hAnsi="仿宋" w:eastAsia="仿宋" w:cs="Times New Roman"/>
          <w:color w:val="auto"/>
          <w:spacing w:val="8"/>
          <w:sz w:val="24"/>
          <w:szCs w:val="24"/>
          <w:highlight w:val="none"/>
          <w:lang w:eastAsia="zh-CN"/>
        </w:rPr>
        <w:t>：</w:t>
      </w:r>
    </w:p>
    <w:p w14:paraId="4FAEB873">
      <w:pPr>
        <w:keepNext w:val="0"/>
        <w:keepLines w:val="0"/>
        <w:pageBreakBefore w:val="0"/>
        <w:widowControl w:val="0"/>
        <w:kinsoku/>
        <w:wordWrap/>
        <w:overflowPunct/>
        <w:topLinePunct w:val="0"/>
        <w:autoSpaceDE w:val="0"/>
        <w:autoSpaceDN w:val="0"/>
        <w:bidi w:val="0"/>
        <w:adjustRightInd w:val="0"/>
        <w:spacing w:line="420" w:lineRule="exact"/>
        <w:ind w:firstLine="512" w:firstLineChars="200"/>
        <w:textAlignment w:val="auto"/>
        <w:rPr>
          <w:rFonts w:ascii="仿宋" w:hAnsi="仿宋" w:eastAsia="仿宋"/>
          <w:color w:val="auto"/>
          <w:sz w:val="24"/>
          <w:szCs w:val="24"/>
          <w:highlight w:val="none"/>
        </w:rPr>
      </w:pPr>
      <w:r>
        <w:rPr>
          <w:rFonts w:hint="eastAsia" w:ascii="仿宋" w:hAnsi="仿宋" w:eastAsia="仿宋"/>
          <w:color w:val="auto"/>
          <w:spacing w:val="8"/>
          <w:sz w:val="24"/>
          <w:szCs w:val="24"/>
          <w:highlight w:val="none"/>
        </w:rPr>
        <w:t>根据贵方</w:t>
      </w:r>
      <w:r>
        <w:rPr>
          <w:rFonts w:hint="eastAsia" w:ascii="仿宋" w:hAnsi="仿宋" w:eastAsia="仿宋"/>
          <w:color w:val="auto"/>
          <w:spacing w:val="8"/>
          <w:sz w:val="24"/>
          <w:szCs w:val="24"/>
          <w:highlight w:val="none"/>
          <w:u w:val="single"/>
          <w:lang w:val="en-US" w:eastAsia="zh-CN"/>
        </w:rPr>
        <w:t xml:space="preserve">        </w:t>
      </w:r>
      <w:r>
        <w:rPr>
          <w:rFonts w:hint="eastAsia" w:ascii="仿宋" w:hAnsi="仿宋" w:eastAsia="仿宋"/>
          <w:color w:val="auto"/>
          <w:spacing w:val="8"/>
          <w:sz w:val="24"/>
          <w:szCs w:val="24"/>
          <w:highlight w:val="none"/>
          <w:lang w:eastAsia="zh-CN"/>
        </w:rPr>
        <w:t>（</w:t>
      </w:r>
      <w:r>
        <w:rPr>
          <w:rFonts w:hint="eastAsia" w:ascii="仿宋" w:hAnsi="仿宋" w:eastAsia="仿宋"/>
          <w:color w:val="auto"/>
          <w:sz w:val="24"/>
          <w:szCs w:val="24"/>
          <w:highlight w:val="none"/>
          <w:u w:val="single"/>
        </w:rPr>
        <w:t>项目名称</w:t>
      </w:r>
      <w:r>
        <w:rPr>
          <w:rFonts w:hint="eastAsia" w:ascii="仿宋" w:hAnsi="仿宋" w:eastAsia="仿宋"/>
          <w:color w:val="auto"/>
          <w:sz w:val="24"/>
          <w:szCs w:val="24"/>
          <w:highlight w:val="none"/>
          <w:u w:val="single"/>
          <w:lang w:eastAsia="zh-CN"/>
        </w:rPr>
        <w:t>）</w:t>
      </w:r>
      <w:r>
        <w:rPr>
          <w:rFonts w:hint="eastAsia" w:ascii="仿宋" w:hAnsi="仿宋" w:eastAsia="仿宋"/>
          <w:color w:val="auto"/>
          <w:spacing w:val="8"/>
          <w:sz w:val="24"/>
          <w:szCs w:val="24"/>
          <w:highlight w:val="none"/>
        </w:rPr>
        <w:t>招标文件（编号：诸宸佳202</w:t>
      </w:r>
      <w:r>
        <w:rPr>
          <w:rFonts w:hint="eastAsia" w:ascii="仿宋" w:hAnsi="仿宋" w:eastAsia="仿宋"/>
          <w:color w:val="auto"/>
          <w:spacing w:val="8"/>
          <w:sz w:val="24"/>
          <w:szCs w:val="24"/>
          <w:highlight w:val="none"/>
          <w:lang w:val="en-US" w:eastAsia="zh-CN"/>
        </w:rPr>
        <w:t>4</w:t>
      </w:r>
      <w:r>
        <w:rPr>
          <w:rFonts w:ascii="仿宋" w:hAnsi="仿宋" w:eastAsia="仿宋"/>
          <w:color w:val="auto"/>
          <w:spacing w:val="8"/>
          <w:sz w:val="24"/>
          <w:szCs w:val="24"/>
          <w:highlight w:val="none"/>
        </w:rPr>
        <w:t>-</w:t>
      </w:r>
      <w:r>
        <w:rPr>
          <w:rFonts w:hint="eastAsia" w:ascii="仿宋" w:hAnsi="仿宋" w:eastAsia="仿宋"/>
          <w:color w:val="auto"/>
          <w:spacing w:val="8"/>
          <w:sz w:val="24"/>
          <w:szCs w:val="24"/>
          <w:highlight w:val="none"/>
        </w:rPr>
        <w:t>**</w:t>
      </w:r>
      <w:r>
        <w:rPr>
          <w:rFonts w:ascii="仿宋" w:hAnsi="仿宋" w:eastAsia="仿宋"/>
          <w:color w:val="auto"/>
          <w:spacing w:val="8"/>
          <w:sz w:val="24"/>
          <w:szCs w:val="24"/>
          <w:highlight w:val="none"/>
        </w:rPr>
        <w:t>-</w:t>
      </w:r>
      <w:r>
        <w:rPr>
          <w:rFonts w:hint="eastAsia" w:ascii="仿宋" w:hAnsi="仿宋" w:eastAsia="仿宋"/>
          <w:color w:val="auto"/>
          <w:spacing w:val="8"/>
          <w:sz w:val="24"/>
          <w:szCs w:val="24"/>
          <w:highlight w:val="none"/>
        </w:rPr>
        <w:t>**）有关要求，</w:t>
      </w:r>
      <w:r>
        <w:rPr>
          <w:rFonts w:hint="eastAsia" w:ascii="仿宋" w:hAnsi="仿宋" w:eastAsia="仿宋"/>
          <w:color w:val="auto"/>
          <w:spacing w:val="8"/>
          <w:sz w:val="24"/>
          <w:szCs w:val="24"/>
          <w:highlight w:val="none"/>
          <w:u w:val="single"/>
        </w:rPr>
        <w:t xml:space="preserve">（投标人全称）       </w:t>
      </w:r>
      <w:r>
        <w:rPr>
          <w:rFonts w:hint="eastAsia" w:ascii="仿宋" w:hAnsi="仿宋" w:eastAsia="仿宋"/>
          <w:color w:val="auto"/>
          <w:spacing w:val="8"/>
          <w:sz w:val="24"/>
          <w:szCs w:val="24"/>
          <w:highlight w:val="none"/>
        </w:rPr>
        <w:t>授权</w:t>
      </w:r>
      <w:r>
        <w:rPr>
          <w:rFonts w:hint="eastAsia" w:ascii="仿宋" w:hAnsi="仿宋" w:eastAsia="仿宋"/>
          <w:color w:val="auto"/>
          <w:spacing w:val="8"/>
          <w:sz w:val="24"/>
          <w:szCs w:val="24"/>
          <w:highlight w:val="none"/>
          <w:u w:val="single"/>
        </w:rPr>
        <w:t xml:space="preserve">  （委托代理人姓名）</w:t>
      </w:r>
      <w:r>
        <w:rPr>
          <w:rFonts w:hint="eastAsia" w:ascii="仿宋" w:hAnsi="仿宋" w:eastAsia="仿宋"/>
          <w:color w:val="auto"/>
          <w:sz w:val="24"/>
          <w:szCs w:val="24"/>
          <w:highlight w:val="none"/>
        </w:rPr>
        <w:t>为全权代表，参加贵方组织的招标采购活动，并进行投标。为此：</w:t>
      </w:r>
    </w:p>
    <w:p w14:paraId="3888B6C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ascii="仿宋" w:hAnsi="仿宋" w:eastAsia="仿宋"/>
          <w:bCs/>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我方已详细研读了全部招标文件，包括修改文件（如有的话）以及全部参考资料和有关附件等，</w:t>
      </w:r>
      <w:r>
        <w:rPr>
          <w:rFonts w:hint="eastAsia" w:ascii="仿宋" w:hAnsi="仿宋" w:eastAsia="仿宋"/>
          <w:bCs/>
          <w:color w:val="auto"/>
          <w:sz w:val="24"/>
          <w:szCs w:val="24"/>
          <w:highlight w:val="none"/>
        </w:rPr>
        <w:t>完全理解并接受招标文件的各项规定和要求，对招标文件的合理性、合法性不再有异议。</w:t>
      </w:r>
    </w:p>
    <w:p w14:paraId="237742B5">
      <w:pPr>
        <w:keepNext w:val="0"/>
        <w:keepLines w:val="0"/>
        <w:pageBreakBefore w:val="0"/>
        <w:widowControl w:val="0"/>
        <w:tabs>
          <w:tab w:val="left" w:pos="900"/>
        </w:tabs>
        <w:kinsoku/>
        <w:wordWrap/>
        <w:overflowPunct/>
        <w:topLinePunct w:val="0"/>
        <w:autoSpaceDE w:val="0"/>
        <w:autoSpaceDN w:val="0"/>
        <w:bidi w:val="0"/>
        <w:adjustRightInd w:val="0"/>
        <w:spacing w:line="420" w:lineRule="exact"/>
        <w:ind w:firstLine="480" w:firstLineChars="200"/>
        <w:textAlignment w:val="auto"/>
        <w:rPr>
          <w:rFonts w:ascii="仿宋" w:hAnsi="仿宋" w:eastAsia="仿宋"/>
          <w:color w:val="auto"/>
          <w:sz w:val="24"/>
          <w:szCs w:val="24"/>
          <w:highlight w:val="none"/>
        </w:rPr>
      </w:pPr>
      <w:r>
        <w:rPr>
          <w:rFonts w:hint="eastAsia" w:ascii="仿宋" w:hAnsi="仿宋" w:eastAsia="仿宋"/>
          <w:color w:val="auto"/>
          <w:sz w:val="24"/>
          <w:szCs w:val="24"/>
          <w:highlight w:val="none"/>
        </w:rPr>
        <w:t>2</w:t>
      </w:r>
      <w:r>
        <w:rPr>
          <w:rFonts w:hint="eastAsia" w:ascii="仿宋" w:hAnsi="仿宋" w:eastAsia="仿宋"/>
          <w:color w:val="auto"/>
          <w:sz w:val="24"/>
          <w:szCs w:val="24"/>
          <w:highlight w:val="none"/>
          <w:lang w:eastAsia="zh-CN"/>
        </w:rPr>
        <w:t>.</w:t>
      </w:r>
      <w:r>
        <w:rPr>
          <w:rFonts w:ascii="仿宋" w:hAnsi="仿宋" w:eastAsia="仿宋"/>
          <w:color w:val="auto"/>
          <w:sz w:val="24"/>
          <w:szCs w:val="24"/>
          <w:highlight w:val="none"/>
        </w:rPr>
        <w:t>我方承诺投标有效期从提交投标文件的截止之日起</w:t>
      </w:r>
      <w:r>
        <w:rPr>
          <w:rFonts w:hint="eastAsia" w:ascii="仿宋" w:hAnsi="仿宋" w:eastAsia="仿宋"/>
          <w:color w:val="auto"/>
          <w:sz w:val="24"/>
          <w:szCs w:val="24"/>
          <w:highlight w:val="none"/>
        </w:rPr>
        <w:t>___天（不少于</w:t>
      </w:r>
      <w:r>
        <w:rPr>
          <w:rFonts w:ascii="仿宋" w:hAnsi="仿宋" w:eastAsia="仿宋"/>
          <w:color w:val="auto"/>
          <w:sz w:val="24"/>
          <w:szCs w:val="24"/>
          <w:highlight w:val="none"/>
        </w:rPr>
        <w:t>90天）</w:t>
      </w:r>
      <w:r>
        <w:rPr>
          <w:rFonts w:hint="eastAsia" w:ascii="仿宋" w:hAnsi="仿宋" w:eastAsia="仿宋"/>
          <w:color w:val="auto"/>
          <w:sz w:val="24"/>
          <w:szCs w:val="24"/>
          <w:highlight w:val="none"/>
        </w:rPr>
        <w:t>，本投标文件在投标有效期满之前均具有约束力。</w:t>
      </w:r>
    </w:p>
    <w:p w14:paraId="6528B095">
      <w:pPr>
        <w:keepNext w:val="0"/>
        <w:keepLines w:val="0"/>
        <w:pageBreakBefore w:val="0"/>
        <w:widowControl w:val="0"/>
        <w:kinsoku/>
        <w:wordWrap/>
        <w:overflowPunct/>
        <w:topLinePunct w:val="0"/>
        <w:autoSpaceDE w:val="0"/>
        <w:autoSpaceDN w:val="0"/>
        <w:bidi w:val="0"/>
        <w:adjustRightInd w:val="0"/>
        <w:spacing w:line="420" w:lineRule="exact"/>
        <w:ind w:firstLine="480" w:firstLineChars="200"/>
        <w:textAlignment w:val="auto"/>
        <w:rPr>
          <w:rFonts w:ascii="仿宋" w:hAnsi="仿宋" w:eastAsia="仿宋"/>
          <w:color w:val="auto"/>
          <w:sz w:val="24"/>
          <w:szCs w:val="24"/>
          <w:highlight w:val="none"/>
        </w:rPr>
      </w:pPr>
      <w:r>
        <w:rPr>
          <w:rFonts w:hint="eastAsia" w:ascii="仿宋" w:hAnsi="仿宋" w:eastAsia="仿宋"/>
          <w:color w:val="auto"/>
          <w:sz w:val="24"/>
          <w:szCs w:val="24"/>
          <w:highlight w:val="none"/>
        </w:rPr>
        <w:t>3</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我方承诺已经具备《中华人民共和国政府采购法》及招标文件中规定的参加本项目的供应商资格条件。</w:t>
      </w:r>
    </w:p>
    <w:p w14:paraId="569F710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textAlignment w:val="auto"/>
        <w:rPr>
          <w:rFonts w:ascii="仿宋" w:hAnsi="仿宋" w:eastAsia="仿宋"/>
          <w:color w:val="auto"/>
          <w:sz w:val="24"/>
          <w:szCs w:val="24"/>
          <w:highlight w:val="none"/>
        </w:rPr>
      </w:pPr>
      <w:r>
        <w:rPr>
          <w:rFonts w:hint="eastAsia" w:ascii="仿宋" w:hAnsi="仿宋" w:eastAsia="仿宋"/>
          <w:color w:val="auto"/>
          <w:sz w:val="24"/>
          <w:szCs w:val="24"/>
          <w:highlight w:val="none"/>
        </w:rPr>
        <w:t>4</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我方严格按照招标文件的规定报价，并提供招标文件规定的全部投标文件。</w:t>
      </w:r>
    </w:p>
    <w:p w14:paraId="1FC8D863">
      <w:pPr>
        <w:keepNext w:val="0"/>
        <w:keepLines w:val="0"/>
        <w:pageBreakBefore w:val="0"/>
        <w:widowControl w:val="0"/>
        <w:kinsoku/>
        <w:wordWrap/>
        <w:overflowPunct/>
        <w:topLinePunct w:val="0"/>
        <w:autoSpaceDE w:val="0"/>
        <w:autoSpaceDN w:val="0"/>
        <w:bidi w:val="0"/>
        <w:adjustRightInd w:val="0"/>
        <w:spacing w:line="420" w:lineRule="exact"/>
        <w:ind w:firstLine="480" w:firstLineChars="200"/>
        <w:textAlignment w:val="auto"/>
        <w:rPr>
          <w:rFonts w:ascii="仿宋" w:hAnsi="仿宋" w:eastAsia="仿宋"/>
          <w:color w:val="auto"/>
          <w:sz w:val="24"/>
          <w:szCs w:val="24"/>
          <w:highlight w:val="none"/>
        </w:rPr>
      </w:pPr>
      <w:r>
        <w:rPr>
          <w:rFonts w:hint="eastAsia" w:ascii="仿宋" w:hAnsi="仿宋" w:eastAsia="仿宋"/>
          <w:color w:val="auto"/>
          <w:sz w:val="24"/>
          <w:szCs w:val="24"/>
          <w:highlight w:val="none"/>
        </w:rPr>
        <w:t>5</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如我方中标，投标文件将作为本项目合同的组成部分，直到合同履行完毕均保持有效，我方将按招标文件及政府采购法律、法规的规定履行合同责任和义务。</w:t>
      </w:r>
    </w:p>
    <w:p w14:paraId="3C97A26F">
      <w:pPr>
        <w:keepNext w:val="0"/>
        <w:keepLines w:val="0"/>
        <w:pageBreakBefore w:val="0"/>
        <w:widowControl w:val="0"/>
        <w:kinsoku/>
        <w:wordWrap/>
        <w:overflowPunct/>
        <w:topLinePunct w:val="0"/>
        <w:autoSpaceDE w:val="0"/>
        <w:autoSpaceDN w:val="0"/>
        <w:bidi w:val="0"/>
        <w:adjustRightInd w:val="0"/>
        <w:spacing w:line="420" w:lineRule="exact"/>
        <w:ind w:firstLine="480" w:firstLineChars="200"/>
        <w:textAlignment w:val="auto"/>
        <w:rPr>
          <w:rFonts w:ascii="仿宋" w:hAnsi="仿宋" w:eastAsia="仿宋"/>
          <w:color w:val="auto"/>
          <w:sz w:val="24"/>
          <w:szCs w:val="24"/>
          <w:highlight w:val="none"/>
        </w:rPr>
      </w:pPr>
      <w:r>
        <w:rPr>
          <w:rFonts w:hint="eastAsia" w:ascii="仿宋" w:hAnsi="仿宋" w:eastAsia="仿宋"/>
          <w:color w:val="auto"/>
          <w:sz w:val="24"/>
          <w:szCs w:val="24"/>
          <w:highlight w:val="none"/>
        </w:rPr>
        <w:t>6</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我方完全理解贵方不一定接受最低价的投标。</w:t>
      </w:r>
    </w:p>
    <w:p w14:paraId="103576DC">
      <w:pPr>
        <w:keepNext w:val="0"/>
        <w:keepLines w:val="0"/>
        <w:pageBreakBefore w:val="0"/>
        <w:widowControl w:val="0"/>
        <w:kinsoku/>
        <w:wordWrap/>
        <w:overflowPunct/>
        <w:topLinePunct w:val="0"/>
        <w:autoSpaceDE w:val="0"/>
        <w:autoSpaceDN w:val="0"/>
        <w:bidi w:val="0"/>
        <w:adjustRightInd w:val="0"/>
        <w:spacing w:line="420" w:lineRule="exact"/>
        <w:ind w:firstLine="480" w:firstLineChars="200"/>
        <w:textAlignment w:val="auto"/>
        <w:rPr>
          <w:rFonts w:ascii="仿宋" w:hAnsi="仿宋" w:eastAsia="仿宋"/>
          <w:color w:val="auto"/>
          <w:sz w:val="24"/>
          <w:szCs w:val="24"/>
          <w:highlight w:val="none"/>
        </w:rPr>
      </w:pPr>
      <w:r>
        <w:rPr>
          <w:rFonts w:hint="eastAsia" w:ascii="仿宋" w:hAnsi="仿宋" w:eastAsia="仿宋"/>
          <w:color w:val="auto"/>
          <w:sz w:val="24"/>
          <w:szCs w:val="24"/>
          <w:highlight w:val="none"/>
        </w:rPr>
        <w:t>7</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我方同意向贵方提供任何与该项投标有关的一切数据或资料。若贵方需要，我方愿意提供我方</w:t>
      </w:r>
      <w:r>
        <w:rPr>
          <w:rFonts w:hint="eastAsia" w:ascii="仿宋" w:hAnsi="仿宋" w:eastAsia="仿宋"/>
          <w:color w:val="auto"/>
          <w:sz w:val="24"/>
          <w:szCs w:val="24"/>
          <w:highlight w:val="none"/>
          <w:lang w:eastAsia="zh-CN"/>
        </w:rPr>
        <w:t>做出</w:t>
      </w:r>
      <w:r>
        <w:rPr>
          <w:rFonts w:hint="eastAsia" w:ascii="仿宋" w:hAnsi="仿宋" w:eastAsia="仿宋"/>
          <w:color w:val="auto"/>
          <w:sz w:val="24"/>
          <w:szCs w:val="24"/>
          <w:highlight w:val="none"/>
        </w:rPr>
        <w:t>的一切承诺的证明材料。</w:t>
      </w:r>
    </w:p>
    <w:p w14:paraId="6002387B">
      <w:pPr>
        <w:spacing w:line="42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8</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与本次投标有关的一切正式往来通讯，请寄：</w:t>
      </w:r>
    </w:p>
    <w:p w14:paraId="4AEAFF5A">
      <w:pPr>
        <w:spacing w:line="360" w:lineRule="auto"/>
        <w:ind w:firstLine="425"/>
        <w:rPr>
          <w:rFonts w:ascii="仿宋" w:hAnsi="仿宋" w:eastAsia="仿宋"/>
          <w:color w:val="auto"/>
          <w:sz w:val="24"/>
          <w:szCs w:val="24"/>
          <w:highlight w:val="none"/>
          <w:u w:val="single"/>
        </w:rPr>
      </w:pPr>
      <w:r>
        <w:rPr>
          <w:rFonts w:hint="eastAsia" w:ascii="仿宋" w:hAnsi="仿宋" w:eastAsia="仿宋"/>
          <w:color w:val="auto"/>
          <w:sz w:val="24"/>
          <w:szCs w:val="24"/>
          <w:highlight w:val="none"/>
        </w:rPr>
        <w:t>地址：_____________邮编：_____________</w:t>
      </w:r>
    </w:p>
    <w:p w14:paraId="2B60A4B3">
      <w:pPr>
        <w:spacing w:line="360" w:lineRule="auto"/>
        <w:ind w:firstLine="425"/>
        <w:rPr>
          <w:rFonts w:ascii="仿宋" w:hAnsi="仿宋" w:eastAsia="仿宋"/>
          <w:color w:val="auto"/>
          <w:sz w:val="24"/>
          <w:szCs w:val="24"/>
          <w:highlight w:val="none"/>
          <w:u w:val="single"/>
        </w:rPr>
      </w:pPr>
      <w:r>
        <w:rPr>
          <w:rFonts w:hint="eastAsia" w:ascii="仿宋" w:hAnsi="仿宋" w:eastAsia="仿宋"/>
          <w:color w:val="auto"/>
          <w:sz w:val="24"/>
          <w:szCs w:val="24"/>
          <w:highlight w:val="none"/>
        </w:rPr>
        <w:t>电话：_____________传真：_____________</w:t>
      </w:r>
    </w:p>
    <w:p w14:paraId="2FF92647">
      <w:pPr>
        <w:spacing w:line="360" w:lineRule="auto"/>
        <w:rPr>
          <w:rFonts w:ascii="仿宋" w:hAnsi="仿宋" w:eastAsia="仿宋"/>
          <w:color w:val="auto"/>
          <w:sz w:val="24"/>
          <w:szCs w:val="24"/>
          <w:highlight w:val="none"/>
        </w:rPr>
      </w:pPr>
    </w:p>
    <w:p w14:paraId="5A870422">
      <w:pPr>
        <w:wordWrap w:val="0"/>
        <w:spacing w:line="360" w:lineRule="auto"/>
        <w:ind w:firstLine="425"/>
        <w:jc w:val="both"/>
        <w:rPr>
          <w:rFonts w:ascii="仿宋" w:hAnsi="仿宋" w:eastAsia="仿宋"/>
          <w:color w:val="auto"/>
          <w:sz w:val="24"/>
          <w:szCs w:val="24"/>
          <w:highlight w:val="none"/>
          <w:u w:val="single"/>
        </w:rPr>
      </w:pPr>
      <w:r>
        <w:rPr>
          <w:rFonts w:hint="eastAsia" w:ascii="仿宋" w:hAnsi="仿宋" w:eastAsia="仿宋"/>
          <w:color w:val="auto"/>
          <w:sz w:val="24"/>
          <w:szCs w:val="24"/>
          <w:highlight w:val="none"/>
        </w:rPr>
        <w:t>投标人全称（电子签章）：</w:t>
      </w:r>
      <w:r>
        <w:rPr>
          <w:rFonts w:hint="eastAsia" w:ascii="仿宋" w:hAnsi="仿宋" w:eastAsia="仿宋"/>
          <w:color w:val="auto"/>
          <w:sz w:val="24"/>
          <w:szCs w:val="24"/>
          <w:highlight w:val="none"/>
          <w:u w:val="none"/>
        </w:rPr>
        <w:t>____________</w:t>
      </w:r>
    </w:p>
    <w:p w14:paraId="2A230975">
      <w:pPr>
        <w:widowControl/>
        <w:tabs>
          <w:tab w:val="left" w:pos="350"/>
          <w:tab w:val="left" w:pos="8280"/>
        </w:tabs>
        <w:spacing w:afterLines="100" w:line="360" w:lineRule="auto"/>
        <w:ind w:firstLine="425"/>
        <w:rPr>
          <w:rFonts w:ascii="仿宋" w:hAnsi="仿宋" w:eastAsia="仿宋"/>
          <w:color w:val="auto"/>
          <w:sz w:val="24"/>
          <w:szCs w:val="24"/>
          <w:highlight w:val="none"/>
        </w:rPr>
      </w:pPr>
      <w:r>
        <w:rPr>
          <w:rFonts w:hint="eastAsia" w:ascii="仿宋" w:hAnsi="仿宋" w:eastAsia="仿宋"/>
          <w:color w:val="auto"/>
          <w:sz w:val="24"/>
          <w:szCs w:val="24"/>
          <w:highlight w:val="none"/>
        </w:rPr>
        <w:t>日期：________年________月________日</w:t>
      </w:r>
    </w:p>
    <w:p w14:paraId="6B1C0465">
      <w:pPr>
        <w:widowControl/>
        <w:tabs>
          <w:tab w:val="left" w:pos="350"/>
          <w:tab w:val="left" w:pos="8280"/>
        </w:tabs>
        <w:spacing w:afterLines="200" w:line="360" w:lineRule="auto"/>
        <w:ind w:firstLine="425"/>
        <w:rPr>
          <w:rFonts w:ascii="仿宋" w:hAnsi="仿宋" w:eastAsia="仿宋"/>
          <w:b/>
          <w:i/>
          <w:color w:val="auto"/>
          <w:sz w:val="24"/>
          <w:szCs w:val="24"/>
          <w:highlight w:val="none"/>
          <w:u w:val="single"/>
        </w:rPr>
      </w:pPr>
      <w:r>
        <w:rPr>
          <w:rFonts w:hint="eastAsia" w:ascii="仿宋" w:hAnsi="仿宋" w:eastAsia="仿宋"/>
          <w:b/>
          <w:i/>
          <w:color w:val="auto"/>
          <w:sz w:val="24"/>
          <w:szCs w:val="24"/>
          <w:highlight w:val="none"/>
          <w:u w:val="single"/>
        </w:rPr>
        <w:t>注：按本格式和要求提供。</w:t>
      </w:r>
    </w:p>
    <w:p w14:paraId="72728B4E">
      <w:pPr>
        <w:widowControl/>
        <w:tabs>
          <w:tab w:val="left" w:pos="350"/>
          <w:tab w:val="left" w:pos="8280"/>
        </w:tabs>
        <w:spacing w:afterLines="200" w:line="360" w:lineRule="auto"/>
        <w:ind w:firstLine="425"/>
        <w:rPr>
          <w:rFonts w:ascii="仿宋" w:hAnsi="仿宋" w:eastAsia="仿宋"/>
          <w:color w:val="auto"/>
          <w:sz w:val="24"/>
          <w:szCs w:val="24"/>
          <w:highlight w:val="none"/>
        </w:rPr>
        <w:sectPr>
          <w:pgSz w:w="11905" w:h="16838"/>
          <w:pgMar w:top="1440" w:right="1083" w:bottom="1440" w:left="1083" w:header="850" w:footer="964" w:gutter="0"/>
          <w:pgNumType w:fmt="decimal"/>
          <w:cols w:space="0" w:num="1"/>
          <w:titlePg/>
          <w:rtlGutter w:val="0"/>
          <w:docGrid w:type="lines" w:linePitch="315" w:charSpace="0"/>
        </w:sectPr>
      </w:pPr>
    </w:p>
    <w:p w14:paraId="1B5A6E00">
      <w:pPr>
        <w:pStyle w:val="3"/>
        <w:spacing w:before="0" w:line="500" w:lineRule="exact"/>
        <w:jc w:val="center"/>
        <w:rPr>
          <w:rFonts w:ascii="仿宋" w:hAnsi="仿宋" w:eastAsia="仿宋"/>
          <w:color w:val="auto"/>
          <w:highlight w:val="none"/>
        </w:rPr>
      </w:pPr>
      <w:r>
        <w:rPr>
          <w:rFonts w:hint="eastAsia" w:ascii="仿宋" w:hAnsi="仿宋" w:eastAsia="仿宋"/>
          <w:color w:val="auto"/>
          <w:highlight w:val="none"/>
          <w:lang w:val="en-US" w:eastAsia="zh-CN"/>
        </w:rPr>
        <w:t>四</w:t>
      </w:r>
      <w:r>
        <w:rPr>
          <w:rFonts w:hint="eastAsia" w:ascii="仿宋" w:hAnsi="仿宋" w:eastAsia="仿宋"/>
          <w:color w:val="auto"/>
          <w:highlight w:val="none"/>
        </w:rPr>
        <w:t>、授权委托书（格式）</w:t>
      </w:r>
    </w:p>
    <w:p w14:paraId="26E6174E">
      <w:pPr>
        <w:spacing w:line="420" w:lineRule="exact"/>
        <w:rPr>
          <w:rFonts w:hint="eastAsia" w:ascii="仿宋" w:hAnsi="仿宋" w:eastAsia="仿宋" w:cs="宋体"/>
          <w:color w:val="auto"/>
          <w:spacing w:val="8"/>
          <w:sz w:val="24"/>
          <w:szCs w:val="24"/>
          <w:highlight w:val="none"/>
        </w:rPr>
      </w:pPr>
      <w:r>
        <w:rPr>
          <w:rFonts w:hint="eastAsia" w:ascii="仿宋" w:hAnsi="仿宋" w:eastAsia="仿宋" w:cs="宋体"/>
          <w:color w:val="auto"/>
          <w:spacing w:val="8"/>
          <w:sz w:val="24"/>
          <w:szCs w:val="24"/>
          <w:highlight w:val="none"/>
        </w:rPr>
        <w:t>诸暨市环境卫生管理集团有限公司</w:t>
      </w:r>
      <w:r>
        <w:rPr>
          <w:rFonts w:hint="eastAsia" w:ascii="仿宋" w:hAnsi="仿宋" w:eastAsia="仿宋" w:cs="宋体"/>
          <w:b/>
          <w:color w:val="auto"/>
          <w:sz w:val="24"/>
          <w:szCs w:val="24"/>
          <w:highlight w:val="none"/>
        </w:rPr>
        <w:t>、</w:t>
      </w:r>
      <w:r>
        <w:rPr>
          <w:rFonts w:hint="eastAsia" w:ascii="仿宋" w:hAnsi="仿宋" w:eastAsia="仿宋" w:cs="仿宋"/>
          <w:color w:val="auto"/>
          <w:spacing w:val="8"/>
          <w:sz w:val="24"/>
          <w:szCs w:val="24"/>
          <w:highlight w:val="none"/>
        </w:rPr>
        <w:t>诸暨市宸佳工程管理有限公司</w:t>
      </w:r>
      <w:r>
        <w:rPr>
          <w:rFonts w:hint="eastAsia" w:ascii="仿宋" w:hAnsi="仿宋" w:eastAsia="仿宋" w:cs="宋体"/>
          <w:color w:val="auto"/>
          <w:spacing w:val="8"/>
          <w:sz w:val="24"/>
          <w:szCs w:val="24"/>
          <w:highlight w:val="none"/>
        </w:rPr>
        <w:t>：</w:t>
      </w:r>
    </w:p>
    <w:p w14:paraId="62077CA3">
      <w:pPr>
        <w:spacing w:line="42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我</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姓名</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 xml:space="preserve">　 （职务：     身份证号码：    ） </w:t>
      </w:r>
      <w:r>
        <w:rPr>
          <w:rFonts w:hint="eastAsia" w:ascii="仿宋" w:hAnsi="仿宋" w:eastAsia="仿宋"/>
          <w:color w:val="auto"/>
          <w:sz w:val="24"/>
          <w:szCs w:val="24"/>
          <w:highlight w:val="none"/>
        </w:rPr>
        <w:t>系</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投标人名称</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　　</w:t>
      </w:r>
      <w:r>
        <w:rPr>
          <w:rFonts w:hint="eastAsia" w:ascii="仿宋" w:hAnsi="仿宋" w:eastAsia="仿宋"/>
          <w:color w:val="auto"/>
          <w:sz w:val="24"/>
          <w:szCs w:val="24"/>
          <w:highlight w:val="none"/>
        </w:rPr>
        <w:t>的</w:t>
      </w:r>
      <w:r>
        <w:rPr>
          <w:rFonts w:hint="eastAsia" w:ascii="仿宋" w:hAnsi="仿宋" w:eastAsia="仿宋"/>
          <w:color w:val="auto"/>
          <w:sz w:val="24"/>
          <w:szCs w:val="24"/>
          <w:highlight w:val="none"/>
          <w:u w:val="single"/>
        </w:rPr>
        <w:t xml:space="preserve">（法定代表人或单位负责人）  </w:t>
      </w:r>
      <w:r>
        <w:rPr>
          <w:rFonts w:hint="eastAsia" w:ascii="仿宋" w:hAnsi="仿宋" w:eastAsia="仿宋"/>
          <w:color w:val="auto"/>
          <w:sz w:val="24"/>
          <w:szCs w:val="24"/>
          <w:highlight w:val="none"/>
        </w:rPr>
        <w:t>，现授权委托本单位在职职工</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姓名</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 xml:space="preserve">   （职务：    身份证号码：     ）</w:t>
      </w:r>
      <w:r>
        <w:rPr>
          <w:rFonts w:hint="eastAsia" w:ascii="仿宋" w:hAnsi="仿宋" w:eastAsia="仿宋"/>
          <w:color w:val="auto"/>
          <w:sz w:val="24"/>
          <w:szCs w:val="24"/>
          <w:highlight w:val="none"/>
        </w:rPr>
        <w:t>以我方的名义参加贵方组织的</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lang w:eastAsia="zh-CN"/>
        </w:rPr>
        <w:t>（</w:t>
      </w:r>
      <w:r>
        <w:rPr>
          <w:rFonts w:hint="eastAsia" w:ascii="仿宋" w:hAnsi="仿宋" w:eastAsia="仿宋"/>
          <w:color w:val="auto"/>
          <w:sz w:val="24"/>
          <w:szCs w:val="24"/>
          <w:highlight w:val="none"/>
          <w:u w:val="single"/>
        </w:rPr>
        <w:t>项目名称</w:t>
      </w:r>
      <w:r>
        <w:rPr>
          <w:rFonts w:hint="eastAsia" w:ascii="仿宋" w:hAnsi="仿宋" w:eastAsia="仿宋"/>
          <w:color w:val="auto"/>
          <w:sz w:val="24"/>
          <w:szCs w:val="24"/>
          <w:highlight w:val="none"/>
          <w:u w:val="single"/>
          <w:lang w:eastAsia="zh-CN"/>
        </w:rPr>
        <w:t>）</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none"/>
        </w:rPr>
        <w:t>项目</w:t>
      </w:r>
      <w:r>
        <w:rPr>
          <w:rFonts w:hint="eastAsia" w:ascii="仿宋" w:hAnsi="仿宋" w:eastAsia="仿宋"/>
          <w:color w:val="auto"/>
          <w:sz w:val="24"/>
          <w:szCs w:val="24"/>
          <w:highlight w:val="none"/>
        </w:rPr>
        <w:t>的投标活动，并代表我方全权办理针对上述项目的投标、开标、评标、签约等具体事务和签署相关文件。</w:t>
      </w:r>
    </w:p>
    <w:p w14:paraId="16711217">
      <w:pPr>
        <w:snapToGrid w:val="0"/>
        <w:spacing w:line="42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我方对被授权人的签名事项负全部责任。</w:t>
      </w:r>
    </w:p>
    <w:p w14:paraId="69E87FBE">
      <w:pPr>
        <w:snapToGrid w:val="0"/>
        <w:spacing w:line="42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在撤销授权的书面通知以前，本授权书一直有效。被授权人在授权书有效期内签署的所有文件不因授权的撤销而失效。</w:t>
      </w:r>
    </w:p>
    <w:p w14:paraId="788A538B">
      <w:pPr>
        <w:snapToGrid w:val="0"/>
        <w:spacing w:line="42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被授权人无转委托权，特此委托。</w:t>
      </w:r>
    </w:p>
    <w:p w14:paraId="38C54291">
      <w:pPr>
        <w:snapToGrid w:val="0"/>
        <w:spacing w:line="360" w:lineRule="auto"/>
        <w:ind w:firstLine="480"/>
        <w:rPr>
          <w:rFonts w:ascii="仿宋" w:hAnsi="仿宋" w:eastAsia="仿宋"/>
          <w:color w:val="auto"/>
          <w:sz w:val="24"/>
          <w:szCs w:val="24"/>
          <w:highlight w:val="none"/>
        </w:rPr>
      </w:pPr>
    </w:p>
    <w:p w14:paraId="13233A63">
      <w:pPr>
        <w:spacing w:line="420" w:lineRule="exact"/>
        <w:ind w:firstLine="470" w:firstLineChars="196"/>
        <w:rPr>
          <w:rFonts w:ascii="仿宋" w:hAnsi="仿宋" w:eastAsia="仿宋"/>
          <w:bCs/>
          <w:i/>
          <w:color w:val="auto"/>
          <w:sz w:val="24"/>
          <w:szCs w:val="24"/>
          <w:highlight w:val="none"/>
          <w:u w:val="single"/>
        </w:rPr>
      </w:pPr>
      <w:r>
        <w:rPr>
          <w:rFonts w:hint="eastAsia" w:ascii="仿宋" w:hAnsi="仿宋" w:eastAsia="仿宋"/>
          <w:bCs/>
          <w:i/>
          <w:color w:val="auto"/>
          <w:sz w:val="24"/>
          <w:szCs w:val="24"/>
          <w:highlight w:val="none"/>
          <w:u w:val="single"/>
        </w:rPr>
        <w:t>注：《授权委托书》须后附法定代表人（或单位负责人）和被授权人的身份证（正反面）复印件（加盖单位公章）。</w:t>
      </w:r>
    </w:p>
    <w:p w14:paraId="11A432C4">
      <w:pPr>
        <w:spacing w:line="360" w:lineRule="auto"/>
        <w:rPr>
          <w:rFonts w:ascii="仿宋" w:hAnsi="仿宋" w:eastAsia="仿宋"/>
          <w:b/>
          <w:color w:val="auto"/>
          <w:sz w:val="24"/>
          <w:szCs w:val="24"/>
          <w:highlight w:val="none"/>
        </w:rPr>
      </w:pPr>
    </w:p>
    <w:p w14:paraId="552E0207">
      <w:pPr>
        <w:wordWrap w:val="0"/>
        <w:spacing w:line="360" w:lineRule="auto"/>
        <w:ind w:firstLine="425"/>
        <w:jc w:val="right"/>
        <w:rPr>
          <w:rFonts w:ascii="仿宋" w:hAnsi="仿宋" w:eastAsia="仿宋"/>
          <w:color w:val="auto"/>
          <w:sz w:val="24"/>
          <w:szCs w:val="24"/>
          <w:highlight w:val="none"/>
          <w:u w:val="single"/>
        </w:rPr>
      </w:pPr>
      <w:r>
        <w:rPr>
          <w:rFonts w:hint="eastAsia" w:ascii="仿宋" w:hAnsi="仿宋" w:eastAsia="仿宋"/>
          <w:color w:val="auto"/>
          <w:sz w:val="24"/>
          <w:szCs w:val="24"/>
          <w:highlight w:val="none"/>
        </w:rPr>
        <w:t>投标人全称（电子签章）：</w:t>
      </w:r>
      <w:r>
        <w:rPr>
          <w:rFonts w:hint="eastAsia" w:ascii="仿宋" w:hAnsi="仿宋" w:eastAsia="仿宋"/>
          <w:color w:val="auto"/>
          <w:sz w:val="24"/>
          <w:szCs w:val="24"/>
          <w:highlight w:val="none"/>
          <w:u w:val="none"/>
        </w:rPr>
        <w:t>____________</w:t>
      </w:r>
    </w:p>
    <w:p w14:paraId="0B6B33DD">
      <w:pPr>
        <w:spacing w:line="360" w:lineRule="auto"/>
        <w:ind w:firstLine="425"/>
        <w:jc w:val="right"/>
        <w:rPr>
          <w:rFonts w:ascii="仿宋" w:hAnsi="仿宋" w:eastAsia="仿宋"/>
          <w:color w:val="auto"/>
          <w:sz w:val="24"/>
          <w:szCs w:val="24"/>
          <w:highlight w:val="none"/>
        </w:rPr>
      </w:pPr>
      <w:r>
        <w:rPr>
          <w:rFonts w:hint="eastAsia" w:ascii="仿宋" w:hAnsi="仿宋" w:eastAsia="仿宋"/>
          <w:color w:val="auto"/>
          <w:sz w:val="24"/>
          <w:szCs w:val="24"/>
          <w:highlight w:val="none"/>
        </w:rPr>
        <w:t>日期：________年________月________日</w:t>
      </w:r>
    </w:p>
    <w:p w14:paraId="0B7D5BDE">
      <w:pPr>
        <w:spacing w:line="480" w:lineRule="auto"/>
        <w:rPr>
          <w:rFonts w:ascii="仿宋" w:hAnsi="仿宋" w:eastAsia="仿宋"/>
          <w:b/>
          <w:bCs/>
          <w:color w:val="auto"/>
          <w:spacing w:val="-6"/>
          <w:sz w:val="24"/>
          <w:szCs w:val="24"/>
          <w:highlight w:val="none"/>
        </w:rPr>
      </w:pPr>
    </w:p>
    <w:p w14:paraId="14E4047D">
      <w:pPr>
        <w:spacing w:line="420" w:lineRule="exact"/>
        <w:rPr>
          <w:rFonts w:ascii="仿宋" w:hAnsi="仿宋" w:eastAsia="仿宋"/>
          <w:b/>
          <w:i/>
          <w:color w:val="auto"/>
          <w:sz w:val="24"/>
          <w:szCs w:val="24"/>
          <w:highlight w:val="none"/>
          <w:u w:val="single"/>
        </w:rPr>
      </w:pPr>
      <w:r>
        <w:rPr>
          <w:rFonts w:hint="eastAsia" w:ascii="仿宋" w:hAnsi="仿宋" w:eastAsia="仿宋"/>
          <w:b/>
          <w:bCs/>
          <w:i/>
          <w:color w:val="auto"/>
          <w:spacing w:val="-6"/>
          <w:sz w:val="24"/>
          <w:szCs w:val="24"/>
          <w:highlight w:val="none"/>
          <w:u w:val="single"/>
        </w:rPr>
        <w:t>说明：</w:t>
      </w:r>
    </w:p>
    <w:p w14:paraId="7D3050EE">
      <w:pPr>
        <w:spacing w:line="420" w:lineRule="exact"/>
        <w:rPr>
          <w:rFonts w:ascii="仿宋" w:hAnsi="仿宋" w:eastAsia="仿宋"/>
          <w:bCs/>
          <w:i/>
          <w:color w:val="auto"/>
          <w:sz w:val="24"/>
          <w:szCs w:val="24"/>
          <w:highlight w:val="none"/>
          <w:u w:val="single"/>
        </w:rPr>
      </w:pPr>
      <w:r>
        <w:rPr>
          <w:rFonts w:hint="eastAsia" w:ascii="仿宋" w:hAnsi="仿宋" w:eastAsia="仿宋"/>
          <w:bCs/>
          <w:i/>
          <w:color w:val="auto"/>
          <w:sz w:val="24"/>
          <w:szCs w:val="24"/>
          <w:highlight w:val="none"/>
          <w:u w:val="single"/>
        </w:rPr>
        <w:t>1、</w:t>
      </w:r>
      <w:r>
        <w:rPr>
          <w:rFonts w:ascii="仿宋" w:hAnsi="仿宋" w:eastAsia="仿宋"/>
          <w:bCs/>
          <w:i/>
          <w:color w:val="auto"/>
          <w:sz w:val="24"/>
          <w:szCs w:val="24"/>
          <w:highlight w:val="none"/>
          <w:u w:val="single"/>
        </w:rPr>
        <w:t>投标人代表为法定代表人（或单位负责人）的，只需提供法定代表人（或单位负责人）身份证（正反面）复印件（加盖单位公章）。</w:t>
      </w:r>
    </w:p>
    <w:p w14:paraId="6EB36032">
      <w:pPr>
        <w:widowControl/>
        <w:tabs>
          <w:tab w:val="left" w:pos="350"/>
          <w:tab w:val="left" w:pos="8280"/>
        </w:tabs>
        <w:spacing w:line="420" w:lineRule="exact"/>
        <w:rPr>
          <w:rFonts w:ascii="仿宋" w:hAnsi="仿宋" w:eastAsia="仿宋"/>
          <w:bCs/>
          <w:color w:val="auto"/>
          <w:sz w:val="24"/>
          <w:highlight w:val="none"/>
          <w:u w:val="single"/>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bCs/>
          <w:i/>
          <w:color w:val="auto"/>
          <w:sz w:val="24"/>
          <w:szCs w:val="24"/>
          <w:highlight w:val="none"/>
          <w:u w:val="single"/>
        </w:rPr>
        <w:t>2、</w:t>
      </w:r>
      <w:r>
        <w:rPr>
          <w:rFonts w:ascii="仿宋" w:hAnsi="仿宋" w:eastAsia="仿宋"/>
          <w:bCs/>
          <w:i/>
          <w:color w:val="auto"/>
          <w:sz w:val="24"/>
          <w:highlight w:val="none"/>
          <w:u w:val="single"/>
        </w:rPr>
        <w:t>投标人代表不是法定代表人（或单位负责人）的，必须提供《授权委托书》。</w:t>
      </w:r>
    </w:p>
    <w:p w14:paraId="2F267BAA">
      <w:pPr>
        <w:pStyle w:val="3"/>
        <w:spacing w:before="0" w:line="500" w:lineRule="exact"/>
        <w:jc w:val="center"/>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五</w:t>
      </w:r>
      <w:r>
        <w:rPr>
          <w:rFonts w:hint="eastAsia" w:ascii="仿宋" w:hAnsi="仿宋" w:eastAsia="仿宋"/>
          <w:color w:val="auto"/>
          <w:highlight w:val="none"/>
        </w:rPr>
        <w:t>、开标一览表（格式）</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标项1</w:t>
      </w:r>
      <w:r>
        <w:rPr>
          <w:rFonts w:hint="eastAsia" w:ascii="仿宋" w:hAnsi="仿宋" w:eastAsia="仿宋"/>
          <w:color w:val="auto"/>
          <w:highlight w:val="none"/>
          <w:lang w:eastAsia="zh-CN"/>
        </w:rPr>
        <w:t>）</w:t>
      </w:r>
    </w:p>
    <w:p w14:paraId="235130BD">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rPr>
        <w:t>项目名称：</w:t>
      </w:r>
      <w:r>
        <w:rPr>
          <w:rFonts w:hint="eastAsia" w:ascii="仿宋" w:hAnsi="仿宋" w:eastAsia="仿宋"/>
          <w:b/>
          <w:bCs/>
          <w:color w:val="auto"/>
          <w:sz w:val="24"/>
          <w:szCs w:val="24"/>
          <w:highlight w:val="none"/>
          <w:lang w:val="en-US" w:eastAsia="zh-CN"/>
        </w:rPr>
        <w:t>诸暨市环境卫生管理集团有限公司2024-2025年度环卫作业生产物资采购项目</w:t>
      </w:r>
    </w:p>
    <w:p w14:paraId="11F5BD1C">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rPr>
        <w:t>项目编号：诸宸佳</w:t>
      </w:r>
      <w:r>
        <w:rPr>
          <w:rFonts w:hint="eastAsia" w:ascii="仿宋" w:hAnsi="仿宋" w:eastAsia="仿宋"/>
          <w:b/>
          <w:bCs/>
          <w:color w:val="auto"/>
          <w:sz w:val="24"/>
          <w:szCs w:val="24"/>
          <w:highlight w:val="none"/>
          <w:lang w:eastAsia="zh-CN"/>
        </w:rPr>
        <w:t>2024-</w:t>
      </w: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eastAsia="zh-CN"/>
        </w:rPr>
        <w:t>-</w:t>
      </w:r>
      <w:r>
        <w:rPr>
          <w:rFonts w:hint="eastAsia" w:ascii="仿宋" w:hAnsi="仿宋" w:eastAsia="仿宋"/>
          <w:b/>
          <w:bCs/>
          <w:color w:val="auto"/>
          <w:sz w:val="24"/>
          <w:szCs w:val="24"/>
          <w:highlight w:val="none"/>
          <w:lang w:val="en-US" w:eastAsia="zh-CN"/>
        </w:rPr>
        <w:t>**</w:t>
      </w:r>
    </w:p>
    <w:tbl>
      <w:tblPr>
        <w:tblStyle w:val="5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889"/>
        <w:gridCol w:w="2808"/>
        <w:gridCol w:w="3300"/>
      </w:tblGrid>
      <w:tr w14:paraId="460C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082" w:type="dxa"/>
            <w:vMerge w:val="restart"/>
            <w:noWrap w:val="0"/>
            <w:vAlign w:val="center"/>
          </w:tcPr>
          <w:p w14:paraId="325DF1CC">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w:t>
            </w:r>
          </w:p>
        </w:tc>
        <w:tc>
          <w:tcPr>
            <w:tcW w:w="1889" w:type="dxa"/>
            <w:vMerge w:val="restart"/>
            <w:noWrap w:val="0"/>
            <w:vAlign w:val="center"/>
          </w:tcPr>
          <w:p w14:paraId="028F0B64">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标项内容</w:t>
            </w:r>
          </w:p>
        </w:tc>
        <w:tc>
          <w:tcPr>
            <w:tcW w:w="6108" w:type="dxa"/>
            <w:gridSpan w:val="2"/>
            <w:noWrap w:val="0"/>
            <w:vAlign w:val="center"/>
          </w:tcPr>
          <w:p w14:paraId="62FEF6F9">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统一单价折扣（%）</w:t>
            </w:r>
          </w:p>
        </w:tc>
      </w:tr>
      <w:tr w14:paraId="6FB0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082" w:type="dxa"/>
            <w:vMerge w:val="continue"/>
            <w:noWrap w:val="0"/>
            <w:vAlign w:val="center"/>
          </w:tcPr>
          <w:p w14:paraId="38A8A80B">
            <w:pPr>
              <w:jc w:val="center"/>
              <w:rPr>
                <w:rFonts w:hint="eastAsia" w:ascii="仿宋" w:hAnsi="仿宋" w:eastAsia="仿宋" w:cs="仿宋"/>
                <w:b/>
                <w:color w:val="auto"/>
                <w:sz w:val="28"/>
                <w:szCs w:val="28"/>
                <w:highlight w:val="none"/>
              </w:rPr>
            </w:pPr>
          </w:p>
        </w:tc>
        <w:tc>
          <w:tcPr>
            <w:tcW w:w="1889" w:type="dxa"/>
            <w:vMerge w:val="continue"/>
            <w:noWrap w:val="0"/>
            <w:vAlign w:val="center"/>
          </w:tcPr>
          <w:p w14:paraId="0F59BED3">
            <w:pPr>
              <w:jc w:val="center"/>
              <w:rPr>
                <w:rFonts w:hint="eastAsia" w:ascii="仿宋" w:hAnsi="仿宋" w:eastAsia="仿宋" w:cs="仿宋"/>
                <w:b/>
                <w:color w:val="auto"/>
                <w:sz w:val="28"/>
                <w:szCs w:val="28"/>
                <w:highlight w:val="none"/>
              </w:rPr>
            </w:pPr>
          </w:p>
        </w:tc>
        <w:tc>
          <w:tcPr>
            <w:tcW w:w="2808" w:type="dxa"/>
            <w:noWrap w:val="0"/>
            <w:vAlign w:val="center"/>
          </w:tcPr>
          <w:p w14:paraId="169F6BB5">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小写</w:t>
            </w:r>
          </w:p>
        </w:tc>
        <w:tc>
          <w:tcPr>
            <w:tcW w:w="3300" w:type="dxa"/>
            <w:noWrap w:val="0"/>
            <w:vAlign w:val="center"/>
          </w:tcPr>
          <w:p w14:paraId="66549B29">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大写</w:t>
            </w:r>
          </w:p>
        </w:tc>
      </w:tr>
      <w:tr w14:paraId="0596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1082" w:type="dxa"/>
            <w:noWrap w:val="0"/>
            <w:vAlign w:val="center"/>
          </w:tcPr>
          <w:p w14:paraId="21861327">
            <w:pPr>
              <w:jc w:val="center"/>
              <w:rPr>
                <w:rFonts w:hint="default"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标项1</w:t>
            </w:r>
          </w:p>
        </w:tc>
        <w:tc>
          <w:tcPr>
            <w:tcW w:w="1889" w:type="dxa"/>
            <w:noWrap w:val="0"/>
            <w:vAlign w:val="center"/>
          </w:tcPr>
          <w:p w14:paraId="4FAA32BE">
            <w:pPr>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日杂百货</w:t>
            </w:r>
          </w:p>
        </w:tc>
        <w:tc>
          <w:tcPr>
            <w:tcW w:w="2808" w:type="dxa"/>
            <w:noWrap w:val="0"/>
            <w:vAlign w:val="center"/>
          </w:tcPr>
          <w:p w14:paraId="7E661B66">
            <w:pPr>
              <w:spacing w:line="700" w:lineRule="exact"/>
              <w:jc w:val="center"/>
              <w:rPr>
                <w:rFonts w:hint="eastAsia" w:ascii="仿宋" w:hAnsi="仿宋" w:eastAsia="仿宋" w:cs="仿宋"/>
                <w:color w:val="auto"/>
                <w:sz w:val="28"/>
                <w:szCs w:val="28"/>
                <w:highlight w:val="none"/>
              </w:rPr>
            </w:pPr>
          </w:p>
        </w:tc>
        <w:tc>
          <w:tcPr>
            <w:tcW w:w="3300" w:type="dxa"/>
            <w:noWrap w:val="0"/>
            <w:vAlign w:val="center"/>
          </w:tcPr>
          <w:p w14:paraId="48190A3C">
            <w:pPr>
              <w:spacing w:line="700" w:lineRule="exact"/>
              <w:jc w:val="center"/>
              <w:rPr>
                <w:rFonts w:hint="eastAsia" w:ascii="仿宋" w:hAnsi="仿宋" w:eastAsia="仿宋" w:cs="仿宋"/>
                <w:color w:val="auto"/>
                <w:sz w:val="28"/>
                <w:szCs w:val="28"/>
                <w:highlight w:val="none"/>
              </w:rPr>
            </w:pPr>
          </w:p>
        </w:tc>
      </w:tr>
    </w:tbl>
    <w:p w14:paraId="026FAC6A">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备注：</w:t>
      </w:r>
    </w:p>
    <w:p w14:paraId="1CDC1BC9">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投标报价说明：</w:t>
      </w:r>
      <w:r>
        <w:rPr>
          <w:rFonts w:hint="default" w:ascii="仿宋" w:hAnsi="仿宋" w:eastAsia="仿宋" w:cs="仿宋"/>
          <w:b w:val="0"/>
          <w:bCs w:val="0"/>
          <w:color w:val="auto"/>
          <w:sz w:val="24"/>
          <w:szCs w:val="24"/>
          <w:highlight w:val="none"/>
          <w:lang w:val="en-US" w:eastAsia="zh-CN"/>
        </w:rPr>
        <w:t>本项目采用按标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统一单价折扣报价（折扣统一按百分比填写，如报九折，则按90.00%填写）。折扣报价可保留到小数点后二位。中标单价=最高单价限价*中标折扣。</w:t>
      </w:r>
    </w:p>
    <w:p w14:paraId="0F388B0A">
      <w:pPr>
        <w:spacing w:line="480" w:lineRule="auto"/>
        <w:jc w:val="right"/>
        <w:rPr>
          <w:rFonts w:hint="eastAsia" w:ascii="仿宋" w:hAnsi="仿宋" w:eastAsia="仿宋"/>
          <w:color w:val="auto"/>
          <w:sz w:val="24"/>
          <w:szCs w:val="24"/>
          <w:highlight w:val="none"/>
        </w:rPr>
      </w:pPr>
    </w:p>
    <w:p w14:paraId="3FED09DB">
      <w:pPr>
        <w:spacing w:line="480" w:lineRule="auto"/>
        <w:jc w:val="right"/>
        <w:rPr>
          <w:rFonts w:ascii="仿宋" w:hAnsi="仿宋" w:eastAsia="仿宋"/>
          <w:color w:val="auto"/>
          <w:sz w:val="24"/>
          <w:szCs w:val="24"/>
          <w:highlight w:val="none"/>
        </w:rPr>
      </w:pPr>
      <w:r>
        <w:rPr>
          <w:rFonts w:hint="eastAsia" w:ascii="仿宋" w:hAnsi="仿宋" w:eastAsia="仿宋"/>
          <w:color w:val="auto"/>
          <w:sz w:val="24"/>
          <w:szCs w:val="24"/>
          <w:highlight w:val="none"/>
        </w:rPr>
        <w:t>投标人全称（电子签章）：___________</w:t>
      </w:r>
    </w:p>
    <w:p w14:paraId="3258CA9C">
      <w:pPr>
        <w:spacing w:line="360" w:lineRule="auto"/>
        <w:jc w:val="right"/>
        <w:rPr>
          <w:rFonts w:hint="eastAsia" w:ascii="仿宋" w:hAnsi="仿宋" w:eastAsia="仿宋"/>
          <w:color w:val="auto"/>
          <w:sz w:val="24"/>
          <w:szCs w:val="24"/>
          <w:highlight w:val="none"/>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highlight w:val="none"/>
        </w:rPr>
        <w:t>日  期：_______年_______月_______日</w:t>
      </w:r>
    </w:p>
    <w:p w14:paraId="1FEEEDA2">
      <w:pPr>
        <w:pStyle w:val="3"/>
        <w:spacing w:before="0" w:line="500" w:lineRule="exact"/>
        <w:jc w:val="center"/>
        <w:rPr>
          <w:rFonts w:hint="eastAsia" w:ascii="仿宋" w:hAnsi="仿宋" w:eastAsia="仿宋"/>
          <w:color w:val="auto"/>
          <w:highlight w:val="none"/>
          <w:lang w:eastAsia="zh-CN"/>
        </w:rPr>
      </w:pPr>
      <w:r>
        <w:rPr>
          <w:rFonts w:hint="eastAsia" w:ascii="仿宋" w:hAnsi="仿宋" w:eastAsia="仿宋"/>
          <w:color w:val="auto"/>
          <w:highlight w:val="none"/>
        </w:rPr>
        <w:t>开标一览表（格式）</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标项2</w:t>
      </w:r>
      <w:r>
        <w:rPr>
          <w:rFonts w:hint="eastAsia" w:ascii="仿宋" w:hAnsi="仿宋" w:eastAsia="仿宋"/>
          <w:color w:val="auto"/>
          <w:highlight w:val="none"/>
          <w:lang w:eastAsia="zh-CN"/>
        </w:rPr>
        <w:t>）</w:t>
      </w:r>
    </w:p>
    <w:p w14:paraId="3372D450">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rPr>
        <w:t>项目名称：</w:t>
      </w:r>
      <w:r>
        <w:rPr>
          <w:rFonts w:hint="eastAsia" w:ascii="仿宋" w:hAnsi="仿宋" w:eastAsia="仿宋"/>
          <w:b/>
          <w:bCs/>
          <w:color w:val="auto"/>
          <w:sz w:val="24"/>
          <w:szCs w:val="24"/>
          <w:highlight w:val="none"/>
          <w:lang w:val="en-US" w:eastAsia="zh-CN"/>
        </w:rPr>
        <w:t>诸暨市环境卫生管理集团有限公司2024-2025年度环卫作业生产物资采购项目</w:t>
      </w:r>
    </w:p>
    <w:p w14:paraId="44869148">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rPr>
        <w:t>项目编号：诸宸佳</w:t>
      </w:r>
      <w:r>
        <w:rPr>
          <w:rFonts w:hint="eastAsia" w:ascii="仿宋" w:hAnsi="仿宋" w:eastAsia="仿宋"/>
          <w:b/>
          <w:bCs/>
          <w:color w:val="auto"/>
          <w:sz w:val="24"/>
          <w:szCs w:val="24"/>
          <w:highlight w:val="none"/>
          <w:lang w:eastAsia="zh-CN"/>
        </w:rPr>
        <w:t>2024-</w:t>
      </w: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eastAsia="zh-CN"/>
        </w:rPr>
        <w:t>-</w:t>
      </w:r>
      <w:r>
        <w:rPr>
          <w:rFonts w:hint="eastAsia" w:ascii="仿宋" w:hAnsi="仿宋" w:eastAsia="仿宋"/>
          <w:b/>
          <w:bCs/>
          <w:color w:val="auto"/>
          <w:sz w:val="24"/>
          <w:szCs w:val="24"/>
          <w:highlight w:val="none"/>
          <w:lang w:val="en-US" w:eastAsia="zh-CN"/>
        </w:rPr>
        <w:t>**</w:t>
      </w:r>
    </w:p>
    <w:tbl>
      <w:tblPr>
        <w:tblStyle w:val="5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889"/>
        <w:gridCol w:w="2808"/>
        <w:gridCol w:w="3300"/>
      </w:tblGrid>
      <w:tr w14:paraId="2DA9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082" w:type="dxa"/>
            <w:vMerge w:val="restart"/>
            <w:noWrap w:val="0"/>
            <w:vAlign w:val="center"/>
          </w:tcPr>
          <w:p w14:paraId="54FB9EB5">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w:t>
            </w:r>
          </w:p>
        </w:tc>
        <w:tc>
          <w:tcPr>
            <w:tcW w:w="1889" w:type="dxa"/>
            <w:vMerge w:val="restart"/>
            <w:noWrap w:val="0"/>
            <w:vAlign w:val="center"/>
          </w:tcPr>
          <w:p w14:paraId="49F244EE">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标项内容</w:t>
            </w:r>
          </w:p>
        </w:tc>
        <w:tc>
          <w:tcPr>
            <w:tcW w:w="6108" w:type="dxa"/>
            <w:gridSpan w:val="2"/>
            <w:noWrap w:val="0"/>
            <w:vAlign w:val="center"/>
          </w:tcPr>
          <w:p w14:paraId="04F39F58">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统一单价折扣（%）</w:t>
            </w:r>
          </w:p>
        </w:tc>
      </w:tr>
      <w:tr w14:paraId="70E6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082" w:type="dxa"/>
            <w:vMerge w:val="continue"/>
            <w:noWrap w:val="0"/>
            <w:vAlign w:val="center"/>
          </w:tcPr>
          <w:p w14:paraId="18B07B4E">
            <w:pPr>
              <w:jc w:val="center"/>
              <w:rPr>
                <w:rFonts w:hint="eastAsia" w:ascii="仿宋" w:hAnsi="仿宋" w:eastAsia="仿宋" w:cs="仿宋"/>
                <w:b/>
                <w:color w:val="auto"/>
                <w:sz w:val="28"/>
                <w:szCs w:val="28"/>
                <w:highlight w:val="none"/>
              </w:rPr>
            </w:pPr>
          </w:p>
        </w:tc>
        <w:tc>
          <w:tcPr>
            <w:tcW w:w="1889" w:type="dxa"/>
            <w:vMerge w:val="continue"/>
            <w:noWrap w:val="0"/>
            <w:vAlign w:val="center"/>
          </w:tcPr>
          <w:p w14:paraId="7043A893">
            <w:pPr>
              <w:jc w:val="center"/>
              <w:rPr>
                <w:rFonts w:hint="eastAsia" w:ascii="仿宋" w:hAnsi="仿宋" w:eastAsia="仿宋" w:cs="仿宋"/>
                <w:b/>
                <w:color w:val="auto"/>
                <w:sz w:val="28"/>
                <w:szCs w:val="28"/>
                <w:highlight w:val="none"/>
              </w:rPr>
            </w:pPr>
          </w:p>
        </w:tc>
        <w:tc>
          <w:tcPr>
            <w:tcW w:w="2808" w:type="dxa"/>
            <w:noWrap w:val="0"/>
            <w:vAlign w:val="center"/>
          </w:tcPr>
          <w:p w14:paraId="6CC8448E">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小写</w:t>
            </w:r>
          </w:p>
        </w:tc>
        <w:tc>
          <w:tcPr>
            <w:tcW w:w="3300" w:type="dxa"/>
            <w:noWrap w:val="0"/>
            <w:vAlign w:val="center"/>
          </w:tcPr>
          <w:p w14:paraId="6965D54E">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大写</w:t>
            </w:r>
          </w:p>
        </w:tc>
      </w:tr>
      <w:tr w14:paraId="310C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1082" w:type="dxa"/>
            <w:noWrap w:val="0"/>
            <w:vAlign w:val="center"/>
          </w:tcPr>
          <w:p w14:paraId="4B707C2B">
            <w:pPr>
              <w:jc w:val="center"/>
              <w:rPr>
                <w:rFonts w:hint="default"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标项2</w:t>
            </w:r>
          </w:p>
        </w:tc>
        <w:tc>
          <w:tcPr>
            <w:tcW w:w="1889" w:type="dxa"/>
            <w:noWrap w:val="0"/>
            <w:vAlign w:val="center"/>
          </w:tcPr>
          <w:p w14:paraId="7FCE24AE">
            <w:pPr>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垃圾收集专用物资</w:t>
            </w:r>
          </w:p>
        </w:tc>
        <w:tc>
          <w:tcPr>
            <w:tcW w:w="2808" w:type="dxa"/>
            <w:noWrap w:val="0"/>
            <w:vAlign w:val="center"/>
          </w:tcPr>
          <w:p w14:paraId="39C65A4C">
            <w:pPr>
              <w:spacing w:line="700" w:lineRule="exact"/>
              <w:jc w:val="center"/>
              <w:rPr>
                <w:rFonts w:hint="eastAsia" w:ascii="仿宋" w:hAnsi="仿宋" w:eastAsia="仿宋" w:cs="仿宋"/>
                <w:color w:val="auto"/>
                <w:sz w:val="28"/>
                <w:szCs w:val="28"/>
                <w:highlight w:val="none"/>
              </w:rPr>
            </w:pPr>
          </w:p>
        </w:tc>
        <w:tc>
          <w:tcPr>
            <w:tcW w:w="3300" w:type="dxa"/>
            <w:noWrap w:val="0"/>
            <w:vAlign w:val="center"/>
          </w:tcPr>
          <w:p w14:paraId="4DF37762">
            <w:pPr>
              <w:spacing w:line="700" w:lineRule="exact"/>
              <w:jc w:val="center"/>
              <w:rPr>
                <w:rFonts w:hint="eastAsia" w:ascii="仿宋" w:hAnsi="仿宋" w:eastAsia="仿宋" w:cs="仿宋"/>
                <w:color w:val="auto"/>
                <w:sz w:val="28"/>
                <w:szCs w:val="28"/>
                <w:highlight w:val="none"/>
              </w:rPr>
            </w:pPr>
          </w:p>
        </w:tc>
      </w:tr>
    </w:tbl>
    <w:p w14:paraId="330E75CE">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备注：</w:t>
      </w:r>
    </w:p>
    <w:p w14:paraId="249B78A0">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投标报价说明：</w:t>
      </w:r>
      <w:r>
        <w:rPr>
          <w:rFonts w:hint="default" w:ascii="仿宋" w:hAnsi="仿宋" w:eastAsia="仿宋" w:cs="仿宋"/>
          <w:b w:val="0"/>
          <w:bCs w:val="0"/>
          <w:color w:val="auto"/>
          <w:sz w:val="24"/>
          <w:szCs w:val="24"/>
          <w:highlight w:val="none"/>
          <w:lang w:val="en-US" w:eastAsia="zh-CN"/>
        </w:rPr>
        <w:t>本项目采用按标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统一单价折扣报价（折扣统一按百分比填写，如报九折，则按90.00%填写）。折扣报价可保留到小数点后二位。中标单价=最高单价限价*中标折扣。</w:t>
      </w:r>
    </w:p>
    <w:p w14:paraId="4D006BA7">
      <w:pPr>
        <w:spacing w:line="480" w:lineRule="auto"/>
        <w:jc w:val="right"/>
        <w:rPr>
          <w:rFonts w:hint="eastAsia" w:ascii="仿宋" w:hAnsi="仿宋" w:eastAsia="仿宋"/>
          <w:color w:val="auto"/>
          <w:sz w:val="24"/>
          <w:szCs w:val="24"/>
          <w:highlight w:val="none"/>
        </w:rPr>
      </w:pPr>
    </w:p>
    <w:p w14:paraId="6721506F">
      <w:pPr>
        <w:spacing w:line="480" w:lineRule="auto"/>
        <w:jc w:val="right"/>
        <w:rPr>
          <w:rFonts w:ascii="仿宋" w:hAnsi="仿宋" w:eastAsia="仿宋"/>
          <w:color w:val="auto"/>
          <w:sz w:val="24"/>
          <w:szCs w:val="24"/>
          <w:highlight w:val="none"/>
        </w:rPr>
      </w:pPr>
      <w:r>
        <w:rPr>
          <w:rFonts w:hint="eastAsia" w:ascii="仿宋" w:hAnsi="仿宋" w:eastAsia="仿宋"/>
          <w:color w:val="auto"/>
          <w:sz w:val="24"/>
          <w:szCs w:val="24"/>
          <w:highlight w:val="none"/>
        </w:rPr>
        <w:t>投标人全称（电子签章）：___________</w:t>
      </w:r>
    </w:p>
    <w:p w14:paraId="5E8C896E">
      <w:pPr>
        <w:spacing w:line="360" w:lineRule="auto"/>
        <w:jc w:val="right"/>
        <w:rPr>
          <w:rFonts w:hint="eastAsia" w:ascii="仿宋" w:hAnsi="仿宋" w:eastAsia="仿宋"/>
          <w:color w:val="auto"/>
          <w:sz w:val="24"/>
          <w:szCs w:val="24"/>
          <w:highlight w:val="none"/>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highlight w:val="none"/>
        </w:rPr>
        <w:t>日  期：_______年_______月_______日</w:t>
      </w:r>
    </w:p>
    <w:p w14:paraId="12FA3C30">
      <w:pPr>
        <w:pStyle w:val="3"/>
        <w:spacing w:before="0" w:line="500" w:lineRule="exact"/>
        <w:jc w:val="center"/>
        <w:rPr>
          <w:rFonts w:hint="eastAsia" w:ascii="仿宋" w:hAnsi="仿宋" w:eastAsia="仿宋"/>
          <w:color w:val="auto"/>
          <w:highlight w:val="none"/>
          <w:lang w:eastAsia="zh-CN"/>
        </w:rPr>
      </w:pPr>
      <w:r>
        <w:rPr>
          <w:rFonts w:hint="eastAsia" w:ascii="仿宋" w:hAnsi="仿宋" w:eastAsia="仿宋"/>
          <w:color w:val="auto"/>
          <w:highlight w:val="none"/>
        </w:rPr>
        <w:t>开标一览表（格式）</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标项3</w:t>
      </w:r>
      <w:r>
        <w:rPr>
          <w:rFonts w:hint="eastAsia" w:ascii="仿宋" w:hAnsi="仿宋" w:eastAsia="仿宋"/>
          <w:color w:val="auto"/>
          <w:highlight w:val="none"/>
          <w:lang w:eastAsia="zh-CN"/>
        </w:rPr>
        <w:t>）</w:t>
      </w:r>
    </w:p>
    <w:p w14:paraId="376ACFE7">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rPr>
        <w:t>项目名称：</w:t>
      </w:r>
      <w:r>
        <w:rPr>
          <w:rFonts w:hint="eastAsia" w:ascii="仿宋" w:hAnsi="仿宋" w:eastAsia="仿宋"/>
          <w:b/>
          <w:bCs/>
          <w:color w:val="auto"/>
          <w:sz w:val="24"/>
          <w:szCs w:val="24"/>
          <w:highlight w:val="none"/>
          <w:lang w:val="en-US" w:eastAsia="zh-CN"/>
        </w:rPr>
        <w:t>诸暨市环境卫生管理集团有限公司2024-2025年度环卫作业生产物资采购项目</w:t>
      </w:r>
    </w:p>
    <w:p w14:paraId="467A9917">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highlight w:val="none"/>
          <w:lang w:val="en-US" w:eastAsia="zh-CN"/>
        </w:rPr>
      </w:pPr>
      <w:r>
        <w:rPr>
          <w:rFonts w:hint="eastAsia" w:ascii="仿宋" w:hAnsi="仿宋" w:eastAsia="仿宋"/>
          <w:b/>
          <w:bCs/>
          <w:color w:val="auto"/>
          <w:sz w:val="24"/>
          <w:szCs w:val="24"/>
          <w:highlight w:val="none"/>
        </w:rPr>
        <w:t>项目编号：诸宸佳</w:t>
      </w:r>
      <w:r>
        <w:rPr>
          <w:rFonts w:hint="eastAsia" w:ascii="仿宋" w:hAnsi="仿宋" w:eastAsia="仿宋"/>
          <w:b/>
          <w:bCs/>
          <w:color w:val="auto"/>
          <w:sz w:val="24"/>
          <w:szCs w:val="24"/>
          <w:highlight w:val="none"/>
          <w:lang w:eastAsia="zh-CN"/>
        </w:rPr>
        <w:t>2024-</w:t>
      </w:r>
      <w:r>
        <w:rPr>
          <w:rFonts w:hint="eastAsia" w:ascii="仿宋" w:hAnsi="仿宋" w:eastAsia="仿宋"/>
          <w:b/>
          <w:bCs/>
          <w:color w:val="auto"/>
          <w:sz w:val="24"/>
          <w:szCs w:val="24"/>
          <w:highlight w:val="none"/>
          <w:lang w:val="en-US" w:eastAsia="zh-CN"/>
        </w:rPr>
        <w:t>**</w:t>
      </w:r>
      <w:r>
        <w:rPr>
          <w:rFonts w:hint="eastAsia" w:ascii="仿宋" w:hAnsi="仿宋" w:eastAsia="仿宋"/>
          <w:b/>
          <w:bCs/>
          <w:color w:val="auto"/>
          <w:sz w:val="24"/>
          <w:szCs w:val="24"/>
          <w:highlight w:val="none"/>
          <w:lang w:eastAsia="zh-CN"/>
        </w:rPr>
        <w:t>-</w:t>
      </w:r>
      <w:r>
        <w:rPr>
          <w:rFonts w:hint="eastAsia" w:ascii="仿宋" w:hAnsi="仿宋" w:eastAsia="仿宋"/>
          <w:b/>
          <w:bCs/>
          <w:color w:val="auto"/>
          <w:sz w:val="24"/>
          <w:szCs w:val="24"/>
          <w:highlight w:val="none"/>
          <w:lang w:val="en-US" w:eastAsia="zh-CN"/>
        </w:rPr>
        <w:t>**</w:t>
      </w:r>
    </w:p>
    <w:tbl>
      <w:tblPr>
        <w:tblStyle w:val="5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889"/>
        <w:gridCol w:w="2808"/>
        <w:gridCol w:w="3300"/>
      </w:tblGrid>
      <w:tr w14:paraId="0C2C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082" w:type="dxa"/>
            <w:vMerge w:val="restart"/>
            <w:noWrap w:val="0"/>
            <w:vAlign w:val="center"/>
          </w:tcPr>
          <w:p w14:paraId="6883018C">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w:t>
            </w:r>
          </w:p>
        </w:tc>
        <w:tc>
          <w:tcPr>
            <w:tcW w:w="1889" w:type="dxa"/>
            <w:vMerge w:val="restart"/>
            <w:noWrap w:val="0"/>
            <w:vAlign w:val="center"/>
          </w:tcPr>
          <w:p w14:paraId="6C9FA79C">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标项内容</w:t>
            </w:r>
          </w:p>
        </w:tc>
        <w:tc>
          <w:tcPr>
            <w:tcW w:w="6108" w:type="dxa"/>
            <w:gridSpan w:val="2"/>
            <w:noWrap w:val="0"/>
            <w:vAlign w:val="center"/>
          </w:tcPr>
          <w:p w14:paraId="3E838865">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统一单价折扣（%）</w:t>
            </w:r>
          </w:p>
        </w:tc>
      </w:tr>
      <w:tr w14:paraId="68E8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082" w:type="dxa"/>
            <w:vMerge w:val="continue"/>
            <w:noWrap w:val="0"/>
            <w:vAlign w:val="center"/>
          </w:tcPr>
          <w:p w14:paraId="4B3823C0">
            <w:pPr>
              <w:jc w:val="center"/>
              <w:rPr>
                <w:rFonts w:hint="eastAsia" w:ascii="仿宋" w:hAnsi="仿宋" w:eastAsia="仿宋" w:cs="仿宋"/>
                <w:b/>
                <w:color w:val="auto"/>
                <w:sz w:val="28"/>
                <w:szCs w:val="28"/>
                <w:highlight w:val="none"/>
              </w:rPr>
            </w:pPr>
          </w:p>
        </w:tc>
        <w:tc>
          <w:tcPr>
            <w:tcW w:w="1889" w:type="dxa"/>
            <w:vMerge w:val="continue"/>
            <w:noWrap w:val="0"/>
            <w:vAlign w:val="center"/>
          </w:tcPr>
          <w:p w14:paraId="7817C25D">
            <w:pPr>
              <w:jc w:val="center"/>
              <w:rPr>
                <w:rFonts w:hint="eastAsia" w:ascii="仿宋" w:hAnsi="仿宋" w:eastAsia="仿宋" w:cs="仿宋"/>
                <w:b/>
                <w:color w:val="auto"/>
                <w:sz w:val="28"/>
                <w:szCs w:val="28"/>
                <w:highlight w:val="none"/>
              </w:rPr>
            </w:pPr>
          </w:p>
        </w:tc>
        <w:tc>
          <w:tcPr>
            <w:tcW w:w="2808" w:type="dxa"/>
            <w:noWrap w:val="0"/>
            <w:vAlign w:val="center"/>
          </w:tcPr>
          <w:p w14:paraId="63B644E4">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小写</w:t>
            </w:r>
          </w:p>
        </w:tc>
        <w:tc>
          <w:tcPr>
            <w:tcW w:w="3300" w:type="dxa"/>
            <w:noWrap w:val="0"/>
            <w:vAlign w:val="center"/>
          </w:tcPr>
          <w:p w14:paraId="3BCE6669">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大写</w:t>
            </w:r>
          </w:p>
        </w:tc>
      </w:tr>
      <w:tr w14:paraId="5106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1082" w:type="dxa"/>
            <w:noWrap w:val="0"/>
            <w:vAlign w:val="center"/>
          </w:tcPr>
          <w:p w14:paraId="029766CE">
            <w:pPr>
              <w:jc w:val="center"/>
              <w:rPr>
                <w:rFonts w:hint="default"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标项3</w:t>
            </w:r>
          </w:p>
        </w:tc>
        <w:tc>
          <w:tcPr>
            <w:tcW w:w="1889" w:type="dxa"/>
            <w:noWrap w:val="0"/>
            <w:vAlign w:val="center"/>
          </w:tcPr>
          <w:p w14:paraId="03C55D42">
            <w:pPr>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填埋场专用物资</w:t>
            </w:r>
          </w:p>
        </w:tc>
        <w:tc>
          <w:tcPr>
            <w:tcW w:w="2808" w:type="dxa"/>
            <w:noWrap w:val="0"/>
            <w:vAlign w:val="center"/>
          </w:tcPr>
          <w:p w14:paraId="56F00B51">
            <w:pPr>
              <w:spacing w:line="700" w:lineRule="exact"/>
              <w:jc w:val="center"/>
              <w:rPr>
                <w:rFonts w:hint="eastAsia" w:ascii="仿宋" w:hAnsi="仿宋" w:eastAsia="仿宋" w:cs="仿宋"/>
                <w:color w:val="auto"/>
                <w:sz w:val="28"/>
                <w:szCs w:val="28"/>
                <w:highlight w:val="none"/>
              </w:rPr>
            </w:pPr>
          </w:p>
        </w:tc>
        <w:tc>
          <w:tcPr>
            <w:tcW w:w="3300" w:type="dxa"/>
            <w:noWrap w:val="0"/>
            <w:vAlign w:val="center"/>
          </w:tcPr>
          <w:p w14:paraId="4671FE9D">
            <w:pPr>
              <w:spacing w:line="700" w:lineRule="exact"/>
              <w:jc w:val="center"/>
              <w:rPr>
                <w:rFonts w:hint="eastAsia" w:ascii="仿宋" w:hAnsi="仿宋" w:eastAsia="仿宋" w:cs="仿宋"/>
                <w:color w:val="auto"/>
                <w:sz w:val="28"/>
                <w:szCs w:val="28"/>
                <w:highlight w:val="none"/>
              </w:rPr>
            </w:pPr>
          </w:p>
        </w:tc>
      </w:tr>
    </w:tbl>
    <w:p w14:paraId="3283C9F8">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备注：</w:t>
      </w:r>
    </w:p>
    <w:p w14:paraId="4073FB70">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投标报价说明：</w:t>
      </w:r>
      <w:r>
        <w:rPr>
          <w:rFonts w:hint="default" w:ascii="仿宋" w:hAnsi="仿宋" w:eastAsia="仿宋" w:cs="仿宋"/>
          <w:b w:val="0"/>
          <w:bCs w:val="0"/>
          <w:color w:val="auto"/>
          <w:sz w:val="24"/>
          <w:szCs w:val="24"/>
          <w:highlight w:val="none"/>
          <w:lang w:val="en-US" w:eastAsia="zh-CN"/>
        </w:rPr>
        <w:t>本项目采用按标</w:t>
      </w:r>
      <w:r>
        <w:rPr>
          <w:rFonts w:hint="eastAsia" w:ascii="仿宋" w:hAnsi="仿宋" w:eastAsia="仿宋" w:cs="仿宋"/>
          <w:b w:val="0"/>
          <w:bCs w:val="0"/>
          <w:color w:val="auto"/>
          <w:sz w:val="24"/>
          <w:szCs w:val="24"/>
          <w:highlight w:val="none"/>
          <w:lang w:val="en-US" w:eastAsia="zh-CN"/>
        </w:rPr>
        <w:t>项</w:t>
      </w:r>
      <w:r>
        <w:rPr>
          <w:rFonts w:hint="default" w:ascii="仿宋" w:hAnsi="仿宋" w:eastAsia="仿宋" w:cs="仿宋"/>
          <w:b w:val="0"/>
          <w:bCs w:val="0"/>
          <w:color w:val="auto"/>
          <w:sz w:val="24"/>
          <w:szCs w:val="24"/>
          <w:highlight w:val="none"/>
          <w:lang w:val="en-US" w:eastAsia="zh-CN"/>
        </w:rPr>
        <w:t>统一单价折扣报价（折扣统一按百分比填写，如报九折，则按90.00%填写）。折扣报价可保留到小数点后二位。中标单价=最高单价限价*中标折扣。</w:t>
      </w:r>
    </w:p>
    <w:p w14:paraId="2939EC2C">
      <w:pPr>
        <w:spacing w:line="480" w:lineRule="auto"/>
        <w:jc w:val="right"/>
        <w:rPr>
          <w:rFonts w:hint="eastAsia" w:ascii="仿宋" w:hAnsi="仿宋" w:eastAsia="仿宋"/>
          <w:color w:val="auto"/>
          <w:sz w:val="24"/>
          <w:szCs w:val="24"/>
          <w:highlight w:val="none"/>
        </w:rPr>
      </w:pPr>
    </w:p>
    <w:p w14:paraId="0FEABB83">
      <w:pPr>
        <w:spacing w:line="480" w:lineRule="auto"/>
        <w:jc w:val="right"/>
        <w:rPr>
          <w:rFonts w:ascii="仿宋" w:hAnsi="仿宋" w:eastAsia="仿宋"/>
          <w:color w:val="auto"/>
          <w:sz w:val="24"/>
          <w:szCs w:val="24"/>
          <w:highlight w:val="none"/>
        </w:rPr>
      </w:pPr>
      <w:r>
        <w:rPr>
          <w:rFonts w:hint="eastAsia" w:ascii="仿宋" w:hAnsi="仿宋" w:eastAsia="仿宋"/>
          <w:color w:val="auto"/>
          <w:sz w:val="24"/>
          <w:szCs w:val="24"/>
          <w:highlight w:val="none"/>
        </w:rPr>
        <w:t>投标人全称（电子签章）：___________</w:t>
      </w:r>
    </w:p>
    <w:p w14:paraId="196BEAB8">
      <w:pPr>
        <w:spacing w:line="360" w:lineRule="auto"/>
        <w:jc w:val="right"/>
        <w:rPr>
          <w:rFonts w:hint="eastAsia" w:ascii="仿宋" w:hAnsi="仿宋" w:eastAsia="仿宋"/>
          <w:color w:val="auto"/>
          <w:sz w:val="24"/>
          <w:szCs w:val="24"/>
          <w:highlight w:val="none"/>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highlight w:val="none"/>
        </w:rPr>
        <w:t>日  期：_______年_______月_______日</w:t>
      </w:r>
    </w:p>
    <w:p w14:paraId="7D1D1DA2">
      <w:pPr>
        <w:pStyle w:val="3"/>
        <w:spacing w:before="0" w:line="500" w:lineRule="exact"/>
        <w:jc w:val="center"/>
        <w:rPr>
          <w:rFonts w:hint="eastAsia" w:ascii="仿宋" w:hAnsi="仿宋" w:eastAsia="仿宋"/>
          <w:color w:val="auto"/>
          <w:highlight w:val="none"/>
          <w:lang w:eastAsia="zh-CN"/>
        </w:rPr>
      </w:pPr>
      <w:r>
        <w:rPr>
          <w:rFonts w:hint="eastAsia" w:ascii="仿宋" w:hAnsi="仿宋" w:eastAsia="仿宋"/>
          <w:color w:val="auto"/>
          <w:highlight w:val="none"/>
        </w:rPr>
        <w:t>开标一览表（格式）</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标项4</w:t>
      </w:r>
      <w:r>
        <w:rPr>
          <w:rFonts w:hint="eastAsia" w:ascii="仿宋" w:hAnsi="仿宋" w:eastAsia="仿宋"/>
          <w:color w:val="auto"/>
          <w:highlight w:val="none"/>
          <w:lang w:eastAsia="zh-CN"/>
        </w:rPr>
        <w:t>）</w:t>
      </w:r>
    </w:p>
    <w:p w14:paraId="592594EF">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lang w:val="en-US" w:eastAsia="zh-CN"/>
        </w:rPr>
      </w:pPr>
      <w:r>
        <w:rPr>
          <w:rFonts w:hint="eastAsia" w:ascii="仿宋" w:hAnsi="仿宋" w:eastAsia="仿宋"/>
          <w:b/>
          <w:bCs/>
          <w:color w:val="auto"/>
          <w:sz w:val="24"/>
          <w:szCs w:val="24"/>
        </w:rPr>
        <w:t>项目名称：</w:t>
      </w:r>
      <w:r>
        <w:rPr>
          <w:rFonts w:hint="eastAsia" w:ascii="仿宋" w:hAnsi="仿宋" w:eastAsia="仿宋"/>
          <w:b/>
          <w:bCs/>
          <w:color w:val="auto"/>
          <w:sz w:val="24"/>
          <w:szCs w:val="24"/>
          <w:lang w:val="en-US" w:eastAsia="zh-CN"/>
        </w:rPr>
        <w:t>诸暨市环境卫生管理集团有限公司2024-2025年度环卫作业生产物资采购项目</w:t>
      </w:r>
    </w:p>
    <w:p w14:paraId="1FE36B23">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仿宋" w:hAnsi="仿宋" w:eastAsia="仿宋"/>
          <w:b/>
          <w:bCs/>
          <w:color w:val="auto"/>
          <w:sz w:val="24"/>
          <w:szCs w:val="24"/>
          <w:lang w:val="en-US" w:eastAsia="zh-CN"/>
        </w:rPr>
      </w:pPr>
      <w:r>
        <w:rPr>
          <w:rFonts w:hint="eastAsia" w:ascii="仿宋" w:hAnsi="仿宋" w:eastAsia="仿宋"/>
          <w:b/>
          <w:bCs/>
          <w:color w:val="auto"/>
          <w:sz w:val="24"/>
          <w:szCs w:val="24"/>
        </w:rPr>
        <w:t>项目编号：诸宸佳</w:t>
      </w:r>
      <w:r>
        <w:rPr>
          <w:rFonts w:hint="eastAsia" w:ascii="仿宋" w:hAnsi="仿宋" w:eastAsia="仿宋"/>
          <w:b/>
          <w:bCs/>
          <w:color w:val="auto"/>
          <w:sz w:val="24"/>
          <w:szCs w:val="24"/>
          <w:lang w:eastAsia="zh-CN"/>
        </w:rPr>
        <w:t>2024-</w:t>
      </w:r>
      <w:r>
        <w:rPr>
          <w:rFonts w:hint="eastAsia" w:ascii="仿宋" w:hAnsi="仿宋" w:eastAsia="仿宋"/>
          <w:b/>
          <w:bCs/>
          <w:color w:val="auto"/>
          <w:sz w:val="24"/>
          <w:szCs w:val="24"/>
          <w:lang w:val="en-US" w:eastAsia="zh-CN"/>
        </w:rPr>
        <w:t>**</w:t>
      </w:r>
      <w:r>
        <w:rPr>
          <w:rFonts w:hint="eastAsia" w:ascii="仿宋" w:hAnsi="仿宋" w:eastAsia="仿宋"/>
          <w:b/>
          <w:bCs/>
          <w:color w:val="auto"/>
          <w:sz w:val="24"/>
          <w:szCs w:val="24"/>
          <w:lang w:eastAsia="zh-CN"/>
        </w:rPr>
        <w:t>-</w:t>
      </w:r>
      <w:r>
        <w:rPr>
          <w:rFonts w:hint="eastAsia" w:ascii="仿宋" w:hAnsi="仿宋" w:eastAsia="仿宋"/>
          <w:b/>
          <w:bCs/>
          <w:color w:val="auto"/>
          <w:sz w:val="24"/>
          <w:szCs w:val="24"/>
          <w:lang w:val="en-US" w:eastAsia="zh-CN"/>
        </w:rPr>
        <w:t>**</w:t>
      </w:r>
    </w:p>
    <w:tbl>
      <w:tblPr>
        <w:tblStyle w:val="5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889"/>
        <w:gridCol w:w="2808"/>
        <w:gridCol w:w="3300"/>
      </w:tblGrid>
      <w:tr w14:paraId="2862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082" w:type="dxa"/>
            <w:vMerge w:val="restart"/>
            <w:noWrap w:val="0"/>
            <w:vAlign w:val="center"/>
          </w:tcPr>
          <w:p w14:paraId="783F3E45">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w:t>
            </w:r>
          </w:p>
        </w:tc>
        <w:tc>
          <w:tcPr>
            <w:tcW w:w="1889" w:type="dxa"/>
            <w:vMerge w:val="restart"/>
            <w:noWrap w:val="0"/>
            <w:vAlign w:val="center"/>
          </w:tcPr>
          <w:p w14:paraId="6E5BC3C6">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标项内容</w:t>
            </w:r>
          </w:p>
        </w:tc>
        <w:tc>
          <w:tcPr>
            <w:tcW w:w="6108" w:type="dxa"/>
            <w:gridSpan w:val="2"/>
            <w:noWrap w:val="0"/>
            <w:vAlign w:val="center"/>
          </w:tcPr>
          <w:p w14:paraId="07B55B02">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统一单价折扣（%）</w:t>
            </w:r>
          </w:p>
        </w:tc>
      </w:tr>
      <w:tr w14:paraId="7B99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082" w:type="dxa"/>
            <w:vMerge w:val="continue"/>
            <w:noWrap w:val="0"/>
            <w:vAlign w:val="center"/>
          </w:tcPr>
          <w:p w14:paraId="588CC661">
            <w:pPr>
              <w:jc w:val="center"/>
              <w:rPr>
                <w:rFonts w:hint="eastAsia" w:ascii="仿宋" w:hAnsi="仿宋" w:eastAsia="仿宋" w:cs="仿宋"/>
                <w:b/>
                <w:color w:val="auto"/>
                <w:sz w:val="28"/>
                <w:szCs w:val="28"/>
                <w:highlight w:val="none"/>
              </w:rPr>
            </w:pPr>
          </w:p>
        </w:tc>
        <w:tc>
          <w:tcPr>
            <w:tcW w:w="1889" w:type="dxa"/>
            <w:vMerge w:val="continue"/>
            <w:noWrap w:val="0"/>
            <w:vAlign w:val="center"/>
          </w:tcPr>
          <w:p w14:paraId="6964D060">
            <w:pPr>
              <w:jc w:val="center"/>
              <w:rPr>
                <w:rFonts w:hint="eastAsia" w:ascii="仿宋" w:hAnsi="仿宋" w:eastAsia="仿宋" w:cs="仿宋"/>
                <w:b/>
                <w:color w:val="auto"/>
                <w:sz w:val="28"/>
                <w:szCs w:val="28"/>
                <w:highlight w:val="none"/>
              </w:rPr>
            </w:pPr>
          </w:p>
        </w:tc>
        <w:tc>
          <w:tcPr>
            <w:tcW w:w="2808" w:type="dxa"/>
            <w:noWrap w:val="0"/>
            <w:vAlign w:val="center"/>
          </w:tcPr>
          <w:p w14:paraId="4615A773">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小写</w:t>
            </w:r>
          </w:p>
        </w:tc>
        <w:tc>
          <w:tcPr>
            <w:tcW w:w="3300" w:type="dxa"/>
            <w:noWrap w:val="0"/>
            <w:vAlign w:val="center"/>
          </w:tcPr>
          <w:p w14:paraId="4631FC9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大写</w:t>
            </w:r>
          </w:p>
        </w:tc>
      </w:tr>
      <w:tr w14:paraId="0D95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1082" w:type="dxa"/>
            <w:noWrap w:val="0"/>
            <w:vAlign w:val="center"/>
          </w:tcPr>
          <w:p w14:paraId="1BDAAC90">
            <w:pPr>
              <w:jc w:val="center"/>
              <w:rPr>
                <w:rFonts w:hint="default"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标项4</w:t>
            </w:r>
          </w:p>
        </w:tc>
        <w:tc>
          <w:tcPr>
            <w:tcW w:w="1889" w:type="dxa"/>
            <w:noWrap w:val="0"/>
            <w:vAlign w:val="center"/>
          </w:tcPr>
          <w:p w14:paraId="55359C68">
            <w:pPr>
              <w:jc w:val="center"/>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除臭专用</w:t>
            </w:r>
          </w:p>
          <w:p w14:paraId="0C36C55F">
            <w:pPr>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物资</w:t>
            </w:r>
          </w:p>
        </w:tc>
        <w:tc>
          <w:tcPr>
            <w:tcW w:w="2808" w:type="dxa"/>
            <w:noWrap w:val="0"/>
            <w:vAlign w:val="center"/>
          </w:tcPr>
          <w:p w14:paraId="45ABF7AC">
            <w:pPr>
              <w:spacing w:line="700" w:lineRule="exact"/>
              <w:jc w:val="center"/>
              <w:rPr>
                <w:rFonts w:hint="eastAsia" w:ascii="仿宋" w:hAnsi="仿宋" w:eastAsia="仿宋" w:cs="仿宋"/>
                <w:color w:val="auto"/>
                <w:sz w:val="28"/>
                <w:szCs w:val="28"/>
                <w:highlight w:val="none"/>
              </w:rPr>
            </w:pPr>
          </w:p>
        </w:tc>
        <w:tc>
          <w:tcPr>
            <w:tcW w:w="3300" w:type="dxa"/>
            <w:noWrap w:val="0"/>
            <w:vAlign w:val="center"/>
          </w:tcPr>
          <w:p w14:paraId="694640AA">
            <w:pPr>
              <w:spacing w:line="700" w:lineRule="exact"/>
              <w:jc w:val="center"/>
              <w:rPr>
                <w:rFonts w:hint="eastAsia" w:ascii="仿宋" w:hAnsi="仿宋" w:eastAsia="仿宋" w:cs="仿宋"/>
                <w:color w:val="auto"/>
                <w:sz w:val="28"/>
                <w:szCs w:val="28"/>
                <w:highlight w:val="none"/>
              </w:rPr>
            </w:pPr>
          </w:p>
        </w:tc>
      </w:tr>
    </w:tbl>
    <w:p w14:paraId="24490F56">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备注：</w:t>
      </w:r>
    </w:p>
    <w:p w14:paraId="3C9C9C46">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firstLine="480" w:firstLineChars="200"/>
        <w:jc w:val="left"/>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投标报价说明：</w:t>
      </w:r>
      <w:r>
        <w:rPr>
          <w:rFonts w:hint="default" w:ascii="仿宋" w:hAnsi="仿宋" w:eastAsia="仿宋" w:cs="仿宋"/>
          <w:b w:val="0"/>
          <w:bCs w:val="0"/>
          <w:sz w:val="24"/>
          <w:szCs w:val="24"/>
          <w:lang w:val="en-US" w:eastAsia="zh-CN"/>
        </w:rPr>
        <w:t>本项目采用按标</w:t>
      </w:r>
      <w:r>
        <w:rPr>
          <w:rFonts w:hint="eastAsia" w:ascii="仿宋" w:hAnsi="仿宋" w:eastAsia="仿宋" w:cs="仿宋"/>
          <w:b w:val="0"/>
          <w:bCs w:val="0"/>
          <w:sz w:val="24"/>
          <w:szCs w:val="24"/>
          <w:lang w:val="en-US" w:eastAsia="zh-CN"/>
        </w:rPr>
        <w:t>项</w:t>
      </w:r>
      <w:r>
        <w:rPr>
          <w:rFonts w:hint="default" w:ascii="仿宋" w:hAnsi="仿宋" w:eastAsia="仿宋" w:cs="仿宋"/>
          <w:b w:val="0"/>
          <w:bCs w:val="0"/>
          <w:sz w:val="24"/>
          <w:szCs w:val="24"/>
          <w:lang w:val="en-US" w:eastAsia="zh-CN"/>
        </w:rPr>
        <w:t>统一单价折扣报价（折扣统一按百分比填写，如报九折，则按90.00%填写）。折扣报价可保留到小数点后二位。中标单价=最高单价限价*中标折扣。</w:t>
      </w:r>
    </w:p>
    <w:p w14:paraId="5CB025FB">
      <w:pPr>
        <w:spacing w:line="480" w:lineRule="auto"/>
        <w:jc w:val="right"/>
        <w:rPr>
          <w:rFonts w:hint="eastAsia" w:ascii="仿宋" w:hAnsi="仿宋" w:eastAsia="仿宋"/>
          <w:color w:val="auto"/>
          <w:sz w:val="24"/>
          <w:szCs w:val="24"/>
        </w:rPr>
      </w:pPr>
    </w:p>
    <w:p w14:paraId="7ED2D44D">
      <w:pPr>
        <w:spacing w:line="480" w:lineRule="auto"/>
        <w:jc w:val="right"/>
        <w:rPr>
          <w:rFonts w:ascii="仿宋" w:hAnsi="仿宋" w:eastAsia="仿宋"/>
          <w:color w:val="auto"/>
          <w:sz w:val="24"/>
          <w:szCs w:val="24"/>
        </w:rPr>
      </w:pPr>
      <w:r>
        <w:rPr>
          <w:rFonts w:hint="eastAsia" w:ascii="仿宋" w:hAnsi="仿宋" w:eastAsia="仿宋"/>
          <w:color w:val="auto"/>
          <w:sz w:val="24"/>
          <w:szCs w:val="24"/>
        </w:rPr>
        <w:t>投标人全称（电子签章）：___________</w:t>
      </w:r>
    </w:p>
    <w:p w14:paraId="61E25DAC">
      <w:pPr>
        <w:spacing w:line="360" w:lineRule="auto"/>
        <w:jc w:val="right"/>
        <w:rPr>
          <w:rFonts w:hint="eastAsia" w:ascii="仿宋" w:hAnsi="仿宋" w:eastAsia="仿宋"/>
          <w:color w:val="auto"/>
          <w:sz w:val="24"/>
          <w:szCs w:val="24"/>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rPr>
        <w:t>日  期：_______年_______月_______日</w:t>
      </w:r>
    </w:p>
    <w:p w14:paraId="74C80D9D">
      <w:pPr>
        <w:pStyle w:val="3"/>
        <w:spacing w:before="0" w:line="500" w:lineRule="exact"/>
        <w:jc w:val="center"/>
        <w:rPr>
          <w:rFonts w:hint="eastAsia" w:ascii="仿宋" w:hAnsi="仿宋" w:eastAsia="仿宋"/>
          <w:color w:val="auto"/>
          <w:lang w:eastAsia="zh-CN"/>
        </w:rPr>
      </w:pPr>
      <w:r>
        <w:rPr>
          <w:rFonts w:hint="eastAsia" w:ascii="仿宋" w:hAnsi="仿宋" w:eastAsia="仿宋"/>
          <w:color w:val="auto"/>
        </w:rPr>
        <w:t>开标一览表（格式）</w:t>
      </w:r>
      <w:r>
        <w:rPr>
          <w:rFonts w:hint="eastAsia" w:ascii="仿宋" w:hAnsi="仿宋" w:eastAsia="仿宋"/>
          <w:color w:val="auto"/>
          <w:lang w:eastAsia="zh-CN"/>
        </w:rPr>
        <w:t>（</w:t>
      </w:r>
      <w:r>
        <w:rPr>
          <w:rFonts w:hint="eastAsia" w:ascii="仿宋" w:hAnsi="仿宋" w:eastAsia="仿宋"/>
          <w:color w:val="auto"/>
          <w:lang w:val="en-US" w:eastAsia="zh-CN"/>
        </w:rPr>
        <w:t>标项5</w:t>
      </w:r>
      <w:r>
        <w:rPr>
          <w:rFonts w:hint="eastAsia" w:ascii="仿宋" w:hAnsi="仿宋" w:eastAsia="仿宋"/>
          <w:color w:val="auto"/>
          <w:lang w:eastAsia="zh-CN"/>
        </w:rPr>
        <w:t>）</w:t>
      </w:r>
    </w:p>
    <w:p w14:paraId="16C11C49">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lang w:val="en-US" w:eastAsia="zh-CN"/>
        </w:rPr>
      </w:pPr>
      <w:r>
        <w:rPr>
          <w:rFonts w:hint="eastAsia" w:ascii="仿宋" w:hAnsi="仿宋" w:eastAsia="仿宋"/>
          <w:b/>
          <w:bCs/>
          <w:color w:val="auto"/>
          <w:sz w:val="24"/>
          <w:szCs w:val="24"/>
        </w:rPr>
        <w:t>项目名称：</w:t>
      </w:r>
      <w:r>
        <w:rPr>
          <w:rFonts w:hint="eastAsia" w:ascii="仿宋" w:hAnsi="仿宋" w:eastAsia="仿宋"/>
          <w:b/>
          <w:bCs/>
          <w:color w:val="auto"/>
          <w:sz w:val="24"/>
          <w:szCs w:val="24"/>
          <w:lang w:val="en-US" w:eastAsia="zh-CN"/>
        </w:rPr>
        <w:t>诸暨市环境卫生管理集团有限公司2024-2025年度环卫作业生产物资采购项目</w:t>
      </w:r>
    </w:p>
    <w:p w14:paraId="2F2E0D4C">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b/>
          <w:bCs/>
          <w:color w:val="auto"/>
          <w:sz w:val="24"/>
          <w:szCs w:val="24"/>
          <w:lang w:val="en-US" w:eastAsia="zh-CN"/>
        </w:rPr>
      </w:pPr>
      <w:r>
        <w:rPr>
          <w:rFonts w:hint="eastAsia" w:ascii="仿宋" w:hAnsi="仿宋" w:eastAsia="仿宋"/>
          <w:b/>
          <w:bCs/>
          <w:color w:val="auto"/>
          <w:sz w:val="24"/>
          <w:szCs w:val="24"/>
        </w:rPr>
        <w:t>项目编号：诸宸佳</w:t>
      </w:r>
      <w:r>
        <w:rPr>
          <w:rFonts w:hint="eastAsia" w:ascii="仿宋" w:hAnsi="仿宋" w:eastAsia="仿宋"/>
          <w:b/>
          <w:bCs/>
          <w:color w:val="auto"/>
          <w:sz w:val="24"/>
          <w:szCs w:val="24"/>
          <w:lang w:eastAsia="zh-CN"/>
        </w:rPr>
        <w:t>2024-</w:t>
      </w:r>
      <w:r>
        <w:rPr>
          <w:rFonts w:hint="eastAsia" w:ascii="仿宋" w:hAnsi="仿宋" w:eastAsia="仿宋"/>
          <w:b/>
          <w:bCs/>
          <w:color w:val="auto"/>
          <w:sz w:val="24"/>
          <w:szCs w:val="24"/>
          <w:lang w:val="en-US" w:eastAsia="zh-CN"/>
        </w:rPr>
        <w:t>**</w:t>
      </w:r>
      <w:r>
        <w:rPr>
          <w:rFonts w:hint="eastAsia" w:ascii="仿宋" w:hAnsi="仿宋" w:eastAsia="仿宋"/>
          <w:b/>
          <w:bCs/>
          <w:color w:val="auto"/>
          <w:sz w:val="24"/>
          <w:szCs w:val="24"/>
          <w:lang w:eastAsia="zh-CN"/>
        </w:rPr>
        <w:t>-</w:t>
      </w:r>
      <w:r>
        <w:rPr>
          <w:rFonts w:hint="eastAsia" w:ascii="仿宋" w:hAnsi="仿宋" w:eastAsia="仿宋"/>
          <w:b/>
          <w:bCs/>
          <w:color w:val="auto"/>
          <w:sz w:val="24"/>
          <w:szCs w:val="24"/>
          <w:lang w:val="en-US" w:eastAsia="zh-CN"/>
        </w:rPr>
        <w:t>**</w:t>
      </w:r>
    </w:p>
    <w:tbl>
      <w:tblPr>
        <w:tblStyle w:val="5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889"/>
        <w:gridCol w:w="2808"/>
        <w:gridCol w:w="3300"/>
      </w:tblGrid>
      <w:tr w14:paraId="4962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082" w:type="dxa"/>
            <w:vMerge w:val="restart"/>
            <w:noWrap w:val="0"/>
            <w:vAlign w:val="center"/>
          </w:tcPr>
          <w:p w14:paraId="5D54FDC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w:t>
            </w:r>
          </w:p>
        </w:tc>
        <w:tc>
          <w:tcPr>
            <w:tcW w:w="1889" w:type="dxa"/>
            <w:vMerge w:val="restart"/>
            <w:noWrap w:val="0"/>
            <w:vAlign w:val="center"/>
          </w:tcPr>
          <w:p w14:paraId="54DE2C85">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标项内容</w:t>
            </w:r>
          </w:p>
        </w:tc>
        <w:tc>
          <w:tcPr>
            <w:tcW w:w="6108" w:type="dxa"/>
            <w:gridSpan w:val="2"/>
            <w:noWrap w:val="0"/>
            <w:vAlign w:val="center"/>
          </w:tcPr>
          <w:p w14:paraId="7D822105">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统一单价折扣（%）</w:t>
            </w:r>
          </w:p>
        </w:tc>
      </w:tr>
      <w:tr w14:paraId="43D7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082" w:type="dxa"/>
            <w:vMerge w:val="continue"/>
            <w:noWrap w:val="0"/>
            <w:vAlign w:val="center"/>
          </w:tcPr>
          <w:p w14:paraId="160FDDFC">
            <w:pPr>
              <w:jc w:val="center"/>
              <w:rPr>
                <w:rFonts w:hint="eastAsia" w:ascii="仿宋" w:hAnsi="仿宋" w:eastAsia="仿宋" w:cs="仿宋"/>
                <w:b/>
                <w:color w:val="auto"/>
                <w:sz w:val="28"/>
                <w:szCs w:val="28"/>
                <w:highlight w:val="none"/>
              </w:rPr>
            </w:pPr>
          </w:p>
        </w:tc>
        <w:tc>
          <w:tcPr>
            <w:tcW w:w="1889" w:type="dxa"/>
            <w:vMerge w:val="continue"/>
            <w:noWrap w:val="0"/>
            <w:vAlign w:val="center"/>
          </w:tcPr>
          <w:p w14:paraId="627752E1">
            <w:pPr>
              <w:jc w:val="center"/>
              <w:rPr>
                <w:rFonts w:hint="eastAsia" w:ascii="仿宋" w:hAnsi="仿宋" w:eastAsia="仿宋" w:cs="仿宋"/>
                <w:b/>
                <w:color w:val="auto"/>
                <w:sz w:val="28"/>
                <w:szCs w:val="28"/>
                <w:highlight w:val="none"/>
              </w:rPr>
            </w:pPr>
          </w:p>
        </w:tc>
        <w:tc>
          <w:tcPr>
            <w:tcW w:w="2808" w:type="dxa"/>
            <w:noWrap w:val="0"/>
            <w:vAlign w:val="center"/>
          </w:tcPr>
          <w:p w14:paraId="376DEB02">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小写</w:t>
            </w:r>
          </w:p>
        </w:tc>
        <w:tc>
          <w:tcPr>
            <w:tcW w:w="3300" w:type="dxa"/>
            <w:noWrap w:val="0"/>
            <w:vAlign w:val="center"/>
          </w:tcPr>
          <w:p w14:paraId="49927076">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大写</w:t>
            </w:r>
          </w:p>
        </w:tc>
      </w:tr>
      <w:tr w14:paraId="4441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1082" w:type="dxa"/>
            <w:noWrap w:val="0"/>
            <w:vAlign w:val="center"/>
          </w:tcPr>
          <w:p w14:paraId="494D7371">
            <w:pPr>
              <w:jc w:val="center"/>
              <w:rPr>
                <w:rFonts w:hint="default"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标项5</w:t>
            </w:r>
          </w:p>
        </w:tc>
        <w:tc>
          <w:tcPr>
            <w:tcW w:w="1889" w:type="dxa"/>
            <w:noWrap w:val="0"/>
            <w:vAlign w:val="center"/>
          </w:tcPr>
          <w:p w14:paraId="792C7155">
            <w:pPr>
              <w:jc w:val="center"/>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维修专用</w:t>
            </w:r>
          </w:p>
          <w:p w14:paraId="5EC2C7D8">
            <w:pPr>
              <w:jc w:val="center"/>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物资</w:t>
            </w:r>
          </w:p>
        </w:tc>
        <w:tc>
          <w:tcPr>
            <w:tcW w:w="2808" w:type="dxa"/>
            <w:noWrap w:val="0"/>
            <w:vAlign w:val="center"/>
          </w:tcPr>
          <w:p w14:paraId="1136389C">
            <w:pPr>
              <w:spacing w:line="700" w:lineRule="exact"/>
              <w:jc w:val="center"/>
              <w:rPr>
                <w:rFonts w:hint="eastAsia" w:ascii="仿宋" w:hAnsi="仿宋" w:eastAsia="仿宋" w:cs="仿宋"/>
                <w:color w:val="auto"/>
                <w:sz w:val="28"/>
                <w:szCs w:val="28"/>
                <w:highlight w:val="none"/>
              </w:rPr>
            </w:pPr>
          </w:p>
        </w:tc>
        <w:tc>
          <w:tcPr>
            <w:tcW w:w="3300" w:type="dxa"/>
            <w:noWrap w:val="0"/>
            <w:vAlign w:val="center"/>
          </w:tcPr>
          <w:p w14:paraId="003257E7">
            <w:pPr>
              <w:spacing w:line="700" w:lineRule="exact"/>
              <w:jc w:val="center"/>
              <w:rPr>
                <w:rFonts w:hint="eastAsia" w:ascii="仿宋" w:hAnsi="仿宋" w:eastAsia="仿宋" w:cs="仿宋"/>
                <w:color w:val="auto"/>
                <w:sz w:val="28"/>
                <w:szCs w:val="28"/>
                <w:highlight w:val="none"/>
              </w:rPr>
            </w:pPr>
          </w:p>
        </w:tc>
      </w:tr>
    </w:tbl>
    <w:p w14:paraId="1407C1B7">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备注：</w:t>
      </w:r>
    </w:p>
    <w:p w14:paraId="700267C1">
      <w:pPr>
        <w:keepNext w:val="0"/>
        <w:keepLines w:val="0"/>
        <w:pageBreakBefore w:val="0"/>
        <w:widowControl/>
        <w:numPr>
          <w:ilvl w:val="0"/>
          <w:numId w:val="0"/>
        </w:numPr>
        <w:suppressLineNumbers w:val="0"/>
        <w:kinsoku/>
        <w:wordWrap/>
        <w:overflowPunct/>
        <w:topLinePunct w:val="0"/>
        <w:autoSpaceDE/>
        <w:autoSpaceDN/>
        <w:bidi w:val="0"/>
        <w:adjustRightInd/>
        <w:snapToGrid/>
        <w:spacing w:line="420" w:lineRule="exact"/>
        <w:ind w:leftChars="0" w:firstLine="480" w:firstLineChars="200"/>
        <w:jc w:val="left"/>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投标报价说明：</w:t>
      </w:r>
      <w:r>
        <w:rPr>
          <w:rFonts w:hint="default" w:ascii="仿宋" w:hAnsi="仿宋" w:eastAsia="仿宋" w:cs="仿宋"/>
          <w:b w:val="0"/>
          <w:bCs w:val="0"/>
          <w:sz w:val="24"/>
          <w:szCs w:val="24"/>
          <w:lang w:val="en-US" w:eastAsia="zh-CN"/>
        </w:rPr>
        <w:t>本项目采用按标</w:t>
      </w:r>
      <w:r>
        <w:rPr>
          <w:rFonts w:hint="eastAsia" w:ascii="仿宋" w:hAnsi="仿宋" w:eastAsia="仿宋" w:cs="仿宋"/>
          <w:b w:val="0"/>
          <w:bCs w:val="0"/>
          <w:sz w:val="24"/>
          <w:szCs w:val="24"/>
          <w:lang w:val="en-US" w:eastAsia="zh-CN"/>
        </w:rPr>
        <w:t>项</w:t>
      </w:r>
      <w:r>
        <w:rPr>
          <w:rFonts w:hint="default" w:ascii="仿宋" w:hAnsi="仿宋" w:eastAsia="仿宋" w:cs="仿宋"/>
          <w:b w:val="0"/>
          <w:bCs w:val="0"/>
          <w:sz w:val="24"/>
          <w:szCs w:val="24"/>
          <w:lang w:val="en-US" w:eastAsia="zh-CN"/>
        </w:rPr>
        <w:t>统一单价折扣报价（折扣统一按百分比填写，如报九折，则按90.00%填写）。折扣报价可保留到小数点后二位。中标单价=最高单价限价*中标折扣。</w:t>
      </w:r>
    </w:p>
    <w:p w14:paraId="2C271D50">
      <w:pPr>
        <w:spacing w:line="480" w:lineRule="auto"/>
        <w:jc w:val="right"/>
        <w:rPr>
          <w:rFonts w:hint="eastAsia" w:ascii="仿宋" w:hAnsi="仿宋" w:eastAsia="仿宋"/>
          <w:color w:val="auto"/>
          <w:sz w:val="24"/>
          <w:szCs w:val="24"/>
        </w:rPr>
      </w:pPr>
    </w:p>
    <w:p w14:paraId="75BA1203">
      <w:pPr>
        <w:spacing w:line="480" w:lineRule="auto"/>
        <w:jc w:val="right"/>
        <w:rPr>
          <w:rFonts w:ascii="仿宋" w:hAnsi="仿宋" w:eastAsia="仿宋"/>
          <w:color w:val="auto"/>
          <w:sz w:val="24"/>
          <w:szCs w:val="24"/>
        </w:rPr>
      </w:pPr>
      <w:r>
        <w:rPr>
          <w:rFonts w:hint="eastAsia" w:ascii="仿宋" w:hAnsi="仿宋" w:eastAsia="仿宋"/>
          <w:color w:val="auto"/>
          <w:sz w:val="24"/>
          <w:szCs w:val="24"/>
        </w:rPr>
        <w:t>投标人全称（电子签章）：___________</w:t>
      </w:r>
    </w:p>
    <w:p w14:paraId="4D1DD76C">
      <w:pPr>
        <w:spacing w:line="360" w:lineRule="auto"/>
        <w:jc w:val="right"/>
        <w:rPr>
          <w:rFonts w:hint="eastAsia" w:ascii="仿宋" w:hAnsi="仿宋" w:eastAsia="仿宋"/>
          <w:color w:val="auto"/>
          <w:sz w:val="24"/>
          <w:szCs w:val="24"/>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rPr>
        <w:t>日  期：_______年_______月_______日</w:t>
      </w:r>
    </w:p>
    <w:p w14:paraId="0BB9D012">
      <w:pPr>
        <w:pStyle w:val="3"/>
        <w:spacing w:before="0" w:line="500" w:lineRule="exact"/>
        <w:jc w:val="center"/>
        <w:rPr>
          <w:rFonts w:ascii="仿宋" w:hAnsi="仿宋" w:eastAsia="仿宋"/>
          <w:color w:val="auto"/>
        </w:rPr>
      </w:pPr>
      <w:r>
        <w:rPr>
          <w:rFonts w:hint="eastAsia" w:ascii="仿宋" w:hAnsi="仿宋" w:eastAsia="仿宋"/>
          <w:color w:val="auto"/>
          <w:lang w:val="en-US" w:eastAsia="zh-CN"/>
        </w:rPr>
        <w:t>六</w:t>
      </w:r>
      <w:r>
        <w:rPr>
          <w:rFonts w:hint="eastAsia" w:ascii="仿宋" w:hAnsi="仿宋" w:eastAsia="仿宋"/>
          <w:color w:val="auto"/>
        </w:rPr>
        <w:t>、投标承诺书（格式）</w:t>
      </w:r>
    </w:p>
    <w:p w14:paraId="7046F568">
      <w:pPr>
        <w:spacing w:line="340" w:lineRule="exact"/>
        <w:ind w:firstLine="420" w:firstLineChars="200"/>
        <w:rPr>
          <w:rFonts w:ascii="仿宋" w:hAnsi="仿宋" w:eastAsia="仿宋" w:cs="仿宋"/>
          <w:color w:val="auto"/>
        </w:rPr>
      </w:pPr>
      <w:r>
        <w:rPr>
          <w:rFonts w:hint="eastAsia" w:ascii="仿宋" w:hAnsi="仿宋" w:eastAsia="仿宋" w:cs="仿宋"/>
          <w:color w:val="auto"/>
        </w:rPr>
        <w:t>我公司已详细阅读了项目（项目编号：</w:t>
      </w:r>
      <w:r>
        <w:rPr>
          <w:rFonts w:hint="eastAsia" w:ascii="仿宋" w:hAnsi="仿宋" w:eastAsia="仿宋" w:cs="仿宋"/>
          <w:color w:val="auto"/>
          <w:u w:val="none"/>
        </w:rPr>
        <w:t>诸宸佳</w:t>
      </w:r>
      <w:r>
        <w:rPr>
          <w:rFonts w:hint="eastAsia" w:ascii="仿宋" w:hAnsi="仿宋" w:eastAsia="仿宋" w:cs="仿宋"/>
          <w:color w:val="auto"/>
          <w:u w:val="none"/>
          <w:lang w:val="en-US" w:eastAsia="zh-CN"/>
        </w:rPr>
        <w:t>20**-**-**</w:t>
      </w:r>
      <w:r>
        <w:rPr>
          <w:rFonts w:hint="eastAsia" w:ascii="仿宋" w:hAnsi="仿宋" w:eastAsia="仿宋" w:cs="仿宋"/>
          <w:color w:val="auto"/>
        </w:rPr>
        <w:t>）招标文件，现参加该项目投标，并就有关事项作出如下承诺：</w:t>
      </w:r>
    </w:p>
    <w:p w14:paraId="45E9D8ED">
      <w:pPr>
        <w:spacing w:line="340" w:lineRule="exact"/>
        <w:ind w:firstLine="420" w:firstLineChars="200"/>
        <w:rPr>
          <w:rFonts w:ascii="仿宋" w:hAnsi="仿宋" w:eastAsia="仿宋" w:cs="仿宋"/>
          <w:color w:val="auto"/>
        </w:rPr>
      </w:pPr>
      <w:r>
        <w:rPr>
          <w:rFonts w:hint="eastAsia" w:ascii="仿宋" w:hAnsi="仿宋" w:eastAsia="仿宋" w:cs="仿宋"/>
          <w:color w:val="auto"/>
        </w:rPr>
        <w:t>一、我公司在该项目招投标及合同履约过程中，不会出现以下行为，否则我公司愿意接受该行为被记录为不良行为，并在不良行为记录时限内放弃在</w:t>
      </w:r>
      <w:r>
        <w:rPr>
          <w:rFonts w:hint="eastAsia" w:ascii="仿宋" w:hAnsi="仿宋" w:eastAsia="仿宋" w:cs="仿宋"/>
          <w:color w:val="auto"/>
          <w:lang w:eastAsia="zh-CN"/>
        </w:rPr>
        <w:t>诸暨市建设集团有限公司</w:t>
      </w:r>
      <w:r>
        <w:rPr>
          <w:rFonts w:hint="eastAsia" w:ascii="仿宋" w:hAnsi="仿宋" w:eastAsia="仿宋" w:cs="仿宋"/>
          <w:color w:val="auto"/>
        </w:rPr>
        <w:t>及下属公司投标的资格。</w:t>
      </w:r>
    </w:p>
    <w:p w14:paraId="501F2C7E">
      <w:pPr>
        <w:spacing w:line="340" w:lineRule="exact"/>
        <w:ind w:firstLine="420" w:firstLineChars="200"/>
        <w:rPr>
          <w:rFonts w:ascii="仿宋" w:hAnsi="仿宋" w:eastAsia="仿宋" w:cs="仿宋"/>
          <w:color w:val="auto"/>
        </w:rPr>
      </w:pPr>
      <w:r>
        <w:rPr>
          <w:rFonts w:hint="eastAsia" w:ascii="仿宋" w:hAnsi="仿宋" w:eastAsia="仿宋" w:cs="仿宋"/>
          <w:color w:val="auto"/>
        </w:rPr>
        <w:t>（1）已报名但无故放弃投标</w:t>
      </w:r>
      <w:r>
        <w:rPr>
          <w:rFonts w:hint="eastAsia" w:ascii="仿宋" w:hAnsi="仿宋" w:eastAsia="仿宋" w:cs="仿宋"/>
          <w:color w:val="auto"/>
          <w:lang w:eastAsia="zh-CN"/>
        </w:rPr>
        <w:t>（</w:t>
      </w:r>
      <w:r>
        <w:rPr>
          <w:rFonts w:hint="eastAsia" w:ascii="仿宋" w:hAnsi="仿宋" w:eastAsia="仿宋" w:cs="仿宋"/>
          <w:color w:val="auto"/>
        </w:rPr>
        <w:t>开标前已有书面说明并证实的除外</w:t>
      </w:r>
      <w:r>
        <w:rPr>
          <w:rFonts w:hint="eastAsia" w:ascii="仿宋" w:hAnsi="仿宋" w:eastAsia="仿宋" w:cs="仿宋"/>
          <w:color w:val="auto"/>
          <w:lang w:eastAsia="zh-CN"/>
        </w:rPr>
        <w:t>）</w:t>
      </w:r>
      <w:r>
        <w:rPr>
          <w:rFonts w:hint="eastAsia" w:ascii="仿宋" w:hAnsi="仿宋" w:eastAsia="仿宋" w:cs="仿宋"/>
          <w:color w:val="auto"/>
        </w:rPr>
        <w:t>一年内累计3次以上的；</w:t>
      </w:r>
    </w:p>
    <w:p w14:paraId="26A34DCD">
      <w:pPr>
        <w:spacing w:line="340" w:lineRule="exact"/>
        <w:ind w:firstLine="420" w:firstLineChars="200"/>
        <w:rPr>
          <w:rFonts w:ascii="仿宋" w:hAnsi="仿宋" w:eastAsia="仿宋" w:cs="仿宋"/>
          <w:color w:val="auto"/>
        </w:rPr>
      </w:pPr>
      <w:r>
        <w:rPr>
          <w:rFonts w:hint="eastAsia" w:ascii="仿宋" w:hAnsi="仿宋" w:eastAsia="仿宋" w:cs="仿宋"/>
          <w:color w:val="auto"/>
        </w:rPr>
        <w:t>（2）在招标采购过程中，与采购单位进行协商谈判的；</w:t>
      </w:r>
    </w:p>
    <w:p w14:paraId="1E7A5828">
      <w:pPr>
        <w:spacing w:line="340" w:lineRule="exact"/>
        <w:ind w:firstLine="420" w:firstLineChars="200"/>
        <w:rPr>
          <w:rFonts w:ascii="仿宋" w:hAnsi="仿宋" w:eastAsia="仿宋" w:cs="仿宋"/>
          <w:color w:val="auto"/>
        </w:rPr>
      </w:pPr>
      <w:r>
        <w:rPr>
          <w:rFonts w:hint="eastAsia" w:ascii="仿宋" w:hAnsi="仿宋" w:eastAsia="仿宋" w:cs="仿宋"/>
          <w:color w:val="auto"/>
        </w:rPr>
        <w:t>（3）投标有效期内撤回其投标文件的；</w:t>
      </w:r>
    </w:p>
    <w:p w14:paraId="531A3F21">
      <w:pPr>
        <w:spacing w:line="340" w:lineRule="exact"/>
        <w:ind w:firstLine="420" w:firstLineChars="200"/>
        <w:rPr>
          <w:rFonts w:ascii="仿宋" w:hAnsi="仿宋" w:eastAsia="仿宋" w:cs="仿宋"/>
          <w:color w:val="auto"/>
        </w:rPr>
      </w:pPr>
      <w:r>
        <w:rPr>
          <w:rFonts w:hint="eastAsia" w:ascii="仿宋" w:hAnsi="仿宋" w:eastAsia="仿宋" w:cs="仿宋"/>
          <w:color w:val="auto"/>
        </w:rPr>
        <w:t>（4）拒绝有关部门监督检查或提供虚假情况的；</w:t>
      </w:r>
    </w:p>
    <w:p w14:paraId="26FA3E6B">
      <w:pPr>
        <w:spacing w:line="340" w:lineRule="exact"/>
        <w:ind w:firstLine="420" w:firstLineChars="200"/>
        <w:rPr>
          <w:rFonts w:ascii="仿宋" w:hAnsi="仿宋" w:eastAsia="仿宋" w:cs="仿宋"/>
          <w:color w:val="auto"/>
        </w:rPr>
      </w:pPr>
      <w:r>
        <w:rPr>
          <w:rFonts w:hint="eastAsia" w:ascii="仿宋" w:hAnsi="仿宋" w:eastAsia="仿宋" w:cs="仿宋"/>
          <w:color w:val="auto"/>
        </w:rPr>
        <w:t>（5）不积极配合采购单位做好标的验收工作的；</w:t>
      </w:r>
    </w:p>
    <w:p w14:paraId="027DEA38">
      <w:pPr>
        <w:spacing w:line="340" w:lineRule="exact"/>
        <w:ind w:firstLine="420" w:firstLineChars="200"/>
        <w:rPr>
          <w:rFonts w:ascii="仿宋" w:hAnsi="仿宋" w:eastAsia="仿宋" w:cs="仿宋"/>
          <w:color w:val="auto"/>
        </w:rPr>
      </w:pPr>
      <w:r>
        <w:rPr>
          <w:rFonts w:hint="eastAsia" w:ascii="仿宋" w:hAnsi="仿宋" w:eastAsia="仿宋" w:cs="仿宋"/>
          <w:color w:val="auto"/>
        </w:rPr>
        <w:t>（6）在有关部门的监督检查或考核中被通报批评或处以警告及以上处罚的；</w:t>
      </w:r>
    </w:p>
    <w:p w14:paraId="14B2FD5D">
      <w:pPr>
        <w:spacing w:line="340" w:lineRule="exact"/>
        <w:ind w:firstLine="420" w:firstLineChars="200"/>
        <w:rPr>
          <w:rFonts w:ascii="仿宋" w:hAnsi="仿宋" w:eastAsia="仿宋" w:cs="仿宋"/>
          <w:color w:val="auto"/>
        </w:rPr>
      </w:pPr>
      <w:r>
        <w:rPr>
          <w:rFonts w:hint="eastAsia" w:ascii="仿宋" w:hAnsi="仿宋" w:eastAsia="仿宋" w:cs="仿宋"/>
          <w:color w:val="auto"/>
        </w:rPr>
        <w:t>（7）不遵守投标会场纪律，无理取闹，扰乱交易秩序的；</w:t>
      </w:r>
    </w:p>
    <w:p w14:paraId="4485EA72">
      <w:pPr>
        <w:spacing w:line="340" w:lineRule="exact"/>
        <w:ind w:firstLine="420" w:firstLineChars="200"/>
        <w:rPr>
          <w:rFonts w:ascii="仿宋" w:hAnsi="仿宋" w:eastAsia="仿宋" w:cs="仿宋"/>
          <w:color w:val="auto"/>
        </w:rPr>
      </w:pPr>
      <w:r>
        <w:rPr>
          <w:rFonts w:hint="eastAsia" w:ascii="仿宋" w:hAnsi="仿宋" w:eastAsia="仿宋" w:cs="仿宋"/>
          <w:color w:val="auto"/>
        </w:rPr>
        <w:t>（8）中标后无正当理由放弃中标，或不与采购单位签订政府采购合同，或在签订合同时提出附加条件或更改合同实质性内容，或拒不提交所要求的履约保证金的；</w:t>
      </w:r>
    </w:p>
    <w:p w14:paraId="3240E384">
      <w:pPr>
        <w:spacing w:line="340" w:lineRule="exact"/>
        <w:ind w:firstLine="420" w:firstLineChars="200"/>
        <w:rPr>
          <w:rFonts w:ascii="仿宋" w:hAnsi="仿宋" w:eastAsia="仿宋" w:cs="仿宋"/>
          <w:color w:val="auto"/>
        </w:rPr>
      </w:pPr>
      <w:r>
        <w:rPr>
          <w:rFonts w:hint="eastAsia" w:ascii="仿宋" w:hAnsi="仿宋" w:eastAsia="仿宋" w:cs="仿宋"/>
          <w:color w:val="auto"/>
        </w:rPr>
        <w:t>（9）虚假投诉、恶意投诉或未按层级和相关程序逐级质疑、投诉而影响采购工作正常进行或造成不良影响的；</w:t>
      </w:r>
    </w:p>
    <w:p w14:paraId="262D3DF4">
      <w:pPr>
        <w:spacing w:line="340" w:lineRule="exact"/>
        <w:ind w:firstLine="420" w:firstLineChars="200"/>
        <w:rPr>
          <w:rFonts w:ascii="仿宋" w:hAnsi="仿宋" w:eastAsia="仿宋" w:cs="仿宋"/>
          <w:color w:val="auto"/>
        </w:rPr>
      </w:pPr>
      <w:r>
        <w:rPr>
          <w:rFonts w:hint="eastAsia" w:ascii="仿宋" w:hAnsi="仿宋" w:eastAsia="仿宋" w:cs="仿宋"/>
          <w:color w:val="auto"/>
        </w:rPr>
        <w:t>（10）不按照与采购单位订立的合同履行义务（包括提供标的、售后服务、技术支持等），严重违反合同规定和廉政合同要求的；</w:t>
      </w:r>
    </w:p>
    <w:p w14:paraId="06C32E8D">
      <w:pPr>
        <w:spacing w:line="340" w:lineRule="exact"/>
        <w:ind w:firstLine="420" w:firstLineChars="200"/>
        <w:rPr>
          <w:rFonts w:ascii="仿宋" w:hAnsi="仿宋" w:eastAsia="仿宋" w:cs="仿宋"/>
          <w:color w:val="auto"/>
        </w:rPr>
      </w:pPr>
      <w:r>
        <w:rPr>
          <w:rFonts w:hint="eastAsia" w:ascii="仿宋" w:hAnsi="仿宋" w:eastAsia="仿宋" w:cs="仿宋"/>
          <w:color w:val="auto"/>
        </w:rPr>
        <w:t>（11）项目负责人不到位，或擅自变换项目负责人，或不认真履行职责造成采购单位损失的；</w:t>
      </w:r>
    </w:p>
    <w:p w14:paraId="4F06F698">
      <w:pPr>
        <w:spacing w:line="340" w:lineRule="exact"/>
        <w:ind w:firstLine="420" w:firstLineChars="200"/>
        <w:rPr>
          <w:rFonts w:ascii="仿宋" w:hAnsi="仿宋" w:eastAsia="仿宋" w:cs="仿宋"/>
          <w:color w:val="auto"/>
        </w:rPr>
      </w:pPr>
      <w:r>
        <w:rPr>
          <w:rFonts w:hint="eastAsia" w:ascii="仿宋" w:hAnsi="仿宋" w:eastAsia="仿宋" w:cs="仿宋"/>
          <w:color w:val="auto"/>
        </w:rPr>
        <w:t>（12）发生经营状况重大变化以及重要担保、重大合同纠纷或诉讼、信用等级和资质变化等可能影响履约能力的重大事项，未及时向市公共资源交易中心提供书面报告，因而造成采购单位损失的；</w:t>
      </w:r>
    </w:p>
    <w:p w14:paraId="1BAD5A7F">
      <w:pPr>
        <w:spacing w:line="340" w:lineRule="exact"/>
        <w:ind w:firstLine="420" w:firstLineChars="200"/>
        <w:rPr>
          <w:rFonts w:ascii="仿宋" w:hAnsi="仿宋" w:eastAsia="仿宋" w:cs="仿宋"/>
          <w:color w:val="auto"/>
        </w:rPr>
      </w:pPr>
      <w:r>
        <w:rPr>
          <w:rFonts w:hint="eastAsia" w:ascii="仿宋" w:hAnsi="仿宋" w:eastAsia="仿宋" w:cs="仿宋"/>
          <w:color w:val="auto"/>
        </w:rPr>
        <w:t>（13）与采购单位、其他供应商或者采购代理机构相互串通的；</w:t>
      </w:r>
    </w:p>
    <w:p w14:paraId="7AF0B157">
      <w:pPr>
        <w:spacing w:line="340" w:lineRule="exact"/>
        <w:ind w:firstLine="420" w:firstLineChars="200"/>
        <w:rPr>
          <w:rFonts w:ascii="仿宋" w:hAnsi="仿宋" w:eastAsia="仿宋" w:cs="仿宋"/>
          <w:color w:val="auto"/>
        </w:rPr>
      </w:pPr>
      <w:r>
        <w:rPr>
          <w:rFonts w:hint="eastAsia" w:ascii="仿宋" w:hAnsi="仿宋" w:eastAsia="仿宋" w:cs="仿宋"/>
          <w:color w:val="auto"/>
        </w:rPr>
        <w:t>（14）采取不正当手段排挤其他供应商，进行不公平竞争的；</w:t>
      </w:r>
    </w:p>
    <w:p w14:paraId="294FED8F">
      <w:pPr>
        <w:spacing w:line="340" w:lineRule="exact"/>
        <w:ind w:firstLine="420" w:firstLineChars="200"/>
        <w:rPr>
          <w:rFonts w:ascii="仿宋" w:hAnsi="仿宋" w:eastAsia="仿宋" w:cs="仿宋"/>
          <w:color w:val="auto"/>
        </w:rPr>
      </w:pPr>
      <w:r>
        <w:rPr>
          <w:rFonts w:hint="eastAsia" w:ascii="仿宋" w:hAnsi="仿宋" w:eastAsia="仿宋" w:cs="仿宋"/>
          <w:color w:val="auto"/>
        </w:rPr>
        <w:t>（15）中标后与采购单位另行订立背离合同实质内容的协议的；</w:t>
      </w:r>
    </w:p>
    <w:p w14:paraId="7A9E053A">
      <w:pPr>
        <w:spacing w:line="340" w:lineRule="exact"/>
        <w:ind w:firstLine="420" w:firstLineChars="200"/>
        <w:rPr>
          <w:rFonts w:ascii="仿宋" w:hAnsi="仿宋" w:eastAsia="仿宋" w:cs="仿宋"/>
          <w:color w:val="auto"/>
        </w:rPr>
      </w:pPr>
      <w:r>
        <w:rPr>
          <w:rFonts w:hint="eastAsia" w:ascii="仿宋" w:hAnsi="仿宋" w:eastAsia="仿宋" w:cs="仿宋"/>
          <w:color w:val="auto"/>
        </w:rPr>
        <w:t>（16）事先有承诺，而事后违反承诺内容的；</w:t>
      </w:r>
    </w:p>
    <w:p w14:paraId="6678CF4A">
      <w:pPr>
        <w:spacing w:line="340" w:lineRule="exact"/>
        <w:ind w:firstLine="420" w:firstLineChars="200"/>
        <w:rPr>
          <w:rFonts w:ascii="仿宋" w:hAnsi="仿宋" w:eastAsia="仿宋" w:cs="仿宋"/>
          <w:color w:val="auto"/>
        </w:rPr>
      </w:pPr>
      <w:r>
        <w:rPr>
          <w:rFonts w:hint="eastAsia" w:ascii="仿宋" w:hAnsi="仿宋" w:eastAsia="仿宋" w:cs="仿宋"/>
          <w:color w:val="auto"/>
        </w:rPr>
        <w:t>（17）将中标项目转包或违反规定进行分包的；</w:t>
      </w:r>
    </w:p>
    <w:p w14:paraId="5579BB6A">
      <w:pPr>
        <w:spacing w:line="340" w:lineRule="exact"/>
        <w:ind w:firstLine="420" w:firstLineChars="200"/>
        <w:rPr>
          <w:rFonts w:ascii="仿宋" w:hAnsi="仿宋" w:eastAsia="仿宋" w:cs="仿宋"/>
          <w:color w:val="auto"/>
        </w:rPr>
      </w:pPr>
      <w:r>
        <w:rPr>
          <w:rFonts w:hint="eastAsia" w:ascii="仿宋" w:hAnsi="仿宋" w:eastAsia="仿宋" w:cs="仿宋"/>
          <w:color w:val="auto"/>
        </w:rPr>
        <w:t>（18）以他人名义投标或允许他人以自己名义投标，或者以其他方式弄虚作假的；</w:t>
      </w:r>
    </w:p>
    <w:p w14:paraId="1028D0A1">
      <w:pPr>
        <w:spacing w:line="340" w:lineRule="exact"/>
        <w:ind w:firstLine="420" w:firstLineChars="200"/>
        <w:rPr>
          <w:rFonts w:ascii="仿宋" w:hAnsi="仿宋" w:eastAsia="仿宋" w:cs="仿宋"/>
          <w:color w:val="auto"/>
        </w:rPr>
      </w:pPr>
      <w:r>
        <w:rPr>
          <w:rFonts w:hint="eastAsia" w:ascii="仿宋" w:hAnsi="仿宋" w:eastAsia="仿宋" w:cs="仿宋"/>
          <w:color w:val="auto"/>
        </w:rPr>
        <w:t>（19）未按照采购合同约定及时提供全部货物的，或无故拖延工期的；</w:t>
      </w:r>
    </w:p>
    <w:p w14:paraId="5F109EB5">
      <w:pPr>
        <w:spacing w:line="340" w:lineRule="exact"/>
        <w:ind w:firstLine="420" w:firstLineChars="200"/>
        <w:rPr>
          <w:rFonts w:ascii="仿宋" w:hAnsi="仿宋" w:eastAsia="仿宋" w:cs="仿宋"/>
          <w:color w:val="auto"/>
        </w:rPr>
      </w:pPr>
      <w:r>
        <w:rPr>
          <w:rFonts w:hint="eastAsia" w:ascii="仿宋" w:hAnsi="仿宋" w:eastAsia="仿宋" w:cs="仿宋"/>
          <w:color w:val="auto"/>
        </w:rPr>
        <w:t>（20）无故不提供中标要求的型号、配置等产品的，或有拆换、调换、截留产品零部件和备品备件的行为的；</w:t>
      </w:r>
    </w:p>
    <w:p w14:paraId="30BBEE76">
      <w:pPr>
        <w:spacing w:line="340" w:lineRule="exact"/>
        <w:ind w:firstLine="420" w:firstLineChars="200"/>
        <w:rPr>
          <w:rFonts w:ascii="仿宋" w:hAnsi="仿宋" w:eastAsia="仿宋" w:cs="仿宋"/>
          <w:color w:val="auto"/>
        </w:rPr>
      </w:pPr>
      <w:r>
        <w:rPr>
          <w:rFonts w:hint="eastAsia" w:ascii="仿宋" w:hAnsi="仿宋" w:eastAsia="仿宋" w:cs="仿宋"/>
          <w:color w:val="auto"/>
        </w:rPr>
        <w:t>（21）为获取自身利益，向采购单位及其他有利害关系的单位或个人提供不正当利益的；</w:t>
      </w:r>
    </w:p>
    <w:p w14:paraId="4A6E1D2D">
      <w:pPr>
        <w:spacing w:line="340" w:lineRule="exact"/>
        <w:ind w:firstLine="420" w:firstLineChars="200"/>
        <w:rPr>
          <w:rFonts w:ascii="仿宋" w:hAnsi="仿宋" w:eastAsia="仿宋" w:cs="仿宋"/>
          <w:color w:val="auto"/>
        </w:rPr>
      </w:pPr>
      <w:r>
        <w:rPr>
          <w:rFonts w:hint="eastAsia" w:ascii="仿宋" w:hAnsi="仿宋" w:eastAsia="仿宋" w:cs="仿宋"/>
          <w:color w:val="auto"/>
        </w:rPr>
        <w:t>（22）提供假冒伪劣产品或走私物品的；</w:t>
      </w:r>
    </w:p>
    <w:p w14:paraId="35CBDEA3">
      <w:pPr>
        <w:spacing w:line="340" w:lineRule="exact"/>
        <w:ind w:firstLine="420" w:firstLineChars="200"/>
        <w:rPr>
          <w:rFonts w:ascii="仿宋" w:hAnsi="仿宋" w:eastAsia="仿宋" w:cs="仿宋"/>
          <w:color w:val="auto"/>
        </w:rPr>
      </w:pPr>
      <w:r>
        <w:rPr>
          <w:rFonts w:hint="eastAsia" w:ascii="仿宋" w:hAnsi="仿宋" w:eastAsia="仿宋" w:cs="仿宋"/>
          <w:color w:val="auto"/>
        </w:rPr>
        <w:t>（23）擅自变更、中止、终止或解除政府采购合同的；</w:t>
      </w:r>
    </w:p>
    <w:p w14:paraId="64839826">
      <w:pPr>
        <w:spacing w:line="340" w:lineRule="exact"/>
        <w:ind w:firstLine="420" w:firstLineChars="200"/>
        <w:rPr>
          <w:rFonts w:ascii="仿宋" w:hAnsi="仿宋" w:eastAsia="仿宋" w:cs="仿宋"/>
          <w:color w:val="auto"/>
        </w:rPr>
      </w:pPr>
      <w:r>
        <w:rPr>
          <w:rFonts w:hint="eastAsia" w:ascii="仿宋" w:hAnsi="仿宋" w:eastAsia="仿宋" w:cs="仿宋"/>
          <w:color w:val="auto"/>
        </w:rPr>
        <w:t>（24）向有关人员行贿或者提供不正当利益谋取中标的；</w:t>
      </w:r>
    </w:p>
    <w:p w14:paraId="1249C6B2">
      <w:pPr>
        <w:spacing w:line="340" w:lineRule="exact"/>
        <w:ind w:firstLine="420" w:firstLineChars="200"/>
        <w:rPr>
          <w:rFonts w:ascii="仿宋" w:hAnsi="仿宋" w:eastAsia="仿宋" w:cs="仿宋"/>
          <w:color w:val="auto"/>
        </w:rPr>
      </w:pPr>
      <w:r>
        <w:rPr>
          <w:rFonts w:hint="eastAsia" w:ascii="仿宋" w:hAnsi="仿宋" w:eastAsia="仿宋" w:cs="仿宋"/>
          <w:color w:val="auto"/>
        </w:rPr>
        <w:t>（25）在政府采购活动期间，对管理机构、采购单位、其他投标人、评标专家、中介机构等政府采购相关机构和人员，采取诋毁、诽谤、胁迫、暴力等不正当手段的；</w:t>
      </w:r>
    </w:p>
    <w:p w14:paraId="3B32D146">
      <w:pPr>
        <w:spacing w:line="340" w:lineRule="exact"/>
        <w:ind w:firstLine="420" w:firstLineChars="200"/>
        <w:rPr>
          <w:rFonts w:ascii="仿宋" w:hAnsi="仿宋" w:eastAsia="仿宋" w:cs="仿宋"/>
          <w:color w:val="auto"/>
        </w:rPr>
      </w:pPr>
      <w:r>
        <w:rPr>
          <w:rFonts w:hint="eastAsia" w:ascii="仿宋" w:hAnsi="仿宋" w:eastAsia="仿宋" w:cs="仿宋"/>
          <w:color w:val="auto"/>
        </w:rPr>
        <w:t>（26）</w:t>
      </w:r>
      <w:r>
        <w:rPr>
          <w:rFonts w:hint="eastAsia" w:ascii="仿宋" w:hAnsi="仿宋" w:eastAsia="仿宋" w:cs="仿宋"/>
          <w:color w:val="auto"/>
          <w:lang w:eastAsia="zh-CN"/>
        </w:rPr>
        <w:t>诸暨市建设集团有限公司</w:t>
      </w:r>
      <w:r>
        <w:rPr>
          <w:rFonts w:hint="eastAsia" w:ascii="仿宋" w:hAnsi="仿宋" w:eastAsia="仿宋" w:cs="仿宋"/>
          <w:color w:val="auto"/>
        </w:rPr>
        <w:t>招投标监管领导小组办公室认定的其他违反政府采购管理的行为。</w:t>
      </w:r>
    </w:p>
    <w:p w14:paraId="4D5D1953">
      <w:pPr>
        <w:spacing w:line="340" w:lineRule="exact"/>
        <w:ind w:firstLine="420" w:firstLineChars="200"/>
        <w:rPr>
          <w:rFonts w:ascii="仿宋" w:hAnsi="仿宋" w:eastAsia="仿宋" w:cs="仿宋"/>
          <w:color w:val="auto"/>
        </w:rPr>
      </w:pPr>
      <w:r>
        <w:rPr>
          <w:rFonts w:hint="eastAsia" w:ascii="仿宋" w:hAnsi="仿宋" w:eastAsia="仿宋" w:cs="仿宋"/>
          <w:color w:val="auto"/>
        </w:rPr>
        <w:t>出现（1）</w:t>
      </w:r>
      <w:r>
        <w:rPr>
          <w:rFonts w:hint="eastAsia" w:ascii="仿宋" w:hAnsi="仿宋" w:eastAsia="仿宋" w:cs="仿宋"/>
          <w:color w:val="auto"/>
          <w:lang w:eastAsia="zh-CN"/>
        </w:rPr>
        <w:t>～</w:t>
      </w:r>
      <w:r>
        <w:rPr>
          <w:rFonts w:hint="eastAsia" w:ascii="仿宋" w:hAnsi="仿宋" w:eastAsia="仿宋" w:cs="仿宋"/>
          <w:color w:val="auto"/>
        </w:rPr>
        <w:t>（6）行为之一，记录时限为6个月；出现（7）</w:t>
      </w:r>
      <w:r>
        <w:rPr>
          <w:rFonts w:hint="eastAsia" w:ascii="仿宋" w:hAnsi="仿宋" w:eastAsia="仿宋" w:cs="仿宋"/>
          <w:color w:val="auto"/>
          <w:lang w:eastAsia="zh-CN"/>
        </w:rPr>
        <w:t>～</w:t>
      </w:r>
      <w:r>
        <w:rPr>
          <w:rFonts w:hint="eastAsia" w:ascii="仿宋" w:hAnsi="仿宋" w:eastAsia="仿宋" w:cs="仿宋"/>
          <w:color w:val="auto"/>
        </w:rPr>
        <w:t>（12）行为之一，记录时限为1年；出现（13）</w:t>
      </w:r>
      <w:r>
        <w:rPr>
          <w:rFonts w:hint="eastAsia" w:ascii="仿宋" w:hAnsi="仿宋" w:eastAsia="仿宋" w:cs="仿宋"/>
          <w:color w:val="auto"/>
          <w:lang w:eastAsia="zh-CN"/>
        </w:rPr>
        <w:t>～</w:t>
      </w:r>
      <w:r>
        <w:rPr>
          <w:rFonts w:hint="eastAsia" w:ascii="仿宋" w:hAnsi="仿宋" w:eastAsia="仿宋" w:cs="仿宋"/>
          <w:color w:val="auto"/>
        </w:rPr>
        <w:t>（17）行为之一，记录时限为2年；出现（18）</w:t>
      </w:r>
      <w:r>
        <w:rPr>
          <w:rFonts w:hint="eastAsia" w:ascii="仿宋" w:hAnsi="仿宋" w:eastAsia="仿宋" w:cs="仿宋"/>
          <w:color w:val="auto"/>
          <w:lang w:eastAsia="zh-CN"/>
        </w:rPr>
        <w:t>～</w:t>
      </w:r>
      <w:r>
        <w:rPr>
          <w:rFonts w:hint="eastAsia" w:ascii="仿宋" w:hAnsi="仿宋" w:eastAsia="仿宋" w:cs="仿宋"/>
          <w:color w:val="auto"/>
        </w:rPr>
        <w:t>（21）行为之一，记录时限为3年；出现（22）</w:t>
      </w:r>
      <w:r>
        <w:rPr>
          <w:rFonts w:hint="eastAsia" w:ascii="仿宋" w:hAnsi="仿宋" w:eastAsia="仿宋" w:cs="仿宋"/>
          <w:color w:val="auto"/>
          <w:lang w:eastAsia="zh-CN"/>
        </w:rPr>
        <w:t>～</w:t>
      </w:r>
      <w:r>
        <w:rPr>
          <w:rFonts w:hint="eastAsia" w:ascii="仿宋" w:hAnsi="仿宋" w:eastAsia="仿宋" w:cs="仿宋"/>
          <w:color w:val="auto"/>
        </w:rPr>
        <w:t>（25）行为之一，记录时限为5年；出现（26）行为，酌情处理。时限以被记录为不良行为之日起算，在记录时限内再次被</w:t>
      </w:r>
      <w:r>
        <w:rPr>
          <w:rFonts w:hint="eastAsia" w:ascii="仿宋" w:hAnsi="仿宋" w:eastAsia="仿宋" w:cs="仿宋"/>
          <w:color w:val="auto"/>
          <w:lang w:eastAsia="zh-CN"/>
        </w:rPr>
        <w:t>记</w:t>
      </w:r>
      <w:r>
        <w:rPr>
          <w:rFonts w:hint="eastAsia" w:ascii="仿宋" w:hAnsi="仿宋" w:eastAsia="仿宋" w:cs="仿宋"/>
          <w:color w:val="auto"/>
        </w:rPr>
        <w:t>为不良行为的，记录时限应从上次记录时限截止日起算。</w:t>
      </w:r>
    </w:p>
    <w:p w14:paraId="07567A45">
      <w:pPr>
        <w:spacing w:line="340" w:lineRule="exact"/>
        <w:ind w:firstLine="420" w:firstLineChars="200"/>
        <w:rPr>
          <w:rFonts w:ascii="仿宋" w:hAnsi="仿宋" w:eastAsia="仿宋" w:cs="仿宋"/>
          <w:color w:val="auto"/>
        </w:rPr>
      </w:pPr>
      <w:r>
        <w:rPr>
          <w:rFonts w:hint="eastAsia" w:ascii="仿宋" w:hAnsi="仿宋" w:eastAsia="仿宋" w:cs="仿宋"/>
          <w:color w:val="auto"/>
        </w:rPr>
        <w:t>二、我公司及其他利害关系人如对该项目的中标公示有异议，将在招标文件规定的公示期限内提出符合以下条件的有效质疑，否则我公司愿意接受相关部门不予受理的决定。</w:t>
      </w:r>
    </w:p>
    <w:p w14:paraId="31217661">
      <w:pPr>
        <w:spacing w:line="340" w:lineRule="exact"/>
        <w:ind w:firstLine="420" w:firstLineChars="200"/>
        <w:rPr>
          <w:rFonts w:ascii="仿宋" w:hAnsi="仿宋" w:eastAsia="仿宋" w:cs="仿宋"/>
          <w:color w:val="auto"/>
        </w:rPr>
      </w:pPr>
      <w:r>
        <w:rPr>
          <w:rFonts w:hint="eastAsia" w:ascii="仿宋" w:hAnsi="仿宋" w:eastAsia="仿宋" w:cs="仿宋"/>
          <w:color w:val="auto"/>
        </w:rPr>
        <w:t>1、质疑人须为投标人和其他利害关系人；</w:t>
      </w:r>
    </w:p>
    <w:p w14:paraId="48A54B2D">
      <w:pPr>
        <w:spacing w:line="340" w:lineRule="exact"/>
        <w:ind w:firstLine="420" w:firstLineChars="200"/>
        <w:rPr>
          <w:rFonts w:ascii="仿宋" w:hAnsi="仿宋" w:eastAsia="仿宋" w:cs="仿宋"/>
          <w:color w:val="auto"/>
        </w:rPr>
      </w:pPr>
      <w:r>
        <w:rPr>
          <w:rFonts w:hint="eastAsia" w:ascii="仿宋" w:hAnsi="仿宋" w:eastAsia="仿宋" w:cs="仿宋"/>
          <w:color w:val="auto"/>
        </w:rPr>
        <w:t>2、投诉时，应当递交质疑书，质疑书应当包括下列内容：</w:t>
      </w:r>
    </w:p>
    <w:p w14:paraId="551D89D7">
      <w:pPr>
        <w:spacing w:line="340" w:lineRule="exact"/>
        <w:ind w:firstLine="420" w:firstLineChars="200"/>
        <w:rPr>
          <w:rFonts w:ascii="仿宋" w:hAnsi="仿宋" w:eastAsia="仿宋" w:cs="仿宋"/>
          <w:color w:val="auto"/>
        </w:rPr>
      </w:pPr>
      <w:r>
        <w:rPr>
          <w:rFonts w:hint="eastAsia" w:ascii="仿宋" w:hAnsi="仿宋" w:eastAsia="仿宋" w:cs="仿宋"/>
          <w:color w:val="auto"/>
        </w:rPr>
        <w:t>（1）质疑人的名称、地址及有效联系方式；</w:t>
      </w:r>
    </w:p>
    <w:p w14:paraId="748A7D75">
      <w:pPr>
        <w:spacing w:line="340" w:lineRule="exact"/>
        <w:ind w:firstLine="420" w:firstLineChars="200"/>
        <w:rPr>
          <w:rFonts w:ascii="仿宋" w:hAnsi="仿宋" w:eastAsia="仿宋" w:cs="仿宋"/>
          <w:color w:val="auto"/>
        </w:rPr>
      </w:pPr>
      <w:r>
        <w:rPr>
          <w:rFonts w:hint="eastAsia" w:ascii="仿宋" w:hAnsi="仿宋" w:eastAsia="仿宋" w:cs="仿宋"/>
          <w:color w:val="auto"/>
        </w:rPr>
        <w:t>（2）被质疑人的名称、地址及联系方式；</w:t>
      </w:r>
    </w:p>
    <w:p w14:paraId="2E32DFE6">
      <w:pPr>
        <w:spacing w:line="340" w:lineRule="exact"/>
        <w:ind w:firstLine="420" w:firstLineChars="200"/>
        <w:rPr>
          <w:rFonts w:ascii="仿宋" w:hAnsi="仿宋" w:eastAsia="仿宋" w:cs="仿宋"/>
          <w:color w:val="auto"/>
        </w:rPr>
      </w:pPr>
      <w:r>
        <w:rPr>
          <w:rFonts w:hint="eastAsia" w:ascii="仿宋" w:hAnsi="仿宋" w:eastAsia="仿宋" w:cs="仿宋"/>
          <w:color w:val="auto"/>
        </w:rPr>
        <w:t>（3）质疑事项的基本事实；</w:t>
      </w:r>
    </w:p>
    <w:p w14:paraId="0B4B6F26">
      <w:pPr>
        <w:spacing w:line="340" w:lineRule="exact"/>
        <w:ind w:firstLine="420" w:firstLineChars="200"/>
        <w:rPr>
          <w:rFonts w:ascii="仿宋" w:hAnsi="仿宋" w:eastAsia="仿宋" w:cs="仿宋"/>
          <w:color w:val="auto"/>
        </w:rPr>
      </w:pPr>
      <w:r>
        <w:rPr>
          <w:rFonts w:hint="eastAsia" w:ascii="仿宋" w:hAnsi="仿宋" w:eastAsia="仿宋" w:cs="仿宋"/>
          <w:color w:val="auto"/>
        </w:rPr>
        <w:t>（4）相关请求及主张；</w:t>
      </w:r>
    </w:p>
    <w:p w14:paraId="45C02485">
      <w:pPr>
        <w:spacing w:line="340" w:lineRule="exact"/>
        <w:ind w:firstLine="420" w:firstLineChars="200"/>
        <w:rPr>
          <w:rFonts w:ascii="仿宋" w:hAnsi="仿宋" w:eastAsia="仿宋" w:cs="仿宋"/>
          <w:color w:val="auto"/>
        </w:rPr>
      </w:pPr>
      <w:r>
        <w:rPr>
          <w:rFonts w:hint="eastAsia" w:ascii="仿宋" w:hAnsi="仿宋" w:eastAsia="仿宋" w:cs="仿宋"/>
          <w:color w:val="auto"/>
        </w:rPr>
        <w:t>（5）有效线索和相关证明材料；</w:t>
      </w:r>
    </w:p>
    <w:p w14:paraId="758E799A">
      <w:pPr>
        <w:spacing w:line="340" w:lineRule="exact"/>
        <w:ind w:firstLine="420" w:firstLineChars="200"/>
        <w:rPr>
          <w:rFonts w:ascii="仿宋" w:hAnsi="仿宋" w:eastAsia="仿宋" w:cs="仿宋"/>
          <w:color w:val="auto"/>
        </w:rPr>
      </w:pPr>
      <w:r>
        <w:rPr>
          <w:rFonts w:hint="eastAsia" w:ascii="仿宋" w:hAnsi="仿宋" w:eastAsia="仿宋" w:cs="仿宋"/>
          <w:color w:val="auto"/>
        </w:rPr>
        <w:t>（6）质疑人是法人的，质疑书必须由其法定代表人或者授权代表签字并加</w:t>
      </w:r>
      <w:r>
        <w:rPr>
          <w:rFonts w:hint="eastAsia" w:ascii="仿宋" w:hAnsi="仿宋" w:eastAsia="仿宋" w:cs="仿宋"/>
          <w:color w:val="auto"/>
          <w:lang w:eastAsia="zh-CN"/>
        </w:rPr>
        <w:t>盖公</w:t>
      </w:r>
      <w:r>
        <w:rPr>
          <w:rFonts w:hint="eastAsia" w:ascii="仿宋" w:hAnsi="仿宋" w:eastAsia="仿宋" w:cs="仿宋"/>
          <w:color w:val="auto"/>
        </w:rPr>
        <w:t>章；其他组织或者个人质疑的，质疑书必须由其主要负责人或者质疑人本人签字，并附有效身份证明复印件。</w:t>
      </w:r>
    </w:p>
    <w:p w14:paraId="720B8436">
      <w:pPr>
        <w:spacing w:line="340" w:lineRule="exact"/>
        <w:ind w:firstLine="723" w:firstLineChars="400"/>
        <w:rPr>
          <w:rFonts w:ascii="仿宋" w:hAnsi="仿宋" w:eastAsia="仿宋" w:cs="仿宋"/>
          <w:b/>
          <w:color w:val="auto"/>
          <w:sz w:val="18"/>
          <w:szCs w:val="18"/>
        </w:rPr>
      </w:pPr>
    </w:p>
    <w:p w14:paraId="1D338EDF">
      <w:pPr>
        <w:spacing w:line="340" w:lineRule="exact"/>
        <w:ind w:firstLine="840" w:firstLineChars="400"/>
        <w:rPr>
          <w:rFonts w:ascii="仿宋" w:hAnsi="仿宋" w:eastAsia="仿宋" w:cs="仿宋"/>
          <w:color w:val="auto"/>
        </w:rPr>
      </w:pPr>
    </w:p>
    <w:p w14:paraId="42CA9150">
      <w:pPr>
        <w:spacing w:line="340" w:lineRule="exact"/>
        <w:ind w:firstLine="840" w:firstLineChars="400"/>
        <w:rPr>
          <w:rFonts w:ascii="仿宋" w:hAnsi="仿宋" w:eastAsia="仿宋" w:cs="仿宋"/>
          <w:color w:val="auto"/>
        </w:rPr>
      </w:pPr>
    </w:p>
    <w:p w14:paraId="7A86EAD9">
      <w:pPr>
        <w:spacing w:line="480" w:lineRule="auto"/>
        <w:jc w:val="right"/>
        <w:rPr>
          <w:rFonts w:ascii="仿宋" w:hAnsi="仿宋" w:eastAsia="仿宋"/>
          <w:color w:val="auto"/>
          <w:sz w:val="24"/>
          <w:szCs w:val="24"/>
        </w:rPr>
      </w:pPr>
      <w:r>
        <w:rPr>
          <w:rFonts w:hint="eastAsia" w:ascii="仿宋" w:hAnsi="仿宋" w:eastAsia="仿宋"/>
          <w:color w:val="auto"/>
          <w:sz w:val="24"/>
          <w:szCs w:val="24"/>
        </w:rPr>
        <w:t>投标人全称（电子签章）：___________</w:t>
      </w:r>
    </w:p>
    <w:p w14:paraId="17EA9107">
      <w:pPr>
        <w:spacing w:line="360" w:lineRule="auto"/>
        <w:jc w:val="right"/>
        <w:rPr>
          <w:rFonts w:hint="eastAsia" w:ascii="仿宋" w:hAnsi="仿宋" w:eastAsia="仿宋"/>
          <w:color w:val="auto"/>
          <w:sz w:val="24"/>
          <w:szCs w:val="24"/>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rPr>
        <w:t>日  期：_______年_______月_______日</w:t>
      </w:r>
    </w:p>
    <w:p w14:paraId="2B094D71">
      <w:pPr>
        <w:pStyle w:val="20"/>
        <w:jc w:val="center"/>
        <w:rPr>
          <w:rFonts w:ascii="仿宋" w:hAnsi="仿宋" w:eastAsia="仿宋"/>
          <w:b/>
          <w:bCs/>
          <w:color w:val="auto"/>
          <w:sz w:val="32"/>
          <w:szCs w:val="32"/>
        </w:rPr>
      </w:pPr>
      <w:r>
        <w:rPr>
          <w:rFonts w:hint="eastAsia" w:ascii="仿宋" w:hAnsi="仿宋" w:eastAsia="仿宋"/>
          <w:b/>
          <w:bCs/>
          <w:color w:val="auto"/>
          <w:sz w:val="32"/>
          <w:szCs w:val="32"/>
          <w:lang w:val="en-US" w:eastAsia="zh-CN"/>
        </w:rPr>
        <w:t>七</w:t>
      </w:r>
      <w:r>
        <w:rPr>
          <w:rFonts w:hint="eastAsia" w:ascii="仿宋" w:hAnsi="仿宋" w:eastAsia="仿宋"/>
          <w:b/>
          <w:bCs/>
          <w:color w:val="auto"/>
          <w:sz w:val="32"/>
          <w:szCs w:val="32"/>
        </w:rPr>
        <w:t>、技术</w:t>
      </w:r>
      <w:r>
        <w:rPr>
          <w:rFonts w:hint="eastAsia" w:ascii="仿宋" w:hAnsi="仿宋" w:eastAsia="仿宋"/>
          <w:b/>
          <w:bCs/>
          <w:color w:val="auto"/>
          <w:sz w:val="32"/>
          <w:szCs w:val="32"/>
          <w:lang w:eastAsia="zh-CN"/>
        </w:rPr>
        <w:t>（</w:t>
      </w:r>
      <w:r>
        <w:rPr>
          <w:rFonts w:hint="eastAsia" w:ascii="仿宋" w:hAnsi="仿宋" w:eastAsia="仿宋"/>
          <w:b/>
          <w:bCs/>
          <w:color w:val="auto"/>
          <w:sz w:val="32"/>
          <w:szCs w:val="32"/>
          <w:lang w:val="en-US" w:eastAsia="zh-CN"/>
        </w:rPr>
        <w:t>服务</w:t>
      </w:r>
      <w:r>
        <w:rPr>
          <w:rFonts w:hint="eastAsia" w:ascii="仿宋" w:hAnsi="仿宋" w:eastAsia="仿宋"/>
          <w:b/>
          <w:bCs/>
          <w:color w:val="auto"/>
          <w:sz w:val="32"/>
          <w:szCs w:val="32"/>
          <w:lang w:eastAsia="zh-CN"/>
        </w:rPr>
        <w:t>）</w:t>
      </w:r>
      <w:r>
        <w:rPr>
          <w:rFonts w:hint="eastAsia" w:ascii="仿宋" w:hAnsi="仿宋" w:eastAsia="仿宋"/>
          <w:b/>
          <w:bCs/>
          <w:color w:val="auto"/>
          <w:sz w:val="32"/>
          <w:szCs w:val="32"/>
        </w:rPr>
        <w:t>偏离表</w:t>
      </w:r>
    </w:p>
    <w:tbl>
      <w:tblPr>
        <w:tblStyle w:val="50"/>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595"/>
        <w:gridCol w:w="2551"/>
        <w:gridCol w:w="2126"/>
      </w:tblGrid>
      <w:tr w14:paraId="0800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0665E683">
            <w:pPr>
              <w:pStyle w:val="25"/>
              <w:spacing w:line="400" w:lineRule="atLeast"/>
              <w:jc w:val="center"/>
              <w:rPr>
                <w:rFonts w:ascii="仿宋" w:hAnsi="仿宋" w:eastAsia="仿宋"/>
                <w:color w:val="auto"/>
                <w:szCs w:val="24"/>
              </w:rPr>
            </w:pPr>
            <w:r>
              <w:rPr>
                <w:rFonts w:hint="eastAsia" w:ascii="仿宋" w:hAnsi="仿宋" w:eastAsia="仿宋"/>
                <w:color w:val="auto"/>
                <w:szCs w:val="24"/>
              </w:rPr>
              <w:t>内容</w:t>
            </w:r>
          </w:p>
        </w:tc>
        <w:tc>
          <w:tcPr>
            <w:tcW w:w="2595" w:type="dxa"/>
            <w:vAlign w:val="center"/>
          </w:tcPr>
          <w:p w14:paraId="1625EB01">
            <w:pPr>
              <w:pStyle w:val="25"/>
              <w:spacing w:line="400" w:lineRule="atLeast"/>
              <w:jc w:val="center"/>
              <w:rPr>
                <w:rFonts w:ascii="仿宋" w:hAnsi="仿宋" w:eastAsia="仿宋"/>
                <w:color w:val="auto"/>
                <w:szCs w:val="24"/>
              </w:rPr>
            </w:pPr>
            <w:r>
              <w:rPr>
                <w:rFonts w:hint="eastAsia" w:ascii="仿宋" w:hAnsi="仿宋" w:eastAsia="仿宋"/>
                <w:color w:val="auto"/>
                <w:szCs w:val="24"/>
              </w:rPr>
              <w:t>招标文件</w:t>
            </w:r>
          </w:p>
          <w:p w14:paraId="39953C94">
            <w:pPr>
              <w:pStyle w:val="25"/>
              <w:spacing w:line="400" w:lineRule="atLeast"/>
              <w:jc w:val="center"/>
              <w:rPr>
                <w:rFonts w:ascii="仿宋" w:hAnsi="仿宋" w:eastAsia="仿宋"/>
                <w:color w:val="auto"/>
                <w:szCs w:val="24"/>
              </w:rPr>
            </w:pPr>
            <w:r>
              <w:rPr>
                <w:rFonts w:hint="eastAsia" w:ascii="仿宋" w:hAnsi="仿宋" w:eastAsia="仿宋"/>
                <w:color w:val="auto"/>
                <w:szCs w:val="24"/>
              </w:rPr>
              <w:t>规范要求</w:t>
            </w:r>
          </w:p>
        </w:tc>
        <w:tc>
          <w:tcPr>
            <w:tcW w:w="2551" w:type="dxa"/>
            <w:vAlign w:val="center"/>
          </w:tcPr>
          <w:p w14:paraId="06AED49C">
            <w:pPr>
              <w:pStyle w:val="25"/>
              <w:spacing w:line="400" w:lineRule="atLeast"/>
              <w:jc w:val="center"/>
              <w:rPr>
                <w:rFonts w:ascii="仿宋" w:hAnsi="仿宋" w:eastAsia="仿宋"/>
                <w:color w:val="auto"/>
                <w:szCs w:val="24"/>
              </w:rPr>
            </w:pPr>
            <w:r>
              <w:rPr>
                <w:rFonts w:hint="eastAsia" w:ascii="仿宋" w:hAnsi="仿宋" w:eastAsia="仿宋"/>
                <w:color w:val="auto"/>
                <w:szCs w:val="24"/>
              </w:rPr>
              <w:t>投标文件</w:t>
            </w:r>
          </w:p>
          <w:p w14:paraId="3871731E">
            <w:pPr>
              <w:pStyle w:val="25"/>
              <w:spacing w:line="400" w:lineRule="atLeast"/>
              <w:jc w:val="center"/>
              <w:rPr>
                <w:rFonts w:ascii="仿宋" w:hAnsi="仿宋" w:eastAsia="仿宋"/>
                <w:color w:val="auto"/>
                <w:szCs w:val="24"/>
              </w:rPr>
            </w:pPr>
            <w:r>
              <w:rPr>
                <w:rFonts w:hint="eastAsia" w:ascii="仿宋" w:hAnsi="仿宋" w:eastAsia="仿宋"/>
                <w:color w:val="auto"/>
                <w:szCs w:val="24"/>
              </w:rPr>
              <w:t>对应规范</w:t>
            </w:r>
          </w:p>
        </w:tc>
        <w:tc>
          <w:tcPr>
            <w:tcW w:w="2126" w:type="dxa"/>
            <w:vAlign w:val="center"/>
          </w:tcPr>
          <w:p w14:paraId="3F61D08A">
            <w:pPr>
              <w:pStyle w:val="25"/>
              <w:spacing w:line="400" w:lineRule="atLeast"/>
              <w:jc w:val="center"/>
              <w:rPr>
                <w:rFonts w:ascii="仿宋" w:hAnsi="仿宋" w:eastAsia="仿宋"/>
                <w:color w:val="auto"/>
                <w:szCs w:val="24"/>
              </w:rPr>
            </w:pPr>
            <w:r>
              <w:rPr>
                <w:rFonts w:hint="eastAsia" w:ascii="仿宋" w:hAnsi="仿宋" w:eastAsia="仿宋"/>
                <w:color w:val="auto"/>
                <w:szCs w:val="24"/>
              </w:rPr>
              <w:t xml:space="preserve"> 偏离情况</w:t>
            </w:r>
          </w:p>
        </w:tc>
      </w:tr>
      <w:tr w14:paraId="2B8D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2537F22F">
            <w:pPr>
              <w:pStyle w:val="25"/>
              <w:spacing w:line="400" w:lineRule="atLeast"/>
              <w:jc w:val="center"/>
              <w:rPr>
                <w:rFonts w:ascii="仿宋" w:hAnsi="仿宋" w:eastAsia="仿宋"/>
                <w:color w:val="auto"/>
                <w:szCs w:val="24"/>
              </w:rPr>
            </w:pPr>
          </w:p>
        </w:tc>
        <w:tc>
          <w:tcPr>
            <w:tcW w:w="2595" w:type="dxa"/>
            <w:vAlign w:val="center"/>
          </w:tcPr>
          <w:p w14:paraId="195A2773">
            <w:pPr>
              <w:pStyle w:val="25"/>
              <w:spacing w:line="400" w:lineRule="atLeast"/>
              <w:jc w:val="center"/>
              <w:rPr>
                <w:rFonts w:ascii="仿宋" w:hAnsi="仿宋" w:eastAsia="仿宋"/>
                <w:color w:val="auto"/>
                <w:szCs w:val="24"/>
              </w:rPr>
            </w:pPr>
          </w:p>
        </w:tc>
        <w:tc>
          <w:tcPr>
            <w:tcW w:w="2551" w:type="dxa"/>
            <w:vAlign w:val="center"/>
          </w:tcPr>
          <w:p w14:paraId="537194D1">
            <w:pPr>
              <w:pStyle w:val="25"/>
              <w:spacing w:line="400" w:lineRule="atLeast"/>
              <w:jc w:val="center"/>
              <w:rPr>
                <w:rFonts w:ascii="仿宋" w:hAnsi="仿宋" w:eastAsia="仿宋"/>
                <w:color w:val="auto"/>
                <w:szCs w:val="24"/>
              </w:rPr>
            </w:pPr>
          </w:p>
        </w:tc>
        <w:tc>
          <w:tcPr>
            <w:tcW w:w="2126" w:type="dxa"/>
            <w:vAlign w:val="center"/>
          </w:tcPr>
          <w:p w14:paraId="3404663A">
            <w:pPr>
              <w:pStyle w:val="25"/>
              <w:spacing w:line="400" w:lineRule="atLeast"/>
              <w:jc w:val="center"/>
              <w:rPr>
                <w:rFonts w:ascii="仿宋" w:hAnsi="仿宋" w:eastAsia="仿宋"/>
                <w:color w:val="auto"/>
                <w:szCs w:val="24"/>
              </w:rPr>
            </w:pPr>
          </w:p>
        </w:tc>
      </w:tr>
      <w:tr w14:paraId="411F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02EB75FD">
            <w:pPr>
              <w:pStyle w:val="25"/>
              <w:spacing w:line="400" w:lineRule="atLeast"/>
              <w:jc w:val="center"/>
              <w:rPr>
                <w:rFonts w:ascii="仿宋" w:hAnsi="仿宋" w:eastAsia="仿宋"/>
                <w:color w:val="auto"/>
                <w:szCs w:val="24"/>
              </w:rPr>
            </w:pPr>
          </w:p>
        </w:tc>
        <w:tc>
          <w:tcPr>
            <w:tcW w:w="2595" w:type="dxa"/>
            <w:vAlign w:val="center"/>
          </w:tcPr>
          <w:p w14:paraId="5A73C20B">
            <w:pPr>
              <w:pStyle w:val="25"/>
              <w:spacing w:line="400" w:lineRule="atLeast"/>
              <w:jc w:val="center"/>
              <w:rPr>
                <w:rFonts w:ascii="仿宋" w:hAnsi="仿宋" w:eastAsia="仿宋"/>
                <w:color w:val="auto"/>
                <w:szCs w:val="24"/>
              </w:rPr>
            </w:pPr>
          </w:p>
        </w:tc>
        <w:tc>
          <w:tcPr>
            <w:tcW w:w="2551" w:type="dxa"/>
            <w:vAlign w:val="center"/>
          </w:tcPr>
          <w:p w14:paraId="57015EF6">
            <w:pPr>
              <w:pStyle w:val="25"/>
              <w:spacing w:line="400" w:lineRule="atLeast"/>
              <w:jc w:val="center"/>
              <w:rPr>
                <w:rFonts w:ascii="仿宋" w:hAnsi="仿宋" w:eastAsia="仿宋"/>
                <w:color w:val="auto"/>
                <w:szCs w:val="24"/>
              </w:rPr>
            </w:pPr>
          </w:p>
        </w:tc>
        <w:tc>
          <w:tcPr>
            <w:tcW w:w="2126" w:type="dxa"/>
            <w:vAlign w:val="center"/>
          </w:tcPr>
          <w:p w14:paraId="585E98EA">
            <w:pPr>
              <w:pStyle w:val="25"/>
              <w:spacing w:line="400" w:lineRule="atLeast"/>
              <w:jc w:val="center"/>
              <w:rPr>
                <w:rFonts w:ascii="仿宋" w:hAnsi="仿宋" w:eastAsia="仿宋"/>
                <w:color w:val="auto"/>
                <w:szCs w:val="24"/>
              </w:rPr>
            </w:pPr>
          </w:p>
        </w:tc>
      </w:tr>
      <w:tr w14:paraId="3360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532E0E97">
            <w:pPr>
              <w:pStyle w:val="25"/>
              <w:spacing w:line="400" w:lineRule="atLeast"/>
              <w:jc w:val="center"/>
              <w:rPr>
                <w:rFonts w:ascii="仿宋" w:hAnsi="仿宋" w:eastAsia="仿宋"/>
                <w:color w:val="auto"/>
                <w:szCs w:val="24"/>
              </w:rPr>
            </w:pPr>
          </w:p>
        </w:tc>
        <w:tc>
          <w:tcPr>
            <w:tcW w:w="2595" w:type="dxa"/>
            <w:vAlign w:val="center"/>
          </w:tcPr>
          <w:p w14:paraId="299BEEA0">
            <w:pPr>
              <w:pStyle w:val="25"/>
              <w:spacing w:line="400" w:lineRule="atLeast"/>
              <w:jc w:val="center"/>
              <w:rPr>
                <w:rFonts w:ascii="仿宋" w:hAnsi="仿宋" w:eastAsia="仿宋"/>
                <w:color w:val="auto"/>
                <w:szCs w:val="24"/>
              </w:rPr>
            </w:pPr>
          </w:p>
        </w:tc>
        <w:tc>
          <w:tcPr>
            <w:tcW w:w="2551" w:type="dxa"/>
            <w:vAlign w:val="center"/>
          </w:tcPr>
          <w:p w14:paraId="027243E7">
            <w:pPr>
              <w:pStyle w:val="25"/>
              <w:spacing w:line="400" w:lineRule="atLeast"/>
              <w:jc w:val="center"/>
              <w:rPr>
                <w:rFonts w:ascii="仿宋" w:hAnsi="仿宋" w:eastAsia="仿宋"/>
                <w:color w:val="auto"/>
                <w:szCs w:val="24"/>
              </w:rPr>
            </w:pPr>
          </w:p>
        </w:tc>
        <w:tc>
          <w:tcPr>
            <w:tcW w:w="2126" w:type="dxa"/>
            <w:vAlign w:val="center"/>
          </w:tcPr>
          <w:p w14:paraId="6DA9DD33">
            <w:pPr>
              <w:pStyle w:val="25"/>
              <w:spacing w:line="400" w:lineRule="atLeast"/>
              <w:jc w:val="center"/>
              <w:rPr>
                <w:rFonts w:ascii="仿宋" w:hAnsi="仿宋" w:eastAsia="仿宋"/>
                <w:color w:val="auto"/>
                <w:szCs w:val="24"/>
              </w:rPr>
            </w:pPr>
          </w:p>
        </w:tc>
      </w:tr>
      <w:tr w14:paraId="306E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142614B7">
            <w:pPr>
              <w:pStyle w:val="25"/>
              <w:spacing w:line="400" w:lineRule="atLeast"/>
              <w:jc w:val="center"/>
              <w:rPr>
                <w:rFonts w:ascii="仿宋" w:hAnsi="仿宋" w:eastAsia="仿宋"/>
                <w:color w:val="auto"/>
                <w:szCs w:val="24"/>
              </w:rPr>
            </w:pPr>
          </w:p>
        </w:tc>
        <w:tc>
          <w:tcPr>
            <w:tcW w:w="2595" w:type="dxa"/>
            <w:vAlign w:val="center"/>
          </w:tcPr>
          <w:p w14:paraId="09FD0528">
            <w:pPr>
              <w:pStyle w:val="25"/>
              <w:spacing w:line="400" w:lineRule="atLeast"/>
              <w:jc w:val="center"/>
              <w:rPr>
                <w:rFonts w:ascii="仿宋" w:hAnsi="仿宋" w:eastAsia="仿宋"/>
                <w:color w:val="auto"/>
                <w:szCs w:val="24"/>
              </w:rPr>
            </w:pPr>
          </w:p>
        </w:tc>
        <w:tc>
          <w:tcPr>
            <w:tcW w:w="2551" w:type="dxa"/>
            <w:vAlign w:val="center"/>
          </w:tcPr>
          <w:p w14:paraId="16A1E17C">
            <w:pPr>
              <w:pStyle w:val="25"/>
              <w:spacing w:line="400" w:lineRule="atLeast"/>
              <w:jc w:val="center"/>
              <w:rPr>
                <w:rFonts w:ascii="仿宋" w:hAnsi="仿宋" w:eastAsia="仿宋"/>
                <w:color w:val="auto"/>
                <w:szCs w:val="24"/>
              </w:rPr>
            </w:pPr>
          </w:p>
        </w:tc>
        <w:tc>
          <w:tcPr>
            <w:tcW w:w="2126" w:type="dxa"/>
            <w:vAlign w:val="center"/>
          </w:tcPr>
          <w:p w14:paraId="38879909">
            <w:pPr>
              <w:pStyle w:val="25"/>
              <w:spacing w:line="400" w:lineRule="atLeast"/>
              <w:jc w:val="center"/>
              <w:rPr>
                <w:rFonts w:ascii="仿宋" w:hAnsi="仿宋" w:eastAsia="仿宋"/>
                <w:color w:val="auto"/>
                <w:szCs w:val="24"/>
              </w:rPr>
            </w:pPr>
          </w:p>
        </w:tc>
      </w:tr>
      <w:tr w14:paraId="2902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08EE4376">
            <w:pPr>
              <w:pStyle w:val="25"/>
              <w:spacing w:line="400" w:lineRule="atLeast"/>
              <w:jc w:val="center"/>
              <w:rPr>
                <w:rFonts w:ascii="仿宋" w:hAnsi="仿宋" w:eastAsia="仿宋"/>
                <w:color w:val="auto"/>
                <w:szCs w:val="24"/>
              </w:rPr>
            </w:pPr>
          </w:p>
        </w:tc>
        <w:tc>
          <w:tcPr>
            <w:tcW w:w="2595" w:type="dxa"/>
            <w:vAlign w:val="center"/>
          </w:tcPr>
          <w:p w14:paraId="429824D4">
            <w:pPr>
              <w:pStyle w:val="25"/>
              <w:spacing w:line="400" w:lineRule="atLeast"/>
              <w:jc w:val="center"/>
              <w:rPr>
                <w:rFonts w:ascii="仿宋" w:hAnsi="仿宋" w:eastAsia="仿宋"/>
                <w:color w:val="auto"/>
                <w:szCs w:val="24"/>
              </w:rPr>
            </w:pPr>
          </w:p>
        </w:tc>
        <w:tc>
          <w:tcPr>
            <w:tcW w:w="2551" w:type="dxa"/>
            <w:vAlign w:val="center"/>
          </w:tcPr>
          <w:p w14:paraId="2928EF43">
            <w:pPr>
              <w:pStyle w:val="25"/>
              <w:spacing w:line="400" w:lineRule="atLeast"/>
              <w:jc w:val="center"/>
              <w:rPr>
                <w:rFonts w:ascii="仿宋" w:hAnsi="仿宋" w:eastAsia="仿宋"/>
                <w:color w:val="auto"/>
                <w:szCs w:val="24"/>
              </w:rPr>
            </w:pPr>
          </w:p>
        </w:tc>
        <w:tc>
          <w:tcPr>
            <w:tcW w:w="2126" w:type="dxa"/>
            <w:vAlign w:val="center"/>
          </w:tcPr>
          <w:p w14:paraId="0F3AA672">
            <w:pPr>
              <w:pStyle w:val="25"/>
              <w:spacing w:line="400" w:lineRule="atLeast"/>
              <w:jc w:val="center"/>
              <w:rPr>
                <w:rFonts w:ascii="仿宋" w:hAnsi="仿宋" w:eastAsia="仿宋"/>
                <w:color w:val="auto"/>
                <w:szCs w:val="24"/>
              </w:rPr>
            </w:pPr>
          </w:p>
        </w:tc>
      </w:tr>
      <w:tr w14:paraId="5CD2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3B35FAD2">
            <w:pPr>
              <w:pStyle w:val="25"/>
              <w:spacing w:line="400" w:lineRule="atLeast"/>
              <w:jc w:val="center"/>
              <w:rPr>
                <w:rFonts w:ascii="仿宋" w:hAnsi="仿宋" w:eastAsia="仿宋"/>
                <w:color w:val="auto"/>
                <w:szCs w:val="24"/>
              </w:rPr>
            </w:pPr>
          </w:p>
        </w:tc>
        <w:tc>
          <w:tcPr>
            <w:tcW w:w="2595" w:type="dxa"/>
            <w:vAlign w:val="center"/>
          </w:tcPr>
          <w:p w14:paraId="45F6D073">
            <w:pPr>
              <w:pStyle w:val="25"/>
              <w:spacing w:line="400" w:lineRule="atLeast"/>
              <w:jc w:val="center"/>
              <w:rPr>
                <w:rFonts w:ascii="仿宋" w:hAnsi="仿宋" w:eastAsia="仿宋"/>
                <w:color w:val="auto"/>
                <w:szCs w:val="24"/>
              </w:rPr>
            </w:pPr>
          </w:p>
        </w:tc>
        <w:tc>
          <w:tcPr>
            <w:tcW w:w="2551" w:type="dxa"/>
            <w:vAlign w:val="center"/>
          </w:tcPr>
          <w:p w14:paraId="370C6846">
            <w:pPr>
              <w:pStyle w:val="25"/>
              <w:spacing w:line="400" w:lineRule="atLeast"/>
              <w:jc w:val="center"/>
              <w:rPr>
                <w:rFonts w:ascii="仿宋" w:hAnsi="仿宋" w:eastAsia="仿宋"/>
                <w:color w:val="auto"/>
                <w:szCs w:val="24"/>
              </w:rPr>
            </w:pPr>
          </w:p>
        </w:tc>
        <w:tc>
          <w:tcPr>
            <w:tcW w:w="2126" w:type="dxa"/>
            <w:vAlign w:val="center"/>
          </w:tcPr>
          <w:p w14:paraId="79D92D96">
            <w:pPr>
              <w:pStyle w:val="25"/>
              <w:spacing w:line="400" w:lineRule="atLeast"/>
              <w:jc w:val="center"/>
              <w:rPr>
                <w:rFonts w:ascii="仿宋" w:hAnsi="仿宋" w:eastAsia="仿宋"/>
                <w:color w:val="auto"/>
                <w:szCs w:val="24"/>
              </w:rPr>
            </w:pPr>
          </w:p>
        </w:tc>
      </w:tr>
      <w:tr w14:paraId="141B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20629067">
            <w:pPr>
              <w:pStyle w:val="25"/>
              <w:spacing w:line="400" w:lineRule="atLeast"/>
              <w:jc w:val="center"/>
              <w:rPr>
                <w:rFonts w:ascii="仿宋" w:hAnsi="仿宋" w:eastAsia="仿宋"/>
                <w:color w:val="auto"/>
                <w:szCs w:val="24"/>
              </w:rPr>
            </w:pPr>
          </w:p>
        </w:tc>
        <w:tc>
          <w:tcPr>
            <w:tcW w:w="2595" w:type="dxa"/>
            <w:vAlign w:val="center"/>
          </w:tcPr>
          <w:p w14:paraId="128D8A42">
            <w:pPr>
              <w:pStyle w:val="25"/>
              <w:spacing w:line="400" w:lineRule="atLeast"/>
              <w:jc w:val="center"/>
              <w:rPr>
                <w:rFonts w:ascii="仿宋" w:hAnsi="仿宋" w:eastAsia="仿宋"/>
                <w:color w:val="auto"/>
                <w:szCs w:val="24"/>
              </w:rPr>
            </w:pPr>
          </w:p>
        </w:tc>
        <w:tc>
          <w:tcPr>
            <w:tcW w:w="2551" w:type="dxa"/>
            <w:vAlign w:val="center"/>
          </w:tcPr>
          <w:p w14:paraId="0E48775A">
            <w:pPr>
              <w:pStyle w:val="25"/>
              <w:spacing w:line="400" w:lineRule="atLeast"/>
              <w:jc w:val="center"/>
              <w:rPr>
                <w:rFonts w:ascii="仿宋" w:hAnsi="仿宋" w:eastAsia="仿宋"/>
                <w:color w:val="auto"/>
                <w:szCs w:val="24"/>
              </w:rPr>
            </w:pPr>
          </w:p>
        </w:tc>
        <w:tc>
          <w:tcPr>
            <w:tcW w:w="2126" w:type="dxa"/>
            <w:vAlign w:val="center"/>
          </w:tcPr>
          <w:p w14:paraId="352CD7D8">
            <w:pPr>
              <w:pStyle w:val="25"/>
              <w:spacing w:line="400" w:lineRule="atLeast"/>
              <w:jc w:val="center"/>
              <w:rPr>
                <w:rFonts w:ascii="仿宋" w:hAnsi="仿宋" w:eastAsia="仿宋"/>
                <w:color w:val="auto"/>
                <w:szCs w:val="24"/>
              </w:rPr>
            </w:pPr>
          </w:p>
        </w:tc>
      </w:tr>
      <w:tr w14:paraId="69B0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705F79CC">
            <w:pPr>
              <w:pStyle w:val="25"/>
              <w:spacing w:line="400" w:lineRule="atLeast"/>
              <w:jc w:val="center"/>
              <w:rPr>
                <w:rFonts w:ascii="仿宋" w:hAnsi="仿宋" w:eastAsia="仿宋"/>
                <w:color w:val="auto"/>
                <w:szCs w:val="24"/>
              </w:rPr>
            </w:pPr>
          </w:p>
        </w:tc>
        <w:tc>
          <w:tcPr>
            <w:tcW w:w="2595" w:type="dxa"/>
            <w:vAlign w:val="center"/>
          </w:tcPr>
          <w:p w14:paraId="1EA8F243">
            <w:pPr>
              <w:pStyle w:val="25"/>
              <w:spacing w:line="400" w:lineRule="atLeast"/>
              <w:jc w:val="center"/>
              <w:rPr>
                <w:rFonts w:ascii="仿宋" w:hAnsi="仿宋" w:eastAsia="仿宋"/>
                <w:color w:val="auto"/>
                <w:szCs w:val="24"/>
              </w:rPr>
            </w:pPr>
          </w:p>
        </w:tc>
        <w:tc>
          <w:tcPr>
            <w:tcW w:w="2551" w:type="dxa"/>
            <w:vAlign w:val="center"/>
          </w:tcPr>
          <w:p w14:paraId="50736ED0">
            <w:pPr>
              <w:pStyle w:val="25"/>
              <w:spacing w:line="400" w:lineRule="atLeast"/>
              <w:jc w:val="center"/>
              <w:rPr>
                <w:rFonts w:ascii="仿宋" w:hAnsi="仿宋" w:eastAsia="仿宋"/>
                <w:color w:val="auto"/>
                <w:szCs w:val="24"/>
              </w:rPr>
            </w:pPr>
          </w:p>
        </w:tc>
        <w:tc>
          <w:tcPr>
            <w:tcW w:w="2126" w:type="dxa"/>
            <w:vAlign w:val="center"/>
          </w:tcPr>
          <w:p w14:paraId="4521D411">
            <w:pPr>
              <w:pStyle w:val="25"/>
              <w:spacing w:line="400" w:lineRule="atLeast"/>
              <w:jc w:val="center"/>
              <w:rPr>
                <w:rFonts w:ascii="仿宋" w:hAnsi="仿宋" w:eastAsia="仿宋"/>
                <w:color w:val="auto"/>
                <w:szCs w:val="24"/>
              </w:rPr>
            </w:pPr>
          </w:p>
        </w:tc>
      </w:tr>
      <w:tr w14:paraId="2E65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472CC36A">
            <w:pPr>
              <w:pStyle w:val="25"/>
              <w:spacing w:line="400" w:lineRule="atLeast"/>
              <w:jc w:val="center"/>
              <w:rPr>
                <w:rFonts w:ascii="仿宋" w:hAnsi="仿宋" w:eastAsia="仿宋"/>
                <w:color w:val="auto"/>
                <w:szCs w:val="24"/>
              </w:rPr>
            </w:pPr>
          </w:p>
        </w:tc>
        <w:tc>
          <w:tcPr>
            <w:tcW w:w="2595" w:type="dxa"/>
            <w:vAlign w:val="center"/>
          </w:tcPr>
          <w:p w14:paraId="07EFC6BE">
            <w:pPr>
              <w:pStyle w:val="25"/>
              <w:spacing w:line="400" w:lineRule="atLeast"/>
              <w:jc w:val="center"/>
              <w:rPr>
                <w:rFonts w:ascii="仿宋" w:hAnsi="仿宋" w:eastAsia="仿宋"/>
                <w:color w:val="auto"/>
                <w:szCs w:val="24"/>
              </w:rPr>
            </w:pPr>
          </w:p>
        </w:tc>
        <w:tc>
          <w:tcPr>
            <w:tcW w:w="2551" w:type="dxa"/>
            <w:vAlign w:val="center"/>
          </w:tcPr>
          <w:p w14:paraId="51C2F1B3">
            <w:pPr>
              <w:pStyle w:val="25"/>
              <w:spacing w:line="400" w:lineRule="atLeast"/>
              <w:jc w:val="center"/>
              <w:rPr>
                <w:rFonts w:ascii="仿宋" w:hAnsi="仿宋" w:eastAsia="仿宋"/>
                <w:color w:val="auto"/>
                <w:szCs w:val="24"/>
              </w:rPr>
            </w:pPr>
          </w:p>
        </w:tc>
        <w:tc>
          <w:tcPr>
            <w:tcW w:w="2126" w:type="dxa"/>
            <w:vAlign w:val="center"/>
          </w:tcPr>
          <w:p w14:paraId="5FFCC087">
            <w:pPr>
              <w:pStyle w:val="25"/>
              <w:spacing w:line="400" w:lineRule="atLeast"/>
              <w:jc w:val="center"/>
              <w:rPr>
                <w:rFonts w:ascii="仿宋" w:hAnsi="仿宋" w:eastAsia="仿宋"/>
                <w:color w:val="auto"/>
                <w:szCs w:val="24"/>
              </w:rPr>
            </w:pPr>
          </w:p>
        </w:tc>
      </w:tr>
      <w:tr w14:paraId="428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202" w:type="dxa"/>
            <w:vAlign w:val="center"/>
          </w:tcPr>
          <w:p w14:paraId="3C020909">
            <w:pPr>
              <w:pStyle w:val="25"/>
              <w:spacing w:line="400" w:lineRule="atLeast"/>
              <w:jc w:val="center"/>
              <w:rPr>
                <w:rFonts w:ascii="仿宋" w:hAnsi="仿宋" w:eastAsia="仿宋"/>
                <w:color w:val="auto"/>
                <w:szCs w:val="24"/>
              </w:rPr>
            </w:pPr>
          </w:p>
        </w:tc>
        <w:tc>
          <w:tcPr>
            <w:tcW w:w="2595" w:type="dxa"/>
            <w:vAlign w:val="center"/>
          </w:tcPr>
          <w:p w14:paraId="40B2E72F">
            <w:pPr>
              <w:pStyle w:val="25"/>
              <w:spacing w:line="400" w:lineRule="atLeast"/>
              <w:jc w:val="center"/>
              <w:rPr>
                <w:rFonts w:ascii="仿宋" w:hAnsi="仿宋" w:eastAsia="仿宋"/>
                <w:color w:val="auto"/>
                <w:szCs w:val="24"/>
              </w:rPr>
            </w:pPr>
          </w:p>
        </w:tc>
        <w:tc>
          <w:tcPr>
            <w:tcW w:w="2551" w:type="dxa"/>
            <w:vAlign w:val="center"/>
          </w:tcPr>
          <w:p w14:paraId="441A160B">
            <w:pPr>
              <w:pStyle w:val="25"/>
              <w:spacing w:line="400" w:lineRule="atLeast"/>
              <w:jc w:val="center"/>
              <w:rPr>
                <w:rFonts w:ascii="仿宋" w:hAnsi="仿宋" w:eastAsia="仿宋"/>
                <w:color w:val="auto"/>
                <w:szCs w:val="24"/>
              </w:rPr>
            </w:pPr>
          </w:p>
        </w:tc>
        <w:tc>
          <w:tcPr>
            <w:tcW w:w="2126" w:type="dxa"/>
            <w:vAlign w:val="center"/>
          </w:tcPr>
          <w:p w14:paraId="38111CDB">
            <w:pPr>
              <w:pStyle w:val="25"/>
              <w:spacing w:line="400" w:lineRule="atLeast"/>
              <w:jc w:val="center"/>
              <w:rPr>
                <w:rFonts w:ascii="仿宋" w:hAnsi="仿宋" w:eastAsia="仿宋"/>
                <w:color w:val="auto"/>
                <w:szCs w:val="24"/>
              </w:rPr>
            </w:pPr>
          </w:p>
        </w:tc>
      </w:tr>
    </w:tbl>
    <w:p w14:paraId="7E938FC4">
      <w:pPr>
        <w:pStyle w:val="25"/>
        <w:spacing w:line="400" w:lineRule="exact"/>
        <w:rPr>
          <w:rFonts w:ascii="仿宋" w:hAnsi="仿宋" w:eastAsia="仿宋"/>
          <w:color w:val="auto"/>
          <w:szCs w:val="24"/>
        </w:rPr>
      </w:pPr>
      <w:r>
        <w:rPr>
          <w:rFonts w:hint="eastAsia" w:ascii="仿宋" w:hAnsi="仿宋" w:eastAsia="仿宋"/>
          <w:color w:val="auto"/>
          <w:szCs w:val="24"/>
        </w:rPr>
        <w:t>注：</w:t>
      </w:r>
    </w:p>
    <w:p w14:paraId="5AE6D2C3">
      <w:pPr>
        <w:pStyle w:val="2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auto"/>
          <w:szCs w:val="24"/>
        </w:rPr>
      </w:pPr>
      <w:r>
        <w:rPr>
          <w:rFonts w:hint="eastAsia" w:ascii="仿宋" w:hAnsi="仿宋" w:eastAsia="仿宋"/>
          <w:color w:val="auto"/>
          <w:szCs w:val="24"/>
        </w:rPr>
        <w:t>1、此表须与招标文件“采购需求”相应标项内的所有技术规格、商务条款（含技术、功能、配置、附加必备条件、售后服务、安装、验收、付款方式等）相比较且一一对应真实逐条填列，并在“偏离情况”栏注明“正偏离</w:t>
      </w:r>
      <w:r>
        <w:rPr>
          <w:rFonts w:hint="eastAsia" w:ascii="仿宋" w:hAnsi="仿宋" w:eastAsia="仿宋"/>
          <w:color w:val="auto"/>
          <w:szCs w:val="24"/>
          <w:lang w:eastAsia="zh-CN"/>
        </w:rPr>
        <w:t>”“</w:t>
      </w:r>
      <w:r>
        <w:rPr>
          <w:rFonts w:hint="eastAsia" w:ascii="仿宋" w:hAnsi="仿宋" w:eastAsia="仿宋"/>
          <w:color w:val="auto"/>
          <w:szCs w:val="24"/>
        </w:rPr>
        <w:t>负偏离”或“无偏离”。</w:t>
      </w:r>
    </w:p>
    <w:p w14:paraId="58C7DDA3">
      <w:pPr>
        <w:pStyle w:val="2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auto"/>
          <w:szCs w:val="24"/>
        </w:rPr>
      </w:pPr>
      <w:r>
        <w:rPr>
          <w:rFonts w:hint="eastAsia" w:ascii="仿宋" w:hAnsi="仿宋" w:eastAsia="仿宋"/>
          <w:color w:val="auto"/>
          <w:szCs w:val="24"/>
        </w:rPr>
        <w:t>2、投标人递交的技术规格书中必须真实逐条列明，否则由投标人自行承担相关风险。</w:t>
      </w:r>
    </w:p>
    <w:p w14:paraId="5EA92332">
      <w:pPr>
        <w:pStyle w:val="2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auto"/>
          <w:szCs w:val="24"/>
        </w:rPr>
      </w:pPr>
      <w:r>
        <w:rPr>
          <w:rFonts w:hint="eastAsia" w:ascii="仿宋" w:hAnsi="仿宋" w:eastAsia="仿宋"/>
          <w:color w:val="auto"/>
          <w:szCs w:val="24"/>
        </w:rPr>
        <w:t>3、此表在不改变格式的情况下可自行制作。</w:t>
      </w:r>
    </w:p>
    <w:p w14:paraId="44949488">
      <w:pPr>
        <w:pStyle w:val="2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auto"/>
          <w:szCs w:val="24"/>
        </w:rPr>
      </w:pPr>
      <w:r>
        <w:rPr>
          <w:rFonts w:hint="eastAsia" w:ascii="仿宋" w:hAnsi="仿宋" w:eastAsia="仿宋"/>
          <w:color w:val="auto"/>
          <w:szCs w:val="24"/>
        </w:rPr>
        <w:t>4、此表置于此标书中。</w:t>
      </w:r>
    </w:p>
    <w:p w14:paraId="60D76C32">
      <w:pPr>
        <w:spacing w:line="400" w:lineRule="exact"/>
        <w:jc w:val="right"/>
        <w:rPr>
          <w:rFonts w:ascii="仿宋" w:hAnsi="仿宋" w:eastAsia="仿宋"/>
          <w:color w:val="auto"/>
          <w:sz w:val="28"/>
        </w:rPr>
      </w:pPr>
    </w:p>
    <w:p w14:paraId="4E3B5560">
      <w:pPr>
        <w:spacing w:line="480" w:lineRule="auto"/>
        <w:jc w:val="right"/>
        <w:rPr>
          <w:rFonts w:ascii="仿宋" w:hAnsi="仿宋" w:eastAsia="仿宋"/>
          <w:color w:val="auto"/>
          <w:sz w:val="24"/>
          <w:szCs w:val="24"/>
          <w:u w:val="single"/>
        </w:rPr>
      </w:pPr>
      <w:r>
        <w:rPr>
          <w:rFonts w:hint="eastAsia" w:ascii="仿宋" w:hAnsi="仿宋" w:eastAsia="仿宋"/>
          <w:color w:val="auto"/>
          <w:sz w:val="24"/>
          <w:szCs w:val="24"/>
        </w:rPr>
        <w:t>投标人全称（电子签章）：______________</w:t>
      </w:r>
    </w:p>
    <w:p w14:paraId="1C3714AF">
      <w:pPr>
        <w:spacing w:line="360" w:lineRule="auto"/>
        <w:jc w:val="right"/>
        <w:rPr>
          <w:rFonts w:hint="eastAsia" w:ascii="仿宋" w:hAnsi="仿宋" w:eastAsia="仿宋"/>
          <w:color w:val="auto"/>
          <w:sz w:val="24"/>
          <w:szCs w:val="24"/>
        </w:rPr>
        <w:sectPr>
          <w:pgSz w:w="11905" w:h="16838"/>
          <w:pgMar w:top="1440" w:right="1083" w:bottom="1440" w:left="1083" w:header="850" w:footer="964" w:gutter="0"/>
          <w:pgNumType w:fmt="decimal"/>
          <w:cols w:space="0" w:num="1"/>
          <w:titlePg/>
          <w:rtlGutter w:val="0"/>
          <w:docGrid w:type="lines" w:linePitch="315" w:charSpace="0"/>
        </w:sectPr>
      </w:pPr>
      <w:r>
        <w:rPr>
          <w:rFonts w:hint="eastAsia" w:ascii="仿宋" w:hAnsi="仿宋" w:eastAsia="仿宋"/>
          <w:color w:val="auto"/>
          <w:sz w:val="24"/>
          <w:szCs w:val="24"/>
        </w:rPr>
        <w:t>日期：_______年_____月_____</w:t>
      </w:r>
    </w:p>
    <w:p w14:paraId="0CAAC0D8">
      <w:pPr>
        <w:pStyle w:val="65"/>
        <w:numPr>
          <w:ilvl w:val="0"/>
          <w:numId w:val="0"/>
        </w:numPr>
        <w:ind w:left="0" w:leftChars="0" w:firstLine="0" w:firstLineChars="0"/>
        <w:jc w:val="center"/>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八、投标人需要说明的其他文件和说明（格式自拟）</w:t>
      </w:r>
    </w:p>
    <w:p w14:paraId="7619E4DF">
      <w:pPr>
        <w:spacing w:line="360" w:lineRule="auto"/>
        <w:rPr>
          <w:rFonts w:hint="eastAsia" w:ascii="仿宋" w:hAnsi="仿宋" w:eastAsia="仿宋"/>
          <w:color w:val="auto"/>
          <w:sz w:val="24"/>
          <w:szCs w:val="24"/>
        </w:rPr>
      </w:pPr>
    </w:p>
    <w:sectPr>
      <w:pgSz w:w="11905" w:h="16838"/>
      <w:pgMar w:top="1440" w:right="1083" w:bottom="1440" w:left="1083" w:header="850" w:footer="964" w:gutter="0"/>
      <w:pgNumType w:fmt="decimal"/>
      <w:cols w:space="0" w:num="1"/>
      <w:titlePg/>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Lucida Sans">
    <w:altName w:val="Lucida Sans Unicode"/>
    <w:panose1 w:val="020B0602030504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0" w:usb3="00000000" w:csb0="00100000"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
    <w:altName w:val="宋体"/>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7B13">
    <w:pPr>
      <w:pStyle w:val="31"/>
      <w:ind w:firstLine="360"/>
      <w:jc w:val="center"/>
    </w:pPr>
    <w:sdt>
      <w:sdtPr>
        <w:id w:val="1020118566"/>
      </w:sdtPr>
      <w:sdtContent/>
    </w:sdt>
  </w:p>
  <w:p w14:paraId="7C394264">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C1A7A">
    <w:pPr>
      <w:pStyle w:val="31"/>
      <w:ind w:firstLine="360"/>
      <w:jc w:val="center"/>
    </w:pPr>
    <w:sdt>
      <w:sdtPr>
        <w:id w:val="147469412"/>
      </w:sdtPr>
      <w:sdtContent/>
    </w:sdt>
  </w:p>
  <w:p w14:paraId="34311E69">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B24E1">
    <w:pPr>
      <w:pStyle w:val="3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9308F">
                          <w:pPr>
                            <w:pStyle w:val="3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B9308F">
                    <w:pPr>
                      <w:pStyle w:val="3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AC94">
    <w:pPr>
      <w:pStyle w:val="31"/>
      <w:framePr w:wrap="around" w:vAnchor="text" w:hAnchor="margin" w:xAlign="center" w:y="1"/>
      <w:rPr>
        <w:rStyle w:val="54"/>
      </w:rPr>
    </w:pPr>
    <w:r>
      <w:fldChar w:fldCharType="begin"/>
    </w:r>
    <w:r>
      <w:rPr>
        <w:rStyle w:val="54"/>
      </w:rPr>
      <w:instrText xml:space="preserve">PAGE  </w:instrText>
    </w:r>
    <w:r>
      <w:fldChar w:fldCharType="end"/>
    </w:r>
  </w:p>
  <w:p w14:paraId="47164437">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8A229">
    <w:pPr>
      <w:pStyle w:val="31"/>
      <w:jc w:val="both"/>
    </w:pPr>
    <w:r>
      <w:rPr>
        <w:sz w:val="18"/>
      </w:rPr>
      <mc:AlternateContent>
        <mc:Choice Requires="wps">
          <w:drawing>
            <wp:anchor distT="0" distB="0" distL="114300" distR="114300" simplePos="0" relativeHeight="251663360" behindDoc="0" locked="0" layoutInCell="1" allowOverlap="1">
              <wp:simplePos x="0" y="0"/>
              <wp:positionH relativeFrom="margin">
                <wp:posOffset>3028950</wp:posOffset>
              </wp:positionH>
              <wp:positionV relativeFrom="paragraph">
                <wp:posOffset>-112395</wp:posOffset>
              </wp:positionV>
              <wp:extent cx="463550" cy="2736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63550" cy="27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C6E27">
                          <w:pPr>
                            <w:pStyle w:val="3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8.5pt;margin-top:-8.85pt;height:21.55pt;width:36.5pt;mso-position-horizontal-relative:margin;z-index:251663360;mso-width-relative:page;mso-height-relative:page;" filled="f" stroked="f" coordsize="21600,21600" o:gfxdata="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qr4s2gAAAAoBAAAPAAAAAAAAAAEAIAAAACIAAABkcnMvZG93&#10;bnJldi54bWxQSwECFAAUAAAACACHTuJAFAuQpzcCAABhBAAADgAAAAAAAAABACAAAAApAQAAZHJz&#10;L2Uyb0RvYy54bWxQSwUGAAAAAAYABgBZAQAA0gUAAAAA&#10;">
              <v:fill on="f" focussize="0,0"/>
              <v:stroke on="f" weight="0.5pt"/>
              <v:imagedata o:title=""/>
              <o:lock v:ext="edit" aspectratio="f"/>
              <v:textbox inset="0mm,0mm,0mm,0mm">
                <w:txbxContent>
                  <w:p w14:paraId="385C6E27">
                    <w:pPr>
                      <w:pStyle w:val="3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EF57">
    <w:pPr>
      <w:pStyle w:val="31"/>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DF45D">
                          <w:pPr>
                            <w:pStyle w:val="31"/>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CCDF45D">
                    <w:pPr>
                      <w:pStyle w:val="31"/>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A643">
    <w:pPr>
      <w:pStyle w:val="32"/>
      <w:rPr>
        <w:rFonts w:hint="eastAsia" w:ascii="宋体" w:hAnsi="宋体" w:eastAsia="宋体" w:cs="宋体"/>
        <w:sz w:val="16"/>
        <w:szCs w:val="16"/>
        <w:lang w:val="en-US" w:eastAsia="zh-CN"/>
      </w:rPr>
    </w:pPr>
  </w:p>
  <w:p w14:paraId="3FA967F0">
    <w:pPr>
      <w:pStyle w:val="32"/>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诸暨市宸佳工程管理有限公司招标文件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3A5AF">
    <w:pPr>
      <w:pStyle w:val="32"/>
      <w:pBdr>
        <w:bottom w:val="single" w:color="auto" w:sz="4" w:space="1"/>
      </w:pBdr>
      <w:rPr>
        <w:rFonts w:ascii="宋体" w:hAnsi="宋体" w:eastAsia="宋体" w:cs="宋体"/>
        <w:sz w:val="20"/>
        <w:szCs w:val="20"/>
      </w:rPr>
    </w:pPr>
    <w:r>
      <w:rPr>
        <w:rFonts w:hint="eastAsia" w:ascii="宋体" w:hAnsi="宋体" w:eastAsia="宋体" w:cs="宋体"/>
        <w:sz w:val="20"/>
        <w:szCs w:val="20"/>
      </w:rPr>
      <w:t>诸暨市宸佳工程管理有限公司招标文件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74E17">
    <w:pPr>
      <w:pStyle w:val="32"/>
      <w:pBdr>
        <w:bottom w:val="single" w:color="auto" w:sz="4" w:space="1"/>
      </w:pBdr>
      <w:rPr>
        <w:rFonts w:ascii="宋体" w:hAnsi="宋体" w:eastAsia="宋体" w:cs="宋体"/>
        <w:sz w:val="20"/>
        <w:szCs w:val="20"/>
      </w:rPr>
    </w:pPr>
    <w:r>
      <w:rPr>
        <w:rFonts w:hint="eastAsia" w:ascii="宋体" w:hAnsi="宋体" w:eastAsia="宋体" w:cs="宋体"/>
        <w:sz w:val="20"/>
        <w:szCs w:val="20"/>
      </w:rPr>
      <w:t>诸暨市宸佳工程管理有限公司招标文件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2FD37">
    <w:pPr>
      <w:pStyle w:val="32"/>
      <w:pBdr>
        <w:bottom w:val="single" w:color="auto" w:sz="4" w:space="1"/>
      </w:pBdr>
      <w:rPr>
        <w:rFonts w:ascii="宋体" w:hAnsi="宋体" w:eastAsia="宋体" w:cs="宋体"/>
        <w:sz w:val="20"/>
        <w:szCs w:val="20"/>
      </w:rPr>
    </w:pPr>
    <w:r>
      <w:rPr>
        <w:rFonts w:hint="eastAsia" w:ascii="宋体" w:hAnsi="宋体" w:eastAsia="宋体" w:cs="宋体"/>
        <w:sz w:val="20"/>
        <w:szCs w:val="20"/>
      </w:rPr>
      <w:t>诸暨市宸佳工程管理有限公司招标文件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B605">
    <w:pPr>
      <w:pStyle w:val="32"/>
    </w:pPr>
    <w:r>
      <w:rPr>
        <w:rFonts w:hint="eastAsia" w:ascii="宋体" w:hAnsi="宋体" w:eastAsia="宋体" w:cs="宋体"/>
        <w:sz w:val="20"/>
        <w:szCs w:val="20"/>
        <w:lang w:eastAsia="zh-CN"/>
      </w:rPr>
      <w:t>诸暨市宸佳工程管理有限公司招标文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74BAB">
    <w:pPr>
      <w:pStyle w:val="32"/>
      <w:pBdr>
        <w:bottom w:val="single" w:color="auto" w:sz="4" w:space="1"/>
      </w:pBdr>
      <w:rPr>
        <w:rFonts w:ascii="宋体" w:hAnsi="宋体" w:eastAsia="宋体" w:cs="宋体"/>
        <w:sz w:val="20"/>
        <w:szCs w:val="20"/>
      </w:rPr>
    </w:pPr>
    <w:r>
      <w:rPr>
        <w:rFonts w:hint="eastAsia" w:ascii="宋体" w:hAnsi="宋体" w:eastAsia="宋体" w:cs="宋体"/>
        <w:sz w:val="20"/>
        <w:szCs w:val="20"/>
      </w:rPr>
      <w:t>诸暨市宸佳工程管理有限公司招标文件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4EC88"/>
    <w:multiLevelType w:val="singleLevel"/>
    <w:tmpl w:val="87A4EC88"/>
    <w:lvl w:ilvl="0" w:tentative="0">
      <w:start w:val="1"/>
      <w:numFmt w:val="decimal"/>
      <w:suff w:val="nothing"/>
      <w:lvlText w:val="(%1)"/>
      <w:lvlJc w:val="left"/>
      <w:pPr>
        <w:ind w:left="0" w:leftChars="0" w:firstLine="0" w:firstLineChars="0"/>
      </w:pPr>
      <w:rPr>
        <w:rFonts w:hint="default"/>
      </w:rPr>
    </w:lvl>
  </w:abstractNum>
  <w:abstractNum w:abstractNumId="1">
    <w:nsid w:val="8B4F43D8"/>
    <w:multiLevelType w:val="singleLevel"/>
    <w:tmpl w:val="8B4F43D8"/>
    <w:lvl w:ilvl="0" w:tentative="0">
      <w:start w:val="1"/>
      <w:numFmt w:val="decimal"/>
      <w:suff w:val="nothing"/>
      <w:lvlText w:val="%1、"/>
      <w:lvlJc w:val="left"/>
      <w:pPr>
        <w:ind w:left="0" w:firstLine="0"/>
      </w:pPr>
      <w:rPr>
        <w:rFonts w:hint="default"/>
      </w:rPr>
    </w:lvl>
  </w:abstractNum>
  <w:abstractNum w:abstractNumId="2">
    <w:nsid w:val="8FCF5B4E"/>
    <w:multiLevelType w:val="singleLevel"/>
    <w:tmpl w:val="8FCF5B4E"/>
    <w:lvl w:ilvl="0" w:tentative="0">
      <w:start w:val="1"/>
      <w:numFmt w:val="decimal"/>
      <w:suff w:val="nothing"/>
      <w:lvlText w:val="%1、"/>
      <w:lvlJc w:val="left"/>
      <w:pPr>
        <w:ind w:left="0" w:firstLine="0"/>
      </w:pPr>
      <w:rPr>
        <w:rFonts w:hint="default"/>
      </w:rPr>
    </w:lvl>
  </w:abstractNum>
  <w:abstractNum w:abstractNumId="3">
    <w:nsid w:val="93F0D6F5"/>
    <w:multiLevelType w:val="singleLevel"/>
    <w:tmpl w:val="93F0D6F5"/>
    <w:lvl w:ilvl="0" w:tentative="0">
      <w:start w:val="1"/>
      <w:numFmt w:val="decimal"/>
      <w:lvlText w:val="(%1)"/>
      <w:lvlJc w:val="left"/>
      <w:pPr>
        <w:ind w:left="0" w:firstLine="0"/>
      </w:pPr>
      <w:rPr>
        <w:rFonts w:hint="default"/>
      </w:rPr>
    </w:lvl>
  </w:abstractNum>
  <w:abstractNum w:abstractNumId="4">
    <w:nsid w:val="9A6EADCB"/>
    <w:multiLevelType w:val="multilevel"/>
    <w:tmpl w:val="9A6EADCB"/>
    <w:lvl w:ilvl="0" w:tentative="0">
      <w:start w:val="3"/>
      <w:numFmt w:val="decimal"/>
      <w:lvlText w:val="%1."/>
      <w:lvlJc w:val="left"/>
      <w:pPr>
        <w:tabs>
          <w:tab w:val="left" w:pos="420"/>
        </w:tabs>
        <w:ind w:left="425" w:hanging="425"/>
      </w:pPr>
      <w:rPr>
        <w:rFonts w:hint="default"/>
      </w:rPr>
    </w:lvl>
    <w:lvl w:ilvl="1" w:tentative="0">
      <w:start w:val="2"/>
      <w:numFmt w:val="decimal"/>
      <w:lvlText w:val="%1.%2."/>
      <w:lvlJc w:val="left"/>
      <w:pPr>
        <w:tabs>
          <w:tab w:val="left" w:pos="420"/>
        </w:tabs>
        <w:ind w:left="567" w:hanging="567"/>
      </w:pPr>
      <w:rPr>
        <w:rFonts w:hint="default"/>
      </w:rPr>
    </w:lvl>
    <w:lvl w:ilvl="2" w:tentative="0">
      <w:start w:val="1"/>
      <w:numFmt w:val="decimal"/>
      <w:suff w:val="space"/>
      <w:lvlText w:val="%1.%2.%3"/>
      <w:lvlJc w:val="left"/>
      <w:pPr>
        <w:ind w:left="0" w:firstLine="464"/>
      </w:pPr>
      <w:rPr>
        <w:rFonts w:hint="default"/>
      </w:rPr>
    </w:lvl>
    <w:lvl w:ilvl="3" w:tentative="0">
      <w:start w:val="1"/>
      <w:numFmt w:val="decimal"/>
      <w:suff w:val="nothing"/>
      <w:lvlText w:val="%1.%2.%3.%4"/>
      <w:lvlJc w:val="left"/>
      <w:pPr>
        <w:tabs>
          <w:tab w:val="left" w:pos="0"/>
        </w:tabs>
        <w:ind w:left="0" w:firstLine="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A5A659CA"/>
    <w:multiLevelType w:val="multilevel"/>
    <w:tmpl w:val="A5A659CA"/>
    <w:lvl w:ilvl="0" w:tentative="0">
      <w:start w:val="4"/>
      <w:numFmt w:val="decimal"/>
      <w:lvlText w:val="%1."/>
      <w:lvlJc w:val="left"/>
      <w:pPr>
        <w:tabs>
          <w:tab w:val="left" w:pos="420"/>
        </w:tabs>
        <w:ind w:left="425" w:hanging="425"/>
      </w:pPr>
      <w:rPr>
        <w:rFonts w:hint="default"/>
      </w:rPr>
    </w:lvl>
    <w:lvl w:ilvl="1" w:tentative="0">
      <w:start w:val="2"/>
      <w:numFmt w:val="decimal"/>
      <w:lvlText w:val="%1.%2."/>
      <w:lvlJc w:val="left"/>
      <w:pPr>
        <w:tabs>
          <w:tab w:val="left" w:pos="420"/>
        </w:tabs>
        <w:ind w:left="567" w:hanging="567"/>
      </w:pPr>
      <w:rPr>
        <w:rFonts w:hint="default"/>
      </w:rPr>
    </w:lvl>
    <w:lvl w:ilvl="2" w:tentative="0">
      <w:start w:val="1"/>
      <w:numFmt w:val="decimal"/>
      <w:suff w:val="space"/>
      <w:lvlText w:val="%1.%2.%3"/>
      <w:lvlJc w:val="left"/>
      <w:pPr>
        <w:ind w:left="0" w:firstLine="464"/>
      </w:pPr>
      <w:rPr>
        <w:rFonts w:hint="default"/>
      </w:rPr>
    </w:lvl>
    <w:lvl w:ilvl="3" w:tentative="0">
      <w:start w:val="1"/>
      <w:numFmt w:val="decimal"/>
      <w:suff w:val="nothing"/>
      <w:lvlText w:val="%1.%2.%3.%4."/>
      <w:lvlJc w:val="left"/>
      <w:pPr>
        <w:ind w:left="0" w:firstLine="0"/>
      </w:pPr>
      <w:rPr>
        <w:rFonts w:hint="default"/>
        <w:b w:val="0"/>
        <w:bCs w:val="0"/>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A60A5438"/>
    <w:multiLevelType w:val="singleLevel"/>
    <w:tmpl w:val="A60A5438"/>
    <w:lvl w:ilvl="0" w:tentative="0">
      <w:start w:val="1"/>
      <w:numFmt w:val="decimal"/>
      <w:suff w:val="nothing"/>
      <w:lvlText w:val="%1"/>
      <w:lvlJc w:val="left"/>
      <w:pPr>
        <w:ind w:left="425" w:hanging="425"/>
      </w:pPr>
      <w:rPr>
        <w:rFonts w:hint="default"/>
      </w:rPr>
    </w:lvl>
  </w:abstractNum>
  <w:abstractNum w:abstractNumId="7">
    <w:nsid w:val="A7B92906"/>
    <w:multiLevelType w:val="singleLevel"/>
    <w:tmpl w:val="A7B92906"/>
    <w:lvl w:ilvl="0" w:tentative="0">
      <w:start w:val="1"/>
      <w:numFmt w:val="chineseCounting"/>
      <w:suff w:val="nothing"/>
      <w:lvlText w:val="（%1）"/>
      <w:lvlJc w:val="left"/>
      <w:pPr>
        <w:ind w:left="0" w:firstLine="420"/>
      </w:pPr>
      <w:rPr>
        <w:rFonts w:hint="eastAsia"/>
      </w:rPr>
    </w:lvl>
  </w:abstractNum>
  <w:abstractNum w:abstractNumId="8">
    <w:nsid w:val="AB1A09D4"/>
    <w:multiLevelType w:val="singleLevel"/>
    <w:tmpl w:val="AB1A09D4"/>
    <w:lvl w:ilvl="0" w:tentative="0">
      <w:start w:val="1"/>
      <w:numFmt w:val="decimal"/>
      <w:suff w:val="nothing"/>
      <w:lvlText w:val="%1"/>
      <w:lvlJc w:val="left"/>
      <w:pPr>
        <w:ind w:left="425" w:hanging="425"/>
      </w:pPr>
      <w:rPr>
        <w:rFonts w:hint="default"/>
      </w:rPr>
    </w:lvl>
  </w:abstractNum>
  <w:abstractNum w:abstractNumId="9">
    <w:nsid w:val="AEB38C72"/>
    <w:multiLevelType w:val="multilevel"/>
    <w:tmpl w:val="AEB38C72"/>
    <w:lvl w:ilvl="0" w:tentative="0">
      <w:start w:val="2"/>
      <w:numFmt w:val="decimal"/>
      <w:lvlText w:val="%1."/>
      <w:lvlJc w:val="left"/>
      <w:pPr>
        <w:tabs>
          <w:tab w:val="left" w:pos="420"/>
        </w:tabs>
        <w:ind w:left="425" w:hanging="425"/>
      </w:pPr>
      <w:rPr>
        <w:rFonts w:hint="default"/>
      </w:rPr>
    </w:lvl>
    <w:lvl w:ilvl="1" w:tentative="0">
      <w:start w:val="1"/>
      <w:numFmt w:val="decimal"/>
      <w:suff w:val="space"/>
      <w:lvlText w:val="%1.%2"/>
      <w:lvlJc w:val="left"/>
      <w:pPr>
        <w:ind w:left="0" w:firstLine="482"/>
      </w:pPr>
      <w:rPr>
        <w:rFonts w:hint="default"/>
      </w:rPr>
    </w:lvl>
    <w:lvl w:ilvl="2" w:tentative="0">
      <w:start w:val="1"/>
      <w:numFmt w:val="decimal"/>
      <w:suff w:val="space"/>
      <w:lvlText w:val="%1.%2.%3"/>
      <w:lvlJc w:val="left"/>
      <w:pPr>
        <w:ind w:left="0" w:firstLine="0"/>
      </w:pPr>
      <w:rPr>
        <w:rFonts w:hint="default"/>
        <w:b w:val="0"/>
        <w:bCs w:val="0"/>
        <w:strike w:val="0"/>
        <w:dstrike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AFE0D7DA"/>
    <w:multiLevelType w:val="singleLevel"/>
    <w:tmpl w:val="AFE0D7DA"/>
    <w:lvl w:ilvl="0" w:tentative="0">
      <w:start w:val="1"/>
      <w:numFmt w:val="decimal"/>
      <w:suff w:val="nothing"/>
      <w:lvlText w:val="(%1)"/>
      <w:lvlJc w:val="left"/>
      <w:pPr>
        <w:ind w:left="0" w:firstLine="0"/>
      </w:pPr>
      <w:rPr>
        <w:rFonts w:hint="default"/>
      </w:rPr>
    </w:lvl>
  </w:abstractNum>
  <w:abstractNum w:abstractNumId="11">
    <w:nsid w:val="B3F6AB69"/>
    <w:multiLevelType w:val="singleLevel"/>
    <w:tmpl w:val="B3F6AB69"/>
    <w:lvl w:ilvl="0" w:tentative="0">
      <w:start w:val="2"/>
      <w:numFmt w:val="chineseCounting"/>
      <w:suff w:val="nothing"/>
      <w:lvlText w:val="%1、"/>
      <w:lvlJc w:val="left"/>
      <w:rPr>
        <w:rFonts w:hint="eastAsia"/>
      </w:rPr>
    </w:lvl>
  </w:abstractNum>
  <w:abstractNum w:abstractNumId="12">
    <w:nsid w:val="B5A696C4"/>
    <w:multiLevelType w:val="multilevel"/>
    <w:tmpl w:val="B5A696C4"/>
    <w:lvl w:ilvl="0" w:tentative="0">
      <w:start w:val="5"/>
      <w:numFmt w:val="decimal"/>
      <w:lvlText w:val="%1."/>
      <w:lvlJc w:val="left"/>
      <w:pPr>
        <w:tabs>
          <w:tab w:val="left" w:pos="420"/>
        </w:tabs>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C3313E3C"/>
    <w:multiLevelType w:val="singleLevel"/>
    <w:tmpl w:val="C3313E3C"/>
    <w:lvl w:ilvl="0" w:tentative="0">
      <w:start w:val="1"/>
      <w:numFmt w:val="decimal"/>
      <w:suff w:val="nothing"/>
      <w:lvlText w:val="%1"/>
      <w:lvlJc w:val="left"/>
      <w:pPr>
        <w:ind w:left="425" w:hanging="425"/>
      </w:pPr>
      <w:rPr>
        <w:rFonts w:hint="default"/>
      </w:rPr>
    </w:lvl>
  </w:abstractNum>
  <w:abstractNum w:abstractNumId="14">
    <w:nsid w:val="C8911F12"/>
    <w:multiLevelType w:val="singleLevel"/>
    <w:tmpl w:val="C8911F12"/>
    <w:lvl w:ilvl="0" w:tentative="0">
      <w:start w:val="1"/>
      <w:numFmt w:val="decimal"/>
      <w:suff w:val="nothing"/>
      <w:lvlText w:val="(%1)"/>
      <w:lvlJc w:val="left"/>
      <w:pPr>
        <w:ind w:left="0" w:firstLine="0"/>
      </w:pPr>
      <w:rPr>
        <w:rFonts w:hint="default"/>
      </w:rPr>
    </w:lvl>
  </w:abstractNum>
  <w:abstractNum w:abstractNumId="15">
    <w:nsid w:val="D3A702C4"/>
    <w:multiLevelType w:val="singleLevel"/>
    <w:tmpl w:val="D3A702C4"/>
    <w:lvl w:ilvl="0" w:tentative="0">
      <w:start w:val="1"/>
      <w:numFmt w:val="decimal"/>
      <w:suff w:val="nothing"/>
      <w:lvlText w:val="%1"/>
      <w:lvlJc w:val="left"/>
      <w:pPr>
        <w:ind w:left="425" w:hanging="425"/>
      </w:pPr>
      <w:rPr>
        <w:rFonts w:hint="default"/>
      </w:rPr>
    </w:lvl>
  </w:abstractNum>
  <w:abstractNum w:abstractNumId="16">
    <w:nsid w:val="F0618A4A"/>
    <w:multiLevelType w:val="multilevel"/>
    <w:tmpl w:val="F0618A4A"/>
    <w:lvl w:ilvl="0" w:tentative="0">
      <w:start w:val="3"/>
      <w:numFmt w:val="decimal"/>
      <w:lvlText w:val="%1."/>
      <w:lvlJc w:val="left"/>
      <w:pPr>
        <w:tabs>
          <w:tab w:val="left" w:pos="420"/>
        </w:tabs>
        <w:ind w:left="425" w:hanging="425"/>
      </w:pPr>
      <w:rPr>
        <w:rFonts w:hint="default"/>
      </w:rPr>
    </w:lvl>
    <w:lvl w:ilvl="1" w:tentative="0">
      <w:start w:val="1"/>
      <w:numFmt w:val="decimal"/>
      <w:suff w:val="nothing"/>
      <w:lvlText w:val="%1.%2"/>
      <w:lvlJc w:val="left"/>
      <w:pPr>
        <w:tabs>
          <w:tab w:val="left" w:pos="0"/>
        </w:tabs>
        <w:ind w:left="0" w:firstLine="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FFD2EA84"/>
    <w:multiLevelType w:val="singleLevel"/>
    <w:tmpl w:val="FFD2EA84"/>
    <w:lvl w:ilvl="0" w:tentative="0">
      <w:start w:val="1"/>
      <w:numFmt w:val="decimal"/>
      <w:suff w:val="nothing"/>
      <w:lvlText w:val="%1"/>
      <w:lvlJc w:val="left"/>
      <w:pPr>
        <w:ind w:left="425" w:hanging="425"/>
      </w:pPr>
      <w:rPr>
        <w:rFonts w:hint="default"/>
      </w:rPr>
    </w:lvl>
  </w:abstractNum>
  <w:abstractNum w:abstractNumId="18">
    <w:nsid w:val="FFFFFF7E"/>
    <w:multiLevelType w:val="singleLevel"/>
    <w:tmpl w:val="FFFFFF7E"/>
    <w:lvl w:ilvl="0" w:tentative="0">
      <w:start w:val="1"/>
      <w:numFmt w:val="decimal"/>
      <w:pStyle w:val="216"/>
      <w:lvlText w:val="%1."/>
      <w:lvlJc w:val="left"/>
      <w:pPr>
        <w:tabs>
          <w:tab w:val="left" w:pos="1200"/>
        </w:tabs>
        <w:ind w:left="1200" w:hanging="360"/>
      </w:pPr>
    </w:lvl>
  </w:abstractNum>
  <w:abstractNum w:abstractNumId="19">
    <w:nsid w:val="00000006"/>
    <w:multiLevelType w:val="singleLevel"/>
    <w:tmpl w:val="00000006"/>
    <w:lvl w:ilvl="0" w:tentative="0">
      <w:start w:val="1"/>
      <w:numFmt w:val="decimal"/>
      <w:pStyle w:val="22"/>
      <w:lvlText w:val="%1."/>
      <w:lvlJc w:val="left"/>
      <w:pPr>
        <w:tabs>
          <w:tab w:val="left" w:pos="1200"/>
        </w:tabs>
        <w:ind w:left="1200" w:hanging="360"/>
      </w:pPr>
    </w:lvl>
  </w:abstractNum>
  <w:abstractNum w:abstractNumId="20">
    <w:nsid w:val="00000008"/>
    <w:multiLevelType w:val="multilevel"/>
    <w:tmpl w:val="00000008"/>
    <w:lvl w:ilvl="0" w:tentative="0">
      <w:start w:val="1"/>
      <w:numFmt w:val="bullet"/>
      <w:pStyle w:val="13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00000009"/>
    <w:multiLevelType w:val="multilevel"/>
    <w:tmpl w:val="00000009"/>
    <w:lvl w:ilvl="0" w:tentative="0">
      <w:start w:val="1"/>
      <w:numFmt w:val="decimal"/>
      <w:pStyle w:val="13"/>
      <w:lvlText w:val="%1、"/>
      <w:lvlJc w:val="left"/>
      <w:pPr>
        <w:tabs>
          <w:tab w:val="left" w:pos="360"/>
        </w:tabs>
        <w:ind w:left="360" w:hanging="360"/>
      </w:pPr>
      <w:rPr>
        <w:rFonts w:ascii="Times New Roman" w:hAnsi="Times New Roman" w:eastAsia="黑体" w:cs="Times New Roman"/>
      </w:rPr>
    </w:lvl>
    <w:lvl w:ilvl="1" w:tentative="0">
      <w:start w:val="2005"/>
      <w:numFmt w:val="decimal"/>
      <w:lvlText w:val="%2年"/>
      <w:lvlJc w:val="left"/>
      <w:pPr>
        <w:tabs>
          <w:tab w:val="left" w:pos="1620"/>
        </w:tabs>
        <w:ind w:left="1620" w:hanging="120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0A"/>
    <w:multiLevelType w:val="multilevel"/>
    <w:tmpl w:val="0000000A"/>
    <w:lvl w:ilvl="0" w:tentative="0">
      <w:start w:val="1"/>
      <w:numFmt w:val="decimal"/>
      <w:pStyle w:val="173"/>
      <w:lvlText w:val="%1、"/>
      <w:lvlJc w:val="left"/>
      <w:pPr>
        <w:tabs>
          <w:tab w:val="left" w:pos="360"/>
        </w:tabs>
        <w:ind w:left="360" w:hanging="360"/>
      </w:pPr>
      <w:rPr>
        <w:rFonts w:ascii="Times New Roman" w:hAnsi="Times New Roman" w:eastAsia="黑体" w:cs="Times New Roman"/>
      </w:rPr>
    </w:lvl>
    <w:lvl w:ilvl="1" w:tentative="0">
      <w:start w:val="2005"/>
      <w:numFmt w:val="decimal"/>
      <w:pStyle w:val="33"/>
      <w:lvlText w:val="%2年"/>
      <w:lvlJc w:val="left"/>
      <w:pPr>
        <w:tabs>
          <w:tab w:val="left" w:pos="1620"/>
        </w:tabs>
        <w:ind w:left="1620" w:hanging="1200"/>
      </w:pPr>
      <w:rPr>
        <w:rFonts w:hint="eastAsia"/>
      </w:rPr>
    </w:lvl>
    <w:lvl w:ilvl="2" w:tentative="0">
      <w:start w:val="1"/>
      <w:numFmt w:val="decimal"/>
      <w:lvlText w:val="（%3）"/>
      <w:lvlJc w:val="left"/>
      <w:pPr>
        <w:tabs>
          <w:tab w:val="left" w:pos="1560"/>
        </w:tabs>
        <w:ind w:left="1560" w:hanging="720"/>
      </w:pPr>
      <w:rPr>
        <w:rFonts w:ascii="仿宋_GB2312" w:hAnsi="宋体" w:eastAsia="仿宋_GB2312"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00000020"/>
    <w:multiLevelType w:val="multilevel"/>
    <w:tmpl w:val="00000020"/>
    <w:lvl w:ilvl="0" w:tentative="0">
      <w:start w:val="1"/>
      <w:numFmt w:val="decimal"/>
      <w:pStyle w:val="261"/>
      <w:suff w:val="nothing"/>
      <w:lvlText w:val="%1）"/>
      <w:lvlJc w:val="left"/>
      <w:pPr>
        <w:ind w:left="0" w:firstLine="488"/>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0A760F1C"/>
    <w:multiLevelType w:val="multilevel"/>
    <w:tmpl w:val="0A760F1C"/>
    <w:lvl w:ilvl="0" w:tentative="0">
      <w:start w:val="1"/>
      <w:numFmt w:val="decimal"/>
      <w:pStyle w:val="234"/>
      <w:suff w:val="space"/>
      <w:lvlText w:val="第%1章"/>
      <w:lvlJc w:val="center"/>
      <w:pPr>
        <w:ind w:left="0" w:firstLine="288"/>
      </w:pPr>
      <w:rPr>
        <w:rFonts w:hint="eastAsia" w:ascii="黑体" w:hAnsi="黑体" w:eastAsia="黑体"/>
        <w:sz w:val="36"/>
      </w:rPr>
    </w:lvl>
    <w:lvl w:ilvl="1" w:tentative="0">
      <w:start w:val="1"/>
      <w:numFmt w:val="decimal"/>
      <w:pStyle w:val="245"/>
      <w:suff w:val="space"/>
      <w:lvlText w:val="%1.%2"/>
      <w:lvlJc w:val="left"/>
      <w:pPr>
        <w:ind w:left="0" w:firstLine="0"/>
      </w:pPr>
      <w:rPr>
        <w:rFonts w:hint="eastAsia" w:ascii="黑体" w:hAnsi="黑体" w:eastAsia="黑体"/>
        <w:sz w:val="30"/>
      </w:rPr>
    </w:lvl>
    <w:lvl w:ilvl="2" w:tentative="0">
      <w:start w:val="1"/>
      <w:numFmt w:val="decimal"/>
      <w:pStyle w:val="227"/>
      <w:suff w:val="space"/>
      <w:lvlText w:val="%1.%2.%3"/>
      <w:lvlJc w:val="left"/>
      <w:pPr>
        <w:ind w:left="0" w:firstLine="0"/>
      </w:pPr>
      <w:rPr>
        <w:rFonts w:hint="eastAsia" w:ascii="黑体" w:hAnsi="黑体" w:eastAsia="黑体"/>
        <w:sz w:val="28"/>
      </w:rPr>
    </w:lvl>
    <w:lvl w:ilvl="3" w:tentative="0">
      <w:start w:val="1"/>
      <w:numFmt w:val="decimal"/>
      <w:suff w:val="space"/>
      <w:lvlText w:val="%1.%2.%3.%4"/>
      <w:lvlJc w:val="left"/>
      <w:pPr>
        <w:ind w:left="0" w:firstLine="0"/>
      </w:pPr>
      <w:rPr>
        <w:rFonts w:hint="eastAsia" w:ascii="黑体" w:hAnsi="黑体" w:eastAsia="黑体"/>
        <w:sz w:val="24"/>
      </w:rPr>
    </w:lvl>
    <w:lvl w:ilvl="4" w:tentative="0">
      <w:start w:val="1"/>
      <w:numFmt w:val="decimal"/>
      <w:pStyle w:val="238"/>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pStyle w:val="226"/>
      <w:lvlText w:val="%1.%2.%3.%4.%5.%6.%7"/>
      <w:lvlJc w:val="left"/>
      <w:pPr>
        <w:ind w:left="0" w:firstLine="0"/>
      </w:pPr>
      <w:rPr>
        <w:rFonts w:hint="eastAsia"/>
      </w:rPr>
    </w:lvl>
    <w:lvl w:ilvl="7" w:tentative="0">
      <w:start w:val="1"/>
      <w:numFmt w:val="decimal"/>
      <w:pStyle w:val="240"/>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5">
    <w:nsid w:val="0C9B0061"/>
    <w:multiLevelType w:val="multilevel"/>
    <w:tmpl w:val="0C9B0061"/>
    <w:lvl w:ilvl="0" w:tentative="0">
      <w:start w:val="4"/>
      <w:numFmt w:val="decimal"/>
      <w:lvlText w:val="%1."/>
      <w:lvlJc w:val="left"/>
      <w:pPr>
        <w:tabs>
          <w:tab w:val="left" w:pos="420"/>
        </w:tabs>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6">
    <w:nsid w:val="1162ADB3"/>
    <w:multiLevelType w:val="multilevel"/>
    <w:tmpl w:val="1162ADB3"/>
    <w:lvl w:ilvl="0" w:tentative="0">
      <w:start w:val="1"/>
      <w:numFmt w:val="decimal"/>
      <w:lvlText w:val="%1."/>
      <w:lvlJc w:val="left"/>
      <w:pPr>
        <w:ind w:left="425" w:hanging="425"/>
      </w:pPr>
      <w:rPr>
        <w:rFonts w:hint="default"/>
      </w:rPr>
    </w:lvl>
    <w:lvl w:ilvl="1" w:tentative="0">
      <w:start w:val="2"/>
      <w:numFmt w:val="decimal"/>
      <w:lvlText w:val="%1.%2."/>
      <w:lvlJc w:val="left"/>
      <w:pPr>
        <w:tabs>
          <w:tab w:val="left" w:pos="420"/>
        </w:tabs>
        <w:ind w:left="567" w:hanging="567"/>
      </w:pPr>
      <w:rPr>
        <w:rFonts w:hint="default"/>
      </w:rPr>
    </w:lvl>
    <w:lvl w:ilvl="2" w:tentative="0">
      <w:start w:val="1"/>
      <w:numFmt w:val="decimal"/>
      <w:suff w:val="space"/>
      <w:lvlText w:val="%1.%2.%3"/>
      <w:lvlJc w:val="left"/>
      <w:pPr>
        <w:ind w:left="0" w:firstLine="464"/>
      </w:pPr>
      <w:rPr>
        <w:rFonts w:hint="default"/>
      </w:rPr>
    </w:lvl>
    <w:lvl w:ilvl="3" w:tentative="0">
      <w:start w:val="1"/>
      <w:numFmt w:val="decimal"/>
      <w:suff w:val="nothing"/>
      <w:lvlText w:val="%1.%2.%3.%4"/>
      <w:lvlJc w:val="left"/>
      <w:pPr>
        <w:tabs>
          <w:tab w:val="left" w:pos="0"/>
        </w:tabs>
        <w:ind w:left="0" w:firstLine="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7">
    <w:nsid w:val="2A2ADBD3"/>
    <w:multiLevelType w:val="singleLevel"/>
    <w:tmpl w:val="2A2ADBD3"/>
    <w:lvl w:ilvl="0" w:tentative="0">
      <w:start w:val="1"/>
      <w:numFmt w:val="decimal"/>
      <w:suff w:val="nothing"/>
      <w:lvlText w:val="%1、"/>
      <w:lvlJc w:val="left"/>
      <w:pPr>
        <w:ind w:left="0" w:firstLine="0"/>
      </w:pPr>
      <w:rPr>
        <w:rFonts w:hint="default"/>
      </w:rPr>
    </w:lvl>
  </w:abstractNum>
  <w:abstractNum w:abstractNumId="28">
    <w:nsid w:val="4798592B"/>
    <w:multiLevelType w:val="multilevel"/>
    <w:tmpl w:val="4798592B"/>
    <w:lvl w:ilvl="0" w:tentative="0">
      <w:start w:val="1"/>
      <w:numFmt w:val="decimal"/>
      <w:pStyle w:val="213"/>
      <w:lvlText w:val="%1、"/>
      <w:lvlJc w:val="left"/>
      <w:pPr>
        <w:tabs>
          <w:tab w:val="left" w:pos="360"/>
        </w:tabs>
        <w:ind w:left="360" w:hanging="360"/>
      </w:pPr>
      <w:rPr>
        <w:rFonts w:ascii="Times New Roman" w:hAnsi="Times New Roman" w:eastAsia="黑体" w:cs="Times New Roman"/>
      </w:rPr>
    </w:lvl>
    <w:lvl w:ilvl="1" w:tentative="0">
      <w:start w:val="2005"/>
      <w:numFmt w:val="decimal"/>
      <w:pStyle w:val="244"/>
      <w:lvlText w:val="%2年"/>
      <w:lvlJc w:val="left"/>
      <w:pPr>
        <w:tabs>
          <w:tab w:val="left" w:pos="1620"/>
        </w:tabs>
        <w:ind w:left="1620" w:hanging="1200"/>
      </w:pPr>
      <w:rPr>
        <w:rFonts w:hint="eastAsia"/>
      </w:rPr>
    </w:lvl>
    <w:lvl w:ilvl="2" w:tentative="0">
      <w:start w:val="1"/>
      <w:numFmt w:val="decimal"/>
      <w:pStyle w:val="215"/>
      <w:lvlText w:val="（%3）"/>
      <w:lvlJc w:val="left"/>
      <w:pPr>
        <w:tabs>
          <w:tab w:val="left" w:pos="1560"/>
        </w:tabs>
        <w:ind w:left="1560" w:hanging="720"/>
      </w:pPr>
      <w:rPr>
        <w:rFonts w:hint="eastAsia"/>
      </w:rPr>
    </w:lvl>
    <w:lvl w:ilvl="3" w:tentative="0">
      <w:start w:val="1"/>
      <w:numFmt w:val="decimal"/>
      <w:pStyle w:val="23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495ACB56"/>
    <w:multiLevelType w:val="singleLevel"/>
    <w:tmpl w:val="495ACB56"/>
    <w:lvl w:ilvl="0" w:tentative="0">
      <w:start w:val="1"/>
      <w:numFmt w:val="decimal"/>
      <w:suff w:val="nothing"/>
      <w:lvlText w:val="(%1)"/>
      <w:lvlJc w:val="left"/>
      <w:pPr>
        <w:ind w:left="0" w:firstLine="0"/>
      </w:pPr>
      <w:rPr>
        <w:rFonts w:hint="default"/>
      </w:rPr>
    </w:lvl>
  </w:abstractNum>
  <w:abstractNum w:abstractNumId="30">
    <w:nsid w:val="51781FEF"/>
    <w:multiLevelType w:val="singleLevel"/>
    <w:tmpl w:val="51781FEF"/>
    <w:lvl w:ilvl="0" w:tentative="0">
      <w:start w:val="1"/>
      <w:numFmt w:val="decimal"/>
      <w:suff w:val="nothing"/>
      <w:lvlText w:val="%1、"/>
      <w:lvlJc w:val="left"/>
      <w:pPr>
        <w:ind w:left="0" w:firstLine="0"/>
      </w:pPr>
      <w:rPr>
        <w:rFonts w:hint="default"/>
        <w:b/>
        <w:bCs/>
      </w:rPr>
    </w:lvl>
  </w:abstractNum>
  <w:abstractNum w:abstractNumId="31">
    <w:nsid w:val="5D0CA37E"/>
    <w:multiLevelType w:val="multilevel"/>
    <w:tmpl w:val="5D0CA37E"/>
    <w:lvl w:ilvl="0" w:tentative="0">
      <w:start w:val="1"/>
      <w:numFmt w:val="decimal"/>
      <w:lvlText w:val="%1."/>
      <w:lvlJc w:val="left"/>
      <w:pPr>
        <w:tabs>
          <w:tab w:val="left" w:pos="420"/>
        </w:tabs>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2">
    <w:nsid w:val="5E8D2C86"/>
    <w:multiLevelType w:val="singleLevel"/>
    <w:tmpl w:val="5E8D2C86"/>
    <w:lvl w:ilvl="0" w:tentative="0">
      <w:start w:val="1"/>
      <w:numFmt w:val="decimal"/>
      <w:suff w:val="nothing"/>
      <w:lvlText w:val="（%1）"/>
      <w:lvlJc w:val="left"/>
    </w:lvl>
  </w:abstractNum>
  <w:abstractNum w:abstractNumId="33">
    <w:nsid w:val="658BD5C6"/>
    <w:multiLevelType w:val="singleLevel"/>
    <w:tmpl w:val="658BD5C6"/>
    <w:lvl w:ilvl="0" w:tentative="0">
      <w:start w:val="1"/>
      <w:numFmt w:val="decimal"/>
      <w:suff w:val="nothing"/>
      <w:lvlText w:val="%1、"/>
      <w:lvlJc w:val="left"/>
      <w:pPr>
        <w:ind w:left="0" w:firstLine="0"/>
      </w:pPr>
      <w:rPr>
        <w:rFonts w:hint="default"/>
      </w:rPr>
    </w:lvl>
  </w:abstractNum>
  <w:abstractNum w:abstractNumId="34">
    <w:nsid w:val="67C4A8BC"/>
    <w:multiLevelType w:val="singleLevel"/>
    <w:tmpl w:val="67C4A8BC"/>
    <w:lvl w:ilvl="0" w:tentative="0">
      <w:start w:val="1"/>
      <w:numFmt w:val="decimal"/>
      <w:suff w:val="nothing"/>
      <w:lvlText w:val="%1、"/>
      <w:lvlJc w:val="left"/>
      <w:pPr>
        <w:ind w:left="0" w:leftChars="0" w:firstLine="0" w:firstLineChars="0"/>
      </w:pPr>
      <w:rPr>
        <w:rFonts w:hint="default"/>
      </w:rPr>
    </w:lvl>
  </w:abstractNum>
  <w:abstractNum w:abstractNumId="35">
    <w:nsid w:val="689580CE"/>
    <w:multiLevelType w:val="singleLevel"/>
    <w:tmpl w:val="689580CE"/>
    <w:lvl w:ilvl="0" w:tentative="0">
      <w:start w:val="1"/>
      <w:numFmt w:val="decimal"/>
      <w:suff w:val="nothing"/>
      <w:lvlText w:val="%1"/>
      <w:lvlJc w:val="left"/>
      <w:pPr>
        <w:ind w:left="425" w:hanging="425"/>
      </w:pPr>
      <w:rPr>
        <w:rFonts w:hint="default"/>
      </w:rPr>
    </w:lvl>
  </w:abstractNum>
  <w:abstractNum w:abstractNumId="36">
    <w:nsid w:val="6F56743F"/>
    <w:multiLevelType w:val="multilevel"/>
    <w:tmpl w:val="6F56743F"/>
    <w:lvl w:ilvl="0" w:tentative="0">
      <w:start w:val="1"/>
      <w:numFmt w:val="decimalEnclosedCircle"/>
      <w:pStyle w:val="225"/>
      <w:lvlText w:val="%1"/>
      <w:lvlJc w:val="left"/>
      <w:pPr>
        <w:tabs>
          <w:tab w:val="left" w:pos="780"/>
        </w:tabs>
        <w:ind w:left="780" w:hanging="360"/>
      </w:pPr>
      <w:rPr>
        <w:rFonts w:ascii="宋体" w:hAnsi="宋体" w:eastAsia="宋体"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7">
    <w:nsid w:val="70E0079F"/>
    <w:multiLevelType w:val="multilevel"/>
    <w:tmpl w:val="70E0079F"/>
    <w:lvl w:ilvl="0" w:tentative="0">
      <w:start w:val="4"/>
      <w:numFmt w:val="japaneseCounting"/>
      <w:pStyle w:val="196"/>
      <w:lvlText w:val="%1、"/>
      <w:lvlJc w:val="left"/>
      <w:pPr>
        <w:tabs>
          <w:tab w:val="left" w:pos="885"/>
        </w:tabs>
        <w:ind w:left="885" w:hanging="885"/>
      </w:pPr>
      <w:rPr>
        <w:rFonts w:hint="default"/>
        <w:sz w:val="4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72CA1BE8"/>
    <w:multiLevelType w:val="singleLevel"/>
    <w:tmpl w:val="72CA1BE8"/>
    <w:lvl w:ilvl="0" w:tentative="0">
      <w:start w:val="1"/>
      <w:numFmt w:val="decimal"/>
      <w:suff w:val="nothing"/>
      <w:lvlText w:val="%1、"/>
      <w:lvlJc w:val="left"/>
      <w:pPr>
        <w:ind w:left="0" w:leftChars="0" w:firstLine="0" w:firstLineChars="0"/>
      </w:pPr>
      <w:rPr>
        <w:rFonts w:hint="default"/>
      </w:rPr>
    </w:lvl>
  </w:abstractNum>
  <w:abstractNum w:abstractNumId="39">
    <w:nsid w:val="766F4AFF"/>
    <w:multiLevelType w:val="multilevel"/>
    <w:tmpl w:val="766F4AFF"/>
    <w:lvl w:ilvl="0" w:tentative="0">
      <w:start w:val="1"/>
      <w:numFmt w:val="decimal"/>
      <w:pStyle w:val="217"/>
      <w:lvlText w:val="%1、"/>
      <w:lvlJc w:val="left"/>
      <w:pPr>
        <w:tabs>
          <w:tab w:val="left" w:pos="780"/>
        </w:tabs>
        <w:ind w:left="780" w:hanging="360"/>
      </w:pPr>
      <w:rPr>
        <w:rFonts w:ascii="Times New Roman" w:hAnsi="Times New Roman" w:eastAsia="Times New Roman"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21"/>
  </w:num>
  <w:num w:numId="2">
    <w:abstractNumId w:val="19"/>
  </w:num>
  <w:num w:numId="3">
    <w:abstractNumId w:val="22"/>
  </w:num>
  <w:num w:numId="4">
    <w:abstractNumId w:val="20"/>
  </w:num>
  <w:num w:numId="5">
    <w:abstractNumId w:val="37"/>
  </w:num>
  <w:num w:numId="6">
    <w:abstractNumId w:val="28"/>
  </w:num>
  <w:num w:numId="7">
    <w:abstractNumId w:val="18"/>
  </w:num>
  <w:num w:numId="8">
    <w:abstractNumId w:val="39"/>
  </w:num>
  <w:num w:numId="9">
    <w:abstractNumId w:val="36"/>
  </w:num>
  <w:num w:numId="10">
    <w:abstractNumId w:val="24"/>
  </w:num>
  <w:num w:numId="11">
    <w:abstractNumId w:val="23"/>
  </w:num>
  <w:num w:numId="12">
    <w:abstractNumId w:val="32"/>
  </w:num>
  <w:num w:numId="13">
    <w:abstractNumId w:val="7"/>
  </w:num>
  <w:num w:numId="14">
    <w:abstractNumId w:val="27"/>
  </w:num>
  <w:num w:numId="15">
    <w:abstractNumId w:val="31"/>
  </w:num>
  <w:num w:numId="16">
    <w:abstractNumId w:val="35"/>
  </w:num>
  <w:num w:numId="17">
    <w:abstractNumId w:val="26"/>
  </w:num>
  <w:num w:numId="18">
    <w:abstractNumId w:val="3"/>
  </w:num>
  <w:num w:numId="19">
    <w:abstractNumId w:val="9"/>
  </w:num>
  <w:num w:numId="20">
    <w:abstractNumId w:val="8"/>
  </w:num>
  <w:num w:numId="21">
    <w:abstractNumId w:val="15"/>
  </w:num>
  <w:num w:numId="22">
    <w:abstractNumId w:val="29"/>
  </w:num>
  <w:num w:numId="23">
    <w:abstractNumId w:val="14"/>
  </w:num>
  <w:num w:numId="24">
    <w:abstractNumId w:val="16"/>
  </w:num>
  <w:num w:numId="25">
    <w:abstractNumId w:val="17"/>
  </w:num>
  <w:num w:numId="26">
    <w:abstractNumId w:val="4"/>
  </w:num>
  <w:num w:numId="27">
    <w:abstractNumId w:val="25"/>
  </w:num>
  <w:num w:numId="28">
    <w:abstractNumId w:val="6"/>
  </w:num>
  <w:num w:numId="29">
    <w:abstractNumId w:val="5"/>
  </w:num>
  <w:num w:numId="30">
    <w:abstractNumId w:val="12"/>
  </w:num>
  <w:num w:numId="31">
    <w:abstractNumId w:val="13"/>
  </w:num>
  <w:num w:numId="32">
    <w:abstractNumId w:val="1"/>
  </w:num>
  <w:num w:numId="33">
    <w:abstractNumId w:val="33"/>
  </w:num>
  <w:num w:numId="34">
    <w:abstractNumId w:val="2"/>
  </w:num>
  <w:num w:numId="35">
    <w:abstractNumId w:val="10"/>
  </w:num>
  <w:num w:numId="36">
    <w:abstractNumId w:val="30"/>
  </w:num>
  <w:num w:numId="37">
    <w:abstractNumId w:val="11"/>
  </w:num>
  <w:num w:numId="38">
    <w:abstractNumId w:val="38"/>
  </w:num>
  <w:num w:numId="39">
    <w:abstractNumId w:val="34"/>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210"/>
  <w:drawingGridVerticalSpacing w:val="158"/>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2NDg4MjJjZTM1NzY1MTYwMjk4YWI4YzI4ZWNmMzYifQ=="/>
  </w:docVars>
  <w:rsids>
    <w:rsidRoot w:val="00AF11CB"/>
    <w:rsid w:val="00000A87"/>
    <w:rsid w:val="000010DB"/>
    <w:rsid w:val="000017B7"/>
    <w:rsid w:val="00001A6B"/>
    <w:rsid w:val="00001C13"/>
    <w:rsid w:val="00002AE5"/>
    <w:rsid w:val="00003D4A"/>
    <w:rsid w:val="00004B12"/>
    <w:rsid w:val="00005205"/>
    <w:rsid w:val="000057AD"/>
    <w:rsid w:val="000070A7"/>
    <w:rsid w:val="00010510"/>
    <w:rsid w:val="00011012"/>
    <w:rsid w:val="000111E7"/>
    <w:rsid w:val="00011F13"/>
    <w:rsid w:val="000126CC"/>
    <w:rsid w:val="00012D78"/>
    <w:rsid w:val="0001475B"/>
    <w:rsid w:val="0001583E"/>
    <w:rsid w:val="00016671"/>
    <w:rsid w:val="00016978"/>
    <w:rsid w:val="00016B96"/>
    <w:rsid w:val="00017EBE"/>
    <w:rsid w:val="000206A2"/>
    <w:rsid w:val="00020C41"/>
    <w:rsid w:val="00021D48"/>
    <w:rsid w:val="00021F2F"/>
    <w:rsid w:val="0002281B"/>
    <w:rsid w:val="000229BF"/>
    <w:rsid w:val="0002311D"/>
    <w:rsid w:val="00023714"/>
    <w:rsid w:val="00023E4E"/>
    <w:rsid w:val="00023EE1"/>
    <w:rsid w:val="00024A08"/>
    <w:rsid w:val="000252A2"/>
    <w:rsid w:val="00026E5D"/>
    <w:rsid w:val="000274BE"/>
    <w:rsid w:val="000277F0"/>
    <w:rsid w:val="00027D27"/>
    <w:rsid w:val="0003006E"/>
    <w:rsid w:val="00030B3A"/>
    <w:rsid w:val="000322E0"/>
    <w:rsid w:val="0003328C"/>
    <w:rsid w:val="00033C44"/>
    <w:rsid w:val="0003636F"/>
    <w:rsid w:val="000363A7"/>
    <w:rsid w:val="00036B88"/>
    <w:rsid w:val="00036E0E"/>
    <w:rsid w:val="00037624"/>
    <w:rsid w:val="0003797B"/>
    <w:rsid w:val="00037FAB"/>
    <w:rsid w:val="000410C2"/>
    <w:rsid w:val="00041AEB"/>
    <w:rsid w:val="00042915"/>
    <w:rsid w:val="000433E8"/>
    <w:rsid w:val="000437D2"/>
    <w:rsid w:val="000449F0"/>
    <w:rsid w:val="00047DE4"/>
    <w:rsid w:val="00047F1D"/>
    <w:rsid w:val="00050046"/>
    <w:rsid w:val="00050676"/>
    <w:rsid w:val="00050E58"/>
    <w:rsid w:val="000511DF"/>
    <w:rsid w:val="00051893"/>
    <w:rsid w:val="00054D4F"/>
    <w:rsid w:val="00054D65"/>
    <w:rsid w:val="00054EEC"/>
    <w:rsid w:val="000550FA"/>
    <w:rsid w:val="000603AD"/>
    <w:rsid w:val="00060488"/>
    <w:rsid w:val="000608DA"/>
    <w:rsid w:val="00061801"/>
    <w:rsid w:val="00061C4E"/>
    <w:rsid w:val="000628A3"/>
    <w:rsid w:val="00063B85"/>
    <w:rsid w:val="00065A29"/>
    <w:rsid w:val="000663D9"/>
    <w:rsid w:val="00066961"/>
    <w:rsid w:val="00067198"/>
    <w:rsid w:val="00067DFE"/>
    <w:rsid w:val="000703C5"/>
    <w:rsid w:val="00070B19"/>
    <w:rsid w:val="00071222"/>
    <w:rsid w:val="00071A8D"/>
    <w:rsid w:val="00071F58"/>
    <w:rsid w:val="00072AAF"/>
    <w:rsid w:val="00072D23"/>
    <w:rsid w:val="000737B3"/>
    <w:rsid w:val="000746A5"/>
    <w:rsid w:val="000753A6"/>
    <w:rsid w:val="00076CC9"/>
    <w:rsid w:val="0007749A"/>
    <w:rsid w:val="00080A36"/>
    <w:rsid w:val="00082372"/>
    <w:rsid w:val="000829A4"/>
    <w:rsid w:val="00082B35"/>
    <w:rsid w:val="000830CB"/>
    <w:rsid w:val="00083D5C"/>
    <w:rsid w:val="000843A5"/>
    <w:rsid w:val="00084D37"/>
    <w:rsid w:val="000854C1"/>
    <w:rsid w:val="00086467"/>
    <w:rsid w:val="00090FB9"/>
    <w:rsid w:val="000926DC"/>
    <w:rsid w:val="00092C6B"/>
    <w:rsid w:val="00092D76"/>
    <w:rsid w:val="0009321E"/>
    <w:rsid w:val="0009326A"/>
    <w:rsid w:val="00095CD1"/>
    <w:rsid w:val="00096733"/>
    <w:rsid w:val="0009755E"/>
    <w:rsid w:val="00097714"/>
    <w:rsid w:val="00097AD8"/>
    <w:rsid w:val="000A05E5"/>
    <w:rsid w:val="000A0601"/>
    <w:rsid w:val="000A2314"/>
    <w:rsid w:val="000A24C7"/>
    <w:rsid w:val="000A2673"/>
    <w:rsid w:val="000A3127"/>
    <w:rsid w:val="000A35F8"/>
    <w:rsid w:val="000A3652"/>
    <w:rsid w:val="000A52F7"/>
    <w:rsid w:val="000A53AC"/>
    <w:rsid w:val="000A55B8"/>
    <w:rsid w:val="000A5D65"/>
    <w:rsid w:val="000A70F9"/>
    <w:rsid w:val="000A7966"/>
    <w:rsid w:val="000B068E"/>
    <w:rsid w:val="000B1670"/>
    <w:rsid w:val="000B17A9"/>
    <w:rsid w:val="000B17BA"/>
    <w:rsid w:val="000B29C5"/>
    <w:rsid w:val="000B41D9"/>
    <w:rsid w:val="000B461F"/>
    <w:rsid w:val="000B70C6"/>
    <w:rsid w:val="000B7537"/>
    <w:rsid w:val="000B7634"/>
    <w:rsid w:val="000B7A79"/>
    <w:rsid w:val="000C0B2B"/>
    <w:rsid w:val="000C135A"/>
    <w:rsid w:val="000C2B7F"/>
    <w:rsid w:val="000C33A3"/>
    <w:rsid w:val="000C528A"/>
    <w:rsid w:val="000C63B0"/>
    <w:rsid w:val="000C680E"/>
    <w:rsid w:val="000C6CB7"/>
    <w:rsid w:val="000C762A"/>
    <w:rsid w:val="000D148A"/>
    <w:rsid w:val="000D19AD"/>
    <w:rsid w:val="000D23FA"/>
    <w:rsid w:val="000D333F"/>
    <w:rsid w:val="000D39CA"/>
    <w:rsid w:val="000D429C"/>
    <w:rsid w:val="000D4525"/>
    <w:rsid w:val="000D5076"/>
    <w:rsid w:val="000D689C"/>
    <w:rsid w:val="000D76C1"/>
    <w:rsid w:val="000D7756"/>
    <w:rsid w:val="000E1B06"/>
    <w:rsid w:val="000E1F2C"/>
    <w:rsid w:val="000E2324"/>
    <w:rsid w:val="000E24C1"/>
    <w:rsid w:val="000E2E87"/>
    <w:rsid w:val="000E303A"/>
    <w:rsid w:val="000E3D1C"/>
    <w:rsid w:val="000E4541"/>
    <w:rsid w:val="000E5F95"/>
    <w:rsid w:val="000E62BE"/>
    <w:rsid w:val="000E678B"/>
    <w:rsid w:val="000E76F7"/>
    <w:rsid w:val="000E7BC7"/>
    <w:rsid w:val="000F158B"/>
    <w:rsid w:val="000F1709"/>
    <w:rsid w:val="000F1F43"/>
    <w:rsid w:val="000F22A6"/>
    <w:rsid w:val="000F2A4D"/>
    <w:rsid w:val="000F33ED"/>
    <w:rsid w:val="000F5EA9"/>
    <w:rsid w:val="000F6604"/>
    <w:rsid w:val="000F7608"/>
    <w:rsid w:val="000F7898"/>
    <w:rsid w:val="000F7EBD"/>
    <w:rsid w:val="00100019"/>
    <w:rsid w:val="001007EB"/>
    <w:rsid w:val="001014ED"/>
    <w:rsid w:val="0010164C"/>
    <w:rsid w:val="00101650"/>
    <w:rsid w:val="00103533"/>
    <w:rsid w:val="00103D3D"/>
    <w:rsid w:val="00104641"/>
    <w:rsid w:val="00104F2E"/>
    <w:rsid w:val="001050D0"/>
    <w:rsid w:val="001058F1"/>
    <w:rsid w:val="00106892"/>
    <w:rsid w:val="00106E94"/>
    <w:rsid w:val="00107501"/>
    <w:rsid w:val="00107765"/>
    <w:rsid w:val="00107B70"/>
    <w:rsid w:val="00107D77"/>
    <w:rsid w:val="0011198D"/>
    <w:rsid w:val="001128A4"/>
    <w:rsid w:val="00112D0F"/>
    <w:rsid w:val="00112D31"/>
    <w:rsid w:val="001139F8"/>
    <w:rsid w:val="0011404F"/>
    <w:rsid w:val="0011545B"/>
    <w:rsid w:val="001155F5"/>
    <w:rsid w:val="00116678"/>
    <w:rsid w:val="00116982"/>
    <w:rsid w:val="001172C3"/>
    <w:rsid w:val="00117624"/>
    <w:rsid w:val="00117799"/>
    <w:rsid w:val="0011784D"/>
    <w:rsid w:val="001200AA"/>
    <w:rsid w:val="00120B34"/>
    <w:rsid w:val="00123659"/>
    <w:rsid w:val="00123C8C"/>
    <w:rsid w:val="00125648"/>
    <w:rsid w:val="00125B90"/>
    <w:rsid w:val="0012720A"/>
    <w:rsid w:val="00127297"/>
    <w:rsid w:val="001277FF"/>
    <w:rsid w:val="00127B3A"/>
    <w:rsid w:val="00127BD5"/>
    <w:rsid w:val="00127ED1"/>
    <w:rsid w:val="001306F0"/>
    <w:rsid w:val="00130C94"/>
    <w:rsid w:val="00130D92"/>
    <w:rsid w:val="00131514"/>
    <w:rsid w:val="00131963"/>
    <w:rsid w:val="00131B57"/>
    <w:rsid w:val="00131C5C"/>
    <w:rsid w:val="0013252A"/>
    <w:rsid w:val="00133788"/>
    <w:rsid w:val="00133A4E"/>
    <w:rsid w:val="001348F6"/>
    <w:rsid w:val="00134E75"/>
    <w:rsid w:val="00134FDF"/>
    <w:rsid w:val="001354D6"/>
    <w:rsid w:val="00135F24"/>
    <w:rsid w:val="001369D0"/>
    <w:rsid w:val="0013751F"/>
    <w:rsid w:val="00137623"/>
    <w:rsid w:val="00137ADA"/>
    <w:rsid w:val="00141DE0"/>
    <w:rsid w:val="00142B11"/>
    <w:rsid w:val="00142DE0"/>
    <w:rsid w:val="00142ED4"/>
    <w:rsid w:val="00143FA4"/>
    <w:rsid w:val="001442A1"/>
    <w:rsid w:val="00144D93"/>
    <w:rsid w:val="00144ECF"/>
    <w:rsid w:val="00145CA4"/>
    <w:rsid w:val="00146559"/>
    <w:rsid w:val="0014775B"/>
    <w:rsid w:val="00150A9A"/>
    <w:rsid w:val="0015109F"/>
    <w:rsid w:val="00152515"/>
    <w:rsid w:val="0015356C"/>
    <w:rsid w:val="00154154"/>
    <w:rsid w:val="001541B2"/>
    <w:rsid w:val="001541CD"/>
    <w:rsid w:val="0015492A"/>
    <w:rsid w:val="00154E43"/>
    <w:rsid w:val="00155853"/>
    <w:rsid w:val="00155ABF"/>
    <w:rsid w:val="00155CC7"/>
    <w:rsid w:val="00156151"/>
    <w:rsid w:val="001564A7"/>
    <w:rsid w:val="00156801"/>
    <w:rsid w:val="00156F2B"/>
    <w:rsid w:val="00160178"/>
    <w:rsid w:val="001616F4"/>
    <w:rsid w:val="001617BA"/>
    <w:rsid w:val="00161B33"/>
    <w:rsid w:val="0016243A"/>
    <w:rsid w:val="00165552"/>
    <w:rsid w:val="00165B3C"/>
    <w:rsid w:val="00166448"/>
    <w:rsid w:val="00166F07"/>
    <w:rsid w:val="00167968"/>
    <w:rsid w:val="001679E5"/>
    <w:rsid w:val="00167FD9"/>
    <w:rsid w:val="00170238"/>
    <w:rsid w:val="00172339"/>
    <w:rsid w:val="0017268F"/>
    <w:rsid w:val="00173B13"/>
    <w:rsid w:val="001744CB"/>
    <w:rsid w:val="00174A24"/>
    <w:rsid w:val="00175B5D"/>
    <w:rsid w:val="00176986"/>
    <w:rsid w:val="00176FF8"/>
    <w:rsid w:val="00180E7A"/>
    <w:rsid w:val="00180F7B"/>
    <w:rsid w:val="00181022"/>
    <w:rsid w:val="0018174D"/>
    <w:rsid w:val="001826C4"/>
    <w:rsid w:val="001838AC"/>
    <w:rsid w:val="00183E11"/>
    <w:rsid w:val="00185A46"/>
    <w:rsid w:val="00185FE2"/>
    <w:rsid w:val="0018787B"/>
    <w:rsid w:val="0018793F"/>
    <w:rsid w:val="00187D65"/>
    <w:rsid w:val="00190A76"/>
    <w:rsid w:val="00191D8A"/>
    <w:rsid w:val="00191DF8"/>
    <w:rsid w:val="00191F44"/>
    <w:rsid w:val="00192294"/>
    <w:rsid w:val="001923F1"/>
    <w:rsid w:val="0019272C"/>
    <w:rsid w:val="00192971"/>
    <w:rsid w:val="00192AA1"/>
    <w:rsid w:val="00193885"/>
    <w:rsid w:val="0019393B"/>
    <w:rsid w:val="001940E5"/>
    <w:rsid w:val="00195199"/>
    <w:rsid w:val="0019632B"/>
    <w:rsid w:val="00197F75"/>
    <w:rsid w:val="001A007B"/>
    <w:rsid w:val="001A1120"/>
    <w:rsid w:val="001A1AB4"/>
    <w:rsid w:val="001A2770"/>
    <w:rsid w:val="001A3D45"/>
    <w:rsid w:val="001A401D"/>
    <w:rsid w:val="001A6783"/>
    <w:rsid w:val="001A67B9"/>
    <w:rsid w:val="001A7E35"/>
    <w:rsid w:val="001B034E"/>
    <w:rsid w:val="001B22E4"/>
    <w:rsid w:val="001B515E"/>
    <w:rsid w:val="001B5232"/>
    <w:rsid w:val="001B603E"/>
    <w:rsid w:val="001B63B5"/>
    <w:rsid w:val="001B6A86"/>
    <w:rsid w:val="001B7CFE"/>
    <w:rsid w:val="001C0125"/>
    <w:rsid w:val="001C16FE"/>
    <w:rsid w:val="001C25DE"/>
    <w:rsid w:val="001C2807"/>
    <w:rsid w:val="001C507F"/>
    <w:rsid w:val="001C64D2"/>
    <w:rsid w:val="001C6729"/>
    <w:rsid w:val="001C7045"/>
    <w:rsid w:val="001C719B"/>
    <w:rsid w:val="001C74FA"/>
    <w:rsid w:val="001C7684"/>
    <w:rsid w:val="001C7EE6"/>
    <w:rsid w:val="001C7FF3"/>
    <w:rsid w:val="001D0315"/>
    <w:rsid w:val="001D0537"/>
    <w:rsid w:val="001D0FAD"/>
    <w:rsid w:val="001D25E8"/>
    <w:rsid w:val="001D2B08"/>
    <w:rsid w:val="001D39C0"/>
    <w:rsid w:val="001D485C"/>
    <w:rsid w:val="001D491D"/>
    <w:rsid w:val="001D6402"/>
    <w:rsid w:val="001D761A"/>
    <w:rsid w:val="001D7DF1"/>
    <w:rsid w:val="001E1C93"/>
    <w:rsid w:val="001E2642"/>
    <w:rsid w:val="001E3767"/>
    <w:rsid w:val="001E4859"/>
    <w:rsid w:val="001E5210"/>
    <w:rsid w:val="001E5475"/>
    <w:rsid w:val="001E55F6"/>
    <w:rsid w:val="001E6B35"/>
    <w:rsid w:val="001F0269"/>
    <w:rsid w:val="001F06F7"/>
    <w:rsid w:val="001F0EC0"/>
    <w:rsid w:val="001F1478"/>
    <w:rsid w:val="001F15B8"/>
    <w:rsid w:val="001F1731"/>
    <w:rsid w:val="001F2759"/>
    <w:rsid w:val="001F35AA"/>
    <w:rsid w:val="001F3BFA"/>
    <w:rsid w:val="001F440C"/>
    <w:rsid w:val="001F4814"/>
    <w:rsid w:val="001F5772"/>
    <w:rsid w:val="001F57F4"/>
    <w:rsid w:val="001F581B"/>
    <w:rsid w:val="001F62B8"/>
    <w:rsid w:val="001F63DC"/>
    <w:rsid w:val="001F671A"/>
    <w:rsid w:val="001F7AE2"/>
    <w:rsid w:val="001F7CDC"/>
    <w:rsid w:val="0020069D"/>
    <w:rsid w:val="00200B0B"/>
    <w:rsid w:val="00200CF9"/>
    <w:rsid w:val="002019DC"/>
    <w:rsid w:val="00202AC4"/>
    <w:rsid w:val="00203649"/>
    <w:rsid w:val="002042C0"/>
    <w:rsid w:val="002055ED"/>
    <w:rsid w:val="00205760"/>
    <w:rsid w:val="002063C7"/>
    <w:rsid w:val="00207001"/>
    <w:rsid w:val="00210D98"/>
    <w:rsid w:val="00210E0C"/>
    <w:rsid w:val="00211487"/>
    <w:rsid w:val="00211A5D"/>
    <w:rsid w:val="00211D69"/>
    <w:rsid w:val="002127B9"/>
    <w:rsid w:val="00212E4E"/>
    <w:rsid w:val="0021322D"/>
    <w:rsid w:val="0021380F"/>
    <w:rsid w:val="00214009"/>
    <w:rsid w:val="00214FAA"/>
    <w:rsid w:val="00215114"/>
    <w:rsid w:val="0021592E"/>
    <w:rsid w:val="00216739"/>
    <w:rsid w:val="002167B4"/>
    <w:rsid w:val="002169DC"/>
    <w:rsid w:val="00216F86"/>
    <w:rsid w:val="00220CFF"/>
    <w:rsid w:val="00221F0A"/>
    <w:rsid w:val="002222B3"/>
    <w:rsid w:val="002228B0"/>
    <w:rsid w:val="00222BD1"/>
    <w:rsid w:val="00222F55"/>
    <w:rsid w:val="00224159"/>
    <w:rsid w:val="00227813"/>
    <w:rsid w:val="00227B14"/>
    <w:rsid w:val="0023000E"/>
    <w:rsid w:val="0023100A"/>
    <w:rsid w:val="00231D1F"/>
    <w:rsid w:val="00231F72"/>
    <w:rsid w:val="0023222C"/>
    <w:rsid w:val="0023296C"/>
    <w:rsid w:val="00233527"/>
    <w:rsid w:val="002350CC"/>
    <w:rsid w:val="00236241"/>
    <w:rsid w:val="002363FF"/>
    <w:rsid w:val="002368FF"/>
    <w:rsid w:val="002370A4"/>
    <w:rsid w:val="002379B9"/>
    <w:rsid w:val="00237A0D"/>
    <w:rsid w:val="0024017B"/>
    <w:rsid w:val="002408E9"/>
    <w:rsid w:val="00240E8B"/>
    <w:rsid w:val="00241977"/>
    <w:rsid w:val="0024249A"/>
    <w:rsid w:val="00242632"/>
    <w:rsid w:val="00243A99"/>
    <w:rsid w:val="00244446"/>
    <w:rsid w:val="00244D3E"/>
    <w:rsid w:val="0024515E"/>
    <w:rsid w:val="002454CE"/>
    <w:rsid w:val="00245B8C"/>
    <w:rsid w:val="00246AD2"/>
    <w:rsid w:val="00246C95"/>
    <w:rsid w:val="00246DF9"/>
    <w:rsid w:val="00247B49"/>
    <w:rsid w:val="00252355"/>
    <w:rsid w:val="00253D4B"/>
    <w:rsid w:val="0025532C"/>
    <w:rsid w:val="00256A94"/>
    <w:rsid w:val="00256E93"/>
    <w:rsid w:val="00257467"/>
    <w:rsid w:val="00257489"/>
    <w:rsid w:val="002578BB"/>
    <w:rsid w:val="0026053D"/>
    <w:rsid w:val="002606C0"/>
    <w:rsid w:val="00260D35"/>
    <w:rsid w:val="00262821"/>
    <w:rsid w:val="00262B05"/>
    <w:rsid w:val="002637C6"/>
    <w:rsid w:val="002647F8"/>
    <w:rsid w:val="002648EB"/>
    <w:rsid w:val="00264B98"/>
    <w:rsid w:val="00264C02"/>
    <w:rsid w:val="002653AC"/>
    <w:rsid w:val="0027030F"/>
    <w:rsid w:val="002706D4"/>
    <w:rsid w:val="00270980"/>
    <w:rsid w:val="00271408"/>
    <w:rsid w:val="00271775"/>
    <w:rsid w:val="002717C7"/>
    <w:rsid w:val="0027196E"/>
    <w:rsid w:val="00271D44"/>
    <w:rsid w:val="0027201C"/>
    <w:rsid w:val="00274FDD"/>
    <w:rsid w:val="002752D3"/>
    <w:rsid w:val="002754E9"/>
    <w:rsid w:val="002755DD"/>
    <w:rsid w:val="00275C0F"/>
    <w:rsid w:val="00276263"/>
    <w:rsid w:val="00276E6E"/>
    <w:rsid w:val="00280D21"/>
    <w:rsid w:val="002810BE"/>
    <w:rsid w:val="00282972"/>
    <w:rsid w:val="002829F9"/>
    <w:rsid w:val="00282D17"/>
    <w:rsid w:val="002831F8"/>
    <w:rsid w:val="00284573"/>
    <w:rsid w:val="0028466C"/>
    <w:rsid w:val="00285BE3"/>
    <w:rsid w:val="00286202"/>
    <w:rsid w:val="002874EA"/>
    <w:rsid w:val="0029068E"/>
    <w:rsid w:val="00291B6E"/>
    <w:rsid w:val="0029225F"/>
    <w:rsid w:val="002924F1"/>
    <w:rsid w:val="00292911"/>
    <w:rsid w:val="002929EE"/>
    <w:rsid w:val="002939E4"/>
    <w:rsid w:val="00293C05"/>
    <w:rsid w:val="00294E43"/>
    <w:rsid w:val="002966B7"/>
    <w:rsid w:val="00297A6A"/>
    <w:rsid w:val="00297D60"/>
    <w:rsid w:val="00297DDD"/>
    <w:rsid w:val="002A042D"/>
    <w:rsid w:val="002A051B"/>
    <w:rsid w:val="002A0874"/>
    <w:rsid w:val="002A36FF"/>
    <w:rsid w:val="002A4116"/>
    <w:rsid w:val="002A45CC"/>
    <w:rsid w:val="002A4769"/>
    <w:rsid w:val="002A479D"/>
    <w:rsid w:val="002A4EEA"/>
    <w:rsid w:val="002A571C"/>
    <w:rsid w:val="002A6681"/>
    <w:rsid w:val="002A7576"/>
    <w:rsid w:val="002B00D3"/>
    <w:rsid w:val="002B098B"/>
    <w:rsid w:val="002B25A1"/>
    <w:rsid w:val="002B27A4"/>
    <w:rsid w:val="002B2803"/>
    <w:rsid w:val="002B2C23"/>
    <w:rsid w:val="002B2CC7"/>
    <w:rsid w:val="002B35C5"/>
    <w:rsid w:val="002B36D5"/>
    <w:rsid w:val="002B3A02"/>
    <w:rsid w:val="002B3AF0"/>
    <w:rsid w:val="002B4459"/>
    <w:rsid w:val="002B57D1"/>
    <w:rsid w:val="002B5D64"/>
    <w:rsid w:val="002B5EBB"/>
    <w:rsid w:val="002B6712"/>
    <w:rsid w:val="002B688E"/>
    <w:rsid w:val="002B6ED0"/>
    <w:rsid w:val="002C0F73"/>
    <w:rsid w:val="002C1B1E"/>
    <w:rsid w:val="002C1F2E"/>
    <w:rsid w:val="002C3288"/>
    <w:rsid w:val="002C4262"/>
    <w:rsid w:val="002C4A4C"/>
    <w:rsid w:val="002C4CC2"/>
    <w:rsid w:val="002C4D8A"/>
    <w:rsid w:val="002C4E1D"/>
    <w:rsid w:val="002C51BB"/>
    <w:rsid w:val="002C54E3"/>
    <w:rsid w:val="002C5C4A"/>
    <w:rsid w:val="002C76C2"/>
    <w:rsid w:val="002D0169"/>
    <w:rsid w:val="002D16DC"/>
    <w:rsid w:val="002D295A"/>
    <w:rsid w:val="002D4085"/>
    <w:rsid w:val="002D5F6C"/>
    <w:rsid w:val="002D6053"/>
    <w:rsid w:val="002D6390"/>
    <w:rsid w:val="002D7454"/>
    <w:rsid w:val="002D74EA"/>
    <w:rsid w:val="002D7A27"/>
    <w:rsid w:val="002E01C1"/>
    <w:rsid w:val="002E12B6"/>
    <w:rsid w:val="002E1C37"/>
    <w:rsid w:val="002E23F3"/>
    <w:rsid w:val="002E2A90"/>
    <w:rsid w:val="002E2BC8"/>
    <w:rsid w:val="002E3073"/>
    <w:rsid w:val="002E360E"/>
    <w:rsid w:val="002E3A66"/>
    <w:rsid w:val="002E3AA1"/>
    <w:rsid w:val="002E57EC"/>
    <w:rsid w:val="002E5C2B"/>
    <w:rsid w:val="002E73E2"/>
    <w:rsid w:val="002E75EC"/>
    <w:rsid w:val="002E797B"/>
    <w:rsid w:val="002E7D5E"/>
    <w:rsid w:val="002E7EE8"/>
    <w:rsid w:val="002F20CE"/>
    <w:rsid w:val="002F3049"/>
    <w:rsid w:val="002F33BB"/>
    <w:rsid w:val="002F38CC"/>
    <w:rsid w:val="002F3E19"/>
    <w:rsid w:val="002F3E4D"/>
    <w:rsid w:val="002F3FAC"/>
    <w:rsid w:val="002F57C9"/>
    <w:rsid w:val="002F5AAA"/>
    <w:rsid w:val="002F5EE2"/>
    <w:rsid w:val="002F6457"/>
    <w:rsid w:val="002F7CCA"/>
    <w:rsid w:val="002F7D4D"/>
    <w:rsid w:val="00303C9D"/>
    <w:rsid w:val="00304179"/>
    <w:rsid w:val="003057A2"/>
    <w:rsid w:val="00305945"/>
    <w:rsid w:val="00305B3F"/>
    <w:rsid w:val="00305E71"/>
    <w:rsid w:val="0030730A"/>
    <w:rsid w:val="00307AEA"/>
    <w:rsid w:val="00307BBD"/>
    <w:rsid w:val="003104AE"/>
    <w:rsid w:val="00310B7F"/>
    <w:rsid w:val="0031181F"/>
    <w:rsid w:val="00311CB1"/>
    <w:rsid w:val="0031275F"/>
    <w:rsid w:val="003128C5"/>
    <w:rsid w:val="00313134"/>
    <w:rsid w:val="00313135"/>
    <w:rsid w:val="003133BE"/>
    <w:rsid w:val="0031526F"/>
    <w:rsid w:val="0031562B"/>
    <w:rsid w:val="00317175"/>
    <w:rsid w:val="00317F5F"/>
    <w:rsid w:val="003202BF"/>
    <w:rsid w:val="00324E8A"/>
    <w:rsid w:val="00325C7A"/>
    <w:rsid w:val="00326028"/>
    <w:rsid w:val="0032617E"/>
    <w:rsid w:val="00326E70"/>
    <w:rsid w:val="003274AF"/>
    <w:rsid w:val="00330704"/>
    <w:rsid w:val="00330FC1"/>
    <w:rsid w:val="0033116C"/>
    <w:rsid w:val="003312F8"/>
    <w:rsid w:val="00331590"/>
    <w:rsid w:val="003317C2"/>
    <w:rsid w:val="00331CC2"/>
    <w:rsid w:val="0033213D"/>
    <w:rsid w:val="003336DD"/>
    <w:rsid w:val="00333E25"/>
    <w:rsid w:val="0033512A"/>
    <w:rsid w:val="0033513C"/>
    <w:rsid w:val="003352CE"/>
    <w:rsid w:val="00335686"/>
    <w:rsid w:val="00335C0C"/>
    <w:rsid w:val="00336BD3"/>
    <w:rsid w:val="00336F23"/>
    <w:rsid w:val="00337683"/>
    <w:rsid w:val="00337E33"/>
    <w:rsid w:val="00340CA1"/>
    <w:rsid w:val="003410DD"/>
    <w:rsid w:val="00341518"/>
    <w:rsid w:val="00342374"/>
    <w:rsid w:val="0034265E"/>
    <w:rsid w:val="00342FB6"/>
    <w:rsid w:val="00343581"/>
    <w:rsid w:val="003437CA"/>
    <w:rsid w:val="00344B08"/>
    <w:rsid w:val="00344B7E"/>
    <w:rsid w:val="00346D17"/>
    <w:rsid w:val="00347145"/>
    <w:rsid w:val="00347466"/>
    <w:rsid w:val="00347CC9"/>
    <w:rsid w:val="00350A0D"/>
    <w:rsid w:val="00351630"/>
    <w:rsid w:val="00351901"/>
    <w:rsid w:val="00351DEA"/>
    <w:rsid w:val="0035204A"/>
    <w:rsid w:val="003520BB"/>
    <w:rsid w:val="003523EE"/>
    <w:rsid w:val="00352767"/>
    <w:rsid w:val="00354447"/>
    <w:rsid w:val="0035487F"/>
    <w:rsid w:val="00356651"/>
    <w:rsid w:val="00356ECA"/>
    <w:rsid w:val="00357124"/>
    <w:rsid w:val="003574DD"/>
    <w:rsid w:val="00361C73"/>
    <w:rsid w:val="0036246C"/>
    <w:rsid w:val="003627A9"/>
    <w:rsid w:val="003644F1"/>
    <w:rsid w:val="00364FB5"/>
    <w:rsid w:val="003655F3"/>
    <w:rsid w:val="003657FE"/>
    <w:rsid w:val="003658B6"/>
    <w:rsid w:val="00365923"/>
    <w:rsid w:val="00365F45"/>
    <w:rsid w:val="003676B2"/>
    <w:rsid w:val="0036776C"/>
    <w:rsid w:val="00370481"/>
    <w:rsid w:val="00371184"/>
    <w:rsid w:val="0037227E"/>
    <w:rsid w:val="00372A27"/>
    <w:rsid w:val="00373892"/>
    <w:rsid w:val="00374FEC"/>
    <w:rsid w:val="003760F6"/>
    <w:rsid w:val="0037621D"/>
    <w:rsid w:val="00376BF7"/>
    <w:rsid w:val="00376F21"/>
    <w:rsid w:val="00377A76"/>
    <w:rsid w:val="0038055D"/>
    <w:rsid w:val="00380E38"/>
    <w:rsid w:val="00381628"/>
    <w:rsid w:val="00381784"/>
    <w:rsid w:val="003824E2"/>
    <w:rsid w:val="00382D32"/>
    <w:rsid w:val="00383A30"/>
    <w:rsid w:val="0038400B"/>
    <w:rsid w:val="0038493E"/>
    <w:rsid w:val="00386229"/>
    <w:rsid w:val="003862B1"/>
    <w:rsid w:val="00387FC5"/>
    <w:rsid w:val="00390B69"/>
    <w:rsid w:val="00390F25"/>
    <w:rsid w:val="00393521"/>
    <w:rsid w:val="00393D03"/>
    <w:rsid w:val="00394C91"/>
    <w:rsid w:val="00394DB3"/>
    <w:rsid w:val="0039657A"/>
    <w:rsid w:val="0039702C"/>
    <w:rsid w:val="003A270E"/>
    <w:rsid w:val="003A2D28"/>
    <w:rsid w:val="003A2DE9"/>
    <w:rsid w:val="003A3160"/>
    <w:rsid w:val="003A42B1"/>
    <w:rsid w:val="003A4E52"/>
    <w:rsid w:val="003B10F5"/>
    <w:rsid w:val="003B157F"/>
    <w:rsid w:val="003B1809"/>
    <w:rsid w:val="003B28EF"/>
    <w:rsid w:val="003B2A5A"/>
    <w:rsid w:val="003B32C9"/>
    <w:rsid w:val="003B3443"/>
    <w:rsid w:val="003B350C"/>
    <w:rsid w:val="003B352F"/>
    <w:rsid w:val="003B3F08"/>
    <w:rsid w:val="003B4D9E"/>
    <w:rsid w:val="003B522B"/>
    <w:rsid w:val="003B53C8"/>
    <w:rsid w:val="003B5A23"/>
    <w:rsid w:val="003B6D6E"/>
    <w:rsid w:val="003C08BA"/>
    <w:rsid w:val="003C0AA3"/>
    <w:rsid w:val="003C15D8"/>
    <w:rsid w:val="003C2582"/>
    <w:rsid w:val="003C4A8A"/>
    <w:rsid w:val="003C4E34"/>
    <w:rsid w:val="003C6C3A"/>
    <w:rsid w:val="003C75B7"/>
    <w:rsid w:val="003D0000"/>
    <w:rsid w:val="003D0B1B"/>
    <w:rsid w:val="003D0B8D"/>
    <w:rsid w:val="003D1247"/>
    <w:rsid w:val="003D1786"/>
    <w:rsid w:val="003D1BE2"/>
    <w:rsid w:val="003D6E41"/>
    <w:rsid w:val="003D7272"/>
    <w:rsid w:val="003D754B"/>
    <w:rsid w:val="003D7865"/>
    <w:rsid w:val="003D7A93"/>
    <w:rsid w:val="003E06B0"/>
    <w:rsid w:val="003E15C3"/>
    <w:rsid w:val="003E18B4"/>
    <w:rsid w:val="003E254F"/>
    <w:rsid w:val="003E2D15"/>
    <w:rsid w:val="003E2F09"/>
    <w:rsid w:val="003E3291"/>
    <w:rsid w:val="003E430C"/>
    <w:rsid w:val="003E5981"/>
    <w:rsid w:val="003E76FA"/>
    <w:rsid w:val="003E7868"/>
    <w:rsid w:val="003F0714"/>
    <w:rsid w:val="003F1BAD"/>
    <w:rsid w:val="003F2746"/>
    <w:rsid w:val="003F27DA"/>
    <w:rsid w:val="003F33A4"/>
    <w:rsid w:val="003F36C3"/>
    <w:rsid w:val="003F4BBC"/>
    <w:rsid w:val="003F5729"/>
    <w:rsid w:val="003F6241"/>
    <w:rsid w:val="003F680C"/>
    <w:rsid w:val="003F6C51"/>
    <w:rsid w:val="003F75E2"/>
    <w:rsid w:val="003F77C2"/>
    <w:rsid w:val="003F791C"/>
    <w:rsid w:val="004004EF"/>
    <w:rsid w:val="00402AC5"/>
    <w:rsid w:val="0040309B"/>
    <w:rsid w:val="00405A61"/>
    <w:rsid w:val="00405ACE"/>
    <w:rsid w:val="004068B0"/>
    <w:rsid w:val="0040690B"/>
    <w:rsid w:val="004072EC"/>
    <w:rsid w:val="0041093C"/>
    <w:rsid w:val="00411490"/>
    <w:rsid w:val="00411A45"/>
    <w:rsid w:val="00412C3B"/>
    <w:rsid w:val="00413C3B"/>
    <w:rsid w:val="00413D22"/>
    <w:rsid w:val="00413D6D"/>
    <w:rsid w:val="00413DBB"/>
    <w:rsid w:val="00414DFA"/>
    <w:rsid w:val="00415FC4"/>
    <w:rsid w:val="00416C7E"/>
    <w:rsid w:val="004174D7"/>
    <w:rsid w:val="00421837"/>
    <w:rsid w:val="00421A6B"/>
    <w:rsid w:val="004224B3"/>
    <w:rsid w:val="004234FA"/>
    <w:rsid w:val="00423DFD"/>
    <w:rsid w:val="00424A9D"/>
    <w:rsid w:val="00425E4D"/>
    <w:rsid w:val="0042711B"/>
    <w:rsid w:val="0042763E"/>
    <w:rsid w:val="004276BB"/>
    <w:rsid w:val="004277D7"/>
    <w:rsid w:val="00430907"/>
    <w:rsid w:val="0043262F"/>
    <w:rsid w:val="00432FEE"/>
    <w:rsid w:val="00433287"/>
    <w:rsid w:val="00433BF0"/>
    <w:rsid w:val="004347F1"/>
    <w:rsid w:val="004364C6"/>
    <w:rsid w:val="00436AE2"/>
    <w:rsid w:val="00436CA2"/>
    <w:rsid w:val="00437093"/>
    <w:rsid w:val="00437267"/>
    <w:rsid w:val="004372E3"/>
    <w:rsid w:val="004401D5"/>
    <w:rsid w:val="00440C23"/>
    <w:rsid w:val="0044154D"/>
    <w:rsid w:val="0044157A"/>
    <w:rsid w:val="00441981"/>
    <w:rsid w:val="00442A98"/>
    <w:rsid w:val="00442A9F"/>
    <w:rsid w:val="00442BCD"/>
    <w:rsid w:val="004446CE"/>
    <w:rsid w:val="00444C51"/>
    <w:rsid w:val="00445186"/>
    <w:rsid w:val="004459F6"/>
    <w:rsid w:val="00445D22"/>
    <w:rsid w:val="00447D19"/>
    <w:rsid w:val="0045039B"/>
    <w:rsid w:val="004504CE"/>
    <w:rsid w:val="004505D9"/>
    <w:rsid w:val="00450657"/>
    <w:rsid w:val="004515D3"/>
    <w:rsid w:val="004526DB"/>
    <w:rsid w:val="00453540"/>
    <w:rsid w:val="00453E24"/>
    <w:rsid w:val="00455424"/>
    <w:rsid w:val="004556D8"/>
    <w:rsid w:val="00456214"/>
    <w:rsid w:val="004566FA"/>
    <w:rsid w:val="0045746F"/>
    <w:rsid w:val="004574F0"/>
    <w:rsid w:val="0045759F"/>
    <w:rsid w:val="004578EF"/>
    <w:rsid w:val="00461910"/>
    <w:rsid w:val="0046247C"/>
    <w:rsid w:val="0046287B"/>
    <w:rsid w:val="0046326B"/>
    <w:rsid w:val="00463B46"/>
    <w:rsid w:val="00464EF9"/>
    <w:rsid w:val="004651EE"/>
    <w:rsid w:val="004653FB"/>
    <w:rsid w:val="00465A5B"/>
    <w:rsid w:val="00465EE7"/>
    <w:rsid w:val="0046654E"/>
    <w:rsid w:val="00466895"/>
    <w:rsid w:val="00466E3F"/>
    <w:rsid w:val="004670D5"/>
    <w:rsid w:val="00467766"/>
    <w:rsid w:val="004678A2"/>
    <w:rsid w:val="00467D27"/>
    <w:rsid w:val="00470821"/>
    <w:rsid w:val="00470879"/>
    <w:rsid w:val="00472875"/>
    <w:rsid w:val="00473633"/>
    <w:rsid w:val="00473944"/>
    <w:rsid w:val="0047406B"/>
    <w:rsid w:val="0047617E"/>
    <w:rsid w:val="0047644A"/>
    <w:rsid w:val="004764B0"/>
    <w:rsid w:val="00476C33"/>
    <w:rsid w:val="004817D9"/>
    <w:rsid w:val="00481B32"/>
    <w:rsid w:val="00481D8C"/>
    <w:rsid w:val="00482A83"/>
    <w:rsid w:val="00482DDF"/>
    <w:rsid w:val="00482E0D"/>
    <w:rsid w:val="0048384C"/>
    <w:rsid w:val="004857AF"/>
    <w:rsid w:val="0048661F"/>
    <w:rsid w:val="00486A18"/>
    <w:rsid w:val="0048734C"/>
    <w:rsid w:val="00487494"/>
    <w:rsid w:val="004877E4"/>
    <w:rsid w:val="00487FA2"/>
    <w:rsid w:val="00490892"/>
    <w:rsid w:val="00490E82"/>
    <w:rsid w:val="004916F5"/>
    <w:rsid w:val="004918E8"/>
    <w:rsid w:val="00491A3B"/>
    <w:rsid w:val="0049388C"/>
    <w:rsid w:val="00495FA2"/>
    <w:rsid w:val="0049610C"/>
    <w:rsid w:val="00496AF3"/>
    <w:rsid w:val="004976E3"/>
    <w:rsid w:val="00497AD3"/>
    <w:rsid w:val="004A02EB"/>
    <w:rsid w:val="004A0A68"/>
    <w:rsid w:val="004A0A8E"/>
    <w:rsid w:val="004A133E"/>
    <w:rsid w:val="004A4231"/>
    <w:rsid w:val="004A4396"/>
    <w:rsid w:val="004A4C23"/>
    <w:rsid w:val="004A514D"/>
    <w:rsid w:val="004A5537"/>
    <w:rsid w:val="004A58B5"/>
    <w:rsid w:val="004A59B5"/>
    <w:rsid w:val="004A5E7E"/>
    <w:rsid w:val="004A60CC"/>
    <w:rsid w:val="004A6A44"/>
    <w:rsid w:val="004A7765"/>
    <w:rsid w:val="004A7BB4"/>
    <w:rsid w:val="004B1441"/>
    <w:rsid w:val="004B156E"/>
    <w:rsid w:val="004B36AA"/>
    <w:rsid w:val="004B3804"/>
    <w:rsid w:val="004B4E31"/>
    <w:rsid w:val="004B58FB"/>
    <w:rsid w:val="004B5991"/>
    <w:rsid w:val="004B5A2E"/>
    <w:rsid w:val="004B6071"/>
    <w:rsid w:val="004B65FF"/>
    <w:rsid w:val="004B6CBB"/>
    <w:rsid w:val="004B769C"/>
    <w:rsid w:val="004B7E52"/>
    <w:rsid w:val="004C0EF9"/>
    <w:rsid w:val="004C0F1C"/>
    <w:rsid w:val="004C1B33"/>
    <w:rsid w:val="004C20BB"/>
    <w:rsid w:val="004C2198"/>
    <w:rsid w:val="004C31A9"/>
    <w:rsid w:val="004C3588"/>
    <w:rsid w:val="004C3C35"/>
    <w:rsid w:val="004C3FE4"/>
    <w:rsid w:val="004C63BB"/>
    <w:rsid w:val="004C6839"/>
    <w:rsid w:val="004C7A07"/>
    <w:rsid w:val="004D0A23"/>
    <w:rsid w:val="004D11A2"/>
    <w:rsid w:val="004D1E84"/>
    <w:rsid w:val="004D52A4"/>
    <w:rsid w:val="004D5723"/>
    <w:rsid w:val="004D5BF2"/>
    <w:rsid w:val="004D5E4B"/>
    <w:rsid w:val="004D608A"/>
    <w:rsid w:val="004D70BC"/>
    <w:rsid w:val="004D7400"/>
    <w:rsid w:val="004E20A9"/>
    <w:rsid w:val="004E2246"/>
    <w:rsid w:val="004E23DA"/>
    <w:rsid w:val="004E2B2E"/>
    <w:rsid w:val="004E337C"/>
    <w:rsid w:val="004E4896"/>
    <w:rsid w:val="004E5076"/>
    <w:rsid w:val="004E5FCC"/>
    <w:rsid w:val="004E613B"/>
    <w:rsid w:val="004E652B"/>
    <w:rsid w:val="004E688F"/>
    <w:rsid w:val="004E6DDA"/>
    <w:rsid w:val="004F00E2"/>
    <w:rsid w:val="004F05C8"/>
    <w:rsid w:val="004F09DC"/>
    <w:rsid w:val="004F1124"/>
    <w:rsid w:val="004F1208"/>
    <w:rsid w:val="004F1501"/>
    <w:rsid w:val="004F23AE"/>
    <w:rsid w:val="004F25B9"/>
    <w:rsid w:val="004F29E2"/>
    <w:rsid w:val="004F2E08"/>
    <w:rsid w:val="004F38D6"/>
    <w:rsid w:val="004F3E65"/>
    <w:rsid w:val="004F44D1"/>
    <w:rsid w:val="004F4A11"/>
    <w:rsid w:val="004F502E"/>
    <w:rsid w:val="004F5D14"/>
    <w:rsid w:val="004F6460"/>
    <w:rsid w:val="004F6BFD"/>
    <w:rsid w:val="00500319"/>
    <w:rsid w:val="0050275B"/>
    <w:rsid w:val="00502A80"/>
    <w:rsid w:val="00504782"/>
    <w:rsid w:val="00504D2F"/>
    <w:rsid w:val="0050530F"/>
    <w:rsid w:val="00505AB6"/>
    <w:rsid w:val="00505EC7"/>
    <w:rsid w:val="00505F52"/>
    <w:rsid w:val="00506BB4"/>
    <w:rsid w:val="0051086B"/>
    <w:rsid w:val="00513F2D"/>
    <w:rsid w:val="0051472B"/>
    <w:rsid w:val="00514832"/>
    <w:rsid w:val="00514CB0"/>
    <w:rsid w:val="005153AD"/>
    <w:rsid w:val="005154A9"/>
    <w:rsid w:val="00515ACC"/>
    <w:rsid w:val="0051629D"/>
    <w:rsid w:val="00516DA1"/>
    <w:rsid w:val="005179B1"/>
    <w:rsid w:val="00517E8E"/>
    <w:rsid w:val="005210D8"/>
    <w:rsid w:val="00521138"/>
    <w:rsid w:val="0052144B"/>
    <w:rsid w:val="0052156E"/>
    <w:rsid w:val="00521606"/>
    <w:rsid w:val="005219B1"/>
    <w:rsid w:val="00521CC0"/>
    <w:rsid w:val="005247D0"/>
    <w:rsid w:val="005247E9"/>
    <w:rsid w:val="005258E5"/>
    <w:rsid w:val="00526BE5"/>
    <w:rsid w:val="00526D66"/>
    <w:rsid w:val="0052700E"/>
    <w:rsid w:val="005303FA"/>
    <w:rsid w:val="00530831"/>
    <w:rsid w:val="00530F6E"/>
    <w:rsid w:val="00530FFD"/>
    <w:rsid w:val="00531D47"/>
    <w:rsid w:val="0053253B"/>
    <w:rsid w:val="005345AF"/>
    <w:rsid w:val="00534963"/>
    <w:rsid w:val="00535FDE"/>
    <w:rsid w:val="005360A5"/>
    <w:rsid w:val="0053615C"/>
    <w:rsid w:val="0054129E"/>
    <w:rsid w:val="005417FB"/>
    <w:rsid w:val="005421FB"/>
    <w:rsid w:val="005428E8"/>
    <w:rsid w:val="00542FF9"/>
    <w:rsid w:val="0054512D"/>
    <w:rsid w:val="00545BF6"/>
    <w:rsid w:val="00545FBD"/>
    <w:rsid w:val="00547633"/>
    <w:rsid w:val="00547807"/>
    <w:rsid w:val="00547FFB"/>
    <w:rsid w:val="00550823"/>
    <w:rsid w:val="005512BA"/>
    <w:rsid w:val="00551DFE"/>
    <w:rsid w:val="00552120"/>
    <w:rsid w:val="005522E4"/>
    <w:rsid w:val="0055318E"/>
    <w:rsid w:val="005545BB"/>
    <w:rsid w:val="00555B51"/>
    <w:rsid w:val="00556276"/>
    <w:rsid w:val="00557E26"/>
    <w:rsid w:val="00560903"/>
    <w:rsid w:val="00562A5F"/>
    <w:rsid w:val="00563835"/>
    <w:rsid w:val="0056469E"/>
    <w:rsid w:val="0056506A"/>
    <w:rsid w:val="00565106"/>
    <w:rsid w:val="005652A0"/>
    <w:rsid w:val="005653C6"/>
    <w:rsid w:val="0056610C"/>
    <w:rsid w:val="00566285"/>
    <w:rsid w:val="00566574"/>
    <w:rsid w:val="005667B7"/>
    <w:rsid w:val="00566CA6"/>
    <w:rsid w:val="005674E7"/>
    <w:rsid w:val="00567D1E"/>
    <w:rsid w:val="00570133"/>
    <w:rsid w:val="00570200"/>
    <w:rsid w:val="005724D8"/>
    <w:rsid w:val="005724F0"/>
    <w:rsid w:val="00572556"/>
    <w:rsid w:val="00572733"/>
    <w:rsid w:val="00573752"/>
    <w:rsid w:val="005737B7"/>
    <w:rsid w:val="00573CD0"/>
    <w:rsid w:val="00574E21"/>
    <w:rsid w:val="005756E2"/>
    <w:rsid w:val="005756EB"/>
    <w:rsid w:val="005760D2"/>
    <w:rsid w:val="005764AD"/>
    <w:rsid w:val="005767C0"/>
    <w:rsid w:val="00576992"/>
    <w:rsid w:val="00577727"/>
    <w:rsid w:val="00577A6F"/>
    <w:rsid w:val="00577FC2"/>
    <w:rsid w:val="005800B6"/>
    <w:rsid w:val="005814A2"/>
    <w:rsid w:val="00581691"/>
    <w:rsid w:val="00582C06"/>
    <w:rsid w:val="00582EE1"/>
    <w:rsid w:val="0058637C"/>
    <w:rsid w:val="005872FA"/>
    <w:rsid w:val="005877F7"/>
    <w:rsid w:val="00587EE6"/>
    <w:rsid w:val="00587F0B"/>
    <w:rsid w:val="00591DDD"/>
    <w:rsid w:val="00592816"/>
    <w:rsid w:val="005942CE"/>
    <w:rsid w:val="00594C2E"/>
    <w:rsid w:val="00595147"/>
    <w:rsid w:val="005960D2"/>
    <w:rsid w:val="0059695B"/>
    <w:rsid w:val="005976B5"/>
    <w:rsid w:val="005A0146"/>
    <w:rsid w:val="005A0A6F"/>
    <w:rsid w:val="005A0F65"/>
    <w:rsid w:val="005A2C5B"/>
    <w:rsid w:val="005A500D"/>
    <w:rsid w:val="005A5104"/>
    <w:rsid w:val="005A5562"/>
    <w:rsid w:val="005A677D"/>
    <w:rsid w:val="005A7589"/>
    <w:rsid w:val="005A75E5"/>
    <w:rsid w:val="005B07F5"/>
    <w:rsid w:val="005B1902"/>
    <w:rsid w:val="005B2078"/>
    <w:rsid w:val="005B2E67"/>
    <w:rsid w:val="005B2E73"/>
    <w:rsid w:val="005B3350"/>
    <w:rsid w:val="005B3BC4"/>
    <w:rsid w:val="005B4114"/>
    <w:rsid w:val="005B4437"/>
    <w:rsid w:val="005B52EC"/>
    <w:rsid w:val="005B5D49"/>
    <w:rsid w:val="005B5DA4"/>
    <w:rsid w:val="005B6893"/>
    <w:rsid w:val="005B7A1E"/>
    <w:rsid w:val="005B7FAA"/>
    <w:rsid w:val="005C0EC0"/>
    <w:rsid w:val="005C19DA"/>
    <w:rsid w:val="005C25A1"/>
    <w:rsid w:val="005C294B"/>
    <w:rsid w:val="005C2F14"/>
    <w:rsid w:val="005C30BB"/>
    <w:rsid w:val="005C42EA"/>
    <w:rsid w:val="005C52EF"/>
    <w:rsid w:val="005C577C"/>
    <w:rsid w:val="005C7002"/>
    <w:rsid w:val="005C75A8"/>
    <w:rsid w:val="005C75EA"/>
    <w:rsid w:val="005D0A2C"/>
    <w:rsid w:val="005D0ECE"/>
    <w:rsid w:val="005D0F11"/>
    <w:rsid w:val="005D10E9"/>
    <w:rsid w:val="005D11B2"/>
    <w:rsid w:val="005D12F5"/>
    <w:rsid w:val="005D1662"/>
    <w:rsid w:val="005D3993"/>
    <w:rsid w:val="005D4023"/>
    <w:rsid w:val="005D43F6"/>
    <w:rsid w:val="005D52DD"/>
    <w:rsid w:val="005D56F0"/>
    <w:rsid w:val="005D5B4B"/>
    <w:rsid w:val="005D7DFC"/>
    <w:rsid w:val="005D7F60"/>
    <w:rsid w:val="005E051C"/>
    <w:rsid w:val="005E07E8"/>
    <w:rsid w:val="005E0AF4"/>
    <w:rsid w:val="005E0E64"/>
    <w:rsid w:val="005E1F61"/>
    <w:rsid w:val="005E2239"/>
    <w:rsid w:val="005E24FC"/>
    <w:rsid w:val="005E41E0"/>
    <w:rsid w:val="005E6428"/>
    <w:rsid w:val="005E6F2D"/>
    <w:rsid w:val="005E7EB3"/>
    <w:rsid w:val="005F0144"/>
    <w:rsid w:val="005F08B4"/>
    <w:rsid w:val="005F0D55"/>
    <w:rsid w:val="005F21AD"/>
    <w:rsid w:val="005F21DD"/>
    <w:rsid w:val="005F2A6E"/>
    <w:rsid w:val="005F2F21"/>
    <w:rsid w:val="005F36F9"/>
    <w:rsid w:val="005F3EF0"/>
    <w:rsid w:val="005F476B"/>
    <w:rsid w:val="005F5EC0"/>
    <w:rsid w:val="005F6493"/>
    <w:rsid w:val="005F766E"/>
    <w:rsid w:val="0060005F"/>
    <w:rsid w:val="00600327"/>
    <w:rsid w:val="00600B83"/>
    <w:rsid w:val="0060130D"/>
    <w:rsid w:val="00602A4B"/>
    <w:rsid w:val="00602E23"/>
    <w:rsid w:val="006048E0"/>
    <w:rsid w:val="006054B2"/>
    <w:rsid w:val="00605D57"/>
    <w:rsid w:val="00605D8F"/>
    <w:rsid w:val="006062A5"/>
    <w:rsid w:val="006066A8"/>
    <w:rsid w:val="006066E9"/>
    <w:rsid w:val="00606907"/>
    <w:rsid w:val="00606AE4"/>
    <w:rsid w:val="00611706"/>
    <w:rsid w:val="00611853"/>
    <w:rsid w:val="00612343"/>
    <w:rsid w:val="00612679"/>
    <w:rsid w:val="00612783"/>
    <w:rsid w:val="006132A1"/>
    <w:rsid w:val="006136F2"/>
    <w:rsid w:val="00613D49"/>
    <w:rsid w:val="00614109"/>
    <w:rsid w:val="0061480F"/>
    <w:rsid w:val="00615668"/>
    <w:rsid w:val="006172D0"/>
    <w:rsid w:val="00617F4F"/>
    <w:rsid w:val="00617F7B"/>
    <w:rsid w:val="00621C27"/>
    <w:rsid w:val="00621FDB"/>
    <w:rsid w:val="006230B0"/>
    <w:rsid w:val="006235CB"/>
    <w:rsid w:val="0062443E"/>
    <w:rsid w:val="006245AA"/>
    <w:rsid w:val="00624D35"/>
    <w:rsid w:val="00624D70"/>
    <w:rsid w:val="006253EC"/>
    <w:rsid w:val="00625BAB"/>
    <w:rsid w:val="00625D39"/>
    <w:rsid w:val="00626E90"/>
    <w:rsid w:val="006308F4"/>
    <w:rsid w:val="0063108D"/>
    <w:rsid w:val="00631DB8"/>
    <w:rsid w:val="00631F19"/>
    <w:rsid w:val="006325A3"/>
    <w:rsid w:val="00632C18"/>
    <w:rsid w:val="006342A3"/>
    <w:rsid w:val="0063593D"/>
    <w:rsid w:val="00635CBB"/>
    <w:rsid w:val="00636CE4"/>
    <w:rsid w:val="0063724E"/>
    <w:rsid w:val="00637A1E"/>
    <w:rsid w:val="0064067D"/>
    <w:rsid w:val="00641073"/>
    <w:rsid w:val="00641899"/>
    <w:rsid w:val="00642FED"/>
    <w:rsid w:val="006434C1"/>
    <w:rsid w:val="00643624"/>
    <w:rsid w:val="00643EC8"/>
    <w:rsid w:val="006447B5"/>
    <w:rsid w:val="0064583D"/>
    <w:rsid w:val="00645994"/>
    <w:rsid w:val="0064621F"/>
    <w:rsid w:val="006464F8"/>
    <w:rsid w:val="006472A9"/>
    <w:rsid w:val="00647731"/>
    <w:rsid w:val="00647EED"/>
    <w:rsid w:val="00650096"/>
    <w:rsid w:val="0065019A"/>
    <w:rsid w:val="0065020E"/>
    <w:rsid w:val="00651ED3"/>
    <w:rsid w:val="00652943"/>
    <w:rsid w:val="00652FE2"/>
    <w:rsid w:val="006536E1"/>
    <w:rsid w:val="006537E5"/>
    <w:rsid w:val="006545F4"/>
    <w:rsid w:val="006567E0"/>
    <w:rsid w:val="00656BC7"/>
    <w:rsid w:val="006603F0"/>
    <w:rsid w:val="00660AB3"/>
    <w:rsid w:val="00660B70"/>
    <w:rsid w:val="006619BD"/>
    <w:rsid w:val="00661A88"/>
    <w:rsid w:val="00662296"/>
    <w:rsid w:val="0066236F"/>
    <w:rsid w:val="00662A3C"/>
    <w:rsid w:val="00662C0F"/>
    <w:rsid w:val="00664C75"/>
    <w:rsid w:val="00665948"/>
    <w:rsid w:val="00665A3C"/>
    <w:rsid w:val="00665A83"/>
    <w:rsid w:val="00665AB6"/>
    <w:rsid w:val="00666255"/>
    <w:rsid w:val="006672DC"/>
    <w:rsid w:val="00667E77"/>
    <w:rsid w:val="00670167"/>
    <w:rsid w:val="00670A66"/>
    <w:rsid w:val="00670BA3"/>
    <w:rsid w:val="006724F9"/>
    <w:rsid w:val="00673733"/>
    <w:rsid w:val="006737A8"/>
    <w:rsid w:val="006748A1"/>
    <w:rsid w:val="00676389"/>
    <w:rsid w:val="006763AF"/>
    <w:rsid w:val="006777C6"/>
    <w:rsid w:val="00677901"/>
    <w:rsid w:val="00677D02"/>
    <w:rsid w:val="00677E2D"/>
    <w:rsid w:val="00680BC5"/>
    <w:rsid w:val="00681144"/>
    <w:rsid w:val="006826BB"/>
    <w:rsid w:val="00683549"/>
    <w:rsid w:val="006836D3"/>
    <w:rsid w:val="0068456E"/>
    <w:rsid w:val="00684584"/>
    <w:rsid w:val="00685AE6"/>
    <w:rsid w:val="00686068"/>
    <w:rsid w:val="00686524"/>
    <w:rsid w:val="0068783D"/>
    <w:rsid w:val="00687B94"/>
    <w:rsid w:val="00687D48"/>
    <w:rsid w:val="0069055B"/>
    <w:rsid w:val="006908FF"/>
    <w:rsid w:val="006909CD"/>
    <w:rsid w:val="006915EF"/>
    <w:rsid w:val="006919E3"/>
    <w:rsid w:val="00691C8C"/>
    <w:rsid w:val="00691E61"/>
    <w:rsid w:val="00692E98"/>
    <w:rsid w:val="0069361D"/>
    <w:rsid w:val="00693B0D"/>
    <w:rsid w:val="00693E81"/>
    <w:rsid w:val="00694DF6"/>
    <w:rsid w:val="006957B0"/>
    <w:rsid w:val="00695A2B"/>
    <w:rsid w:val="00696704"/>
    <w:rsid w:val="00697657"/>
    <w:rsid w:val="00697C06"/>
    <w:rsid w:val="006A0B3D"/>
    <w:rsid w:val="006A1144"/>
    <w:rsid w:val="006A256B"/>
    <w:rsid w:val="006A3932"/>
    <w:rsid w:val="006A61BD"/>
    <w:rsid w:val="006A648B"/>
    <w:rsid w:val="006A67E1"/>
    <w:rsid w:val="006A7DD7"/>
    <w:rsid w:val="006B20EE"/>
    <w:rsid w:val="006B21DA"/>
    <w:rsid w:val="006B3174"/>
    <w:rsid w:val="006B3A95"/>
    <w:rsid w:val="006B4321"/>
    <w:rsid w:val="006B55D7"/>
    <w:rsid w:val="006B561E"/>
    <w:rsid w:val="006B5A2D"/>
    <w:rsid w:val="006B61A2"/>
    <w:rsid w:val="006B68E1"/>
    <w:rsid w:val="006B6E10"/>
    <w:rsid w:val="006B77AF"/>
    <w:rsid w:val="006B7A37"/>
    <w:rsid w:val="006C046E"/>
    <w:rsid w:val="006C0545"/>
    <w:rsid w:val="006C05D5"/>
    <w:rsid w:val="006C0ACE"/>
    <w:rsid w:val="006C100D"/>
    <w:rsid w:val="006C307E"/>
    <w:rsid w:val="006C3497"/>
    <w:rsid w:val="006C3BE1"/>
    <w:rsid w:val="006C4852"/>
    <w:rsid w:val="006C798B"/>
    <w:rsid w:val="006C7AD2"/>
    <w:rsid w:val="006C7F7B"/>
    <w:rsid w:val="006D08E4"/>
    <w:rsid w:val="006D0A0F"/>
    <w:rsid w:val="006D0CAA"/>
    <w:rsid w:val="006D105B"/>
    <w:rsid w:val="006D274C"/>
    <w:rsid w:val="006D3494"/>
    <w:rsid w:val="006D50CF"/>
    <w:rsid w:val="006D5205"/>
    <w:rsid w:val="006D5982"/>
    <w:rsid w:val="006D5BBE"/>
    <w:rsid w:val="006D6190"/>
    <w:rsid w:val="006D67CF"/>
    <w:rsid w:val="006D691C"/>
    <w:rsid w:val="006D7168"/>
    <w:rsid w:val="006E0C4A"/>
    <w:rsid w:val="006E11C9"/>
    <w:rsid w:val="006E1295"/>
    <w:rsid w:val="006E13E7"/>
    <w:rsid w:val="006E1F78"/>
    <w:rsid w:val="006E3346"/>
    <w:rsid w:val="006E381B"/>
    <w:rsid w:val="006E3A3C"/>
    <w:rsid w:val="006E5AEA"/>
    <w:rsid w:val="006E64D6"/>
    <w:rsid w:val="006E6868"/>
    <w:rsid w:val="006E7310"/>
    <w:rsid w:val="006E7739"/>
    <w:rsid w:val="006E7BCA"/>
    <w:rsid w:val="006F09FA"/>
    <w:rsid w:val="006F22F0"/>
    <w:rsid w:val="006F23CA"/>
    <w:rsid w:val="006F2F4C"/>
    <w:rsid w:val="006F36A6"/>
    <w:rsid w:val="006F3C28"/>
    <w:rsid w:val="006F3FED"/>
    <w:rsid w:val="006F4966"/>
    <w:rsid w:val="006F701B"/>
    <w:rsid w:val="006F7564"/>
    <w:rsid w:val="006F7A19"/>
    <w:rsid w:val="007000BC"/>
    <w:rsid w:val="007000FA"/>
    <w:rsid w:val="00700B34"/>
    <w:rsid w:val="00700DC9"/>
    <w:rsid w:val="007010A5"/>
    <w:rsid w:val="00701AEA"/>
    <w:rsid w:val="00701CB6"/>
    <w:rsid w:val="00702968"/>
    <w:rsid w:val="00702E35"/>
    <w:rsid w:val="00703E22"/>
    <w:rsid w:val="00703EBF"/>
    <w:rsid w:val="0070424A"/>
    <w:rsid w:val="0070464B"/>
    <w:rsid w:val="00705DE0"/>
    <w:rsid w:val="00706793"/>
    <w:rsid w:val="007067E6"/>
    <w:rsid w:val="00710266"/>
    <w:rsid w:val="007105CD"/>
    <w:rsid w:val="00711852"/>
    <w:rsid w:val="00711E91"/>
    <w:rsid w:val="00711F1D"/>
    <w:rsid w:val="00712608"/>
    <w:rsid w:val="00712767"/>
    <w:rsid w:val="00712BBB"/>
    <w:rsid w:val="00714B9A"/>
    <w:rsid w:val="00715025"/>
    <w:rsid w:val="0071525C"/>
    <w:rsid w:val="0071556B"/>
    <w:rsid w:val="00715A4E"/>
    <w:rsid w:val="00716AE0"/>
    <w:rsid w:val="007201B9"/>
    <w:rsid w:val="00720A48"/>
    <w:rsid w:val="00721FB1"/>
    <w:rsid w:val="0072287D"/>
    <w:rsid w:val="00722B25"/>
    <w:rsid w:val="00722B5E"/>
    <w:rsid w:val="00724655"/>
    <w:rsid w:val="007250A2"/>
    <w:rsid w:val="007256F5"/>
    <w:rsid w:val="007258E9"/>
    <w:rsid w:val="00725E0F"/>
    <w:rsid w:val="00726FF6"/>
    <w:rsid w:val="00727F5F"/>
    <w:rsid w:val="00730013"/>
    <w:rsid w:val="00730EA2"/>
    <w:rsid w:val="0073187A"/>
    <w:rsid w:val="00731D86"/>
    <w:rsid w:val="00732E2A"/>
    <w:rsid w:val="00733952"/>
    <w:rsid w:val="007350FB"/>
    <w:rsid w:val="00735425"/>
    <w:rsid w:val="00735CFF"/>
    <w:rsid w:val="00735F7E"/>
    <w:rsid w:val="00736073"/>
    <w:rsid w:val="007405FE"/>
    <w:rsid w:val="00741999"/>
    <w:rsid w:val="007430B1"/>
    <w:rsid w:val="0074429F"/>
    <w:rsid w:val="00744831"/>
    <w:rsid w:val="00744866"/>
    <w:rsid w:val="0074519A"/>
    <w:rsid w:val="0074523B"/>
    <w:rsid w:val="00745690"/>
    <w:rsid w:val="007465A5"/>
    <w:rsid w:val="00746A71"/>
    <w:rsid w:val="007475DB"/>
    <w:rsid w:val="0075116C"/>
    <w:rsid w:val="00752D3B"/>
    <w:rsid w:val="00755267"/>
    <w:rsid w:val="00755274"/>
    <w:rsid w:val="00755639"/>
    <w:rsid w:val="00755F15"/>
    <w:rsid w:val="00756033"/>
    <w:rsid w:val="00756402"/>
    <w:rsid w:val="00757512"/>
    <w:rsid w:val="007606CF"/>
    <w:rsid w:val="00760B70"/>
    <w:rsid w:val="007637B8"/>
    <w:rsid w:val="00763E84"/>
    <w:rsid w:val="00764210"/>
    <w:rsid w:val="00764780"/>
    <w:rsid w:val="00764D30"/>
    <w:rsid w:val="00764E8F"/>
    <w:rsid w:val="007651FD"/>
    <w:rsid w:val="007673D3"/>
    <w:rsid w:val="00767733"/>
    <w:rsid w:val="00767EA9"/>
    <w:rsid w:val="00770858"/>
    <w:rsid w:val="00770D2D"/>
    <w:rsid w:val="00771F60"/>
    <w:rsid w:val="0077228E"/>
    <w:rsid w:val="00772331"/>
    <w:rsid w:val="007732AA"/>
    <w:rsid w:val="007740C4"/>
    <w:rsid w:val="0077424D"/>
    <w:rsid w:val="007742C1"/>
    <w:rsid w:val="00774B4C"/>
    <w:rsid w:val="00774D7A"/>
    <w:rsid w:val="007758E0"/>
    <w:rsid w:val="00776947"/>
    <w:rsid w:val="00776B21"/>
    <w:rsid w:val="00777136"/>
    <w:rsid w:val="0078026F"/>
    <w:rsid w:val="00780330"/>
    <w:rsid w:val="00781122"/>
    <w:rsid w:val="007819DD"/>
    <w:rsid w:val="007819F6"/>
    <w:rsid w:val="00781D1C"/>
    <w:rsid w:val="00782AFF"/>
    <w:rsid w:val="00782C65"/>
    <w:rsid w:val="007831F0"/>
    <w:rsid w:val="00783733"/>
    <w:rsid w:val="00783883"/>
    <w:rsid w:val="00786289"/>
    <w:rsid w:val="007865E6"/>
    <w:rsid w:val="00787BEA"/>
    <w:rsid w:val="007916B4"/>
    <w:rsid w:val="007920C7"/>
    <w:rsid w:val="00792322"/>
    <w:rsid w:val="0079234F"/>
    <w:rsid w:val="00793198"/>
    <w:rsid w:val="0079371F"/>
    <w:rsid w:val="00793CB5"/>
    <w:rsid w:val="00793EF6"/>
    <w:rsid w:val="00795EC4"/>
    <w:rsid w:val="007970C1"/>
    <w:rsid w:val="007970C8"/>
    <w:rsid w:val="007976AE"/>
    <w:rsid w:val="00797730"/>
    <w:rsid w:val="00797850"/>
    <w:rsid w:val="007A04B8"/>
    <w:rsid w:val="007A0774"/>
    <w:rsid w:val="007A099D"/>
    <w:rsid w:val="007A1189"/>
    <w:rsid w:val="007A1268"/>
    <w:rsid w:val="007A1B25"/>
    <w:rsid w:val="007A213F"/>
    <w:rsid w:val="007A2F9E"/>
    <w:rsid w:val="007A3AA4"/>
    <w:rsid w:val="007A41CA"/>
    <w:rsid w:val="007A47F2"/>
    <w:rsid w:val="007A51E6"/>
    <w:rsid w:val="007A5AE2"/>
    <w:rsid w:val="007A61EA"/>
    <w:rsid w:val="007A7075"/>
    <w:rsid w:val="007B1B8D"/>
    <w:rsid w:val="007B2F7B"/>
    <w:rsid w:val="007B36E7"/>
    <w:rsid w:val="007B42F0"/>
    <w:rsid w:val="007B4D27"/>
    <w:rsid w:val="007B4D4D"/>
    <w:rsid w:val="007B4FB0"/>
    <w:rsid w:val="007B7553"/>
    <w:rsid w:val="007B7D07"/>
    <w:rsid w:val="007B7E77"/>
    <w:rsid w:val="007B7F57"/>
    <w:rsid w:val="007C048E"/>
    <w:rsid w:val="007C128A"/>
    <w:rsid w:val="007C18AD"/>
    <w:rsid w:val="007C2725"/>
    <w:rsid w:val="007C29BD"/>
    <w:rsid w:val="007C2B31"/>
    <w:rsid w:val="007C340F"/>
    <w:rsid w:val="007C4013"/>
    <w:rsid w:val="007C47AB"/>
    <w:rsid w:val="007C52F4"/>
    <w:rsid w:val="007C5D17"/>
    <w:rsid w:val="007C7B12"/>
    <w:rsid w:val="007D1315"/>
    <w:rsid w:val="007D2306"/>
    <w:rsid w:val="007D3137"/>
    <w:rsid w:val="007D45C5"/>
    <w:rsid w:val="007D536C"/>
    <w:rsid w:val="007D5398"/>
    <w:rsid w:val="007D5861"/>
    <w:rsid w:val="007D60C3"/>
    <w:rsid w:val="007D635A"/>
    <w:rsid w:val="007D6797"/>
    <w:rsid w:val="007D6E4F"/>
    <w:rsid w:val="007D6F9A"/>
    <w:rsid w:val="007D7F56"/>
    <w:rsid w:val="007E0551"/>
    <w:rsid w:val="007E10F3"/>
    <w:rsid w:val="007E1636"/>
    <w:rsid w:val="007E3426"/>
    <w:rsid w:val="007E35B5"/>
    <w:rsid w:val="007E36AE"/>
    <w:rsid w:val="007E423C"/>
    <w:rsid w:val="007E42AE"/>
    <w:rsid w:val="007E46CF"/>
    <w:rsid w:val="007E4D47"/>
    <w:rsid w:val="007E6F9E"/>
    <w:rsid w:val="007E7BD3"/>
    <w:rsid w:val="007F1259"/>
    <w:rsid w:val="007F22E3"/>
    <w:rsid w:val="007F3BA2"/>
    <w:rsid w:val="007F3F6E"/>
    <w:rsid w:val="007F43E3"/>
    <w:rsid w:val="007F4E30"/>
    <w:rsid w:val="007F518A"/>
    <w:rsid w:val="007F5778"/>
    <w:rsid w:val="007F5787"/>
    <w:rsid w:val="007F5B20"/>
    <w:rsid w:val="007F5B7B"/>
    <w:rsid w:val="007F5EA1"/>
    <w:rsid w:val="008004F2"/>
    <w:rsid w:val="00801582"/>
    <w:rsid w:val="0080158B"/>
    <w:rsid w:val="008015E6"/>
    <w:rsid w:val="00802351"/>
    <w:rsid w:val="0080350A"/>
    <w:rsid w:val="00803D91"/>
    <w:rsid w:val="008046A4"/>
    <w:rsid w:val="008047DB"/>
    <w:rsid w:val="00805050"/>
    <w:rsid w:val="00805758"/>
    <w:rsid w:val="008063EB"/>
    <w:rsid w:val="00806DAF"/>
    <w:rsid w:val="00807D3D"/>
    <w:rsid w:val="0081149C"/>
    <w:rsid w:val="0081182E"/>
    <w:rsid w:val="008124A0"/>
    <w:rsid w:val="008128FE"/>
    <w:rsid w:val="00812D95"/>
    <w:rsid w:val="00813487"/>
    <w:rsid w:val="00813EA9"/>
    <w:rsid w:val="00813EB2"/>
    <w:rsid w:val="008145CB"/>
    <w:rsid w:val="00814922"/>
    <w:rsid w:val="00815CA2"/>
    <w:rsid w:val="00816B96"/>
    <w:rsid w:val="00820751"/>
    <w:rsid w:val="008211DE"/>
    <w:rsid w:val="00821D5D"/>
    <w:rsid w:val="008223D2"/>
    <w:rsid w:val="00822AAA"/>
    <w:rsid w:val="00823848"/>
    <w:rsid w:val="00823A6A"/>
    <w:rsid w:val="008243E2"/>
    <w:rsid w:val="00824601"/>
    <w:rsid w:val="008247A4"/>
    <w:rsid w:val="00825EE7"/>
    <w:rsid w:val="0082665A"/>
    <w:rsid w:val="00826695"/>
    <w:rsid w:val="008305CD"/>
    <w:rsid w:val="0083106D"/>
    <w:rsid w:val="00831916"/>
    <w:rsid w:val="00831951"/>
    <w:rsid w:val="008328DA"/>
    <w:rsid w:val="00832B12"/>
    <w:rsid w:val="00834310"/>
    <w:rsid w:val="00835EA6"/>
    <w:rsid w:val="008360B0"/>
    <w:rsid w:val="00836516"/>
    <w:rsid w:val="00836A17"/>
    <w:rsid w:val="00840511"/>
    <w:rsid w:val="008408BB"/>
    <w:rsid w:val="00842686"/>
    <w:rsid w:val="008435BC"/>
    <w:rsid w:val="00843F1B"/>
    <w:rsid w:val="0084426B"/>
    <w:rsid w:val="00845222"/>
    <w:rsid w:val="0084557D"/>
    <w:rsid w:val="008456D1"/>
    <w:rsid w:val="0085060E"/>
    <w:rsid w:val="008507EA"/>
    <w:rsid w:val="00850940"/>
    <w:rsid w:val="00850B8F"/>
    <w:rsid w:val="00850E32"/>
    <w:rsid w:val="008510D7"/>
    <w:rsid w:val="008510FC"/>
    <w:rsid w:val="008513C5"/>
    <w:rsid w:val="00851CC4"/>
    <w:rsid w:val="00852657"/>
    <w:rsid w:val="00852F57"/>
    <w:rsid w:val="00853463"/>
    <w:rsid w:val="00853AD5"/>
    <w:rsid w:val="0085401D"/>
    <w:rsid w:val="00855547"/>
    <w:rsid w:val="00855D65"/>
    <w:rsid w:val="00860244"/>
    <w:rsid w:val="00860359"/>
    <w:rsid w:val="00860630"/>
    <w:rsid w:val="008609E6"/>
    <w:rsid w:val="00860F57"/>
    <w:rsid w:val="00860F5A"/>
    <w:rsid w:val="0086280C"/>
    <w:rsid w:val="00864356"/>
    <w:rsid w:val="0086461E"/>
    <w:rsid w:val="00865369"/>
    <w:rsid w:val="0086539F"/>
    <w:rsid w:val="0086566F"/>
    <w:rsid w:val="00865EAC"/>
    <w:rsid w:val="008661F3"/>
    <w:rsid w:val="00867032"/>
    <w:rsid w:val="00867EFB"/>
    <w:rsid w:val="00870E7F"/>
    <w:rsid w:val="00872779"/>
    <w:rsid w:val="00872F59"/>
    <w:rsid w:val="008735D7"/>
    <w:rsid w:val="00874101"/>
    <w:rsid w:val="0087470D"/>
    <w:rsid w:val="00874776"/>
    <w:rsid w:val="0087490B"/>
    <w:rsid w:val="00874C5E"/>
    <w:rsid w:val="0087562A"/>
    <w:rsid w:val="00877008"/>
    <w:rsid w:val="00877491"/>
    <w:rsid w:val="00877990"/>
    <w:rsid w:val="00880FEC"/>
    <w:rsid w:val="0088110E"/>
    <w:rsid w:val="00881586"/>
    <w:rsid w:val="0088167A"/>
    <w:rsid w:val="00881871"/>
    <w:rsid w:val="008837F1"/>
    <w:rsid w:val="00883F0D"/>
    <w:rsid w:val="00884505"/>
    <w:rsid w:val="00885675"/>
    <w:rsid w:val="008871AE"/>
    <w:rsid w:val="008878D8"/>
    <w:rsid w:val="00887AAE"/>
    <w:rsid w:val="008904DA"/>
    <w:rsid w:val="00890B65"/>
    <w:rsid w:val="008910FA"/>
    <w:rsid w:val="00891CB4"/>
    <w:rsid w:val="008927E8"/>
    <w:rsid w:val="00893F4C"/>
    <w:rsid w:val="00895991"/>
    <w:rsid w:val="00896E5D"/>
    <w:rsid w:val="00896F29"/>
    <w:rsid w:val="00896F7D"/>
    <w:rsid w:val="008A0783"/>
    <w:rsid w:val="008A1A93"/>
    <w:rsid w:val="008A3136"/>
    <w:rsid w:val="008A3240"/>
    <w:rsid w:val="008A3D64"/>
    <w:rsid w:val="008A4E12"/>
    <w:rsid w:val="008A5600"/>
    <w:rsid w:val="008A5C46"/>
    <w:rsid w:val="008A66EB"/>
    <w:rsid w:val="008A6C7E"/>
    <w:rsid w:val="008A749C"/>
    <w:rsid w:val="008A7777"/>
    <w:rsid w:val="008B1043"/>
    <w:rsid w:val="008B1742"/>
    <w:rsid w:val="008B38D8"/>
    <w:rsid w:val="008B4632"/>
    <w:rsid w:val="008B5444"/>
    <w:rsid w:val="008B5584"/>
    <w:rsid w:val="008B74CE"/>
    <w:rsid w:val="008B7BF4"/>
    <w:rsid w:val="008C0AC5"/>
    <w:rsid w:val="008C2F69"/>
    <w:rsid w:val="008C3164"/>
    <w:rsid w:val="008C3711"/>
    <w:rsid w:val="008C3F79"/>
    <w:rsid w:val="008C4981"/>
    <w:rsid w:val="008C4BB3"/>
    <w:rsid w:val="008C50DF"/>
    <w:rsid w:val="008C5C05"/>
    <w:rsid w:val="008C60E6"/>
    <w:rsid w:val="008C64BD"/>
    <w:rsid w:val="008C6681"/>
    <w:rsid w:val="008C77F5"/>
    <w:rsid w:val="008C7B12"/>
    <w:rsid w:val="008C7E98"/>
    <w:rsid w:val="008D04F4"/>
    <w:rsid w:val="008D155C"/>
    <w:rsid w:val="008D1A48"/>
    <w:rsid w:val="008D2175"/>
    <w:rsid w:val="008D2756"/>
    <w:rsid w:val="008D2AA3"/>
    <w:rsid w:val="008D35EB"/>
    <w:rsid w:val="008D3955"/>
    <w:rsid w:val="008D3B53"/>
    <w:rsid w:val="008D4AB2"/>
    <w:rsid w:val="008D4BF1"/>
    <w:rsid w:val="008D54D2"/>
    <w:rsid w:val="008D622C"/>
    <w:rsid w:val="008D6ED6"/>
    <w:rsid w:val="008E07B3"/>
    <w:rsid w:val="008E09DD"/>
    <w:rsid w:val="008E20F7"/>
    <w:rsid w:val="008E2F98"/>
    <w:rsid w:val="008E33FF"/>
    <w:rsid w:val="008E38D1"/>
    <w:rsid w:val="008E4626"/>
    <w:rsid w:val="008E4838"/>
    <w:rsid w:val="008E49ED"/>
    <w:rsid w:val="008E4ED3"/>
    <w:rsid w:val="008E5338"/>
    <w:rsid w:val="008E5C28"/>
    <w:rsid w:val="008E5D9D"/>
    <w:rsid w:val="008E6034"/>
    <w:rsid w:val="008E62D3"/>
    <w:rsid w:val="008E6863"/>
    <w:rsid w:val="008E732F"/>
    <w:rsid w:val="008F03CF"/>
    <w:rsid w:val="008F1066"/>
    <w:rsid w:val="008F10A8"/>
    <w:rsid w:val="008F2336"/>
    <w:rsid w:val="008F2E3D"/>
    <w:rsid w:val="008F3A3F"/>
    <w:rsid w:val="008F3FDB"/>
    <w:rsid w:val="008F4FD5"/>
    <w:rsid w:val="008F501B"/>
    <w:rsid w:val="008F6421"/>
    <w:rsid w:val="008F70BD"/>
    <w:rsid w:val="008F77A9"/>
    <w:rsid w:val="008F783E"/>
    <w:rsid w:val="0090085D"/>
    <w:rsid w:val="00905B99"/>
    <w:rsid w:val="00905C73"/>
    <w:rsid w:val="0090712E"/>
    <w:rsid w:val="00907209"/>
    <w:rsid w:val="00907AE7"/>
    <w:rsid w:val="009102E3"/>
    <w:rsid w:val="00910647"/>
    <w:rsid w:val="009119CF"/>
    <w:rsid w:val="0091201E"/>
    <w:rsid w:val="009133BF"/>
    <w:rsid w:val="00913CA1"/>
    <w:rsid w:val="00914B71"/>
    <w:rsid w:val="009151B2"/>
    <w:rsid w:val="00915236"/>
    <w:rsid w:val="00916541"/>
    <w:rsid w:val="00916A91"/>
    <w:rsid w:val="00917E4B"/>
    <w:rsid w:val="00917F5C"/>
    <w:rsid w:val="009215DE"/>
    <w:rsid w:val="00921A60"/>
    <w:rsid w:val="009222A6"/>
    <w:rsid w:val="00922D73"/>
    <w:rsid w:val="00925122"/>
    <w:rsid w:val="00925488"/>
    <w:rsid w:val="009255A6"/>
    <w:rsid w:val="009263E4"/>
    <w:rsid w:val="00927D0D"/>
    <w:rsid w:val="00927F76"/>
    <w:rsid w:val="0093090B"/>
    <w:rsid w:val="0093153B"/>
    <w:rsid w:val="00932ECA"/>
    <w:rsid w:val="00933828"/>
    <w:rsid w:val="00933BB8"/>
    <w:rsid w:val="009340D5"/>
    <w:rsid w:val="009346DF"/>
    <w:rsid w:val="00935035"/>
    <w:rsid w:val="00935660"/>
    <w:rsid w:val="009358A7"/>
    <w:rsid w:val="00935984"/>
    <w:rsid w:val="0094057E"/>
    <w:rsid w:val="00942D86"/>
    <w:rsid w:val="00943845"/>
    <w:rsid w:val="00943987"/>
    <w:rsid w:val="00945A86"/>
    <w:rsid w:val="00947078"/>
    <w:rsid w:val="00947662"/>
    <w:rsid w:val="00947896"/>
    <w:rsid w:val="00950415"/>
    <w:rsid w:val="00950A1B"/>
    <w:rsid w:val="009515CB"/>
    <w:rsid w:val="00951E9A"/>
    <w:rsid w:val="00952488"/>
    <w:rsid w:val="00953786"/>
    <w:rsid w:val="00955A62"/>
    <w:rsid w:val="00955C2B"/>
    <w:rsid w:val="009579C3"/>
    <w:rsid w:val="00960111"/>
    <w:rsid w:val="0096057E"/>
    <w:rsid w:val="009607D6"/>
    <w:rsid w:val="00960845"/>
    <w:rsid w:val="00960F47"/>
    <w:rsid w:val="00962941"/>
    <w:rsid w:val="009630B6"/>
    <w:rsid w:val="009633F5"/>
    <w:rsid w:val="009634D1"/>
    <w:rsid w:val="009640F9"/>
    <w:rsid w:val="00964777"/>
    <w:rsid w:val="00964A6B"/>
    <w:rsid w:val="00965F9C"/>
    <w:rsid w:val="00966B46"/>
    <w:rsid w:val="0096789F"/>
    <w:rsid w:val="00967C73"/>
    <w:rsid w:val="009700AE"/>
    <w:rsid w:val="00970ADC"/>
    <w:rsid w:val="00972856"/>
    <w:rsid w:val="00974277"/>
    <w:rsid w:val="00974A21"/>
    <w:rsid w:val="00975659"/>
    <w:rsid w:val="00975D60"/>
    <w:rsid w:val="0097604D"/>
    <w:rsid w:val="00977146"/>
    <w:rsid w:val="009772C0"/>
    <w:rsid w:val="00977391"/>
    <w:rsid w:val="00980A41"/>
    <w:rsid w:val="009818FA"/>
    <w:rsid w:val="009818FE"/>
    <w:rsid w:val="00982C39"/>
    <w:rsid w:val="00982EE6"/>
    <w:rsid w:val="009830FA"/>
    <w:rsid w:val="0098315A"/>
    <w:rsid w:val="00983223"/>
    <w:rsid w:val="00983B70"/>
    <w:rsid w:val="00984352"/>
    <w:rsid w:val="00984EA9"/>
    <w:rsid w:val="00987B99"/>
    <w:rsid w:val="00987BA0"/>
    <w:rsid w:val="0099138D"/>
    <w:rsid w:val="00992D76"/>
    <w:rsid w:val="0099395E"/>
    <w:rsid w:val="00993BC8"/>
    <w:rsid w:val="0099409B"/>
    <w:rsid w:val="00995BD2"/>
    <w:rsid w:val="009967AC"/>
    <w:rsid w:val="00996A27"/>
    <w:rsid w:val="00996BCB"/>
    <w:rsid w:val="00996E60"/>
    <w:rsid w:val="00996F4B"/>
    <w:rsid w:val="009970E9"/>
    <w:rsid w:val="00997B8A"/>
    <w:rsid w:val="00997EE1"/>
    <w:rsid w:val="009A05E9"/>
    <w:rsid w:val="009A1F0F"/>
    <w:rsid w:val="009A3341"/>
    <w:rsid w:val="009A52E3"/>
    <w:rsid w:val="009A5820"/>
    <w:rsid w:val="009A6045"/>
    <w:rsid w:val="009A6622"/>
    <w:rsid w:val="009A6CE8"/>
    <w:rsid w:val="009A7F12"/>
    <w:rsid w:val="009B1A43"/>
    <w:rsid w:val="009B2940"/>
    <w:rsid w:val="009B29D5"/>
    <w:rsid w:val="009B2DCD"/>
    <w:rsid w:val="009B3155"/>
    <w:rsid w:val="009B3767"/>
    <w:rsid w:val="009B50CD"/>
    <w:rsid w:val="009B5C6E"/>
    <w:rsid w:val="009B613D"/>
    <w:rsid w:val="009B6182"/>
    <w:rsid w:val="009B6DF4"/>
    <w:rsid w:val="009B6EFF"/>
    <w:rsid w:val="009B70E6"/>
    <w:rsid w:val="009C0701"/>
    <w:rsid w:val="009C0BE7"/>
    <w:rsid w:val="009C1E37"/>
    <w:rsid w:val="009C37AB"/>
    <w:rsid w:val="009C47C4"/>
    <w:rsid w:val="009C6C7E"/>
    <w:rsid w:val="009C747E"/>
    <w:rsid w:val="009C7749"/>
    <w:rsid w:val="009D079B"/>
    <w:rsid w:val="009D0B28"/>
    <w:rsid w:val="009D0B61"/>
    <w:rsid w:val="009D16CA"/>
    <w:rsid w:val="009D17AF"/>
    <w:rsid w:val="009D1841"/>
    <w:rsid w:val="009D1C0E"/>
    <w:rsid w:val="009D2A31"/>
    <w:rsid w:val="009D2D45"/>
    <w:rsid w:val="009D37BA"/>
    <w:rsid w:val="009D3AC9"/>
    <w:rsid w:val="009D3C07"/>
    <w:rsid w:val="009D41A4"/>
    <w:rsid w:val="009D4477"/>
    <w:rsid w:val="009D4FF1"/>
    <w:rsid w:val="009D6245"/>
    <w:rsid w:val="009D6553"/>
    <w:rsid w:val="009D66C2"/>
    <w:rsid w:val="009D6CFD"/>
    <w:rsid w:val="009D7B6F"/>
    <w:rsid w:val="009D7DDA"/>
    <w:rsid w:val="009E0170"/>
    <w:rsid w:val="009E0EC0"/>
    <w:rsid w:val="009E2269"/>
    <w:rsid w:val="009E25B8"/>
    <w:rsid w:val="009E2EC1"/>
    <w:rsid w:val="009E376B"/>
    <w:rsid w:val="009E3FC9"/>
    <w:rsid w:val="009E412C"/>
    <w:rsid w:val="009E50C0"/>
    <w:rsid w:val="009E5B98"/>
    <w:rsid w:val="009E6C73"/>
    <w:rsid w:val="009F051C"/>
    <w:rsid w:val="009F0653"/>
    <w:rsid w:val="009F096B"/>
    <w:rsid w:val="009F24C7"/>
    <w:rsid w:val="009F33B3"/>
    <w:rsid w:val="009F421E"/>
    <w:rsid w:val="009F4456"/>
    <w:rsid w:val="009F66D1"/>
    <w:rsid w:val="009F75B8"/>
    <w:rsid w:val="00A00044"/>
    <w:rsid w:val="00A00622"/>
    <w:rsid w:val="00A00894"/>
    <w:rsid w:val="00A01D1A"/>
    <w:rsid w:val="00A03661"/>
    <w:rsid w:val="00A03F0A"/>
    <w:rsid w:val="00A03F5F"/>
    <w:rsid w:val="00A03FBB"/>
    <w:rsid w:val="00A04079"/>
    <w:rsid w:val="00A0442E"/>
    <w:rsid w:val="00A04CA1"/>
    <w:rsid w:val="00A05273"/>
    <w:rsid w:val="00A05998"/>
    <w:rsid w:val="00A07A14"/>
    <w:rsid w:val="00A07CDC"/>
    <w:rsid w:val="00A10882"/>
    <w:rsid w:val="00A1241F"/>
    <w:rsid w:val="00A126FB"/>
    <w:rsid w:val="00A12C5D"/>
    <w:rsid w:val="00A148CD"/>
    <w:rsid w:val="00A14A02"/>
    <w:rsid w:val="00A14A8C"/>
    <w:rsid w:val="00A156EC"/>
    <w:rsid w:val="00A15857"/>
    <w:rsid w:val="00A1587D"/>
    <w:rsid w:val="00A163BA"/>
    <w:rsid w:val="00A1682C"/>
    <w:rsid w:val="00A169DC"/>
    <w:rsid w:val="00A17F24"/>
    <w:rsid w:val="00A202FE"/>
    <w:rsid w:val="00A20770"/>
    <w:rsid w:val="00A210AD"/>
    <w:rsid w:val="00A2198D"/>
    <w:rsid w:val="00A223B1"/>
    <w:rsid w:val="00A22727"/>
    <w:rsid w:val="00A236DD"/>
    <w:rsid w:val="00A2447D"/>
    <w:rsid w:val="00A247D8"/>
    <w:rsid w:val="00A25786"/>
    <w:rsid w:val="00A2659C"/>
    <w:rsid w:val="00A26BF2"/>
    <w:rsid w:val="00A270B3"/>
    <w:rsid w:val="00A27AA2"/>
    <w:rsid w:val="00A27B4E"/>
    <w:rsid w:val="00A31988"/>
    <w:rsid w:val="00A32303"/>
    <w:rsid w:val="00A33244"/>
    <w:rsid w:val="00A33B27"/>
    <w:rsid w:val="00A33E4C"/>
    <w:rsid w:val="00A342C5"/>
    <w:rsid w:val="00A349B0"/>
    <w:rsid w:val="00A358C0"/>
    <w:rsid w:val="00A35CFB"/>
    <w:rsid w:val="00A3657A"/>
    <w:rsid w:val="00A37064"/>
    <w:rsid w:val="00A400E3"/>
    <w:rsid w:val="00A40758"/>
    <w:rsid w:val="00A40C3A"/>
    <w:rsid w:val="00A40DC8"/>
    <w:rsid w:val="00A41444"/>
    <w:rsid w:val="00A422A5"/>
    <w:rsid w:val="00A432B7"/>
    <w:rsid w:val="00A432F1"/>
    <w:rsid w:val="00A43A1F"/>
    <w:rsid w:val="00A450FB"/>
    <w:rsid w:val="00A45D90"/>
    <w:rsid w:val="00A461B2"/>
    <w:rsid w:val="00A50296"/>
    <w:rsid w:val="00A512C6"/>
    <w:rsid w:val="00A51515"/>
    <w:rsid w:val="00A515A1"/>
    <w:rsid w:val="00A51FBA"/>
    <w:rsid w:val="00A53A66"/>
    <w:rsid w:val="00A5407A"/>
    <w:rsid w:val="00A545FB"/>
    <w:rsid w:val="00A5512A"/>
    <w:rsid w:val="00A577D0"/>
    <w:rsid w:val="00A57A08"/>
    <w:rsid w:val="00A57CCE"/>
    <w:rsid w:val="00A60B2E"/>
    <w:rsid w:val="00A60BFC"/>
    <w:rsid w:val="00A612A1"/>
    <w:rsid w:val="00A61500"/>
    <w:rsid w:val="00A62561"/>
    <w:rsid w:val="00A6327E"/>
    <w:rsid w:val="00A63C39"/>
    <w:rsid w:val="00A64051"/>
    <w:rsid w:val="00A64142"/>
    <w:rsid w:val="00A641D1"/>
    <w:rsid w:val="00A65502"/>
    <w:rsid w:val="00A65D7B"/>
    <w:rsid w:val="00A66795"/>
    <w:rsid w:val="00A66924"/>
    <w:rsid w:val="00A6713A"/>
    <w:rsid w:val="00A708D2"/>
    <w:rsid w:val="00A71026"/>
    <w:rsid w:val="00A71B8C"/>
    <w:rsid w:val="00A71D14"/>
    <w:rsid w:val="00A71FC3"/>
    <w:rsid w:val="00A71FE3"/>
    <w:rsid w:val="00A734E9"/>
    <w:rsid w:val="00A75937"/>
    <w:rsid w:val="00A76285"/>
    <w:rsid w:val="00A769CD"/>
    <w:rsid w:val="00A76A46"/>
    <w:rsid w:val="00A77495"/>
    <w:rsid w:val="00A80F82"/>
    <w:rsid w:val="00A815C9"/>
    <w:rsid w:val="00A81BC2"/>
    <w:rsid w:val="00A81E2D"/>
    <w:rsid w:val="00A828E6"/>
    <w:rsid w:val="00A83EC3"/>
    <w:rsid w:val="00A83FA7"/>
    <w:rsid w:val="00A85377"/>
    <w:rsid w:val="00A85C76"/>
    <w:rsid w:val="00A85C81"/>
    <w:rsid w:val="00A86208"/>
    <w:rsid w:val="00A86259"/>
    <w:rsid w:val="00A86C9A"/>
    <w:rsid w:val="00A8784A"/>
    <w:rsid w:val="00A87DA4"/>
    <w:rsid w:val="00A905E3"/>
    <w:rsid w:val="00A924BA"/>
    <w:rsid w:val="00A92E0E"/>
    <w:rsid w:val="00A958A2"/>
    <w:rsid w:val="00A95A60"/>
    <w:rsid w:val="00AA01AF"/>
    <w:rsid w:val="00AA07E3"/>
    <w:rsid w:val="00AA0836"/>
    <w:rsid w:val="00AA17AB"/>
    <w:rsid w:val="00AA18AB"/>
    <w:rsid w:val="00AA2339"/>
    <w:rsid w:val="00AA28F5"/>
    <w:rsid w:val="00AA2A1B"/>
    <w:rsid w:val="00AA35F8"/>
    <w:rsid w:val="00AA38A9"/>
    <w:rsid w:val="00AA3F72"/>
    <w:rsid w:val="00AA40BB"/>
    <w:rsid w:val="00AA4F77"/>
    <w:rsid w:val="00AA5311"/>
    <w:rsid w:val="00AA721A"/>
    <w:rsid w:val="00AB04B7"/>
    <w:rsid w:val="00AB215D"/>
    <w:rsid w:val="00AB260D"/>
    <w:rsid w:val="00AB27D3"/>
    <w:rsid w:val="00AB3194"/>
    <w:rsid w:val="00AB3298"/>
    <w:rsid w:val="00AB34AE"/>
    <w:rsid w:val="00AB3BE6"/>
    <w:rsid w:val="00AB3C61"/>
    <w:rsid w:val="00AB5103"/>
    <w:rsid w:val="00AB5609"/>
    <w:rsid w:val="00AB6396"/>
    <w:rsid w:val="00AB676C"/>
    <w:rsid w:val="00AB6EC1"/>
    <w:rsid w:val="00AB735B"/>
    <w:rsid w:val="00AB7F38"/>
    <w:rsid w:val="00AC0306"/>
    <w:rsid w:val="00AC078F"/>
    <w:rsid w:val="00AC087A"/>
    <w:rsid w:val="00AC0DC6"/>
    <w:rsid w:val="00AC0E97"/>
    <w:rsid w:val="00AC176A"/>
    <w:rsid w:val="00AC1A02"/>
    <w:rsid w:val="00AC2517"/>
    <w:rsid w:val="00AC3986"/>
    <w:rsid w:val="00AC6124"/>
    <w:rsid w:val="00AC636E"/>
    <w:rsid w:val="00AC65AE"/>
    <w:rsid w:val="00AD0931"/>
    <w:rsid w:val="00AD0CD2"/>
    <w:rsid w:val="00AD128C"/>
    <w:rsid w:val="00AD1935"/>
    <w:rsid w:val="00AD1D2E"/>
    <w:rsid w:val="00AD2B80"/>
    <w:rsid w:val="00AD4406"/>
    <w:rsid w:val="00AD4D43"/>
    <w:rsid w:val="00AD4D52"/>
    <w:rsid w:val="00AD5DE8"/>
    <w:rsid w:val="00AD6973"/>
    <w:rsid w:val="00AD79BF"/>
    <w:rsid w:val="00AD7DFA"/>
    <w:rsid w:val="00AE004D"/>
    <w:rsid w:val="00AE00C5"/>
    <w:rsid w:val="00AE0D7E"/>
    <w:rsid w:val="00AE0DFE"/>
    <w:rsid w:val="00AE3B16"/>
    <w:rsid w:val="00AE51C3"/>
    <w:rsid w:val="00AE6065"/>
    <w:rsid w:val="00AE66AE"/>
    <w:rsid w:val="00AF078B"/>
    <w:rsid w:val="00AF0842"/>
    <w:rsid w:val="00AF11CB"/>
    <w:rsid w:val="00AF1BA1"/>
    <w:rsid w:val="00AF1D15"/>
    <w:rsid w:val="00AF1EA0"/>
    <w:rsid w:val="00AF2EE0"/>
    <w:rsid w:val="00AF3527"/>
    <w:rsid w:val="00AF4210"/>
    <w:rsid w:val="00AF52FB"/>
    <w:rsid w:val="00AF5314"/>
    <w:rsid w:val="00AF64D9"/>
    <w:rsid w:val="00AF67F1"/>
    <w:rsid w:val="00AF7217"/>
    <w:rsid w:val="00B014CE"/>
    <w:rsid w:val="00B01F20"/>
    <w:rsid w:val="00B02E78"/>
    <w:rsid w:val="00B031F9"/>
    <w:rsid w:val="00B03369"/>
    <w:rsid w:val="00B035C4"/>
    <w:rsid w:val="00B03910"/>
    <w:rsid w:val="00B03BF2"/>
    <w:rsid w:val="00B041EB"/>
    <w:rsid w:val="00B045DB"/>
    <w:rsid w:val="00B0568A"/>
    <w:rsid w:val="00B05712"/>
    <w:rsid w:val="00B058DA"/>
    <w:rsid w:val="00B05D1A"/>
    <w:rsid w:val="00B064C9"/>
    <w:rsid w:val="00B06D59"/>
    <w:rsid w:val="00B07520"/>
    <w:rsid w:val="00B07C09"/>
    <w:rsid w:val="00B100A6"/>
    <w:rsid w:val="00B1113E"/>
    <w:rsid w:val="00B1483C"/>
    <w:rsid w:val="00B14ED9"/>
    <w:rsid w:val="00B1532B"/>
    <w:rsid w:val="00B160D1"/>
    <w:rsid w:val="00B1677E"/>
    <w:rsid w:val="00B16793"/>
    <w:rsid w:val="00B169C9"/>
    <w:rsid w:val="00B1754D"/>
    <w:rsid w:val="00B20D1E"/>
    <w:rsid w:val="00B21865"/>
    <w:rsid w:val="00B21B66"/>
    <w:rsid w:val="00B21D0E"/>
    <w:rsid w:val="00B22409"/>
    <w:rsid w:val="00B22986"/>
    <w:rsid w:val="00B2432A"/>
    <w:rsid w:val="00B24E65"/>
    <w:rsid w:val="00B2539B"/>
    <w:rsid w:val="00B26A6F"/>
    <w:rsid w:val="00B26AB0"/>
    <w:rsid w:val="00B274E1"/>
    <w:rsid w:val="00B303AE"/>
    <w:rsid w:val="00B30BC3"/>
    <w:rsid w:val="00B312AF"/>
    <w:rsid w:val="00B31866"/>
    <w:rsid w:val="00B3269E"/>
    <w:rsid w:val="00B329C1"/>
    <w:rsid w:val="00B32CC7"/>
    <w:rsid w:val="00B33968"/>
    <w:rsid w:val="00B351F7"/>
    <w:rsid w:val="00B35B51"/>
    <w:rsid w:val="00B36BA5"/>
    <w:rsid w:val="00B37205"/>
    <w:rsid w:val="00B377D3"/>
    <w:rsid w:val="00B37A3F"/>
    <w:rsid w:val="00B40600"/>
    <w:rsid w:val="00B40E34"/>
    <w:rsid w:val="00B4140A"/>
    <w:rsid w:val="00B4180F"/>
    <w:rsid w:val="00B42F88"/>
    <w:rsid w:val="00B42FA9"/>
    <w:rsid w:val="00B43A45"/>
    <w:rsid w:val="00B43A4E"/>
    <w:rsid w:val="00B4469C"/>
    <w:rsid w:val="00B44C1B"/>
    <w:rsid w:val="00B44C56"/>
    <w:rsid w:val="00B45314"/>
    <w:rsid w:val="00B50628"/>
    <w:rsid w:val="00B5066E"/>
    <w:rsid w:val="00B51704"/>
    <w:rsid w:val="00B51777"/>
    <w:rsid w:val="00B51CF0"/>
    <w:rsid w:val="00B52368"/>
    <w:rsid w:val="00B52691"/>
    <w:rsid w:val="00B53223"/>
    <w:rsid w:val="00B53B41"/>
    <w:rsid w:val="00B5448C"/>
    <w:rsid w:val="00B5613A"/>
    <w:rsid w:val="00B56DAA"/>
    <w:rsid w:val="00B57CEF"/>
    <w:rsid w:val="00B61067"/>
    <w:rsid w:val="00B61252"/>
    <w:rsid w:val="00B62052"/>
    <w:rsid w:val="00B6358B"/>
    <w:rsid w:val="00B6359C"/>
    <w:rsid w:val="00B64020"/>
    <w:rsid w:val="00B651FA"/>
    <w:rsid w:val="00B653DE"/>
    <w:rsid w:val="00B67FAA"/>
    <w:rsid w:val="00B70100"/>
    <w:rsid w:val="00B7031B"/>
    <w:rsid w:val="00B70493"/>
    <w:rsid w:val="00B71405"/>
    <w:rsid w:val="00B7141C"/>
    <w:rsid w:val="00B74072"/>
    <w:rsid w:val="00B74E67"/>
    <w:rsid w:val="00B7544F"/>
    <w:rsid w:val="00B757DD"/>
    <w:rsid w:val="00B7725E"/>
    <w:rsid w:val="00B772DF"/>
    <w:rsid w:val="00B77755"/>
    <w:rsid w:val="00B80D4B"/>
    <w:rsid w:val="00B81C00"/>
    <w:rsid w:val="00B84A07"/>
    <w:rsid w:val="00B856AC"/>
    <w:rsid w:val="00B85D3C"/>
    <w:rsid w:val="00B85F57"/>
    <w:rsid w:val="00B861FA"/>
    <w:rsid w:val="00B86841"/>
    <w:rsid w:val="00B90272"/>
    <w:rsid w:val="00B90704"/>
    <w:rsid w:val="00B91738"/>
    <w:rsid w:val="00B92097"/>
    <w:rsid w:val="00B94F10"/>
    <w:rsid w:val="00B94F47"/>
    <w:rsid w:val="00B955EF"/>
    <w:rsid w:val="00B95D2A"/>
    <w:rsid w:val="00B960CE"/>
    <w:rsid w:val="00B96D46"/>
    <w:rsid w:val="00B96D8E"/>
    <w:rsid w:val="00BA00AC"/>
    <w:rsid w:val="00BA0FC1"/>
    <w:rsid w:val="00BA1C80"/>
    <w:rsid w:val="00BA233C"/>
    <w:rsid w:val="00BA28F2"/>
    <w:rsid w:val="00BA559A"/>
    <w:rsid w:val="00BA56F9"/>
    <w:rsid w:val="00BA5827"/>
    <w:rsid w:val="00BA6C32"/>
    <w:rsid w:val="00BA6C37"/>
    <w:rsid w:val="00BA7A95"/>
    <w:rsid w:val="00BA7D92"/>
    <w:rsid w:val="00BA7E40"/>
    <w:rsid w:val="00BB0C37"/>
    <w:rsid w:val="00BB2A71"/>
    <w:rsid w:val="00BB2DE1"/>
    <w:rsid w:val="00BB3CB8"/>
    <w:rsid w:val="00BB3FAA"/>
    <w:rsid w:val="00BB40C5"/>
    <w:rsid w:val="00BB5C6E"/>
    <w:rsid w:val="00BB623D"/>
    <w:rsid w:val="00BB629E"/>
    <w:rsid w:val="00BC01E0"/>
    <w:rsid w:val="00BC0AEB"/>
    <w:rsid w:val="00BC1491"/>
    <w:rsid w:val="00BC1714"/>
    <w:rsid w:val="00BC3034"/>
    <w:rsid w:val="00BC374A"/>
    <w:rsid w:val="00BC3D5C"/>
    <w:rsid w:val="00BC4DBC"/>
    <w:rsid w:val="00BC5F1D"/>
    <w:rsid w:val="00BC6ACC"/>
    <w:rsid w:val="00BC6B48"/>
    <w:rsid w:val="00BC6FF1"/>
    <w:rsid w:val="00BC7D3E"/>
    <w:rsid w:val="00BD0A81"/>
    <w:rsid w:val="00BD1439"/>
    <w:rsid w:val="00BD1843"/>
    <w:rsid w:val="00BD256D"/>
    <w:rsid w:val="00BD2752"/>
    <w:rsid w:val="00BD2EB0"/>
    <w:rsid w:val="00BD38D2"/>
    <w:rsid w:val="00BD4C0F"/>
    <w:rsid w:val="00BD539D"/>
    <w:rsid w:val="00BD5624"/>
    <w:rsid w:val="00BD5D71"/>
    <w:rsid w:val="00BD5DBA"/>
    <w:rsid w:val="00BD672F"/>
    <w:rsid w:val="00BE0E3D"/>
    <w:rsid w:val="00BE0F2A"/>
    <w:rsid w:val="00BE10C6"/>
    <w:rsid w:val="00BE1101"/>
    <w:rsid w:val="00BE1132"/>
    <w:rsid w:val="00BE1167"/>
    <w:rsid w:val="00BE11CC"/>
    <w:rsid w:val="00BE1785"/>
    <w:rsid w:val="00BE1A25"/>
    <w:rsid w:val="00BE2EC9"/>
    <w:rsid w:val="00BE392F"/>
    <w:rsid w:val="00BE4189"/>
    <w:rsid w:val="00BE467E"/>
    <w:rsid w:val="00BE593A"/>
    <w:rsid w:val="00BE6B8A"/>
    <w:rsid w:val="00BE700B"/>
    <w:rsid w:val="00BE71CE"/>
    <w:rsid w:val="00BE7A49"/>
    <w:rsid w:val="00BE7C4D"/>
    <w:rsid w:val="00BE7DC0"/>
    <w:rsid w:val="00BE7F23"/>
    <w:rsid w:val="00BF005D"/>
    <w:rsid w:val="00BF060B"/>
    <w:rsid w:val="00BF06DE"/>
    <w:rsid w:val="00BF07F8"/>
    <w:rsid w:val="00BF0B43"/>
    <w:rsid w:val="00BF0E3E"/>
    <w:rsid w:val="00BF1285"/>
    <w:rsid w:val="00BF187D"/>
    <w:rsid w:val="00BF2104"/>
    <w:rsid w:val="00BF225C"/>
    <w:rsid w:val="00BF37CE"/>
    <w:rsid w:val="00BF3C6C"/>
    <w:rsid w:val="00BF48C8"/>
    <w:rsid w:val="00BF4DA3"/>
    <w:rsid w:val="00BF548E"/>
    <w:rsid w:val="00BF62D6"/>
    <w:rsid w:val="00BF6907"/>
    <w:rsid w:val="00BF6A81"/>
    <w:rsid w:val="00BF7715"/>
    <w:rsid w:val="00BF7967"/>
    <w:rsid w:val="00C0056B"/>
    <w:rsid w:val="00C02C23"/>
    <w:rsid w:val="00C02E71"/>
    <w:rsid w:val="00C03016"/>
    <w:rsid w:val="00C03B60"/>
    <w:rsid w:val="00C0450C"/>
    <w:rsid w:val="00C04AA2"/>
    <w:rsid w:val="00C04F0D"/>
    <w:rsid w:val="00C052AE"/>
    <w:rsid w:val="00C065BE"/>
    <w:rsid w:val="00C079B6"/>
    <w:rsid w:val="00C10796"/>
    <w:rsid w:val="00C11E83"/>
    <w:rsid w:val="00C122CF"/>
    <w:rsid w:val="00C13F44"/>
    <w:rsid w:val="00C141A4"/>
    <w:rsid w:val="00C142A7"/>
    <w:rsid w:val="00C15AD2"/>
    <w:rsid w:val="00C17C71"/>
    <w:rsid w:val="00C20137"/>
    <w:rsid w:val="00C203D7"/>
    <w:rsid w:val="00C211B2"/>
    <w:rsid w:val="00C2137D"/>
    <w:rsid w:val="00C215FA"/>
    <w:rsid w:val="00C223F1"/>
    <w:rsid w:val="00C22E1C"/>
    <w:rsid w:val="00C2325A"/>
    <w:rsid w:val="00C23519"/>
    <w:rsid w:val="00C23E9B"/>
    <w:rsid w:val="00C2452E"/>
    <w:rsid w:val="00C24B89"/>
    <w:rsid w:val="00C24CDE"/>
    <w:rsid w:val="00C24D0D"/>
    <w:rsid w:val="00C25354"/>
    <w:rsid w:val="00C256EA"/>
    <w:rsid w:val="00C26657"/>
    <w:rsid w:val="00C30557"/>
    <w:rsid w:val="00C319AC"/>
    <w:rsid w:val="00C31CC8"/>
    <w:rsid w:val="00C31FD7"/>
    <w:rsid w:val="00C32169"/>
    <w:rsid w:val="00C32E83"/>
    <w:rsid w:val="00C34A32"/>
    <w:rsid w:val="00C34FF7"/>
    <w:rsid w:val="00C35C8A"/>
    <w:rsid w:val="00C360AE"/>
    <w:rsid w:val="00C36385"/>
    <w:rsid w:val="00C370A7"/>
    <w:rsid w:val="00C371C8"/>
    <w:rsid w:val="00C37F46"/>
    <w:rsid w:val="00C41486"/>
    <w:rsid w:val="00C41AE0"/>
    <w:rsid w:val="00C43609"/>
    <w:rsid w:val="00C44CB3"/>
    <w:rsid w:val="00C44D11"/>
    <w:rsid w:val="00C45667"/>
    <w:rsid w:val="00C46A90"/>
    <w:rsid w:val="00C47217"/>
    <w:rsid w:val="00C473C1"/>
    <w:rsid w:val="00C476E4"/>
    <w:rsid w:val="00C478CA"/>
    <w:rsid w:val="00C521D1"/>
    <w:rsid w:val="00C538C1"/>
    <w:rsid w:val="00C543E3"/>
    <w:rsid w:val="00C5542E"/>
    <w:rsid w:val="00C5555E"/>
    <w:rsid w:val="00C55B16"/>
    <w:rsid w:val="00C55DE3"/>
    <w:rsid w:val="00C56943"/>
    <w:rsid w:val="00C56DF4"/>
    <w:rsid w:val="00C57073"/>
    <w:rsid w:val="00C60192"/>
    <w:rsid w:val="00C60C1D"/>
    <w:rsid w:val="00C60CA1"/>
    <w:rsid w:val="00C619B3"/>
    <w:rsid w:val="00C62601"/>
    <w:rsid w:val="00C63055"/>
    <w:rsid w:val="00C648E3"/>
    <w:rsid w:val="00C64985"/>
    <w:rsid w:val="00C64B11"/>
    <w:rsid w:val="00C657A0"/>
    <w:rsid w:val="00C65FB8"/>
    <w:rsid w:val="00C66B11"/>
    <w:rsid w:val="00C6754B"/>
    <w:rsid w:val="00C67CC9"/>
    <w:rsid w:val="00C7067D"/>
    <w:rsid w:val="00C70BFC"/>
    <w:rsid w:val="00C714CB"/>
    <w:rsid w:val="00C72234"/>
    <w:rsid w:val="00C72B5E"/>
    <w:rsid w:val="00C72DA7"/>
    <w:rsid w:val="00C72EB3"/>
    <w:rsid w:val="00C730B8"/>
    <w:rsid w:val="00C730C4"/>
    <w:rsid w:val="00C736AC"/>
    <w:rsid w:val="00C768AE"/>
    <w:rsid w:val="00C768C0"/>
    <w:rsid w:val="00C76C61"/>
    <w:rsid w:val="00C770B9"/>
    <w:rsid w:val="00C77404"/>
    <w:rsid w:val="00C77662"/>
    <w:rsid w:val="00C77D2C"/>
    <w:rsid w:val="00C80766"/>
    <w:rsid w:val="00C826C5"/>
    <w:rsid w:val="00C82ECE"/>
    <w:rsid w:val="00C82FC1"/>
    <w:rsid w:val="00C836F9"/>
    <w:rsid w:val="00C842BD"/>
    <w:rsid w:val="00C844B2"/>
    <w:rsid w:val="00C84C74"/>
    <w:rsid w:val="00C86013"/>
    <w:rsid w:val="00C86C02"/>
    <w:rsid w:val="00C86E64"/>
    <w:rsid w:val="00C87323"/>
    <w:rsid w:val="00C9153B"/>
    <w:rsid w:val="00C9492A"/>
    <w:rsid w:val="00C94DFE"/>
    <w:rsid w:val="00C95095"/>
    <w:rsid w:val="00C9515F"/>
    <w:rsid w:val="00C95C0E"/>
    <w:rsid w:val="00C9632D"/>
    <w:rsid w:val="00C96979"/>
    <w:rsid w:val="00C9712D"/>
    <w:rsid w:val="00C97E0E"/>
    <w:rsid w:val="00C97F63"/>
    <w:rsid w:val="00CA047F"/>
    <w:rsid w:val="00CA09B0"/>
    <w:rsid w:val="00CA0C1D"/>
    <w:rsid w:val="00CA0D83"/>
    <w:rsid w:val="00CA1075"/>
    <w:rsid w:val="00CA19C5"/>
    <w:rsid w:val="00CA2263"/>
    <w:rsid w:val="00CA2BE8"/>
    <w:rsid w:val="00CA2FB3"/>
    <w:rsid w:val="00CA4443"/>
    <w:rsid w:val="00CA4629"/>
    <w:rsid w:val="00CA48F5"/>
    <w:rsid w:val="00CA5BEB"/>
    <w:rsid w:val="00CA616C"/>
    <w:rsid w:val="00CA68FC"/>
    <w:rsid w:val="00CA6CFF"/>
    <w:rsid w:val="00CA6DE4"/>
    <w:rsid w:val="00CA7114"/>
    <w:rsid w:val="00CA76D2"/>
    <w:rsid w:val="00CA7C02"/>
    <w:rsid w:val="00CB0131"/>
    <w:rsid w:val="00CB094E"/>
    <w:rsid w:val="00CB12DF"/>
    <w:rsid w:val="00CB145F"/>
    <w:rsid w:val="00CB14D0"/>
    <w:rsid w:val="00CB18F3"/>
    <w:rsid w:val="00CB39A0"/>
    <w:rsid w:val="00CB3CE6"/>
    <w:rsid w:val="00CB4326"/>
    <w:rsid w:val="00CB4398"/>
    <w:rsid w:val="00CB4E3E"/>
    <w:rsid w:val="00CB57F0"/>
    <w:rsid w:val="00CB5984"/>
    <w:rsid w:val="00CB5B9D"/>
    <w:rsid w:val="00CB5FFE"/>
    <w:rsid w:val="00CC0156"/>
    <w:rsid w:val="00CC153A"/>
    <w:rsid w:val="00CC1D55"/>
    <w:rsid w:val="00CC57DE"/>
    <w:rsid w:val="00CC733A"/>
    <w:rsid w:val="00CC7655"/>
    <w:rsid w:val="00CD03B1"/>
    <w:rsid w:val="00CD06C1"/>
    <w:rsid w:val="00CD0E50"/>
    <w:rsid w:val="00CD21E6"/>
    <w:rsid w:val="00CD254A"/>
    <w:rsid w:val="00CD388D"/>
    <w:rsid w:val="00CD3EA5"/>
    <w:rsid w:val="00CD59C2"/>
    <w:rsid w:val="00CD66F4"/>
    <w:rsid w:val="00CE03E1"/>
    <w:rsid w:val="00CE0AD5"/>
    <w:rsid w:val="00CE0BD5"/>
    <w:rsid w:val="00CE193C"/>
    <w:rsid w:val="00CE1F7B"/>
    <w:rsid w:val="00CE33B6"/>
    <w:rsid w:val="00CE41B6"/>
    <w:rsid w:val="00CE4F30"/>
    <w:rsid w:val="00CE51E6"/>
    <w:rsid w:val="00CE62CD"/>
    <w:rsid w:val="00CE7347"/>
    <w:rsid w:val="00CE74AA"/>
    <w:rsid w:val="00CF0691"/>
    <w:rsid w:val="00CF0B92"/>
    <w:rsid w:val="00CF0ECC"/>
    <w:rsid w:val="00CF1739"/>
    <w:rsid w:val="00CF1E7D"/>
    <w:rsid w:val="00CF3D86"/>
    <w:rsid w:val="00CF3E0B"/>
    <w:rsid w:val="00CF3F0B"/>
    <w:rsid w:val="00CF45B6"/>
    <w:rsid w:val="00CF478B"/>
    <w:rsid w:val="00CF4954"/>
    <w:rsid w:val="00CF57C0"/>
    <w:rsid w:val="00CF5B2E"/>
    <w:rsid w:val="00CF681C"/>
    <w:rsid w:val="00CF6E49"/>
    <w:rsid w:val="00CF7219"/>
    <w:rsid w:val="00CF7B6E"/>
    <w:rsid w:val="00D01A46"/>
    <w:rsid w:val="00D01FD3"/>
    <w:rsid w:val="00D024C5"/>
    <w:rsid w:val="00D02773"/>
    <w:rsid w:val="00D02969"/>
    <w:rsid w:val="00D02DD5"/>
    <w:rsid w:val="00D03C9E"/>
    <w:rsid w:val="00D04107"/>
    <w:rsid w:val="00D054B9"/>
    <w:rsid w:val="00D05F89"/>
    <w:rsid w:val="00D06410"/>
    <w:rsid w:val="00D06779"/>
    <w:rsid w:val="00D071F8"/>
    <w:rsid w:val="00D077AF"/>
    <w:rsid w:val="00D07C78"/>
    <w:rsid w:val="00D1030A"/>
    <w:rsid w:val="00D109B7"/>
    <w:rsid w:val="00D11A7A"/>
    <w:rsid w:val="00D12397"/>
    <w:rsid w:val="00D126E9"/>
    <w:rsid w:val="00D12F00"/>
    <w:rsid w:val="00D1316C"/>
    <w:rsid w:val="00D13C85"/>
    <w:rsid w:val="00D13E47"/>
    <w:rsid w:val="00D14339"/>
    <w:rsid w:val="00D14603"/>
    <w:rsid w:val="00D151AE"/>
    <w:rsid w:val="00D154EB"/>
    <w:rsid w:val="00D168FA"/>
    <w:rsid w:val="00D16A12"/>
    <w:rsid w:val="00D175DD"/>
    <w:rsid w:val="00D17CD2"/>
    <w:rsid w:val="00D208FC"/>
    <w:rsid w:val="00D217D5"/>
    <w:rsid w:val="00D22525"/>
    <w:rsid w:val="00D23C24"/>
    <w:rsid w:val="00D23ED8"/>
    <w:rsid w:val="00D24D01"/>
    <w:rsid w:val="00D2524B"/>
    <w:rsid w:val="00D2650B"/>
    <w:rsid w:val="00D26542"/>
    <w:rsid w:val="00D27D0D"/>
    <w:rsid w:val="00D30190"/>
    <w:rsid w:val="00D30B5F"/>
    <w:rsid w:val="00D30C33"/>
    <w:rsid w:val="00D313E1"/>
    <w:rsid w:val="00D31F89"/>
    <w:rsid w:val="00D33B72"/>
    <w:rsid w:val="00D33C6F"/>
    <w:rsid w:val="00D34172"/>
    <w:rsid w:val="00D3515D"/>
    <w:rsid w:val="00D35F83"/>
    <w:rsid w:val="00D361F1"/>
    <w:rsid w:val="00D37823"/>
    <w:rsid w:val="00D4062E"/>
    <w:rsid w:val="00D4179A"/>
    <w:rsid w:val="00D427BE"/>
    <w:rsid w:val="00D428F5"/>
    <w:rsid w:val="00D4347E"/>
    <w:rsid w:val="00D43FB5"/>
    <w:rsid w:val="00D444B0"/>
    <w:rsid w:val="00D44843"/>
    <w:rsid w:val="00D44850"/>
    <w:rsid w:val="00D45AE8"/>
    <w:rsid w:val="00D45D76"/>
    <w:rsid w:val="00D465BD"/>
    <w:rsid w:val="00D465CA"/>
    <w:rsid w:val="00D46CE6"/>
    <w:rsid w:val="00D47212"/>
    <w:rsid w:val="00D47532"/>
    <w:rsid w:val="00D50E7F"/>
    <w:rsid w:val="00D51D71"/>
    <w:rsid w:val="00D51E7C"/>
    <w:rsid w:val="00D533B6"/>
    <w:rsid w:val="00D538BF"/>
    <w:rsid w:val="00D53DDA"/>
    <w:rsid w:val="00D54A51"/>
    <w:rsid w:val="00D54CD2"/>
    <w:rsid w:val="00D5726B"/>
    <w:rsid w:val="00D57C74"/>
    <w:rsid w:val="00D6018A"/>
    <w:rsid w:val="00D61A3F"/>
    <w:rsid w:val="00D62D44"/>
    <w:rsid w:val="00D6437E"/>
    <w:rsid w:val="00D64863"/>
    <w:rsid w:val="00D6499B"/>
    <w:rsid w:val="00D665A4"/>
    <w:rsid w:val="00D669FF"/>
    <w:rsid w:val="00D71314"/>
    <w:rsid w:val="00D725A1"/>
    <w:rsid w:val="00D72757"/>
    <w:rsid w:val="00D80A7A"/>
    <w:rsid w:val="00D80AB6"/>
    <w:rsid w:val="00D8220A"/>
    <w:rsid w:val="00D83C6B"/>
    <w:rsid w:val="00D84539"/>
    <w:rsid w:val="00D85565"/>
    <w:rsid w:val="00D860BD"/>
    <w:rsid w:val="00D866A1"/>
    <w:rsid w:val="00D86703"/>
    <w:rsid w:val="00D86A1A"/>
    <w:rsid w:val="00D87BEF"/>
    <w:rsid w:val="00D90884"/>
    <w:rsid w:val="00D90B96"/>
    <w:rsid w:val="00D9308C"/>
    <w:rsid w:val="00D93B8C"/>
    <w:rsid w:val="00D93DF9"/>
    <w:rsid w:val="00D94184"/>
    <w:rsid w:val="00D9551E"/>
    <w:rsid w:val="00D979EB"/>
    <w:rsid w:val="00D97B8C"/>
    <w:rsid w:val="00DA0334"/>
    <w:rsid w:val="00DA1183"/>
    <w:rsid w:val="00DA143D"/>
    <w:rsid w:val="00DA4339"/>
    <w:rsid w:val="00DA43E0"/>
    <w:rsid w:val="00DA745C"/>
    <w:rsid w:val="00DB0A8E"/>
    <w:rsid w:val="00DB1E36"/>
    <w:rsid w:val="00DB2C77"/>
    <w:rsid w:val="00DB2FA6"/>
    <w:rsid w:val="00DB3D60"/>
    <w:rsid w:val="00DB43A4"/>
    <w:rsid w:val="00DB4583"/>
    <w:rsid w:val="00DB4766"/>
    <w:rsid w:val="00DB5837"/>
    <w:rsid w:val="00DB6492"/>
    <w:rsid w:val="00DB661F"/>
    <w:rsid w:val="00DB6FA7"/>
    <w:rsid w:val="00DB755D"/>
    <w:rsid w:val="00DB7797"/>
    <w:rsid w:val="00DC20CF"/>
    <w:rsid w:val="00DC315C"/>
    <w:rsid w:val="00DC383C"/>
    <w:rsid w:val="00DC394A"/>
    <w:rsid w:val="00DC409B"/>
    <w:rsid w:val="00DC4392"/>
    <w:rsid w:val="00DC4C60"/>
    <w:rsid w:val="00DC57F5"/>
    <w:rsid w:val="00DC5BB6"/>
    <w:rsid w:val="00DC607E"/>
    <w:rsid w:val="00DC6196"/>
    <w:rsid w:val="00DC6489"/>
    <w:rsid w:val="00DC6B8D"/>
    <w:rsid w:val="00DC7512"/>
    <w:rsid w:val="00DC753D"/>
    <w:rsid w:val="00DD003C"/>
    <w:rsid w:val="00DD05EB"/>
    <w:rsid w:val="00DD0792"/>
    <w:rsid w:val="00DD1131"/>
    <w:rsid w:val="00DD1A60"/>
    <w:rsid w:val="00DD2311"/>
    <w:rsid w:val="00DD270A"/>
    <w:rsid w:val="00DD3171"/>
    <w:rsid w:val="00DD3228"/>
    <w:rsid w:val="00DD3F17"/>
    <w:rsid w:val="00DD4F5C"/>
    <w:rsid w:val="00DD6C5C"/>
    <w:rsid w:val="00DD7E1A"/>
    <w:rsid w:val="00DE061D"/>
    <w:rsid w:val="00DE0739"/>
    <w:rsid w:val="00DE0DAC"/>
    <w:rsid w:val="00DE0FF7"/>
    <w:rsid w:val="00DE1043"/>
    <w:rsid w:val="00DE1963"/>
    <w:rsid w:val="00DE1B48"/>
    <w:rsid w:val="00DE1E1B"/>
    <w:rsid w:val="00DE2ECE"/>
    <w:rsid w:val="00DE3090"/>
    <w:rsid w:val="00DE3203"/>
    <w:rsid w:val="00DE3480"/>
    <w:rsid w:val="00DE34E3"/>
    <w:rsid w:val="00DE5974"/>
    <w:rsid w:val="00DE5C16"/>
    <w:rsid w:val="00DE5C3C"/>
    <w:rsid w:val="00DE5D99"/>
    <w:rsid w:val="00DE5F29"/>
    <w:rsid w:val="00DE61F1"/>
    <w:rsid w:val="00DE6A12"/>
    <w:rsid w:val="00DF0918"/>
    <w:rsid w:val="00DF0CDF"/>
    <w:rsid w:val="00DF17E6"/>
    <w:rsid w:val="00DF1F80"/>
    <w:rsid w:val="00DF21C5"/>
    <w:rsid w:val="00DF2C40"/>
    <w:rsid w:val="00DF5D23"/>
    <w:rsid w:val="00DF5E85"/>
    <w:rsid w:val="00DF6A49"/>
    <w:rsid w:val="00DF6DEE"/>
    <w:rsid w:val="00DF7A8F"/>
    <w:rsid w:val="00DF7B11"/>
    <w:rsid w:val="00DF7CB4"/>
    <w:rsid w:val="00E00648"/>
    <w:rsid w:val="00E02E9A"/>
    <w:rsid w:val="00E03CF0"/>
    <w:rsid w:val="00E04A1B"/>
    <w:rsid w:val="00E04AF9"/>
    <w:rsid w:val="00E06287"/>
    <w:rsid w:val="00E076EE"/>
    <w:rsid w:val="00E07930"/>
    <w:rsid w:val="00E106B3"/>
    <w:rsid w:val="00E108C7"/>
    <w:rsid w:val="00E12E4A"/>
    <w:rsid w:val="00E13573"/>
    <w:rsid w:val="00E13FBB"/>
    <w:rsid w:val="00E149BC"/>
    <w:rsid w:val="00E14C12"/>
    <w:rsid w:val="00E15309"/>
    <w:rsid w:val="00E15F48"/>
    <w:rsid w:val="00E16138"/>
    <w:rsid w:val="00E202C0"/>
    <w:rsid w:val="00E20F25"/>
    <w:rsid w:val="00E2172C"/>
    <w:rsid w:val="00E2274E"/>
    <w:rsid w:val="00E26EE2"/>
    <w:rsid w:val="00E271CB"/>
    <w:rsid w:val="00E27273"/>
    <w:rsid w:val="00E3066C"/>
    <w:rsid w:val="00E3070D"/>
    <w:rsid w:val="00E30E3A"/>
    <w:rsid w:val="00E3216B"/>
    <w:rsid w:val="00E32439"/>
    <w:rsid w:val="00E33034"/>
    <w:rsid w:val="00E35547"/>
    <w:rsid w:val="00E356F0"/>
    <w:rsid w:val="00E35D89"/>
    <w:rsid w:val="00E36450"/>
    <w:rsid w:val="00E36F65"/>
    <w:rsid w:val="00E37500"/>
    <w:rsid w:val="00E375CA"/>
    <w:rsid w:val="00E3769E"/>
    <w:rsid w:val="00E40B8C"/>
    <w:rsid w:val="00E41C08"/>
    <w:rsid w:val="00E41FD9"/>
    <w:rsid w:val="00E4208E"/>
    <w:rsid w:val="00E42E13"/>
    <w:rsid w:val="00E440C3"/>
    <w:rsid w:val="00E4455D"/>
    <w:rsid w:val="00E45057"/>
    <w:rsid w:val="00E468D0"/>
    <w:rsid w:val="00E474E9"/>
    <w:rsid w:val="00E4788D"/>
    <w:rsid w:val="00E50027"/>
    <w:rsid w:val="00E50113"/>
    <w:rsid w:val="00E5167C"/>
    <w:rsid w:val="00E51F30"/>
    <w:rsid w:val="00E5249A"/>
    <w:rsid w:val="00E52A72"/>
    <w:rsid w:val="00E532C3"/>
    <w:rsid w:val="00E53795"/>
    <w:rsid w:val="00E54F89"/>
    <w:rsid w:val="00E55201"/>
    <w:rsid w:val="00E571B9"/>
    <w:rsid w:val="00E634F3"/>
    <w:rsid w:val="00E637BD"/>
    <w:rsid w:val="00E6455B"/>
    <w:rsid w:val="00E65626"/>
    <w:rsid w:val="00E6573B"/>
    <w:rsid w:val="00E66B82"/>
    <w:rsid w:val="00E67326"/>
    <w:rsid w:val="00E67852"/>
    <w:rsid w:val="00E679F1"/>
    <w:rsid w:val="00E7054E"/>
    <w:rsid w:val="00E70BBD"/>
    <w:rsid w:val="00E7235E"/>
    <w:rsid w:val="00E72808"/>
    <w:rsid w:val="00E738A6"/>
    <w:rsid w:val="00E73B21"/>
    <w:rsid w:val="00E7417C"/>
    <w:rsid w:val="00E75F95"/>
    <w:rsid w:val="00E77033"/>
    <w:rsid w:val="00E800D5"/>
    <w:rsid w:val="00E8095C"/>
    <w:rsid w:val="00E81449"/>
    <w:rsid w:val="00E815BF"/>
    <w:rsid w:val="00E81F2F"/>
    <w:rsid w:val="00E825E9"/>
    <w:rsid w:val="00E82C44"/>
    <w:rsid w:val="00E83EFE"/>
    <w:rsid w:val="00E842B8"/>
    <w:rsid w:val="00E84434"/>
    <w:rsid w:val="00E84533"/>
    <w:rsid w:val="00E8467F"/>
    <w:rsid w:val="00E85060"/>
    <w:rsid w:val="00E85AC2"/>
    <w:rsid w:val="00E86231"/>
    <w:rsid w:val="00E864C7"/>
    <w:rsid w:val="00E865B1"/>
    <w:rsid w:val="00E86D83"/>
    <w:rsid w:val="00E87620"/>
    <w:rsid w:val="00E9080B"/>
    <w:rsid w:val="00E91469"/>
    <w:rsid w:val="00E915D6"/>
    <w:rsid w:val="00E92503"/>
    <w:rsid w:val="00E926CA"/>
    <w:rsid w:val="00E9294F"/>
    <w:rsid w:val="00E93C10"/>
    <w:rsid w:val="00E948B4"/>
    <w:rsid w:val="00E954E4"/>
    <w:rsid w:val="00E95847"/>
    <w:rsid w:val="00E95957"/>
    <w:rsid w:val="00E969F8"/>
    <w:rsid w:val="00EA05B6"/>
    <w:rsid w:val="00EA0B29"/>
    <w:rsid w:val="00EA13DC"/>
    <w:rsid w:val="00EA2014"/>
    <w:rsid w:val="00EA27CE"/>
    <w:rsid w:val="00EA2A8E"/>
    <w:rsid w:val="00EA2E76"/>
    <w:rsid w:val="00EA4080"/>
    <w:rsid w:val="00EA4348"/>
    <w:rsid w:val="00EA43AF"/>
    <w:rsid w:val="00EA43F7"/>
    <w:rsid w:val="00EA4EEC"/>
    <w:rsid w:val="00EA6102"/>
    <w:rsid w:val="00EA61B7"/>
    <w:rsid w:val="00EA6581"/>
    <w:rsid w:val="00EA7176"/>
    <w:rsid w:val="00EA752E"/>
    <w:rsid w:val="00EB0721"/>
    <w:rsid w:val="00EB1240"/>
    <w:rsid w:val="00EB16E7"/>
    <w:rsid w:val="00EB1ADE"/>
    <w:rsid w:val="00EB1DC0"/>
    <w:rsid w:val="00EB2110"/>
    <w:rsid w:val="00EB36A7"/>
    <w:rsid w:val="00EB39C7"/>
    <w:rsid w:val="00EB43C4"/>
    <w:rsid w:val="00EB47BC"/>
    <w:rsid w:val="00EB52AF"/>
    <w:rsid w:val="00EB5780"/>
    <w:rsid w:val="00EB5934"/>
    <w:rsid w:val="00EB5B5E"/>
    <w:rsid w:val="00EB5D76"/>
    <w:rsid w:val="00EB6292"/>
    <w:rsid w:val="00EB6BD5"/>
    <w:rsid w:val="00EB6C26"/>
    <w:rsid w:val="00EB70BD"/>
    <w:rsid w:val="00EB7566"/>
    <w:rsid w:val="00EB7BE2"/>
    <w:rsid w:val="00EC0244"/>
    <w:rsid w:val="00EC0B17"/>
    <w:rsid w:val="00EC0F80"/>
    <w:rsid w:val="00EC1AD3"/>
    <w:rsid w:val="00EC1F76"/>
    <w:rsid w:val="00EC236E"/>
    <w:rsid w:val="00EC2B48"/>
    <w:rsid w:val="00EC2B74"/>
    <w:rsid w:val="00EC2D37"/>
    <w:rsid w:val="00EC3A3D"/>
    <w:rsid w:val="00EC3ACA"/>
    <w:rsid w:val="00EC3E0E"/>
    <w:rsid w:val="00EC48CD"/>
    <w:rsid w:val="00EC4B70"/>
    <w:rsid w:val="00EC5238"/>
    <w:rsid w:val="00EC57C0"/>
    <w:rsid w:val="00EC63E8"/>
    <w:rsid w:val="00EC6D5C"/>
    <w:rsid w:val="00EC741C"/>
    <w:rsid w:val="00EC7688"/>
    <w:rsid w:val="00EC7E4C"/>
    <w:rsid w:val="00ED17CB"/>
    <w:rsid w:val="00ED185C"/>
    <w:rsid w:val="00ED3231"/>
    <w:rsid w:val="00ED4533"/>
    <w:rsid w:val="00ED47ED"/>
    <w:rsid w:val="00ED586A"/>
    <w:rsid w:val="00ED60D9"/>
    <w:rsid w:val="00ED61FD"/>
    <w:rsid w:val="00ED6E3E"/>
    <w:rsid w:val="00ED73A8"/>
    <w:rsid w:val="00ED7673"/>
    <w:rsid w:val="00ED7840"/>
    <w:rsid w:val="00EE0768"/>
    <w:rsid w:val="00EE081F"/>
    <w:rsid w:val="00EE117A"/>
    <w:rsid w:val="00EE3531"/>
    <w:rsid w:val="00EE400B"/>
    <w:rsid w:val="00EE434C"/>
    <w:rsid w:val="00EE4E6A"/>
    <w:rsid w:val="00EE644F"/>
    <w:rsid w:val="00EE7CD6"/>
    <w:rsid w:val="00EF0477"/>
    <w:rsid w:val="00EF144D"/>
    <w:rsid w:val="00EF1B01"/>
    <w:rsid w:val="00EF1FF4"/>
    <w:rsid w:val="00EF26E4"/>
    <w:rsid w:val="00EF2CDF"/>
    <w:rsid w:val="00EF3690"/>
    <w:rsid w:val="00EF48ED"/>
    <w:rsid w:val="00EF4E7A"/>
    <w:rsid w:val="00EF51EA"/>
    <w:rsid w:val="00EF702C"/>
    <w:rsid w:val="00F00A46"/>
    <w:rsid w:val="00F01190"/>
    <w:rsid w:val="00F01A96"/>
    <w:rsid w:val="00F022BD"/>
    <w:rsid w:val="00F02A03"/>
    <w:rsid w:val="00F03B09"/>
    <w:rsid w:val="00F05437"/>
    <w:rsid w:val="00F055D3"/>
    <w:rsid w:val="00F05E3F"/>
    <w:rsid w:val="00F071E7"/>
    <w:rsid w:val="00F074E5"/>
    <w:rsid w:val="00F074F2"/>
    <w:rsid w:val="00F07616"/>
    <w:rsid w:val="00F07B6C"/>
    <w:rsid w:val="00F07F13"/>
    <w:rsid w:val="00F105F7"/>
    <w:rsid w:val="00F1090C"/>
    <w:rsid w:val="00F10AB9"/>
    <w:rsid w:val="00F10BD1"/>
    <w:rsid w:val="00F10D61"/>
    <w:rsid w:val="00F116C2"/>
    <w:rsid w:val="00F132DA"/>
    <w:rsid w:val="00F13BE1"/>
    <w:rsid w:val="00F144DE"/>
    <w:rsid w:val="00F14E25"/>
    <w:rsid w:val="00F158D0"/>
    <w:rsid w:val="00F2108C"/>
    <w:rsid w:val="00F2146F"/>
    <w:rsid w:val="00F21902"/>
    <w:rsid w:val="00F21A26"/>
    <w:rsid w:val="00F21D5F"/>
    <w:rsid w:val="00F21F41"/>
    <w:rsid w:val="00F2216F"/>
    <w:rsid w:val="00F224F7"/>
    <w:rsid w:val="00F22FA1"/>
    <w:rsid w:val="00F234AA"/>
    <w:rsid w:val="00F23FD6"/>
    <w:rsid w:val="00F2457A"/>
    <w:rsid w:val="00F24BC7"/>
    <w:rsid w:val="00F251B4"/>
    <w:rsid w:val="00F255B5"/>
    <w:rsid w:val="00F25868"/>
    <w:rsid w:val="00F2597D"/>
    <w:rsid w:val="00F26309"/>
    <w:rsid w:val="00F26418"/>
    <w:rsid w:val="00F26792"/>
    <w:rsid w:val="00F30B2B"/>
    <w:rsid w:val="00F310B9"/>
    <w:rsid w:val="00F312A8"/>
    <w:rsid w:val="00F31C85"/>
    <w:rsid w:val="00F32970"/>
    <w:rsid w:val="00F33491"/>
    <w:rsid w:val="00F3389A"/>
    <w:rsid w:val="00F3440E"/>
    <w:rsid w:val="00F34C7C"/>
    <w:rsid w:val="00F35031"/>
    <w:rsid w:val="00F35A61"/>
    <w:rsid w:val="00F362EE"/>
    <w:rsid w:val="00F3649F"/>
    <w:rsid w:val="00F368D6"/>
    <w:rsid w:val="00F36A8B"/>
    <w:rsid w:val="00F36BFA"/>
    <w:rsid w:val="00F36CDE"/>
    <w:rsid w:val="00F4077E"/>
    <w:rsid w:val="00F40E15"/>
    <w:rsid w:val="00F41076"/>
    <w:rsid w:val="00F415B1"/>
    <w:rsid w:val="00F4179F"/>
    <w:rsid w:val="00F4191A"/>
    <w:rsid w:val="00F4193A"/>
    <w:rsid w:val="00F42B1D"/>
    <w:rsid w:val="00F432B9"/>
    <w:rsid w:val="00F43327"/>
    <w:rsid w:val="00F4392B"/>
    <w:rsid w:val="00F440C5"/>
    <w:rsid w:val="00F447E3"/>
    <w:rsid w:val="00F44AA6"/>
    <w:rsid w:val="00F46EC4"/>
    <w:rsid w:val="00F47A14"/>
    <w:rsid w:val="00F47EAE"/>
    <w:rsid w:val="00F5077A"/>
    <w:rsid w:val="00F51131"/>
    <w:rsid w:val="00F51528"/>
    <w:rsid w:val="00F5169F"/>
    <w:rsid w:val="00F522D0"/>
    <w:rsid w:val="00F52737"/>
    <w:rsid w:val="00F52F8A"/>
    <w:rsid w:val="00F54FCA"/>
    <w:rsid w:val="00F550BA"/>
    <w:rsid w:val="00F556B6"/>
    <w:rsid w:val="00F55AA4"/>
    <w:rsid w:val="00F55BA1"/>
    <w:rsid w:val="00F561A6"/>
    <w:rsid w:val="00F56477"/>
    <w:rsid w:val="00F565BA"/>
    <w:rsid w:val="00F56E2F"/>
    <w:rsid w:val="00F601CB"/>
    <w:rsid w:val="00F60CF6"/>
    <w:rsid w:val="00F60DBB"/>
    <w:rsid w:val="00F620C0"/>
    <w:rsid w:val="00F6318F"/>
    <w:rsid w:val="00F652C7"/>
    <w:rsid w:val="00F652E4"/>
    <w:rsid w:val="00F655C4"/>
    <w:rsid w:val="00F65A7C"/>
    <w:rsid w:val="00F66456"/>
    <w:rsid w:val="00F66B43"/>
    <w:rsid w:val="00F67851"/>
    <w:rsid w:val="00F67EDC"/>
    <w:rsid w:val="00F71167"/>
    <w:rsid w:val="00F71EAF"/>
    <w:rsid w:val="00F72D7C"/>
    <w:rsid w:val="00F73486"/>
    <w:rsid w:val="00F73C05"/>
    <w:rsid w:val="00F74657"/>
    <w:rsid w:val="00F758C9"/>
    <w:rsid w:val="00F75D6D"/>
    <w:rsid w:val="00F75E7C"/>
    <w:rsid w:val="00F75EFC"/>
    <w:rsid w:val="00F77D58"/>
    <w:rsid w:val="00F806F0"/>
    <w:rsid w:val="00F80D5A"/>
    <w:rsid w:val="00F80F60"/>
    <w:rsid w:val="00F814C2"/>
    <w:rsid w:val="00F81857"/>
    <w:rsid w:val="00F81B73"/>
    <w:rsid w:val="00F820D1"/>
    <w:rsid w:val="00F824FD"/>
    <w:rsid w:val="00F82AC5"/>
    <w:rsid w:val="00F82B08"/>
    <w:rsid w:val="00F82C4F"/>
    <w:rsid w:val="00F82D22"/>
    <w:rsid w:val="00F8380C"/>
    <w:rsid w:val="00F8390F"/>
    <w:rsid w:val="00F84024"/>
    <w:rsid w:val="00F8616B"/>
    <w:rsid w:val="00F863ED"/>
    <w:rsid w:val="00F86BC6"/>
    <w:rsid w:val="00F9020A"/>
    <w:rsid w:val="00F91778"/>
    <w:rsid w:val="00F91BD3"/>
    <w:rsid w:val="00F923E7"/>
    <w:rsid w:val="00F92E98"/>
    <w:rsid w:val="00F941A7"/>
    <w:rsid w:val="00F945B2"/>
    <w:rsid w:val="00F94B2E"/>
    <w:rsid w:val="00F94D03"/>
    <w:rsid w:val="00F95702"/>
    <w:rsid w:val="00F96117"/>
    <w:rsid w:val="00F966D6"/>
    <w:rsid w:val="00F96E6D"/>
    <w:rsid w:val="00F97C50"/>
    <w:rsid w:val="00FA0171"/>
    <w:rsid w:val="00FA041F"/>
    <w:rsid w:val="00FA1960"/>
    <w:rsid w:val="00FA4BB8"/>
    <w:rsid w:val="00FA4F39"/>
    <w:rsid w:val="00FA5235"/>
    <w:rsid w:val="00FA5CF7"/>
    <w:rsid w:val="00FA73D5"/>
    <w:rsid w:val="00FA7607"/>
    <w:rsid w:val="00FA7CE0"/>
    <w:rsid w:val="00FB11A9"/>
    <w:rsid w:val="00FB18E2"/>
    <w:rsid w:val="00FB1C39"/>
    <w:rsid w:val="00FB1C6C"/>
    <w:rsid w:val="00FB3658"/>
    <w:rsid w:val="00FB3A8B"/>
    <w:rsid w:val="00FB3B3B"/>
    <w:rsid w:val="00FB3FEF"/>
    <w:rsid w:val="00FB4831"/>
    <w:rsid w:val="00FB4A60"/>
    <w:rsid w:val="00FB5309"/>
    <w:rsid w:val="00FB547F"/>
    <w:rsid w:val="00FB6B03"/>
    <w:rsid w:val="00FB6ED5"/>
    <w:rsid w:val="00FB78C8"/>
    <w:rsid w:val="00FB79C3"/>
    <w:rsid w:val="00FC00F3"/>
    <w:rsid w:val="00FC06C0"/>
    <w:rsid w:val="00FC0713"/>
    <w:rsid w:val="00FC1388"/>
    <w:rsid w:val="00FC1B29"/>
    <w:rsid w:val="00FC1CCD"/>
    <w:rsid w:val="00FC1D89"/>
    <w:rsid w:val="00FC344A"/>
    <w:rsid w:val="00FC376F"/>
    <w:rsid w:val="00FC4EA1"/>
    <w:rsid w:val="00FC5638"/>
    <w:rsid w:val="00FC5F5C"/>
    <w:rsid w:val="00FC694F"/>
    <w:rsid w:val="00FC6E7F"/>
    <w:rsid w:val="00FC7232"/>
    <w:rsid w:val="00FC726A"/>
    <w:rsid w:val="00FC7DC3"/>
    <w:rsid w:val="00FD052D"/>
    <w:rsid w:val="00FD1019"/>
    <w:rsid w:val="00FD19B6"/>
    <w:rsid w:val="00FD24BB"/>
    <w:rsid w:val="00FD24D5"/>
    <w:rsid w:val="00FD2501"/>
    <w:rsid w:val="00FD34FD"/>
    <w:rsid w:val="00FD3572"/>
    <w:rsid w:val="00FD4400"/>
    <w:rsid w:val="00FD4763"/>
    <w:rsid w:val="00FD5061"/>
    <w:rsid w:val="00FD6ED0"/>
    <w:rsid w:val="00FD71F7"/>
    <w:rsid w:val="00FD7CA4"/>
    <w:rsid w:val="00FE022B"/>
    <w:rsid w:val="00FE09EC"/>
    <w:rsid w:val="00FE1157"/>
    <w:rsid w:val="00FE13E7"/>
    <w:rsid w:val="00FE193E"/>
    <w:rsid w:val="00FE1BA4"/>
    <w:rsid w:val="00FE2255"/>
    <w:rsid w:val="00FE2359"/>
    <w:rsid w:val="00FE2FD0"/>
    <w:rsid w:val="00FE2FD6"/>
    <w:rsid w:val="00FE38F7"/>
    <w:rsid w:val="00FE4366"/>
    <w:rsid w:val="00FE4DB8"/>
    <w:rsid w:val="00FE58A7"/>
    <w:rsid w:val="00FE72EB"/>
    <w:rsid w:val="00FF271E"/>
    <w:rsid w:val="00FF320F"/>
    <w:rsid w:val="00FF35D3"/>
    <w:rsid w:val="00FF3612"/>
    <w:rsid w:val="00FF3786"/>
    <w:rsid w:val="00FF4523"/>
    <w:rsid w:val="00FF57C9"/>
    <w:rsid w:val="00FF5E9D"/>
    <w:rsid w:val="00FF602A"/>
    <w:rsid w:val="00FF6A42"/>
    <w:rsid w:val="00FF7169"/>
    <w:rsid w:val="00FF7332"/>
    <w:rsid w:val="00FF7830"/>
    <w:rsid w:val="014F170F"/>
    <w:rsid w:val="019961B1"/>
    <w:rsid w:val="01D77F9D"/>
    <w:rsid w:val="020D5467"/>
    <w:rsid w:val="02EE226A"/>
    <w:rsid w:val="037201FF"/>
    <w:rsid w:val="04EA11D8"/>
    <w:rsid w:val="05573D16"/>
    <w:rsid w:val="057666C8"/>
    <w:rsid w:val="05D00B49"/>
    <w:rsid w:val="061D3570"/>
    <w:rsid w:val="072B545A"/>
    <w:rsid w:val="07C80EFB"/>
    <w:rsid w:val="082471E3"/>
    <w:rsid w:val="082F3254"/>
    <w:rsid w:val="08320404"/>
    <w:rsid w:val="083F5188"/>
    <w:rsid w:val="08997EFF"/>
    <w:rsid w:val="08CE42EF"/>
    <w:rsid w:val="08D334F3"/>
    <w:rsid w:val="09067F2D"/>
    <w:rsid w:val="0A0C5900"/>
    <w:rsid w:val="0A4D50BA"/>
    <w:rsid w:val="0A8F00B6"/>
    <w:rsid w:val="0AA574E9"/>
    <w:rsid w:val="0AC74067"/>
    <w:rsid w:val="0B4032A9"/>
    <w:rsid w:val="0B531822"/>
    <w:rsid w:val="0BE91D2B"/>
    <w:rsid w:val="0BEF7DA3"/>
    <w:rsid w:val="0C371869"/>
    <w:rsid w:val="0CA76C1E"/>
    <w:rsid w:val="0D082EEC"/>
    <w:rsid w:val="0D365267"/>
    <w:rsid w:val="0E1324BB"/>
    <w:rsid w:val="0E464928"/>
    <w:rsid w:val="0E7549D1"/>
    <w:rsid w:val="0EAD6790"/>
    <w:rsid w:val="0EF5006E"/>
    <w:rsid w:val="0F7D4857"/>
    <w:rsid w:val="0FAB30C4"/>
    <w:rsid w:val="0FAF1C81"/>
    <w:rsid w:val="10047DA9"/>
    <w:rsid w:val="10413420"/>
    <w:rsid w:val="104E0165"/>
    <w:rsid w:val="105E7487"/>
    <w:rsid w:val="10D7499C"/>
    <w:rsid w:val="112423E5"/>
    <w:rsid w:val="11573F8A"/>
    <w:rsid w:val="120306E6"/>
    <w:rsid w:val="12242CC7"/>
    <w:rsid w:val="12365536"/>
    <w:rsid w:val="12786CF2"/>
    <w:rsid w:val="12DB5AAD"/>
    <w:rsid w:val="13914897"/>
    <w:rsid w:val="13AC3B73"/>
    <w:rsid w:val="144742E2"/>
    <w:rsid w:val="144E17E8"/>
    <w:rsid w:val="154B4739"/>
    <w:rsid w:val="156A6F50"/>
    <w:rsid w:val="15D8663B"/>
    <w:rsid w:val="15E20F2D"/>
    <w:rsid w:val="15E66C82"/>
    <w:rsid w:val="165754AD"/>
    <w:rsid w:val="165B6323"/>
    <w:rsid w:val="168F7C0A"/>
    <w:rsid w:val="16A52D76"/>
    <w:rsid w:val="17321EED"/>
    <w:rsid w:val="18111559"/>
    <w:rsid w:val="183F48C2"/>
    <w:rsid w:val="188665D5"/>
    <w:rsid w:val="18C47E7D"/>
    <w:rsid w:val="195126E2"/>
    <w:rsid w:val="1A750EBE"/>
    <w:rsid w:val="1ACB1D58"/>
    <w:rsid w:val="1B8747A5"/>
    <w:rsid w:val="1C7B281D"/>
    <w:rsid w:val="1E2810C1"/>
    <w:rsid w:val="1E522E75"/>
    <w:rsid w:val="1E8E5305"/>
    <w:rsid w:val="1F2C4D2C"/>
    <w:rsid w:val="1FF40688"/>
    <w:rsid w:val="1FF90DC4"/>
    <w:rsid w:val="2011185F"/>
    <w:rsid w:val="21025237"/>
    <w:rsid w:val="21294361"/>
    <w:rsid w:val="21486D51"/>
    <w:rsid w:val="21E70FEF"/>
    <w:rsid w:val="22B05D2B"/>
    <w:rsid w:val="22F8048F"/>
    <w:rsid w:val="23020EF4"/>
    <w:rsid w:val="234A27A9"/>
    <w:rsid w:val="23821F70"/>
    <w:rsid w:val="23B343B6"/>
    <w:rsid w:val="24681CC6"/>
    <w:rsid w:val="24925CBD"/>
    <w:rsid w:val="24EA4F95"/>
    <w:rsid w:val="24F73F10"/>
    <w:rsid w:val="25103D8C"/>
    <w:rsid w:val="254237AE"/>
    <w:rsid w:val="25A05047"/>
    <w:rsid w:val="26E47B9C"/>
    <w:rsid w:val="2714107F"/>
    <w:rsid w:val="27EA62A4"/>
    <w:rsid w:val="282F5357"/>
    <w:rsid w:val="28A1418D"/>
    <w:rsid w:val="28DA3985"/>
    <w:rsid w:val="28E02F21"/>
    <w:rsid w:val="292875F4"/>
    <w:rsid w:val="298A0D65"/>
    <w:rsid w:val="299F5785"/>
    <w:rsid w:val="29CF3B52"/>
    <w:rsid w:val="29E24F4B"/>
    <w:rsid w:val="2A184E1F"/>
    <w:rsid w:val="2AEB6408"/>
    <w:rsid w:val="2C1C6203"/>
    <w:rsid w:val="2C336E4B"/>
    <w:rsid w:val="2C3C4024"/>
    <w:rsid w:val="2C566730"/>
    <w:rsid w:val="2C9A2A8C"/>
    <w:rsid w:val="2C9A6269"/>
    <w:rsid w:val="2CF83E56"/>
    <w:rsid w:val="2CFB4F90"/>
    <w:rsid w:val="2D2A1D0D"/>
    <w:rsid w:val="2D850B71"/>
    <w:rsid w:val="2DA74F8B"/>
    <w:rsid w:val="2DBC37E0"/>
    <w:rsid w:val="2E2F79FF"/>
    <w:rsid w:val="2E714AF5"/>
    <w:rsid w:val="2EBC1B59"/>
    <w:rsid w:val="2F0E5507"/>
    <w:rsid w:val="2F3B3AB3"/>
    <w:rsid w:val="2F832538"/>
    <w:rsid w:val="2FC10028"/>
    <w:rsid w:val="2FDE33AD"/>
    <w:rsid w:val="2FE20833"/>
    <w:rsid w:val="310465ED"/>
    <w:rsid w:val="31510AC9"/>
    <w:rsid w:val="31EE45A0"/>
    <w:rsid w:val="32157B83"/>
    <w:rsid w:val="33177CB9"/>
    <w:rsid w:val="33821535"/>
    <w:rsid w:val="33F20F2A"/>
    <w:rsid w:val="34C521B5"/>
    <w:rsid w:val="34E73EBF"/>
    <w:rsid w:val="352647D4"/>
    <w:rsid w:val="355B309B"/>
    <w:rsid w:val="35EE7A7B"/>
    <w:rsid w:val="36FE658D"/>
    <w:rsid w:val="3781441E"/>
    <w:rsid w:val="37FC7264"/>
    <w:rsid w:val="38E70256"/>
    <w:rsid w:val="390F3E68"/>
    <w:rsid w:val="39551D3F"/>
    <w:rsid w:val="39670776"/>
    <w:rsid w:val="396A3B5C"/>
    <w:rsid w:val="3A43058A"/>
    <w:rsid w:val="3A54454A"/>
    <w:rsid w:val="3AC568DA"/>
    <w:rsid w:val="3AE75605"/>
    <w:rsid w:val="3B337E5E"/>
    <w:rsid w:val="3B5F6E45"/>
    <w:rsid w:val="3B7E598D"/>
    <w:rsid w:val="3C1F4887"/>
    <w:rsid w:val="3C4410C3"/>
    <w:rsid w:val="3C6A2E08"/>
    <w:rsid w:val="3C775C9A"/>
    <w:rsid w:val="3CE72C13"/>
    <w:rsid w:val="3D98796C"/>
    <w:rsid w:val="3DA0062A"/>
    <w:rsid w:val="3E9321D5"/>
    <w:rsid w:val="3F00274D"/>
    <w:rsid w:val="3F3F01CF"/>
    <w:rsid w:val="3F777248"/>
    <w:rsid w:val="40081587"/>
    <w:rsid w:val="407424DF"/>
    <w:rsid w:val="40940D4D"/>
    <w:rsid w:val="40B773F2"/>
    <w:rsid w:val="41025F63"/>
    <w:rsid w:val="411F7B7C"/>
    <w:rsid w:val="42885B3F"/>
    <w:rsid w:val="429B5D27"/>
    <w:rsid w:val="42E11524"/>
    <w:rsid w:val="43643D6E"/>
    <w:rsid w:val="43C2137F"/>
    <w:rsid w:val="45282DB6"/>
    <w:rsid w:val="453F0A9F"/>
    <w:rsid w:val="45847F71"/>
    <w:rsid w:val="459D1BAA"/>
    <w:rsid w:val="45B25CC0"/>
    <w:rsid w:val="45D773FA"/>
    <w:rsid w:val="45E06E35"/>
    <w:rsid w:val="466B4DBB"/>
    <w:rsid w:val="467E1493"/>
    <w:rsid w:val="46825BBE"/>
    <w:rsid w:val="471D1953"/>
    <w:rsid w:val="47A4115D"/>
    <w:rsid w:val="4841289B"/>
    <w:rsid w:val="4874764B"/>
    <w:rsid w:val="49126C73"/>
    <w:rsid w:val="49604EC2"/>
    <w:rsid w:val="4968790B"/>
    <w:rsid w:val="499B125C"/>
    <w:rsid w:val="4A0B011A"/>
    <w:rsid w:val="4A403CEB"/>
    <w:rsid w:val="4ADF644D"/>
    <w:rsid w:val="4B327714"/>
    <w:rsid w:val="4B553B78"/>
    <w:rsid w:val="4BD172B5"/>
    <w:rsid w:val="4C14190A"/>
    <w:rsid w:val="4CA41B29"/>
    <w:rsid w:val="4CEB67D7"/>
    <w:rsid w:val="4D083FAA"/>
    <w:rsid w:val="4D4F3929"/>
    <w:rsid w:val="4D651AA8"/>
    <w:rsid w:val="4D774C7C"/>
    <w:rsid w:val="4DB0730C"/>
    <w:rsid w:val="4ED86813"/>
    <w:rsid w:val="4FA071C7"/>
    <w:rsid w:val="4FDD59F1"/>
    <w:rsid w:val="500150BC"/>
    <w:rsid w:val="506C718A"/>
    <w:rsid w:val="507A1FD2"/>
    <w:rsid w:val="50834F8C"/>
    <w:rsid w:val="50AF190C"/>
    <w:rsid w:val="50F036F6"/>
    <w:rsid w:val="50F53FFE"/>
    <w:rsid w:val="51BC69A8"/>
    <w:rsid w:val="52A64F62"/>
    <w:rsid w:val="533A113B"/>
    <w:rsid w:val="535146DF"/>
    <w:rsid w:val="53632365"/>
    <w:rsid w:val="5382286A"/>
    <w:rsid w:val="53AC0356"/>
    <w:rsid w:val="53FD7164"/>
    <w:rsid w:val="54022C04"/>
    <w:rsid w:val="548860DF"/>
    <w:rsid w:val="549A0F61"/>
    <w:rsid w:val="54A744A2"/>
    <w:rsid w:val="54D04FD1"/>
    <w:rsid w:val="54FC579D"/>
    <w:rsid w:val="553C75F7"/>
    <w:rsid w:val="55CE790D"/>
    <w:rsid w:val="55F92A00"/>
    <w:rsid w:val="566F01A6"/>
    <w:rsid w:val="5673079B"/>
    <w:rsid w:val="56FB4947"/>
    <w:rsid w:val="57325016"/>
    <w:rsid w:val="57491370"/>
    <w:rsid w:val="576B4E36"/>
    <w:rsid w:val="57944254"/>
    <w:rsid w:val="579850D6"/>
    <w:rsid w:val="57D367F9"/>
    <w:rsid w:val="57DC59B0"/>
    <w:rsid w:val="57E57F25"/>
    <w:rsid w:val="58202476"/>
    <w:rsid w:val="58753A6F"/>
    <w:rsid w:val="594707FA"/>
    <w:rsid w:val="594850CA"/>
    <w:rsid w:val="5AE20769"/>
    <w:rsid w:val="5B2F5D9A"/>
    <w:rsid w:val="5C8B47DC"/>
    <w:rsid w:val="5CD252D1"/>
    <w:rsid w:val="5D5C103F"/>
    <w:rsid w:val="5D9F00C0"/>
    <w:rsid w:val="5D9F787A"/>
    <w:rsid w:val="5DAB4AE2"/>
    <w:rsid w:val="5DDB05FF"/>
    <w:rsid w:val="5E8E5228"/>
    <w:rsid w:val="5ED61FE6"/>
    <w:rsid w:val="5F290E97"/>
    <w:rsid w:val="5F77344F"/>
    <w:rsid w:val="616C6450"/>
    <w:rsid w:val="6219372A"/>
    <w:rsid w:val="62232D89"/>
    <w:rsid w:val="62433671"/>
    <w:rsid w:val="62882943"/>
    <w:rsid w:val="631C06D1"/>
    <w:rsid w:val="63574332"/>
    <w:rsid w:val="63661552"/>
    <w:rsid w:val="637C141E"/>
    <w:rsid w:val="64162C40"/>
    <w:rsid w:val="645F2839"/>
    <w:rsid w:val="646F011E"/>
    <w:rsid w:val="64AC50A1"/>
    <w:rsid w:val="64B74DAD"/>
    <w:rsid w:val="65171E03"/>
    <w:rsid w:val="653B3D4B"/>
    <w:rsid w:val="656331FA"/>
    <w:rsid w:val="659C08CB"/>
    <w:rsid w:val="6677559F"/>
    <w:rsid w:val="6693678F"/>
    <w:rsid w:val="66C66965"/>
    <w:rsid w:val="672F5C95"/>
    <w:rsid w:val="67352508"/>
    <w:rsid w:val="673D5A3D"/>
    <w:rsid w:val="67530DBD"/>
    <w:rsid w:val="67617426"/>
    <w:rsid w:val="67EB4657"/>
    <w:rsid w:val="681249D6"/>
    <w:rsid w:val="685B6741"/>
    <w:rsid w:val="68A325AA"/>
    <w:rsid w:val="691A347C"/>
    <w:rsid w:val="692D5DCB"/>
    <w:rsid w:val="69CA0452"/>
    <w:rsid w:val="69CA706B"/>
    <w:rsid w:val="6A0E53D7"/>
    <w:rsid w:val="6A187F57"/>
    <w:rsid w:val="6AC24C0F"/>
    <w:rsid w:val="6ADB48A1"/>
    <w:rsid w:val="6AFD6CA3"/>
    <w:rsid w:val="6B08773F"/>
    <w:rsid w:val="6B267B22"/>
    <w:rsid w:val="6B6F431B"/>
    <w:rsid w:val="6BE41351"/>
    <w:rsid w:val="6C2D1E2D"/>
    <w:rsid w:val="6C9B6430"/>
    <w:rsid w:val="6CC12C1E"/>
    <w:rsid w:val="6CD34F30"/>
    <w:rsid w:val="6D400035"/>
    <w:rsid w:val="6D4C45D3"/>
    <w:rsid w:val="6D5B6DAA"/>
    <w:rsid w:val="6E1022C2"/>
    <w:rsid w:val="6E1A189A"/>
    <w:rsid w:val="6EBC14FF"/>
    <w:rsid w:val="6EFB548C"/>
    <w:rsid w:val="6FEE22B5"/>
    <w:rsid w:val="70467F42"/>
    <w:rsid w:val="70AA350C"/>
    <w:rsid w:val="70B065B5"/>
    <w:rsid w:val="71192648"/>
    <w:rsid w:val="718B19C6"/>
    <w:rsid w:val="71954D00"/>
    <w:rsid w:val="71C04C9C"/>
    <w:rsid w:val="71C304C2"/>
    <w:rsid w:val="727079E7"/>
    <w:rsid w:val="72E8136F"/>
    <w:rsid w:val="73E3764E"/>
    <w:rsid w:val="73E8301F"/>
    <w:rsid w:val="74AC20CA"/>
    <w:rsid w:val="75695C4F"/>
    <w:rsid w:val="76595527"/>
    <w:rsid w:val="76D61C88"/>
    <w:rsid w:val="7745004B"/>
    <w:rsid w:val="777F4BCA"/>
    <w:rsid w:val="7795326E"/>
    <w:rsid w:val="790E4003"/>
    <w:rsid w:val="792720A9"/>
    <w:rsid w:val="796E1A86"/>
    <w:rsid w:val="7A8C7172"/>
    <w:rsid w:val="7AC16C87"/>
    <w:rsid w:val="7B116B6D"/>
    <w:rsid w:val="7B3E738B"/>
    <w:rsid w:val="7B3F60EC"/>
    <w:rsid w:val="7B883BA1"/>
    <w:rsid w:val="7C3F6430"/>
    <w:rsid w:val="7C52199A"/>
    <w:rsid w:val="7C66588B"/>
    <w:rsid w:val="7CE00EED"/>
    <w:rsid w:val="7CF90201"/>
    <w:rsid w:val="7D8F5415"/>
    <w:rsid w:val="7DA40AF3"/>
    <w:rsid w:val="7DD94508"/>
    <w:rsid w:val="7DE71E07"/>
    <w:rsid w:val="7DEE7682"/>
    <w:rsid w:val="7ECB06DE"/>
    <w:rsid w:val="7F4F5EB6"/>
    <w:rsid w:val="7FA206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jc w:val="both"/>
    </w:pPr>
    <w:rPr>
      <w:rFonts w:ascii="Times New Roman" w:hAnsi="Times New Roman" w:eastAsia="宋体" w:cs="Times New Roman"/>
      <w:color w:val="000000"/>
      <w:sz w:val="21"/>
      <w:szCs w:val="21"/>
      <w:lang w:val="en-US" w:eastAsia="zh-CN" w:bidi="ar-SA"/>
    </w:rPr>
  </w:style>
  <w:style w:type="paragraph" w:styleId="2">
    <w:name w:val="heading 1"/>
    <w:basedOn w:val="1"/>
    <w:next w:val="1"/>
    <w:link w:val="67"/>
    <w:autoRedefine/>
    <w:qFormat/>
    <w:uiPriority w:val="0"/>
    <w:pPr>
      <w:keepNext/>
      <w:keepLines/>
      <w:spacing w:before="340" w:after="330" w:line="576" w:lineRule="auto"/>
      <w:outlineLvl w:val="0"/>
    </w:pPr>
    <w:rPr>
      <w:b/>
      <w:kern w:val="44"/>
      <w:sz w:val="44"/>
    </w:rPr>
  </w:style>
  <w:style w:type="paragraph" w:styleId="3">
    <w:name w:val="heading 2"/>
    <w:basedOn w:val="1"/>
    <w:next w:val="1"/>
    <w:link w:val="68"/>
    <w:autoRedefine/>
    <w:qFormat/>
    <w:uiPriority w:val="0"/>
    <w:pPr>
      <w:keepNext/>
      <w:keepLines/>
      <w:autoSpaceDE/>
      <w:autoSpaceDN/>
      <w:adjustRightInd/>
      <w:spacing w:before="260" w:after="260" w:line="413" w:lineRule="auto"/>
      <w:outlineLvl w:val="1"/>
    </w:pPr>
    <w:rPr>
      <w:rFonts w:ascii="Arial" w:hAnsi="Arial" w:eastAsia="黑体"/>
      <w:b/>
      <w:bCs/>
      <w:kern w:val="2"/>
      <w:sz w:val="32"/>
      <w:szCs w:val="32"/>
    </w:rPr>
  </w:style>
  <w:style w:type="paragraph" w:styleId="4">
    <w:name w:val="heading 3"/>
    <w:basedOn w:val="1"/>
    <w:next w:val="1"/>
    <w:link w:val="69"/>
    <w:autoRedefine/>
    <w:qFormat/>
    <w:uiPriority w:val="0"/>
    <w:pPr>
      <w:keepNext/>
      <w:keepLines/>
      <w:spacing w:before="260" w:after="260" w:line="413" w:lineRule="auto"/>
      <w:outlineLvl w:val="2"/>
    </w:pPr>
    <w:rPr>
      <w:b/>
      <w:bCs/>
      <w:sz w:val="32"/>
      <w:szCs w:val="32"/>
    </w:rPr>
  </w:style>
  <w:style w:type="paragraph" w:styleId="5">
    <w:name w:val="heading 4"/>
    <w:basedOn w:val="1"/>
    <w:next w:val="1"/>
    <w:link w:val="70"/>
    <w:autoRedefine/>
    <w:qFormat/>
    <w:uiPriority w:val="0"/>
    <w:pPr>
      <w:keepNext/>
      <w:keepLines/>
      <w:spacing w:before="280" w:after="290" w:line="377" w:lineRule="auto"/>
      <w:outlineLvl w:val="3"/>
    </w:pPr>
    <w:rPr>
      <w:rFonts w:ascii="Cambria" w:hAnsi="Cambria" w:eastAsia="黑体" w:cs="Times New Roman"/>
      <w:b/>
      <w:bCs/>
      <w:kern w:val="2"/>
      <w:sz w:val="24"/>
      <w:szCs w:val="28"/>
      <w:lang w:val="en-US" w:eastAsia="zh-CN" w:bidi="ar-SA"/>
    </w:rPr>
  </w:style>
  <w:style w:type="paragraph" w:styleId="6">
    <w:name w:val="heading 5"/>
    <w:basedOn w:val="1"/>
    <w:next w:val="1"/>
    <w:link w:val="159"/>
    <w:autoRedefine/>
    <w:qFormat/>
    <w:uiPriority w:val="0"/>
    <w:pPr>
      <w:keepNext/>
      <w:keepLines/>
      <w:autoSpaceDE/>
      <w:autoSpaceDN/>
      <w:adjustRightInd/>
      <w:spacing w:before="280" w:after="290" w:line="372" w:lineRule="auto"/>
      <w:outlineLvl w:val="4"/>
    </w:pPr>
    <w:rPr>
      <w:b/>
      <w:bCs/>
      <w:kern w:val="2"/>
      <w:sz w:val="28"/>
      <w:szCs w:val="28"/>
    </w:rPr>
  </w:style>
  <w:style w:type="paragraph" w:styleId="7">
    <w:name w:val="heading 6"/>
    <w:basedOn w:val="1"/>
    <w:next w:val="1"/>
    <w:link w:val="160"/>
    <w:autoRedefine/>
    <w:qFormat/>
    <w:uiPriority w:val="0"/>
    <w:pPr>
      <w:keepNext/>
      <w:keepLines/>
      <w:widowControl/>
      <w:tabs>
        <w:tab w:val="left" w:pos="1152"/>
      </w:tabs>
      <w:overflowPunct w:val="0"/>
      <w:autoSpaceDE/>
      <w:autoSpaceDN/>
      <w:snapToGrid w:val="0"/>
      <w:spacing w:before="120" w:after="120" w:line="360" w:lineRule="auto"/>
      <w:ind w:left="1152" w:hanging="1152"/>
      <w:textAlignment w:val="baseline"/>
      <w:outlineLvl w:val="5"/>
    </w:pPr>
    <w:rPr>
      <w:kern w:val="24"/>
      <w:sz w:val="24"/>
      <w:szCs w:val="24"/>
    </w:rPr>
  </w:style>
  <w:style w:type="paragraph" w:styleId="8">
    <w:name w:val="heading 7"/>
    <w:basedOn w:val="1"/>
    <w:next w:val="1"/>
    <w:link w:val="161"/>
    <w:autoRedefine/>
    <w:qFormat/>
    <w:uiPriority w:val="0"/>
    <w:pPr>
      <w:keepNext/>
      <w:keepLines/>
      <w:widowControl/>
      <w:tabs>
        <w:tab w:val="left" w:pos="1296"/>
      </w:tabs>
      <w:overflowPunct w:val="0"/>
      <w:autoSpaceDE/>
      <w:autoSpaceDN/>
      <w:snapToGrid w:val="0"/>
      <w:spacing w:before="120" w:after="120" w:line="360" w:lineRule="auto"/>
      <w:ind w:left="1296" w:hanging="1296"/>
      <w:jc w:val="left"/>
      <w:textAlignment w:val="baseline"/>
      <w:outlineLvl w:val="6"/>
    </w:pPr>
    <w:rPr>
      <w:spacing w:val="2"/>
      <w:kern w:val="24"/>
      <w:sz w:val="24"/>
      <w:szCs w:val="24"/>
    </w:rPr>
  </w:style>
  <w:style w:type="paragraph" w:styleId="9">
    <w:name w:val="heading 8"/>
    <w:basedOn w:val="1"/>
    <w:next w:val="1"/>
    <w:link w:val="162"/>
    <w:autoRedefine/>
    <w:qFormat/>
    <w:uiPriority w:val="0"/>
    <w:pPr>
      <w:keepNext/>
      <w:keepLines/>
      <w:widowControl/>
      <w:tabs>
        <w:tab w:val="left" w:pos="1440"/>
      </w:tabs>
      <w:overflowPunct w:val="0"/>
      <w:autoSpaceDE/>
      <w:autoSpaceDN/>
      <w:snapToGrid w:val="0"/>
      <w:spacing w:before="120" w:after="120" w:line="360" w:lineRule="auto"/>
      <w:ind w:left="1440" w:hanging="1440"/>
      <w:jc w:val="left"/>
      <w:textAlignment w:val="baseline"/>
      <w:outlineLvl w:val="7"/>
    </w:pPr>
    <w:rPr>
      <w:kern w:val="24"/>
      <w:sz w:val="24"/>
      <w:szCs w:val="24"/>
    </w:rPr>
  </w:style>
  <w:style w:type="paragraph" w:styleId="10">
    <w:name w:val="heading 9"/>
    <w:basedOn w:val="1"/>
    <w:next w:val="1"/>
    <w:link w:val="163"/>
    <w:autoRedefine/>
    <w:qFormat/>
    <w:uiPriority w:val="0"/>
    <w:pPr>
      <w:keepNext/>
      <w:keepLines/>
      <w:autoSpaceDE/>
      <w:autoSpaceDN/>
      <w:adjustRightInd/>
      <w:spacing w:before="240" w:after="64" w:line="317" w:lineRule="auto"/>
      <w:outlineLvl w:val="8"/>
    </w:pPr>
    <w:rPr>
      <w:rFonts w:ascii="Arial" w:hAnsi="Arial" w:eastAsia="黑体"/>
      <w:color w:val="auto"/>
      <w:kern w:val="2"/>
      <w:szCs w:val="24"/>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autoSpaceDE/>
      <w:autoSpaceDN/>
      <w:adjustRightInd/>
      <w:spacing w:line="360" w:lineRule="auto"/>
      <w:ind w:left="1440" w:firstLine="200" w:firstLineChars="200"/>
      <w:jc w:val="left"/>
    </w:pPr>
    <w:rPr>
      <w:rFonts w:ascii="Calibri" w:hAnsi="Calibri"/>
      <w:color w:val="auto"/>
      <w:kern w:val="2"/>
      <w:sz w:val="18"/>
      <w:szCs w:val="18"/>
    </w:rPr>
  </w:style>
  <w:style w:type="paragraph" w:styleId="12">
    <w:name w:val="List Number 2"/>
    <w:basedOn w:val="1"/>
    <w:autoRedefine/>
    <w:qFormat/>
    <w:uiPriority w:val="0"/>
    <w:pPr>
      <w:widowControl/>
      <w:tabs>
        <w:tab w:val="left" w:pos="820"/>
      </w:tabs>
      <w:autoSpaceDE/>
      <w:autoSpaceDN/>
      <w:adjustRightInd/>
      <w:spacing w:afterLines="50"/>
      <w:ind w:left="988" w:hanging="420"/>
      <w:jc w:val="left"/>
    </w:pPr>
    <w:rPr>
      <w:color w:val="auto"/>
      <w:sz w:val="24"/>
      <w:szCs w:val="20"/>
    </w:rPr>
  </w:style>
  <w:style w:type="paragraph" w:styleId="13">
    <w:name w:val="List Number"/>
    <w:basedOn w:val="1"/>
    <w:autoRedefine/>
    <w:qFormat/>
    <w:uiPriority w:val="0"/>
    <w:pPr>
      <w:widowControl/>
      <w:numPr>
        <w:ilvl w:val="0"/>
        <w:numId w:val="1"/>
      </w:numPr>
      <w:tabs>
        <w:tab w:val="left" w:pos="720"/>
        <w:tab w:val="clear" w:pos="360"/>
      </w:tabs>
      <w:autoSpaceDE/>
      <w:autoSpaceDN/>
      <w:adjustRightInd/>
      <w:spacing w:afterLines="50"/>
      <w:jc w:val="left"/>
    </w:pPr>
    <w:rPr>
      <w:color w:val="auto"/>
      <w:sz w:val="24"/>
      <w:szCs w:val="20"/>
    </w:rPr>
  </w:style>
  <w:style w:type="paragraph" w:styleId="14">
    <w:name w:val="Normal Indent"/>
    <w:basedOn w:val="1"/>
    <w:next w:val="1"/>
    <w:link w:val="79"/>
    <w:autoRedefine/>
    <w:qFormat/>
    <w:uiPriority w:val="0"/>
    <w:pPr>
      <w:autoSpaceDE/>
      <w:autoSpaceDN/>
      <w:adjustRightInd/>
      <w:ind w:firstLine="420"/>
    </w:pPr>
    <w:rPr>
      <w:rFonts w:asciiTheme="minorHAnsi" w:hAnsiTheme="minorHAnsi" w:eastAsiaTheme="minorEastAsia" w:cstheme="minorBidi"/>
      <w:color w:val="auto"/>
      <w:kern w:val="2"/>
      <w:szCs w:val="22"/>
    </w:rPr>
  </w:style>
  <w:style w:type="paragraph" w:styleId="15">
    <w:name w:val="caption"/>
    <w:basedOn w:val="1"/>
    <w:next w:val="1"/>
    <w:autoRedefine/>
    <w:qFormat/>
    <w:uiPriority w:val="0"/>
    <w:pPr>
      <w:autoSpaceDE/>
      <w:autoSpaceDN/>
      <w:adjustRightInd/>
      <w:spacing w:line="360" w:lineRule="auto"/>
      <w:ind w:firstLine="200" w:firstLineChars="200"/>
    </w:pPr>
    <w:rPr>
      <w:rFonts w:ascii="Cambria" w:hAnsi="Cambria" w:eastAsia="黑体"/>
      <w:color w:val="auto"/>
      <w:kern w:val="2"/>
      <w:sz w:val="20"/>
      <w:szCs w:val="20"/>
    </w:rPr>
  </w:style>
  <w:style w:type="paragraph" w:styleId="16">
    <w:name w:val="index 5"/>
    <w:basedOn w:val="1"/>
    <w:next w:val="1"/>
    <w:autoRedefine/>
    <w:qFormat/>
    <w:uiPriority w:val="0"/>
    <w:pPr>
      <w:ind w:left="800" w:leftChars="800"/>
    </w:pPr>
  </w:style>
  <w:style w:type="paragraph" w:styleId="17">
    <w:name w:val="Document Map"/>
    <w:basedOn w:val="1"/>
    <w:link w:val="113"/>
    <w:autoRedefine/>
    <w:qFormat/>
    <w:uiPriority w:val="0"/>
    <w:pPr>
      <w:shd w:val="clear" w:color="auto" w:fill="000080"/>
      <w:autoSpaceDE/>
      <w:autoSpaceDN/>
      <w:adjustRightInd/>
    </w:pPr>
    <w:rPr>
      <w:color w:val="auto"/>
      <w:kern w:val="2"/>
      <w:szCs w:val="24"/>
    </w:rPr>
  </w:style>
  <w:style w:type="paragraph" w:styleId="18">
    <w:name w:val="annotation text"/>
    <w:basedOn w:val="1"/>
    <w:link w:val="108"/>
    <w:autoRedefine/>
    <w:unhideWhenUsed/>
    <w:qFormat/>
    <w:uiPriority w:val="0"/>
    <w:pPr>
      <w:jc w:val="left"/>
    </w:pPr>
  </w:style>
  <w:style w:type="paragraph" w:styleId="19">
    <w:name w:val="Body Text 3"/>
    <w:basedOn w:val="1"/>
    <w:link w:val="154"/>
    <w:autoRedefine/>
    <w:unhideWhenUsed/>
    <w:qFormat/>
    <w:uiPriority w:val="0"/>
    <w:pPr>
      <w:spacing w:after="120"/>
    </w:pPr>
    <w:rPr>
      <w:sz w:val="16"/>
      <w:szCs w:val="16"/>
    </w:rPr>
  </w:style>
  <w:style w:type="paragraph" w:styleId="20">
    <w:name w:val="Body Text"/>
    <w:basedOn w:val="1"/>
    <w:link w:val="121"/>
    <w:autoRedefine/>
    <w:qFormat/>
    <w:uiPriority w:val="0"/>
    <w:pPr>
      <w:spacing w:after="120"/>
    </w:pPr>
  </w:style>
  <w:style w:type="paragraph" w:styleId="21">
    <w:name w:val="Body Text Indent"/>
    <w:basedOn w:val="1"/>
    <w:link w:val="114"/>
    <w:autoRedefine/>
    <w:unhideWhenUsed/>
    <w:qFormat/>
    <w:uiPriority w:val="0"/>
    <w:pPr>
      <w:spacing w:after="120"/>
      <w:ind w:left="420" w:leftChars="200"/>
    </w:pPr>
  </w:style>
  <w:style w:type="paragraph" w:styleId="22">
    <w:name w:val="List Number 3"/>
    <w:basedOn w:val="1"/>
    <w:autoRedefine/>
    <w:qFormat/>
    <w:uiPriority w:val="0"/>
    <w:pPr>
      <w:numPr>
        <w:ilvl w:val="0"/>
        <w:numId w:val="2"/>
      </w:numPr>
    </w:pPr>
  </w:style>
  <w:style w:type="paragraph" w:styleId="23">
    <w:name w:val="toc 5"/>
    <w:basedOn w:val="1"/>
    <w:next w:val="1"/>
    <w:autoRedefine/>
    <w:qFormat/>
    <w:uiPriority w:val="0"/>
    <w:pPr>
      <w:autoSpaceDE/>
      <w:autoSpaceDN/>
      <w:adjustRightInd/>
      <w:spacing w:line="360" w:lineRule="auto"/>
      <w:ind w:left="960" w:firstLine="200" w:firstLineChars="200"/>
      <w:jc w:val="left"/>
    </w:pPr>
    <w:rPr>
      <w:rFonts w:ascii="Calibri" w:hAnsi="Calibri"/>
      <w:color w:val="auto"/>
      <w:kern w:val="2"/>
      <w:sz w:val="18"/>
      <w:szCs w:val="18"/>
    </w:rPr>
  </w:style>
  <w:style w:type="paragraph" w:styleId="24">
    <w:name w:val="toc 3"/>
    <w:basedOn w:val="1"/>
    <w:next w:val="1"/>
    <w:autoRedefine/>
    <w:qFormat/>
    <w:uiPriority w:val="0"/>
    <w:pPr>
      <w:autoSpaceDE/>
      <w:autoSpaceDN/>
      <w:adjustRightInd/>
      <w:spacing w:line="360" w:lineRule="auto"/>
      <w:ind w:left="480" w:firstLine="200" w:firstLineChars="200"/>
      <w:jc w:val="left"/>
    </w:pPr>
    <w:rPr>
      <w:rFonts w:ascii="Calibri" w:hAnsi="Calibri"/>
      <w:i/>
      <w:iCs/>
      <w:color w:val="auto"/>
      <w:kern w:val="2"/>
      <w:sz w:val="20"/>
      <w:szCs w:val="20"/>
    </w:rPr>
  </w:style>
  <w:style w:type="paragraph" w:styleId="25">
    <w:name w:val="Plain Text"/>
    <w:basedOn w:val="1"/>
    <w:next w:val="26"/>
    <w:link w:val="97"/>
    <w:autoRedefine/>
    <w:qFormat/>
    <w:uiPriority w:val="0"/>
    <w:pPr>
      <w:autoSpaceDE/>
      <w:autoSpaceDN/>
      <w:adjustRightInd/>
    </w:pPr>
    <w:rPr>
      <w:rFonts w:asciiTheme="minorHAnsi" w:hAnsiTheme="minorHAnsi" w:eastAsiaTheme="minorEastAsia" w:cstheme="minorBidi"/>
      <w:color w:val="auto"/>
      <w:kern w:val="2"/>
      <w:sz w:val="24"/>
      <w:szCs w:val="22"/>
    </w:rPr>
  </w:style>
  <w:style w:type="paragraph" w:styleId="26">
    <w:name w:val="index 7"/>
    <w:basedOn w:val="1"/>
    <w:next w:val="1"/>
    <w:autoRedefine/>
    <w:qFormat/>
    <w:uiPriority w:val="0"/>
    <w:pPr>
      <w:autoSpaceDE/>
      <w:autoSpaceDN/>
      <w:adjustRightInd/>
      <w:ind w:left="1200" w:leftChars="1200"/>
    </w:pPr>
    <w:rPr>
      <w:color w:val="auto"/>
      <w:kern w:val="2"/>
      <w:szCs w:val="24"/>
    </w:rPr>
  </w:style>
  <w:style w:type="paragraph" w:styleId="27">
    <w:name w:val="toc 8"/>
    <w:basedOn w:val="1"/>
    <w:next w:val="1"/>
    <w:autoRedefine/>
    <w:qFormat/>
    <w:uiPriority w:val="0"/>
    <w:pPr>
      <w:autoSpaceDE/>
      <w:autoSpaceDN/>
      <w:adjustRightInd/>
      <w:spacing w:line="360" w:lineRule="auto"/>
      <w:ind w:left="1680" w:firstLine="200" w:firstLineChars="200"/>
      <w:jc w:val="left"/>
    </w:pPr>
    <w:rPr>
      <w:rFonts w:ascii="Calibri" w:hAnsi="Calibri"/>
      <w:color w:val="auto"/>
      <w:kern w:val="2"/>
      <w:sz w:val="18"/>
      <w:szCs w:val="18"/>
    </w:rPr>
  </w:style>
  <w:style w:type="paragraph" w:styleId="28">
    <w:name w:val="Date"/>
    <w:basedOn w:val="1"/>
    <w:next w:val="1"/>
    <w:link w:val="100"/>
    <w:autoRedefine/>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18"/>
    <w:autoRedefine/>
    <w:qFormat/>
    <w:uiPriority w:val="0"/>
    <w:pPr>
      <w:autoSpaceDE/>
      <w:autoSpaceDN/>
      <w:adjustRightInd/>
      <w:spacing w:after="120" w:line="480" w:lineRule="auto"/>
      <w:ind w:left="420" w:leftChars="200" w:firstLine="200" w:firstLineChars="200"/>
    </w:pPr>
    <w:rPr>
      <w:rFonts w:ascii="仿宋_GB2312" w:eastAsia="仿宋_GB2312"/>
      <w:color w:val="auto"/>
      <w:kern w:val="2"/>
      <w:sz w:val="28"/>
      <w:szCs w:val="28"/>
    </w:rPr>
  </w:style>
  <w:style w:type="paragraph" w:styleId="30">
    <w:name w:val="Balloon Text"/>
    <w:basedOn w:val="1"/>
    <w:link w:val="112"/>
    <w:autoRedefine/>
    <w:qFormat/>
    <w:uiPriority w:val="0"/>
    <w:pPr>
      <w:autoSpaceDE/>
      <w:autoSpaceDN/>
      <w:adjustRightInd/>
    </w:pPr>
    <w:rPr>
      <w:color w:val="auto"/>
      <w:kern w:val="2"/>
      <w:sz w:val="18"/>
      <w:szCs w:val="18"/>
    </w:rPr>
  </w:style>
  <w:style w:type="paragraph" w:styleId="31">
    <w:name w:val="footer"/>
    <w:basedOn w:val="1"/>
    <w:link w:val="83"/>
    <w:autoRedefine/>
    <w:qFormat/>
    <w:uiPriority w:val="0"/>
    <w:pPr>
      <w:tabs>
        <w:tab w:val="center" w:pos="4153"/>
        <w:tab w:val="right" w:pos="8306"/>
      </w:tabs>
      <w:snapToGrid w:val="0"/>
      <w:jc w:val="left"/>
    </w:pPr>
    <w:rPr>
      <w:rFonts w:asciiTheme="minorHAnsi" w:hAnsiTheme="minorHAnsi" w:eastAsiaTheme="minorEastAsia" w:cstheme="minorBidi"/>
      <w:kern w:val="2"/>
      <w:sz w:val="18"/>
      <w:szCs w:val="18"/>
    </w:rPr>
  </w:style>
  <w:style w:type="paragraph" w:styleId="32">
    <w:name w:val="header"/>
    <w:basedOn w:val="1"/>
    <w:link w:val="84"/>
    <w:autoRedefine/>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Signature"/>
    <w:basedOn w:val="1"/>
    <w:next w:val="1"/>
    <w:link w:val="94"/>
    <w:autoRedefine/>
    <w:qFormat/>
    <w:uiPriority w:val="0"/>
    <w:pPr>
      <w:keepNext/>
      <w:widowControl/>
      <w:numPr>
        <w:ilvl w:val="1"/>
        <w:numId w:val="3"/>
      </w:numPr>
      <w:autoSpaceDE/>
      <w:autoSpaceDN/>
      <w:spacing w:line="220" w:lineRule="atLeast"/>
      <w:jc w:val="right"/>
      <w:textAlignment w:val="baseline"/>
    </w:pPr>
    <w:rPr>
      <w:rFonts w:ascii="Arial" w:hAnsi="Arial" w:eastAsiaTheme="minorEastAsia" w:cstheme="minorBidi"/>
      <w:color w:val="auto"/>
      <w:spacing w:val="-5"/>
      <w:kern w:val="2"/>
      <w:sz w:val="24"/>
      <w:szCs w:val="22"/>
    </w:rPr>
  </w:style>
  <w:style w:type="paragraph" w:styleId="34">
    <w:name w:val="toc 1"/>
    <w:basedOn w:val="1"/>
    <w:next w:val="1"/>
    <w:autoRedefine/>
    <w:qFormat/>
    <w:uiPriority w:val="0"/>
    <w:pPr>
      <w:spacing w:line="360" w:lineRule="auto"/>
    </w:pPr>
    <w:rPr>
      <w:rFonts w:eastAsia="黑体"/>
      <w:sz w:val="24"/>
    </w:rPr>
  </w:style>
  <w:style w:type="paragraph" w:styleId="35">
    <w:name w:val="toc 4"/>
    <w:basedOn w:val="1"/>
    <w:next w:val="1"/>
    <w:autoRedefine/>
    <w:qFormat/>
    <w:uiPriority w:val="0"/>
    <w:pPr>
      <w:autoSpaceDE/>
      <w:autoSpaceDN/>
      <w:adjustRightInd/>
      <w:spacing w:line="360" w:lineRule="auto"/>
      <w:ind w:left="720" w:firstLine="200" w:firstLineChars="200"/>
      <w:jc w:val="left"/>
    </w:pPr>
    <w:rPr>
      <w:rFonts w:ascii="Calibri" w:hAnsi="Calibri"/>
      <w:color w:val="auto"/>
      <w:kern w:val="2"/>
      <w:sz w:val="18"/>
      <w:szCs w:val="18"/>
    </w:rPr>
  </w:style>
  <w:style w:type="paragraph" w:styleId="36">
    <w:name w:val="List"/>
    <w:basedOn w:val="1"/>
    <w:autoRedefine/>
    <w:qFormat/>
    <w:uiPriority w:val="0"/>
    <w:pPr>
      <w:ind w:left="200" w:hanging="200" w:hangingChars="200"/>
      <w:contextualSpacing/>
    </w:pPr>
  </w:style>
  <w:style w:type="paragraph" w:styleId="37">
    <w:name w:val="footnote text"/>
    <w:basedOn w:val="1"/>
    <w:autoRedefine/>
    <w:qFormat/>
    <w:uiPriority w:val="99"/>
    <w:pPr>
      <w:adjustRightInd/>
      <w:spacing w:before="60" w:after="60" w:line="300" w:lineRule="exact"/>
    </w:pPr>
    <w:rPr>
      <w:color w:val="0000FF"/>
    </w:rPr>
  </w:style>
  <w:style w:type="paragraph" w:styleId="38">
    <w:name w:val="toc 6"/>
    <w:basedOn w:val="1"/>
    <w:next w:val="1"/>
    <w:autoRedefine/>
    <w:qFormat/>
    <w:uiPriority w:val="0"/>
    <w:pPr>
      <w:autoSpaceDE/>
      <w:autoSpaceDN/>
      <w:adjustRightInd/>
      <w:spacing w:line="360" w:lineRule="auto"/>
      <w:ind w:left="1200" w:firstLine="200" w:firstLineChars="200"/>
      <w:jc w:val="left"/>
    </w:pPr>
    <w:rPr>
      <w:rFonts w:ascii="Calibri" w:hAnsi="Calibri"/>
      <w:color w:val="auto"/>
      <w:kern w:val="2"/>
      <w:sz w:val="18"/>
      <w:szCs w:val="18"/>
    </w:rPr>
  </w:style>
  <w:style w:type="paragraph" w:styleId="39">
    <w:name w:val="Body Text Indent 3"/>
    <w:basedOn w:val="1"/>
    <w:link w:val="96"/>
    <w:autoRedefine/>
    <w:qFormat/>
    <w:uiPriority w:val="0"/>
    <w:pPr>
      <w:autoSpaceDE/>
      <w:autoSpaceDN/>
      <w:adjustRightInd/>
      <w:ind w:firstLine="435"/>
    </w:pPr>
    <w:rPr>
      <w:rFonts w:asciiTheme="minorHAnsi" w:hAnsiTheme="minorHAnsi" w:eastAsiaTheme="minorEastAsia" w:cstheme="minorBidi"/>
      <w:color w:val="auto"/>
      <w:kern w:val="2"/>
      <w:szCs w:val="24"/>
    </w:rPr>
  </w:style>
  <w:style w:type="paragraph" w:styleId="40">
    <w:name w:val="toc 2"/>
    <w:basedOn w:val="1"/>
    <w:next w:val="1"/>
    <w:autoRedefine/>
    <w:qFormat/>
    <w:uiPriority w:val="0"/>
    <w:pPr>
      <w:tabs>
        <w:tab w:val="right" w:leader="dot" w:pos="8296"/>
      </w:tabs>
      <w:autoSpaceDE/>
      <w:autoSpaceDN/>
      <w:adjustRightInd/>
      <w:spacing w:line="360" w:lineRule="auto"/>
      <w:ind w:left="240" w:firstLine="44" w:firstLineChars="22"/>
      <w:jc w:val="left"/>
    </w:pPr>
    <w:rPr>
      <w:rFonts w:ascii="Calibri" w:hAnsi="Calibri"/>
      <w:smallCaps/>
      <w:color w:val="auto"/>
      <w:kern w:val="2"/>
      <w:sz w:val="20"/>
      <w:szCs w:val="20"/>
    </w:rPr>
  </w:style>
  <w:style w:type="paragraph" w:styleId="41">
    <w:name w:val="toc 9"/>
    <w:basedOn w:val="1"/>
    <w:next w:val="1"/>
    <w:autoRedefine/>
    <w:qFormat/>
    <w:uiPriority w:val="0"/>
    <w:pPr>
      <w:autoSpaceDE/>
      <w:autoSpaceDN/>
      <w:adjustRightInd/>
      <w:spacing w:line="360" w:lineRule="auto"/>
      <w:ind w:left="1920" w:firstLine="200" w:firstLineChars="200"/>
      <w:jc w:val="left"/>
    </w:pPr>
    <w:rPr>
      <w:rFonts w:ascii="Calibri" w:hAnsi="Calibri"/>
      <w:color w:val="auto"/>
      <w:kern w:val="2"/>
      <w:sz w:val="18"/>
      <w:szCs w:val="18"/>
    </w:rPr>
  </w:style>
  <w:style w:type="paragraph" w:styleId="42">
    <w:name w:val="Body Text 2"/>
    <w:basedOn w:val="1"/>
    <w:link w:val="207"/>
    <w:autoRedefine/>
    <w:qFormat/>
    <w:uiPriority w:val="0"/>
    <w:pPr>
      <w:autoSpaceDE/>
      <w:autoSpaceDN/>
      <w:adjustRightInd/>
      <w:spacing w:after="120" w:line="480" w:lineRule="auto"/>
      <w:ind w:left="425" w:hanging="425"/>
    </w:pPr>
    <w:rPr>
      <w:kern w:val="2"/>
      <w:szCs w:val="22"/>
    </w:rPr>
  </w:style>
  <w:style w:type="paragraph" w:styleId="43">
    <w:name w:val="HTML Preformatted"/>
    <w:basedOn w:val="1"/>
    <w:link w:val="93"/>
    <w:autoRedefine/>
    <w:qFormat/>
    <w:uiPriority w:val="0"/>
    <w:pPr>
      <w:autoSpaceDE/>
      <w:autoSpaceDN/>
      <w:adjustRightInd/>
    </w:pPr>
    <w:rPr>
      <w:rFonts w:ascii="Arial Unicode MS" w:hAnsi="Arial Unicode MS" w:eastAsia="Arial Unicode MS" w:cstheme="minorBidi"/>
      <w:color w:val="auto"/>
      <w:kern w:val="2"/>
      <w:szCs w:val="22"/>
    </w:rPr>
  </w:style>
  <w:style w:type="paragraph" w:styleId="44">
    <w:name w:val="Normal (Web)"/>
    <w:basedOn w:val="1"/>
    <w:link w:val="86"/>
    <w:autoRedefine/>
    <w:qFormat/>
    <w:uiPriority w:val="0"/>
    <w:pPr>
      <w:widowControl/>
      <w:autoSpaceDE/>
      <w:autoSpaceDN/>
      <w:adjustRightInd/>
      <w:spacing w:before="100" w:beforeAutospacing="1" w:after="100" w:afterAutospacing="1"/>
      <w:jc w:val="left"/>
    </w:pPr>
    <w:rPr>
      <w:rFonts w:ascii="宋体" w:hAnsi="宋体" w:eastAsiaTheme="minorEastAsia" w:cstheme="minorBidi"/>
      <w:kern w:val="2"/>
      <w:sz w:val="24"/>
      <w:szCs w:val="24"/>
    </w:rPr>
  </w:style>
  <w:style w:type="paragraph" w:styleId="45">
    <w:name w:val="index 1"/>
    <w:basedOn w:val="1"/>
    <w:next w:val="1"/>
    <w:autoRedefine/>
    <w:qFormat/>
    <w:uiPriority w:val="0"/>
    <w:pPr>
      <w:autoSpaceDE/>
      <w:autoSpaceDN/>
      <w:spacing w:line="360" w:lineRule="atLeast"/>
      <w:jc w:val="center"/>
      <w:textAlignment w:val="baseline"/>
    </w:pPr>
    <w:rPr>
      <w:rFonts w:ascii="Arial" w:hAnsi="Arial"/>
      <w:color w:val="auto"/>
      <w:kern w:val="2"/>
    </w:rPr>
  </w:style>
  <w:style w:type="paragraph" w:styleId="46">
    <w:name w:val="Title"/>
    <w:basedOn w:val="1"/>
    <w:next w:val="1"/>
    <w:link w:val="206"/>
    <w:autoRedefine/>
    <w:qFormat/>
    <w:uiPriority w:val="0"/>
    <w:pPr>
      <w:autoSpaceDE/>
      <w:autoSpaceDN/>
      <w:adjustRightInd/>
      <w:spacing w:before="240" w:after="60"/>
      <w:jc w:val="center"/>
      <w:outlineLvl w:val="0"/>
    </w:pPr>
    <w:rPr>
      <w:rFonts w:ascii="Arial" w:hAnsi="Arial"/>
      <w:b/>
      <w:bCs/>
      <w:kern w:val="2"/>
      <w:sz w:val="32"/>
      <w:szCs w:val="32"/>
    </w:rPr>
  </w:style>
  <w:style w:type="paragraph" w:styleId="47">
    <w:name w:val="annotation subject"/>
    <w:basedOn w:val="18"/>
    <w:next w:val="18"/>
    <w:link w:val="109"/>
    <w:autoRedefine/>
    <w:qFormat/>
    <w:uiPriority w:val="0"/>
    <w:pPr>
      <w:autoSpaceDE/>
      <w:autoSpaceDN/>
      <w:adjustRightInd/>
    </w:pPr>
    <w:rPr>
      <w:b/>
      <w:bCs/>
      <w:color w:val="auto"/>
      <w:kern w:val="2"/>
      <w:szCs w:val="24"/>
    </w:rPr>
  </w:style>
  <w:style w:type="paragraph" w:styleId="48">
    <w:name w:val="Body Text First Indent"/>
    <w:basedOn w:val="20"/>
    <w:next w:val="1"/>
    <w:link w:val="158"/>
    <w:autoRedefine/>
    <w:unhideWhenUsed/>
    <w:qFormat/>
    <w:uiPriority w:val="0"/>
    <w:pPr>
      <w:ind w:firstLine="420" w:firstLineChars="100"/>
    </w:pPr>
  </w:style>
  <w:style w:type="paragraph" w:styleId="49">
    <w:name w:val="Body Text First Indent 2"/>
    <w:basedOn w:val="21"/>
    <w:link w:val="115"/>
    <w:autoRedefine/>
    <w:qFormat/>
    <w:uiPriority w:val="0"/>
    <w:pPr>
      <w:autoSpaceDE/>
      <w:autoSpaceDN/>
      <w:adjustRightInd/>
      <w:spacing w:line="360" w:lineRule="auto"/>
      <w:ind w:firstLine="420" w:firstLineChars="200"/>
    </w:pPr>
    <w:rPr>
      <w:rFonts w:ascii="Calibri" w:hAnsi="Calibri"/>
      <w:color w:val="auto"/>
      <w:kern w:val="2"/>
      <w:sz w:val="24"/>
      <w:szCs w:val="22"/>
    </w:rPr>
  </w:style>
  <w:style w:type="table" w:styleId="51">
    <w:name w:val="Table Grid"/>
    <w:basedOn w:val="50"/>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basedOn w:val="52"/>
    <w:autoRedefine/>
    <w:qFormat/>
    <w:uiPriority w:val="0"/>
    <w:rPr>
      <w:b/>
      <w:bCs/>
    </w:rPr>
  </w:style>
  <w:style w:type="character" w:styleId="54">
    <w:name w:val="page number"/>
    <w:basedOn w:val="52"/>
    <w:autoRedefine/>
    <w:qFormat/>
    <w:uiPriority w:val="0"/>
  </w:style>
  <w:style w:type="character" w:styleId="55">
    <w:name w:val="Emphasis"/>
    <w:autoRedefine/>
    <w:qFormat/>
    <w:uiPriority w:val="0"/>
    <w:rPr>
      <w:color w:val="CC0000"/>
    </w:rPr>
  </w:style>
  <w:style w:type="character" w:styleId="56">
    <w:name w:val="Hyperlink"/>
    <w:basedOn w:val="52"/>
    <w:autoRedefine/>
    <w:qFormat/>
    <w:uiPriority w:val="0"/>
    <w:rPr>
      <w:color w:val="0000FF"/>
      <w:u w:val="single"/>
    </w:rPr>
  </w:style>
  <w:style w:type="character" w:styleId="57">
    <w:name w:val="annotation reference"/>
    <w:autoRedefine/>
    <w:qFormat/>
    <w:uiPriority w:val="0"/>
    <w:rPr>
      <w:sz w:val="21"/>
      <w:szCs w:val="21"/>
    </w:rPr>
  </w:style>
  <w:style w:type="character" w:styleId="58">
    <w:name w:val="HTML Sample"/>
    <w:basedOn w:val="52"/>
    <w:autoRedefine/>
    <w:semiHidden/>
    <w:unhideWhenUsed/>
    <w:qFormat/>
    <w:uiPriority w:val="99"/>
    <w:rPr>
      <w:rFonts w:ascii="Courier New" w:hAnsi="Courier New"/>
    </w:rPr>
  </w:style>
  <w:style w:type="paragraph" w:customStyle="1" w:styleId="5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60">
    <w:name w:val="BodyText1I"/>
    <w:basedOn w:val="61"/>
    <w:next w:val="1"/>
    <w:autoRedefine/>
    <w:qFormat/>
    <w:uiPriority w:val="0"/>
    <w:pPr>
      <w:spacing w:line="360" w:lineRule="auto"/>
      <w:ind w:firstLine="420"/>
      <w:jc w:val="both"/>
      <w:textAlignment w:val="baseline"/>
    </w:pPr>
    <w:rPr>
      <w:rFonts w:ascii="宋体" w:hAnsi="Times New Roman" w:eastAsia="宋体"/>
      <w:kern w:val="2"/>
      <w:sz w:val="24"/>
      <w:szCs w:val="20"/>
      <w:lang w:val="zh-CN" w:eastAsia="zh-CN" w:bidi="ar-SA"/>
    </w:rPr>
  </w:style>
  <w:style w:type="paragraph" w:customStyle="1" w:styleId="61">
    <w:name w:val="BodyText"/>
    <w:basedOn w:val="1"/>
    <w:next w:val="60"/>
    <w:autoRedefine/>
    <w:qFormat/>
    <w:uiPriority w:val="0"/>
    <w:pPr>
      <w:spacing w:line="360" w:lineRule="auto"/>
      <w:jc w:val="both"/>
      <w:textAlignment w:val="baseline"/>
    </w:pPr>
    <w:rPr>
      <w:rFonts w:ascii="宋体" w:hAnsi="Arial" w:eastAsia="宋体"/>
      <w:kern w:val="2"/>
      <w:sz w:val="24"/>
      <w:szCs w:val="21"/>
      <w:lang w:val="zh-CN" w:eastAsia="zh-CN" w:bidi="ar-SA"/>
    </w:rPr>
  </w:style>
  <w:style w:type="paragraph" w:customStyle="1" w:styleId="62">
    <w:name w:val="表格文字"/>
    <w:basedOn w:val="25"/>
    <w:next w:val="20"/>
    <w:autoRedefine/>
    <w:qFormat/>
    <w:uiPriority w:val="0"/>
    <w:pPr>
      <w:spacing w:line="420" w:lineRule="atLeast"/>
      <w:textAlignment w:val="baseline"/>
    </w:pPr>
  </w:style>
  <w:style w:type="paragraph" w:customStyle="1" w:styleId="63">
    <w:name w:val="表格文字（两侧对齐）"/>
    <w:basedOn w:val="1"/>
    <w:autoRedefine/>
    <w:qFormat/>
    <w:uiPriority w:val="0"/>
    <w:pPr>
      <w:snapToGrid w:val="0"/>
    </w:pPr>
    <w:rPr>
      <w:sz w:val="20"/>
      <w:szCs w:val="24"/>
    </w:rPr>
  </w:style>
  <w:style w:type="paragraph" w:customStyle="1" w:styleId="64">
    <w:name w:val="Body Text 31"/>
    <w:basedOn w:val="1"/>
    <w:autoRedefine/>
    <w:qFormat/>
    <w:uiPriority w:val="0"/>
    <w:rPr>
      <w:sz w:val="16"/>
      <w:szCs w:val="16"/>
    </w:rPr>
  </w:style>
  <w:style w:type="paragraph" w:customStyle="1" w:styleId="65">
    <w:name w:val="Body Text First Indent 21"/>
    <w:basedOn w:val="66"/>
    <w:autoRedefine/>
    <w:qFormat/>
    <w:uiPriority w:val="0"/>
    <w:pPr>
      <w:autoSpaceDE/>
      <w:autoSpaceDN/>
      <w:adjustRightInd/>
      <w:ind w:firstLine="420"/>
    </w:pPr>
    <w:rPr>
      <w:rFonts w:cs="宋体" w:asciiTheme="minorHAnsi" w:hAnsiTheme="minorHAnsi" w:eastAsiaTheme="minorEastAsia"/>
      <w:color w:val="auto"/>
      <w:kern w:val="2"/>
      <w:szCs w:val="24"/>
    </w:rPr>
  </w:style>
  <w:style w:type="paragraph" w:customStyle="1" w:styleId="66">
    <w:name w:val="Body Text Indent1"/>
    <w:basedOn w:val="1"/>
    <w:next w:val="1"/>
    <w:autoRedefine/>
    <w:qFormat/>
    <w:uiPriority w:val="0"/>
    <w:pPr>
      <w:ind w:left="420" w:leftChars="200"/>
    </w:pPr>
  </w:style>
  <w:style w:type="character" w:customStyle="1" w:styleId="67">
    <w:name w:val="标题 1 Char"/>
    <w:basedOn w:val="52"/>
    <w:link w:val="2"/>
    <w:autoRedefine/>
    <w:qFormat/>
    <w:uiPriority w:val="0"/>
    <w:rPr>
      <w:rFonts w:ascii="Times New Roman" w:hAnsi="Times New Roman" w:eastAsia="宋体" w:cs="Times New Roman"/>
      <w:b/>
      <w:color w:val="000000"/>
      <w:kern w:val="44"/>
      <w:sz w:val="44"/>
      <w:szCs w:val="21"/>
    </w:rPr>
  </w:style>
  <w:style w:type="character" w:customStyle="1" w:styleId="68">
    <w:name w:val="标题 2 Char"/>
    <w:basedOn w:val="52"/>
    <w:link w:val="3"/>
    <w:autoRedefine/>
    <w:qFormat/>
    <w:uiPriority w:val="0"/>
    <w:rPr>
      <w:rFonts w:ascii="Arial" w:hAnsi="Arial" w:eastAsia="黑体" w:cs="Times New Roman"/>
      <w:b/>
      <w:bCs/>
      <w:color w:val="000000"/>
      <w:sz w:val="32"/>
      <w:szCs w:val="32"/>
    </w:rPr>
  </w:style>
  <w:style w:type="character" w:customStyle="1" w:styleId="69">
    <w:name w:val="标题 3 Char"/>
    <w:basedOn w:val="52"/>
    <w:link w:val="4"/>
    <w:autoRedefine/>
    <w:qFormat/>
    <w:uiPriority w:val="0"/>
    <w:rPr>
      <w:rFonts w:ascii="Times New Roman" w:hAnsi="Times New Roman" w:eastAsia="宋体" w:cs="Times New Roman"/>
      <w:b/>
      <w:bCs/>
      <w:color w:val="000000"/>
      <w:kern w:val="0"/>
      <w:sz w:val="32"/>
      <w:szCs w:val="32"/>
    </w:rPr>
  </w:style>
  <w:style w:type="character" w:customStyle="1" w:styleId="70">
    <w:name w:val="标题 4 Char"/>
    <w:basedOn w:val="52"/>
    <w:link w:val="5"/>
    <w:autoRedefine/>
    <w:qFormat/>
    <w:uiPriority w:val="0"/>
    <w:rPr>
      <w:rFonts w:ascii="Cambria" w:hAnsi="Cambria" w:eastAsia="黑体" w:cs="Times New Roman"/>
      <w:b/>
      <w:bCs/>
      <w:sz w:val="24"/>
      <w:szCs w:val="28"/>
    </w:rPr>
  </w:style>
  <w:style w:type="character" w:customStyle="1" w:styleId="71">
    <w:name w:val="正文文字2 Char"/>
    <w:link w:val="72"/>
    <w:autoRedefine/>
    <w:qFormat/>
    <w:uiPriority w:val="0"/>
    <w:rPr>
      <w:rFonts w:ascii="Arial" w:eastAsia="黑体"/>
    </w:rPr>
  </w:style>
  <w:style w:type="paragraph" w:customStyle="1" w:styleId="72">
    <w:name w:val="正文文字2"/>
    <w:basedOn w:val="20"/>
    <w:next w:val="13"/>
    <w:link w:val="71"/>
    <w:autoRedefine/>
    <w:qFormat/>
    <w:uiPriority w:val="0"/>
    <w:pPr>
      <w:autoSpaceDE/>
      <w:autoSpaceDN/>
      <w:spacing w:after="60" w:line="360" w:lineRule="atLeast"/>
      <w:ind w:left="72" w:right="72"/>
      <w:jc w:val="center"/>
      <w:textAlignment w:val="baseline"/>
    </w:pPr>
    <w:rPr>
      <w:rFonts w:ascii="Arial" w:eastAsia="黑体" w:hAnsiTheme="minorHAnsi" w:cstheme="minorBidi"/>
      <w:color w:val="auto"/>
      <w:kern w:val="2"/>
      <w:szCs w:val="22"/>
    </w:rPr>
  </w:style>
  <w:style w:type="character" w:customStyle="1" w:styleId="73">
    <w:name w:val="列出段落 Char Char"/>
    <w:link w:val="74"/>
    <w:autoRedefine/>
    <w:qFormat/>
    <w:uiPriority w:val="0"/>
    <w:rPr>
      <w:rFonts w:ascii="Calibri" w:hAnsi="Calibri"/>
    </w:rPr>
  </w:style>
  <w:style w:type="paragraph" w:customStyle="1" w:styleId="74">
    <w:name w:val="列表段落1"/>
    <w:basedOn w:val="1"/>
    <w:link w:val="73"/>
    <w:autoRedefine/>
    <w:qFormat/>
    <w:uiPriority w:val="0"/>
    <w:pPr>
      <w:autoSpaceDE/>
      <w:autoSpaceDN/>
      <w:adjustRightInd/>
      <w:ind w:firstLine="420" w:firstLineChars="200"/>
    </w:pPr>
    <w:rPr>
      <w:rFonts w:ascii="Calibri" w:hAnsi="Calibri" w:eastAsiaTheme="minorEastAsia" w:cstheme="minorBidi"/>
      <w:color w:val="auto"/>
      <w:kern w:val="2"/>
      <w:szCs w:val="22"/>
    </w:rPr>
  </w:style>
  <w:style w:type="character" w:customStyle="1" w:styleId="75">
    <w:name w:val="列出段落 Char"/>
    <w:link w:val="76"/>
    <w:autoRedefine/>
    <w:qFormat/>
    <w:uiPriority w:val="0"/>
    <w:rPr>
      <w:rFonts w:ascii="Calibri" w:hAnsi="Calibri"/>
    </w:rPr>
  </w:style>
  <w:style w:type="paragraph" w:styleId="76">
    <w:name w:val="List Paragraph"/>
    <w:basedOn w:val="1"/>
    <w:link w:val="75"/>
    <w:autoRedefine/>
    <w:qFormat/>
    <w:uiPriority w:val="0"/>
    <w:pPr>
      <w:autoSpaceDE/>
      <w:autoSpaceDN/>
      <w:adjustRightInd/>
      <w:ind w:firstLine="420" w:firstLineChars="200"/>
    </w:pPr>
    <w:rPr>
      <w:rFonts w:ascii="Calibri" w:hAnsi="Calibri" w:eastAsiaTheme="minorEastAsia" w:cstheme="minorBidi"/>
      <w:color w:val="auto"/>
      <w:kern w:val="2"/>
      <w:szCs w:val="22"/>
    </w:rPr>
  </w:style>
  <w:style w:type="character" w:customStyle="1" w:styleId="77">
    <w:name w:val="日期 Char1"/>
    <w:autoRedefine/>
    <w:qFormat/>
    <w:uiPriority w:val="0"/>
    <w:rPr>
      <w:kern w:val="2"/>
      <w:sz w:val="21"/>
      <w:szCs w:val="24"/>
    </w:rPr>
  </w:style>
  <w:style w:type="character" w:customStyle="1" w:styleId="78">
    <w:name w:val="Char Char3"/>
    <w:basedOn w:val="52"/>
    <w:autoRedefine/>
    <w:qFormat/>
    <w:uiPriority w:val="0"/>
    <w:rPr>
      <w:rFonts w:ascii="宋体" w:hAnsi="Courier New" w:eastAsia="宋体"/>
      <w:sz w:val="24"/>
      <w:szCs w:val="24"/>
      <w:lang w:bidi="ar-SA"/>
    </w:rPr>
  </w:style>
  <w:style w:type="character" w:customStyle="1" w:styleId="79">
    <w:name w:val="正文缩进 Char1"/>
    <w:basedOn w:val="52"/>
    <w:link w:val="14"/>
    <w:autoRedefine/>
    <w:qFormat/>
    <w:uiPriority w:val="0"/>
  </w:style>
  <w:style w:type="character" w:customStyle="1" w:styleId="80">
    <w:name w:val="正文文本缩进 字符"/>
    <w:basedOn w:val="52"/>
    <w:autoRedefine/>
    <w:qFormat/>
    <w:uiPriority w:val="0"/>
    <w:rPr>
      <w:rFonts w:eastAsia="宋体"/>
      <w:color w:val="000000"/>
      <w:sz w:val="21"/>
      <w:szCs w:val="21"/>
      <w:lang w:val="en-US" w:eastAsia="zh-CN" w:bidi="ar-SA"/>
    </w:rPr>
  </w:style>
  <w:style w:type="character" w:customStyle="1" w:styleId="81">
    <w:name w:val="15"/>
    <w:basedOn w:val="52"/>
    <w:autoRedefine/>
    <w:qFormat/>
    <w:uiPriority w:val="0"/>
    <w:rPr>
      <w:rFonts w:hint="default" w:ascii="Lucida Sans" w:hAnsi="Lucida Sans"/>
    </w:rPr>
  </w:style>
  <w:style w:type="character" w:customStyle="1" w:styleId="82">
    <w:name w:val="jtz3 Char"/>
    <w:autoRedefine/>
    <w:qFormat/>
    <w:uiPriority w:val="0"/>
    <w:rPr>
      <w:rFonts w:eastAsia="宋体"/>
      <w:b/>
      <w:bCs/>
      <w:kern w:val="2"/>
      <w:sz w:val="28"/>
      <w:szCs w:val="32"/>
      <w:lang w:val="en-US" w:eastAsia="zh-CN" w:bidi="ar-SA"/>
    </w:rPr>
  </w:style>
  <w:style w:type="character" w:customStyle="1" w:styleId="83">
    <w:name w:val="页脚 Char1"/>
    <w:basedOn w:val="52"/>
    <w:link w:val="31"/>
    <w:autoRedefine/>
    <w:qFormat/>
    <w:uiPriority w:val="99"/>
    <w:rPr>
      <w:color w:val="000000"/>
      <w:sz w:val="18"/>
      <w:szCs w:val="18"/>
    </w:rPr>
  </w:style>
  <w:style w:type="character" w:customStyle="1" w:styleId="84">
    <w:name w:val="页眉 Char1"/>
    <w:basedOn w:val="52"/>
    <w:link w:val="32"/>
    <w:autoRedefine/>
    <w:qFormat/>
    <w:uiPriority w:val="99"/>
    <w:rPr>
      <w:color w:val="000000"/>
      <w:sz w:val="18"/>
      <w:szCs w:val="18"/>
    </w:rPr>
  </w:style>
  <w:style w:type="character" w:customStyle="1" w:styleId="85">
    <w:name w:val="jtz2 Char1"/>
    <w:autoRedefine/>
    <w:qFormat/>
    <w:uiPriority w:val="0"/>
    <w:rPr>
      <w:rFonts w:ascii="Cambria" w:hAnsi="Cambria" w:eastAsia="宋体"/>
      <w:b/>
      <w:bCs/>
      <w:kern w:val="2"/>
      <w:sz w:val="30"/>
      <w:szCs w:val="32"/>
      <w:lang w:val="en-US" w:eastAsia="zh-CN" w:bidi="ar-SA"/>
    </w:rPr>
  </w:style>
  <w:style w:type="character" w:customStyle="1" w:styleId="86">
    <w:name w:val="普通(网站) Char"/>
    <w:basedOn w:val="52"/>
    <w:link w:val="44"/>
    <w:autoRedefine/>
    <w:qFormat/>
    <w:uiPriority w:val="0"/>
    <w:rPr>
      <w:rFonts w:ascii="宋体" w:hAnsi="宋体"/>
      <w:color w:val="000000"/>
      <w:sz w:val="24"/>
      <w:szCs w:val="24"/>
    </w:rPr>
  </w:style>
  <w:style w:type="character" w:customStyle="1" w:styleId="87">
    <w:name w:val="Char Char13"/>
    <w:autoRedefine/>
    <w:qFormat/>
    <w:uiPriority w:val="0"/>
    <w:rPr>
      <w:rFonts w:eastAsia="宋体"/>
      <w:b/>
      <w:bCs/>
      <w:kern w:val="44"/>
      <w:sz w:val="44"/>
      <w:szCs w:val="44"/>
      <w:lang w:val="en-US" w:eastAsia="zh-CN" w:bidi="ar-SA"/>
    </w:rPr>
  </w:style>
  <w:style w:type="character" w:customStyle="1" w:styleId="88">
    <w:name w:val="Char Char17"/>
    <w:autoRedefine/>
    <w:qFormat/>
    <w:uiPriority w:val="0"/>
    <w:rPr>
      <w:rFonts w:ascii="Calibri" w:hAnsi="Calibri" w:eastAsia="宋体" w:cs="Times New Roman"/>
    </w:rPr>
  </w:style>
  <w:style w:type="character" w:customStyle="1" w:styleId="89">
    <w:name w:val="正文文本缩进 2 Char1"/>
    <w:autoRedefine/>
    <w:qFormat/>
    <w:uiPriority w:val="0"/>
    <w:rPr>
      <w:kern w:val="2"/>
      <w:sz w:val="21"/>
      <w:szCs w:val="24"/>
    </w:rPr>
  </w:style>
  <w:style w:type="character" w:customStyle="1" w:styleId="90">
    <w:name w:val="param-name"/>
    <w:autoRedefine/>
    <w:qFormat/>
    <w:uiPriority w:val="0"/>
  </w:style>
  <w:style w:type="character" w:customStyle="1" w:styleId="91">
    <w:name w:val="01 正文样式 Char"/>
    <w:link w:val="92"/>
    <w:autoRedefine/>
    <w:qFormat/>
    <w:uiPriority w:val="0"/>
    <w:rPr>
      <w:sz w:val="24"/>
    </w:rPr>
  </w:style>
  <w:style w:type="paragraph" w:customStyle="1" w:styleId="92">
    <w:name w:val="01 正文样式"/>
    <w:basedOn w:val="1"/>
    <w:link w:val="91"/>
    <w:autoRedefine/>
    <w:qFormat/>
    <w:uiPriority w:val="0"/>
    <w:pPr>
      <w:autoSpaceDE/>
      <w:autoSpaceDN/>
      <w:adjustRightInd/>
      <w:spacing w:line="560" w:lineRule="exact"/>
      <w:ind w:firstLine="480" w:firstLineChars="200"/>
    </w:pPr>
    <w:rPr>
      <w:rFonts w:asciiTheme="minorHAnsi" w:hAnsiTheme="minorHAnsi" w:eastAsiaTheme="minorEastAsia" w:cstheme="minorBidi"/>
      <w:color w:val="auto"/>
      <w:kern w:val="2"/>
      <w:sz w:val="24"/>
      <w:szCs w:val="22"/>
    </w:rPr>
  </w:style>
  <w:style w:type="character" w:customStyle="1" w:styleId="93">
    <w:name w:val="HTML 预设格式 Char"/>
    <w:basedOn w:val="52"/>
    <w:link w:val="43"/>
    <w:autoRedefine/>
    <w:qFormat/>
    <w:uiPriority w:val="0"/>
    <w:rPr>
      <w:rFonts w:ascii="Arial Unicode MS" w:hAnsi="Arial Unicode MS" w:eastAsia="Arial Unicode MS"/>
    </w:rPr>
  </w:style>
  <w:style w:type="character" w:customStyle="1" w:styleId="94">
    <w:name w:val="签名 Char"/>
    <w:basedOn w:val="52"/>
    <w:link w:val="33"/>
    <w:autoRedefine/>
    <w:qFormat/>
    <w:uiPriority w:val="0"/>
    <w:rPr>
      <w:rFonts w:ascii="Arial" w:hAnsi="Arial"/>
      <w:spacing w:val="-5"/>
      <w:sz w:val="24"/>
    </w:rPr>
  </w:style>
  <w:style w:type="character" w:customStyle="1" w:styleId="95">
    <w:name w:val="jtz2 Char"/>
    <w:autoRedefine/>
    <w:qFormat/>
    <w:uiPriority w:val="0"/>
    <w:rPr>
      <w:rFonts w:ascii="Arial" w:hAnsi="Arial" w:eastAsia="宋体"/>
      <w:b/>
      <w:bCs/>
      <w:kern w:val="2"/>
      <w:sz w:val="30"/>
      <w:szCs w:val="32"/>
      <w:lang w:val="en-US" w:eastAsia="zh-CN" w:bidi="ar-SA"/>
    </w:rPr>
  </w:style>
  <w:style w:type="character" w:customStyle="1" w:styleId="96">
    <w:name w:val="正文文本缩进 3 Char"/>
    <w:basedOn w:val="52"/>
    <w:link w:val="39"/>
    <w:autoRedefine/>
    <w:qFormat/>
    <w:uiPriority w:val="0"/>
    <w:rPr>
      <w:szCs w:val="24"/>
    </w:rPr>
  </w:style>
  <w:style w:type="character" w:customStyle="1" w:styleId="97">
    <w:name w:val="纯文本 Char1"/>
    <w:basedOn w:val="52"/>
    <w:link w:val="25"/>
    <w:autoRedefine/>
    <w:qFormat/>
    <w:uiPriority w:val="0"/>
    <w:rPr>
      <w:sz w:val="24"/>
    </w:rPr>
  </w:style>
  <w:style w:type="character" w:customStyle="1" w:styleId="98">
    <w:name w:val="01正文样式 Char"/>
    <w:link w:val="99"/>
    <w:autoRedefine/>
    <w:qFormat/>
    <w:uiPriority w:val="0"/>
    <w:rPr>
      <w:rFonts w:ascii="Tahoma" w:hAnsi="Tahoma" w:eastAsia="仿宋_GB2312"/>
      <w:sz w:val="28"/>
    </w:rPr>
  </w:style>
  <w:style w:type="paragraph" w:customStyle="1" w:styleId="99">
    <w:name w:val="01正文样式"/>
    <w:basedOn w:val="1"/>
    <w:link w:val="98"/>
    <w:autoRedefine/>
    <w:qFormat/>
    <w:uiPriority w:val="0"/>
    <w:pPr>
      <w:autoSpaceDE/>
      <w:autoSpaceDN/>
      <w:adjustRightInd/>
      <w:ind w:firstLine="480"/>
    </w:pPr>
    <w:rPr>
      <w:rFonts w:ascii="Tahoma" w:hAnsi="Tahoma" w:eastAsia="仿宋_GB2312" w:cstheme="minorBidi"/>
      <w:color w:val="auto"/>
      <w:kern w:val="2"/>
      <w:sz w:val="28"/>
      <w:szCs w:val="22"/>
    </w:rPr>
  </w:style>
  <w:style w:type="character" w:customStyle="1" w:styleId="100">
    <w:name w:val="日期 Char"/>
    <w:basedOn w:val="52"/>
    <w:link w:val="28"/>
    <w:autoRedefine/>
    <w:qFormat/>
    <w:uiPriority w:val="0"/>
    <w:rPr>
      <w:color w:val="000000"/>
      <w:szCs w:val="21"/>
    </w:rPr>
  </w:style>
  <w:style w:type="character" w:customStyle="1" w:styleId="101">
    <w:name w:val="Char Char11"/>
    <w:basedOn w:val="52"/>
    <w:autoRedefine/>
    <w:qFormat/>
    <w:uiPriority w:val="0"/>
    <w:rPr>
      <w:rFonts w:ascii="Arial" w:hAnsi="Arial" w:eastAsia="黑体"/>
      <w:b/>
      <w:kern w:val="2"/>
      <w:sz w:val="32"/>
      <w:szCs w:val="32"/>
      <w:lang w:val="en-US" w:eastAsia="zh-CN" w:bidi="ar-SA"/>
    </w:rPr>
  </w:style>
  <w:style w:type="character" w:customStyle="1" w:styleId="102">
    <w:name w:val="font01"/>
    <w:basedOn w:val="52"/>
    <w:autoRedefine/>
    <w:qFormat/>
    <w:uiPriority w:val="0"/>
    <w:rPr>
      <w:rFonts w:hint="eastAsia" w:ascii="宋体" w:hAnsi="宋体" w:eastAsia="宋体" w:cs="宋体"/>
      <w:color w:val="000000"/>
      <w:sz w:val="24"/>
      <w:szCs w:val="24"/>
    </w:rPr>
  </w:style>
  <w:style w:type="character" w:customStyle="1" w:styleId="103">
    <w:name w:val="p0 Char"/>
    <w:link w:val="104"/>
    <w:autoRedefine/>
    <w:qFormat/>
    <w:uiPriority w:val="0"/>
    <w:rPr>
      <w:szCs w:val="21"/>
    </w:rPr>
  </w:style>
  <w:style w:type="paragraph" w:customStyle="1" w:styleId="104">
    <w:name w:val="p0"/>
    <w:next w:val="26"/>
    <w:link w:val="103"/>
    <w:autoRedefine/>
    <w:qFormat/>
    <w:uiPriority w:val="0"/>
    <w:pPr>
      <w:snapToGrid w:val="0"/>
    </w:pPr>
    <w:rPr>
      <w:rFonts w:asciiTheme="minorHAnsi" w:hAnsiTheme="minorHAnsi" w:eastAsiaTheme="minorEastAsia" w:cstheme="minorBidi"/>
      <w:kern w:val="2"/>
      <w:sz w:val="21"/>
      <w:szCs w:val="21"/>
      <w:lang w:val="en-US" w:eastAsia="zh-CN" w:bidi="ar-SA"/>
    </w:rPr>
  </w:style>
  <w:style w:type="character" w:customStyle="1" w:styleId="105">
    <w:name w:val="Font Style15"/>
    <w:autoRedefine/>
    <w:qFormat/>
    <w:uiPriority w:val="0"/>
    <w:rPr>
      <w:rFonts w:ascii="MingLiU" w:eastAsia="MingLiU"/>
      <w:sz w:val="58"/>
    </w:rPr>
  </w:style>
  <w:style w:type="character" w:customStyle="1" w:styleId="106">
    <w:name w:val="正文 1.5 倍行距 Char"/>
    <w:link w:val="107"/>
    <w:autoRedefine/>
    <w:qFormat/>
    <w:uiPriority w:val="0"/>
    <w:rPr>
      <w:sz w:val="24"/>
    </w:rPr>
  </w:style>
  <w:style w:type="paragraph" w:customStyle="1" w:styleId="107">
    <w:name w:val="正文 1.5 倍行距"/>
    <w:basedOn w:val="1"/>
    <w:link w:val="106"/>
    <w:autoRedefine/>
    <w:qFormat/>
    <w:uiPriority w:val="0"/>
    <w:pPr>
      <w:spacing w:line="360" w:lineRule="auto"/>
      <w:ind w:firstLine="480" w:firstLineChars="200"/>
      <w:textAlignment w:val="baseline"/>
    </w:pPr>
    <w:rPr>
      <w:rFonts w:asciiTheme="minorHAnsi" w:hAnsiTheme="minorHAnsi" w:eastAsiaTheme="minorEastAsia" w:cstheme="minorBidi"/>
      <w:color w:val="auto"/>
      <w:kern w:val="2"/>
      <w:sz w:val="24"/>
      <w:szCs w:val="22"/>
    </w:rPr>
  </w:style>
  <w:style w:type="character" w:customStyle="1" w:styleId="108">
    <w:name w:val="批注文字 Char"/>
    <w:basedOn w:val="52"/>
    <w:link w:val="18"/>
    <w:autoRedefine/>
    <w:qFormat/>
    <w:uiPriority w:val="99"/>
    <w:rPr>
      <w:rFonts w:ascii="Times New Roman" w:hAnsi="Times New Roman" w:eastAsia="宋体" w:cs="Times New Roman"/>
      <w:color w:val="000000"/>
      <w:kern w:val="0"/>
      <w:szCs w:val="21"/>
    </w:rPr>
  </w:style>
  <w:style w:type="character" w:customStyle="1" w:styleId="109">
    <w:name w:val="批注主题 Char"/>
    <w:basedOn w:val="108"/>
    <w:link w:val="47"/>
    <w:autoRedefine/>
    <w:qFormat/>
    <w:uiPriority w:val="0"/>
    <w:rPr>
      <w:rFonts w:ascii="Times New Roman" w:hAnsi="Times New Roman" w:eastAsia="宋体" w:cs="Times New Roman"/>
      <w:b/>
      <w:bCs/>
      <w:color w:val="000000"/>
      <w:kern w:val="0"/>
      <w:szCs w:val="24"/>
    </w:rPr>
  </w:style>
  <w:style w:type="character" w:customStyle="1" w:styleId="110">
    <w:name w:val="正文文本缩进 3 字符1"/>
    <w:basedOn w:val="52"/>
    <w:autoRedefine/>
    <w:semiHidden/>
    <w:qFormat/>
    <w:uiPriority w:val="99"/>
    <w:rPr>
      <w:rFonts w:ascii="Times New Roman" w:hAnsi="Times New Roman" w:eastAsia="宋体" w:cs="Times New Roman"/>
      <w:color w:val="000000"/>
      <w:kern w:val="0"/>
      <w:sz w:val="16"/>
      <w:szCs w:val="16"/>
    </w:rPr>
  </w:style>
  <w:style w:type="character" w:customStyle="1" w:styleId="111">
    <w:name w:val="纯文本 字符1"/>
    <w:basedOn w:val="52"/>
    <w:autoRedefine/>
    <w:semiHidden/>
    <w:qFormat/>
    <w:uiPriority w:val="99"/>
    <w:rPr>
      <w:rFonts w:hAnsi="Courier New" w:cs="Courier New" w:asciiTheme="minorEastAsia"/>
      <w:color w:val="000000"/>
      <w:kern w:val="0"/>
      <w:szCs w:val="21"/>
    </w:rPr>
  </w:style>
  <w:style w:type="character" w:customStyle="1" w:styleId="112">
    <w:name w:val="批注框文本 Char"/>
    <w:basedOn w:val="52"/>
    <w:link w:val="30"/>
    <w:autoRedefine/>
    <w:qFormat/>
    <w:uiPriority w:val="0"/>
    <w:rPr>
      <w:rFonts w:ascii="Times New Roman" w:hAnsi="Times New Roman" w:eastAsia="宋体" w:cs="Times New Roman"/>
      <w:sz w:val="18"/>
      <w:szCs w:val="18"/>
    </w:rPr>
  </w:style>
  <w:style w:type="character" w:customStyle="1" w:styleId="113">
    <w:name w:val="文档结构图 Char1"/>
    <w:basedOn w:val="52"/>
    <w:link w:val="17"/>
    <w:autoRedefine/>
    <w:qFormat/>
    <w:uiPriority w:val="0"/>
    <w:rPr>
      <w:rFonts w:ascii="Times New Roman" w:hAnsi="Times New Roman" w:eastAsia="宋体" w:cs="Times New Roman"/>
      <w:szCs w:val="24"/>
      <w:shd w:val="clear" w:color="auto" w:fill="000080"/>
    </w:rPr>
  </w:style>
  <w:style w:type="character" w:customStyle="1" w:styleId="114">
    <w:name w:val="正文文本缩进 Char"/>
    <w:basedOn w:val="52"/>
    <w:link w:val="21"/>
    <w:autoRedefine/>
    <w:qFormat/>
    <w:uiPriority w:val="0"/>
    <w:rPr>
      <w:rFonts w:ascii="Times New Roman" w:hAnsi="Times New Roman" w:eastAsia="宋体" w:cs="Times New Roman"/>
      <w:color w:val="000000"/>
      <w:kern w:val="0"/>
      <w:szCs w:val="21"/>
    </w:rPr>
  </w:style>
  <w:style w:type="character" w:customStyle="1" w:styleId="115">
    <w:name w:val="正文首行缩进 2 Char"/>
    <w:basedOn w:val="114"/>
    <w:link w:val="49"/>
    <w:autoRedefine/>
    <w:qFormat/>
    <w:uiPriority w:val="0"/>
    <w:rPr>
      <w:rFonts w:ascii="Calibri" w:hAnsi="Calibri" w:eastAsia="宋体" w:cs="Times New Roman"/>
      <w:color w:val="000000"/>
      <w:kern w:val="0"/>
      <w:sz w:val="24"/>
      <w:szCs w:val="21"/>
    </w:rPr>
  </w:style>
  <w:style w:type="character" w:customStyle="1" w:styleId="116">
    <w:name w:val="HTML 预设格式 字符1"/>
    <w:basedOn w:val="52"/>
    <w:autoRedefine/>
    <w:semiHidden/>
    <w:qFormat/>
    <w:uiPriority w:val="99"/>
    <w:rPr>
      <w:rFonts w:ascii="Courier New" w:hAnsi="Courier New" w:eastAsia="宋体" w:cs="Courier New"/>
      <w:color w:val="000000"/>
      <w:kern w:val="0"/>
      <w:sz w:val="20"/>
      <w:szCs w:val="20"/>
    </w:rPr>
  </w:style>
  <w:style w:type="character" w:customStyle="1" w:styleId="117">
    <w:name w:val="页脚 字符1"/>
    <w:basedOn w:val="52"/>
    <w:autoRedefine/>
    <w:semiHidden/>
    <w:qFormat/>
    <w:uiPriority w:val="99"/>
    <w:rPr>
      <w:rFonts w:ascii="Times New Roman" w:hAnsi="Times New Roman" w:eastAsia="宋体" w:cs="Times New Roman"/>
      <w:color w:val="000000"/>
      <w:kern w:val="0"/>
      <w:sz w:val="18"/>
      <w:szCs w:val="18"/>
    </w:rPr>
  </w:style>
  <w:style w:type="character" w:customStyle="1" w:styleId="118">
    <w:name w:val="正文文本缩进 2 Char"/>
    <w:basedOn w:val="52"/>
    <w:link w:val="29"/>
    <w:autoRedefine/>
    <w:qFormat/>
    <w:uiPriority w:val="0"/>
    <w:rPr>
      <w:rFonts w:ascii="仿宋_GB2312" w:hAnsi="Times New Roman" w:eastAsia="仿宋_GB2312" w:cs="Times New Roman"/>
      <w:sz w:val="28"/>
      <w:szCs w:val="28"/>
      <w:lang w:val="en-US" w:eastAsia="zh-CN"/>
    </w:rPr>
  </w:style>
  <w:style w:type="character" w:customStyle="1" w:styleId="119">
    <w:name w:val="签名 字符1"/>
    <w:basedOn w:val="52"/>
    <w:autoRedefine/>
    <w:semiHidden/>
    <w:qFormat/>
    <w:uiPriority w:val="99"/>
    <w:rPr>
      <w:rFonts w:ascii="Times New Roman" w:hAnsi="Times New Roman" w:eastAsia="宋体" w:cs="Times New Roman"/>
      <w:color w:val="000000"/>
      <w:kern w:val="0"/>
      <w:szCs w:val="21"/>
    </w:rPr>
  </w:style>
  <w:style w:type="character" w:customStyle="1" w:styleId="120">
    <w:name w:val="日期 字符1"/>
    <w:basedOn w:val="52"/>
    <w:autoRedefine/>
    <w:semiHidden/>
    <w:qFormat/>
    <w:uiPriority w:val="99"/>
    <w:rPr>
      <w:rFonts w:ascii="Times New Roman" w:hAnsi="Times New Roman" w:eastAsia="宋体" w:cs="Times New Roman"/>
      <w:color w:val="000000"/>
      <w:kern w:val="0"/>
      <w:szCs w:val="21"/>
    </w:rPr>
  </w:style>
  <w:style w:type="character" w:customStyle="1" w:styleId="121">
    <w:name w:val="正文文本 Char"/>
    <w:basedOn w:val="52"/>
    <w:link w:val="20"/>
    <w:autoRedefine/>
    <w:qFormat/>
    <w:uiPriority w:val="0"/>
    <w:rPr>
      <w:rFonts w:ascii="Times New Roman" w:hAnsi="Times New Roman" w:eastAsia="宋体" w:cs="Times New Roman"/>
      <w:color w:val="000000"/>
      <w:kern w:val="0"/>
      <w:szCs w:val="21"/>
    </w:rPr>
  </w:style>
  <w:style w:type="character" w:customStyle="1" w:styleId="122">
    <w:name w:val="页眉 字符1"/>
    <w:basedOn w:val="52"/>
    <w:autoRedefine/>
    <w:semiHidden/>
    <w:qFormat/>
    <w:uiPriority w:val="99"/>
    <w:rPr>
      <w:rFonts w:ascii="Times New Roman" w:hAnsi="Times New Roman" w:eastAsia="宋体" w:cs="Times New Roman"/>
      <w:color w:val="000000"/>
      <w:kern w:val="0"/>
      <w:sz w:val="18"/>
      <w:szCs w:val="18"/>
    </w:rPr>
  </w:style>
  <w:style w:type="paragraph" w:customStyle="1" w:styleId="123">
    <w:name w:val="正文段"/>
    <w:basedOn w:val="1"/>
    <w:next w:val="16"/>
    <w:autoRedefine/>
    <w:qFormat/>
    <w:uiPriority w:val="0"/>
    <w:pPr>
      <w:widowControl/>
      <w:autoSpaceDE/>
      <w:autoSpaceDN/>
      <w:adjustRightInd/>
      <w:snapToGrid w:val="0"/>
      <w:spacing w:afterLines="50"/>
      <w:ind w:firstLine="200" w:firstLineChars="200"/>
    </w:pPr>
    <w:rPr>
      <w:color w:val="auto"/>
      <w:sz w:val="24"/>
      <w:szCs w:val="20"/>
    </w:rPr>
  </w:style>
  <w:style w:type="paragraph" w:customStyle="1" w:styleId="124">
    <w:name w:val="Char Char Char Char Char Char Char Char Char Char Char Char Char Char Char Char Char Char Char Char Char Char Char Char Char Char Char Char"/>
    <w:basedOn w:val="1"/>
    <w:autoRedefine/>
    <w:qFormat/>
    <w:uiPriority w:val="0"/>
    <w:pPr>
      <w:tabs>
        <w:tab w:val="left" w:pos="360"/>
      </w:tabs>
      <w:autoSpaceDE/>
      <w:autoSpaceDN/>
      <w:adjustRightInd/>
    </w:pPr>
    <w:rPr>
      <w:color w:val="auto"/>
      <w:kern w:val="2"/>
      <w:sz w:val="24"/>
      <w:szCs w:val="24"/>
    </w:rPr>
  </w:style>
  <w:style w:type="paragraph" w:customStyle="1" w:styleId="125">
    <w:name w:val="p20"/>
    <w:basedOn w:val="1"/>
    <w:autoRedefine/>
    <w:qFormat/>
    <w:uiPriority w:val="0"/>
    <w:pPr>
      <w:widowControl/>
      <w:autoSpaceDE/>
      <w:autoSpaceDN/>
      <w:adjustRightInd/>
      <w:ind w:left="425" w:firstLine="420"/>
    </w:pPr>
    <w:rPr>
      <w:rFonts w:ascii="Calibri" w:hAnsi="Calibri" w:cs="宋体"/>
      <w:color w:val="auto"/>
    </w:rPr>
  </w:style>
  <w:style w:type="paragraph" w:customStyle="1" w:styleId="126">
    <w:name w:val="p22"/>
    <w:basedOn w:val="1"/>
    <w:autoRedefine/>
    <w:qFormat/>
    <w:uiPriority w:val="0"/>
    <w:pPr>
      <w:widowControl/>
      <w:autoSpaceDE/>
      <w:autoSpaceDN/>
      <w:adjustRightInd/>
      <w:jc w:val="left"/>
    </w:pPr>
    <w:rPr>
      <w:color w:val="auto"/>
      <w:sz w:val="18"/>
      <w:szCs w:val="18"/>
    </w:rPr>
  </w:style>
  <w:style w:type="paragraph" w:customStyle="1" w:styleId="127">
    <w:name w:val="列出段落1"/>
    <w:basedOn w:val="1"/>
    <w:autoRedefine/>
    <w:qFormat/>
    <w:uiPriority w:val="0"/>
    <w:pPr>
      <w:autoSpaceDE/>
      <w:autoSpaceDN/>
      <w:adjustRightInd/>
      <w:ind w:firstLine="420" w:firstLineChars="200"/>
    </w:pPr>
    <w:rPr>
      <w:color w:val="auto"/>
      <w:kern w:val="2"/>
      <w:szCs w:val="24"/>
    </w:rPr>
  </w:style>
  <w:style w:type="paragraph" w:customStyle="1" w:styleId="128">
    <w:name w:val="p15"/>
    <w:basedOn w:val="1"/>
    <w:autoRedefine/>
    <w:qFormat/>
    <w:uiPriority w:val="0"/>
    <w:pPr>
      <w:widowControl/>
      <w:autoSpaceDE/>
      <w:autoSpaceDN/>
      <w:adjustRightInd/>
      <w:snapToGrid w:val="0"/>
    </w:pPr>
  </w:style>
  <w:style w:type="paragraph" w:customStyle="1" w:styleId="129">
    <w:name w:val="Char"/>
    <w:basedOn w:val="1"/>
    <w:autoRedefine/>
    <w:qFormat/>
    <w:uiPriority w:val="0"/>
    <w:pPr>
      <w:widowControl/>
      <w:autoSpaceDE/>
      <w:autoSpaceDN/>
      <w:adjustRightInd/>
      <w:spacing w:after="160" w:line="240" w:lineRule="exact"/>
      <w:jc w:val="left"/>
    </w:pPr>
    <w:rPr>
      <w:rFonts w:ascii="Verdana" w:hAnsi="Verdana"/>
      <w:color w:val="auto"/>
      <w:szCs w:val="20"/>
      <w:lang w:eastAsia="en-US"/>
    </w:rPr>
  </w:style>
  <w:style w:type="paragraph" w:customStyle="1" w:styleId="130">
    <w:name w:val="列项"/>
    <w:basedOn w:val="1"/>
    <w:next w:val="1"/>
    <w:autoRedefine/>
    <w:qFormat/>
    <w:uiPriority w:val="0"/>
    <w:pPr>
      <w:numPr>
        <w:ilvl w:val="0"/>
        <w:numId w:val="4"/>
      </w:numPr>
      <w:autoSpaceDE/>
      <w:autoSpaceDN/>
      <w:adjustRightInd/>
      <w:spacing w:line="360" w:lineRule="auto"/>
    </w:pPr>
    <w:rPr>
      <w:rFonts w:ascii="宋体" w:hAnsi="宋体"/>
      <w:color w:val="auto"/>
      <w:kern w:val="2"/>
      <w:sz w:val="24"/>
      <w:szCs w:val="22"/>
    </w:rPr>
  </w:style>
  <w:style w:type="paragraph" w:customStyle="1" w:styleId="131">
    <w:name w:val="p16"/>
    <w:basedOn w:val="1"/>
    <w:autoRedefine/>
    <w:qFormat/>
    <w:uiPriority w:val="0"/>
    <w:pPr>
      <w:widowControl/>
      <w:autoSpaceDE/>
      <w:autoSpaceDN/>
      <w:adjustRightInd/>
    </w:pPr>
    <w:rPr>
      <w:color w:val="auto"/>
      <w:sz w:val="24"/>
      <w:szCs w:val="24"/>
    </w:rPr>
  </w:style>
  <w:style w:type="paragraph" w:customStyle="1" w:styleId="132">
    <w:name w:val="样式4"/>
    <w:basedOn w:val="2"/>
    <w:autoRedefine/>
    <w:qFormat/>
    <w:uiPriority w:val="0"/>
    <w:pPr>
      <w:autoSpaceDE/>
      <w:autoSpaceDN/>
      <w:adjustRightInd/>
      <w:spacing w:line="480" w:lineRule="auto"/>
    </w:pPr>
    <w:rPr>
      <w:bCs/>
      <w:color w:val="auto"/>
      <w:sz w:val="32"/>
      <w:szCs w:val="44"/>
    </w:rPr>
  </w:style>
  <w:style w:type="paragraph" w:customStyle="1" w:styleId="133">
    <w:name w:val="正文文本首行缩进 21"/>
    <w:basedOn w:val="134"/>
    <w:autoRedefine/>
    <w:qFormat/>
    <w:uiPriority w:val="0"/>
    <w:pPr>
      <w:ind w:firstLine="420"/>
    </w:pPr>
    <w:rPr>
      <w:rFonts w:cs="宋体"/>
    </w:rPr>
  </w:style>
  <w:style w:type="paragraph" w:customStyle="1" w:styleId="134">
    <w:name w:val="正文文本缩进1"/>
    <w:basedOn w:val="1"/>
    <w:next w:val="1"/>
    <w:autoRedefine/>
    <w:qFormat/>
    <w:uiPriority w:val="0"/>
    <w:pPr>
      <w:spacing w:after="120"/>
      <w:ind w:left="420" w:leftChars="200"/>
    </w:pPr>
  </w:style>
  <w:style w:type="paragraph" w:customStyle="1" w:styleId="135">
    <w:name w:val="Char Char Char Char Char Char Char Char Char Char Char Char Char Char Char Char Char Char Char"/>
    <w:basedOn w:val="1"/>
    <w:autoRedefine/>
    <w:qFormat/>
    <w:uiPriority w:val="0"/>
    <w:pPr>
      <w:autoSpaceDE/>
      <w:autoSpaceDN/>
      <w:adjustRightInd/>
    </w:pPr>
    <w:rPr>
      <w:color w:val="auto"/>
      <w:kern w:val="2"/>
      <w:szCs w:val="24"/>
    </w:rPr>
  </w:style>
  <w:style w:type="paragraph" w:customStyle="1" w:styleId="136">
    <w:name w:val="p23"/>
    <w:basedOn w:val="1"/>
    <w:autoRedefine/>
    <w:qFormat/>
    <w:uiPriority w:val="0"/>
    <w:pPr>
      <w:widowControl/>
      <w:pBdr>
        <w:bottom w:val="single" w:color="000000" w:sz="6" w:space="1"/>
      </w:pBdr>
      <w:autoSpaceDE/>
      <w:autoSpaceDN/>
      <w:adjustRightInd/>
      <w:jc w:val="center"/>
    </w:pPr>
    <w:rPr>
      <w:color w:val="auto"/>
      <w:sz w:val="18"/>
      <w:szCs w:val="18"/>
    </w:rPr>
  </w:style>
  <w:style w:type="paragraph" w:customStyle="1" w:styleId="137">
    <w:name w:val="p21"/>
    <w:basedOn w:val="1"/>
    <w:autoRedefine/>
    <w:qFormat/>
    <w:uiPriority w:val="0"/>
    <w:pPr>
      <w:widowControl/>
      <w:autoSpaceDE/>
      <w:autoSpaceDN/>
      <w:adjustRightInd/>
      <w:jc w:val="left"/>
    </w:pPr>
    <w:rPr>
      <w:color w:val="auto"/>
    </w:rPr>
  </w:style>
  <w:style w:type="paragraph" w:customStyle="1" w:styleId="138">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9">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题注居中"/>
    <w:basedOn w:val="15"/>
    <w:next w:val="1"/>
    <w:autoRedefine/>
    <w:qFormat/>
    <w:uiPriority w:val="0"/>
    <w:pPr>
      <w:spacing w:after="120" w:line="240" w:lineRule="exact"/>
      <w:ind w:firstLine="0" w:firstLineChars="0"/>
      <w:jc w:val="center"/>
    </w:pPr>
    <w:rPr>
      <w:rFonts w:ascii="宋体" w:hAnsi="宋体" w:eastAsia="宋体" w:cs="宋体"/>
      <w:b/>
      <w:sz w:val="21"/>
    </w:rPr>
  </w:style>
  <w:style w:type="paragraph" w:customStyle="1" w:styleId="141">
    <w:name w:val="Char Char Char Char Char Char"/>
    <w:basedOn w:val="1"/>
    <w:autoRedefine/>
    <w:qFormat/>
    <w:uiPriority w:val="0"/>
    <w:pPr>
      <w:widowControl/>
      <w:autoSpaceDE/>
      <w:autoSpaceDN/>
      <w:adjustRightInd/>
      <w:spacing w:after="160" w:line="240" w:lineRule="exact"/>
      <w:jc w:val="left"/>
    </w:pPr>
    <w:rPr>
      <w:color w:val="auto"/>
      <w:kern w:val="2"/>
      <w:szCs w:val="24"/>
    </w:rPr>
  </w:style>
  <w:style w:type="paragraph" w:customStyle="1" w:styleId="142">
    <w:name w:val="Char Char Char Char1"/>
    <w:basedOn w:val="1"/>
    <w:autoRedefine/>
    <w:qFormat/>
    <w:uiPriority w:val="0"/>
    <w:pPr>
      <w:autoSpaceDE/>
      <w:autoSpaceDN/>
      <w:adjustRightInd/>
    </w:pPr>
    <w:rPr>
      <w:rFonts w:ascii="Tahoma" w:hAnsi="Tahoma"/>
      <w:color w:val="auto"/>
      <w:kern w:val="2"/>
      <w:sz w:val="24"/>
      <w:szCs w:val="20"/>
    </w:rPr>
  </w:style>
  <w:style w:type="paragraph" w:customStyle="1" w:styleId="143">
    <w:name w:val="p17"/>
    <w:basedOn w:val="1"/>
    <w:autoRedefine/>
    <w:qFormat/>
    <w:uiPriority w:val="0"/>
    <w:pPr>
      <w:widowControl/>
      <w:autoSpaceDE/>
      <w:autoSpaceDN/>
      <w:adjustRightInd/>
      <w:ind w:left="2520"/>
    </w:pPr>
    <w:rPr>
      <w:color w:val="auto"/>
    </w:rPr>
  </w:style>
  <w:style w:type="paragraph" w:customStyle="1" w:styleId="144">
    <w:name w:val="表格内"/>
    <w:basedOn w:val="1"/>
    <w:autoRedefine/>
    <w:qFormat/>
    <w:uiPriority w:val="0"/>
    <w:rPr>
      <w:rFonts w:cs="宋体"/>
      <w:szCs w:val="20"/>
    </w:rPr>
  </w:style>
  <w:style w:type="paragraph" w:customStyle="1" w:styleId="145">
    <w:name w:val="af17cgridlangnp1033langf"/>
    <w:autoRedefine/>
    <w:qFormat/>
    <w:uiPriority w:val="0"/>
    <w:pPr>
      <w:widowControl w:val="0"/>
      <w:autoSpaceDE w:val="0"/>
      <w:autoSpaceDN w:val="0"/>
      <w:adjustRightInd w:val="0"/>
      <w:spacing w:before="156" w:line="360" w:lineRule="atLeast"/>
      <w:ind w:left="567" w:firstLine="510"/>
      <w:jc w:val="both"/>
    </w:pPr>
    <w:rPr>
      <w:rFonts w:ascii="Calibri" w:hAnsi="Calibri" w:eastAsia="宋体" w:cs="Times New Roman"/>
      <w:sz w:val="21"/>
      <w:szCs w:val="22"/>
      <w:lang w:val="en-US" w:eastAsia="zh-CN" w:bidi="ar-SA"/>
    </w:rPr>
  </w:style>
  <w:style w:type="paragraph" w:customStyle="1" w:styleId="146">
    <w:name w:val="p19"/>
    <w:basedOn w:val="1"/>
    <w:autoRedefine/>
    <w:qFormat/>
    <w:uiPriority w:val="0"/>
    <w:pPr>
      <w:widowControl/>
      <w:autoSpaceDE/>
      <w:autoSpaceDN/>
      <w:adjustRightInd/>
      <w:spacing w:before="156" w:after="156" w:line="360" w:lineRule="auto"/>
      <w:ind w:firstLine="420"/>
    </w:pPr>
    <w:rPr>
      <w:color w:val="auto"/>
      <w:sz w:val="24"/>
      <w:szCs w:val="24"/>
    </w:rPr>
  </w:style>
  <w:style w:type="paragraph" w:customStyle="1" w:styleId="147">
    <w:name w:val="Char Char"/>
    <w:basedOn w:val="1"/>
    <w:autoRedefine/>
    <w:qFormat/>
    <w:uiPriority w:val="0"/>
    <w:pPr>
      <w:autoSpaceDE/>
      <w:autoSpaceDN/>
      <w:adjustRightInd/>
    </w:pPr>
    <w:rPr>
      <w:rFonts w:ascii="仿宋_GB2312" w:eastAsia="仿宋_GB2312"/>
      <w:b/>
      <w:color w:val="auto"/>
      <w:kern w:val="2"/>
      <w:sz w:val="32"/>
      <w:szCs w:val="32"/>
    </w:rPr>
  </w:style>
  <w:style w:type="paragraph" w:customStyle="1" w:styleId="148">
    <w:name w:val="p18"/>
    <w:basedOn w:val="1"/>
    <w:autoRedefine/>
    <w:qFormat/>
    <w:uiPriority w:val="0"/>
    <w:pPr>
      <w:widowControl/>
      <w:autoSpaceDE/>
      <w:autoSpaceDN/>
      <w:adjustRightInd/>
      <w:snapToGrid w:val="0"/>
      <w:jc w:val="left"/>
    </w:pPr>
    <w:rPr>
      <w:sz w:val="24"/>
      <w:szCs w:val="24"/>
    </w:rPr>
  </w:style>
  <w:style w:type="paragraph" w:customStyle="1" w:styleId="149">
    <w:name w:val="标题1"/>
    <w:basedOn w:val="1"/>
    <w:autoRedefine/>
    <w:qFormat/>
    <w:uiPriority w:val="0"/>
    <w:pPr>
      <w:tabs>
        <w:tab w:val="left" w:pos="1442"/>
      </w:tabs>
      <w:autoSpaceDE/>
      <w:autoSpaceDN/>
      <w:adjustRightInd/>
      <w:spacing w:line="360" w:lineRule="auto"/>
      <w:jc w:val="center"/>
    </w:pPr>
    <w:rPr>
      <w:rFonts w:ascii="黑体" w:hAnsi="宋体" w:eastAsia="黑体"/>
      <w:b/>
      <w:color w:val="auto"/>
      <w:kern w:val="2"/>
      <w:sz w:val="32"/>
      <w:szCs w:val="24"/>
    </w:rPr>
  </w:style>
  <w:style w:type="paragraph" w:customStyle="1" w:styleId="150">
    <w:name w:val="文档正文"/>
    <w:basedOn w:val="1"/>
    <w:autoRedefine/>
    <w:qFormat/>
    <w:uiPriority w:val="0"/>
    <w:pPr>
      <w:autoSpaceDE/>
      <w:autoSpaceDN/>
      <w:spacing w:line="440" w:lineRule="atLeast"/>
      <w:ind w:firstLine="200" w:firstLineChars="200"/>
      <w:textAlignment w:val="baseline"/>
    </w:pPr>
    <w:rPr>
      <w:rFonts w:ascii="宋体"/>
      <w:color w:val="auto"/>
      <w:spacing w:val="4"/>
      <w:sz w:val="24"/>
      <w:szCs w:val="20"/>
    </w:rPr>
  </w:style>
  <w:style w:type="paragraph" w:customStyle="1" w:styleId="151">
    <w:name w:val="样式 正文缩进首行缩进两字 + 小四 首行缩进:  2 字符"/>
    <w:basedOn w:val="14"/>
    <w:autoRedefine/>
    <w:qFormat/>
    <w:uiPriority w:val="0"/>
    <w:pPr>
      <w:spacing w:line="360" w:lineRule="auto"/>
      <w:ind w:firstLine="200" w:firstLineChars="200"/>
    </w:pPr>
    <w:rPr>
      <w:rFonts w:cs="宋体"/>
      <w:sz w:val="24"/>
    </w:rPr>
  </w:style>
  <w:style w:type="character" w:customStyle="1" w:styleId="152">
    <w:name w:val="font91"/>
    <w:autoRedefine/>
    <w:qFormat/>
    <w:uiPriority w:val="0"/>
    <w:rPr>
      <w:rFonts w:hint="eastAsia" w:ascii="宋体" w:hAnsi="宋体" w:eastAsia="宋体" w:cs="宋体"/>
      <w:color w:val="auto"/>
      <w:sz w:val="18"/>
      <w:szCs w:val="18"/>
      <w:u w:val="none"/>
    </w:rPr>
  </w:style>
  <w:style w:type="paragraph" w:styleId="153">
    <w:name w:val="No Spacing"/>
    <w:link w:val="189"/>
    <w:autoRedefine/>
    <w:qFormat/>
    <w:uiPriority w:val="0"/>
    <w:pPr>
      <w:widowControl w:val="0"/>
      <w:autoSpaceDE w:val="0"/>
      <w:autoSpaceDN w:val="0"/>
      <w:adjustRightInd w:val="0"/>
      <w:jc w:val="both"/>
    </w:pPr>
    <w:rPr>
      <w:rFonts w:ascii="Times New Roman" w:hAnsi="Times New Roman" w:eastAsia="宋体" w:cs="Times New Roman"/>
      <w:color w:val="000000"/>
      <w:sz w:val="21"/>
      <w:szCs w:val="21"/>
      <w:lang w:val="en-US" w:eastAsia="zh-CN" w:bidi="ar-SA"/>
    </w:rPr>
  </w:style>
  <w:style w:type="character" w:customStyle="1" w:styleId="154">
    <w:name w:val="正文文本 3 Char"/>
    <w:basedOn w:val="52"/>
    <w:link w:val="19"/>
    <w:autoRedefine/>
    <w:qFormat/>
    <w:uiPriority w:val="0"/>
    <w:rPr>
      <w:rFonts w:ascii="Times New Roman" w:hAnsi="Times New Roman" w:eastAsia="宋体" w:cs="Times New Roman"/>
      <w:color w:val="000000"/>
      <w:kern w:val="0"/>
      <w:sz w:val="16"/>
      <w:szCs w:val="16"/>
    </w:rPr>
  </w:style>
  <w:style w:type="paragraph" w:customStyle="1" w:styleId="155">
    <w:name w:val="正文_1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6">
    <w:name w:val="纯文本1"/>
    <w:basedOn w:val="1"/>
    <w:autoRedefine/>
    <w:qFormat/>
    <w:uiPriority w:val="0"/>
    <w:pPr>
      <w:autoSpaceDE/>
      <w:autoSpaceDN/>
      <w:adjustRightInd/>
      <w:ind w:firstLine="280" w:firstLineChars="100"/>
    </w:pPr>
    <w:rPr>
      <w:rFonts w:hAnsi="宋体" w:cs="Courier New"/>
      <w:color w:val="auto"/>
      <w:kern w:val="2"/>
      <w:szCs w:val="20"/>
    </w:rPr>
  </w:style>
  <w:style w:type="character" w:customStyle="1" w:styleId="157">
    <w:name w:val="apple-converted-space"/>
    <w:basedOn w:val="52"/>
    <w:autoRedefine/>
    <w:qFormat/>
    <w:uiPriority w:val="0"/>
  </w:style>
  <w:style w:type="character" w:customStyle="1" w:styleId="158">
    <w:name w:val="正文首行缩进 Char"/>
    <w:basedOn w:val="121"/>
    <w:link w:val="48"/>
    <w:autoRedefine/>
    <w:qFormat/>
    <w:uiPriority w:val="0"/>
    <w:rPr>
      <w:rFonts w:ascii="Times New Roman" w:hAnsi="Times New Roman" w:eastAsia="宋体" w:cs="Times New Roman"/>
      <w:color w:val="000000"/>
      <w:kern w:val="0"/>
      <w:sz w:val="21"/>
      <w:szCs w:val="21"/>
    </w:rPr>
  </w:style>
  <w:style w:type="character" w:customStyle="1" w:styleId="159">
    <w:name w:val="标题 5 Char"/>
    <w:basedOn w:val="52"/>
    <w:link w:val="6"/>
    <w:autoRedefine/>
    <w:qFormat/>
    <w:uiPriority w:val="0"/>
    <w:rPr>
      <w:rFonts w:ascii="Times New Roman" w:hAnsi="Times New Roman" w:eastAsia="宋体" w:cs="Times New Roman"/>
      <w:b/>
      <w:bCs/>
      <w:color w:val="000000"/>
      <w:kern w:val="2"/>
      <w:sz w:val="28"/>
      <w:szCs w:val="28"/>
    </w:rPr>
  </w:style>
  <w:style w:type="character" w:customStyle="1" w:styleId="160">
    <w:name w:val="标题 6 Char"/>
    <w:basedOn w:val="52"/>
    <w:link w:val="7"/>
    <w:autoRedefine/>
    <w:qFormat/>
    <w:uiPriority w:val="0"/>
    <w:rPr>
      <w:rFonts w:ascii="Times New Roman" w:hAnsi="Times New Roman" w:eastAsia="宋体" w:cs="Times New Roman"/>
      <w:color w:val="000000"/>
      <w:kern w:val="24"/>
      <w:sz w:val="24"/>
      <w:szCs w:val="24"/>
    </w:rPr>
  </w:style>
  <w:style w:type="character" w:customStyle="1" w:styleId="161">
    <w:name w:val="标题 7 Char"/>
    <w:basedOn w:val="52"/>
    <w:link w:val="8"/>
    <w:autoRedefine/>
    <w:qFormat/>
    <w:uiPriority w:val="0"/>
    <w:rPr>
      <w:rFonts w:ascii="Times New Roman" w:hAnsi="Times New Roman" w:eastAsia="宋体" w:cs="Times New Roman"/>
      <w:color w:val="000000"/>
      <w:spacing w:val="2"/>
      <w:kern w:val="24"/>
      <w:sz w:val="24"/>
      <w:szCs w:val="24"/>
    </w:rPr>
  </w:style>
  <w:style w:type="character" w:customStyle="1" w:styleId="162">
    <w:name w:val="标题 8 Char"/>
    <w:basedOn w:val="52"/>
    <w:link w:val="9"/>
    <w:autoRedefine/>
    <w:qFormat/>
    <w:uiPriority w:val="0"/>
    <w:rPr>
      <w:rFonts w:ascii="Times New Roman" w:hAnsi="Times New Roman" w:eastAsia="宋体" w:cs="Times New Roman"/>
      <w:color w:val="000000"/>
      <w:kern w:val="24"/>
      <w:sz w:val="24"/>
      <w:szCs w:val="24"/>
    </w:rPr>
  </w:style>
  <w:style w:type="character" w:customStyle="1" w:styleId="163">
    <w:name w:val="标题 9 Char"/>
    <w:basedOn w:val="52"/>
    <w:link w:val="10"/>
    <w:autoRedefine/>
    <w:qFormat/>
    <w:uiPriority w:val="0"/>
    <w:rPr>
      <w:rFonts w:ascii="Arial" w:hAnsi="Arial" w:eastAsia="黑体" w:cs="Times New Roman"/>
      <w:kern w:val="2"/>
      <w:sz w:val="21"/>
      <w:szCs w:val="24"/>
    </w:rPr>
  </w:style>
  <w:style w:type="character" w:customStyle="1" w:styleId="164">
    <w:name w:val="!我的正文 Ctr+Q Char"/>
    <w:link w:val="165"/>
    <w:autoRedefine/>
    <w:qFormat/>
    <w:uiPriority w:val="0"/>
    <w:rPr>
      <w:rFonts w:ascii="Arial" w:hAnsi="Arial"/>
      <w:sz w:val="24"/>
      <w:szCs w:val="21"/>
    </w:rPr>
  </w:style>
  <w:style w:type="paragraph" w:customStyle="1" w:styleId="165">
    <w:name w:val="!我的正文 Ctr+Q"/>
    <w:basedOn w:val="1"/>
    <w:link w:val="164"/>
    <w:autoRedefine/>
    <w:qFormat/>
    <w:uiPriority w:val="0"/>
    <w:pPr>
      <w:autoSpaceDE/>
      <w:autoSpaceDN/>
      <w:snapToGrid w:val="0"/>
      <w:spacing w:line="360" w:lineRule="auto"/>
      <w:ind w:firstLine="480" w:firstLineChars="200"/>
    </w:pPr>
    <w:rPr>
      <w:rFonts w:ascii="Arial" w:hAnsi="Arial" w:eastAsiaTheme="minorEastAsia" w:cstheme="minorBidi"/>
      <w:color w:val="auto"/>
      <w:sz w:val="24"/>
    </w:rPr>
  </w:style>
  <w:style w:type="character" w:customStyle="1" w:styleId="166">
    <w:name w:val="Char Char14"/>
    <w:autoRedefine/>
    <w:qFormat/>
    <w:uiPriority w:val="0"/>
    <w:rPr>
      <w:rFonts w:eastAsia="宋体"/>
      <w:kern w:val="2"/>
      <w:sz w:val="24"/>
      <w:lang w:val="en-US" w:eastAsia="zh-CN" w:bidi="ar-SA"/>
    </w:rPr>
  </w:style>
  <w:style w:type="character" w:customStyle="1" w:styleId="167">
    <w:name w:val="小点说明 Char Char"/>
    <w:link w:val="168"/>
    <w:autoRedefine/>
    <w:qFormat/>
    <w:uiPriority w:val="0"/>
    <w:rPr>
      <w:rFonts w:eastAsia="宋体"/>
      <w:kern w:val="2"/>
      <w:sz w:val="21"/>
      <w:szCs w:val="24"/>
    </w:rPr>
  </w:style>
  <w:style w:type="paragraph" w:customStyle="1" w:styleId="168">
    <w:name w:val="小点说明"/>
    <w:basedOn w:val="1"/>
    <w:link w:val="167"/>
    <w:autoRedefine/>
    <w:qFormat/>
    <w:uiPriority w:val="0"/>
    <w:pPr>
      <w:autoSpaceDE/>
      <w:autoSpaceDN/>
      <w:snapToGrid w:val="0"/>
      <w:spacing w:line="360" w:lineRule="auto"/>
    </w:pPr>
    <w:rPr>
      <w:rFonts w:asciiTheme="minorHAnsi" w:hAnsiTheme="minorHAnsi" w:cstheme="minorBidi"/>
      <w:color w:val="auto"/>
      <w:kern w:val="2"/>
      <w:szCs w:val="24"/>
    </w:rPr>
  </w:style>
  <w:style w:type="character" w:customStyle="1" w:styleId="169">
    <w:name w:val="纯文本 Char"/>
    <w:autoRedefine/>
    <w:qFormat/>
    <w:uiPriority w:val="0"/>
    <w:rPr>
      <w:rFonts w:ascii="宋体" w:hAnsi="Courier New" w:cs="Courier New"/>
      <w:kern w:val="2"/>
      <w:sz w:val="21"/>
      <w:szCs w:val="21"/>
    </w:rPr>
  </w:style>
  <w:style w:type="character" w:customStyle="1" w:styleId="170">
    <w:name w:val="Char Char9"/>
    <w:autoRedefine/>
    <w:qFormat/>
    <w:uiPriority w:val="0"/>
    <w:rPr>
      <w:rFonts w:eastAsia="宋体"/>
      <w:color w:val="000000"/>
      <w:sz w:val="21"/>
      <w:szCs w:val="21"/>
      <w:lang w:val="en-US" w:eastAsia="zh-CN" w:bidi="ar-SA"/>
    </w:rPr>
  </w:style>
  <w:style w:type="character" w:customStyle="1" w:styleId="171">
    <w:name w:val="Char Char24"/>
    <w:autoRedefine/>
    <w:qFormat/>
    <w:uiPriority w:val="0"/>
    <w:rPr>
      <w:rFonts w:eastAsia="宋体"/>
      <w:b/>
      <w:color w:val="000000"/>
      <w:sz w:val="32"/>
      <w:szCs w:val="21"/>
      <w:lang w:val="en-US" w:eastAsia="zh-CN" w:bidi="ar-SA"/>
    </w:rPr>
  </w:style>
  <w:style w:type="character" w:customStyle="1" w:styleId="172">
    <w:name w:val="文章样式1 Char Char"/>
    <w:link w:val="173"/>
    <w:autoRedefine/>
    <w:qFormat/>
    <w:uiPriority w:val="0"/>
    <w:rPr>
      <w:rFonts w:ascii="宋体" w:hAnsi="宋体" w:eastAsia="Times New Roman" w:cs="宋体"/>
      <w:b/>
      <w:kern w:val="2"/>
      <w:sz w:val="21"/>
    </w:rPr>
  </w:style>
  <w:style w:type="paragraph" w:customStyle="1" w:styleId="173">
    <w:name w:val="文章样式1"/>
    <w:link w:val="172"/>
    <w:autoRedefine/>
    <w:qFormat/>
    <w:uiPriority w:val="0"/>
    <w:pPr>
      <w:numPr>
        <w:ilvl w:val="0"/>
        <w:numId w:val="3"/>
      </w:numPr>
      <w:tabs>
        <w:tab w:val="left" w:pos="0"/>
      </w:tabs>
      <w:spacing w:line="360" w:lineRule="auto"/>
    </w:pPr>
    <w:rPr>
      <w:rFonts w:ascii="宋体" w:hAnsi="宋体" w:eastAsia="Times New Roman" w:cs="宋体"/>
      <w:b/>
      <w:kern w:val="2"/>
      <w:sz w:val="21"/>
      <w:lang w:val="en-US" w:eastAsia="zh-CN" w:bidi="ar-SA"/>
    </w:rPr>
  </w:style>
  <w:style w:type="character" w:customStyle="1" w:styleId="174">
    <w:name w:val="Char Char10"/>
    <w:autoRedefine/>
    <w:qFormat/>
    <w:uiPriority w:val="0"/>
    <w:rPr>
      <w:rFonts w:eastAsia="宋体"/>
      <w:color w:val="000000"/>
      <w:sz w:val="18"/>
      <w:szCs w:val="18"/>
      <w:lang w:val="en-US" w:eastAsia="zh-CN" w:bidi="ar-SA"/>
    </w:rPr>
  </w:style>
  <w:style w:type="character" w:customStyle="1" w:styleId="175">
    <w:name w:val="样式 正文首行缩进 2 + 左侧:  2 字符 首行缩进:  2 字符1 Char Char"/>
    <w:link w:val="176"/>
    <w:autoRedefine/>
    <w:qFormat/>
    <w:uiPriority w:val="0"/>
    <w:rPr>
      <w:rFonts w:ascii="宋体" w:hAnsi="宋体" w:eastAsia="Times New Roman" w:cs="宋体"/>
      <w:color w:val="000000"/>
      <w:kern w:val="2"/>
      <w:sz w:val="21"/>
      <w:szCs w:val="21"/>
    </w:rPr>
  </w:style>
  <w:style w:type="paragraph" w:customStyle="1" w:styleId="176">
    <w:name w:val="样式 正文首行缩进 2 + 左侧:  2 字符 首行缩进:  2 字符1"/>
    <w:next w:val="1"/>
    <w:link w:val="175"/>
    <w:autoRedefine/>
    <w:qFormat/>
    <w:uiPriority w:val="0"/>
    <w:pPr>
      <w:adjustRightInd w:val="0"/>
      <w:snapToGrid w:val="0"/>
      <w:spacing w:before="60" w:after="60" w:line="360" w:lineRule="auto"/>
      <w:ind w:firstLine="420"/>
      <w:jc w:val="both"/>
    </w:pPr>
    <w:rPr>
      <w:rFonts w:ascii="宋体" w:hAnsi="宋体" w:eastAsia="Times New Roman" w:cs="宋体"/>
      <w:color w:val="000000"/>
      <w:kern w:val="2"/>
      <w:sz w:val="21"/>
      <w:szCs w:val="21"/>
      <w:lang w:val="en-US" w:eastAsia="zh-CN" w:bidi="ar-SA"/>
    </w:rPr>
  </w:style>
  <w:style w:type="character" w:customStyle="1" w:styleId="177">
    <w:name w:val="Char Char15"/>
    <w:autoRedefine/>
    <w:qFormat/>
    <w:uiPriority w:val="0"/>
    <w:rPr>
      <w:rFonts w:eastAsia="宋体"/>
      <w:kern w:val="2"/>
      <w:sz w:val="21"/>
      <w:lang w:val="en-US" w:eastAsia="zh-CN" w:bidi="ar-SA"/>
    </w:rPr>
  </w:style>
  <w:style w:type="character" w:customStyle="1" w:styleId="178">
    <w:name w:val="style21"/>
    <w:autoRedefine/>
    <w:qFormat/>
    <w:uiPriority w:val="0"/>
    <w:rPr>
      <w:color w:val="FFFFFF"/>
    </w:rPr>
  </w:style>
  <w:style w:type="character" w:customStyle="1" w:styleId="179">
    <w:name w:val="文章标题3级 Char Char"/>
    <w:link w:val="180"/>
    <w:autoRedefine/>
    <w:qFormat/>
    <w:uiPriority w:val="0"/>
    <w:rPr>
      <w:rFonts w:eastAsia="宋体"/>
      <w:b/>
      <w:bCs/>
      <w:caps/>
      <w:color w:val="000000"/>
      <w:kern w:val="2"/>
      <w:sz w:val="24"/>
      <w:szCs w:val="18"/>
    </w:rPr>
  </w:style>
  <w:style w:type="paragraph" w:customStyle="1" w:styleId="180">
    <w:name w:val="文章标题3级"/>
    <w:basedOn w:val="181"/>
    <w:next w:val="1"/>
    <w:link w:val="179"/>
    <w:autoRedefine/>
    <w:qFormat/>
    <w:uiPriority w:val="0"/>
    <w:pPr>
      <w:tabs>
        <w:tab w:val="left" w:pos="360"/>
        <w:tab w:val="left" w:pos="780"/>
        <w:tab w:val="left" w:pos="1320"/>
        <w:tab w:val="left" w:pos="1560"/>
      </w:tabs>
      <w:outlineLvl w:val="2"/>
    </w:pPr>
    <w:rPr>
      <w:rFonts w:asciiTheme="minorHAnsi" w:hAnsiTheme="minorHAnsi" w:cstheme="minorBidi"/>
      <w:color w:val="000000"/>
      <w:sz w:val="24"/>
      <w:szCs w:val="18"/>
    </w:rPr>
  </w:style>
  <w:style w:type="paragraph" w:customStyle="1" w:styleId="181">
    <w:name w:val="文章标题2级"/>
    <w:basedOn w:val="182"/>
    <w:next w:val="1"/>
    <w:autoRedefine/>
    <w:qFormat/>
    <w:uiPriority w:val="0"/>
    <w:pPr>
      <w:pageBreakBefore w:val="0"/>
      <w:tabs>
        <w:tab w:val="left" w:pos="360"/>
        <w:tab w:val="left" w:pos="780"/>
        <w:tab w:val="left" w:pos="1320"/>
      </w:tabs>
      <w:ind w:left="200" w:hanging="200" w:hangingChars="200"/>
      <w:jc w:val="left"/>
      <w:outlineLvl w:val="1"/>
    </w:pPr>
    <w:rPr>
      <w:sz w:val="30"/>
    </w:rPr>
  </w:style>
  <w:style w:type="paragraph" w:customStyle="1" w:styleId="182">
    <w:name w:val="文章标题1级"/>
    <w:next w:val="1"/>
    <w:autoRedefine/>
    <w:qFormat/>
    <w:uiPriority w:val="0"/>
    <w:pPr>
      <w:pageBreakBefore/>
      <w:tabs>
        <w:tab w:val="left" w:pos="360"/>
      </w:tabs>
      <w:spacing w:beforeLines="50" w:afterLines="50"/>
      <w:ind w:left="840" w:hanging="420"/>
      <w:jc w:val="center"/>
      <w:outlineLvl w:val="0"/>
    </w:pPr>
    <w:rPr>
      <w:rFonts w:ascii="Times New Roman" w:hAnsi="Times New Roman" w:eastAsia="宋体" w:cs="Times New Roman"/>
      <w:b/>
      <w:bCs/>
      <w:caps/>
      <w:kern w:val="2"/>
      <w:sz w:val="32"/>
      <w:szCs w:val="24"/>
      <w:lang w:val="en-US" w:eastAsia="zh-CN" w:bidi="ar-SA"/>
    </w:rPr>
  </w:style>
  <w:style w:type="character" w:customStyle="1" w:styleId="183">
    <w:name w:val="Char Char131"/>
    <w:autoRedefine/>
    <w:qFormat/>
    <w:uiPriority w:val="0"/>
    <w:rPr>
      <w:rFonts w:eastAsia="宋体"/>
      <w:color w:val="000000"/>
      <w:sz w:val="21"/>
      <w:szCs w:val="21"/>
      <w:lang w:val="en-US" w:eastAsia="zh-CN" w:bidi="ar-SA"/>
    </w:rPr>
  </w:style>
  <w:style w:type="character" w:customStyle="1" w:styleId="184">
    <w:name w:val="正文文本 Char Char"/>
    <w:autoRedefine/>
    <w:qFormat/>
    <w:uiPriority w:val="0"/>
    <w:rPr>
      <w:rFonts w:ascii="Calibri" w:hAnsi="Calibri" w:eastAsia="宋体"/>
      <w:kern w:val="2"/>
      <w:sz w:val="21"/>
      <w:szCs w:val="22"/>
      <w:lang w:val="en-US" w:eastAsia="zh-CN" w:bidi="ar-SA"/>
    </w:rPr>
  </w:style>
  <w:style w:type="character" w:customStyle="1" w:styleId="185">
    <w:name w:val="正文缩进 Char"/>
    <w:autoRedefine/>
    <w:qFormat/>
    <w:uiPriority w:val="0"/>
    <w:rPr>
      <w:rFonts w:eastAsia="宋体"/>
      <w:kern w:val="2"/>
      <w:sz w:val="21"/>
      <w:lang w:val="en-US" w:eastAsia="zh-CN" w:bidi="ar-SA"/>
    </w:rPr>
  </w:style>
  <w:style w:type="character" w:customStyle="1" w:styleId="186">
    <w:name w:val="页脚 Char"/>
    <w:autoRedefine/>
    <w:qFormat/>
    <w:uiPriority w:val="0"/>
    <w:rPr>
      <w:sz w:val="18"/>
      <w:szCs w:val="18"/>
    </w:rPr>
  </w:style>
  <w:style w:type="character" w:customStyle="1" w:styleId="187">
    <w:name w:val="页眉 Char"/>
    <w:autoRedefine/>
    <w:qFormat/>
    <w:uiPriority w:val="99"/>
    <w:rPr>
      <w:rFonts w:ascii="Times New Roman" w:hAnsi="Times New Roman"/>
      <w:kern w:val="2"/>
      <w:sz w:val="18"/>
      <w:szCs w:val="18"/>
    </w:rPr>
  </w:style>
  <w:style w:type="character" w:customStyle="1" w:styleId="188">
    <w:name w:val="Char Char18"/>
    <w:autoRedefine/>
    <w:qFormat/>
    <w:uiPriority w:val="0"/>
    <w:rPr>
      <w:rFonts w:eastAsia="宋体"/>
      <w:kern w:val="2"/>
      <w:sz w:val="21"/>
      <w:szCs w:val="24"/>
      <w:lang w:val="en-US" w:eastAsia="zh-CN" w:bidi="ar-SA"/>
    </w:rPr>
  </w:style>
  <w:style w:type="character" w:customStyle="1" w:styleId="189">
    <w:name w:val="无间隔 Char"/>
    <w:link w:val="153"/>
    <w:autoRedefine/>
    <w:qFormat/>
    <w:uiPriority w:val="0"/>
    <w:rPr>
      <w:rFonts w:ascii="Times New Roman" w:hAnsi="Times New Roman" w:eastAsia="宋体" w:cs="Times New Roman"/>
      <w:color w:val="000000"/>
      <w:sz w:val="21"/>
      <w:szCs w:val="21"/>
    </w:rPr>
  </w:style>
  <w:style w:type="character" w:customStyle="1" w:styleId="190">
    <w:name w:val="正文文字2 Char Char"/>
    <w:autoRedefine/>
    <w:qFormat/>
    <w:uiPriority w:val="0"/>
    <w:rPr>
      <w:rFonts w:ascii="Arial" w:eastAsia="黑体"/>
      <w:sz w:val="21"/>
      <w:lang w:val="en-US" w:eastAsia="zh-CN" w:bidi="ar-SA"/>
    </w:rPr>
  </w:style>
  <w:style w:type="character" w:customStyle="1" w:styleId="191">
    <w:name w:val="Char Char27"/>
    <w:autoRedefine/>
    <w:qFormat/>
    <w:uiPriority w:val="0"/>
    <w:rPr>
      <w:rFonts w:eastAsia="宋体"/>
      <w:b/>
      <w:color w:val="000000"/>
      <w:kern w:val="44"/>
      <w:sz w:val="44"/>
      <w:szCs w:val="21"/>
      <w:lang w:val="en-US" w:eastAsia="zh-CN" w:bidi="ar-SA"/>
    </w:rPr>
  </w:style>
  <w:style w:type="character" w:customStyle="1" w:styleId="192">
    <w:name w:val="style31"/>
    <w:autoRedefine/>
    <w:qFormat/>
    <w:uiPriority w:val="0"/>
    <w:rPr>
      <w:b/>
      <w:bCs/>
      <w:color w:val="0033CC"/>
    </w:rPr>
  </w:style>
  <w:style w:type="character" w:customStyle="1" w:styleId="193">
    <w:name w:val="Char Char111"/>
    <w:autoRedefine/>
    <w:qFormat/>
    <w:uiPriority w:val="0"/>
    <w:rPr>
      <w:rFonts w:eastAsia="宋体"/>
      <w:color w:val="000000"/>
      <w:sz w:val="21"/>
      <w:szCs w:val="21"/>
      <w:lang w:val="en-US" w:eastAsia="zh-CN" w:bidi="ar-SA"/>
    </w:rPr>
  </w:style>
  <w:style w:type="character" w:customStyle="1" w:styleId="194">
    <w:name w:val="Char Char26"/>
    <w:autoRedefine/>
    <w:qFormat/>
    <w:uiPriority w:val="0"/>
    <w:rPr>
      <w:b/>
      <w:color w:val="000000"/>
      <w:kern w:val="44"/>
      <w:sz w:val="44"/>
      <w:szCs w:val="21"/>
      <w:lang w:val="en-US" w:eastAsia="zh-CN" w:bidi="ar-SA"/>
    </w:rPr>
  </w:style>
  <w:style w:type="character" w:customStyle="1" w:styleId="195">
    <w:name w:val="小标题 Char Char"/>
    <w:link w:val="196"/>
    <w:autoRedefine/>
    <w:qFormat/>
    <w:uiPriority w:val="0"/>
    <w:rPr>
      <w:rFonts w:ascii="宋体" w:hAnsi="宋体" w:eastAsia="宋体"/>
      <w:b/>
      <w:sz w:val="24"/>
      <w:szCs w:val="24"/>
    </w:rPr>
  </w:style>
  <w:style w:type="paragraph" w:customStyle="1" w:styleId="196">
    <w:name w:val="小标题"/>
    <w:basedOn w:val="1"/>
    <w:next w:val="1"/>
    <w:link w:val="195"/>
    <w:autoRedefine/>
    <w:qFormat/>
    <w:uiPriority w:val="0"/>
    <w:pPr>
      <w:widowControl/>
      <w:numPr>
        <w:ilvl w:val="0"/>
        <w:numId w:val="5"/>
      </w:numPr>
      <w:tabs>
        <w:tab w:val="left" w:pos="360"/>
      </w:tabs>
      <w:autoSpaceDE/>
      <w:autoSpaceDN/>
      <w:adjustRightInd/>
      <w:jc w:val="left"/>
    </w:pPr>
    <w:rPr>
      <w:rFonts w:ascii="宋体" w:hAnsi="宋体" w:cstheme="minorBidi"/>
      <w:b/>
      <w:color w:val="auto"/>
      <w:sz w:val="24"/>
      <w:szCs w:val="24"/>
    </w:rPr>
  </w:style>
  <w:style w:type="character" w:customStyle="1" w:styleId="197">
    <w:name w:val="正文首缩两字 Char Char"/>
    <w:link w:val="198"/>
    <w:autoRedefine/>
    <w:qFormat/>
    <w:uiPriority w:val="0"/>
    <w:rPr>
      <w:rFonts w:ascii="Verdana" w:hAnsi="Verdana" w:eastAsia="宋体"/>
      <w:kern w:val="2"/>
      <w:sz w:val="24"/>
      <w:szCs w:val="24"/>
    </w:rPr>
  </w:style>
  <w:style w:type="paragraph" w:customStyle="1" w:styleId="198">
    <w:name w:val="正文首缩两字"/>
    <w:basedOn w:val="1"/>
    <w:link w:val="197"/>
    <w:autoRedefine/>
    <w:qFormat/>
    <w:uiPriority w:val="0"/>
    <w:pPr>
      <w:autoSpaceDE/>
      <w:autoSpaceDN/>
      <w:adjustRightInd/>
      <w:spacing w:line="360" w:lineRule="auto"/>
      <w:ind w:firstLine="200" w:firstLineChars="200"/>
    </w:pPr>
    <w:rPr>
      <w:rFonts w:ascii="Verdana" w:hAnsi="Verdana" w:cstheme="minorBidi"/>
      <w:color w:val="auto"/>
      <w:kern w:val="2"/>
      <w:sz w:val="24"/>
      <w:szCs w:val="24"/>
    </w:rPr>
  </w:style>
  <w:style w:type="character" w:customStyle="1" w:styleId="199">
    <w:name w:val="正文2 Char Char"/>
    <w:link w:val="200"/>
    <w:autoRedefine/>
    <w:qFormat/>
    <w:locked/>
    <w:uiPriority w:val="0"/>
    <w:rPr>
      <w:rFonts w:ascii="楷体" w:hAnsi="Verdana" w:eastAsia="楷体"/>
      <w:kern w:val="2"/>
      <w:sz w:val="24"/>
      <w:szCs w:val="24"/>
    </w:rPr>
  </w:style>
  <w:style w:type="paragraph" w:customStyle="1" w:styleId="200">
    <w:name w:val="正文2"/>
    <w:basedOn w:val="1"/>
    <w:link w:val="199"/>
    <w:autoRedefine/>
    <w:qFormat/>
    <w:uiPriority w:val="0"/>
    <w:pPr>
      <w:tabs>
        <w:tab w:val="left" w:pos="360"/>
      </w:tabs>
      <w:autoSpaceDE/>
      <w:autoSpaceDN/>
      <w:adjustRightInd/>
      <w:spacing w:beforeLines="50" w:line="360" w:lineRule="auto"/>
      <w:jc w:val="left"/>
    </w:pPr>
    <w:rPr>
      <w:rFonts w:ascii="楷体" w:hAnsi="Verdana" w:eastAsia="楷体" w:cstheme="minorBidi"/>
      <w:color w:val="auto"/>
      <w:kern w:val="2"/>
      <w:sz w:val="24"/>
      <w:szCs w:val="24"/>
    </w:rPr>
  </w:style>
  <w:style w:type="character" w:customStyle="1" w:styleId="201">
    <w:name w:val="文字 Char Char"/>
    <w:link w:val="202"/>
    <w:autoRedefine/>
    <w:qFormat/>
    <w:uiPriority w:val="0"/>
    <w:rPr>
      <w:rFonts w:ascii="宋体" w:hAnsi="宋体"/>
      <w:kern w:val="2"/>
      <w:sz w:val="28"/>
    </w:rPr>
  </w:style>
  <w:style w:type="paragraph" w:customStyle="1" w:styleId="202">
    <w:name w:val="文字"/>
    <w:basedOn w:val="1"/>
    <w:link w:val="201"/>
    <w:autoRedefine/>
    <w:qFormat/>
    <w:uiPriority w:val="0"/>
    <w:pPr>
      <w:tabs>
        <w:tab w:val="left" w:pos="8520"/>
      </w:tabs>
      <w:autoSpaceDE/>
      <w:autoSpaceDN/>
      <w:adjustRightInd/>
      <w:spacing w:line="312" w:lineRule="auto"/>
      <w:ind w:right="-210" w:firstLine="556"/>
    </w:pPr>
    <w:rPr>
      <w:rFonts w:ascii="宋体" w:hAnsi="宋体" w:eastAsiaTheme="minorEastAsia" w:cstheme="minorBidi"/>
      <w:color w:val="auto"/>
      <w:kern w:val="2"/>
      <w:sz w:val="28"/>
      <w:szCs w:val="20"/>
    </w:rPr>
  </w:style>
  <w:style w:type="character" w:customStyle="1" w:styleId="203">
    <w:name w:val="Char Char25"/>
    <w:autoRedefine/>
    <w:qFormat/>
    <w:uiPriority w:val="0"/>
    <w:rPr>
      <w:rFonts w:ascii="Arial" w:hAnsi="Arial" w:eastAsia="黑体"/>
      <w:b/>
      <w:bCs/>
      <w:kern w:val="2"/>
      <w:sz w:val="32"/>
      <w:szCs w:val="32"/>
      <w:lang w:val="en-US" w:eastAsia="zh-CN" w:bidi="ar-SA"/>
    </w:rPr>
  </w:style>
  <w:style w:type="character" w:customStyle="1" w:styleId="204">
    <w:name w:val="强调1"/>
    <w:autoRedefine/>
    <w:qFormat/>
    <w:uiPriority w:val="0"/>
    <w:rPr>
      <w:rFonts w:ascii="Arial Black" w:hAnsi="Arial Black" w:eastAsia="黑体"/>
      <w:b/>
      <w:spacing w:val="0"/>
      <w:sz w:val="21"/>
    </w:rPr>
  </w:style>
  <w:style w:type="character" w:customStyle="1" w:styleId="205">
    <w:name w:val="文档结构图 Char"/>
    <w:autoRedefine/>
    <w:qFormat/>
    <w:uiPriority w:val="0"/>
    <w:rPr>
      <w:rFonts w:ascii="Times New Roman" w:hAnsi="Times New Roman" w:eastAsia="??" w:cs="Times New Roman"/>
      <w:sz w:val="28"/>
      <w:szCs w:val="28"/>
      <w:shd w:val="clear" w:color="auto" w:fill="000080"/>
    </w:rPr>
  </w:style>
  <w:style w:type="character" w:customStyle="1" w:styleId="206">
    <w:name w:val="标题 Char"/>
    <w:basedOn w:val="52"/>
    <w:link w:val="46"/>
    <w:autoRedefine/>
    <w:qFormat/>
    <w:uiPriority w:val="0"/>
    <w:rPr>
      <w:rFonts w:ascii="Arial" w:hAnsi="Arial" w:eastAsia="宋体" w:cs="Times New Roman"/>
      <w:b/>
      <w:bCs/>
      <w:color w:val="000000"/>
      <w:kern w:val="2"/>
      <w:sz w:val="32"/>
      <w:szCs w:val="32"/>
    </w:rPr>
  </w:style>
  <w:style w:type="character" w:customStyle="1" w:styleId="207">
    <w:name w:val="正文文本 2 Char"/>
    <w:basedOn w:val="52"/>
    <w:link w:val="42"/>
    <w:autoRedefine/>
    <w:qFormat/>
    <w:uiPriority w:val="0"/>
    <w:rPr>
      <w:rFonts w:ascii="Times New Roman" w:hAnsi="Times New Roman" w:eastAsia="宋体" w:cs="Times New Roman"/>
      <w:color w:val="000000"/>
      <w:kern w:val="2"/>
      <w:sz w:val="21"/>
      <w:szCs w:val="22"/>
    </w:rPr>
  </w:style>
  <w:style w:type="paragraph" w:customStyle="1" w:styleId="208">
    <w:name w:val="正文缩进1"/>
    <w:basedOn w:val="1"/>
    <w:autoRedefine/>
    <w:qFormat/>
    <w:uiPriority w:val="0"/>
    <w:pPr>
      <w:autoSpaceDE/>
      <w:autoSpaceDN/>
      <w:adjustRightInd/>
      <w:ind w:firstLine="420"/>
    </w:pPr>
    <w:rPr>
      <w:color w:val="auto"/>
      <w:kern w:val="2"/>
      <w:szCs w:val="20"/>
    </w:rPr>
  </w:style>
  <w:style w:type="paragraph" w:customStyle="1" w:styleId="209">
    <w:name w:val="Char Char Char Char"/>
    <w:basedOn w:val="1"/>
    <w:autoRedefine/>
    <w:qFormat/>
    <w:uiPriority w:val="0"/>
    <w:pPr>
      <w:autoSpaceDE/>
      <w:autoSpaceDN/>
      <w:adjustRightInd/>
    </w:pPr>
    <w:rPr>
      <w:color w:val="auto"/>
      <w:kern w:val="2"/>
      <w:szCs w:val="20"/>
    </w:rPr>
  </w:style>
  <w:style w:type="paragraph" w:customStyle="1" w:styleId="210">
    <w:name w:val="文章标题4级"/>
    <w:basedOn w:val="180"/>
    <w:next w:val="1"/>
    <w:autoRedefine/>
    <w:qFormat/>
    <w:uiPriority w:val="0"/>
    <w:pPr>
      <w:tabs>
        <w:tab w:val="left" w:pos="1034"/>
        <w:tab w:val="left" w:pos="2760"/>
        <w:tab w:val="clear" w:pos="1560"/>
      </w:tabs>
      <w:outlineLvl w:val="3"/>
    </w:pPr>
    <w:rPr>
      <w:color w:val="auto"/>
    </w:rPr>
  </w:style>
  <w:style w:type="paragraph" w:customStyle="1" w:styleId="211">
    <w:name w:val="封面正文"/>
    <w:autoRedefine/>
    <w:qFormat/>
    <w:uiPriority w:val="0"/>
    <w:pPr>
      <w:jc w:val="both"/>
    </w:pPr>
    <w:rPr>
      <w:rFonts w:ascii="Times New Roman" w:hAnsi="Times New Roman" w:eastAsia="宋体" w:cs="Times New Roman"/>
      <w:lang w:val="en-US" w:eastAsia="zh-CN" w:bidi="ar-SA"/>
    </w:rPr>
  </w:style>
  <w:style w:type="paragraph" w:customStyle="1" w:styleId="212">
    <w:name w:val="Char Char Char"/>
    <w:basedOn w:val="1"/>
    <w:autoRedefine/>
    <w:qFormat/>
    <w:uiPriority w:val="0"/>
    <w:pPr>
      <w:autoSpaceDE/>
      <w:autoSpaceDN/>
      <w:adjustRightInd/>
    </w:pPr>
    <w:rPr>
      <w:color w:val="auto"/>
      <w:kern w:val="2"/>
      <w:szCs w:val="24"/>
    </w:rPr>
  </w:style>
  <w:style w:type="paragraph" w:customStyle="1" w:styleId="213">
    <w:name w:val="1级标题"/>
    <w:basedOn w:val="1"/>
    <w:autoRedefine/>
    <w:qFormat/>
    <w:uiPriority w:val="0"/>
    <w:pPr>
      <w:keepLines/>
      <w:pageBreakBefore/>
      <w:numPr>
        <w:ilvl w:val="0"/>
        <w:numId w:val="6"/>
      </w:numPr>
      <w:autoSpaceDE/>
      <w:autoSpaceDN/>
      <w:adjustRightInd/>
      <w:spacing w:before="240" w:after="240" w:line="360" w:lineRule="auto"/>
      <w:ind w:firstLine="0"/>
      <w:contextualSpacing/>
      <w:jc w:val="center"/>
      <w:outlineLvl w:val="0"/>
    </w:pPr>
    <w:rPr>
      <w:rFonts w:ascii="黑体" w:hAnsi="黑体" w:eastAsia="黑体"/>
      <w:color w:val="auto"/>
      <w:sz w:val="36"/>
      <w:szCs w:val="36"/>
      <w:lang w:val="zh-CN" w:eastAsia="en-US" w:bidi="en-US"/>
    </w:rPr>
  </w:style>
  <w:style w:type="paragraph" w:customStyle="1" w:styleId="214">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5">
    <w:name w:val="3级标题"/>
    <w:basedOn w:val="1"/>
    <w:autoRedefine/>
    <w:qFormat/>
    <w:uiPriority w:val="0"/>
    <w:pPr>
      <w:keepLines/>
      <w:numPr>
        <w:ilvl w:val="2"/>
        <w:numId w:val="6"/>
      </w:numPr>
      <w:autoSpaceDE/>
      <w:autoSpaceDN/>
      <w:adjustRightInd/>
      <w:spacing w:before="120" w:after="120" w:line="360" w:lineRule="auto"/>
      <w:contextualSpacing/>
      <w:jc w:val="left"/>
      <w:outlineLvl w:val="2"/>
    </w:pPr>
    <w:rPr>
      <w:rFonts w:ascii="黑体" w:hAnsi="黑体" w:eastAsia="黑体"/>
      <w:color w:val="auto"/>
      <w:sz w:val="28"/>
      <w:szCs w:val="36"/>
      <w:lang w:val="zh-CN" w:eastAsia="en-US" w:bidi="en-US"/>
    </w:rPr>
  </w:style>
  <w:style w:type="paragraph" w:customStyle="1" w:styleId="216">
    <w:name w:val="标题 6（有编号）（绿盟科技）"/>
    <w:basedOn w:val="1"/>
    <w:next w:val="1"/>
    <w:autoRedefine/>
    <w:qFormat/>
    <w:uiPriority w:val="0"/>
    <w:pPr>
      <w:keepNext/>
      <w:keepLines/>
      <w:numPr>
        <w:ilvl w:val="0"/>
        <w:numId w:val="7"/>
      </w:numPr>
      <w:tabs>
        <w:tab w:val="left" w:pos="885"/>
      </w:tabs>
      <w:autoSpaceDE/>
      <w:autoSpaceDN/>
      <w:adjustRightInd/>
      <w:spacing w:before="240" w:after="64" w:line="317" w:lineRule="auto"/>
      <w:ind w:left="2098" w:hanging="1247"/>
      <w:jc w:val="left"/>
      <w:outlineLvl w:val="5"/>
    </w:pPr>
    <w:rPr>
      <w:rFonts w:ascii="Arial" w:hAnsi="Arial" w:eastAsia="黑体"/>
      <w:b/>
      <w:color w:val="auto"/>
      <w:szCs w:val="24"/>
    </w:rPr>
  </w:style>
  <w:style w:type="paragraph" w:customStyle="1" w:styleId="217">
    <w:name w:val="次小点说明"/>
    <w:basedOn w:val="1"/>
    <w:autoRedefine/>
    <w:qFormat/>
    <w:uiPriority w:val="0"/>
    <w:pPr>
      <w:numPr>
        <w:ilvl w:val="0"/>
        <w:numId w:val="8"/>
      </w:numPr>
      <w:tabs>
        <w:tab w:val="left" w:pos="1680"/>
      </w:tabs>
      <w:autoSpaceDE/>
      <w:autoSpaceDN/>
      <w:snapToGrid w:val="0"/>
      <w:spacing w:line="360" w:lineRule="auto"/>
    </w:pPr>
    <w:rPr>
      <w:color w:val="auto"/>
      <w:kern w:val="2"/>
      <w:szCs w:val="24"/>
    </w:rPr>
  </w:style>
  <w:style w:type="paragraph" w:customStyle="1" w:styleId="218">
    <w:name w:val="段落正文 Char"/>
    <w:basedOn w:val="1"/>
    <w:autoRedefine/>
    <w:qFormat/>
    <w:uiPriority w:val="0"/>
    <w:pPr>
      <w:autoSpaceDE/>
      <w:autoSpaceDN/>
      <w:adjustRightInd/>
      <w:spacing w:line="360" w:lineRule="auto"/>
      <w:ind w:firstLine="461" w:firstLineChars="192"/>
    </w:pPr>
    <w:rPr>
      <w:rFonts w:ascii="宋体" w:hAnsi="宋体"/>
      <w:color w:val="auto"/>
      <w:kern w:val="2"/>
      <w:sz w:val="24"/>
      <w:szCs w:val="24"/>
    </w:rPr>
  </w:style>
  <w:style w:type="paragraph" w:customStyle="1" w:styleId="219">
    <w:name w:val="Table Paragraph"/>
    <w:basedOn w:val="1"/>
    <w:autoRedefine/>
    <w:qFormat/>
    <w:uiPriority w:val="1"/>
    <w:pPr>
      <w:autoSpaceDE/>
      <w:autoSpaceDN/>
      <w:adjustRightInd/>
    </w:pPr>
    <w:rPr>
      <w:rFonts w:ascii="Arial Unicode MS" w:hAnsi="Arial Unicode MS" w:eastAsia="Arial Unicode MS" w:cs="Arial Unicode MS"/>
      <w:color w:val="auto"/>
      <w:kern w:val="2"/>
      <w:szCs w:val="24"/>
      <w:lang w:val="zh-CN" w:bidi="zh-CN"/>
    </w:rPr>
  </w:style>
  <w:style w:type="paragraph" w:customStyle="1" w:styleId="220">
    <w:name w:val="样式 列表编号 + 段后: 0.5 行"/>
    <w:basedOn w:val="13"/>
    <w:autoRedefine/>
    <w:qFormat/>
    <w:uiPriority w:val="0"/>
    <w:pPr>
      <w:widowControl w:val="0"/>
      <w:tabs>
        <w:tab w:val="left" w:pos="360"/>
        <w:tab w:val="clear" w:pos="720"/>
      </w:tabs>
      <w:spacing w:afterLines="0"/>
      <w:jc w:val="both"/>
    </w:pPr>
    <w:rPr>
      <w:rFonts w:cs="宋体"/>
      <w:kern w:val="2"/>
      <w:sz w:val="21"/>
      <w:szCs w:val="24"/>
    </w:rPr>
  </w:style>
  <w:style w:type="paragraph" w:customStyle="1" w:styleId="221">
    <w:name w:val="Char3"/>
    <w:basedOn w:val="1"/>
    <w:autoRedefine/>
    <w:qFormat/>
    <w:uiPriority w:val="0"/>
    <w:pPr>
      <w:autoSpaceDE/>
      <w:autoSpaceDN/>
      <w:adjustRightInd/>
    </w:pPr>
    <w:rPr>
      <w:rFonts w:ascii="Tahoma" w:hAnsi="Tahoma"/>
      <w:color w:val="auto"/>
      <w:kern w:val="2"/>
      <w:sz w:val="24"/>
      <w:szCs w:val="20"/>
    </w:rPr>
  </w:style>
  <w:style w:type="paragraph" w:customStyle="1" w:styleId="222">
    <w:name w:val="列表段落2"/>
    <w:basedOn w:val="1"/>
    <w:autoRedefine/>
    <w:qFormat/>
    <w:uiPriority w:val="0"/>
    <w:pPr>
      <w:autoSpaceDE/>
      <w:autoSpaceDN/>
      <w:adjustRightInd/>
      <w:ind w:firstLine="420" w:firstLineChars="200"/>
    </w:pPr>
    <w:rPr>
      <w:color w:val="auto"/>
      <w:kern w:val="2"/>
      <w:szCs w:val="22"/>
    </w:rPr>
  </w:style>
  <w:style w:type="paragraph" w:customStyle="1" w:styleId="223">
    <w:name w:val="Char Char Char Char Char Char1"/>
    <w:basedOn w:val="1"/>
    <w:autoRedefine/>
    <w:qFormat/>
    <w:uiPriority w:val="0"/>
    <w:pPr>
      <w:widowControl/>
      <w:autoSpaceDE/>
      <w:autoSpaceDN/>
      <w:adjustRightInd/>
      <w:spacing w:after="160" w:line="240" w:lineRule="exact"/>
      <w:jc w:val="left"/>
    </w:pPr>
    <w:rPr>
      <w:color w:val="auto"/>
      <w:kern w:val="2"/>
      <w:szCs w:val="24"/>
    </w:rPr>
  </w:style>
  <w:style w:type="paragraph" w:customStyle="1" w:styleId="224">
    <w:name w:val="默认段落字体 Para Char Char Char Char"/>
    <w:basedOn w:val="1"/>
    <w:autoRedefine/>
    <w:qFormat/>
    <w:uiPriority w:val="0"/>
    <w:pPr>
      <w:autoSpaceDE/>
      <w:autoSpaceDN/>
      <w:adjustRightInd/>
    </w:pPr>
    <w:rPr>
      <w:color w:val="auto"/>
      <w:kern w:val="2"/>
      <w:szCs w:val="24"/>
    </w:rPr>
  </w:style>
  <w:style w:type="paragraph" w:customStyle="1" w:styleId="225">
    <w:name w:val="Char Char Char Char Char Char Char Char Char Char Char Char Char"/>
    <w:basedOn w:val="1"/>
    <w:autoRedefine/>
    <w:qFormat/>
    <w:uiPriority w:val="0"/>
    <w:pPr>
      <w:widowControl/>
      <w:numPr>
        <w:ilvl w:val="0"/>
        <w:numId w:val="9"/>
      </w:numPr>
      <w:tabs>
        <w:tab w:val="left" w:pos="1200"/>
      </w:tabs>
      <w:autoSpaceDE/>
      <w:autoSpaceDN/>
      <w:adjustRightInd/>
      <w:spacing w:after="160" w:line="240" w:lineRule="exact"/>
      <w:ind w:left="0" w:firstLine="0"/>
      <w:jc w:val="left"/>
    </w:pPr>
    <w:rPr>
      <w:rFonts w:ascii="Verdana" w:hAnsi="Verdana"/>
      <w:color w:val="auto"/>
      <w:sz w:val="20"/>
      <w:szCs w:val="20"/>
      <w:lang w:eastAsia="en-US"/>
    </w:rPr>
  </w:style>
  <w:style w:type="paragraph" w:customStyle="1" w:styleId="226">
    <w:name w:val="插图标注（绿盟科技）"/>
    <w:next w:val="1"/>
    <w:autoRedefine/>
    <w:qFormat/>
    <w:uiPriority w:val="0"/>
    <w:pPr>
      <w:numPr>
        <w:ilvl w:val="6"/>
        <w:numId w:val="10"/>
      </w:numPr>
      <w:tabs>
        <w:tab w:val="left" w:pos="3420"/>
      </w:tabs>
      <w:spacing w:after="156"/>
      <w:jc w:val="center"/>
    </w:pPr>
    <w:rPr>
      <w:rFonts w:ascii="Arial" w:hAnsi="Arial" w:eastAsia="宋体" w:cs="Arial"/>
      <w:sz w:val="21"/>
      <w:szCs w:val="21"/>
      <w:lang w:val="en-US" w:eastAsia="zh-CN" w:bidi="ar-SA"/>
    </w:rPr>
  </w:style>
  <w:style w:type="paragraph" w:customStyle="1" w:styleId="227">
    <w:name w:val="标题 3（绿盟科技）"/>
    <w:basedOn w:val="4"/>
    <w:next w:val="1"/>
    <w:autoRedefine/>
    <w:qFormat/>
    <w:uiPriority w:val="0"/>
    <w:pPr>
      <w:numPr>
        <w:ilvl w:val="2"/>
        <w:numId w:val="10"/>
      </w:numPr>
      <w:tabs>
        <w:tab w:val="left" w:pos="960"/>
      </w:tabs>
      <w:autoSpaceDE/>
      <w:autoSpaceDN/>
      <w:adjustRightInd/>
      <w:jc w:val="left"/>
    </w:pPr>
    <w:rPr>
      <w:rFonts w:ascii="Arial" w:hAnsi="Arial" w:eastAsia="黑体"/>
      <w:bCs w:val="0"/>
      <w:color w:val="auto"/>
      <w:sz w:val="30"/>
      <w:szCs w:val="30"/>
    </w:rPr>
  </w:style>
  <w:style w:type="paragraph" w:customStyle="1" w:styleId="228">
    <w:name w:val="陈泽滨"/>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9">
    <w:name w:val="Char1"/>
    <w:basedOn w:val="1"/>
    <w:autoRedefine/>
    <w:qFormat/>
    <w:uiPriority w:val="0"/>
    <w:pPr>
      <w:autoSpaceDE/>
      <w:autoSpaceDN/>
      <w:adjustRightInd/>
    </w:pPr>
    <w:rPr>
      <w:rFonts w:ascii="仿宋_GB2312" w:eastAsia="仿宋_GB2312"/>
      <w:b/>
      <w:color w:val="auto"/>
      <w:kern w:val="2"/>
      <w:sz w:val="32"/>
      <w:szCs w:val="32"/>
    </w:rPr>
  </w:style>
  <w:style w:type="paragraph" w:customStyle="1" w:styleId="230">
    <w:name w:val="font7"/>
    <w:basedOn w:val="1"/>
    <w:autoRedefine/>
    <w:qFormat/>
    <w:uiPriority w:val="0"/>
    <w:pPr>
      <w:widowControl/>
      <w:autoSpaceDE/>
      <w:autoSpaceDN/>
      <w:adjustRightInd/>
      <w:spacing w:before="100" w:beforeAutospacing="1" w:after="100" w:afterAutospacing="1"/>
      <w:jc w:val="left"/>
    </w:pPr>
    <w:rPr>
      <w:rFonts w:ascii="宋体" w:hAnsi="宋体" w:cs="宋体"/>
      <w:color w:val="auto"/>
      <w:sz w:val="20"/>
      <w:szCs w:val="20"/>
    </w:rPr>
  </w:style>
  <w:style w:type="paragraph" w:customStyle="1" w:styleId="231">
    <w:name w:val="纯文本2"/>
    <w:basedOn w:val="1"/>
    <w:autoRedefine/>
    <w:qFormat/>
    <w:uiPriority w:val="0"/>
    <w:pPr>
      <w:autoSpaceDE/>
      <w:autoSpaceDN/>
      <w:adjustRightInd/>
    </w:pPr>
    <w:rPr>
      <w:rFonts w:ascii="宋体" w:hAnsi="Courier New"/>
      <w:color w:val="auto"/>
    </w:rPr>
  </w:style>
  <w:style w:type="paragraph" w:customStyle="1" w:styleId="232">
    <w:name w:val="样式1"/>
    <w:basedOn w:val="123"/>
    <w:autoRedefine/>
    <w:qFormat/>
    <w:uiPriority w:val="0"/>
    <w:pPr>
      <w:widowControl w:val="0"/>
      <w:spacing w:afterLines="0"/>
      <w:ind w:firstLine="0" w:firstLineChars="0"/>
    </w:pPr>
    <w:rPr>
      <w:rFonts w:ascii="仿宋_GB2312" w:hAnsi="宋体" w:eastAsia="仿宋_GB2312"/>
      <w:bCs/>
      <w:color w:val="FF0000"/>
      <w:kern w:val="2"/>
      <w:sz w:val="21"/>
      <w:szCs w:val="21"/>
    </w:rPr>
  </w:style>
  <w:style w:type="paragraph" w:customStyle="1" w:styleId="233">
    <w:name w:val="xl10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left"/>
    </w:pPr>
    <w:rPr>
      <w:rFonts w:ascii="宋体" w:hAnsi="宋体" w:cs="宋体"/>
      <w:color w:val="auto"/>
      <w:sz w:val="20"/>
      <w:szCs w:val="20"/>
    </w:rPr>
  </w:style>
  <w:style w:type="paragraph" w:customStyle="1" w:styleId="234">
    <w:name w:val="标题 1（绿盟科技）"/>
    <w:basedOn w:val="2"/>
    <w:next w:val="1"/>
    <w:autoRedefine/>
    <w:qFormat/>
    <w:uiPriority w:val="0"/>
    <w:pPr>
      <w:numPr>
        <w:ilvl w:val="0"/>
        <w:numId w:val="10"/>
      </w:numPr>
      <w:pBdr>
        <w:bottom w:val="single" w:color="auto" w:sz="48" w:space="1"/>
      </w:pBdr>
      <w:tabs>
        <w:tab w:val="left" w:pos="840"/>
      </w:tabs>
      <w:autoSpaceDE/>
      <w:autoSpaceDN/>
      <w:adjustRightInd/>
      <w:spacing w:before="600"/>
      <w:jc w:val="left"/>
    </w:pPr>
    <w:rPr>
      <w:rFonts w:ascii="Arial" w:hAnsi="Arial" w:eastAsia="黑体"/>
      <w:bCs/>
      <w:color w:val="auto"/>
      <w:szCs w:val="44"/>
    </w:rPr>
  </w:style>
  <w:style w:type="paragraph" w:customStyle="1" w:styleId="235">
    <w:name w:val="List Paragraph1"/>
    <w:basedOn w:val="1"/>
    <w:autoRedefine/>
    <w:qFormat/>
    <w:uiPriority w:val="0"/>
    <w:pPr>
      <w:autoSpaceDE/>
      <w:autoSpaceDN/>
      <w:adjustRightInd/>
      <w:ind w:firstLine="420" w:firstLineChars="200"/>
    </w:pPr>
    <w:rPr>
      <w:color w:val="auto"/>
      <w:kern w:val="2"/>
      <w:szCs w:val="24"/>
    </w:rPr>
  </w:style>
  <w:style w:type="paragraph" w:customStyle="1" w:styleId="236">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7">
    <w:name w:val="4级标题"/>
    <w:basedOn w:val="1"/>
    <w:autoRedefine/>
    <w:qFormat/>
    <w:uiPriority w:val="0"/>
    <w:pPr>
      <w:keepLines/>
      <w:numPr>
        <w:ilvl w:val="3"/>
        <w:numId w:val="6"/>
      </w:numPr>
      <w:autoSpaceDE/>
      <w:autoSpaceDN/>
      <w:adjustRightInd/>
      <w:spacing w:line="360" w:lineRule="auto"/>
      <w:contextualSpacing/>
      <w:jc w:val="left"/>
      <w:outlineLvl w:val="3"/>
    </w:pPr>
    <w:rPr>
      <w:rFonts w:ascii="黑体" w:hAnsi="黑体" w:eastAsia="黑体"/>
      <w:color w:val="auto"/>
      <w:sz w:val="24"/>
      <w:szCs w:val="24"/>
      <w:lang w:val="zh-CN" w:eastAsia="en-US" w:bidi="en-US"/>
    </w:rPr>
  </w:style>
  <w:style w:type="paragraph" w:customStyle="1" w:styleId="238">
    <w:name w:val="标题 5（有编号）（绿盟科技）"/>
    <w:basedOn w:val="1"/>
    <w:next w:val="1"/>
    <w:autoRedefine/>
    <w:qFormat/>
    <w:uiPriority w:val="0"/>
    <w:pPr>
      <w:keepNext/>
      <w:keepLines/>
      <w:numPr>
        <w:ilvl w:val="4"/>
        <w:numId w:val="10"/>
      </w:numPr>
      <w:tabs>
        <w:tab w:val="left" w:pos="2580"/>
      </w:tabs>
      <w:autoSpaceDE/>
      <w:autoSpaceDN/>
      <w:adjustRightInd/>
      <w:spacing w:before="280" w:after="156" w:line="377" w:lineRule="auto"/>
      <w:jc w:val="left"/>
      <w:outlineLvl w:val="4"/>
    </w:pPr>
    <w:rPr>
      <w:rFonts w:ascii="Arial" w:hAnsi="Arial" w:eastAsia="黑体"/>
      <w:b/>
      <w:color w:val="auto"/>
      <w:sz w:val="24"/>
      <w:szCs w:val="28"/>
    </w:rPr>
  </w:style>
  <w:style w:type="paragraph" w:customStyle="1" w:styleId="239">
    <w:name w:val="±"/>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0">
    <w:name w:val="表格标注（绿盟科技）"/>
    <w:basedOn w:val="226"/>
    <w:next w:val="1"/>
    <w:autoRedefine/>
    <w:qFormat/>
    <w:uiPriority w:val="0"/>
    <w:pPr>
      <w:numPr>
        <w:ilvl w:val="7"/>
      </w:numPr>
      <w:tabs>
        <w:tab w:val="left" w:pos="3840"/>
        <w:tab w:val="clear" w:pos="3420"/>
      </w:tabs>
    </w:pPr>
  </w:style>
  <w:style w:type="paragraph" w:customStyle="1" w:styleId="241">
    <w:name w:val="列出段落2"/>
    <w:basedOn w:val="1"/>
    <w:autoRedefine/>
    <w:qFormat/>
    <w:uiPriority w:val="34"/>
    <w:pPr>
      <w:ind w:firstLine="420" w:firstLineChars="200"/>
    </w:pPr>
  </w:style>
  <w:style w:type="paragraph" w:customStyle="1" w:styleId="242">
    <w:name w:val="称呼1"/>
    <w:basedOn w:val="1"/>
    <w:next w:val="1"/>
    <w:autoRedefine/>
    <w:qFormat/>
    <w:uiPriority w:val="0"/>
    <w:pPr>
      <w:widowControl/>
      <w:autoSpaceDE/>
      <w:autoSpaceDN/>
      <w:jc w:val="left"/>
      <w:textAlignment w:val="baseline"/>
    </w:pPr>
    <w:rPr>
      <w:rFonts w:ascii="Arial" w:hAnsi="Arial"/>
      <w:color w:val="auto"/>
      <w:spacing w:val="-5"/>
      <w:sz w:val="24"/>
      <w:szCs w:val="20"/>
    </w:rPr>
  </w:style>
  <w:style w:type="paragraph" w:customStyle="1" w:styleId="243">
    <w:name w:val="Body Text(ch)"/>
    <w:basedOn w:val="1"/>
    <w:next w:val="20"/>
    <w:autoRedefine/>
    <w:qFormat/>
    <w:uiPriority w:val="0"/>
    <w:pPr>
      <w:autoSpaceDE/>
      <w:autoSpaceDN/>
      <w:adjustRightInd/>
      <w:spacing w:line="360" w:lineRule="auto"/>
    </w:pPr>
    <w:rPr>
      <w:rFonts w:ascii="宋体" w:hAnsi="宋体"/>
      <w:color w:val="auto"/>
      <w:kern w:val="2"/>
      <w:sz w:val="24"/>
      <w:szCs w:val="24"/>
    </w:rPr>
  </w:style>
  <w:style w:type="paragraph" w:customStyle="1" w:styleId="244">
    <w:name w:val="2级标题"/>
    <w:basedOn w:val="1"/>
    <w:autoRedefine/>
    <w:qFormat/>
    <w:uiPriority w:val="0"/>
    <w:pPr>
      <w:keepLines/>
      <w:numPr>
        <w:ilvl w:val="1"/>
        <w:numId w:val="6"/>
      </w:numPr>
      <w:autoSpaceDE/>
      <w:autoSpaceDN/>
      <w:adjustRightInd/>
      <w:spacing w:before="240" w:after="120" w:line="360" w:lineRule="auto"/>
      <w:contextualSpacing/>
      <w:jc w:val="left"/>
      <w:outlineLvl w:val="1"/>
    </w:pPr>
    <w:rPr>
      <w:rFonts w:ascii="黑体" w:hAnsi="黑体" w:eastAsia="黑体"/>
      <w:color w:val="auto"/>
      <w:sz w:val="32"/>
      <w:szCs w:val="36"/>
      <w:lang w:val="zh-CN" w:eastAsia="en-US" w:bidi="en-US"/>
    </w:rPr>
  </w:style>
  <w:style w:type="paragraph" w:customStyle="1" w:styleId="245">
    <w:name w:val="标题 2（绿盟科技）"/>
    <w:basedOn w:val="3"/>
    <w:next w:val="1"/>
    <w:autoRedefine/>
    <w:qFormat/>
    <w:uiPriority w:val="0"/>
    <w:pPr>
      <w:numPr>
        <w:ilvl w:val="1"/>
        <w:numId w:val="10"/>
      </w:numPr>
      <w:tabs>
        <w:tab w:val="left" w:pos="1320"/>
      </w:tabs>
      <w:jc w:val="left"/>
    </w:pPr>
    <w:rPr>
      <w:bCs w:val="0"/>
    </w:rPr>
  </w:style>
  <w:style w:type="paragraph" w:customStyle="1" w:styleId="246">
    <w:name w:val="回信地址"/>
    <w:basedOn w:val="1"/>
    <w:autoRedefine/>
    <w:qFormat/>
    <w:uiPriority w:val="0"/>
    <w:pPr>
      <w:keepLines/>
      <w:widowControl/>
      <w:tabs>
        <w:tab w:val="left" w:pos="-18551"/>
      </w:tabs>
      <w:autoSpaceDE/>
      <w:autoSpaceDN/>
      <w:spacing w:line="160" w:lineRule="atLeast"/>
      <w:jc w:val="left"/>
      <w:textAlignment w:val="baseline"/>
    </w:pPr>
    <w:rPr>
      <w:rFonts w:ascii="Arial" w:hAnsi="Arial"/>
      <w:color w:val="auto"/>
      <w:sz w:val="18"/>
      <w:szCs w:val="20"/>
    </w:rPr>
  </w:style>
  <w:style w:type="paragraph" w:customStyle="1" w:styleId="247">
    <w:name w:val="1"/>
    <w:basedOn w:val="1"/>
    <w:autoRedefine/>
    <w:qFormat/>
    <w:uiPriority w:val="0"/>
    <w:pPr>
      <w:widowControl/>
      <w:autoSpaceDE/>
      <w:autoSpaceDN/>
      <w:adjustRightInd/>
      <w:spacing w:after="160" w:line="240" w:lineRule="exact"/>
      <w:jc w:val="left"/>
    </w:pPr>
    <w:rPr>
      <w:color w:val="auto"/>
      <w:kern w:val="2"/>
      <w:szCs w:val="24"/>
    </w:rPr>
  </w:style>
  <w:style w:type="paragraph" w:customStyle="1" w:styleId="248">
    <w:name w:val="标准正文"/>
    <w:basedOn w:val="1"/>
    <w:autoRedefine/>
    <w:qFormat/>
    <w:uiPriority w:val="0"/>
    <w:pPr>
      <w:autoSpaceDE/>
      <w:autoSpaceDN/>
      <w:adjustRightInd/>
      <w:spacing w:afterLines="50"/>
      <w:ind w:firstLine="200" w:firstLineChars="200"/>
    </w:pPr>
    <w:rPr>
      <w:color w:val="auto"/>
      <w:kern w:val="2"/>
      <w:sz w:val="24"/>
    </w:rPr>
  </w:style>
  <w:style w:type="paragraph" w:customStyle="1" w:styleId="249">
    <w:name w:val="table text"/>
    <w:basedOn w:val="1"/>
    <w:autoRedefine/>
    <w:qFormat/>
    <w:uiPriority w:val="0"/>
    <w:pPr>
      <w:widowControl/>
      <w:autoSpaceDE/>
      <w:autoSpaceDN/>
      <w:adjustRightInd/>
    </w:pPr>
    <w:rPr>
      <w:rFonts w:ascii="Arial" w:hAnsi="Arial"/>
      <w:bCs/>
      <w:color w:val="auto"/>
      <w:sz w:val="20"/>
      <w:szCs w:val="20"/>
    </w:rPr>
  </w:style>
  <w:style w:type="paragraph" w:customStyle="1" w:styleId="250">
    <w:name w:val="Char21"/>
    <w:basedOn w:val="1"/>
    <w:autoRedefine/>
    <w:qFormat/>
    <w:uiPriority w:val="0"/>
    <w:pPr>
      <w:autoSpaceDE/>
      <w:autoSpaceDN/>
      <w:adjustRightInd/>
    </w:pPr>
    <w:rPr>
      <w:color w:val="auto"/>
      <w:kern w:val="2"/>
      <w:szCs w:val="20"/>
    </w:rPr>
  </w:style>
  <w:style w:type="paragraph" w:customStyle="1" w:styleId="251">
    <w:name w:val="WPS Plain"/>
    <w:autoRedefine/>
    <w:qFormat/>
    <w:uiPriority w:val="0"/>
    <w:rPr>
      <w:rFonts w:ascii="Times New Roman" w:hAnsi="Times New Roman" w:eastAsia="宋体" w:cs="Times New Roman"/>
      <w:sz w:val="21"/>
      <w:szCs w:val="22"/>
      <w:lang w:val="en-US" w:eastAsia="zh-CN" w:bidi="ar-SA"/>
    </w:rPr>
  </w:style>
  <w:style w:type="paragraph" w:customStyle="1" w:styleId="252">
    <w:name w:val="_Style 241"/>
    <w:basedOn w:val="21"/>
    <w:next w:val="49"/>
    <w:autoRedefine/>
    <w:qFormat/>
    <w:uiPriority w:val="0"/>
    <w:pPr>
      <w:autoSpaceDE/>
      <w:autoSpaceDN/>
      <w:adjustRightInd/>
      <w:spacing w:line="360" w:lineRule="auto"/>
      <w:ind w:firstLine="420" w:firstLineChars="200"/>
    </w:pPr>
    <w:rPr>
      <w:rFonts w:ascii="Calibri" w:hAnsi="Calibri"/>
      <w:color w:val="auto"/>
      <w:kern w:val="2"/>
      <w:sz w:val="24"/>
      <w:szCs w:val="22"/>
    </w:rPr>
  </w:style>
  <w:style w:type="paragraph" w:customStyle="1" w:styleId="253">
    <w:name w:val="普通(网站)11"/>
    <w:basedOn w:val="1"/>
    <w:autoRedefine/>
    <w:qFormat/>
    <w:uiPriority w:val="0"/>
    <w:pPr>
      <w:widowControl/>
      <w:autoSpaceDE/>
      <w:autoSpaceDN/>
      <w:adjustRightInd/>
      <w:spacing w:beforeAutospacing="1" w:afterAutospacing="1"/>
      <w:jc w:val="left"/>
    </w:pPr>
    <w:rPr>
      <w:rFonts w:ascii="宋体" w:hAnsi="宋体"/>
      <w:color w:val="auto"/>
      <w:sz w:val="24"/>
      <w:szCs w:val="24"/>
    </w:rPr>
  </w:style>
  <w:style w:type="character" w:customStyle="1" w:styleId="254">
    <w:name w:val="bookmark-item"/>
    <w:basedOn w:val="52"/>
    <w:autoRedefine/>
    <w:qFormat/>
    <w:uiPriority w:val="0"/>
  </w:style>
  <w:style w:type="paragraph" w:customStyle="1" w:styleId="255">
    <w:name w:val="_Style 48"/>
    <w:basedOn w:val="14"/>
    <w:autoRedefine/>
    <w:qFormat/>
    <w:uiPriority w:val="0"/>
    <w:pPr>
      <w:widowControl/>
      <w:spacing w:afterLines="50" w:line="360" w:lineRule="auto"/>
      <w:ind w:firstLine="480" w:firstLineChars="200"/>
      <w:jc w:val="left"/>
    </w:pPr>
    <w:rPr>
      <w:rFonts w:ascii="Arial" w:hAnsi="Arial" w:eastAsia="黑体" w:cs="Times New Roman"/>
      <w:snapToGrid w:val="0"/>
      <w:kern w:val="0"/>
      <w:sz w:val="20"/>
      <w:szCs w:val="21"/>
    </w:rPr>
  </w:style>
  <w:style w:type="paragraph" w:customStyle="1" w:styleId="256">
    <w:name w:val="Char2"/>
    <w:basedOn w:val="1"/>
    <w:autoRedefine/>
    <w:qFormat/>
    <w:uiPriority w:val="0"/>
    <w:pPr>
      <w:autoSpaceDE/>
      <w:autoSpaceDN/>
    </w:pPr>
    <w:rPr>
      <w:rFonts w:ascii="仿宋_GB2312" w:eastAsia="仿宋_GB2312"/>
      <w:b/>
      <w:color w:val="auto"/>
      <w:kern w:val="2"/>
      <w:sz w:val="32"/>
      <w:szCs w:val="32"/>
    </w:rPr>
  </w:style>
  <w:style w:type="paragraph" w:customStyle="1" w:styleId="257">
    <w:name w:val="trs_editor"/>
    <w:basedOn w:val="1"/>
    <w:autoRedefine/>
    <w:qFormat/>
    <w:uiPriority w:val="0"/>
    <w:pPr>
      <w:widowControl/>
      <w:autoSpaceDE/>
      <w:autoSpaceDN/>
      <w:adjustRightInd/>
      <w:spacing w:before="100" w:beforeAutospacing="1" w:after="100" w:afterAutospacing="1"/>
      <w:jc w:val="left"/>
    </w:pPr>
    <w:rPr>
      <w:rFonts w:ascii="宋体" w:hAnsi="宋体" w:cs="宋体"/>
      <w:color w:val="auto"/>
      <w:sz w:val="24"/>
      <w:szCs w:val="24"/>
    </w:rPr>
  </w:style>
  <w:style w:type="paragraph" w:customStyle="1" w:styleId="258">
    <w:name w:val="fontsize16"/>
    <w:basedOn w:val="1"/>
    <w:autoRedefine/>
    <w:qFormat/>
    <w:uiPriority w:val="0"/>
    <w:pPr>
      <w:autoSpaceDE/>
      <w:autoSpaceDN/>
      <w:adjustRightInd/>
      <w:jc w:val="left"/>
    </w:pPr>
    <w:rPr>
      <w:rFonts w:ascii="Calibri" w:hAnsi="Calibri"/>
      <w:color w:val="auto"/>
      <w:sz w:val="24"/>
      <w:szCs w:val="24"/>
    </w:rPr>
  </w:style>
  <w:style w:type="paragraph" w:customStyle="1" w:styleId="259">
    <w:name w:val="BZ_正文"/>
    <w:basedOn w:val="1"/>
    <w:autoRedefine/>
    <w:qFormat/>
    <w:uiPriority w:val="0"/>
    <w:pPr>
      <w:autoSpaceDE/>
      <w:autoSpaceDN/>
      <w:adjustRightInd/>
      <w:spacing w:line="360" w:lineRule="auto"/>
      <w:ind w:firstLine="200" w:firstLineChars="200"/>
    </w:pPr>
    <w:rPr>
      <w:color w:val="auto"/>
      <w:kern w:val="2"/>
      <w:sz w:val="24"/>
      <w:szCs w:val="24"/>
    </w:rPr>
  </w:style>
  <w:style w:type="paragraph" w:customStyle="1" w:styleId="260">
    <w:name w:val="正文1"/>
    <w:basedOn w:val="1"/>
    <w:autoRedefine/>
    <w:qFormat/>
    <w:uiPriority w:val="0"/>
    <w:pPr>
      <w:autoSpaceDE/>
      <w:autoSpaceDN/>
      <w:adjustRightInd/>
      <w:spacing w:line="360" w:lineRule="auto"/>
      <w:ind w:firstLine="560" w:firstLineChars="200"/>
    </w:pPr>
    <w:rPr>
      <w:rFonts w:ascii="宋体" w:hAnsi="宋体"/>
      <w:bCs/>
      <w:color w:val="auto"/>
      <w:kern w:val="2"/>
      <w:sz w:val="28"/>
      <w:szCs w:val="20"/>
    </w:rPr>
  </w:style>
  <w:style w:type="paragraph" w:customStyle="1" w:styleId="261">
    <w:name w:val="BZ_小标题2"/>
    <w:basedOn w:val="1"/>
    <w:next w:val="259"/>
    <w:autoRedefine/>
    <w:qFormat/>
    <w:uiPriority w:val="0"/>
    <w:pPr>
      <w:numPr>
        <w:ilvl w:val="0"/>
        <w:numId w:val="11"/>
      </w:numPr>
      <w:autoSpaceDE/>
      <w:autoSpaceDN/>
      <w:adjustRightInd/>
      <w:spacing w:line="360" w:lineRule="auto"/>
    </w:pPr>
    <w:rPr>
      <w:color w:val="auto"/>
      <w:kern w:val="2"/>
      <w:sz w:val="24"/>
      <w:szCs w:val="24"/>
    </w:rPr>
  </w:style>
  <w:style w:type="paragraph" w:customStyle="1" w:styleId="262">
    <w:name w:val="my正文"/>
    <w:basedOn w:val="1"/>
    <w:autoRedefine/>
    <w:qFormat/>
    <w:uiPriority w:val="0"/>
    <w:pPr>
      <w:widowControl/>
      <w:autoSpaceDE/>
      <w:autoSpaceDN/>
      <w:snapToGrid w:val="0"/>
      <w:spacing w:line="360" w:lineRule="auto"/>
      <w:ind w:firstLine="200" w:firstLineChars="200"/>
    </w:pPr>
    <w:rPr>
      <w:rFonts w:ascii="仿宋_GB2312" w:hAnsi="等线"/>
      <w:color w:val="auto"/>
      <w:kern w:val="2"/>
      <w:sz w:val="28"/>
      <w:szCs w:val="30"/>
    </w:rPr>
  </w:style>
  <w:style w:type="character" w:customStyle="1" w:styleId="263">
    <w:name w:val="标题 1 Char Char"/>
    <w:basedOn w:val="52"/>
    <w:autoRedefine/>
    <w:qFormat/>
    <w:uiPriority w:val="0"/>
    <w:rPr>
      <w:rFonts w:eastAsia="宋体"/>
      <w:b/>
      <w:spacing w:val="-2"/>
      <w:sz w:val="24"/>
      <w:lang w:val="en-US" w:eastAsia="zh-CN" w:bidi="ar-SA"/>
    </w:rPr>
  </w:style>
  <w:style w:type="paragraph" w:customStyle="1" w:styleId="264">
    <w:name w:val="正文首行缩进 21"/>
    <w:basedOn w:val="1"/>
    <w:autoRedefine/>
    <w:qFormat/>
    <w:uiPriority w:val="0"/>
    <w:pPr>
      <w:ind w:left="420" w:leftChars="200" w:firstLine="420"/>
    </w:pPr>
    <w:rPr>
      <w:rFonts w:cs="宋体"/>
    </w:rPr>
  </w:style>
  <w:style w:type="paragraph" w:customStyle="1" w:styleId="265">
    <w:name w:val="text-tag"/>
    <w:basedOn w:val="1"/>
    <w:autoRedefine/>
    <w:semiHidden/>
    <w:qFormat/>
    <w:uiPriority w:val="99"/>
    <w:pPr>
      <w:widowControl/>
      <w:autoSpaceDE/>
      <w:autoSpaceDN/>
      <w:spacing w:before="100" w:beforeAutospacing="1" w:after="100" w:afterAutospacing="1"/>
      <w:jc w:val="left"/>
    </w:pPr>
    <w:rPr>
      <w:rFonts w:ascii="宋体" w:hAnsi="宋体" w:cs="宋体"/>
      <w:color w:val="auto"/>
      <w:sz w:val="24"/>
      <w:szCs w:val="20"/>
    </w:rPr>
  </w:style>
  <w:style w:type="paragraph" w:customStyle="1" w:styleId="266">
    <w:name w:val="Char3 Char Char Char"/>
    <w:basedOn w:val="1"/>
    <w:autoRedefine/>
    <w:qFormat/>
    <w:uiPriority w:val="0"/>
    <w:rPr>
      <w:rFonts w:ascii="Tahoma" w:hAnsi="Tahoma"/>
      <w:color w:val="auto"/>
      <w:kern w:val="2"/>
      <w:sz w:val="24"/>
      <w:szCs w:val="20"/>
    </w:rPr>
  </w:style>
  <w:style w:type="paragraph" w:customStyle="1" w:styleId="267">
    <w:name w:val="正文首行缩进 22"/>
    <w:basedOn w:val="268"/>
    <w:autoRedefine/>
    <w:qFormat/>
    <w:uiPriority w:val="0"/>
    <w:pPr>
      <w:ind w:firstLine="420"/>
    </w:pPr>
    <w:rPr>
      <w:rFonts w:cs="宋体"/>
    </w:rPr>
  </w:style>
  <w:style w:type="paragraph" w:customStyle="1" w:styleId="268">
    <w:name w:val="正文文本缩进2"/>
    <w:basedOn w:val="1"/>
    <w:next w:val="1"/>
    <w:autoRedefine/>
    <w:qFormat/>
    <w:uiPriority w:val="0"/>
    <w:pPr>
      <w:ind w:left="420" w:leftChars="200"/>
    </w:pPr>
  </w:style>
  <w:style w:type="paragraph" w:customStyle="1" w:styleId="269">
    <w:name w:val="四级目录 Char Char Char Char Char"/>
    <w:next w:val="1"/>
    <w:autoRedefine/>
    <w:qFormat/>
    <w:uiPriority w:val="0"/>
    <w:pPr>
      <w:spacing w:line="360" w:lineRule="auto"/>
      <w:ind w:left="200" w:leftChars="200"/>
    </w:pPr>
    <w:rPr>
      <w:rFonts w:ascii="Calibri" w:hAnsi="Calibri" w:eastAsia="宋体" w:cs="Times New Roman"/>
      <w:lang w:val="en-US" w:eastAsia="zh-CN" w:bidi="ar-SA"/>
    </w:rPr>
  </w:style>
  <w:style w:type="paragraph" w:customStyle="1" w:styleId="270">
    <w:name w:val="[Normal]"/>
    <w:autoRedefine/>
    <w:qFormat/>
    <w:uiPriority w:val="0"/>
    <w:rPr>
      <w:rFonts w:ascii="宋体" w:hAnsi="宋体" w:eastAsia="宋体" w:cs="Times New Roman"/>
      <w:sz w:val="24"/>
      <w:szCs w:val="22"/>
      <w:lang w:val="zh-CN" w:eastAsia="zh-CN" w:bidi="ar-SA"/>
    </w:rPr>
  </w:style>
  <w:style w:type="paragraph" w:customStyle="1" w:styleId="271">
    <w:name w:val="Body Text 3"/>
    <w:basedOn w:val="1"/>
    <w:autoRedefine/>
    <w:qFormat/>
    <w:uiPriority w:val="0"/>
    <w:pPr>
      <w:spacing w:after="120" w:afterLines="0"/>
    </w:pPr>
    <w:rPr>
      <w:sz w:val="16"/>
      <w:szCs w:val="16"/>
    </w:rPr>
  </w:style>
  <w:style w:type="paragraph" w:customStyle="1" w:styleId="272">
    <w:name w:val="正文_0"/>
    <w:basedOn w:val="273"/>
    <w:autoRedefine/>
    <w:qFormat/>
    <w:uiPriority w:val="0"/>
    <w:rPr>
      <w:rFonts w:ascii="Calibri" w:hAnsi="Calibri" w:cs="Calibri"/>
      <w:szCs w:val="21"/>
    </w:rPr>
  </w:style>
  <w:style w:type="paragraph" w:customStyle="1" w:styleId="273">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4">
    <w:name w:val="00正文"/>
    <w:basedOn w:val="1"/>
    <w:autoRedefine/>
    <w:unhideWhenUsed/>
    <w:qFormat/>
    <w:uiPriority w:val="0"/>
    <w:pPr>
      <w:autoSpaceDE/>
      <w:autoSpaceDN/>
      <w:adjustRightInd/>
      <w:spacing w:before="0" w:beforeLines="0" w:after="0" w:afterLines="0"/>
      <w:ind w:firstLine="520" w:firstLineChars="200"/>
      <w:jc w:val="both"/>
    </w:pPr>
    <w:rPr>
      <w:rFonts w:hint="default" w:ascii="Times New Roman" w:hAnsi="Times New Roman" w:cs="Times New Roman"/>
      <w:sz w:val="20"/>
      <w:szCs w:val="28"/>
    </w:rPr>
  </w:style>
  <w:style w:type="paragraph" w:customStyle="1" w:styleId="275">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6">
    <w:name w:val="Normal_5"/>
    <w:autoRedefine/>
    <w:qFormat/>
    <w:uiPriority w:val="0"/>
    <w:rPr>
      <w:rFonts w:ascii="黑体" w:hAnsi="黑体" w:eastAsia="黑体" w:cs="Times New Roman"/>
      <w:b/>
      <w:sz w:val="32"/>
      <w:szCs w:val="24"/>
      <w:lang w:bidi="ar-SA"/>
    </w:rPr>
  </w:style>
  <w:style w:type="paragraph" w:customStyle="1" w:styleId="277">
    <w:name w:val="正文 A"/>
    <w:qFormat/>
    <w:uiPriority w:val="0"/>
    <w:pPr>
      <w:widowControl w:val="0"/>
      <w:jc w:val="both"/>
    </w:pPr>
    <w:rPr>
      <w:rFonts w:ascii="Arial Unicode MS" w:hAnsi="Arial Unicode MS" w:eastAsia="Times New Roman" w:cs="Arial Unicode MS"/>
      <w:color w:val="000000"/>
      <w:sz w:val="21"/>
      <w:szCs w:val="21"/>
      <w:lang w:val="en-US" w:eastAsia="zh-CN" w:bidi="ar-SA"/>
    </w:rPr>
  </w:style>
  <w:style w:type="character" w:customStyle="1" w:styleId="278">
    <w:name w:val="font51"/>
    <w:basedOn w:val="52"/>
    <w:qFormat/>
    <w:uiPriority w:val="0"/>
    <w:rPr>
      <w:rFonts w:hint="eastAsia" w:ascii="宋体" w:hAnsi="宋体" w:eastAsia="宋体" w:cs="宋体"/>
      <w:color w:val="000000"/>
      <w:sz w:val="21"/>
      <w:szCs w:val="21"/>
      <w:u w:val="none"/>
    </w:rPr>
  </w:style>
  <w:style w:type="paragraph" w:customStyle="1" w:styleId="279">
    <w:name w:val="Table Text"/>
    <w:basedOn w:val="1"/>
    <w:semiHidden/>
    <w:qFormat/>
    <w:uiPriority w:val="0"/>
    <w:rPr>
      <w:rFonts w:ascii="宋体" w:hAnsi="宋体" w:eastAsia="宋体" w:cs="宋体"/>
      <w:sz w:val="24"/>
      <w:szCs w:val="24"/>
      <w:lang w:val="en-US" w:eastAsia="en-US" w:bidi="ar-SA"/>
    </w:rPr>
  </w:style>
  <w:style w:type="table" w:customStyle="1" w:styleId="280">
    <w:name w:val="Table Normal"/>
    <w:unhideWhenUsed/>
    <w:qFormat/>
    <w:uiPriority w:val="0"/>
    <w:tblPr>
      <w:tblCellMar>
        <w:top w:w="0" w:type="dxa"/>
        <w:left w:w="0" w:type="dxa"/>
        <w:bottom w:w="0" w:type="dxa"/>
        <w:right w:w="0" w:type="dxa"/>
      </w:tblCellMar>
    </w:tblPr>
  </w:style>
  <w:style w:type="character" w:customStyle="1" w:styleId="281">
    <w:name w:val="font11"/>
    <w:basedOn w:val="5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107E59-2814-418E-B385-0D325DC0C4B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61</Pages>
  <Words>17949</Words>
  <Characters>19901</Characters>
  <Lines>263</Lines>
  <Paragraphs>74</Paragraphs>
  <TotalTime>11</TotalTime>
  <ScaleCrop>false</ScaleCrop>
  <LinksUpToDate>false</LinksUpToDate>
  <CharactersWithSpaces>19967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2023-06-26T11:32:00Z</dcterms:created>
  <dc:creator>小蛮 吴</dc:creator>
  <cp:lastModifiedBy>青夏夏夏</cp:lastModifiedBy>
  <cp:lastPrinted>2024-09-24T05:07:00Z</cp:lastPrinted>
  <dcterms:modified xsi:type="dcterms:W3CDTF">2024-10-31T07:02:14Z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4AD5BC48785E4AE1A5DC62BD35D1B987_13</vt:lpwstr>
  </property>
</Properties>
</file>