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23628">
      <w:pPr>
        <w:pStyle w:val="970"/>
        <w:spacing w:line="760" w:lineRule="exact"/>
        <w:rPr>
          <w:rFonts w:hint="eastAsia" w:ascii="宋体" w:hAnsi="宋体" w:eastAsia="宋体" w:cs="宋体"/>
          <w:b/>
          <w:bCs/>
          <w:color w:val="auto"/>
          <w:kern w:val="2"/>
          <w:sz w:val="72"/>
          <w:szCs w:val="72"/>
          <w:highlight w:val="none"/>
          <w:lang w:val="en-US" w:eastAsia="zh-CN" w:bidi="ar-SA"/>
        </w:rPr>
      </w:pPr>
      <w:bookmarkStart w:id="20" w:name="_GoBack"/>
    </w:p>
    <w:p w14:paraId="2A6AF707">
      <w:pPr>
        <w:pStyle w:val="24"/>
        <w:jc w:val="center"/>
        <w:rPr>
          <w:rFonts w:hint="eastAsia" w:ascii="宋体" w:hAnsi="宋体" w:eastAsia="宋体" w:cs="宋体"/>
          <w:b/>
          <w:bCs/>
          <w:color w:val="auto"/>
          <w:spacing w:val="0"/>
          <w:kern w:val="2"/>
          <w:sz w:val="56"/>
          <w:szCs w:val="56"/>
          <w:highlight w:val="none"/>
          <w:lang w:val="en-US" w:eastAsia="zh-CN" w:bidi="ar-SA"/>
        </w:rPr>
      </w:pPr>
      <w:r>
        <w:rPr>
          <w:rFonts w:hint="eastAsia" w:hAnsi="宋体" w:cs="宋体"/>
          <w:b/>
          <w:bCs/>
          <w:color w:val="auto"/>
          <w:spacing w:val="0"/>
          <w:kern w:val="2"/>
          <w:sz w:val="44"/>
          <w:szCs w:val="44"/>
          <w:highlight w:val="none"/>
          <w:lang w:val="en-US" w:eastAsia="zh-CN" w:bidi="ar-SA"/>
        </w:rPr>
        <w:t>所前镇原海港制钉房屋委托运营项目</w:t>
      </w:r>
    </w:p>
    <w:p w14:paraId="7315CF2D">
      <w:pPr>
        <w:pStyle w:val="84"/>
        <w:rPr>
          <w:rFonts w:hint="eastAsia" w:ascii="宋体" w:hAnsi="宋体" w:eastAsia="宋体" w:cs="宋体"/>
          <w:color w:val="auto"/>
          <w:highlight w:val="none"/>
          <w:lang w:val="en-US" w:eastAsia="zh-CN"/>
        </w:rPr>
      </w:pPr>
    </w:p>
    <w:p w14:paraId="0C10390A">
      <w:pPr>
        <w:adjustRightInd/>
        <w:spacing w:line="360" w:lineRule="auto"/>
        <w:jc w:val="center"/>
        <w:rPr>
          <w:rFonts w:hint="eastAsia" w:ascii="宋体" w:hAnsi="宋体" w:eastAsia="宋体" w:cs="宋体"/>
          <w:b/>
          <w:bCs/>
          <w:color w:val="auto"/>
          <w:sz w:val="72"/>
          <w:szCs w:val="72"/>
          <w:highlight w:val="none"/>
          <w:lang w:eastAsia="zh-CN"/>
        </w:rPr>
      </w:pPr>
    </w:p>
    <w:p w14:paraId="25482444">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公开竞争文件</w:t>
      </w:r>
    </w:p>
    <w:p w14:paraId="775D6992">
      <w:pPr>
        <w:adjustRightInd/>
        <w:spacing w:line="360" w:lineRule="auto"/>
        <w:jc w:val="center"/>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40"/>
          <w:szCs w:val="40"/>
          <w:highlight w:val="none"/>
          <w:lang w:eastAsia="zh-CN"/>
        </w:rPr>
        <w:t>（</w:t>
      </w:r>
      <w:r>
        <w:rPr>
          <w:rFonts w:hint="eastAsia" w:ascii="宋体" w:hAnsi="宋体" w:eastAsia="宋体" w:cs="宋体"/>
          <w:b/>
          <w:color w:val="auto"/>
          <w:sz w:val="40"/>
          <w:szCs w:val="40"/>
          <w:highlight w:val="none"/>
          <w:lang w:val="en-US" w:eastAsia="zh-CN"/>
        </w:rPr>
        <w:t>电子交易</w:t>
      </w:r>
      <w:r>
        <w:rPr>
          <w:rFonts w:hint="eastAsia" w:ascii="宋体" w:hAnsi="宋体" w:eastAsia="宋体" w:cs="宋体"/>
          <w:b/>
          <w:color w:val="auto"/>
          <w:sz w:val="40"/>
          <w:szCs w:val="40"/>
          <w:highlight w:val="none"/>
          <w:lang w:eastAsia="zh-CN"/>
        </w:rPr>
        <w:t>）</w:t>
      </w:r>
    </w:p>
    <w:p w14:paraId="5BFBC67D">
      <w:pPr>
        <w:snapToGrid w:val="0"/>
        <w:spacing w:line="360" w:lineRule="auto"/>
        <w:jc w:val="center"/>
        <w:rPr>
          <w:rFonts w:hint="eastAsia" w:ascii="宋体" w:hAnsi="宋体" w:eastAsia="宋体" w:cs="宋体"/>
          <w:b/>
          <w:bCs/>
          <w:color w:val="auto"/>
          <w:sz w:val="30"/>
          <w:szCs w:val="30"/>
          <w:highlight w:val="none"/>
          <w:lang w:eastAsia="zh-CN"/>
        </w:rPr>
      </w:pPr>
    </w:p>
    <w:p w14:paraId="51B92AB2">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eastAsia="zh-CN"/>
        </w:rPr>
        <w:t>HYGY-GK2024</w:t>
      </w:r>
      <w:r>
        <w:rPr>
          <w:rFonts w:hint="eastAsia" w:ascii="宋体" w:hAnsi="宋体" w:eastAsia="宋体" w:cs="宋体"/>
          <w:b/>
          <w:bCs/>
          <w:color w:val="auto"/>
          <w:sz w:val="30"/>
          <w:szCs w:val="30"/>
          <w:highlight w:val="none"/>
          <w:lang w:eastAsia="zh-CN"/>
        </w:rPr>
        <w:t>-20241293</w:t>
      </w:r>
    </w:p>
    <w:p w14:paraId="7C5782E2">
      <w:pPr>
        <w:adjustRightInd/>
        <w:spacing w:line="360" w:lineRule="auto"/>
        <w:rPr>
          <w:rFonts w:hint="eastAsia" w:ascii="宋体" w:hAnsi="宋体" w:eastAsia="宋体" w:cs="宋体"/>
          <w:color w:val="auto"/>
          <w:sz w:val="28"/>
          <w:szCs w:val="20"/>
          <w:highlight w:val="none"/>
        </w:rPr>
      </w:pPr>
    </w:p>
    <w:p w14:paraId="1671DC0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ED1841A">
      <w:pPr>
        <w:spacing w:line="360" w:lineRule="auto"/>
        <w:jc w:val="center"/>
        <w:rPr>
          <w:rFonts w:hint="eastAsia" w:ascii="宋体" w:hAnsi="宋体" w:eastAsia="宋体" w:cs="宋体"/>
          <w:b/>
          <w:color w:val="auto"/>
          <w:sz w:val="44"/>
          <w:szCs w:val="44"/>
          <w:highlight w:val="none"/>
        </w:rPr>
      </w:pPr>
    </w:p>
    <w:p w14:paraId="49D41C59">
      <w:pPr>
        <w:spacing w:line="360" w:lineRule="auto"/>
        <w:jc w:val="center"/>
        <w:rPr>
          <w:rFonts w:hint="eastAsia" w:ascii="宋体" w:hAnsi="宋体" w:eastAsia="宋体" w:cs="宋体"/>
          <w:b/>
          <w:color w:val="auto"/>
          <w:spacing w:val="-34"/>
          <w:kern w:val="2"/>
          <w:sz w:val="32"/>
          <w:szCs w:val="30"/>
          <w:highlight w:val="none"/>
          <w:lang w:val="en-US" w:eastAsia="zh-CN"/>
        </w:rPr>
      </w:pPr>
    </w:p>
    <w:p w14:paraId="496DF512">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14:paraId="773E0591">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14:paraId="64D5ABC7">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14:paraId="24806632">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14:paraId="2BB2F947">
      <w:pPr>
        <w:spacing w:line="360" w:lineRule="auto"/>
        <w:ind w:firstLine="964" w:firstLineChars="300"/>
        <w:jc w:val="both"/>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发起人：杭州萧山城市交通开发有限公司</w:t>
      </w:r>
    </w:p>
    <w:p w14:paraId="346DC988">
      <w:pPr>
        <w:spacing w:line="360" w:lineRule="auto"/>
        <w:ind w:firstLine="964" w:firstLineChars="300"/>
        <w:jc w:val="both"/>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w:t>
      </w:r>
      <w:r>
        <w:rPr>
          <w:rFonts w:hint="eastAsia" w:ascii="宋体" w:hAnsi="宋体" w:cs="宋体"/>
          <w:b/>
          <w:bCs w:val="0"/>
          <w:color w:val="auto"/>
          <w:spacing w:val="0"/>
          <w:sz w:val="32"/>
          <w:szCs w:val="30"/>
          <w:highlight w:val="none"/>
          <w:lang w:eastAsia="zh-CN"/>
        </w:rPr>
        <w:t>浙江华域高宇项目运营有限公司</w:t>
      </w:r>
    </w:p>
    <w:p w14:paraId="5191240C">
      <w:pPr>
        <w:snapToGri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bCs w:val="0"/>
          <w:color w:val="auto"/>
          <w:sz w:val="32"/>
          <w:szCs w:val="32"/>
          <w:highlight w:val="none"/>
        </w:rPr>
        <w:t>二〇二</w:t>
      </w: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十二</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十六</w:t>
      </w:r>
      <w:r>
        <w:rPr>
          <w:rFonts w:hint="eastAsia" w:ascii="宋体" w:hAnsi="宋体" w:eastAsia="宋体" w:cs="宋体"/>
          <w:b/>
          <w:bCs w:val="0"/>
          <w:color w:val="auto"/>
          <w:sz w:val="32"/>
          <w:szCs w:val="32"/>
          <w:highlight w:val="none"/>
          <w:lang w:eastAsia="zh-CN"/>
        </w:rPr>
        <w:t>日</w:t>
      </w:r>
    </w:p>
    <w:p w14:paraId="1044962C">
      <w:pPr>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35DB165">
      <w:pPr>
        <w:pStyle w:val="63"/>
        <w:rPr>
          <w:rFonts w:hint="eastAsia" w:ascii="宋体" w:hAnsi="宋体" w:eastAsia="宋体" w:cs="宋体"/>
          <w:color w:val="auto"/>
          <w:highlight w:val="none"/>
        </w:rPr>
      </w:pPr>
    </w:p>
    <w:p w14:paraId="3AB71065">
      <w:pPr>
        <w:jc w:val="center"/>
        <w:rPr>
          <w:rFonts w:hint="eastAsia" w:ascii="宋体" w:hAnsi="宋体" w:eastAsia="宋体" w:cs="宋体"/>
          <w:b/>
          <w:color w:val="auto"/>
          <w:sz w:val="48"/>
          <w:szCs w:val="48"/>
          <w:highlight w:val="none"/>
        </w:rPr>
      </w:pPr>
    </w:p>
    <w:p w14:paraId="53797A18">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4DC76B7">
      <w:pPr>
        <w:spacing w:line="360" w:lineRule="auto"/>
        <w:rPr>
          <w:rFonts w:hint="eastAsia" w:ascii="宋体" w:hAnsi="宋体" w:eastAsia="宋体" w:cs="宋体"/>
          <w:color w:val="auto"/>
          <w:sz w:val="32"/>
          <w:szCs w:val="32"/>
          <w:highlight w:val="none"/>
        </w:rPr>
      </w:pPr>
    </w:p>
    <w:p w14:paraId="7B96AFDA">
      <w:pPr>
        <w:spacing w:line="360" w:lineRule="auto"/>
        <w:rPr>
          <w:rFonts w:hint="eastAsia" w:ascii="宋体" w:hAnsi="宋体" w:eastAsia="宋体" w:cs="宋体"/>
          <w:color w:val="auto"/>
          <w:sz w:val="32"/>
          <w:szCs w:val="32"/>
          <w:highlight w:val="none"/>
        </w:rPr>
      </w:pPr>
    </w:p>
    <w:p w14:paraId="413F10BD">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14:paraId="13E54CD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14:paraId="52AEBE0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14:paraId="7528DDDD">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14:paraId="078301A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1EA14E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309B3DA">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73E31CC4">
      <w:pPr>
        <w:spacing w:line="360" w:lineRule="auto"/>
        <w:ind w:firstLine="549" w:firstLineChars="229"/>
        <w:rPr>
          <w:rFonts w:hint="eastAsia" w:ascii="宋体" w:hAnsi="宋体" w:eastAsia="宋体" w:cs="宋体"/>
          <w:color w:val="auto"/>
          <w:sz w:val="24"/>
          <w:highlight w:val="none"/>
        </w:rPr>
      </w:pPr>
    </w:p>
    <w:p w14:paraId="1AB15BE9">
      <w:pPr>
        <w:spacing w:line="360" w:lineRule="auto"/>
        <w:ind w:firstLine="549" w:firstLineChars="229"/>
        <w:rPr>
          <w:rFonts w:hint="eastAsia" w:ascii="宋体" w:hAnsi="宋体" w:eastAsia="宋体" w:cs="宋体"/>
          <w:color w:val="auto"/>
          <w:sz w:val="24"/>
          <w:highlight w:val="none"/>
        </w:rPr>
      </w:pPr>
    </w:p>
    <w:p w14:paraId="4B7AFB79">
      <w:pPr>
        <w:spacing w:line="360" w:lineRule="auto"/>
        <w:ind w:firstLine="549" w:firstLineChars="229"/>
        <w:rPr>
          <w:rFonts w:hint="eastAsia" w:ascii="宋体" w:hAnsi="宋体" w:eastAsia="宋体" w:cs="宋体"/>
          <w:color w:val="auto"/>
          <w:sz w:val="24"/>
          <w:highlight w:val="none"/>
        </w:rPr>
      </w:pPr>
    </w:p>
    <w:p w14:paraId="3D66F99C">
      <w:pPr>
        <w:spacing w:line="360" w:lineRule="auto"/>
        <w:ind w:firstLine="549" w:firstLineChars="229"/>
        <w:rPr>
          <w:rFonts w:hint="eastAsia" w:ascii="宋体" w:hAnsi="宋体" w:eastAsia="宋体" w:cs="宋体"/>
          <w:color w:val="auto"/>
          <w:sz w:val="24"/>
          <w:highlight w:val="none"/>
        </w:rPr>
      </w:pPr>
    </w:p>
    <w:p w14:paraId="0BD5686D">
      <w:pPr>
        <w:spacing w:line="360" w:lineRule="auto"/>
        <w:ind w:firstLine="549" w:firstLineChars="229"/>
        <w:rPr>
          <w:rFonts w:hint="eastAsia" w:ascii="宋体" w:hAnsi="宋体" w:eastAsia="宋体" w:cs="宋体"/>
          <w:color w:val="auto"/>
          <w:sz w:val="24"/>
          <w:highlight w:val="none"/>
        </w:rPr>
      </w:pPr>
    </w:p>
    <w:p w14:paraId="31349490">
      <w:pPr>
        <w:spacing w:line="360" w:lineRule="auto"/>
        <w:ind w:firstLine="549" w:firstLineChars="229"/>
        <w:rPr>
          <w:rFonts w:hint="eastAsia" w:ascii="宋体" w:hAnsi="宋体" w:eastAsia="宋体" w:cs="宋体"/>
          <w:color w:val="auto"/>
          <w:sz w:val="24"/>
          <w:highlight w:val="none"/>
        </w:rPr>
      </w:pPr>
    </w:p>
    <w:p w14:paraId="0AF65126">
      <w:pPr>
        <w:spacing w:line="360" w:lineRule="auto"/>
        <w:ind w:firstLine="549" w:firstLineChars="229"/>
        <w:rPr>
          <w:rFonts w:hint="eastAsia" w:ascii="宋体" w:hAnsi="宋体" w:eastAsia="宋体" w:cs="宋体"/>
          <w:color w:val="auto"/>
          <w:sz w:val="24"/>
          <w:highlight w:val="none"/>
        </w:rPr>
      </w:pPr>
    </w:p>
    <w:p w14:paraId="151E85B7">
      <w:pPr>
        <w:spacing w:line="360" w:lineRule="auto"/>
        <w:ind w:firstLine="549" w:firstLineChars="229"/>
        <w:rPr>
          <w:rFonts w:hint="eastAsia" w:ascii="宋体" w:hAnsi="宋体" w:eastAsia="宋体" w:cs="宋体"/>
          <w:color w:val="auto"/>
          <w:sz w:val="24"/>
          <w:highlight w:val="none"/>
        </w:rPr>
      </w:pPr>
    </w:p>
    <w:p w14:paraId="15837681">
      <w:pPr>
        <w:spacing w:line="360" w:lineRule="auto"/>
        <w:ind w:firstLine="549" w:firstLineChars="229"/>
        <w:rPr>
          <w:rFonts w:hint="eastAsia" w:ascii="宋体" w:hAnsi="宋体" w:eastAsia="宋体" w:cs="宋体"/>
          <w:color w:val="auto"/>
          <w:sz w:val="24"/>
          <w:highlight w:val="none"/>
        </w:rPr>
      </w:pPr>
    </w:p>
    <w:p w14:paraId="03CE270E">
      <w:pPr>
        <w:spacing w:line="360" w:lineRule="auto"/>
        <w:ind w:firstLine="549" w:firstLineChars="229"/>
        <w:rPr>
          <w:rFonts w:hint="eastAsia" w:ascii="宋体" w:hAnsi="宋体" w:eastAsia="宋体" w:cs="宋体"/>
          <w:color w:val="auto"/>
          <w:sz w:val="24"/>
          <w:highlight w:val="none"/>
        </w:rPr>
      </w:pPr>
    </w:p>
    <w:p w14:paraId="563BAE55">
      <w:pPr>
        <w:spacing w:line="360" w:lineRule="auto"/>
        <w:ind w:firstLine="549" w:firstLineChars="229"/>
        <w:rPr>
          <w:rFonts w:hint="eastAsia" w:ascii="宋体" w:hAnsi="宋体" w:eastAsia="宋体" w:cs="宋体"/>
          <w:color w:val="auto"/>
          <w:sz w:val="24"/>
          <w:highlight w:val="none"/>
        </w:rPr>
      </w:pPr>
    </w:p>
    <w:p w14:paraId="61B9C89C">
      <w:pPr>
        <w:spacing w:line="360" w:lineRule="auto"/>
        <w:ind w:firstLine="549" w:firstLineChars="229"/>
        <w:rPr>
          <w:rFonts w:hint="eastAsia" w:ascii="宋体" w:hAnsi="宋体" w:eastAsia="宋体" w:cs="宋体"/>
          <w:color w:val="auto"/>
          <w:sz w:val="24"/>
          <w:highlight w:val="none"/>
        </w:rPr>
      </w:pPr>
    </w:p>
    <w:p w14:paraId="2CAA7C29">
      <w:pPr>
        <w:spacing w:line="360" w:lineRule="auto"/>
        <w:rPr>
          <w:rFonts w:hint="eastAsia" w:ascii="宋体" w:hAnsi="宋体" w:eastAsia="宋体" w:cs="宋体"/>
          <w:color w:val="auto"/>
          <w:sz w:val="24"/>
          <w:highlight w:val="none"/>
        </w:rPr>
      </w:pPr>
    </w:p>
    <w:p w14:paraId="63AFADCA">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14:paraId="35A1BC28">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03194B7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eastAsia="zh-CN"/>
        </w:rPr>
        <w:t>HYGY-GK2024</w:t>
      </w:r>
      <w:r>
        <w:rPr>
          <w:rFonts w:hint="eastAsia" w:ascii="宋体" w:hAnsi="宋体" w:eastAsia="宋体" w:cs="宋体"/>
          <w:b w:val="0"/>
          <w:bCs/>
          <w:color w:val="auto"/>
          <w:sz w:val="24"/>
          <w:highlight w:val="none"/>
          <w:u w:val="none"/>
          <w:lang w:eastAsia="zh-CN"/>
        </w:rPr>
        <w:t>-20241293</w:t>
      </w:r>
    </w:p>
    <w:p w14:paraId="7E8541E6">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所前镇原海港制钉房屋委托运营项目</w:t>
      </w:r>
    </w:p>
    <w:p w14:paraId="3883C2F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eastAsia="宋体" w:cs="宋体"/>
          <w:b w:val="0"/>
          <w:bCs/>
          <w:color w:val="auto"/>
          <w:sz w:val="24"/>
          <w:highlight w:val="none"/>
          <w:u w:val="none"/>
          <w:lang w:val="en-US" w:eastAsia="zh-CN"/>
        </w:rPr>
        <w:t>/</w:t>
      </w:r>
    </w:p>
    <w:p w14:paraId="632B2507">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lang w:val="en-US" w:eastAsia="zh-CN"/>
        </w:rPr>
        <w:t>最低</w:t>
      </w:r>
      <w:r>
        <w:rPr>
          <w:rFonts w:hint="eastAsia" w:ascii="宋体" w:hAnsi="宋体" w:eastAsia="宋体" w:cs="宋体"/>
          <w:b/>
          <w:color w:val="auto"/>
          <w:sz w:val="24"/>
          <w:highlight w:val="none"/>
          <w:u w:val="none"/>
        </w:rPr>
        <w:t>限价</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cs="宋体"/>
          <w:b w:val="0"/>
          <w:bCs/>
          <w:color w:val="auto"/>
          <w:sz w:val="24"/>
          <w:highlight w:val="none"/>
          <w:u w:val="none"/>
          <w:lang w:val="en-US" w:eastAsia="zh-CN"/>
        </w:rPr>
        <w:t>356000</w:t>
      </w:r>
      <w:r>
        <w:rPr>
          <w:rFonts w:hint="eastAsia" w:ascii="宋体" w:hAnsi="宋体" w:eastAsia="宋体" w:cs="宋体"/>
          <w:b w:val="0"/>
          <w:bCs/>
          <w:color w:val="auto"/>
          <w:sz w:val="24"/>
          <w:highlight w:val="none"/>
          <w:u w:val="none"/>
          <w:lang w:val="en-US" w:eastAsia="zh-CN"/>
        </w:rPr>
        <w:t>元/年</w:t>
      </w:r>
    </w:p>
    <w:p w14:paraId="49E44FD1">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cs="宋体"/>
          <w:b w:val="0"/>
          <w:bCs/>
          <w:color w:val="auto"/>
          <w:sz w:val="24"/>
          <w:highlight w:val="none"/>
          <w:u w:val="none"/>
          <w:lang w:val="en-US" w:eastAsia="zh-CN"/>
        </w:rPr>
        <w:t>所前镇原海港制钉房屋委托运营</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5年，</w:t>
      </w:r>
      <w:r>
        <w:rPr>
          <w:rFonts w:hint="eastAsia" w:ascii="宋体" w:hAnsi="宋体" w:eastAsia="宋体" w:cs="宋体"/>
          <w:color w:val="auto"/>
          <w:sz w:val="24"/>
          <w:highlight w:val="none"/>
          <w:u w:val="none"/>
          <w:lang w:val="en-US" w:eastAsia="zh-CN"/>
        </w:rPr>
        <w:t>详见交易需求。</w:t>
      </w:r>
    </w:p>
    <w:p w14:paraId="44B70E19">
      <w:pPr>
        <w:pStyle w:val="16"/>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14:paraId="7902D3E4">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14:paraId="7B2B863F">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5DB2E36">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具有独立承担民事责任的能力；</w:t>
      </w:r>
    </w:p>
    <w:p w14:paraId="47A59F78">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具有良好的商业信誉和健全的财务会计制度；</w:t>
      </w:r>
    </w:p>
    <w:p w14:paraId="6BD8FB74">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具有履行合同所必需的设备和专业技术能力；</w:t>
      </w:r>
    </w:p>
    <w:p w14:paraId="41D8B08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有依法缴纳税收和社会保障资金的良好记录；</w:t>
      </w:r>
    </w:p>
    <w:p w14:paraId="74E75939">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参加采购活动前三年内，在经营活动中没有重大违法记录；</w:t>
      </w:r>
    </w:p>
    <w:p w14:paraId="28B53202">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法律、行政法规规定的其他条件；</w:t>
      </w:r>
    </w:p>
    <w:p w14:paraId="38514C55">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2BEB5501">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本项目不接受联合体参与（潜在供应商能独立完成本项目）。</w:t>
      </w:r>
    </w:p>
    <w:p w14:paraId="1FDE1EE1">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14:paraId="0722BCDC">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3E0F9917">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乐采云平台（www.lecaiyun.com）</w:t>
      </w:r>
    </w:p>
    <w:p w14:paraId="355A3E59">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登录乐采云平台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在线申请获取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文件（进入“项目采购”应用，在获取采购文件菜单中选择项目，申请获取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 xml:space="preserve">文件）。 </w:t>
      </w:r>
    </w:p>
    <w:p w14:paraId="0125736C">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10693BF3">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14:paraId="00175399">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20AA33AB">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p>
    <w:p w14:paraId="62DD89AA">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14:paraId="34F0CCB4">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p>
    <w:p w14:paraId="37F99843">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14:paraId="37BD82AB">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14:paraId="6C8FCC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乐采云平台（www.lecaiyun.com）</w:t>
      </w:r>
      <w:r>
        <w:rPr>
          <w:rFonts w:hint="eastAsia" w:ascii="宋体" w:hAnsi="宋体" w:eastAsia="宋体" w:cs="宋体"/>
          <w:color w:val="auto"/>
          <w:sz w:val="24"/>
          <w:highlight w:val="none"/>
        </w:rPr>
        <w:t>”进行招投标活动，不接受纸质响应文件；②投标准备：注册账号--点击“商家入驻”，进行政府采购供应商资料填写；申领CA数字证书---申领流程详见“</w:t>
      </w:r>
      <w:r>
        <w:rPr>
          <w:rFonts w:hint="eastAsia" w:ascii="宋体" w:hAnsi="宋体" w:eastAsia="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电子交易客户端”----前往“</w:t>
      </w:r>
      <w:r>
        <w:rPr>
          <w:rFonts w:hint="eastAsia" w:ascii="宋体" w:hAnsi="宋体" w:eastAsia="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平台；进入“项目采购”应用，在获取采购文件菜单中选择项目，获取公开竞争文件；④响应文件的制作：在“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val="en-US" w:eastAsia="zh-CN"/>
        </w:rPr>
        <w:t>乐采</w:t>
      </w:r>
      <w:r>
        <w:rPr>
          <w:rFonts w:hint="eastAsia" w:ascii="宋体" w:hAnsi="宋体" w:eastAsia="宋体" w:cs="宋体"/>
          <w:color w:val="auto"/>
          <w:sz w:val="24"/>
          <w:highlight w:val="none"/>
        </w:rPr>
        <w:t>云平台；⑨响应文件的解密：响应人按照平台提示和公开竞争文件的规定在半小时内完成在线解密。通过“</w:t>
      </w:r>
      <w:r>
        <w:rPr>
          <w:rFonts w:hint="eastAsia" w:ascii="宋体" w:hAnsi="宋体" w:eastAsia="宋体" w:cs="宋体"/>
          <w:color w:val="auto"/>
          <w:sz w:val="24"/>
          <w:highlight w:val="none"/>
          <w:lang w:val="en-US" w:eastAsia="zh-CN"/>
        </w:rPr>
        <w:t>乐采</w:t>
      </w:r>
      <w:r>
        <w:rPr>
          <w:rFonts w:hint="eastAsia" w:ascii="宋体" w:hAnsi="宋体" w:eastAsia="宋体" w:cs="宋体"/>
          <w:color w:val="auto"/>
          <w:sz w:val="24"/>
          <w:highlight w:val="none"/>
        </w:rPr>
        <w:t>云平台”上传递交的响应文件无法按时解密，视为响应文件撤回；⑩具体操作指南：详见</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平台“服务中心-帮助文档-项目采购-操作流程-电子招投标-政府采购项目电子交易</w:t>
      </w:r>
      <w:r>
        <w:rPr>
          <w:rFonts w:hint="eastAsia" w:ascii="宋体" w:hAnsi="宋体" w:cs="宋体"/>
          <w:color w:val="auto"/>
          <w:sz w:val="24"/>
          <w:highlight w:val="none"/>
          <w:lang w:eastAsia="zh-CN"/>
        </w:rPr>
        <w:t>运营</w:t>
      </w:r>
      <w:r>
        <w:rPr>
          <w:rFonts w:hint="eastAsia" w:ascii="宋体" w:hAnsi="宋体" w:eastAsia="宋体" w:cs="宋体"/>
          <w:color w:val="auto"/>
          <w:sz w:val="24"/>
          <w:highlight w:val="none"/>
        </w:rPr>
        <w:t>操作指南-供应商”。</w:t>
      </w:r>
    </w:p>
    <w:p w14:paraId="1A60EFBF">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14:paraId="17C5231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14:paraId="0A6F9335">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eastAsia="宋体" w:cs="宋体"/>
          <w:bCs/>
          <w:color w:val="auto"/>
          <w:sz w:val="24"/>
          <w:highlight w:val="none"/>
          <w:lang w:eastAsia="zh-CN"/>
        </w:rPr>
        <w:t>杭州萧山城市交通开发有限公司</w:t>
      </w:r>
    </w:p>
    <w:p w14:paraId="1EE54D0B">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地址：杭州市萧山区萧杭路277号</w:t>
      </w:r>
    </w:p>
    <w:p w14:paraId="445823C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沈工</w:t>
      </w:r>
    </w:p>
    <w:p w14:paraId="26A31BAC">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项目联系方式（询问）：0571-82828910</w:t>
      </w:r>
    </w:p>
    <w:p w14:paraId="4CF29D4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14:paraId="3985080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浙江华域高宇项目运营有限公司</w:t>
      </w:r>
    </w:p>
    <w:p w14:paraId="55BEAFF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w:t>
      </w:r>
      <w:r>
        <w:rPr>
          <w:rFonts w:hint="eastAsia" w:ascii="宋体" w:hAnsi="宋体" w:cs="宋体"/>
          <w:color w:val="auto"/>
          <w:sz w:val="24"/>
          <w:szCs w:val="28"/>
          <w:highlight w:val="none"/>
          <w:lang w:eastAsia="zh-CN"/>
        </w:rPr>
        <w:t>萧山区北干街道金城路560号心意广场2幢1101室</w:t>
      </w:r>
    </w:p>
    <w:p w14:paraId="6082D9E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汪路易</w:t>
      </w:r>
    </w:p>
    <w:p w14:paraId="2C944786">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lang w:val="en-US" w:eastAsia="zh-CN"/>
        </w:rPr>
        <w:t>17816099181</w:t>
      </w:r>
    </w:p>
    <w:p w14:paraId="7888D71B">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188B514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7E3284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服务热线95763获取热线服务帮助。</w:t>
      </w:r>
    </w:p>
    <w:p w14:paraId="55E41E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8600F3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14:paraId="4279F58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1614C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34AC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68C9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4CE57D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CB53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C73BE6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EBCDB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52A0AD3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14:paraId="1A1728C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14:paraId="5CEBD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3DCA1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p w14:paraId="1B03D7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p w14:paraId="3ABAFE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A745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0C8D63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14:paraId="5F5F792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14:paraId="7EE57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FDB2B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2030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3DD975A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5A571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EE4A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DEBF665">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5CABE0E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14:paraId="48432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C648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A5ACB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24C0B81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14:paraId="2BBFD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19E1B1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B6DB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2055BAA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14:paraId="3FF63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40868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23AF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现场演示</w:t>
            </w:r>
          </w:p>
        </w:tc>
        <w:tc>
          <w:tcPr>
            <w:tcW w:w="6706" w:type="dxa"/>
            <w:tcBorders>
              <w:top w:val="single" w:color="000000" w:sz="8" w:space="0"/>
              <w:left w:val="single" w:color="000000" w:sz="2" w:space="0"/>
              <w:bottom w:val="single" w:color="000000" w:sz="8" w:space="0"/>
              <w:right w:val="single" w:color="000000" w:sz="8" w:space="0"/>
            </w:tcBorders>
            <w:vAlign w:val="center"/>
          </w:tcPr>
          <w:p w14:paraId="7BD03D6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14:paraId="3ADC3D0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14:paraId="4876F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28D16C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14:paraId="00E1239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07FD01F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14:paraId="34DA87B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36A49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B963E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14:paraId="0AE08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2577B43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14:paraId="200C639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14:paraId="28F7077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14:paraId="0B74261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w:t>
            </w:r>
            <w:r>
              <w:rPr>
                <w:rFonts w:hint="eastAsia" w:ascii="宋体" w:hAnsi="宋体" w:eastAsia="宋体" w:cs="宋体"/>
                <w:b w:val="0"/>
                <w:bCs/>
                <w:color w:val="auto"/>
                <w:kern w:val="0"/>
                <w:sz w:val="24"/>
                <w:highlight w:val="none"/>
                <w:lang w:val="en-US" w:eastAsia="zh-CN"/>
              </w:rPr>
              <w:t>低于</w:t>
            </w:r>
            <w:r>
              <w:rPr>
                <w:rFonts w:hint="eastAsia" w:ascii="宋体" w:hAnsi="宋体" w:eastAsia="宋体" w:cs="宋体"/>
                <w:b w:val="0"/>
                <w:bCs/>
                <w:color w:val="auto"/>
                <w:kern w:val="0"/>
                <w:sz w:val="24"/>
                <w:highlight w:val="none"/>
                <w:lang w:val="zh-CN"/>
              </w:rPr>
              <w:t>公开竞争文件中规定的预算金额或者</w:t>
            </w:r>
            <w:r>
              <w:rPr>
                <w:rFonts w:hint="eastAsia" w:ascii="宋体" w:hAnsi="宋体" w:eastAsia="宋体" w:cs="宋体"/>
                <w:b w:val="0"/>
                <w:bCs/>
                <w:color w:val="auto"/>
                <w:kern w:val="0"/>
                <w:sz w:val="24"/>
                <w:highlight w:val="none"/>
                <w:lang w:val="en-US" w:eastAsia="zh-CN"/>
              </w:rPr>
              <w:t>最低</w:t>
            </w:r>
            <w:r>
              <w:rPr>
                <w:rFonts w:hint="eastAsia" w:ascii="宋体" w:hAnsi="宋体" w:eastAsia="宋体" w:cs="宋体"/>
                <w:b w:val="0"/>
                <w:bCs/>
                <w:color w:val="auto"/>
                <w:kern w:val="0"/>
                <w:sz w:val="24"/>
                <w:highlight w:val="none"/>
                <w:lang w:val="zh-CN"/>
              </w:rPr>
              <w:t>限价的；</w:t>
            </w:r>
          </w:p>
          <w:p w14:paraId="59E7B5E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14:paraId="7144484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14:paraId="2318B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434B9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B95F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76EA929B">
            <w:pPr>
              <w:pStyle w:val="33"/>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14:paraId="5600AAA9">
            <w:pPr>
              <w:pStyle w:val="33"/>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ascii="宋体" w:hAnsi="宋体" w:eastAsia="宋体" w:cs="宋体"/>
                <w:b/>
                <w:bCs w:val="0"/>
                <w:color w:val="auto"/>
                <w:sz w:val="24"/>
                <w:highlight w:val="none"/>
                <w:lang w:val="en-US" w:eastAsia="zh-CN"/>
              </w:rPr>
              <w:t>二副。</w:t>
            </w:r>
          </w:p>
        </w:tc>
      </w:tr>
      <w:tr w14:paraId="1D34C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9A2E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5B848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1742C6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Cs/>
                <w:color w:val="auto"/>
                <w:kern w:val="0"/>
                <w:sz w:val="24"/>
                <w:highlight w:val="none"/>
                <w:lang w:val="zh-CN"/>
              </w:rPr>
              <w:t>代理服务费</w:t>
            </w:r>
            <w:r>
              <w:rPr>
                <w:rFonts w:hint="eastAsia" w:ascii="宋体" w:hAnsi="宋体" w:eastAsia="宋体" w:cs="宋体"/>
                <w:bCs/>
                <w:color w:val="auto"/>
                <w:kern w:val="0"/>
                <w:sz w:val="24"/>
                <w:highlight w:val="none"/>
                <w:lang w:val="en-US" w:eastAsia="zh-CN"/>
              </w:rPr>
              <w:t>由交易发起人支付。</w:t>
            </w:r>
          </w:p>
        </w:tc>
      </w:tr>
      <w:tr w14:paraId="079E1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8536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9E42A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投标</w:t>
            </w:r>
            <w:r>
              <w:rPr>
                <w:rFonts w:hint="eastAsia" w:ascii="宋体" w:hAnsi="宋体" w:eastAsia="宋体" w:cs="宋体"/>
                <w:b/>
                <w:color w:val="auto"/>
                <w:sz w:val="24"/>
                <w:highlight w:val="none"/>
              </w:rPr>
              <w:t>保证金</w:t>
            </w:r>
          </w:p>
          <w:p w14:paraId="440A2C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3F0B89CF">
            <w:pPr>
              <w:pStyle w:val="33"/>
              <w:keepNext w:val="0"/>
              <w:keepLines w:val="0"/>
              <w:pageBreakBefore w:val="0"/>
              <w:widowControl w:val="0"/>
              <w:kinsoku/>
              <w:wordWrap/>
              <w:overflowPunct/>
              <w:topLinePunct w:val="0"/>
              <w:autoSpaceDE/>
              <w:autoSpaceDN/>
              <w:bidi w:val="0"/>
              <w:adjustRightInd w:val="0"/>
              <w:spacing w:line="400" w:lineRule="exact"/>
              <w:ind w:hanging="4"/>
              <w:textAlignment w:val="auto"/>
              <w:rPr>
                <w:rFonts w:hint="eastAsia" w:ascii="宋体" w:hAnsi="宋体" w:eastAsia="宋体" w:cs="宋体"/>
                <w:color w:val="auto"/>
                <w:kern w:val="28"/>
                <w:sz w:val="24"/>
                <w:szCs w:val="20"/>
                <w:highlight w:val="none"/>
                <w:lang w:eastAsia="zh-CN"/>
              </w:rPr>
            </w:pPr>
            <w:r>
              <w:rPr>
                <w:rFonts w:hint="eastAsia" w:hAnsi="宋体" w:cs="宋体"/>
                <w:b w:val="0"/>
                <w:bCs/>
                <w:color w:val="auto"/>
                <w:kern w:val="0"/>
                <w:sz w:val="24"/>
                <w:highlight w:val="none"/>
                <w:lang w:val="en-US" w:eastAsia="zh-CN"/>
              </w:rPr>
              <w:t>投标</w:t>
            </w:r>
            <w:r>
              <w:rPr>
                <w:rFonts w:hint="eastAsia" w:ascii="宋体" w:hAnsi="宋体" w:eastAsia="宋体" w:cs="宋体"/>
                <w:b w:val="0"/>
                <w:bCs/>
                <w:color w:val="auto"/>
                <w:kern w:val="0"/>
                <w:sz w:val="24"/>
                <w:highlight w:val="none"/>
                <w:lang w:val="en-US" w:eastAsia="zh-CN"/>
              </w:rPr>
              <w:t>保证金：</w:t>
            </w:r>
            <w:r>
              <w:rPr>
                <w:rFonts w:hint="eastAsia" w:hAnsi="宋体" w:cs="宋体"/>
                <w:b w:val="0"/>
                <w:bCs/>
                <w:color w:val="auto"/>
                <w:kern w:val="0"/>
                <w:sz w:val="24"/>
                <w:highlight w:val="none"/>
                <w:lang w:val="en-US" w:eastAsia="zh-CN"/>
              </w:rPr>
              <w:t>15000元</w:t>
            </w:r>
            <w:r>
              <w:rPr>
                <w:rFonts w:hint="eastAsia" w:ascii="宋体" w:hAnsi="宋体" w:eastAsia="宋体" w:cs="宋体"/>
                <w:color w:val="auto"/>
                <w:kern w:val="28"/>
                <w:sz w:val="24"/>
                <w:szCs w:val="20"/>
                <w:highlight w:val="none"/>
                <w:lang w:eastAsia="zh-CN"/>
              </w:rPr>
              <w:t>。</w:t>
            </w:r>
          </w:p>
          <w:p w14:paraId="6D559307">
            <w:pPr>
              <w:pStyle w:val="33"/>
              <w:keepNext w:val="0"/>
              <w:keepLines w:val="0"/>
              <w:pageBreakBefore w:val="0"/>
              <w:widowControl w:val="0"/>
              <w:kinsoku/>
              <w:wordWrap/>
              <w:overflowPunct/>
              <w:topLinePunct w:val="0"/>
              <w:autoSpaceDE/>
              <w:autoSpaceDN/>
              <w:bidi w:val="0"/>
              <w:adjustRightInd w:val="0"/>
              <w:spacing w:line="400" w:lineRule="exact"/>
              <w:ind w:hanging="4"/>
              <w:textAlignment w:val="auto"/>
              <w:rPr>
                <w:rFonts w:hint="eastAsia" w:ascii="宋体" w:hAnsi="宋体" w:eastAsia="宋体" w:cs="宋体"/>
                <w:color w:val="auto"/>
                <w:kern w:val="28"/>
                <w:sz w:val="24"/>
                <w:szCs w:val="20"/>
                <w:highlight w:val="none"/>
                <w:lang w:eastAsia="zh-CN"/>
              </w:rPr>
            </w:pPr>
            <w:r>
              <w:rPr>
                <w:rFonts w:hint="eastAsia" w:ascii="宋体" w:hAnsi="宋体" w:eastAsia="宋体" w:cs="宋体"/>
                <w:color w:val="auto"/>
                <w:kern w:val="28"/>
                <w:sz w:val="24"/>
                <w:szCs w:val="20"/>
                <w:highlight w:val="none"/>
                <w:lang w:eastAsia="zh-CN"/>
              </w:rPr>
              <w:t>名称：浙江华域高宇项目</w:t>
            </w:r>
            <w:r>
              <w:rPr>
                <w:rFonts w:hint="eastAsia" w:hAnsi="宋体" w:cs="宋体"/>
                <w:color w:val="auto"/>
                <w:kern w:val="28"/>
                <w:sz w:val="24"/>
                <w:szCs w:val="20"/>
                <w:highlight w:val="none"/>
                <w:lang w:eastAsia="zh-CN"/>
              </w:rPr>
              <w:t>运营</w:t>
            </w:r>
            <w:r>
              <w:rPr>
                <w:rFonts w:hint="eastAsia" w:ascii="宋体" w:hAnsi="宋体" w:eastAsia="宋体" w:cs="宋体"/>
                <w:color w:val="auto"/>
                <w:kern w:val="28"/>
                <w:sz w:val="24"/>
                <w:szCs w:val="20"/>
                <w:highlight w:val="none"/>
                <w:lang w:eastAsia="zh-CN"/>
              </w:rPr>
              <w:t>有限公司</w:t>
            </w:r>
          </w:p>
          <w:p w14:paraId="65A9AF00">
            <w:pPr>
              <w:pStyle w:val="33"/>
              <w:keepNext w:val="0"/>
              <w:keepLines w:val="0"/>
              <w:pageBreakBefore w:val="0"/>
              <w:widowControl w:val="0"/>
              <w:kinsoku/>
              <w:wordWrap/>
              <w:overflowPunct/>
              <w:topLinePunct w:val="0"/>
              <w:autoSpaceDE/>
              <w:autoSpaceDN/>
              <w:bidi w:val="0"/>
              <w:adjustRightInd w:val="0"/>
              <w:spacing w:line="400" w:lineRule="exact"/>
              <w:ind w:hanging="4"/>
              <w:textAlignment w:val="auto"/>
              <w:rPr>
                <w:rFonts w:hint="eastAsia" w:ascii="宋体" w:hAnsi="宋体" w:eastAsia="宋体" w:cs="宋体"/>
                <w:color w:val="auto"/>
                <w:kern w:val="28"/>
                <w:sz w:val="24"/>
                <w:szCs w:val="20"/>
                <w:highlight w:val="none"/>
                <w:lang w:eastAsia="zh-CN"/>
              </w:rPr>
            </w:pPr>
            <w:r>
              <w:rPr>
                <w:rFonts w:hint="eastAsia" w:ascii="宋体" w:hAnsi="宋体" w:eastAsia="宋体" w:cs="宋体"/>
                <w:color w:val="auto"/>
                <w:kern w:val="28"/>
                <w:sz w:val="24"/>
                <w:szCs w:val="20"/>
                <w:highlight w:val="none"/>
                <w:lang w:eastAsia="zh-CN"/>
              </w:rPr>
              <w:t>税号：91330109673955020L</w:t>
            </w:r>
          </w:p>
          <w:p w14:paraId="1E3D3346">
            <w:pPr>
              <w:pStyle w:val="33"/>
              <w:keepNext w:val="0"/>
              <w:keepLines w:val="0"/>
              <w:pageBreakBefore w:val="0"/>
              <w:widowControl w:val="0"/>
              <w:kinsoku/>
              <w:wordWrap/>
              <w:overflowPunct/>
              <w:topLinePunct w:val="0"/>
              <w:autoSpaceDE/>
              <w:autoSpaceDN/>
              <w:bidi w:val="0"/>
              <w:adjustRightInd w:val="0"/>
              <w:spacing w:line="400" w:lineRule="exact"/>
              <w:ind w:hanging="4"/>
              <w:textAlignment w:val="auto"/>
              <w:rPr>
                <w:rFonts w:hint="eastAsia" w:ascii="宋体" w:hAnsi="宋体" w:eastAsia="宋体" w:cs="宋体"/>
                <w:color w:val="auto"/>
                <w:kern w:val="28"/>
                <w:sz w:val="24"/>
                <w:szCs w:val="20"/>
                <w:highlight w:val="none"/>
                <w:lang w:eastAsia="zh-CN"/>
              </w:rPr>
            </w:pPr>
            <w:r>
              <w:rPr>
                <w:rFonts w:hint="eastAsia" w:ascii="宋体" w:hAnsi="宋体" w:eastAsia="宋体" w:cs="宋体"/>
                <w:color w:val="auto"/>
                <w:kern w:val="28"/>
                <w:sz w:val="24"/>
                <w:szCs w:val="20"/>
                <w:highlight w:val="none"/>
                <w:lang w:eastAsia="zh-CN"/>
              </w:rPr>
              <w:t>开户行及账号：萧山建行时代广场支行33001617092053005082</w:t>
            </w:r>
          </w:p>
          <w:p w14:paraId="3A313208">
            <w:pPr>
              <w:pStyle w:val="33"/>
              <w:keepNext w:val="0"/>
              <w:keepLines w:val="0"/>
              <w:pageBreakBefore w:val="0"/>
              <w:widowControl w:val="0"/>
              <w:kinsoku/>
              <w:wordWrap/>
              <w:overflowPunct/>
              <w:topLinePunct w:val="0"/>
              <w:autoSpaceDE/>
              <w:autoSpaceDN/>
              <w:bidi w:val="0"/>
              <w:adjustRightInd w:val="0"/>
              <w:spacing w:line="400" w:lineRule="exact"/>
              <w:ind w:hanging="4"/>
              <w:textAlignment w:val="auto"/>
              <w:rPr>
                <w:rFonts w:hint="default" w:ascii="宋体" w:hAnsi="宋体" w:eastAsia="宋体" w:cs="宋体"/>
                <w:color w:val="auto"/>
                <w:kern w:val="28"/>
                <w:sz w:val="24"/>
                <w:szCs w:val="20"/>
                <w:highlight w:val="none"/>
                <w:lang w:val="en-US" w:eastAsia="zh-CN"/>
              </w:rPr>
            </w:pPr>
            <w:r>
              <w:rPr>
                <w:rFonts w:hint="eastAsia" w:ascii="宋体" w:hAnsi="宋体" w:eastAsia="宋体" w:cs="宋体"/>
                <w:b w:val="0"/>
                <w:bCs/>
                <w:color w:val="auto"/>
                <w:kern w:val="0"/>
                <w:sz w:val="24"/>
                <w:highlight w:val="none"/>
                <w:lang w:val="en-US" w:eastAsia="zh-CN"/>
              </w:rPr>
              <w:t>履约保证金：</w:t>
            </w:r>
            <w:r>
              <w:rPr>
                <w:rFonts w:hint="eastAsia" w:hAnsi="宋体" w:cs="宋体"/>
                <w:color w:val="auto"/>
                <w:kern w:val="28"/>
                <w:sz w:val="24"/>
                <w:szCs w:val="20"/>
                <w:highlight w:val="none"/>
                <w:lang w:val="en-US" w:eastAsia="zh-CN"/>
              </w:rPr>
              <w:t>10%</w:t>
            </w:r>
          </w:p>
        </w:tc>
      </w:tr>
      <w:tr w14:paraId="3EA7D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F09A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520A8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7F38B30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14:paraId="0981B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1703C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ED028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37780CA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cs="宋体"/>
                <w:color w:val="auto"/>
                <w:sz w:val="24"/>
                <w:highlight w:val="none"/>
                <w:u w:val="single"/>
                <w:lang w:val="en-US" w:eastAsia="zh-CN"/>
              </w:rPr>
              <w:t>高天宇</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w:t>
            </w:r>
            <w:r>
              <w:rPr>
                <w:rFonts w:hint="eastAsia" w:ascii="宋体" w:hAnsi="宋体" w:cs="宋体"/>
                <w:color w:val="auto"/>
                <w:sz w:val="24"/>
                <w:highlight w:val="none"/>
                <w:u w:val="single"/>
                <w:lang w:val="en-US" w:eastAsia="zh-CN"/>
              </w:rPr>
              <w:t>22800385</w:t>
            </w:r>
          </w:p>
          <w:p w14:paraId="1916148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地址：</w:t>
            </w:r>
            <w:r>
              <w:rPr>
                <w:rFonts w:hint="eastAsia" w:ascii="宋体" w:hAnsi="宋体" w:cs="宋体"/>
                <w:color w:val="auto"/>
                <w:sz w:val="24"/>
                <w:highlight w:val="none"/>
                <w:u w:val="single"/>
                <w:lang w:eastAsia="zh-CN"/>
              </w:rPr>
              <w:t>萧山区北干街道金城路560号心意广场2幢1101室</w:t>
            </w:r>
          </w:p>
          <w:p w14:paraId="0360503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cs="宋体"/>
                <w:color w:val="auto"/>
                <w:sz w:val="24"/>
                <w:highlight w:val="none"/>
                <w:u w:val="single"/>
                <w:lang w:val="en-US" w:eastAsia="zh-CN"/>
              </w:rPr>
              <w:t>2714994089</w:t>
            </w:r>
            <w:r>
              <w:rPr>
                <w:rFonts w:hint="eastAsia" w:ascii="宋体" w:hAnsi="宋体" w:eastAsia="宋体" w:cs="宋体"/>
                <w:color w:val="auto"/>
                <w:sz w:val="24"/>
                <w:highlight w:val="none"/>
                <w:u w:val="single"/>
              </w:rPr>
              <w:t>@qq.com</w:t>
            </w:r>
          </w:p>
          <w:p w14:paraId="4696358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14:paraId="140F3C6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14:paraId="1598D03E">
            <w:pPr>
              <w:pStyle w:val="33"/>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14:paraId="7EE3D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68198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96782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231BA7F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r w14:paraId="54BEA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89BF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color w:val="auto"/>
                <w:sz w:val="24"/>
                <w:highlight w:val="none"/>
                <w:lang w:val="en-US" w:eastAsia="zh-CN"/>
              </w:rPr>
            </w:pPr>
            <w:bookmarkStart w:id="12" w:name="_Toc164416483"/>
            <w:bookmarkStart w:id="13" w:name="第三部分"/>
            <w:r>
              <w:rPr>
                <w:rFonts w:hint="eastAsia" w:ascii="宋体" w:hAnsi="宋体" w:cs="宋体"/>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424F7BA">
            <w:pPr>
              <w:snapToGrid w:val="0"/>
              <w:spacing w:line="360" w:lineRule="auto"/>
              <w:jc w:val="center"/>
              <w:rPr>
                <w:rFonts w:hint="eastAsia" w:ascii="仿宋" w:hAnsi="仿宋" w:eastAsia="仿宋" w:cs="仿宋"/>
                <w:b/>
                <w:color w:val="auto"/>
                <w:spacing w:val="0"/>
                <w:w w:val="100"/>
                <w:kern w:val="2"/>
                <w:sz w:val="24"/>
                <w:szCs w:val="24"/>
                <w:highlight w:val="none"/>
                <w:lang w:val="en-US" w:eastAsia="zh-CN" w:bidi="ar-SA"/>
              </w:rPr>
            </w:pPr>
            <w:r>
              <w:rPr>
                <w:rFonts w:hint="eastAsia" w:ascii="仿宋" w:hAnsi="仿宋" w:eastAsia="仿宋" w:cs="仿宋"/>
                <w:b/>
                <w:color w:val="auto"/>
                <w:spacing w:val="0"/>
                <w:w w:val="100"/>
                <w:sz w:val="24"/>
                <w:highlight w:val="none"/>
                <w:lang w:eastAsia="zh-CN"/>
              </w:rPr>
              <w:t>代理机构</w:t>
            </w:r>
            <w:r>
              <w:rPr>
                <w:rFonts w:hint="eastAsia" w:ascii="仿宋" w:hAnsi="仿宋" w:eastAsia="仿宋" w:cs="仿宋"/>
                <w:b/>
                <w:color w:val="auto"/>
                <w:spacing w:val="0"/>
                <w:w w:val="100"/>
                <w:sz w:val="24"/>
                <w:highlight w:val="none"/>
              </w:rPr>
              <w:t>代理费用</w:t>
            </w:r>
          </w:p>
        </w:tc>
        <w:tc>
          <w:tcPr>
            <w:tcW w:w="6706"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A679354">
            <w:pPr>
              <w:pStyle w:val="33"/>
              <w:spacing w:line="360" w:lineRule="auto"/>
              <w:ind w:left="0" w:leftChars="0" w:hanging="4" w:firstLineChars="0"/>
              <w:rPr>
                <w:rFonts w:hint="eastAsia" w:ascii="仿宋" w:hAnsi="仿宋" w:eastAsia="仿宋" w:cs="仿宋"/>
                <w:b/>
                <w:snapToGrid w:val="0"/>
                <w:color w:val="auto"/>
                <w:spacing w:val="0"/>
                <w:w w:val="100"/>
                <w:kern w:val="2"/>
                <w:sz w:val="24"/>
                <w:szCs w:val="24"/>
                <w:highlight w:val="none"/>
                <w:lang w:val="en-US" w:eastAsia="zh-CN" w:bidi="ar-SA"/>
              </w:rPr>
            </w:pPr>
            <w:r>
              <w:rPr>
                <w:rFonts w:hint="eastAsia" w:ascii="仿宋" w:hAnsi="仿宋" w:eastAsia="仿宋" w:cs="仿宋"/>
                <w:color w:val="auto"/>
                <w:spacing w:val="0"/>
                <w:w w:val="100"/>
                <w:sz w:val="24"/>
                <w:highlight w:val="none"/>
                <w:lang w:val="en-US" w:eastAsia="zh-CN"/>
              </w:rPr>
              <w:t>根据《关于印发招标代理服务收费运营暂行办法的通知》（计价格[2002]1980号）文件规定收费标准的55%计取，不足3000元按3000元收取。由成交人领取成交通知书时支付</w:t>
            </w:r>
            <w:r>
              <w:rPr>
                <w:rFonts w:hint="eastAsia" w:ascii="仿宋" w:hAnsi="仿宋" w:eastAsia="仿宋" w:cs="仿宋"/>
                <w:color w:val="auto"/>
                <w:spacing w:val="0"/>
                <w:w w:val="100"/>
                <w:sz w:val="24"/>
                <w:highlight w:val="none"/>
                <w:lang w:eastAsia="zh-CN"/>
              </w:rPr>
              <w:t>。</w:t>
            </w:r>
          </w:p>
        </w:tc>
      </w:tr>
      <w:bookmarkEnd w:id="9"/>
    </w:tbl>
    <w:p w14:paraId="68A02655">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10CDDA3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9861552">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7618E64F">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14:paraId="4102F7DE">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43182CC">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14:paraId="34F063C3">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14:paraId="33823015">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14:paraId="13B43842">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705F133E">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14:paraId="373BDACB">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4E798063">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18D866E3">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14:paraId="7D9A6119">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14:paraId="60ED9A36">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3559FF34">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14:paraId="5504F159">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14:paraId="25525A3E">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14:paraId="5B86D32A">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14:paraId="3EAC2242">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14:paraId="74178BC1">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14:paraId="55BAD02C">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14:paraId="1AC48CC8">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14:paraId="278DE328">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14:paraId="0FF83C4F">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14:paraId="20CBD2AD">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14:paraId="0B92BCCE">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14:paraId="4E60C781">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14:paraId="2132BC88">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14:paraId="09866188">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14:paraId="30C9B292">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14:paraId="4AA26D17">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14:paraId="4D8F31CF">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14:paraId="4A1C5187">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14:paraId="17CCCD9A">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14:paraId="623AF41F">
      <w:pPr>
        <w:pStyle w:val="33"/>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14:paraId="20D0E459">
      <w:pPr>
        <w:pStyle w:val="137"/>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14:paraId="4B412BC4">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14:paraId="745EFCC3">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14:paraId="318FBCC4">
      <w:pPr>
        <w:pStyle w:val="33"/>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14:paraId="5A072FBC">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14:paraId="03F3E2B4">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14:paraId="1C53EE45">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14:paraId="510D9A5A">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14:paraId="18494D78">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06966AD8">
      <w:pPr>
        <w:pStyle w:val="33"/>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704558F1">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154028CA">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14:paraId="51C52E96">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14:paraId="3F9D4F57">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14:paraId="37826EF8">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14:paraId="51F0F361">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14:paraId="76BBA39F">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14:paraId="5F116B64">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14:paraId="0FF8C15A">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14:paraId="66C3735A">
      <w:pPr>
        <w:pStyle w:val="33"/>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14:paraId="6C7E48AD">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14:paraId="0A365439">
      <w:pPr>
        <w:pStyle w:val="16"/>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14:paraId="06B616B6">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14:paraId="31690614">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14:paraId="24C25780">
      <w:pPr>
        <w:pStyle w:val="33"/>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14:paraId="61140E68">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eastAsia="宋体" w:cs="宋体"/>
          <w:b/>
          <w:bCs/>
          <w:color w:val="auto"/>
          <w:sz w:val="24"/>
          <w:highlight w:val="none"/>
          <w:lang w:eastAsia="zh-CN"/>
        </w:rPr>
        <w:t>：</w:t>
      </w:r>
    </w:p>
    <w:p w14:paraId="079AED4F">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14:paraId="42C57961">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14:paraId="2DD8840D">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485C2356">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14:paraId="2C005BCD">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14:paraId="75504489">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14:paraId="31C0978C">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14:paraId="70D96227">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0F6BBDBA">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4889092B">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14:paraId="6D125064">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2C6514EA">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14:paraId="09D04CA0">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57C88E2C">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15E9EB1B">
      <w:pPr>
        <w:pStyle w:val="137"/>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14:paraId="40DC86A2">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ACA8363">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eastAsia="宋体" w:cs="宋体"/>
          <w:color w:val="auto"/>
          <w:kern w:val="0"/>
          <w:sz w:val="24"/>
          <w:highlight w:val="none"/>
          <w:lang w:val="en-US" w:eastAsia="zh-CN"/>
        </w:rPr>
        <w:t>乐采</w:t>
      </w:r>
      <w:r>
        <w:rPr>
          <w:rFonts w:hint="eastAsia" w:ascii="宋体" w:hAnsi="宋体" w:eastAsia="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0D041E32">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w:t>
      </w:r>
      <w:r>
        <w:rPr>
          <w:rFonts w:hint="eastAsia" w:ascii="宋体" w:hAnsi="宋体" w:eastAsia="宋体" w:cs="宋体"/>
          <w:color w:val="auto"/>
          <w:kern w:val="0"/>
          <w:sz w:val="24"/>
          <w:highlight w:val="none"/>
          <w:lang w:val="en-US" w:eastAsia="zh-CN"/>
        </w:rPr>
        <w:t>乐采</w:t>
      </w:r>
      <w:r>
        <w:rPr>
          <w:rFonts w:hint="eastAsia" w:ascii="宋体" w:hAnsi="宋体" w:eastAsia="宋体" w:cs="宋体"/>
          <w:color w:val="auto"/>
          <w:kern w:val="0"/>
          <w:sz w:val="24"/>
          <w:highlight w:val="none"/>
          <w:lang w:val="zh-CN"/>
        </w:rPr>
        <w:t>云电子交易客户端”需要提前申领CA数字证书，申领流程请自行前往“</w:t>
      </w:r>
      <w:r>
        <w:rPr>
          <w:rFonts w:hint="eastAsia" w:ascii="宋体" w:hAnsi="宋体" w:eastAsia="宋体" w:cs="宋体"/>
          <w:color w:val="auto"/>
          <w:sz w:val="24"/>
          <w:highlight w:val="none"/>
          <w:lang w:val="en-US" w:eastAsia="zh-CN"/>
        </w:rPr>
        <w:t>浙江企业采购信息服务网</w:t>
      </w:r>
      <w:r>
        <w:rPr>
          <w:rFonts w:hint="eastAsia" w:ascii="宋体" w:hAnsi="宋体" w:eastAsia="宋体" w:cs="宋体"/>
          <w:color w:val="auto"/>
          <w:sz w:val="24"/>
          <w:highlight w:val="none"/>
        </w:rPr>
        <w:t>-下载专区-电子交易客户端</w:t>
      </w:r>
      <w:r>
        <w:rPr>
          <w:rFonts w:hint="eastAsia" w:ascii="宋体" w:hAnsi="宋体" w:eastAsia="宋体" w:cs="宋体"/>
          <w:color w:val="auto"/>
          <w:kern w:val="0"/>
          <w:sz w:val="24"/>
          <w:highlight w:val="none"/>
          <w:lang w:val="zh-CN"/>
        </w:rPr>
        <w:t>-CA驱动和申领流程”进行查阅。</w:t>
      </w:r>
    </w:p>
    <w:p w14:paraId="4B653FEF">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14:paraId="097D4C05">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14:paraId="7D87FEE4">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w:t>
      </w:r>
      <w:r>
        <w:rPr>
          <w:rFonts w:hint="eastAsia" w:ascii="宋体" w:hAnsi="宋体" w:eastAsia="宋体" w:cs="宋体"/>
          <w:color w:val="auto"/>
          <w:highlight w:val="none"/>
          <w:lang w:val="en-US" w:eastAsia="zh-CN"/>
        </w:rPr>
        <w:t>乐采</w:t>
      </w:r>
      <w:r>
        <w:rPr>
          <w:rFonts w:hint="eastAsia" w:ascii="宋体" w:hAnsi="宋体" w:eastAsia="宋体" w:cs="宋体"/>
          <w:color w:val="auto"/>
          <w:highlight w:val="none"/>
        </w:rPr>
        <w:t>云平台”的身份认证，确保在电子投标过程中能够对相关数据电文进行加密和使用电子签名。</w:t>
      </w:r>
    </w:p>
    <w:p w14:paraId="05667971">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14:paraId="57730C87">
      <w:pPr>
        <w:pStyle w:val="137"/>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14:paraId="7401499E">
      <w:pPr>
        <w:pStyle w:val="137"/>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14:paraId="2B3409EE">
      <w:pPr>
        <w:pStyle w:val="137"/>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14:paraId="74A690B9">
      <w:pPr>
        <w:pStyle w:val="137"/>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14:paraId="0B11572C">
      <w:pPr>
        <w:pStyle w:val="33"/>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14:paraId="78FF44D7">
      <w:pPr>
        <w:pStyle w:val="33"/>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14:paraId="61A9249D">
      <w:pPr>
        <w:pStyle w:val="137"/>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14:paraId="44A7F3F2">
      <w:pPr>
        <w:pStyle w:val="25"/>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6E111CF3">
      <w:pPr>
        <w:pStyle w:val="137"/>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14:paraId="1C4CD7C3">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14:paraId="12E4DDF1">
      <w:pPr>
        <w:pStyle w:val="137"/>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14:paraId="5AC5778A">
      <w:pPr>
        <w:pStyle w:val="137"/>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14:paraId="64786A35">
      <w:pPr>
        <w:pStyle w:val="137"/>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14:paraId="237E23ED">
      <w:pPr>
        <w:pStyle w:val="137"/>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14:paraId="7501FA2D">
      <w:pPr>
        <w:pStyle w:val="562"/>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14:paraId="01028A07">
      <w:pPr>
        <w:pStyle w:val="562"/>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14:paraId="0A467308">
      <w:pPr>
        <w:pStyle w:val="562"/>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14:paraId="3764BC0F">
      <w:pPr>
        <w:pStyle w:val="562"/>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14:paraId="78361375">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14:paraId="2E23B494">
      <w:pPr>
        <w:pStyle w:val="137"/>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14:paraId="78F20B80">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14:paraId="5BB9C165">
      <w:pPr>
        <w:pStyle w:val="137"/>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14:paraId="5C241B3E">
      <w:pPr>
        <w:pStyle w:val="137"/>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14:paraId="7C14F6DF">
      <w:pPr>
        <w:pStyle w:val="137"/>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14:paraId="6717E3F5">
      <w:pPr>
        <w:pStyle w:val="137"/>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14:paraId="3C4A1BC9">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14:paraId="1CFB45A1">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14:paraId="2EBC13B0">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14:paraId="2D3BD799">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14:paraId="1CF1FC4D">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B2424BC">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14:paraId="76F257B9">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14:paraId="13E66CF1">
      <w:pPr>
        <w:pStyle w:val="137"/>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14:paraId="75C0BEAE">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14:paraId="32D9DC69">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14:paraId="75B8A642">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14:paraId="51C9C32D">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19E89D2">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14:paraId="28F3F33A">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14:paraId="14185A22">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14:paraId="363E083E">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39E62723">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14:paraId="60B25D84">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496F47B8">
      <w:pPr>
        <w:pStyle w:val="137"/>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14:paraId="22E6765B">
      <w:pPr>
        <w:pStyle w:val="25"/>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ascii="宋体" w:hAnsi="宋体" w:eastAsia="宋体" w:cs="宋体"/>
          <w:b w:val="0"/>
          <w:bCs/>
          <w:color w:val="auto"/>
          <w:highlight w:val="none"/>
          <w:lang w:val="en-US" w:eastAsia="zh-CN"/>
        </w:rPr>
        <w:t>详见前附表</w:t>
      </w:r>
      <w:r>
        <w:rPr>
          <w:rFonts w:hint="eastAsia" w:ascii="宋体" w:hAnsi="宋体" w:eastAsia="宋体" w:cs="宋体"/>
          <w:b w:val="0"/>
          <w:bCs/>
          <w:color w:val="auto"/>
          <w:sz w:val="24"/>
          <w:highlight w:val="none"/>
        </w:rPr>
        <w:t>。</w:t>
      </w:r>
    </w:p>
    <w:p w14:paraId="112D9D1A">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14:paraId="297E63B4">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5E674C8">
      <w:pPr>
        <w:pStyle w:val="137"/>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14:paraId="552F712D">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5D7D1A1F">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6B2AC974">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3516B959">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6CA179C8">
      <w:pPr>
        <w:pStyle w:val="137"/>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2518BFFF">
      <w:pPr>
        <w:pStyle w:val="137"/>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14:paraId="49849E6E">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F0A46A0">
      <w:pPr>
        <w:pStyle w:val="25"/>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14:paraId="5F64FECE">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14:paraId="4E788FE9">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0B104C6A">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14:paraId="158D47D1">
      <w:pPr>
        <w:snapToGrid w:val="0"/>
        <w:spacing w:line="360" w:lineRule="auto"/>
        <w:jc w:val="center"/>
        <w:rPr>
          <w:rFonts w:hint="eastAsia" w:ascii="宋体" w:hAnsi="宋体" w:eastAsia="宋体" w:cs="宋体"/>
          <w:color w:val="auto"/>
          <w:sz w:val="24"/>
          <w:highlight w:val="none"/>
        </w:rPr>
      </w:pPr>
    </w:p>
    <w:p w14:paraId="40C8EAE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4D4B42EA">
      <w:pPr>
        <w:numPr>
          <w:ilvl w:val="0"/>
          <w:numId w:val="0"/>
        </w:numPr>
        <w:spacing w:line="360" w:lineRule="auto"/>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一、</w:t>
      </w:r>
      <w:r>
        <w:rPr>
          <w:rFonts w:hint="eastAsia" w:ascii="宋体" w:hAnsi="宋体" w:eastAsia="宋体" w:cs="宋体"/>
          <w:b/>
          <w:color w:val="auto"/>
          <w:sz w:val="28"/>
          <w:szCs w:val="28"/>
          <w:highlight w:val="none"/>
          <w:lang w:eastAsia="zh-CN"/>
        </w:rPr>
        <w:t>交易一览表</w:t>
      </w:r>
    </w:p>
    <w:tbl>
      <w:tblPr>
        <w:tblStyle w:val="64"/>
        <w:tblW w:w="9017" w:type="dxa"/>
        <w:jc w:val="center"/>
        <w:tblLayout w:type="fixed"/>
        <w:tblCellMar>
          <w:top w:w="0" w:type="dxa"/>
          <w:left w:w="0" w:type="dxa"/>
          <w:bottom w:w="0" w:type="dxa"/>
          <w:right w:w="0" w:type="dxa"/>
        </w:tblCellMar>
      </w:tblPr>
      <w:tblGrid>
        <w:gridCol w:w="935"/>
        <w:gridCol w:w="3292"/>
        <w:gridCol w:w="2195"/>
        <w:gridCol w:w="823"/>
        <w:gridCol w:w="996"/>
        <w:gridCol w:w="776"/>
      </w:tblGrid>
      <w:tr w14:paraId="5D2C2F14">
        <w:tblPrEx>
          <w:tblCellMar>
            <w:top w:w="0" w:type="dxa"/>
            <w:left w:w="0" w:type="dxa"/>
            <w:bottom w:w="0" w:type="dxa"/>
            <w:right w:w="0" w:type="dxa"/>
          </w:tblCellMar>
        </w:tblPrEx>
        <w:trPr>
          <w:cantSplit/>
          <w:trHeight w:val="778" w:hRule="atLeast"/>
          <w:jc w:val="center"/>
        </w:trPr>
        <w:tc>
          <w:tcPr>
            <w:tcW w:w="9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8839CF">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32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903BB6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19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4571AB">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8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D5EFC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9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FC88B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76" w:type="dxa"/>
            <w:tcBorders>
              <w:top w:val="single" w:color="auto" w:sz="4" w:space="0"/>
              <w:left w:val="nil"/>
              <w:bottom w:val="single" w:color="auto" w:sz="4" w:space="0"/>
              <w:right w:val="single" w:color="auto" w:sz="4" w:space="0"/>
            </w:tcBorders>
            <w:vAlign w:val="center"/>
          </w:tcPr>
          <w:p w14:paraId="622F1906">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4E0B7959">
        <w:tblPrEx>
          <w:tblCellMar>
            <w:top w:w="0" w:type="dxa"/>
            <w:left w:w="0" w:type="dxa"/>
            <w:bottom w:w="0" w:type="dxa"/>
            <w:right w:w="0" w:type="dxa"/>
          </w:tblCellMar>
        </w:tblPrEx>
        <w:trPr>
          <w:cantSplit/>
          <w:trHeight w:val="1112" w:hRule="atLeast"/>
          <w:jc w:val="center"/>
        </w:trPr>
        <w:tc>
          <w:tcPr>
            <w:tcW w:w="9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FB085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2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81A528">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所前镇原海港制钉房屋委托运营项目</w:t>
            </w:r>
          </w:p>
        </w:tc>
        <w:tc>
          <w:tcPr>
            <w:tcW w:w="219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A6DBC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5F4C5B">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3F44C4">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年</w:t>
            </w:r>
          </w:p>
        </w:tc>
        <w:tc>
          <w:tcPr>
            <w:tcW w:w="776" w:type="dxa"/>
            <w:tcBorders>
              <w:top w:val="single" w:color="auto" w:sz="4" w:space="0"/>
              <w:left w:val="nil"/>
              <w:bottom w:val="single" w:color="auto" w:sz="4" w:space="0"/>
              <w:right w:val="single" w:color="auto" w:sz="4" w:space="0"/>
            </w:tcBorders>
            <w:vAlign w:val="center"/>
          </w:tcPr>
          <w:p w14:paraId="7A3A13C3">
            <w:pPr>
              <w:spacing w:line="240" w:lineRule="auto"/>
              <w:jc w:val="center"/>
              <w:rPr>
                <w:rFonts w:hint="eastAsia" w:ascii="宋体" w:hAnsi="宋体" w:eastAsia="宋体" w:cs="宋体"/>
                <w:color w:val="auto"/>
                <w:sz w:val="24"/>
                <w:highlight w:val="none"/>
                <w:lang w:val="en-US" w:eastAsia="zh-CN"/>
              </w:rPr>
            </w:pPr>
          </w:p>
        </w:tc>
      </w:tr>
    </w:tbl>
    <w:p w14:paraId="637673BD">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14:paraId="60209E17">
      <w:pPr>
        <w:numPr>
          <w:ilvl w:val="0"/>
          <w:numId w:val="0"/>
        </w:numPr>
        <w:spacing w:line="360" w:lineRule="auto"/>
        <w:ind w:left="0" w:lef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二、交易</w:t>
      </w:r>
      <w:r>
        <w:rPr>
          <w:rFonts w:hint="eastAsia" w:ascii="宋体" w:hAnsi="宋体" w:eastAsia="宋体" w:cs="宋体"/>
          <w:b/>
          <w:color w:val="auto"/>
          <w:sz w:val="28"/>
          <w:szCs w:val="28"/>
          <w:highlight w:val="none"/>
          <w:lang w:eastAsia="zh-CN"/>
        </w:rPr>
        <w:t>需求</w:t>
      </w:r>
    </w:p>
    <w:p w14:paraId="4706BA06">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基本情况</w:t>
      </w:r>
    </w:p>
    <w:p w14:paraId="0E2E349D">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交易范围：所前镇原海港制钉</w:t>
      </w:r>
      <w:r>
        <w:rPr>
          <w:rFonts w:hint="eastAsia" w:ascii="宋体" w:hAnsi="宋体" w:cs="宋体"/>
          <w:color w:val="auto"/>
          <w:sz w:val="24"/>
          <w:szCs w:val="24"/>
          <w:highlight w:val="none"/>
          <w:lang w:eastAsia="zh-CN"/>
        </w:rPr>
        <w:t>房屋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建筑面积约2432.24平方米，土地面积约</w:t>
      </w:r>
      <w:r>
        <w:rPr>
          <w:rFonts w:hint="eastAsia" w:ascii="宋体" w:hAnsi="宋体" w:cs="宋体"/>
          <w:color w:val="auto"/>
          <w:sz w:val="24"/>
          <w:szCs w:val="24"/>
          <w:highlight w:val="none"/>
          <w:lang w:val="en-US" w:eastAsia="zh-CN"/>
        </w:rPr>
        <w:t>6.69</w:t>
      </w:r>
      <w:r>
        <w:rPr>
          <w:rFonts w:hint="eastAsia" w:ascii="宋体" w:hAnsi="宋体" w:eastAsia="宋体" w:cs="宋体"/>
          <w:color w:val="auto"/>
          <w:sz w:val="24"/>
          <w:szCs w:val="24"/>
          <w:highlight w:val="none"/>
          <w:lang w:val="en-US" w:eastAsia="zh-CN"/>
        </w:rPr>
        <w:t>亩，东至03省道，北至二十四局项目部，西至所前北路，南至03省道。</w:t>
      </w:r>
    </w:p>
    <w:p w14:paraId="3FAAEDB9">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0" w:firstLineChars="0"/>
        <w:jc w:val="center"/>
        <w:textAlignment w:val="auto"/>
        <w:rPr>
          <w:color w:val="auto"/>
          <w:highlight w:val="none"/>
        </w:rPr>
      </w:pPr>
      <w:r>
        <w:rPr>
          <w:color w:val="auto"/>
          <w:highlight w:val="none"/>
        </w:rPr>
        <w:drawing>
          <wp:inline distT="0" distB="0" distL="114300" distR="114300">
            <wp:extent cx="4660900" cy="3887470"/>
            <wp:effectExtent l="0" t="0" r="6350" b="177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9"/>
                    <a:stretch>
                      <a:fillRect/>
                    </a:stretch>
                  </pic:blipFill>
                  <pic:spPr>
                    <a:xfrm>
                      <a:off x="0" y="0"/>
                      <a:ext cx="4660900" cy="3887470"/>
                    </a:xfrm>
                    <a:prstGeom prst="rect">
                      <a:avLst/>
                    </a:prstGeom>
                    <a:noFill/>
                    <a:ln>
                      <a:noFill/>
                    </a:ln>
                  </pic:spPr>
                </pic:pic>
              </a:graphicData>
            </a:graphic>
          </wp:inline>
        </w:drawing>
      </w:r>
    </w:p>
    <w:p w14:paraId="7D14C13E">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2、服务内容：向交易发起人申报</w:t>
      </w:r>
      <w:r>
        <w:rPr>
          <w:rFonts w:hint="eastAsia" w:ascii="宋体" w:hAnsi="宋体" w:cs="宋体"/>
          <w:color w:val="auto"/>
          <w:sz w:val="24"/>
          <w:szCs w:val="24"/>
          <w:highlight w:val="none"/>
          <w:lang w:val="en-US" w:eastAsia="zh-CN"/>
        </w:rPr>
        <w:t>房屋委托运营</w:t>
      </w:r>
      <w:r>
        <w:rPr>
          <w:rFonts w:hint="eastAsia" w:ascii="宋体" w:hAnsi="宋体" w:eastAsia="宋体" w:cs="宋体"/>
          <w:color w:val="auto"/>
          <w:sz w:val="24"/>
          <w:szCs w:val="24"/>
          <w:highlight w:val="none"/>
          <w:lang w:val="en-US" w:eastAsia="zh-CN"/>
        </w:rPr>
        <w:t>方案，方案需符合法律法规和相关政策规定，并按约定用途使用；负责</w:t>
      </w:r>
      <w:r>
        <w:rPr>
          <w:rFonts w:hint="eastAsia" w:ascii="宋体" w:hAnsi="宋体" w:cs="宋体"/>
          <w:color w:val="auto"/>
          <w:sz w:val="24"/>
          <w:szCs w:val="24"/>
          <w:highlight w:val="none"/>
          <w:lang w:val="en-US" w:eastAsia="zh-CN"/>
        </w:rPr>
        <w:t>房屋</w:t>
      </w:r>
      <w:r>
        <w:rPr>
          <w:rFonts w:hint="eastAsia" w:ascii="宋体" w:hAnsi="宋体" w:eastAsia="宋体" w:cs="宋体"/>
          <w:color w:val="auto"/>
          <w:sz w:val="24"/>
          <w:szCs w:val="24"/>
          <w:highlight w:val="none"/>
          <w:lang w:val="en-US" w:eastAsia="zh-CN"/>
        </w:rPr>
        <w:t>内的水、电等配套</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其他与项目运营有关的一切事项；保护好</w:t>
      </w:r>
      <w:r>
        <w:rPr>
          <w:rFonts w:hint="eastAsia" w:ascii="宋体" w:hAnsi="宋体" w:cs="宋体"/>
          <w:color w:val="auto"/>
          <w:sz w:val="24"/>
          <w:szCs w:val="24"/>
          <w:highlight w:val="none"/>
          <w:lang w:val="en-US" w:eastAsia="zh-CN"/>
        </w:rPr>
        <w:t>厂区</w:t>
      </w:r>
      <w:r>
        <w:rPr>
          <w:rFonts w:hint="eastAsia" w:ascii="宋体" w:hAnsi="宋体" w:eastAsia="宋体" w:cs="宋体"/>
          <w:color w:val="auto"/>
          <w:sz w:val="24"/>
          <w:szCs w:val="24"/>
          <w:highlight w:val="none"/>
          <w:lang w:val="en-US" w:eastAsia="zh-CN"/>
        </w:rPr>
        <w:t>环境，不得造成污染，负责及时处理</w:t>
      </w:r>
      <w:r>
        <w:rPr>
          <w:rFonts w:hint="eastAsia" w:ascii="宋体" w:hAnsi="宋体" w:cs="宋体"/>
          <w:color w:val="auto"/>
          <w:sz w:val="24"/>
          <w:szCs w:val="24"/>
          <w:highlight w:val="none"/>
          <w:lang w:val="en-US" w:eastAsia="zh-CN"/>
        </w:rPr>
        <w:t>运营过程中产生的</w:t>
      </w:r>
      <w:r>
        <w:rPr>
          <w:rFonts w:hint="eastAsia" w:ascii="宋体" w:hAnsi="宋体" w:eastAsia="宋体" w:cs="宋体"/>
          <w:color w:val="auto"/>
          <w:sz w:val="24"/>
          <w:szCs w:val="24"/>
          <w:highlight w:val="none"/>
          <w:lang w:val="en-US" w:eastAsia="zh-CN"/>
        </w:rPr>
        <w:t>一切信访及相关部门下发的整改案卷。</w:t>
      </w:r>
    </w:p>
    <w:p w14:paraId="17A341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3、运营</w:t>
      </w:r>
      <w:r>
        <w:rPr>
          <w:rFonts w:hint="eastAsia" w:ascii="宋体" w:hAnsi="宋体" w:eastAsia="宋体" w:cs="宋体"/>
          <w:color w:val="auto"/>
          <w:sz w:val="24"/>
          <w:szCs w:val="24"/>
          <w:highlight w:val="none"/>
          <w:lang w:val="en-US" w:eastAsia="zh-CN"/>
        </w:rPr>
        <w:t>期限：五年</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期间交易发起人需对</w:t>
      </w:r>
      <w:r>
        <w:rPr>
          <w:rFonts w:hint="eastAsia" w:ascii="宋体" w:hAnsi="宋体" w:cs="宋体"/>
          <w:color w:val="auto"/>
          <w:sz w:val="24"/>
          <w:szCs w:val="24"/>
          <w:highlight w:val="none"/>
          <w:lang w:val="en-US" w:eastAsia="zh-CN"/>
        </w:rPr>
        <w:t>房屋</w:t>
      </w:r>
      <w:r>
        <w:rPr>
          <w:rFonts w:hint="eastAsia" w:ascii="宋体" w:hAnsi="宋体" w:eastAsia="宋体" w:cs="宋体"/>
          <w:color w:val="auto"/>
          <w:sz w:val="24"/>
          <w:szCs w:val="24"/>
          <w:highlight w:val="none"/>
          <w:lang w:val="en-US" w:eastAsia="zh-CN"/>
        </w:rPr>
        <w:t>收回使用的，须提前</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个月通知成交人，成交人须无条件配合</w:t>
      </w:r>
      <w:r>
        <w:rPr>
          <w:rFonts w:hint="eastAsia" w:ascii="宋体" w:hAnsi="宋体" w:cs="宋体"/>
          <w:color w:val="auto"/>
          <w:sz w:val="24"/>
          <w:szCs w:val="24"/>
          <w:highlight w:val="none"/>
          <w:lang w:val="en-US" w:eastAsia="zh-CN"/>
        </w:rPr>
        <w:t>。</w:t>
      </w:r>
    </w:p>
    <w:p w14:paraId="47DBF943">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2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特殊条款</w:t>
      </w:r>
    </w:p>
    <w:p w14:paraId="5797CE8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宋体"/>
          <w:b/>
          <w:bCs/>
          <w:color w:val="auto"/>
          <w:sz w:val="24"/>
          <w:highlight w:val="none"/>
          <w:u w:val="single"/>
        </w:rPr>
      </w:pPr>
      <w:r>
        <w:rPr>
          <w:rFonts w:hint="eastAsia" w:ascii="宋体" w:hAnsi="宋体" w:cs="宋体"/>
          <w:b/>
          <w:bCs/>
          <w:color w:val="auto"/>
          <w:sz w:val="24"/>
          <w:highlight w:val="none"/>
          <w:u w:val="single"/>
          <w:lang w:val="en-US" w:eastAsia="zh-CN"/>
        </w:rPr>
        <w:t>1、成交人</w:t>
      </w:r>
      <w:r>
        <w:rPr>
          <w:rFonts w:hint="eastAsia" w:ascii="宋体" w:hAnsi="宋体" w:cs="宋体"/>
          <w:b/>
          <w:bCs/>
          <w:color w:val="auto"/>
          <w:sz w:val="24"/>
          <w:highlight w:val="none"/>
          <w:u w:val="single"/>
        </w:rPr>
        <w:t>须在</w:t>
      </w:r>
      <w:r>
        <w:rPr>
          <w:rFonts w:hint="eastAsia" w:ascii="宋体" w:hAnsi="宋体" w:cs="宋体"/>
          <w:b/>
          <w:bCs/>
          <w:color w:val="auto"/>
          <w:sz w:val="24"/>
          <w:highlight w:val="none"/>
          <w:u w:val="single"/>
          <w:lang w:val="en-US" w:eastAsia="zh-CN"/>
        </w:rPr>
        <w:t>投标</w:t>
      </w:r>
      <w:r>
        <w:rPr>
          <w:rFonts w:hint="eastAsia" w:ascii="宋体" w:hAnsi="宋体" w:cs="宋体"/>
          <w:b/>
          <w:bCs/>
          <w:color w:val="auto"/>
          <w:sz w:val="24"/>
          <w:highlight w:val="none"/>
          <w:u w:val="single"/>
        </w:rPr>
        <w:t>前自行对</w:t>
      </w:r>
      <w:r>
        <w:rPr>
          <w:rFonts w:hint="eastAsia" w:ascii="宋体" w:hAnsi="宋体" w:cs="宋体"/>
          <w:b/>
          <w:bCs/>
          <w:color w:val="auto"/>
          <w:sz w:val="24"/>
          <w:highlight w:val="none"/>
          <w:u w:val="single"/>
          <w:lang w:eastAsia="zh-CN"/>
        </w:rPr>
        <w:t>运营</w:t>
      </w:r>
      <w:r>
        <w:rPr>
          <w:rFonts w:hint="eastAsia" w:ascii="宋体" w:hAnsi="宋体" w:cs="宋体"/>
          <w:b/>
          <w:bCs/>
          <w:color w:val="auto"/>
          <w:sz w:val="24"/>
          <w:highlight w:val="none"/>
          <w:u w:val="single"/>
        </w:rPr>
        <w:t>标的进行全面了解，并对营业所需的各项审批条件和规定进行充分自核。</w:t>
      </w:r>
      <w:r>
        <w:rPr>
          <w:rFonts w:hint="eastAsia" w:ascii="宋体" w:hAnsi="宋体" w:cs="宋体"/>
          <w:b/>
          <w:bCs/>
          <w:color w:val="auto"/>
          <w:sz w:val="24"/>
          <w:highlight w:val="none"/>
          <w:u w:val="single"/>
          <w:lang w:val="en-US" w:eastAsia="zh-CN"/>
        </w:rPr>
        <w:t>成交人</w:t>
      </w:r>
      <w:r>
        <w:rPr>
          <w:rFonts w:hint="eastAsia" w:ascii="宋体" w:hAnsi="宋体" w:cs="宋体"/>
          <w:b/>
          <w:bCs/>
          <w:color w:val="auto"/>
          <w:sz w:val="24"/>
          <w:highlight w:val="none"/>
          <w:u w:val="single"/>
        </w:rPr>
        <w:t>参与</w:t>
      </w:r>
      <w:r>
        <w:rPr>
          <w:rFonts w:hint="eastAsia" w:ascii="宋体" w:hAnsi="宋体" w:cs="宋体"/>
          <w:b/>
          <w:bCs/>
          <w:color w:val="auto"/>
          <w:sz w:val="24"/>
          <w:highlight w:val="none"/>
          <w:u w:val="single"/>
          <w:lang w:val="en-US" w:eastAsia="zh-CN"/>
        </w:rPr>
        <w:t>投标</w:t>
      </w:r>
      <w:r>
        <w:rPr>
          <w:rFonts w:hint="eastAsia" w:ascii="宋体" w:hAnsi="宋体" w:cs="宋体"/>
          <w:b/>
          <w:bCs/>
          <w:color w:val="auto"/>
          <w:sz w:val="24"/>
          <w:highlight w:val="none"/>
          <w:u w:val="single"/>
        </w:rPr>
        <w:t>的行为将被认为已作充分的预判和决策，无论因何种原因（包括</w:t>
      </w:r>
      <w:r>
        <w:rPr>
          <w:rFonts w:hint="eastAsia" w:ascii="宋体" w:hAnsi="宋体" w:cs="宋体"/>
          <w:b/>
          <w:bCs/>
          <w:color w:val="auto"/>
          <w:sz w:val="24"/>
          <w:highlight w:val="none"/>
          <w:u w:val="single"/>
          <w:lang w:val="en-US" w:eastAsia="zh-CN"/>
        </w:rPr>
        <w:t>但不限于</w:t>
      </w:r>
      <w:r>
        <w:rPr>
          <w:rFonts w:hint="eastAsia" w:ascii="宋体" w:hAnsi="宋体" w:cs="宋体"/>
          <w:b/>
          <w:bCs/>
          <w:color w:val="auto"/>
          <w:sz w:val="24"/>
          <w:highlight w:val="none"/>
          <w:u w:val="single"/>
        </w:rPr>
        <w:t>土地规划用途和既有结构、设计等因素在内</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标的不动产权属证书</w:t>
      </w:r>
      <w:r>
        <w:rPr>
          <w:rFonts w:hint="eastAsia" w:ascii="宋体" w:hAnsi="宋体" w:cs="宋体"/>
          <w:b/>
          <w:bCs/>
          <w:color w:val="auto"/>
          <w:sz w:val="24"/>
          <w:highlight w:val="none"/>
          <w:u w:val="single"/>
          <w:lang w:eastAsia="zh-CN"/>
        </w:rPr>
        <w:t>已</w:t>
      </w:r>
      <w:r>
        <w:rPr>
          <w:rFonts w:hint="eastAsia" w:ascii="宋体" w:hAnsi="宋体" w:cs="宋体"/>
          <w:b/>
          <w:bCs/>
          <w:color w:val="auto"/>
          <w:sz w:val="24"/>
          <w:highlight w:val="none"/>
          <w:u w:val="single"/>
        </w:rPr>
        <w:t>注销</w:t>
      </w:r>
      <w:r>
        <w:rPr>
          <w:rFonts w:hint="eastAsia" w:ascii="宋体" w:hAnsi="宋体" w:cs="宋体"/>
          <w:b/>
          <w:bCs/>
          <w:color w:val="auto"/>
          <w:sz w:val="24"/>
          <w:highlight w:val="none"/>
          <w:u w:val="single"/>
          <w:lang w:eastAsia="zh-CN"/>
        </w:rPr>
        <w:t>、</w:t>
      </w:r>
      <w:r>
        <w:rPr>
          <w:rFonts w:hint="eastAsia" w:ascii="宋体" w:hAnsi="宋体" w:cs="宋体"/>
          <w:b/>
          <w:bCs/>
          <w:color w:val="auto"/>
          <w:sz w:val="24"/>
          <w:szCs w:val="24"/>
          <w:highlight w:val="none"/>
          <w:u w:val="single"/>
          <w:lang w:val="en-US" w:eastAsia="zh-CN"/>
        </w:rPr>
        <w:t>房屋暂无水电接入、部分屋面漏水</w:t>
      </w:r>
      <w:r>
        <w:rPr>
          <w:rFonts w:hint="eastAsia" w:ascii="宋体" w:hAnsi="宋体" w:cs="宋体"/>
          <w:b/>
          <w:bCs/>
          <w:color w:val="auto"/>
          <w:sz w:val="24"/>
          <w:highlight w:val="none"/>
          <w:u w:val="single"/>
        </w:rPr>
        <w:t>）导致的各项经营风险，</w:t>
      </w:r>
      <w:r>
        <w:rPr>
          <w:rFonts w:hint="eastAsia" w:ascii="宋体" w:hAnsi="宋体" w:cs="宋体"/>
          <w:b/>
          <w:bCs/>
          <w:color w:val="auto"/>
          <w:sz w:val="24"/>
          <w:highlight w:val="none"/>
          <w:u w:val="single"/>
          <w:lang w:val="en-US" w:eastAsia="zh-CN"/>
        </w:rPr>
        <w:t>成交人</w:t>
      </w:r>
      <w:r>
        <w:rPr>
          <w:rFonts w:hint="eastAsia" w:ascii="宋体" w:hAnsi="宋体" w:cs="宋体"/>
          <w:b/>
          <w:bCs/>
          <w:color w:val="auto"/>
          <w:sz w:val="24"/>
          <w:highlight w:val="none"/>
          <w:u w:val="single"/>
        </w:rPr>
        <w:t>承诺独立承担，</w:t>
      </w:r>
      <w:r>
        <w:rPr>
          <w:rFonts w:hint="eastAsia" w:ascii="宋体" w:hAnsi="宋体" w:cs="宋体"/>
          <w:b/>
          <w:bCs/>
          <w:color w:val="auto"/>
          <w:sz w:val="24"/>
          <w:highlight w:val="none"/>
          <w:u w:val="single"/>
          <w:lang w:val="en-US" w:eastAsia="zh-CN"/>
        </w:rPr>
        <w:t>交易发起人不</w:t>
      </w:r>
      <w:r>
        <w:rPr>
          <w:rFonts w:hint="eastAsia" w:ascii="宋体" w:hAnsi="宋体" w:cs="宋体"/>
          <w:b/>
          <w:bCs/>
          <w:color w:val="auto"/>
          <w:sz w:val="24"/>
          <w:highlight w:val="none"/>
          <w:u w:val="single"/>
        </w:rPr>
        <w:t>对</w:t>
      </w:r>
      <w:r>
        <w:rPr>
          <w:rFonts w:hint="eastAsia" w:ascii="宋体" w:hAnsi="宋体" w:cs="宋体"/>
          <w:b/>
          <w:bCs/>
          <w:color w:val="auto"/>
          <w:sz w:val="24"/>
          <w:highlight w:val="none"/>
          <w:u w:val="single"/>
          <w:lang w:val="en-US" w:eastAsia="zh-CN"/>
        </w:rPr>
        <w:t>合同</w:t>
      </w:r>
      <w:r>
        <w:rPr>
          <w:rFonts w:hint="eastAsia" w:ascii="宋体" w:hAnsi="宋体" w:cs="宋体"/>
          <w:b/>
          <w:bCs/>
          <w:color w:val="auto"/>
          <w:sz w:val="24"/>
          <w:highlight w:val="none"/>
          <w:u w:val="single"/>
        </w:rPr>
        <w:t>无法</w:t>
      </w:r>
      <w:r>
        <w:rPr>
          <w:rFonts w:hint="eastAsia" w:ascii="宋体" w:hAnsi="宋体" w:cs="宋体"/>
          <w:b/>
          <w:bCs/>
          <w:color w:val="auto"/>
          <w:sz w:val="24"/>
          <w:highlight w:val="none"/>
          <w:u w:val="single"/>
          <w:lang w:val="en-US" w:eastAsia="zh-CN"/>
        </w:rPr>
        <w:t>继续</w:t>
      </w:r>
      <w:r>
        <w:rPr>
          <w:rFonts w:hint="eastAsia" w:ascii="宋体" w:hAnsi="宋体" w:cs="宋体"/>
          <w:b/>
          <w:bCs/>
          <w:color w:val="auto"/>
          <w:sz w:val="24"/>
          <w:highlight w:val="none"/>
          <w:u w:val="single"/>
        </w:rPr>
        <w:t>履行、投入成本、</w:t>
      </w:r>
      <w:r>
        <w:rPr>
          <w:rFonts w:hint="eastAsia" w:ascii="宋体" w:hAnsi="宋体" w:cs="宋体"/>
          <w:b/>
          <w:bCs/>
          <w:color w:val="auto"/>
          <w:sz w:val="24"/>
          <w:highlight w:val="none"/>
          <w:u w:val="single"/>
          <w:lang w:val="en-US" w:eastAsia="zh-CN"/>
        </w:rPr>
        <w:t>成交人营业执照无法正常年检</w:t>
      </w:r>
      <w:r>
        <w:rPr>
          <w:rFonts w:hint="eastAsia" w:ascii="宋体" w:hAnsi="宋体" w:cs="宋体"/>
          <w:b/>
          <w:bCs/>
          <w:color w:val="auto"/>
          <w:sz w:val="24"/>
          <w:highlight w:val="none"/>
          <w:u w:val="single"/>
        </w:rPr>
        <w:t>等承担任何形式的赔偿或补偿责任。</w:t>
      </w:r>
    </w:p>
    <w:p w14:paraId="4F31F26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2、运营</w:t>
      </w:r>
      <w:r>
        <w:rPr>
          <w:rFonts w:hint="eastAsia" w:ascii="宋体" w:hAnsi="宋体" w:eastAsia="宋体" w:cs="宋体"/>
          <w:b/>
          <w:bCs/>
          <w:color w:val="auto"/>
          <w:sz w:val="24"/>
          <w:szCs w:val="24"/>
          <w:highlight w:val="none"/>
          <w:u w:val="single"/>
          <w:lang w:val="en-US" w:eastAsia="zh-CN"/>
        </w:rPr>
        <w:t>期满后或合同提前终止时，应于合同期满之日或者提前终止之日</w:t>
      </w:r>
      <w:r>
        <w:rPr>
          <w:rFonts w:hint="eastAsia" w:ascii="宋体" w:hAnsi="宋体" w:cs="宋体"/>
          <w:b/>
          <w:bCs/>
          <w:color w:val="auto"/>
          <w:sz w:val="24"/>
          <w:szCs w:val="24"/>
          <w:highlight w:val="none"/>
          <w:u w:val="single"/>
          <w:lang w:val="en-US" w:eastAsia="zh-CN"/>
        </w:rPr>
        <w:t>腾空房屋，装修、临时构筑物等</w:t>
      </w:r>
      <w:r>
        <w:rPr>
          <w:rFonts w:hint="eastAsia" w:ascii="宋体" w:hAnsi="宋体" w:eastAsia="宋体" w:cs="宋体"/>
          <w:b/>
          <w:bCs/>
          <w:color w:val="auto"/>
          <w:sz w:val="24"/>
          <w:szCs w:val="24"/>
          <w:highlight w:val="none"/>
          <w:u w:val="single"/>
          <w:lang w:val="en-US" w:eastAsia="zh-CN"/>
        </w:rPr>
        <w:t>无偿</w:t>
      </w:r>
      <w:r>
        <w:rPr>
          <w:rFonts w:hint="eastAsia" w:ascii="宋体" w:hAnsi="宋体" w:cs="宋体"/>
          <w:b/>
          <w:bCs/>
          <w:color w:val="auto"/>
          <w:sz w:val="24"/>
          <w:szCs w:val="24"/>
          <w:highlight w:val="none"/>
          <w:u w:val="single"/>
          <w:lang w:val="en-US" w:eastAsia="zh-CN"/>
        </w:rPr>
        <w:t>移交</w:t>
      </w:r>
      <w:r>
        <w:rPr>
          <w:rFonts w:hint="eastAsia" w:ascii="宋体" w:hAnsi="宋体" w:eastAsia="宋体" w:cs="宋体"/>
          <w:b/>
          <w:bCs/>
          <w:color w:val="auto"/>
          <w:sz w:val="24"/>
          <w:szCs w:val="24"/>
          <w:highlight w:val="none"/>
          <w:u w:val="single"/>
          <w:lang w:val="en-US" w:eastAsia="zh-CN"/>
        </w:rPr>
        <w:t>交易发起人，且交易发起人不作任何补偿。</w:t>
      </w:r>
    </w:p>
    <w:p w14:paraId="55BA40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因本项目</w:t>
      </w:r>
      <w:r>
        <w:rPr>
          <w:rFonts w:hint="eastAsia" w:ascii="宋体" w:hAnsi="宋体" w:cs="宋体"/>
          <w:b/>
          <w:bCs/>
          <w:color w:val="auto"/>
          <w:sz w:val="24"/>
          <w:szCs w:val="24"/>
          <w:highlight w:val="none"/>
          <w:u w:val="single"/>
          <w:lang w:val="en-US" w:eastAsia="zh-CN"/>
        </w:rPr>
        <w:t>房屋</w:t>
      </w:r>
      <w:r>
        <w:rPr>
          <w:rFonts w:hint="eastAsia" w:ascii="宋体" w:hAnsi="宋体" w:eastAsia="宋体" w:cs="宋体"/>
          <w:b/>
          <w:bCs/>
          <w:color w:val="auto"/>
          <w:sz w:val="24"/>
          <w:szCs w:val="24"/>
          <w:highlight w:val="none"/>
          <w:u w:val="single"/>
          <w:lang w:val="en-US" w:eastAsia="zh-CN"/>
        </w:rPr>
        <w:t>涉及房屋修缮费用135万元，中标单位在收到中标通知书后的五个工作日内支付</w:t>
      </w:r>
      <w:r>
        <w:rPr>
          <w:rFonts w:hint="eastAsia" w:ascii="宋体" w:hAnsi="宋体" w:cs="宋体"/>
          <w:b/>
          <w:bCs/>
          <w:color w:val="auto"/>
          <w:sz w:val="24"/>
          <w:szCs w:val="24"/>
          <w:highlight w:val="none"/>
          <w:u w:val="single"/>
          <w:lang w:val="en-US" w:eastAsia="zh-CN"/>
        </w:rPr>
        <w:t>给原修缮单位</w:t>
      </w:r>
      <w:r>
        <w:rPr>
          <w:rFonts w:hint="eastAsia" w:ascii="宋体" w:hAnsi="宋体" w:eastAsia="宋体" w:cs="宋体"/>
          <w:b/>
          <w:bCs/>
          <w:color w:val="auto"/>
          <w:sz w:val="24"/>
          <w:szCs w:val="24"/>
          <w:highlight w:val="none"/>
          <w:u w:val="single"/>
          <w:lang w:val="en-US" w:eastAsia="zh-CN"/>
        </w:rPr>
        <w:t>，</w:t>
      </w:r>
      <w:r>
        <w:rPr>
          <w:rFonts w:hint="eastAsia" w:ascii="宋体" w:hAnsi="宋体" w:cs="宋体"/>
          <w:b/>
          <w:bCs/>
          <w:color w:val="auto"/>
          <w:sz w:val="24"/>
          <w:szCs w:val="24"/>
          <w:highlight w:val="none"/>
          <w:u w:val="single"/>
          <w:lang w:val="en-US" w:eastAsia="zh-CN"/>
        </w:rPr>
        <w:t>中标后交易发起人提供账号。</w:t>
      </w:r>
      <w:r>
        <w:rPr>
          <w:rFonts w:hint="eastAsia" w:ascii="宋体" w:hAnsi="宋体" w:eastAsia="宋体" w:cs="宋体"/>
          <w:b/>
          <w:bCs/>
          <w:color w:val="auto"/>
          <w:sz w:val="24"/>
          <w:szCs w:val="24"/>
          <w:highlight w:val="none"/>
          <w:u w:val="single"/>
          <w:lang w:val="en-US" w:eastAsia="zh-CN"/>
        </w:rPr>
        <w:t>支付完成后方可与</w:t>
      </w:r>
      <w:r>
        <w:rPr>
          <w:rFonts w:hint="eastAsia" w:ascii="宋体" w:hAnsi="宋体" w:cs="宋体"/>
          <w:b/>
          <w:bCs/>
          <w:color w:val="auto"/>
          <w:sz w:val="24"/>
          <w:szCs w:val="24"/>
          <w:highlight w:val="none"/>
          <w:u w:val="single"/>
          <w:lang w:val="en-US" w:eastAsia="zh-CN"/>
        </w:rPr>
        <w:t>交易发起人</w:t>
      </w:r>
      <w:r>
        <w:rPr>
          <w:rFonts w:hint="eastAsia" w:ascii="宋体" w:hAnsi="宋体" w:eastAsia="宋体" w:cs="宋体"/>
          <w:b/>
          <w:bCs/>
          <w:color w:val="auto"/>
          <w:sz w:val="24"/>
          <w:szCs w:val="24"/>
          <w:highlight w:val="none"/>
          <w:u w:val="single"/>
          <w:lang w:val="en-US" w:eastAsia="zh-CN"/>
        </w:rPr>
        <w:t>签约，如未及时支付的视为放弃中标资格，</w:t>
      </w:r>
      <w:r>
        <w:rPr>
          <w:rFonts w:hint="eastAsia" w:ascii="宋体" w:hAnsi="宋体" w:cs="宋体"/>
          <w:b/>
          <w:bCs/>
          <w:color w:val="auto"/>
          <w:sz w:val="24"/>
          <w:szCs w:val="24"/>
          <w:highlight w:val="none"/>
          <w:u w:val="single"/>
          <w:lang w:val="en-US" w:eastAsia="zh-CN"/>
        </w:rPr>
        <w:t>交易发起人</w:t>
      </w:r>
      <w:r>
        <w:rPr>
          <w:rFonts w:hint="eastAsia" w:ascii="宋体" w:hAnsi="宋体" w:eastAsia="宋体" w:cs="宋体"/>
          <w:b/>
          <w:bCs/>
          <w:color w:val="auto"/>
          <w:sz w:val="24"/>
          <w:szCs w:val="24"/>
          <w:highlight w:val="none"/>
          <w:u w:val="single"/>
          <w:lang w:val="en-US" w:eastAsia="zh-CN"/>
        </w:rPr>
        <w:t>有权重新组织采购。</w:t>
      </w:r>
    </w:p>
    <w:p w14:paraId="0318B6F4">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运营</w:t>
      </w:r>
      <w:r>
        <w:rPr>
          <w:rFonts w:hint="eastAsia" w:ascii="宋体" w:hAnsi="宋体" w:eastAsia="宋体" w:cs="宋体"/>
          <w:b/>
          <w:bCs/>
          <w:color w:val="auto"/>
          <w:sz w:val="24"/>
          <w:szCs w:val="24"/>
          <w:highlight w:val="none"/>
          <w:lang w:val="en-US" w:eastAsia="zh-CN"/>
        </w:rPr>
        <w:t>期内要求</w:t>
      </w:r>
    </w:p>
    <w:p w14:paraId="205F65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期内，</w:t>
      </w:r>
      <w:r>
        <w:rPr>
          <w:rFonts w:hint="eastAsia" w:ascii="宋体" w:hAnsi="宋体" w:cs="宋体"/>
          <w:color w:val="auto"/>
          <w:sz w:val="24"/>
          <w:szCs w:val="24"/>
          <w:highlight w:val="none"/>
          <w:lang w:val="en-US" w:eastAsia="zh-CN"/>
        </w:rPr>
        <w:t>不得将本项目运营管理权以任何形式整体转包或转让给第三方，成交人运营项目期间，其与商户签订的所有书面协议，应经</w:t>
      </w:r>
      <w:r>
        <w:rPr>
          <w:rFonts w:hint="eastAsia" w:ascii="宋体" w:hAnsi="宋体" w:eastAsia="宋体" w:cs="宋体"/>
          <w:color w:val="auto"/>
          <w:sz w:val="24"/>
          <w:szCs w:val="24"/>
          <w:highlight w:val="none"/>
          <w:lang w:val="en-US" w:eastAsia="zh-CN"/>
        </w:rPr>
        <w:t>交易发起人</w:t>
      </w:r>
      <w:r>
        <w:rPr>
          <w:rFonts w:hint="eastAsia" w:ascii="宋体" w:hAnsi="宋体" w:cs="宋体"/>
          <w:color w:val="auto"/>
          <w:sz w:val="24"/>
          <w:szCs w:val="24"/>
          <w:highlight w:val="none"/>
          <w:lang w:val="en-US" w:eastAsia="zh-CN"/>
        </w:rPr>
        <w:t>同意并于签署之日起5个工作日内报</w:t>
      </w:r>
      <w:r>
        <w:rPr>
          <w:rFonts w:hint="eastAsia" w:ascii="宋体" w:hAnsi="宋体" w:eastAsia="宋体" w:cs="宋体"/>
          <w:color w:val="auto"/>
          <w:sz w:val="24"/>
          <w:szCs w:val="24"/>
          <w:highlight w:val="none"/>
          <w:lang w:val="en-US" w:eastAsia="zh-CN"/>
        </w:rPr>
        <w:t>交易发起人</w:t>
      </w:r>
      <w:r>
        <w:rPr>
          <w:rFonts w:hint="eastAsia" w:ascii="宋体" w:hAnsi="宋体" w:cs="宋体"/>
          <w:color w:val="auto"/>
          <w:sz w:val="24"/>
          <w:szCs w:val="24"/>
          <w:highlight w:val="none"/>
          <w:lang w:val="en-US" w:eastAsia="zh-CN"/>
        </w:rPr>
        <w:t>备案并存档。成交人项目运营</w:t>
      </w:r>
      <w:r>
        <w:rPr>
          <w:rFonts w:hint="eastAsia" w:ascii="宋体" w:hAnsi="宋体" w:eastAsia="宋体" w:cs="宋体"/>
          <w:color w:val="auto"/>
          <w:sz w:val="24"/>
          <w:szCs w:val="24"/>
          <w:highlight w:val="none"/>
          <w:lang w:val="en-US" w:eastAsia="zh-CN"/>
        </w:rPr>
        <w:t>不得涉及违法违规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不得从事危化品生产、加工、储存、经营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引入的产业要符合属地产业规划。</w:t>
      </w:r>
    </w:p>
    <w:p w14:paraId="173E4A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2、成交人自行负责开展</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内运营活动所需的各种审批、许可、登记、领证等所有手续（包括</w:t>
      </w:r>
      <w:r>
        <w:rPr>
          <w:rFonts w:hint="eastAsia" w:ascii="宋体" w:hAnsi="宋体" w:cs="宋体"/>
          <w:color w:val="auto"/>
          <w:sz w:val="24"/>
          <w:szCs w:val="24"/>
          <w:highlight w:val="none"/>
          <w:lang w:val="en-US" w:eastAsia="zh-CN"/>
        </w:rPr>
        <w:t>但不限于</w:t>
      </w:r>
      <w:r>
        <w:rPr>
          <w:rFonts w:hint="eastAsia" w:ascii="宋体" w:hAnsi="宋体" w:eastAsia="宋体" w:cs="宋体"/>
          <w:color w:val="auto"/>
          <w:sz w:val="24"/>
          <w:szCs w:val="24"/>
          <w:highlight w:val="none"/>
          <w:lang w:val="en-US" w:eastAsia="zh-CN"/>
        </w:rPr>
        <w:t>营业执照、消防、环保、安全等），交易发起人只在现有条件下提供有关资料及配合协助。成交人如遇有关问题未能妥善解决而造成的一切损失责任与交易发起人无关。</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期内因成交人</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不当造成资产损失的，成交人自负其责自行处理，与交易发起人无关。</w:t>
      </w:r>
    </w:p>
    <w:p w14:paraId="786433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3、成交人</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过程中工商注销或主体变更的，交易发起人有权终止合同，由此造成的经济损失由成交人承担。</w:t>
      </w:r>
    </w:p>
    <w:p w14:paraId="36AEBA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过程中，成交人应在规定的业态内进行有序</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，如因成交人原因而引起相关部门的处罚及警告，由成交人自行承担，对交易发起人造成损失的，由成交人承担相关责任。造成恶劣影响的，交易发起人有权解除合同。</w:t>
      </w:r>
    </w:p>
    <w:p w14:paraId="31F5F3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过程中，成交人应特别注意周边安全、环境、噪音，严格遵守市、区有关交通、环卫、安全、治安、防噪声等行业法规定的规定，如产生纠纷的相关处理费用，由成交人自行承担。造成恶劣影响的，交易发起人有权解除合同。</w:t>
      </w:r>
    </w:p>
    <w:p w14:paraId="100C4D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6、在</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过程中，成交人必须无条件做好</w:t>
      </w:r>
      <w:r>
        <w:rPr>
          <w:rFonts w:hint="eastAsia" w:ascii="宋体" w:hAnsi="宋体" w:cs="宋体"/>
          <w:color w:val="auto"/>
          <w:sz w:val="24"/>
          <w:szCs w:val="24"/>
          <w:highlight w:val="none"/>
          <w:lang w:val="en-US" w:eastAsia="zh-CN"/>
        </w:rPr>
        <w:t>房屋</w:t>
      </w:r>
      <w:r>
        <w:rPr>
          <w:rFonts w:hint="eastAsia" w:ascii="宋体" w:hAnsi="宋体" w:eastAsia="宋体" w:cs="宋体"/>
          <w:color w:val="auto"/>
          <w:sz w:val="24"/>
          <w:szCs w:val="24"/>
          <w:highlight w:val="none"/>
          <w:lang w:val="en-US" w:eastAsia="zh-CN"/>
        </w:rPr>
        <w:t>所在村、镇、区、市、行业部门及铁路等部门要求配合的相关环境整治工作，相关费用由成交人承担。</w:t>
      </w:r>
    </w:p>
    <w:p w14:paraId="6D1DCF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、成交人需充分考虑因政策性原因或其他不可抗力因素引起的项目实施停滞或延后的风险，如导致项目取消实施的，交易发起人不作任何补偿。</w:t>
      </w:r>
    </w:p>
    <w:p w14:paraId="6E560D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、为保证有效</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及合理使用，交易发起人有权不定期巡查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监管</w:t>
      </w:r>
      <w:r>
        <w:rPr>
          <w:rFonts w:hint="eastAsia" w:ascii="宋体" w:hAnsi="宋体" w:cs="宋体"/>
          <w:color w:val="auto"/>
          <w:sz w:val="24"/>
          <w:szCs w:val="24"/>
          <w:highlight w:val="none"/>
          <w:lang w:val="en-US" w:eastAsia="zh-CN"/>
        </w:rPr>
        <w:t>房屋</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运营</w:t>
      </w:r>
      <w:r>
        <w:rPr>
          <w:rFonts w:hint="eastAsia" w:ascii="宋体" w:hAnsi="宋体" w:eastAsia="宋体" w:cs="宋体"/>
          <w:color w:val="auto"/>
          <w:sz w:val="24"/>
          <w:szCs w:val="24"/>
          <w:highlight w:val="none"/>
          <w:lang w:val="en-US" w:eastAsia="zh-CN"/>
        </w:rPr>
        <w:t>情况，成交人必须无条件配合；若在检查中发现成交人存在问题并经调查认定情况属实，视情节轻重予以处罚；造成恶劣影响的，交易发起人有权解除合同。</w:t>
      </w:r>
    </w:p>
    <w:p w14:paraId="03B39B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宋体"/>
          <w:color w:val="auto"/>
          <w:sz w:val="24"/>
          <w:szCs w:val="24"/>
          <w:highlight w:val="none"/>
          <w:shd w:val="clear"/>
          <w:lang w:val="en-US" w:eastAsia="zh-CN"/>
        </w:rPr>
      </w:pPr>
      <w:r>
        <w:rPr>
          <w:rFonts w:hint="eastAsia" w:ascii="宋体" w:hAnsi="宋体" w:cs="宋体"/>
          <w:color w:val="auto"/>
          <w:sz w:val="24"/>
          <w:szCs w:val="24"/>
          <w:highlight w:val="none"/>
          <w:shd w:val="clear"/>
          <w:lang w:val="en-US" w:eastAsia="zh-CN"/>
        </w:rPr>
        <w:t>9、在合同期内如发生安全责任事故，一切责任均由成交人负责。</w:t>
      </w:r>
    </w:p>
    <w:p w14:paraId="5E2BDE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、其他未尽事项，详见合同条款。</w:t>
      </w:r>
    </w:p>
    <w:p w14:paraId="64954CBD">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支付方式</w:t>
      </w:r>
    </w:p>
    <w:p w14:paraId="478C442A">
      <w:pPr>
        <w:keepNext w:val="0"/>
        <w:keepLines w:val="0"/>
        <w:pageBreakBefore w:val="0"/>
        <w:widowControl w:val="0"/>
        <w:kinsoku/>
        <w:wordWrap/>
        <w:overflowPunct/>
        <w:topLinePunct w:val="0"/>
        <w:autoSpaceDE/>
        <w:autoSpaceDN/>
        <w:bidi w:val="0"/>
        <w:adjustRightInd w:val="0"/>
        <w:snapToGrid/>
        <w:spacing w:before="0" w:line="360" w:lineRule="auto"/>
        <w:ind w:right="0"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1、本项目</w:t>
      </w:r>
      <w:r>
        <w:rPr>
          <w:rFonts w:hint="eastAsia" w:ascii="宋体" w:hAnsi="宋体" w:cs="宋体"/>
          <w:color w:val="auto"/>
          <w:sz w:val="24"/>
          <w:szCs w:val="24"/>
          <w:highlight w:val="none"/>
          <w:lang w:val="en-US" w:eastAsia="zh-CN"/>
        </w:rPr>
        <w:t>运营期限</w:t>
      </w:r>
      <w:r>
        <w:rPr>
          <w:rFonts w:hint="eastAsia" w:ascii="宋体" w:hAnsi="宋体" w:eastAsia="宋体" w:cs="宋体"/>
          <w:color w:val="auto"/>
          <w:sz w:val="24"/>
          <w:szCs w:val="24"/>
          <w:highlight w:val="none"/>
          <w:lang w:val="en-US" w:eastAsia="zh-CN"/>
        </w:rPr>
        <w:t>5年，</w:t>
      </w:r>
      <w:r>
        <w:rPr>
          <w:rFonts w:hint="eastAsia" w:ascii="宋体" w:hAnsi="宋体" w:cs="宋体"/>
          <w:color w:val="auto"/>
          <w:sz w:val="24"/>
          <w:szCs w:val="24"/>
          <w:highlight w:val="none"/>
          <w:lang w:val="en-US" w:eastAsia="zh-CN"/>
        </w:rPr>
        <w:t>试运营期</w:t>
      </w:r>
      <w:r>
        <w:rPr>
          <w:rFonts w:hint="eastAsia" w:ascii="宋体" w:hAnsi="宋体" w:eastAsia="宋体" w:cs="宋体"/>
          <w:color w:val="auto"/>
          <w:sz w:val="24"/>
          <w:szCs w:val="24"/>
          <w:highlight w:val="none"/>
          <w:lang w:val="en-US" w:eastAsia="zh-CN"/>
        </w:rPr>
        <w:t>一年</w:t>
      </w:r>
      <w:r>
        <w:rPr>
          <w:rFonts w:hint="eastAsia" w:ascii="宋体" w:hAnsi="宋体" w:cs="宋体"/>
          <w:color w:val="auto"/>
          <w:sz w:val="24"/>
          <w:szCs w:val="24"/>
          <w:highlight w:val="none"/>
          <w:lang w:val="en-US" w:eastAsia="zh-CN"/>
        </w:rPr>
        <w:t>，管理费每两年递增 3%。</w:t>
      </w:r>
      <w:r>
        <w:rPr>
          <w:rFonts w:hint="eastAsia" w:ascii="宋体" w:hAnsi="宋体" w:cs="宋体"/>
          <w:color w:val="auto"/>
          <w:spacing w:val="0"/>
          <w:sz w:val="24"/>
          <w:szCs w:val="24"/>
          <w:highlight w:val="none"/>
          <w:lang w:val="en-US" w:eastAsia="zh-CN"/>
        </w:rPr>
        <w:t>前两年管理费</w:t>
      </w:r>
      <w:r>
        <w:rPr>
          <w:rFonts w:hint="eastAsia" w:ascii="宋体" w:hAnsi="宋体" w:eastAsia="宋体" w:cs="宋体"/>
          <w:color w:val="auto"/>
          <w:spacing w:val="0"/>
          <w:sz w:val="24"/>
          <w:szCs w:val="24"/>
          <w:highlight w:val="none"/>
          <w:lang w:eastAsia="zh-CN"/>
        </w:rPr>
        <w:t>于本合同签订时一次性付清，</w:t>
      </w:r>
      <w:r>
        <w:rPr>
          <w:rFonts w:hint="eastAsia" w:ascii="宋体" w:hAnsi="宋体" w:eastAsia="宋体" w:cs="宋体"/>
          <w:color w:val="auto"/>
          <w:spacing w:val="0"/>
          <w:sz w:val="24"/>
          <w:szCs w:val="24"/>
          <w:highlight w:val="none"/>
          <w:lang w:val="en-US" w:eastAsia="zh-CN"/>
        </w:rPr>
        <w:t>之后</w:t>
      </w:r>
      <w:r>
        <w:rPr>
          <w:rFonts w:hint="eastAsia" w:ascii="宋体" w:hAnsi="宋体" w:cs="宋体"/>
          <w:color w:val="auto"/>
          <w:spacing w:val="0"/>
          <w:sz w:val="24"/>
          <w:szCs w:val="24"/>
          <w:highlight w:val="none"/>
          <w:lang w:val="en-US" w:eastAsia="zh-CN"/>
        </w:rPr>
        <w:t>管理费</w:t>
      </w:r>
      <w:r>
        <w:rPr>
          <w:rFonts w:hint="eastAsia" w:ascii="宋体" w:hAnsi="宋体" w:eastAsia="宋体" w:cs="宋体"/>
          <w:color w:val="auto"/>
          <w:spacing w:val="0"/>
          <w:sz w:val="24"/>
          <w:szCs w:val="24"/>
          <w:highlight w:val="none"/>
          <w:lang w:val="en-US" w:eastAsia="zh-CN"/>
        </w:rPr>
        <w:t>一年一付，</w:t>
      </w:r>
      <w:r>
        <w:rPr>
          <w:rFonts w:hint="eastAsia" w:ascii="宋体" w:hAnsi="宋体" w:eastAsia="宋体" w:cs="宋体"/>
          <w:color w:val="auto"/>
          <w:spacing w:val="0"/>
          <w:sz w:val="24"/>
          <w:szCs w:val="24"/>
          <w:highlight w:val="none"/>
          <w:lang w:eastAsia="zh-CN"/>
        </w:rPr>
        <w:t>先付后用</w:t>
      </w:r>
      <w:r>
        <w:rPr>
          <w:rFonts w:hint="eastAsia" w:ascii="宋体" w:hAnsi="宋体" w:cs="宋体"/>
          <w:color w:val="auto"/>
          <w:sz w:val="24"/>
          <w:szCs w:val="24"/>
          <w:highlight w:val="none"/>
          <w:lang w:val="en-US" w:eastAsia="zh-CN"/>
        </w:rPr>
        <w:t>。考虑到改造及招商因素，试运营期免收管理费。</w:t>
      </w:r>
    </w:p>
    <w:p w14:paraId="0A4C28C2">
      <w:pPr>
        <w:keepNext w:val="0"/>
        <w:keepLines w:val="0"/>
        <w:adjustRightInd w:val="0"/>
        <w:spacing w:line="360" w:lineRule="auto"/>
        <w:ind w:firstLine="480" w:firstLineChars="200"/>
        <w:jc w:val="both"/>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49D72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14:paraId="5206A1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14:paraId="58431C34">
      <w:pPr>
        <w:jc w:val="center"/>
        <w:rPr>
          <w:rFonts w:hint="eastAsia" w:ascii="仿宋" w:hAnsi="仿宋" w:eastAsia="仿宋" w:cs="仿宋"/>
          <w:color w:val="auto"/>
          <w:highlight w:val="none"/>
        </w:rPr>
      </w:pPr>
      <w:r>
        <w:rPr>
          <w:rFonts w:hint="eastAsia" w:ascii="宋体" w:hAnsi="宋体" w:eastAsia="宋体" w:cs="宋体"/>
          <w:b/>
          <w:color w:val="auto"/>
          <w:sz w:val="36"/>
          <w:szCs w:val="36"/>
          <w:highlight w:val="none"/>
        </w:rPr>
        <w:br w:type="page"/>
      </w:r>
      <w:r>
        <w:rPr>
          <w:rFonts w:hint="eastAsia" w:ascii="仿宋" w:hAnsi="仿宋" w:eastAsia="仿宋" w:cs="仿宋"/>
          <w:b/>
          <w:color w:val="auto"/>
          <w:sz w:val="36"/>
          <w:szCs w:val="36"/>
          <w:highlight w:val="none"/>
        </w:rPr>
        <w:t>第四部分   评审办法</w:t>
      </w:r>
    </w:p>
    <w:p w14:paraId="0B09410E">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2149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5EF7392D">
            <w:pPr>
              <w:keepNext w:val="0"/>
              <w:keepLines w:val="0"/>
              <w:suppressLineNumbers w:val="0"/>
              <w:autoSpaceDE w:val="0"/>
              <w:autoSpaceDN w:val="0"/>
              <w:spacing w:before="0" w:beforeAutospacing="0" w:after="0" w:afterAutospacing="0" w:line="360" w:lineRule="auto"/>
              <w:ind w:left="0" w:right="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w:t>
            </w:r>
            <w:r>
              <w:rPr>
                <w:rFonts w:hint="eastAsia" w:ascii="仿宋" w:hAnsi="仿宋" w:eastAsia="仿宋" w:cs="仿宋"/>
                <w:b/>
                <w:color w:val="auto"/>
                <w:sz w:val="24"/>
                <w:highlight w:val="none"/>
                <w:lang w:eastAsia="zh-CN"/>
              </w:rPr>
              <w:t>综合评分法</w:t>
            </w:r>
            <w:r>
              <w:rPr>
                <w:rFonts w:hint="eastAsia" w:ascii="仿宋" w:hAnsi="仿宋" w:eastAsia="仿宋" w:cs="仿宋"/>
                <w:color w:val="auto"/>
                <w:sz w:val="24"/>
                <w:highlight w:val="none"/>
              </w:rPr>
              <w:t>：</w:t>
            </w:r>
          </w:p>
          <w:p w14:paraId="774274BB">
            <w:pPr>
              <w:keepNext w:val="0"/>
              <w:keepLines w:val="0"/>
              <w:suppressLineNumbers w:val="0"/>
              <w:autoSpaceDE w:val="0"/>
              <w:autoSpaceDN w:val="0"/>
              <w:spacing w:before="0" w:beforeAutospacing="0" w:after="0" w:afterAutospacing="0" w:line="360" w:lineRule="auto"/>
              <w:ind w:left="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评标委员会将对各供应商的投标报价、供应商提供的资信与商务部分、技术部分等方面进行综合评审，评标委员会各成员应当独立对每个有效供应商的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进行评价，按</w:t>
            </w:r>
            <w:r>
              <w:rPr>
                <w:rFonts w:hint="eastAsia" w:ascii="仿宋" w:hAnsi="仿宋" w:eastAsia="仿宋" w:cs="仿宋"/>
                <w:color w:val="auto"/>
                <w:sz w:val="24"/>
                <w:highlight w:val="none"/>
                <w:lang w:val="en-US" w:eastAsia="zh-CN"/>
              </w:rPr>
              <w:t>综合得分</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val="en-US" w:eastAsia="zh-CN"/>
              </w:rPr>
              <w:t>高</w:t>
            </w:r>
            <w:r>
              <w:rPr>
                <w:rFonts w:hint="eastAsia" w:ascii="仿宋" w:hAnsi="仿宋" w:eastAsia="仿宋" w:cs="仿宋"/>
                <w:color w:val="auto"/>
                <w:sz w:val="24"/>
                <w:highlight w:val="none"/>
              </w:rPr>
              <w:t>到</w:t>
            </w:r>
            <w:r>
              <w:rPr>
                <w:rFonts w:hint="eastAsia" w:ascii="仿宋" w:hAnsi="仿宋" w:eastAsia="仿宋" w:cs="仿宋"/>
                <w:color w:val="auto"/>
                <w:sz w:val="24"/>
                <w:highlight w:val="none"/>
                <w:lang w:val="en-US" w:eastAsia="zh-CN"/>
              </w:rPr>
              <w:t>低</w:t>
            </w:r>
            <w:r>
              <w:rPr>
                <w:rFonts w:hint="eastAsia" w:ascii="仿宋" w:hAnsi="仿宋" w:eastAsia="仿宋" w:cs="仿宋"/>
                <w:color w:val="auto"/>
                <w:sz w:val="24"/>
                <w:highlight w:val="none"/>
              </w:rPr>
              <w:t>顺序排列，并形成评标意见。</w:t>
            </w:r>
          </w:p>
          <w:p w14:paraId="5EE6FC93">
            <w:pPr>
              <w:keepNext w:val="0"/>
              <w:keepLines w:val="0"/>
              <w:suppressLineNumbers w:val="0"/>
              <w:autoSpaceDE w:val="0"/>
              <w:autoSpaceDN w:val="0"/>
              <w:spacing w:before="0" w:beforeAutospacing="0" w:after="0" w:afterAutospacing="0" w:line="360" w:lineRule="auto"/>
              <w:ind w:left="0" w:right="0" w:firstLine="482" w:firstLineChars="200"/>
              <w:rPr>
                <w:rFonts w:hint="eastAsia" w:ascii="仿宋" w:hAnsi="仿宋" w:eastAsia="仿宋" w:cs="仿宋"/>
                <w:b/>
                <w:color w:val="auto"/>
                <w:sz w:val="24"/>
                <w:highlight w:val="none"/>
              </w:rPr>
            </w:pPr>
          </w:p>
        </w:tc>
      </w:tr>
    </w:tbl>
    <w:p w14:paraId="2CABBB8C">
      <w:pPr>
        <w:widowControl/>
        <w:adjustRightInd/>
        <w:jc w:val="left"/>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7E4ACD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w:t>
      </w:r>
      <w:r>
        <w:rPr>
          <w:rFonts w:hint="eastAsia" w:ascii="仿宋" w:hAnsi="仿宋" w:eastAsia="仿宋" w:cs="仿宋"/>
          <w:b/>
          <w:color w:val="auto"/>
          <w:kern w:val="0"/>
          <w:sz w:val="24"/>
          <w:highlight w:val="none"/>
          <w:lang w:eastAsia="zh-CN"/>
        </w:rPr>
        <w:t>综合评分法</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lang w:eastAsia="zh-CN"/>
        </w:rPr>
        <w:t>综合评分法</w:t>
      </w:r>
      <w:r>
        <w:rPr>
          <w:rFonts w:hint="eastAsia" w:ascii="仿宋" w:hAnsi="仿宋" w:eastAsia="仿宋" w:cs="仿宋"/>
          <w:color w:val="auto"/>
          <w:kern w:val="0"/>
          <w:sz w:val="24"/>
          <w:highlight w:val="none"/>
        </w:rPr>
        <w:t>，指以</w:t>
      </w:r>
      <w:r>
        <w:rPr>
          <w:rFonts w:hint="eastAsia" w:ascii="仿宋" w:hAnsi="仿宋" w:eastAsia="仿宋" w:cs="仿宋"/>
          <w:color w:val="auto"/>
          <w:kern w:val="0"/>
          <w:sz w:val="24"/>
          <w:highlight w:val="none"/>
          <w:lang w:val="en-US" w:eastAsia="zh-CN"/>
        </w:rPr>
        <w:t>价格、资信、技术等</w:t>
      </w:r>
      <w:r>
        <w:rPr>
          <w:rFonts w:hint="eastAsia" w:ascii="仿宋" w:hAnsi="仿宋" w:eastAsia="仿宋" w:cs="仿宋"/>
          <w:color w:val="auto"/>
          <w:kern w:val="0"/>
          <w:sz w:val="24"/>
          <w:highlight w:val="none"/>
        </w:rPr>
        <w:t>因素确定中标候选人的评标方法，即</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满足招标文件全部实质性要求且</w:t>
      </w:r>
      <w:r>
        <w:rPr>
          <w:rFonts w:hint="eastAsia" w:ascii="仿宋" w:hAnsi="仿宋" w:eastAsia="仿宋" w:cs="仿宋"/>
          <w:color w:val="auto"/>
          <w:kern w:val="0"/>
          <w:sz w:val="24"/>
          <w:highlight w:val="none"/>
          <w:lang w:val="en-US" w:eastAsia="zh-CN"/>
        </w:rPr>
        <w:t>评分最高</w:t>
      </w:r>
      <w:r>
        <w:rPr>
          <w:rFonts w:hint="eastAsia" w:ascii="仿宋" w:hAnsi="仿宋" w:eastAsia="仿宋" w:cs="仿宋"/>
          <w:color w:val="auto"/>
          <w:kern w:val="0"/>
          <w:sz w:val="24"/>
          <w:highlight w:val="none"/>
        </w:rPr>
        <w:t>的供应商为中标候选人的评标方法。</w:t>
      </w:r>
    </w:p>
    <w:p w14:paraId="30ECB26E">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FA6271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4520B81">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4B127D82">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评标委员会应当对符合资格的供应商的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进行符合性审查，以确定其是否满足交易文件的实质性要求。不满足交易文件的实质性要求的，投标无效。</w:t>
      </w:r>
    </w:p>
    <w:p w14:paraId="43FDDA8A">
      <w:pPr>
        <w:adjustRightInd/>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1、商务技术评分表（</w:t>
      </w:r>
      <w:r>
        <w:rPr>
          <w:rFonts w:hint="eastAsia" w:cs="仿宋" w:asciiTheme="minorEastAsia" w:hAnsiTheme="minorEastAsia" w:eastAsiaTheme="minorEastAsia"/>
          <w:b/>
          <w:bCs/>
          <w:color w:val="auto"/>
          <w:sz w:val="24"/>
          <w:highlight w:val="none"/>
          <w:lang w:val="en-US" w:eastAsia="zh-CN"/>
        </w:rPr>
        <w:t>70</w:t>
      </w:r>
      <w:r>
        <w:rPr>
          <w:rFonts w:hint="eastAsia" w:cs="仿宋" w:asciiTheme="minorEastAsia" w:hAnsiTheme="minorEastAsia" w:eastAsiaTheme="minorEastAsia"/>
          <w:b/>
          <w:bCs/>
          <w:color w:val="auto"/>
          <w:sz w:val="24"/>
          <w:highlight w:val="none"/>
        </w:rPr>
        <w:t>分）</w:t>
      </w:r>
    </w:p>
    <w:tbl>
      <w:tblPr>
        <w:tblStyle w:val="64"/>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787"/>
        <w:gridCol w:w="5679"/>
        <w:gridCol w:w="850"/>
        <w:gridCol w:w="1084"/>
      </w:tblGrid>
      <w:tr w14:paraId="3067A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859" w:type="dxa"/>
            <w:tcBorders>
              <w:top w:val="single" w:color="000000" w:sz="4" w:space="0"/>
              <w:left w:val="single" w:color="000000" w:sz="4" w:space="0"/>
              <w:bottom w:val="single" w:color="000000" w:sz="4" w:space="0"/>
              <w:right w:val="single" w:color="auto" w:sz="4" w:space="0"/>
            </w:tcBorders>
            <w:vAlign w:val="center"/>
          </w:tcPr>
          <w:p w14:paraId="5BC82689">
            <w:pPr>
              <w:pStyle w:val="59"/>
              <w:widowControl w:val="0"/>
              <w:adjustRightInd/>
              <w:spacing w:before="0" w:beforeAutospacing="0" w:after="0" w:afterAutospacing="0" w:line="400" w:lineRule="exact"/>
              <w:jc w:val="center"/>
              <w:rPr>
                <w:rFonts w:cs="仿宋" w:asciiTheme="minorEastAsia" w:hAnsiTheme="minorEastAsia" w:eastAsiaTheme="minorEastAsia"/>
                <w:b/>
                <w:color w:val="auto"/>
                <w:highlight w:val="none"/>
              </w:rPr>
            </w:pPr>
            <w:bookmarkStart w:id="16" w:name="scoringRules2"/>
            <w:r>
              <w:rPr>
                <w:rFonts w:hint="eastAsia" w:cs="仿宋" w:asciiTheme="minorEastAsia" w:hAnsiTheme="minorEastAsia" w:eastAsiaTheme="minorEastAsia"/>
                <w:b/>
                <w:color w:val="auto"/>
                <w:highlight w:val="none"/>
              </w:rPr>
              <w:t>项目</w:t>
            </w:r>
          </w:p>
        </w:tc>
        <w:tc>
          <w:tcPr>
            <w:tcW w:w="787" w:type="dxa"/>
            <w:tcBorders>
              <w:top w:val="single" w:color="000000" w:sz="4" w:space="0"/>
              <w:left w:val="single" w:color="auto" w:sz="4" w:space="0"/>
              <w:bottom w:val="single" w:color="000000" w:sz="4" w:space="0"/>
              <w:right w:val="single" w:color="000000" w:sz="4" w:space="0"/>
            </w:tcBorders>
            <w:vAlign w:val="center"/>
          </w:tcPr>
          <w:p w14:paraId="6DCB9759">
            <w:pPr>
              <w:pStyle w:val="59"/>
              <w:widowControl w:val="0"/>
              <w:adjustRightInd/>
              <w:spacing w:before="0" w:beforeAutospacing="0" w:after="0" w:afterAutospacing="0" w:line="400" w:lineRule="exact"/>
              <w:jc w:val="center"/>
              <w:rPr>
                <w:rFonts w:cs="仿宋" w:asciiTheme="minorEastAsia" w:hAnsiTheme="minorEastAsia" w:eastAsiaTheme="minorEastAsia"/>
                <w:b/>
                <w:color w:val="auto"/>
                <w:highlight w:val="none"/>
              </w:rPr>
            </w:pPr>
            <w:r>
              <w:rPr>
                <w:rFonts w:hint="eastAsia" w:cs="仿宋" w:asciiTheme="minorEastAsia" w:hAnsiTheme="minorEastAsia" w:eastAsiaTheme="minorEastAsia"/>
                <w:b/>
                <w:color w:val="auto"/>
                <w:highlight w:val="none"/>
              </w:rPr>
              <w:t>序号</w:t>
            </w:r>
          </w:p>
        </w:tc>
        <w:tc>
          <w:tcPr>
            <w:tcW w:w="5679" w:type="dxa"/>
            <w:tcBorders>
              <w:top w:val="single" w:color="000000" w:sz="4" w:space="0"/>
              <w:left w:val="single" w:color="000000" w:sz="4" w:space="0"/>
              <w:bottom w:val="single" w:color="000000" w:sz="4" w:space="0"/>
              <w:right w:val="single" w:color="000000" w:sz="4" w:space="0"/>
            </w:tcBorders>
            <w:vAlign w:val="center"/>
          </w:tcPr>
          <w:p w14:paraId="0B20A0D0">
            <w:pPr>
              <w:pStyle w:val="59"/>
              <w:widowControl w:val="0"/>
              <w:adjustRightInd/>
              <w:spacing w:before="0" w:beforeAutospacing="0" w:after="0" w:afterAutospacing="0" w:line="400" w:lineRule="exact"/>
              <w:jc w:val="center"/>
              <w:rPr>
                <w:rFonts w:cs="仿宋" w:asciiTheme="minorEastAsia" w:hAnsiTheme="minorEastAsia" w:eastAsiaTheme="minorEastAsia"/>
                <w:b/>
                <w:color w:val="auto"/>
                <w:highlight w:val="none"/>
              </w:rPr>
            </w:pPr>
            <w:r>
              <w:rPr>
                <w:rFonts w:hint="eastAsia" w:cs="仿宋" w:asciiTheme="minorEastAsia" w:hAnsiTheme="minorEastAsia" w:eastAsiaTheme="minorEastAsia"/>
                <w:b/>
                <w:color w:val="auto"/>
                <w:highlight w:val="none"/>
              </w:rPr>
              <w:t>评分细则内容</w:t>
            </w:r>
          </w:p>
        </w:tc>
        <w:tc>
          <w:tcPr>
            <w:tcW w:w="850" w:type="dxa"/>
            <w:tcBorders>
              <w:top w:val="single" w:color="000000" w:sz="4" w:space="0"/>
              <w:left w:val="single" w:color="000000" w:sz="4" w:space="0"/>
              <w:bottom w:val="single" w:color="000000" w:sz="4" w:space="0"/>
              <w:right w:val="single" w:color="000000" w:sz="4" w:space="0"/>
            </w:tcBorders>
            <w:vAlign w:val="center"/>
          </w:tcPr>
          <w:p w14:paraId="45BC3408">
            <w:pPr>
              <w:pStyle w:val="59"/>
              <w:widowControl w:val="0"/>
              <w:adjustRightInd/>
              <w:spacing w:before="0" w:beforeAutospacing="0" w:after="0" w:afterAutospacing="0" w:line="400" w:lineRule="exact"/>
              <w:jc w:val="center"/>
              <w:rPr>
                <w:rFonts w:cs="仿宋" w:asciiTheme="minorEastAsia" w:hAnsiTheme="minorEastAsia" w:eastAsiaTheme="minorEastAsia"/>
                <w:b/>
                <w:color w:val="auto"/>
                <w:highlight w:val="none"/>
              </w:rPr>
            </w:pPr>
            <w:r>
              <w:rPr>
                <w:rFonts w:hint="eastAsia" w:cs="仿宋" w:asciiTheme="minorEastAsia" w:hAnsiTheme="minorEastAsia" w:eastAsiaTheme="minorEastAsia"/>
                <w:b/>
                <w:color w:val="auto"/>
                <w:highlight w:val="none"/>
              </w:rPr>
              <w:t>权重</w:t>
            </w:r>
          </w:p>
        </w:tc>
        <w:tc>
          <w:tcPr>
            <w:tcW w:w="1084" w:type="dxa"/>
            <w:tcBorders>
              <w:top w:val="single" w:color="000000" w:sz="4" w:space="0"/>
              <w:left w:val="single" w:color="000000" w:sz="4" w:space="0"/>
              <w:bottom w:val="single" w:color="000000" w:sz="4" w:space="0"/>
              <w:right w:val="single" w:color="000000" w:sz="4" w:space="0"/>
            </w:tcBorders>
            <w:vAlign w:val="center"/>
          </w:tcPr>
          <w:p w14:paraId="528DF940">
            <w:pPr>
              <w:pStyle w:val="59"/>
              <w:widowControl w:val="0"/>
              <w:adjustRightInd/>
              <w:spacing w:before="0" w:beforeAutospacing="0" w:after="0" w:afterAutospacing="0" w:line="400" w:lineRule="exact"/>
              <w:jc w:val="center"/>
              <w:rPr>
                <w:rFonts w:cs="仿宋" w:asciiTheme="minorEastAsia" w:hAnsiTheme="minorEastAsia" w:eastAsiaTheme="minorEastAsia"/>
                <w:b/>
                <w:bCs/>
                <w:color w:val="auto"/>
                <w:highlight w:val="none"/>
              </w:rPr>
            </w:pPr>
            <w:r>
              <w:rPr>
                <w:rFonts w:hint="eastAsia" w:cs="仿宋" w:asciiTheme="minorEastAsia" w:hAnsiTheme="minorEastAsia" w:eastAsiaTheme="minorEastAsia"/>
                <w:b/>
                <w:bCs/>
                <w:color w:val="auto"/>
                <w:highlight w:val="none"/>
              </w:rPr>
              <w:t>主观</w:t>
            </w:r>
          </w:p>
          <w:p w14:paraId="33BB158B">
            <w:pPr>
              <w:pStyle w:val="59"/>
              <w:widowControl w:val="0"/>
              <w:adjustRightInd/>
              <w:spacing w:before="0" w:beforeAutospacing="0" w:after="0" w:afterAutospacing="0" w:line="400" w:lineRule="exact"/>
              <w:jc w:val="center"/>
              <w:rPr>
                <w:rFonts w:cs="仿宋" w:asciiTheme="minorEastAsia" w:hAnsiTheme="minorEastAsia" w:eastAsiaTheme="minorEastAsia"/>
                <w:b/>
                <w:color w:val="auto"/>
                <w:highlight w:val="none"/>
              </w:rPr>
            </w:pPr>
            <w:r>
              <w:rPr>
                <w:rFonts w:hint="eastAsia" w:cs="仿宋" w:asciiTheme="minorEastAsia" w:hAnsiTheme="minorEastAsia" w:eastAsiaTheme="minorEastAsia"/>
                <w:b/>
                <w:bCs/>
                <w:color w:val="auto"/>
                <w:highlight w:val="none"/>
              </w:rPr>
              <w:t>客观分</w:t>
            </w:r>
          </w:p>
        </w:tc>
      </w:tr>
      <w:tr w14:paraId="07F66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jc w:val="center"/>
        </w:trPr>
        <w:tc>
          <w:tcPr>
            <w:tcW w:w="859" w:type="dxa"/>
            <w:vMerge w:val="restart"/>
            <w:tcBorders>
              <w:top w:val="single" w:color="000000" w:sz="4" w:space="0"/>
              <w:left w:val="single" w:color="000000" w:sz="4" w:space="0"/>
              <w:right w:val="single" w:color="auto" w:sz="4" w:space="0"/>
            </w:tcBorders>
            <w:vAlign w:val="center"/>
          </w:tcPr>
          <w:p w14:paraId="15B3B76A">
            <w:pPr>
              <w:pStyle w:val="59"/>
              <w:widowControl w:val="0"/>
              <w:adjustRightInd/>
              <w:spacing w:before="0" w:beforeAutospacing="0" w:after="0" w:afterAutospacing="0" w:line="400" w:lineRule="exact"/>
              <w:jc w:val="center"/>
              <w:rPr>
                <w:rFonts w:cs="仿宋" w:asciiTheme="minorEastAsia" w:hAnsiTheme="minorEastAsia" w:eastAsiaTheme="minorEastAsia"/>
                <w:b/>
                <w:color w:val="auto"/>
                <w:highlight w:val="none"/>
              </w:rPr>
            </w:pPr>
            <w:r>
              <w:rPr>
                <w:rFonts w:hint="eastAsia" w:cstheme="minorBidi"/>
                <w:color w:val="auto"/>
                <w:highlight w:val="none"/>
              </w:rPr>
              <w:t>商务资信</w:t>
            </w:r>
            <w:r>
              <w:rPr>
                <w:rFonts w:hint="eastAsia" w:cstheme="minorBidi"/>
                <w:color w:val="auto"/>
                <w:highlight w:val="none"/>
                <w:lang w:val="en-US" w:eastAsia="zh-CN"/>
              </w:rPr>
              <w:t>20</w:t>
            </w:r>
            <w:r>
              <w:rPr>
                <w:rFonts w:hint="eastAsia" w:cstheme="minorBidi"/>
                <w:color w:val="auto"/>
                <w:highlight w:val="none"/>
              </w:rPr>
              <w:t>分</w:t>
            </w:r>
          </w:p>
        </w:tc>
        <w:tc>
          <w:tcPr>
            <w:tcW w:w="787" w:type="dxa"/>
            <w:tcBorders>
              <w:top w:val="single" w:color="000000" w:sz="4" w:space="0"/>
              <w:left w:val="single" w:color="auto" w:sz="4" w:space="0"/>
              <w:bottom w:val="single" w:color="000000" w:sz="4" w:space="0"/>
              <w:right w:val="single" w:color="000000" w:sz="4" w:space="0"/>
            </w:tcBorders>
            <w:vAlign w:val="center"/>
          </w:tcPr>
          <w:p w14:paraId="1CB20AC6">
            <w:pPr>
              <w:pStyle w:val="59"/>
              <w:widowControl w:val="0"/>
              <w:adjustRightInd/>
              <w:spacing w:before="0" w:beforeAutospacing="0" w:after="0" w:afterAutospacing="0" w:line="400" w:lineRule="exact"/>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1</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7CC">
            <w:pPr>
              <w:widowControl/>
              <w:spacing w:line="400" w:lineRule="exact"/>
              <w:jc w:val="left"/>
              <w:rPr>
                <w:rFonts w:hint="eastAsia" w:cs="仿宋" w:asciiTheme="minorEastAsia" w:hAnsiTheme="minorEastAsia" w:eastAsiaTheme="minorEastAsia"/>
                <w:color w:val="auto"/>
                <w:kern w:val="0"/>
                <w:sz w:val="24"/>
                <w:highlight w:val="none"/>
                <w:lang w:bidi="ar"/>
              </w:rPr>
            </w:pPr>
            <w:r>
              <w:rPr>
                <w:rFonts w:hint="eastAsia" w:cs="仿宋" w:asciiTheme="minorEastAsia" w:hAnsiTheme="minorEastAsia" w:eastAsiaTheme="minorEastAsia"/>
                <w:color w:val="auto"/>
                <w:kern w:val="0"/>
                <w:sz w:val="24"/>
                <w:szCs w:val="24"/>
                <w:highlight w:val="none"/>
                <w:lang w:bidi="ar"/>
              </w:rPr>
              <w:t>投标人获得ISO质量体系认证、职业健康安全管理体系认证、环境管理体系认证且在有效期内的每个得</w:t>
            </w:r>
            <w:r>
              <w:rPr>
                <w:rFonts w:hint="eastAsia" w:cs="仿宋" w:asciiTheme="minorEastAsia" w:hAnsiTheme="minorEastAsia" w:eastAsiaTheme="minorEastAsia"/>
                <w:color w:val="auto"/>
                <w:kern w:val="0"/>
                <w:sz w:val="24"/>
                <w:szCs w:val="24"/>
                <w:highlight w:val="none"/>
                <w:lang w:val="en-US" w:eastAsia="zh-CN" w:bidi="ar"/>
              </w:rPr>
              <w:t>2</w:t>
            </w:r>
            <w:r>
              <w:rPr>
                <w:rFonts w:hint="eastAsia" w:cs="仿宋" w:asciiTheme="minorEastAsia" w:hAnsiTheme="minorEastAsia" w:eastAsiaTheme="minorEastAsia"/>
                <w:color w:val="auto"/>
                <w:kern w:val="0"/>
                <w:sz w:val="24"/>
                <w:szCs w:val="24"/>
                <w:highlight w:val="none"/>
                <w:lang w:bidi="ar"/>
              </w:rPr>
              <w:t>分；最高得</w:t>
            </w:r>
            <w:r>
              <w:rPr>
                <w:rFonts w:hint="eastAsia" w:cs="仿宋" w:asciiTheme="minorEastAsia" w:hAnsiTheme="minorEastAsia" w:eastAsiaTheme="minorEastAsia"/>
                <w:color w:val="auto"/>
                <w:kern w:val="0"/>
                <w:sz w:val="24"/>
                <w:szCs w:val="24"/>
                <w:highlight w:val="none"/>
                <w:lang w:val="en-US" w:eastAsia="zh-CN" w:bidi="ar"/>
              </w:rPr>
              <w:t>6</w:t>
            </w:r>
            <w:r>
              <w:rPr>
                <w:rFonts w:hint="eastAsia" w:cs="仿宋" w:asciiTheme="minorEastAsia" w:hAnsiTheme="minorEastAsia" w:eastAsiaTheme="minorEastAsia"/>
                <w:color w:val="auto"/>
                <w:kern w:val="0"/>
                <w:sz w:val="24"/>
                <w:szCs w:val="24"/>
                <w:highlight w:val="none"/>
                <w:lang w:bidi="ar"/>
              </w:rPr>
              <w:t>分。【证明材料：认证证书复印件和在国家认监委网站（www.cnca.gov.cn）查询截图加盖公章】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2C2B">
            <w:pPr>
              <w:widowControl/>
              <w:spacing w:line="400" w:lineRule="exact"/>
              <w:ind w:left="0" w:leftChars="0" w:right="0" w:rightChars="0" w:firstLine="0" w:firstLineChars="0"/>
              <w:jc w:val="center"/>
              <w:rPr>
                <w:rFonts w:hint="eastAsia" w:cs="仿宋" w:asciiTheme="minorEastAsia" w:hAnsiTheme="minorEastAsia" w:eastAsiaTheme="minorEastAsia"/>
                <w:color w:val="auto"/>
                <w:kern w:val="0"/>
                <w:sz w:val="24"/>
                <w:highlight w:val="none"/>
                <w:lang w:bidi="ar"/>
              </w:rPr>
            </w:pPr>
            <w:r>
              <w:rPr>
                <w:rFonts w:hint="eastAsia" w:cs="仿宋" w:asciiTheme="minorEastAsia" w:hAnsiTheme="minorEastAsia" w:eastAsiaTheme="minorEastAsia"/>
                <w:color w:val="auto"/>
                <w:kern w:val="0"/>
                <w:sz w:val="24"/>
                <w:szCs w:val="24"/>
                <w:highlight w:val="none"/>
                <w:lang w:val="en-US" w:eastAsia="zh-CN" w:bidi="ar"/>
              </w:rPr>
              <w:t>0-6</w:t>
            </w:r>
          </w:p>
        </w:tc>
        <w:tc>
          <w:tcPr>
            <w:tcW w:w="1084" w:type="dxa"/>
            <w:tcBorders>
              <w:top w:val="single" w:color="000000" w:sz="4" w:space="0"/>
              <w:left w:val="single" w:color="000000" w:sz="4" w:space="0"/>
              <w:bottom w:val="single" w:color="000000" w:sz="4" w:space="0"/>
              <w:right w:val="single" w:color="000000" w:sz="4" w:space="0"/>
            </w:tcBorders>
            <w:vAlign w:val="center"/>
          </w:tcPr>
          <w:p w14:paraId="3C589AD1">
            <w:pPr>
              <w:pStyle w:val="59"/>
              <w:widowControl w:val="0"/>
              <w:adjustRightInd/>
              <w:spacing w:before="0" w:beforeAutospacing="0" w:after="0" w:afterAutospacing="0" w:line="400" w:lineRule="exact"/>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客观分</w:t>
            </w:r>
          </w:p>
        </w:tc>
      </w:tr>
      <w:tr w14:paraId="7B718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859" w:type="dxa"/>
            <w:vMerge w:val="continue"/>
            <w:tcBorders>
              <w:left w:val="single" w:color="000000" w:sz="4" w:space="0"/>
              <w:right w:val="single" w:color="auto" w:sz="4" w:space="0"/>
            </w:tcBorders>
            <w:vAlign w:val="center"/>
          </w:tcPr>
          <w:p w14:paraId="4EC20D6C">
            <w:pPr>
              <w:pStyle w:val="59"/>
              <w:widowControl w:val="0"/>
              <w:adjustRightInd/>
              <w:spacing w:before="0" w:beforeAutospacing="0" w:after="0" w:afterAutospacing="0" w:line="400" w:lineRule="exact"/>
              <w:jc w:val="center"/>
              <w:rPr>
                <w:rFonts w:cstheme="minorBidi"/>
                <w:color w:val="auto"/>
                <w:highlight w:val="none"/>
              </w:rPr>
            </w:pPr>
          </w:p>
        </w:tc>
        <w:tc>
          <w:tcPr>
            <w:tcW w:w="787" w:type="dxa"/>
            <w:tcBorders>
              <w:top w:val="single" w:color="000000" w:sz="4" w:space="0"/>
              <w:left w:val="single" w:color="auto" w:sz="4" w:space="0"/>
              <w:bottom w:val="single" w:color="000000" w:sz="4" w:space="0"/>
              <w:right w:val="single" w:color="000000" w:sz="4" w:space="0"/>
            </w:tcBorders>
            <w:vAlign w:val="center"/>
          </w:tcPr>
          <w:p w14:paraId="7DE35F3A">
            <w:pPr>
              <w:pStyle w:val="59"/>
              <w:widowControl w:val="0"/>
              <w:adjustRightInd/>
              <w:spacing w:before="0" w:beforeAutospacing="0" w:after="0" w:afterAutospacing="0" w:line="400" w:lineRule="exact"/>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bCs/>
                <w:color w:val="auto"/>
                <w:highlight w:val="none"/>
              </w:rPr>
              <w:t>2</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A8E2">
            <w:pPr>
              <w:widowControl/>
              <w:spacing w:line="400" w:lineRule="exact"/>
              <w:jc w:val="left"/>
              <w:rPr>
                <w:rFonts w:hint="eastAsia" w:cs="仿宋" w:asciiTheme="minorEastAsia" w:hAnsiTheme="minorEastAsia" w:eastAsiaTheme="minorEastAsia"/>
                <w:color w:val="auto"/>
                <w:kern w:val="0"/>
                <w:sz w:val="24"/>
                <w:highlight w:val="none"/>
                <w:lang w:bidi="ar"/>
              </w:rPr>
            </w:pPr>
            <w:r>
              <w:rPr>
                <w:rFonts w:hint="eastAsia" w:cs="仿宋" w:asciiTheme="minorEastAsia" w:hAnsiTheme="minorEastAsia" w:eastAsiaTheme="minorEastAsia"/>
                <w:color w:val="auto"/>
                <w:kern w:val="0"/>
                <w:sz w:val="24"/>
                <w:szCs w:val="24"/>
                <w:highlight w:val="none"/>
                <w:lang w:val="en-US" w:eastAsia="zh-CN" w:bidi="ar"/>
              </w:rPr>
              <w:t>投标人企业在职缴纳社保人数26人及以上的得6分，在职缴纳社保人数在10-25人的得3分，在职缴纳社保人数在10以下的得1分。（提供近三个月社保缴纳证明，不提供不得分）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E6E2">
            <w:pPr>
              <w:widowControl/>
              <w:spacing w:line="400" w:lineRule="exact"/>
              <w:ind w:left="0" w:leftChars="0" w:right="0" w:rightChars="0" w:firstLine="0" w:firstLineChars="0"/>
              <w:jc w:val="center"/>
              <w:rPr>
                <w:rFonts w:hint="eastAsia" w:cs="仿宋" w:asciiTheme="minorEastAsia" w:hAnsiTheme="minorEastAsia" w:eastAsiaTheme="minorEastAsia"/>
                <w:color w:val="auto"/>
                <w:kern w:val="0"/>
                <w:sz w:val="24"/>
                <w:highlight w:val="none"/>
                <w:lang w:eastAsia="zh-CN" w:bidi="ar"/>
              </w:rPr>
            </w:pPr>
            <w:r>
              <w:rPr>
                <w:rFonts w:hint="eastAsia" w:cs="仿宋" w:asciiTheme="minorEastAsia" w:hAnsiTheme="minorEastAsia" w:eastAsiaTheme="minorEastAsia"/>
                <w:color w:val="auto"/>
                <w:kern w:val="0"/>
                <w:sz w:val="24"/>
                <w:szCs w:val="24"/>
                <w:highlight w:val="none"/>
                <w:lang w:val="en-US" w:eastAsia="zh-CN" w:bidi="ar"/>
              </w:rPr>
              <w:t>0-6</w:t>
            </w:r>
          </w:p>
        </w:tc>
        <w:tc>
          <w:tcPr>
            <w:tcW w:w="1084" w:type="dxa"/>
            <w:tcBorders>
              <w:top w:val="single" w:color="000000" w:sz="4" w:space="0"/>
              <w:left w:val="single" w:color="000000" w:sz="4" w:space="0"/>
              <w:bottom w:val="single" w:color="000000" w:sz="4" w:space="0"/>
              <w:right w:val="single" w:color="000000" w:sz="4" w:space="0"/>
            </w:tcBorders>
            <w:vAlign w:val="center"/>
          </w:tcPr>
          <w:p w14:paraId="7246B43B">
            <w:pPr>
              <w:widowControl/>
              <w:jc w:val="left"/>
              <w:rPr>
                <w:rFonts w:hint="eastAsia" w:cs="仿宋" w:asciiTheme="minorEastAsia" w:hAnsiTheme="minorEastAsia" w:eastAsiaTheme="minorEastAsia"/>
                <w:color w:val="auto"/>
                <w:kern w:val="0"/>
                <w:sz w:val="24"/>
                <w:highlight w:val="none"/>
                <w:lang w:bidi="ar"/>
              </w:rPr>
            </w:pPr>
            <w:r>
              <w:rPr>
                <w:rFonts w:hint="eastAsia" w:cs="仿宋" w:asciiTheme="minorEastAsia" w:hAnsiTheme="minorEastAsia" w:eastAsiaTheme="minorEastAsia"/>
                <w:color w:val="auto"/>
                <w:kern w:val="0"/>
                <w:sz w:val="24"/>
                <w:highlight w:val="none"/>
                <w:lang w:bidi="ar"/>
              </w:rPr>
              <w:t>客观分</w:t>
            </w:r>
          </w:p>
        </w:tc>
      </w:tr>
      <w:tr w14:paraId="4F04D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jc w:val="center"/>
        </w:trPr>
        <w:tc>
          <w:tcPr>
            <w:tcW w:w="859" w:type="dxa"/>
            <w:vMerge w:val="restart"/>
            <w:tcBorders>
              <w:top w:val="single" w:color="000000" w:sz="4" w:space="0"/>
              <w:left w:val="single" w:color="000000" w:sz="4" w:space="0"/>
              <w:right w:val="single" w:color="auto" w:sz="4" w:space="0"/>
            </w:tcBorders>
            <w:vAlign w:val="center"/>
          </w:tcPr>
          <w:p w14:paraId="74E13B7C">
            <w:pPr>
              <w:pStyle w:val="59"/>
              <w:widowControl w:val="0"/>
              <w:adjustRightInd/>
              <w:spacing w:before="0" w:beforeAutospacing="0" w:after="0" w:afterAutospacing="0" w:line="400" w:lineRule="exact"/>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lang w:val="zh-CN"/>
              </w:rPr>
              <w:t>技术</w:t>
            </w:r>
            <w:r>
              <w:rPr>
                <w:rFonts w:hint="eastAsia" w:cs="仿宋" w:asciiTheme="minorEastAsia" w:hAnsiTheme="minorEastAsia" w:eastAsiaTheme="minorEastAsia"/>
                <w:color w:val="auto"/>
                <w:highlight w:val="none"/>
                <w:lang w:val="en-US" w:eastAsia="zh-CN"/>
              </w:rPr>
              <w:t>5</w:t>
            </w:r>
            <w:r>
              <w:rPr>
                <w:rFonts w:hint="eastAsia" w:cs="仿宋" w:asciiTheme="minorEastAsia" w:hAnsiTheme="minorEastAsia" w:eastAsiaTheme="minorEastAsia"/>
                <w:color w:val="auto"/>
                <w:highlight w:val="none"/>
              </w:rPr>
              <w:t>0</w:t>
            </w:r>
            <w:r>
              <w:rPr>
                <w:rFonts w:hint="eastAsia" w:cs="仿宋" w:asciiTheme="minorEastAsia" w:hAnsiTheme="minorEastAsia" w:eastAsiaTheme="minorEastAsia"/>
                <w:color w:val="auto"/>
                <w:highlight w:val="none"/>
                <w:lang w:val="zh-CN"/>
              </w:rPr>
              <w:t>分</w:t>
            </w:r>
          </w:p>
        </w:tc>
        <w:tc>
          <w:tcPr>
            <w:tcW w:w="787" w:type="dxa"/>
            <w:tcBorders>
              <w:top w:val="single" w:color="000000" w:sz="4" w:space="0"/>
              <w:left w:val="single" w:color="auto" w:sz="4" w:space="0"/>
              <w:bottom w:val="single" w:color="000000" w:sz="4" w:space="0"/>
              <w:right w:val="single" w:color="000000" w:sz="4" w:space="0"/>
            </w:tcBorders>
            <w:vAlign w:val="center"/>
          </w:tcPr>
          <w:p w14:paraId="41C7B50D">
            <w:pPr>
              <w:pStyle w:val="59"/>
              <w:widowControl w:val="0"/>
              <w:adjustRightInd/>
              <w:spacing w:before="0" w:beforeAutospacing="0" w:after="0" w:afterAutospacing="0" w:line="400" w:lineRule="exact"/>
              <w:jc w:val="center"/>
              <w:rPr>
                <w:rFonts w:cs="仿宋" w:asciiTheme="minorEastAsia" w:hAnsiTheme="minorEastAsia" w:eastAsiaTheme="minorEastAsia"/>
                <w:b/>
                <w:color w:val="auto"/>
                <w:highlight w:val="none"/>
              </w:rPr>
            </w:pPr>
            <w:r>
              <w:rPr>
                <w:rFonts w:hint="eastAsia" w:cs="仿宋" w:asciiTheme="minorEastAsia" w:hAnsiTheme="minorEastAsia" w:eastAsiaTheme="minorEastAsia"/>
                <w:bCs/>
                <w:color w:val="auto"/>
                <w:highlight w:val="none"/>
                <w:lang w:val="en-US" w:eastAsia="zh-CN"/>
              </w:rPr>
              <w:t>3</w:t>
            </w:r>
          </w:p>
        </w:tc>
        <w:tc>
          <w:tcPr>
            <w:tcW w:w="5679" w:type="dxa"/>
            <w:tcBorders>
              <w:top w:val="single" w:color="000000" w:sz="4" w:space="0"/>
              <w:left w:val="single" w:color="000000" w:sz="4" w:space="0"/>
              <w:bottom w:val="single" w:color="000000" w:sz="4" w:space="0"/>
              <w:right w:val="single" w:color="000000" w:sz="4" w:space="0"/>
            </w:tcBorders>
            <w:vAlign w:val="center"/>
          </w:tcPr>
          <w:p w14:paraId="64763E0C">
            <w:pPr>
              <w:widowControl/>
              <w:spacing w:line="400" w:lineRule="exact"/>
              <w:jc w:val="left"/>
              <w:rPr>
                <w:rFonts w:hint="eastAsia" w:cs="仿宋" w:asciiTheme="minorEastAsia" w:hAnsiTheme="minorEastAsia" w:eastAsiaTheme="minorEastAsia"/>
                <w:b w:val="0"/>
                <w:bCs w:val="0"/>
                <w:color w:val="auto"/>
                <w:kern w:val="0"/>
                <w:sz w:val="24"/>
                <w:highlight w:val="none"/>
                <w:lang w:bidi="ar"/>
              </w:rPr>
            </w:pPr>
            <w:r>
              <w:rPr>
                <w:rFonts w:hint="eastAsia" w:cs="仿宋" w:asciiTheme="minorEastAsia" w:hAnsiTheme="minorEastAsia" w:eastAsiaTheme="minorEastAsia"/>
                <w:color w:val="auto"/>
                <w:kern w:val="0"/>
                <w:sz w:val="24"/>
                <w:highlight w:val="none"/>
                <w:lang w:val="en-US" w:eastAsia="zh-CN" w:bidi="ar"/>
              </w:rPr>
              <w:t>响应方案中有完善的管理方案和举措（方案详细完善的得12</w:t>
            </w:r>
            <w:r>
              <w:rPr>
                <w:rFonts w:hint="eastAsia" w:cs="仿宋" w:asciiTheme="minorEastAsia" w:hAnsiTheme="minorEastAsia" w:eastAsiaTheme="minorEastAsia"/>
                <w:color w:val="auto"/>
                <w:kern w:val="0"/>
                <w:sz w:val="24"/>
                <w:highlight w:val="none"/>
                <w:lang w:bidi="ar"/>
              </w:rPr>
              <w:t>-</w:t>
            </w:r>
            <w:r>
              <w:rPr>
                <w:rFonts w:hint="eastAsia" w:cs="仿宋" w:asciiTheme="minorEastAsia" w:hAnsiTheme="minorEastAsia" w:eastAsiaTheme="minorEastAsia"/>
                <w:color w:val="auto"/>
                <w:kern w:val="0"/>
                <w:sz w:val="24"/>
                <w:highlight w:val="none"/>
                <w:lang w:val="en-US" w:eastAsia="zh-CN" w:bidi="ar"/>
              </w:rPr>
              <w:t>8</w:t>
            </w:r>
            <w:r>
              <w:rPr>
                <w:rFonts w:hint="eastAsia" w:cs="仿宋" w:asciiTheme="minorEastAsia" w:hAnsiTheme="minorEastAsia" w:eastAsiaTheme="minorEastAsia"/>
                <w:color w:val="auto"/>
                <w:kern w:val="0"/>
                <w:sz w:val="24"/>
                <w:highlight w:val="none"/>
                <w:lang w:bidi="ar"/>
              </w:rPr>
              <w:t>.1</w:t>
            </w:r>
            <w:r>
              <w:rPr>
                <w:rFonts w:hint="eastAsia" w:cs="仿宋" w:asciiTheme="minorEastAsia" w:hAnsiTheme="minorEastAsia" w:eastAsiaTheme="minorEastAsia"/>
                <w:color w:val="auto"/>
                <w:kern w:val="0"/>
                <w:sz w:val="24"/>
                <w:highlight w:val="none"/>
                <w:lang w:eastAsia="zh-CN" w:bidi="ar"/>
              </w:rPr>
              <w:t>，</w:t>
            </w:r>
            <w:r>
              <w:rPr>
                <w:rFonts w:hint="eastAsia" w:cs="仿宋" w:asciiTheme="minorEastAsia" w:hAnsiTheme="minorEastAsia" w:eastAsiaTheme="minorEastAsia"/>
                <w:color w:val="auto"/>
                <w:kern w:val="0"/>
                <w:sz w:val="24"/>
                <w:highlight w:val="none"/>
                <w:lang w:bidi="ar"/>
              </w:rPr>
              <w:t>方案较详细完善的得</w:t>
            </w:r>
            <w:r>
              <w:rPr>
                <w:rFonts w:hint="eastAsia" w:cs="仿宋" w:asciiTheme="minorEastAsia" w:hAnsiTheme="minorEastAsia" w:eastAsiaTheme="minorEastAsia"/>
                <w:color w:val="auto"/>
                <w:kern w:val="0"/>
                <w:sz w:val="24"/>
                <w:highlight w:val="none"/>
                <w:lang w:val="en-US" w:eastAsia="zh-CN" w:bidi="ar"/>
              </w:rPr>
              <w:t>8</w:t>
            </w:r>
            <w:r>
              <w:rPr>
                <w:rFonts w:hint="eastAsia" w:cs="仿宋" w:asciiTheme="minorEastAsia" w:hAnsiTheme="minorEastAsia" w:eastAsiaTheme="minorEastAsia"/>
                <w:color w:val="auto"/>
                <w:kern w:val="0"/>
                <w:sz w:val="24"/>
                <w:highlight w:val="none"/>
                <w:lang w:bidi="ar"/>
              </w:rPr>
              <w:t>-4.1分，方案不够详细完善的得4-1分，此项未做说明得0分）1分，方案不够详细完善的得4-1分，此项未做说明得0分）</w:t>
            </w:r>
          </w:p>
        </w:tc>
        <w:tc>
          <w:tcPr>
            <w:tcW w:w="850" w:type="dxa"/>
            <w:tcBorders>
              <w:top w:val="single" w:color="000000" w:sz="4" w:space="0"/>
              <w:left w:val="single" w:color="000000" w:sz="4" w:space="0"/>
              <w:bottom w:val="single" w:color="000000" w:sz="4" w:space="0"/>
              <w:right w:val="single" w:color="000000" w:sz="4" w:space="0"/>
            </w:tcBorders>
            <w:vAlign w:val="center"/>
          </w:tcPr>
          <w:p w14:paraId="0779E010">
            <w:pPr>
              <w:widowControl/>
              <w:spacing w:line="400" w:lineRule="exact"/>
              <w:jc w:val="center"/>
              <w:rPr>
                <w:rFonts w:hint="eastAsia" w:cs="仿宋" w:asciiTheme="minorEastAsia" w:hAnsiTheme="minorEastAsia" w:eastAsiaTheme="minorEastAsia"/>
                <w:color w:val="auto"/>
                <w:kern w:val="0"/>
                <w:sz w:val="24"/>
                <w:highlight w:val="none"/>
                <w:lang w:eastAsia="zh-CN" w:bidi="ar"/>
              </w:rPr>
            </w:pPr>
            <w:r>
              <w:rPr>
                <w:rFonts w:hint="eastAsia" w:cs="仿宋" w:asciiTheme="minorEastAsia" w:hAnsiTheme="minorEastAsia" w:eastAsiaTheme="minorEastAsia"/>
                <w:color w:val="auto"/>
                <w:kern w:val="0"/>
                <w:sz w:val="24"/>
                <w:highlight w:val="none"/>
                <w:lang w:bidi="ar"/>
              </w:rPr>
              <w:t>1</w:t>
            </w:r>
            <w:r>
              <w:rPr>
                <w:rFonts w:hint="eastAsia" w:cs="仿宋" w:asciiTheme="minorEastAsia" w:hAnsiTheme="minorEastAsia" w:eastAsiaTheme="minorEastAsia"/>
                <w:color w:val="auto"/>
                <w:kern w:val="0"/>
                <w:sz w:val="24"/>
                <w:highlight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vAlign w:val="center"/>
          </w:tcPr>
          <w:p w14:paraId="013B579B">
            <w:pPr>
              <w:widowControl/>
              <w:jc w:val="left"/>
              <w:rPr>
                <w:rFonts w:hint="eastAsia" w:cs="仿宋" w:asciiTheme="minorEastAsia" w:hAnsiTheme="minorEastAsia" w:eastAsiaTheme="minorEastAsia"/>
                <w:color w:val="auto"/>
                <w:kern w:val="0"/>
                <w:sz w:val="24"/>
                <w:highlight w:val="none"/>
                <w:lang w:bidi="ar"/>
              </w:rPr>
            </w:pPr>
            <w:r>
              <w:rPr>
                <w:rFonts w:hint="eastAsia" w:cs="仿宋" w:asciiTheme="minorEastAsia" w:hAnsiTheme="minorEastAsia" w:eastAsiaTheme="minorEastAsia"/>
                <w:color w:val="auto"/>
                <w:kern w:val="0"/>
                <w:sz w:val="24"/>
                <w:highlight w:val="none"/>
                <w:lang w:val="en-US" w:eastAsia="zh-CN" w:bidi="ar"/>
              </w:rPr>
              <w:t>主观分</w:t>
            </w:r>
            <w:r>
              <w:rPr>
                <w:rFonts w:hint="eastAsia" w:cs="仿宋" w:asciiTheme="minorEastAsia" w:hAnsiTheme="minorEastAsia" w:eastAsiaTheme="minorEastAsia"/>
                <w:color w:val="auto"/>
                <w:kern w:val="0"/>
                <w:sz w:val="24"/>
                <w:highlight w:val="none"/>
                <w:lang w:bidi="ar"/>
              </w:rPr>
              <w:t>主观分</w:t>
            </w:r>
          </w:p>
        </w:tc>
      </w:tr>
      <w:tr w14:paraId="4136B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59" w:type="dxa"/>
            <w:vMerge w:val="continue"/>
            <w:tcBorders>
              <w:left w:val="single" w:color="000000" w:sz="4" w:space="0"/>
              <w:right w:val="single" w:color="auto" w:sz="4" w:space="0"/>
            </w:tcBorders>
            <w:vAlign w:val="center"/>
          </w:tcPr>
          <w:p w14:paraId="750D6065">
            <w:pPr>
              <w:pStyle w:val="59"/>
              <w:widowControl w:val="0"/>
              <w:adjustRightInd/>
              <w:spacing w:before="0" w:beforeAutospacing="0" w:after="0" w:afterAutospacing="0" w:line="400" w:lineRule="exact"/>
              <w:jc w:val="both"/>
              <w:rPr>
                <w:rFonts w:cs="仿宋" w:asciiTheme="minorEastAsia" w:hAnsiTheme="minorEastAsia" w:eastAsiaTheme="minorEastAsia"/>
                <w:color w:val="auto"/>
                <w:highlight w:val="none"/>
                <w:lang w:val="zh-CN"/>
              </w:rPr>
            </w:pPr>
          </w:p>
        </w:tc>
        <w:tc>
          <w:tcPr>
            <w:tcW w:w="787" w:type="dxa"/>
            <w:tcBorders>
              <w:top w:val="single" w:color="000000" w:sz="4" w:space="0"/>
              <w:left w:val="single" w:color="auto" w:sz="4" w:space="0"/>
              <w:bottom w:val="single" w:color="000000" w:sz="4" w:space="0"/>
              <w:right w:val="single" w:color="000000" w:sz="4" w:space="0"/>
            </w:tcBorders>
            <w:vAlign w:val="center"/>
          </w:tcPr>
          <w:p w14:paraId="2EF59049">
            <w:pPr>
              <w:pStyle w:val="59"/>
              <w:widowControl w:val="0"/>
              <w:adjustRightInd/>
              <w:spacing w:before="0" w:beforeAutospacing="0" w:after="0" w:afterAutospacing="0" w:line="400" w:lineRule="exact"/>
              <w:jc w:val="center"/>
              <w:rPr>
                <w:rFonts w:hint="eastAsia" w:cs="仿宋" w:asciiTheme="minorEastAsia" w:hAnsiTheme="minorEastAsia" w:eastAsiaTheme="minorEastAsia"/>
                <w:bCs/>
                <w:color w:val="auto"/>
                <w:highlight w:val="none"/>
                <w:lang w:eastAsia="zh-CN"/>
              </w:rPr>
            </w:pPr>
            <w:r>
              <w:rPr>
                <w:rFonts w:hint="eastAsia" w:cs="仿宋" w:asciiTheme="minorEastAsia" w:hAnsiTheme="minorEastAsia" w:eastAsiaTheme="minorEastAsia"/>
                <w:bCs/>
                <w:color w:val="auto"/>
                <w:highlight w:val="none"/>
                <w:lang w:val="en-US" w:eastAsia="zh-CN"/>
              </w:rPr>
              <w:t>4</w:t>
            </w:r>
          </w:p>
        </w:tc>
        <w:tc>
          <w:tcPr>
            <w:tcW w:w="5679" w:type="dxa"/>
            <w:tcBorders>
              <w:top w:val="single" w:color="000000" w:sz="4" w:space="0"/>
              <w:left w:val="single" w:color="000000" w:sz="4" w:space="0"/>
              <w:bottom w:val="single" w:color="000000" w:sz="4" w:space="0"/>
              <w:right w:val="single" w:color="000000" w:sz="4" w:space="0"/>
            </w:tcBorders>
            <w:vAlign w:val="center"/>
          </w:tcPr>
          <w:p w14:paraId="011B57EC">
            <w:pPr>
              <w:widowControl/>
              <w:spacing w:line="400" w:lineRule="exact"/>
              <w:jc w:val="left"/>
              <w:rPr>
                <w:rFonts w:cs="仿宋" w:asciiTheme="minorEastAsia" w:hAnsiTheme="minorEastAsia" w:eastAsiaTheme="minorEastAsia"/>
                <w:color w:val="auto"/>
                <w:kern w:val="0"/>
                <w:sz w:val="24"/>
                <w:highlight w:val="none"/>
                <w:lang w:bidi="ar"/>
              </w:rPr>
            </w:pPr>
            <w:r>
              <w:rPr>
                <w:rFonts w:hint="eastAsia" w:cs="仿宋" w:asciiTheme="minorEastAsia" w:hAnsiTheme="minorEastAsia" w:eastAsiaTheme="minorEastAsia"/>
                <w:color w:val="auto"/>
                <w:kern w:val="0"/>
                <w:sz w:val="24"/>
                <w:highlight w:val="none"/>
                <w:lang w:bidi="ar"/>
              </w:rPr>
              <w:t>响应方案中</w:t>
            </w:r>
            <w:r>
              <w:rPr>
                <w:rFonts w:hint="eastAsia" w:cs="仿宋" w:asciiTheme="minorEastAsia" w:hAnsiTheme="minorEastAsia" w:eastAsiaTheme="minorEastAsia"/>
                <w:color w:val="auto"/>
                <w:kern w:val="0"/>
                <w:sz w:val="24"/>
                <w:highlight w:val="none"/>
                <w:lang w:bidi="ar"/>
              </w:rPr>
              <w:t>有完善的公司管理组织结构图，组织结构</w:t>
            </w:r>
            <w:r>
              <w:rPr>
                <w:rFonts w:hint="eastAsia" w:cs="仿宋" w:asciiTheme="minorEastAsia" w:hAnsiTheme="minorEastAsia" w:eastAsiaTheme="minorEastAsia"/>
                <w:color w:val="auto"/>
                <w:sz w:val="24"/>
                <w:highlight w:val="none"/>
              </w:rPr>
              <w:t>齐全，方案详尽、明晰的得1</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.1分，</w:t>
            </w:r>
            <w:r>
              <w:rPr>
                <w:rFonts w:hint="eastAsia" w:cs="仿宋" w:asciiTheme="minorEastAsia" w:hAnsiTheme="minorEastAsia" w:eastAsiaTheme="minorEastAsia"/>
                <w:color w:val="auto"/>
                <w:kern w:val="0"/>
                <w:sz w:val="24"/>
                <w:highlight w:val="none"/>
                <w:lang w:bidi="ar"/>
              </w:rPr>
              <w:t>组织结构</w:t>
            </w:r>
            <w:r>
              <w:rPr>
                <w:rFonts w:hint="eastAsia" w:cs="仿宋" w:asciiTheme="minorEastAsia" w:hAnsiTheme="minorEastAsia" w:eastAsiaTheme="minorEastAsia"/>
                <w:color w:val="auto"/>
                <w:sz w:val="24"/>
                <w:highlight w:val="none"/>
              </w:rPr>
              <w:t>较齐全、方案较详尽、明晰的得</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-4.1分，</w:t>
            </w:r>
            <w:r>
              <w:rPr>
                <w:rFonts w:hint="eastAsia" w:cs="仿宋" w:asciiTheme="minorEastAsia" w:hAnsiTheme="minorEastAsia" w:eastAsiaTheme="minorEastAsia"/>
                <w:color w:val="auto"/>
                <w:kern w:val="0"/>
                <w:sz w:val="24"/>
                <w:highlight w:val="none"/>
                <w:lang w:bidi="ar"/>
              </w:rPr>
              <w:t>组织结构</w:t>
            </w:r>
            <w:r>
              <w:rPr>
                <w:rFonts w:hint="eastAsia" w:cs="仿宋" w:asciiTheme="minorEastAsia" w:hAnsiTheme="minorEastAsia" w:eastAsiaTheme="minorEastAsia"/>
                <w:color w:val="auto"/>
                <w:sz w:val="24"/>
                <w:highlight w:val="none"/>
              </w:rPr>
              <w:t>不够齐全，方案不够详尽、明晰的得4-2分，此项未做说明得0分。</w:t>
            </w:r>
          </w:p>
        </w:tc>
        <w:tc>
          <w:tcPr>
            <w:tcW w:w="850" w:type="dxa"/>
            <w:tcBorders>
              <w:top w:val="single" w:color="000000" w:sz="4" w:space="0"/>
              <w:left w:val="single" w:color="000000" w:sz="4" w:space="0"/>
              <w:bottom w:val="single" w:color="000000" w:sz="4" w:space="0"/>
              <w:right w:val="single" w:color="000000" w:sz="4" w:space="0"/>
            </w:tcBorders>
            <w:vAlign w:val="center"/>
          </w:tcPr>
          <w:p w14:paraId="2E67EF73">
            <w:pPr>
              <w:widowControl/>
              <w:spacing w:line="400" w:lineRule="exact"/>
              <w:jc w:val="center"/>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eastAsiaTheme="minorEastAsia"/>
                <w:color w:val="auto"/>
                <w:kern w:val="0"/>
                <w:sz w:val="24"/>
                <w:highlight w:val="none"/>
              </w:rPr>
              <w:t>1</w:t>
            </w:r>
            <w:r>
              <w:rPr>
                <w:rFonts w:hint="eastAsia" w:cs="仿宋" w:asciiTheme="minorEastAsia" w:hAnsiTheme="minorEastAsia" w:eastAsiaTheme="minorEastAsia"/>
                <w:color w:val="auto"/>
                <w:kern w:val="0"/>
                <w:sz w:val="24"/>
                <w:highlight w:val="none"/>
                <w:lang w:val="en-US" w:eastAsia="zh-CN"/>
              </w:rPr>
              <w:t>2</w:t>
            </w:r>
          </w:p>
        </w:tc>
        <w:tc>
          <w:tcPr>
            <w:tcW w:w="1084" w:type="dxa"/>
            <w:tcBorders>
              <w:top w:val="single" w:color="000000" w:sz="4" w:space="0"/>
              <w:left w:val="single" w:color="000000" w:sz="4" w:space="0"/>
              <w:bottom w:val="single" w:color="000000" w:sz="4" w:space="0"/>
              <w:right w:val="single" w:color="000000" w:sz="4" w:space="0"/>
            </w:tcBorders>
            <w:vAlign w:val="center"/>
          </w:tcPr>
          <w:p w14:paraId="6DF0EB83">
            <w:pPr>
              <w:pStyle w:val="59"/>
              <w:widowControl w:val="0"/>
              <w:adjustRightInd/>
              <w:spacing w:before="0" w:beforeAutospacing="0" w:after="0" w:afterAutospacing="0" w:line="400" w:lineRule="exact"/>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主观分</w:t>
            </w:r>
          </w:p>
        </w:tc>
      </w:tr>
      <w:tr w14:paraId="771D5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859" w:type="dxa"/>
            <w:vMerge w:val="continue"/>
            <w:tcBorders>
              <w:left w:val="single" w:color="000000" w:sz="4" w:space="0"/>
              <w:right w:val="single" w:color="auto" w:sz="4" w:space="0"/>
            </w:tcBorders>
            <w:vAlign w:val="center"/>
          </w:tcPr>
          <w:p w14:paraId="61590144">
            <w:pPr>
              <w:pStyle w:val="59"/>
              <w:widowControl w:val="0"/>
              <w:adjustRightInd/>
              <w:spacing w:before="0" w:beforeAutospacing="0" w:after="0" w:afterAutospacing="0" w:line="400" w:lineRule="exact"/>
              <w:jc w:val="both"/>
              <w:rPr>
                <w:rFonts w:cs="仿宋" w:asciiTheme="minorEastAsia" w:hAnsiTheme="minorEastAsia" w:eastAsiaTheme="minorEastAsia"/>
                <w:color w:val="auto"/>
                <w:highlight w:val="none"/>
                <w:lang w:val="zh-CN"/>
              </w:rPr>
            </w:pPr>
          </w:p>
        </w:tc>
        <w:tc>
          <w:tcPr>
            <w:tcW w:w="787" w:type="dxa"/>
            <w:tcBorders>
              <w:top w:val="single" w:color="000000" w:sz="4" w:space="0"/>
              <w:left w:val="single" w:color="auto" w:sz="4" w:space="0"/>
              <w:bottom w:val="single" w:color="000000" w:sz="4" w:space="0"/>
              <w:right w:val="single" w:color="000000" w:sz="4" w:space="0"/>
            </w:tcBorders>
            <w:vAlign w:val="center"/>
          </w:tcPr>
          <w:p w14:paraId="0F6AFD55">
            <w:pPr>
              <w:pStyle w:val="59"/>
              <w:widowControl w:val="0"/>
              <w:adjustRightInd/>
              <w:spacing w:before="0" w:beforeAutospacing="0" w:after="0" w:afterAutospacing="0" w:line="400" w:lineRule="exact"/>
              <w:jc w:val="center"/>
              <w:rPr>
                <w:rFonts w:hint="eastAsia" w:cs="仿宋" w:asciiTheme="minorEastAsia" w:hAnsiTheme="minorEastAsia" w:eastAsiaTheme="minorEastAsia"/>
                <w:bCs/>
                <w:color w:val="auto"/>
                <w:highlight w:val="none"/>
                <w:lang w:eastAsia="zh-CN"/>
              </w:rPr>
            </w:pPr>
            <w:r>
              <w:rPr>
                <w:rFonts w:hint="eastAsia" w:cs="仿宋" w:asciiTheme="minorEastAsia" w:hAnsiTheme="minorEastAsia" w:eastAsiaTheme="minorEastAsia"/>
                <w:bCs/>
                <w:color w:val="auto"/>
                <w:highlight w:val="none"/>
                <w:lang w:val="en-US" w:eastAsia="zh-CN"/>
              </w:rPr>
              <w:t>5</w:t>
            </w:r>
          </w:p>
        </w:tc>
        <w:tc>
          <w:tcPr>
            <w:tcW w:w="5679" w:type="dxa"/>
            <w:tcBorders>
              <w:top w:val="single" w:color="000000" w:sz="4" w:space="0"/>
              <w:left w:val="single" w:color="000000" w:sz="4" w:space="0"/>
              <w:bottom w:val="single" w:color="000000" w:sz="4" w:space="0"/>
              <w:right w:val="single" w:color="000000" w:sz="4" w:space="0"/>
            </w:tcBorders>
            <w:vAlign w:val="center"/>
          </w:tcPr>
          <w:p w14:paraId="16B681F6">
            <w:pPr>
              <w:widowControl/>
              <w:spacing w:line="400" w:lineRule="exact"/>
              <w:jc w:val="left"/>
              <w:rPr>
                <w:rFonts w:cs="仿宋" w:asciiTheme="minorEastAsia" w:hAnsiTheme="minorEastAsia" w:eastAsiaTheme="minorEastAsia"/>
                <w:color w:val="auto"/>
                <w:kern w:val="0"/>
                <w:sz w:val="24"/>
                <w:highlight w:val="none"/>
                <w:lang w:bidi="ar"/>
              </w:rPr>
            </w:pPr>
            <w:r>
              <w:rPr>
                <w:rFonts w:hint="eastAsia" w:cs="仿宋" w:asciiTheme="minorEastAsia" w:hAnsiTheme="minorEastAsia" w:eastAsiaTheme="minorEastAsia"/>
                <w:color w:val="auto"/>
                <w:kern w:val="0"/>
                <w:sz w:val="24"/>
                <w:highlight w:val="none"/>
                <w:lang w:bidi="ar"/>
              </w:rPr>
              <w:t>从业人员安排等综合评定，人员配备齐全、分工明确合理的得1</w:t>
            </w:r>
            <w:r>
              <w:rPr>
                <w:rFonts w:hint="eastAsia" w:cs="仿宋" w:asciiTheme="minorEastAsia" w:hAnsiTheme="minorEastAsia" w:eastAsiaTheme="minorEastAsia"/>
                <w:color w:val="auto"/>
                <w:kern w:val="0"/>
                <w:sz w:val="24"/>
                <w:highlight w:val="none"/>
                <w:lang w:val="en-US" w:eastAsia="zh-CN" w:bidi="ar"/>
              </w:rPr>
              <w:t>2</w:t>
            </w:r>
            <w:r>
              <w:rPr>
                <w:rFonts w:hint="eastAsia" w:cs="仿宋" w:asciiTheme="minorEastAsia" w:hAnsiTheme="minorEastAsia" w:eastAsiaTheme="minorEastAsia"/>
                <w:color w:val="auto"/>
                <w:kern w:val="0"/>
                <w:sz w:val="24"/>
                <w:highlight w:val="none"/>
                <w:lang w:bidi="ar"/>
              </w:rPr>
              <w:t>-</w:t>
            </w:r>
            <w:r>
              <w:rPr>
                <w:rFonts w:hint="eastAsia" w:cs="仿宋" w:asciiTheme="minorEastAsia" w:hAnsiTheme="minorEastAsia" w:eastAsiaTheme="minorEastAsia"/>
                <w:color w:val="auto"/>
                <w:kern w:val="0"/>
                <w:sz w:val="24"/>
                <w:highlight w:val="none"/>
                <w:lang w:val="en-US" w:eastAsia="zh-CN" w:bidi="ar"/>
              </w:rPr>
              <w:t>8</w:t>
            </w:r>
            <w:r>
              <w:rPr>
                <w:rFonts w:hint="eastAsia" w:cs="仿宋" w:asciiTheme="minorEastAsia" w:hAnsiTheme="minorEastAsia" w:eastAsiaTheme="minorEastAsia"/>
                <w:color w:val="auto"/>
                <w:kern w:val="0"/>
                <w:sz w:val="24"/>
                <w:highlight w:val="none"/>
                <w:lang w:bidi="ar"/>
              </w:rPr>
              <w:t>.1分，人员配备较齐全、分工明确较合理的得</w:t>
            </w:r>
            <w:r>
              <w:rPr>
                <w:rFonts w:hint="eastAsia" w:cs="仿宋" w:asciiTheme="minorEastAsia" w:hAnsiTheme="minorEastAsia" w:eastAsiaTheme="minorEastAsia"/>
                <w:color w:val="auto"/>
                <w:kern w:val="0"/>
                <w:sz w:val="24"/>
                <w:highlight w:val="none"/>
                <w:lang w:val="en-US" w:eastAsia="zh-CN" w:bidi="ar"/>
              </w:rPr>
              <w:t>8</w:t>
            </w:r>
            <w:r>
              <w:rPr>
                <w:rFonts w:hint="eastAsia" w:cs="仿宋" w:asciiTheme="minorEastAsia" w:hAnsiTheme="minorEastAsia" w:eastAsiaTheme="minorEastAsia"/>
                <w:color w:val="auto"/>
                <w:kern w:val="0"/>
                <w:sz w:val="24"/>
                <w:highlight w:val="none"/>
                <w:lang w:bidi="ar"/>
              </w:rPr>
              <w:t>-4.1分，人员配备不齐全、分工不明确不合理的得4-2分，此项未做说明得0分。</w:t>
            </w:r>
          </w:p>
        </w:tc>
        <w:tc>
          <w:tcPr>
            <w:tcW w:w="850" w:type="dxa"/>
            <w:tcBorders>
              <w:top w:val="single" w:color="000000" w:sz="4" w:space="0"/>
              <w:left w:val="single" w:color="000000" w:sz="4" w:space="0"/>
              <w:bottom w:val="single" w:color="000000" w:sz="4" w:space="0"/>
              <w:right w:val="single" w:color="000000" w:sz="4" w:space="0"/>
            </w:tcBorders>
            <w:vAlign w:val="center"/>
          </w:tcPr>
          <w:p w14:paraId="3A2F6D5F">
            <w:pPr>
              <w:widowControl/>
              <w:spacing w:line="400" w:lineRule="exact"/>
              <w:jc w:val="center"/>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eastAsiaTheme="minorEastAsia"/>
                <w:color w:val="auto"/>
                <w:kern w:val="0"/>
                <w:sz w:val="24"/>
                <w:highlight w:val="none"/>
              </w:rPr>
              <w:t>1</w:t>
            </w:r>
            <w:r>
              <w:rPr>
                <w:rFonts w:hint="eastAsia" w:cs="仿宋" w:asciiTheme="minorEastAsia" w:hAnsiTheme="minorEastAsia" w:eastAsiaTheme="minorEastAsia"/>
                <w:color w:val="auto"/>
                <w:kern w:val="0"/>
                <w:sz w:val="24"/>
                <w:highlight w:val="none"/>
                <w:lang w:val="en-US" w:eastAsia="zh-CN"/>
              </w:rPr>
              <w:t>2</w:t>
            </w:r>
          </w:p>
        </w:tc>
        <w:tc>
          <w:tcPr>
            <w:tcW w:w="1084" w:type="dxa"/>
            <w:tcBorders>
              <w:top w:val="single" w:color="000000" w:sz="4" w:space="0"/>
              <w:left w:val="single" w:color="000000" w:sz="4" w:space="0"/>
              <w:bottom w:val="single" w:color="000000" w:sz="4" w:space="0"/>
              <w:right w:val="single" w:color="000000" w:sz="4" w:space="0"/>
            </w:tcBorders>
            <w:vAlign w:val="center"/>
          </w:tcPr>
          <w:p w14:paraId="59ABA6F5">
            <w:pPr>
              <w:pStyle w:val="59"/>
              <w:widowControl w:val="0"/>
              <w:adjustRightInd/>
              <w:spacing w:before="0" w:beforeAutospacing="0" w:after="0" w:afterAutospacing="0" w:line="400" w:lineRule="exact"/>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主观分</w:t>
            </w:r>
          </w:p>
        </w:tc>
      </w:tr>
      <w:tr w14:paraId="00F0A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59" w:type="dxa"/>
            <w:vMerge w:val="continue"/>
            <w:tcBorders>
              <w:left w:val="single" w:color="000000" w:sz="4" w:space="0"/>
              <w:right w:val="single" w:color="auto" w:sz="4" w:space="0"/>
            </w:tcBorders>
            <w:vAlign w:val="center"/>
          </w:tcPr>
          <w:p w14:paraId="0B8233F2">
            <w:pPr>
              <w:pStyle w:val="59"/>
              <w:widowControl w:val="0"/>
              <w:adjustRightInd/>
              <w:spacing w:before="0" w:beforeAutospacing="0" w:after="0" w:afterAutospacing="0" w:line="400" w:lineRule="exact"/>
              <w:jc w:val="both"/>
              <w:rPr>
                <w:rFonts w:cs="仿宋" w:asciiTheme="minorEastAsia" w:hAnsiTheme="minorEastAsia" w:eastAsiaTheme="minorEastAsia"/>
                <w:color w:val="auto"/>
                <w:highlight w:val="none"/>
                <w:lang w:val="zh-CN"/>
              </w:rPr>
            </w:pPr>
          </w:p>
        </w:tc>
        <w:tc>
          <w:tcPr>
            <w:tcW w:w="787" w:type="dxa"/>
            <w:tcBorders>
              <w:top w:val="single" w:color="000000" w:sz="4" w:space="0"/>
              <w:left w:val="single" w:color="auto" w:sz="4" w:space="0"/>
              <w:bottom w:val="single" w:color="000000" w:sz="4" w:space="0"/>
              <w:right w:val="single" w:color="000000" w:sz="4" w:space="0"/>
            </w:tcBorders>
            <w:vAlign w:val="center"/>
          </w:tcPr>
          <w:p w14:paraId="71117CBA">
            <w:pPr>
              <w:pStyle w:val="59"/>
              <w:widowControl w:val="0"/>
              <w:adjustRightInd/>
              <w:spacing w:before="0" w:beforeAutospacing="0" w:after="0" w:afterAutospacing="0" w:line="400" w:lineRule="exact"/>
              <w:jc w:val="center"/>
              <w:rPr>
                <w:rFonts w:hint="eastAsia" w:cs="仿宋" w:asciiTheme="minorEastAsia" w:hAnsiTheme="minorEastAsia" w:eastAsiaTheme="minorEastAsia"/>
                <w:bCs/>
                <w:color w:val="auto"/>
                <w:highlight w:val="none"/>
                <w:lang w:eastAsia="zh-CN"/>
              </w:rPr>
            </w:pPr>
            <w:r>
              <w:rPr>
                <w:rFonts w:hint="eastAsia" w:cs="仿宋" w:asciiTheme="minorEastAsia" w:hAnsiTheme="minorEastAsia" w:eastAsiaTheme="minorEastAsia"/>
                <w:bCs/>
                <w:color w:val="auto"/>
                <w:highlight w:val="none"/>
                <w:lang w:val="en-US" w:eastAsia="zh-CN"/>
              </w:rPr>
              <w:t>6</w:t>
            </w:r>
          </w:p>
        </w:tc>
        <w:tc>
          <w:tcPr>
            <w:tcW w:w="5679" w:type="dxa"/>
            <w:tcBorders>
              <w:top w:val="single" w:color="000000" w:sz="4" w:space="0"/>
              <w:left w:val="single" w:color="000000" w:sz="4" w:space="0"/>
              <w:bottom w:val="single" w:color="000000" w:sz="4" w:space="0"/>
              <w:right w:val="single" w:color="000000" w:sz="4" w:space="0"/>
            </w:tcBorders>
            <w:vAlign w:val="center"/>
          </w:tcPr>
          <w:p w14:paraId="50707796">
            <w:pPr>
              <w:widowControl/>
              <w:spacing w:line="400" w:lineRule="exact"/>
              <w:jc w:val="left"/>
              <w:rPr>
                <w:rFonts w:cs="仿宋" w:asciiTheme="minorEastAsia" w:hAnsiTheme="minorEastAsia" w:eastAsiaTheme="minorEastAsia"/>
                <w:color w:val="auto"/>
                <w:kern w:val="0"/>
                <w:sz w:val="24"/>
                <w:highlight w:val="none"/>
                <w:lang w:bidi="ar"/>
              </w:rPr>
            </w:pPr>
            <w:r>
              <w:rPr>
                <w:rFonts w:hint="eastAsia" w:cs="仿宋" w:asciiTheme="minorEastAsia" w:hAnsiTheme="minorEastAsia" w:eastAsiaTheme="minorEastAsia"/>
                <w:color w:val="auto"/>
                <w:kern w:val="0"/>
                <w:sz w:val="24"/>
                <w:highlight w:val="none"/>
                <w:lang w:bidi="ar"/>
              </w:rPr>
              <w:t>响应方案中有完善的设计方案和举措（</w:t>
            </w:r>
            <w:r>
              <w:rPr>
                <w:rFonts w:hint="eastAsia" w:cs="仿宋" w:asciiTheme="minorEastAsia" w:hAnsiTheme="minorEastAsia" w:eastAsiaTheme="minorEastAsia"/>
                <w:color w:val="auto"/>
                <w:sz w:val="24"/>
                <w:highlight w:val="none"/>
              </w:rPr>
              <w:t>方案详细完善的得1</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.1分，方案较详细完善的得</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-4.1分，方案不够详细完善的得4-1分，此项未做说明得0分</w:t>
            </w:r>
            <w:r>
              <w:rPr>
                <w:rFonts w:hint="eastAsia" w:cs="仿宋" w:asciiTheme="minorEastAsia" w:hAnsiTheme="minorEastAsia" w:eastAsiaTheme="minorEastAsia"/>
                <w:color w:val="auto"/>
                <w:kern w:val="0"/>
                <w:sz w:val="24"/>
                <w:highlight w:val="none"/>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2EF8FBFB">
            <w:pPr>
              <w:widowControl/>
              <w:spacing w:line="400" w:lineRule="exact"/>
              <w:jc w:val="center"/>
              <w:rPr>
                <w:rFonts w:hint="eastAsia" w:cs="仿宋" w:asciiTheme="minorEastAsia" w:hAnsiTheme="minorEastAsia" w:eastAsiaTheme="minorEastAsia"/>
                <w:color w:val="auto"/>
                <w:kern w:val="0"/>
                <w:sz w:val="24"/>
                <w:highlight w:val="none"/>
                <w:lang w:eastAsia="zh-CN"/>
              </w:rPr>
            </w:pPr>
            <w:r>
              <w:rPr>
                <w:rFonts w:hint="eastAsia" w:cs="仿宋" w:asciiTheme="minorEastAsia" w:hAnsiTheme="minorEastAsia" w:eastAsiaTheme="minorEastAsia"/>
                <w:color w:val="auto"/>
                <w:kern w:val="0"/>
                <w:sz w:val="24"/>
                <w:highlight w:val="none"/>
              </w:rPr>
              <w:t>1</w:t>
            </w:r>
            <w:r>
              <w:rPr>
                <w:rFonts w:hint="eastAsia" w:cs="仿宋" w:asciiTheme="minorEastAsia" w:hAnsiTheme="minorEastAsia" w:eastAsiaTheme="minorEastAsia"/>
                <w:color w:val="auto"/>
                <w:kern w:val="0"/>
                <w:sz w:val="24"/>
                <w:highlight w:val="none"/>
                <w:lang w:val="en-US" w:eastAsia="zh-CN"/>
              </w:rPr>
              <w:t>2</w:t>
            </w:r>
          </w:p>
        </w:tc>
        <w:tc>
          <w:tcPr>
            <w:tcW w:w="1084" w:type="dxa"/>
            <w:tcBorders>
              <w:top w:val="single" w:color="000000" w:sz="4" w:space="0"/>
              <w:left w:val="single" w:color="000000" w:sz="4" w:space="0"/>
              <w:bottom w:val="single" w:color="000000" w:sz="4" w:space="0"/>
              <w:right w:val="single" w:color="000000" w:sz="4" w:space="0"/>
            </w:tcBorders>
            <w:vAlign w:val="center"/>
          </w:tcPr>
          <w:p w14:paraId="1A7F063C">
            <w:pPr>
              <w:pStyle w:val="59"/>
              <w:widowControl w:val="0"/>
              <w:adjustRightInd/>
              <w:spacing w:before="0" w:beforeAutospacing="0" w:after="0" w:afterAutospacing="0" w:line="400" w:lineRule="exact"/>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主观分</w:t>
            </w:r>
          </w:p>
        </w:tc>
      </w:tr>
      <w:tr w14:paraId="0875B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859" w:type="dxa"/>
            <w:vMerge w:val="continue"/>
            <w:tcBorders>
              <w:left w:val="single" w:color="000000" w:sz="4" w:space="0"/>
              <w:right w:val="single" w:color="auto" w:sz="4" w:space="0"/>
            </w:tcBorders>
            <w:vAlign w:val="center"/>
          </w:tcPr>
          <w:p w14:paraId="4063E01C">
            <w:pPr>
              <w:pStyle w:val="59"/>
              <w:widowControl w:val="0"/>
              <w:adjustRightInd/>
              <w:spacing w:before="0" w:beforeAutospacing="0" w:after="0" w:afterAutospacing="0" w:line="400" w:lineRule="exact"/>
              <w:jc w:val="both"/>
              <w:rPr>
                <w:rFonts w:cs="仿宋" w:asciiTheme="minorEastAsia" w:hAnsiTheme="minorEastAsia" w:eastAsiaTheme="minorEastAsia"/>
                <w:color w:val="auto"/>
                <w:highlight w:val="none"/>
                <w:lang w:val="zh-CN"/>
              </w:rPr>
            </w:pPr>
          </w:p>
        </w:tc>
        <w:tc>
          <w:tcPr>
            <w:tcW w:w="787" w:type="dxa"/>
            <w:tcBorders>
              <w:top w:val="single" w:color="000000" w:sz="4" w:space="0"/>
              <w:left w:val="single" w:color="auto" w:sz="4" w:space="0"/>
              <w:bottom w:val="single" w:color="000000" w:sz="4" w:space="0"/>
              <w:right w:val="single" w:color="000000" w:sz="4" w:space="0"/>
            </w:tcBorders>
            <w:vAlign w:val="center"/>
          </w:tcPr>
          <w:p w14:paraId="6173B1D7">
            <w:pPr>
              <w:pStyle w:val="59"/>
              <w:widowControl w:val="0"/>
              <w:adjustRightInd/>
              <w:spacing w:before="0" w:beforeAutospacing="0" w:after="0" w:afterAutospacing="0" w:line="400" w:lineRule="exact"/>
              <w:jc w:val="center"/>
              <w:rPr>
                <w:rFonts w:hint="eastAsia" w:cs="仿宋" w:asciiTheme="minorEastAsia" w:hAnsiTheme="minorEastAsia" w:eastAsiaTheme="minorEastAsia"/>
                <w:bCs/>
                <w:color w:val="auto"/>
                <w:highlight w:val="none"/>
                <w:lang w:eastAsia="zh-CN"/>
              </w:rPr>
            </w:pPr>
            <w:r>
              <w:rPr>
                <w:rFonts w:hint="eastAsia" w:cs="仿宋" w:asciiTheme="minorEastAsia" w:hAnsiTheme="minorEastAsia" w:eastAsiaTheme="minorEastAsia"/>
                <w:bCs/>
                <w:color w:val="auto"/>
                <w:highlight w:val="none"/>
                <w:lang w:val="en-US" w:eastAsia="zh-CN"/>
              </w:rPr>
              <w:t>7</w:t>
            </w:r>
          </w:p>
        </w:tc>
        <w:tc>
          <w:tcPr>
            <w:tcW w:w="5679" w:type="dxa"/>
            <w:tcBorders>
              <w:top w:val="single" w:color="000000" w:sz="4" w:space="0"/>
              <w:left w:val="single" w:color="000000" w:sz="4" w:space="0"/>
              <w:bottom w:val="single" w:color="000000" w:sz="4" w:space="0"/>
              <w:right w:val="single" w:color="000000" w:sz="4" w:space="0"/>
            </w:tcBorders>
            <w:vAlign w:val="center"/>
          </w:tcPr>
          <w:p w14:paraId="1556081A">
            <w:pPr>
              <w:widowControl/>
              <w:spacing w:line="400" w:lineRule="exact"/>
              <w:jc w:val="left"/>
              <w:rPr>
                <w:rFonts w:cs="仿宋" w:asciiTheme="minorEastAsia" w:hAnsiTheme="minorEastAsia" w:eastAsiaTheme="minorEastAsia"/>
                <w:color w:val="auto"/>
                <w:kern w:val="0"/>
                <w:sz w:val="24"/>
                <w:highlight w:val="none"/>
                <w:lang w:bidi="ar"/>
              </w:rPr>
            </w:pPr>
            <w:r>
              <w:rPr>
                <w:rFonts w:hint="eastAsia" w:cs="仿宋" w:asciiTheme="minorEastAsia" w:hAnsiTheme="minorEastAsia" w:eastAsiaTheme="minorEastAsia"/>
                <w:color w:val="auto"/>
                <w:kern w:val="0"/>
                <w:sz w:val="24"/>
                <w:highlight w:val="none"/>
                <w:lang w:bidi="ar"/>
              </w:rPr>
              <w:t>对本项目的合理化建议综合评定。方案详细完善的得8-6.1分，方案详细完善的得10-6.1分，方案较详细完善的得6 -4.1分，方案不够详细完善的得4-2分，此项未做说明得0分。</w:t>
            </w:r>
          </w:p>
        </w:tc>
        <w:tc>
          <w:tcPr>
            <w:tcW w:w="850" w:type="dxa"/>
            <w:tcBorders>
              <w:top w:val="single" w:color="000000" w:sz="4" w:space="0"/>
              <w:left w:val="single" w:color="000000" w:sz="4" w:space="0"/>
              <w:bottom w:val="single" w:color="000000" w:sz="4" w:space="0"/>
              <w:right w:val="single" w:color="000000" w:sz="4" w:space="0"/>
            </w:tcBorders>
            <w:vAlign w:val="center"/>
          </w:tcPr>
          <w:p w14:paraId="0CF18A5C">
            <w:pPr>
              <w:widowControl/>
              <w:spacing w:line="400" w:lineRule="exact"/>
              <w:jc w:val="center"/>
              <w:rPr>
                <w:rFonts w:hint="default" w:cs="仿宋" w:asciiTheme="minorEastAsia" w:hAnsiTheme="minorEastAsia" w:eastAsiaTheme="minorEastAsia"/>
                <w:color w:val="auto"/>
                <w:kern w:val="0"/>
                <w:sz w:val="24"/>
                <w:highlight w:val="none"/>
                <w:lang w:val="en-US" w:eastAsia="zh-CN"/>
              </w:rPr>
            </w:pPr>
            <w:r>
              <w:rPr>
                <w:rFonts w:hint="eastAsia" w:cs="仿宋" w:asciiTheme="minorEastAsia" w:hAnsiTheme="minorEastAsia" w:eastAsiaTheme="minorEastAsia"/>
                <w:color w:val="auto"/>
                <w:kern w:val="0"/>
                <w:sz w:val="24"/>
                <w:highlight w:val="none"/>
                <w:lang w:val="en-US" w:eastAsia="zh-CN"/>
              </w:rPr>
              <w:t>10</w:t>
            </w:r>
          </w:p>
        </w:tc>
        <w:tc>
          <w:tcPr>
            <w:tcW w:w="1084" w:type="dxa"/>
            <w:tcBorders>
              <w:top w:val="single" w:color="000000" w:sz="4" w:space="0"/>
              <w:left w:val="single" w:color="000000" w:sz="4" w:space="0"/>
              <w:bottom w:val="single" w:color="000000" w:sz="4" w:space="0"/>
              <w:right w:val="single" w:color="000000" w:sz="4" w:space="0"/>
            </w:tcBorders>
            <w:vAlign w:val="center"/>
          </w:tcPr>
          <w:p w14:paraId="7659C3ED">
            <w:pPr>
              <w:pStyle w:val="59"/>
              <w:widowControl w:val="0"/>
              <w:adjustRightInd/>
              <w:spacing w:before="0" w:beforeAutospacing="0" w:after="0" w:afterAutospacing="0" w:line="400" w:lineRule="exact"/>
              <w:jc w:val="center"/>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主观分</w:t>
            </w:r>
          </w:p>
        </w:tc>
      </w:tr>
      <w:bookmarkEnd w:id="16"/>
    </w:tbl>
    <w:p w14:paraId="10DB0AB6">
      <w:pPr>
        <w:widowControl/>
        <w:spacing w:line="360" w:lineRule="auto"/>
        <w:rPr>
          <w:rFonts w:hint="eastAsia" w:ascii="宋体" w:hAnsi="宋体" w:eastAsia="宋体" w:cs="宋体"/>
          <w:b/>
          <w:bCs/>
          <w:color w:val="auto"/>
          <w:sz w:val="24"/>
          <w:highlight w:val="none"/>
        </w:rPr>
      </w:pPr>
    </w:p>
    <w:p w14:paraId="411C7C2E">
      <w:pPr>
        <w:widowControl/>
        <w:spacing w:line="360" w:lineRule="auto"/>
        <w:rPr>
          <w:rFonts w:hint="eastAsia" w:ascii="宋体" w:hAnsi="宋体" w:eastAsia="宋体" w:cs="宋体"/>
          <w:b/>
          <w:bCs/>
          <w:color w:val="auto"/>
          <w:sz w:val="24"/>
          <w:highlight w:val="none"/>
        </w:rPr>
      </w:pPr>
    </w:p>
    <w:p w14:paraId="65E68222">
      <w:pPr>
        <w:widowControl/>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7054"/>
      </w:tblGrid>
      <w:tr w14:paraId="16AB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94" w:type="dxa"/>
            <w:vAlign w:val="center"/>
          </w:tcPr>
          <w:p w14:paraId="5286C95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7054" w:type="dxa"/>
            <w:vAlign w:val="center"/>
          </w:tcPr>
          <w:p w14:paraId="0033D791">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4BA8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14:paraId="126C99E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价格权值=0.</w:t>
            </w:r>
            <w:r>
              <w:rPr>
                <w:rFonts w:hint="eastAsia" w:ascii="宋体" w:hAnsi="宋体" w:cs="宋体"/>
                <w:color w:val="auto"/>
                <w:kern w:val="2"/>
                <w:sz w:val="24"/>
                <w:szCs w:val="24"/>
                <w:highlight w:val="none"/>
                <w:u w:val="none"/>
                <w:lang w:val="en-US" w:eastAsia="zh-CN" w:bidi="ar-SA"/>
              </w:rPr>
              <w:t>30</w:t>
            </w:r>
          </w:p>
        </w:tc>
        <w:tc>
          <w:tcPr>
            <w:tcW w:w="7054" w:type="dxa"/>
            <w:vAlign w:val="center"/>
          </w:tcPr>
          <w:p w14:paraId="2551D58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有效投标价格为评标基准价</w:t>
            </w:r>
          </w:p>
          <w:p w14:paraId="23D99BC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投标报价得分=(投标报价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评标基准价)×价格权值×100 </w:t>
            </w:r>
          </w:p>
          <w:p w14:paraId="62FA06D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7F80FE8F">
      <w:pPr>
        <w:spacing w:line="440" w:lineRule="exact"/>
        <w:ind w:firstLine="480" w:firstLineChars="200"/>
        <w:rPr>
          <w:rFonts w:cs="仿宋" w:asciiTheme="minorEastAsia" w:hAnsiTheme="minorEastAsia" w:eastAsiaTheme="minorEastAsia"/>
          <w:color w:val="auto"/>
          <w:sz w:val="24"/>
          <w:highlight w:val="none"/>
        </w:rPr>
      </w:pPr>
    </w:p>
    <w:p w14:paraId="4D647D77">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注：1、评分时保留小数1位，计算评分值时保留小数2位。</w:t>
      </w:r>
    </w:p>
    <w:p w14:paraId="6F23A2BD">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2、评分条款中涉及的业绩、荣誉、人员、社保等分公司均有效。</w:t>
      </w:r>
    </w:p>
    <w:p w14:paraId="248C5A35">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3、若</w:t>
      </w:r>
      <w:r>
        <w:rPr>
          <w:rFonts w:hint="eastAsia" w:asciiTheme="minorEastAsia" w:hAnsiTheme="minorEastAsia" w:eastAsiaTheme="minorEastAsia"/>
          <w:color w:val="auto"/>
          <w:sz w:val="24"/>
          <w:highlight w:val="none"/>
          <w:lang w:eastAsia="zh-CN"/>
        </w:rPr>
        <w:t>交易发起人</w:t>
      </w:r>
      <w:r>
        <w:rPr>
          <w:rFonts w:hint="eastAsia" w:asciiTheme="minorEastAsia" w:hAnsiTheme="minorEastAsia" w:eastAsiaTheme="minorEastAsia"/>
          <w:color w:val="auto"/>
          <w:sz w:val="24"/>
          <w:highlight w:val="none"/>
        </w:rPr>
        <w:t>对供应商提供的证明资料要求为原件的，另行提出。</w:t>
      </w:r>
    </w:p>
    <w:p w14:paraId="7A8C5706">
      <w:pP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3332A0E9">
      <w:pPr>
        <w:spacing w:line="440" w:lineRule="exact"/>
        <w:ind w:firstLine="360" w:firstLineChars="150"/>
        <w:rPr>
          <w:rFonts w:ascii="仿宋" w:hAnsi="仿宋" w:eastAsia="仿宋" w:cs="仿宋"/>
          <w:b/>
          <w:color w:val="auto"/>
          <w:sz w:val="32"/>
          <w:highlight w:val="none"/>
        </w:rPr>
      </w:pPr>
      <w:r>
        <w:rPr>
          <w:rFonts w:hint="eastAsia" w:asciiTheme="minorEastAsia" w:hAnsiTheme="minorEastAsia" w:eastAsiaTheme="minorEastAsia"/>
          <w:color w:val="auto"/>
          <w:sz w:val="24"/>
          <w:highlight w:val="none"/>
        </w:rPr>
        <w:t>5、供应商编制响应文件（商务技术文件部分）时，建议按此目录（序号和内容）提供评审标准相应的商务技术资料。</w:t>
      </w:r>
    </w:p>
    <w:p w14:paraId="528BA1E5">
      <w:pPr>
        <w:pStyle w:val="137"/>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3.2.1</w:t>
      </w:r>
      <w:r>
        <w:rPr>
          <w:rFonts w:hint="eastAsia" w:ascii="仿宋" w:hAnsi="仿宋" w:eastAsia="仿宋" w:cs="仿宋"/>
          <w:b/>
          <w:color w:val="auto"/>
          <w:kern w:val="0"/>
          <w:highlight w:val="none"/>
          <w:lang w:eastAsia="zh-CN"/>
        </w:rPr>
        <w:t>响应文件</w:t>
      </w:r>
      <w:r>
        <w:rPr>
          <w:rFonts w:hint="eastAsia" w:ascii="仿宋" w:hAnsi="仿宋" w:eastAsia="仿宋" w:cs="仿宋"/>
          <w:b/>
          <w:color w:val="auto"/>
          <w:kern w:val="0"/>
          <w:highlight w:val="none"/>
        </w:rPr>
        <w:t>报价出现前后不一致的，按照下列规定修正：</w:t>
      </w:r>
    </w:p>
    <w:p w14:paraId="702C5B1A">
      <w:pPr>
        <w:pStyle w:val="13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0100271F">
      <w:pPr>
        <w:pStyle w:val="13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3.2.1.2大写金额和小写金额不一致的，以大写金额为准;</w:t>
      </w:r>
    </w:p>
    <w:p w14:paraId="3C384CA8">
      <w:pPr>
        <w:pStyle w:val="13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3.2.1.3单价金额小数点或者百分比有明显错位的，以开标一览表的总价为准，并修改单价;</w:t>
      </w:r>
    </w:p>
    <w:p w14:paraId="4C2A9C59">
      <w:pPr>
        <w:pStyle w:val="13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3.2.1.4总价金额与按单价汇总金额不一致的，以单价金额计算结果为准。</w:t>
      </w:r>
    </w:p>
    <w:p w14:paraId="21B3C021">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出现不是唯一的、有选择性投标报价的，投标无效。</w:t>
      </w:r>
    </w:p>
    <w:p w14:paraId="46F7BE18">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3.2.3</w:t>
      </w:r>
      <w:r>
        <w:rPr>
          <w:rFonts w:hint="eastAsia" w:ascii="仿宋" w:hAnsi="仿宋" w:eastAsia="仿宋" w:cs="仿宋"/>
          <w:color w:val="auto"/>
          <w:kern w:val="0"/>
          <w:sz w:val="24"/>
          <w:highlight w:val="none"/>
        </w:rPr>
        <w:t>投标报价超过交易文件中规定的预算金额或者最高限价的，投标无效。</w:t>
      </w:r>
    </w:p>
    <w:p w14:paraId="12072B2D">
      <w:pPr>
        <w:pStyle w:val="13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3.2.4</w:t>
      </w:r>
      <w:r>
        <w:rPr>
          <w:rFonts w:hint="eastAsia" w:ascii="仿宋" w:hAnsi="仿宋" w:eastAsia="仿宋" w:cs="仿宋"/>
          <w:color w:val="auto"/>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15235432">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3.3排序与推荐</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rPr>
        <w:t>采用</w:t>
      </w:r>
      <w:r>
        <w:rPr>
          <w:rFonts w:hint="eastAsia" w:ascii="仿宋" w:hAnsi="仿宋" w:eastAsia="仿宋" w:cs="仿宋"/>
          <w:color w:val="auto"/>
          <w:kern w:val="0"/>
          <w:sz w:val="24"/>
          <w:highlight w:val="none"/>
          <w:lang w:eastAsia="zh-CN"/>
        </w:rPr>
        <w:t>综合评分法</w:t>
      </w:r>
      <w:r>
        <w:rPr>
          <w:rFonts w:hint="eastAsia" w:ascii="仿宋" w:hAnsi="仿宋" w:eastAsia="仿宋" w:cs="仿宋"/>
          <w:color w:val="auto"/>
          <w:kern w:val="0"/>
          <w:sz w:val="24"/>
          <w:highlight w:val="none"/>
        </w:rPr>
        <w:t>的，评标结果按</w:t>
      </w:r>
      <w:r>
        <w:rPr>
          <w:rFonts w:hint="eastAsia" w:ascii="仿宋" w:hAnsi="仿宋" w:eastAsia="仿宋" w:cs="仿宋"/>
          <w:color w:val="auto"/>
          <w:kern w:val="0"/>
          <w:sz w:val="24"/>
          <w:highlight w:val="none"/>
          <w:lang w:val="en-US" w:eastAsia="zh-CN"/>
        </w:rPr>
        <w:t>综合得分</w:t>
      </w:r>
      <w:r>
        <w:rPr>
          <w:rFonts w:hint="eastAsia" w:ascii="仿宋" w:hAnsi="仿宋" w:eastAsia="仿宋" w:cs="仿宋"/>
          <w:color w:val="auto"/>
          <w:kern w:val="0"/>
          <w:sz w:val="24"/>
          <w:highlight w:val="none"/>
        </w:rPr>
        <w:t>由高到低顺序排列。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满足交易文件全部实质性要求，且有效报价最低的供应商为排名第一的中标候选人。</w:t>
      </w:r>
    </w:p>
    <w:p w14:paraId="0055724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报价最低的同品牌供应商获得成交人推荐资格；有效报价相同的，采取随机抽取方式确定，其他同品牌供应商不作为中标候选人。</w:t>
      </w:r>
    </w:p>
    <w:p w14:paraId="66A11412">
      <w:pPr>
        <w:widowControl/>
        <w:adjustRightInd/>
        <w:spacing w:before="100" w:beforeAutospacing="1" w:after="100" w:afterAutospacing="1"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 w:val="24"/>
          <w:highlight w:val="none"/>
        </w:rPr>
        <w:t>3.4编写评标报告。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E51097">
      <w:pPr>
        <w:widowControl/>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58AB9A6">
      <w:pPr>
        <w:pStyle w:val="137"/>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1"/>
          <w:highlight w:val="none"/>
        </w:rPr>
        <w:t>4.1</w:t>
      </w:r>
      <w:r>
        <w:rPr>
          <w:rFonts w:hint="eastAsia" w:ascii="仿宋" w:hAnsi="仿宋" w:eastAsia="仿宋" w:cs="仿宋"/>
          <w:b/>
          <w:bCs/>
          <w:color w:val="auto"/>
          <w:kern w:val="0"/>
          <w:szCs w:val="24"/>
          <w:highlight w:val="none"/>
        </w:rPr>
        <w:t>供应商澄清、说明或者补正。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7A02D74C">
      <w:pPr>
        <w:widowControl/>
        <w:adjustRightInd/>
        <w:spacing w:after="225" w:line="315" w:lineRule="atLeast"/>
        <w:jc w:val="left"/>
        <w:rPr>
          <w:rFonts w:hint="eastAsia" w:ascii="仿宋" w:hAnsi="仿宋" w:eastAsia="仿宋" w:cs="仿宋"/>
          <w:color w:val="auto"/>
          <w:kern w:val="0"/>
          <w:szCs w:val="21"/>
          <w:highlight w:val="none"/>
        </w:rPr>
      </w:pPr>
    </w:p>
    <w:p w14:paraId="747B4A65">
      <w:pPr>
        <w:pStyle w:val="25"/>
        <w:spacing w:line="360" w:lineRule="auto"/>
        <w:ind w:left="559" w:hanging="559" w:hangingChars="199"/>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14:paraId="2C93E8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4.2.1供应商不具备交易文件中规定的资格要求的（供应商未提供有效的资格文件的，视为供应商不具备交易文件中规定的资格要求）；</w:t>
      </w:r>
    </w:p>
    <w:p w14:paraId="051DF0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未按照交易文件要求签署、盖章的；</w:t>
      </w:r>
    </w:p>
    <w:p w14:paraId="7796AA4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不能接受的附加条件的；</w:t>
      </w:r>
    </w:p>
    <w:p w14:paraId="55A3BD5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中承诺的投标有效期少于交易文件中载明的投标有效期的；</w:t>
      </w:r>
    </w:p>
    <w:p w14:paraId="741C6F15">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w:t>
      </w:r>
    </w:p>
    <w:p w14:paraId="0788E91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投标报价超过交易文件中规定的预算金额或者最高限价的;</w:t>
      </w:r>
    </w:p>
    <w:p w14:paraId="0564142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p>
    <w:p w14:paraId="4F76125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供应商对根据修正原则修正后的报价不确认的；</w:t>
      </w:r>
    </w:p>
    <w:p w14:paraId="613043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供应商提供虚假材料投标的；</w:t>
      </w:r>
    </w:p>
    <w:p w14:paraId="18107022">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供应商有恶意串通、妨碍其他供应商的竞争行为、损害</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或者其他供应商的合法权益情形的；</w:t>
      </w:r>
    </w:p>
    <w:p w14:paraId="76DCEF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供应商仅提交备份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，没有在电子交易平台传输递交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的，投标无效；</w:t>
      </w:r>
    </w:p>
    <w:p w14:paraId="5E84BC8D">
      <w:pPr>
        <w:pStyle w:val="3"/>
        <w:numPr>
          <w:ilvl w:val="0"/>
          <w:numId w:val="0"/>
        </w:numPr>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val="en-US"/>
        </w:rPr>
        <w:t xml:space="preserve"> </w:t>
      </w:r>
      <w:r>
        <w:rPr>
          <w:rFonts w:hint="eastAsia" w:asci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不满足交易文件的其它实质性要求的；</w:t>
      </w:r>
    </w:p>
    <w:p w14:paraId="23CC45E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085F71BE">
      <w:pPr>
        <w:pStyle w:val="25"/>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在采购中，出现下列情形之一的，应予废标：</w:t>
      </w:r>
    </w:p>
    <w:p w14:paraId="5703C6E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5.1符合专业条件的供应商或者对交易文件作实质响应的供应商不足3家的；</w:t>
      </w:r>
    </w:p>
    <w:p w14:paraId="0C8B592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522329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不能支付的；</w:t>
      </w:r>
    </w:p>
    <w:p w14:paraId="545D154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E36E5D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14:paraId="600DF23B">
      <w:pPr>
        <w:pStyle w:val="25"/>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highlight w:val="none"/>
        </w:rPr>
        <w:t>6.修改交易文件，重新组织采购活动。</w:t>
      </w:r>
      <w:r>
        <w:rPr>
          <w:rFonts w:hint="eastAsia" w:ascii="仿宋" w:hAnsi="仿宋" w:eastAsia="仿宋" w:cs="仿宋"/>
          <w:color w:val="auto"/>
          <w:highlight w:val="none"/>
        </w:rPr>
        <w:t>评标委员会发现交易文件存在歧义、重大缺陷导致评标工作无法进行，或者交易文件内容违反国家有关强制性规定的，将停止评标工作，并与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、采购机构沟通并作书面记录。</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、采购机构确认后，将修改交易文件，重新组织采购活动。</w:t>
      </w:r>
    </w:p>
    <w:p w14:paraId="214B9F3C">
      <w:pPr>
        <w:pStyle w:val="25"/>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有采购法第七十一条、第七十二条规定的违法行为之一，影响或者可能影响中标、成交结果的，依照下列规定处理：</w:t>
      </w:r>
    </w:p>
    <w:p w14:paraId="52B1B53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7.1未确定中标或者成交人的，终止本次采购活动，重新开展采购活动。</w:t>
      </w:r>
    </w:p>
    <w:p w14:paraId="784B306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7.2已确定中标或者成交人但尚未签订采购合同的，中标或者成交结果无效，从合格的中标或者成交候选人中另行确定中标或者成交人；没有合格的中标或者成交候选人的，重新开展采购活动。</w:t>
      </w:r>
    </w:p>
    <w:p w14:paraId="20AAEB6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7.3采购合同已签订但尚未履行的，撤销合同，从合格的中标或者成交候选人中另行确定中标或者成交人；没有合格的中标或者成交候选人的，重新开展采购活动。</w:t>
      </w:r>
    </w:p>
    <w:p w14:paraId="593776C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、供应商造成损失的，由责任人承担赔偿责任。</w:t>
      </w:r>
    </w:p>
    <w:p w14:paraId="26FB646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7.5采购当事人有其他违反采购法</w:t>
      </w:r>
      <w:r>
        <w:rPr>
          <w:rFonts w:hint="eastAsia" w:ascii="仿宋" w:hAnsi="仿宋" w:eastAsia="仿宋" w:cs="仿宋"/>
          <w:color w:val="auto"/>
          <w:kern w:val="0"/>
          <w:highlight w:val="none"/>
        </w:rPr>
        <w:t>或者采购法实施条例等法律法规规定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59B4AA8C">
      <w:pPr>
        <w:pStyle w:val="5"/>
        <w:rPr>
          <w:rFonts w:hint="eastAsia"/>
          <w:color w:val="auto"/>
          <w:highlight w:val="none"/>
        </w:rPr>
        <w:sectPr>
          <w:footerReference r:id="rId8" w:type="first"/>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2"/>
          <w:cols w:space="720" w:num="1"/>
          <w:docGrid w:linePitch="312" w:charSpace="0"/>
        </w:sectPr>
      </w:pPr>
    </w:p>
    <w:p w14:paraId="4A8BA08A">
      <w:pPr>
        <w:pStyle w:val="63"/>
        <w:rPr>
          <w:rFonts w:hint="eastAsia" w:ascii="宋体" w:hAnsi="宋体" w:eastAsia="宋体" w:cs="宋体"/>
          <w:color w:val="auto"/>
          <w:highlight w:val="none"/>
        </w:rPr>
      </w:pPr>
    </w:p>
    <w:bookmarkEnd w:id="15"/>
    <w:p w14:paraId="01B2F8D7">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bookmarkStart w:id="17" w:name="第五部分"/>
      <w:bookmarkStart w:id="18" w:name="_Toc86217003"/>
      <w:r>
        <w:rPr>
          <w:rFonts w:hint="eastAsia" w:ascii="宋体" w:hAnsi="宋体" w:eastAsia="宋体" w:cs="宋体"/>
          <w:b/>
          <w:color w:val="auto"/>
          <w:sz w:val="36"/>
          <w:szCs w:val="36"/>
          <w:highlight w:val="none"/>
        </w:rPr>
        <w:t>第五部分 拟签订的合同文本</w:t>
      </w:r>
    </w:p>
    <w:p w14:paraId="3BD20FC6">
      <w:pPr>
        <w:jc w:val="center"/>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所前镇原海港制钉房屋委托运营协议</w:t>
      </w:r>
    </w:p>
    <w:p w14:paraId="25144B7C">
      <w:pPr>
        <w:jc w:val="center"/>
        <w:rPr>
          <w:rFonts w:hint="eastAsia" w:ascii="宋体" w:hAnsi="宋体" w:eastAsia="宋体" w:cs="宋体"/>
          <w:b/>
          <w:bCs/>
          <w:color w:val="auto"/>
          <w:sz w:val="36"/>
          <w:szCs w:val="36"/>
          <w:highlight w:val="none"/>
          <w:lang w:val="en-US" w:eastAsia="zh-CN"/>
        </w:rPr>
      </w:pPr>
    </w:p>
    <w:p w14:paraId="0E5E9115">
      <w:pPr>
        <w:adjustRightInd/>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甲方：杭州萧山</w:t>
      </w:r>
      <w:r>
        <w:rPr>
          <w:rFonts w:hint="eastAsia" w:ascii="宋体" w:hAnsi="宋体" w:eastAsia="宋体" w:cs="宋体"/>
          <w:color w:val="auto"/>
          <w:sz w:val="28"/>
          <w:szCs w:val="28"/>
          <w:highlight w:val="none"/>
          <w:lang w:val="en-US" w:eastAsia="zh-CN"/>
        </w:rPr>
        <w:t>城市交通</w:t>
      </w:r>
      <w:r>
        <w:rPr>
          <w:rFonts w:hint="eastAsia" w:ascii="宋体" w:hAnsi="宋体" w:eastAsia="宋体" w:cs="宋体"/>
          <w:color w:val="auto"/>
          <w:sz w:val="28"/>
          <w:szCs w:val="28"/>
          <w:highlight w:val="none"/>
        </w:rPr>
        <w:t>开发有限公司</w:t>
      </w:r>
    </w:p>
    <w:p w14:paraId="30888F2D">
      <w:pPr>
        <w:adjustRightInd/>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p>
    <w:p w14:paraId="4C620AD2">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经公开招标，确定乙方为</w:t>
      </w:r>
      <w:r>
        <w:rPr>
          <w:rFonts w:hint="eastAsia" w:ascii="宋体" w:hAnsi="宋体" w:cs="宋体"/>
          <w:color w:val="auto"/>
          <w:sz w:val="28"/>
          <w:szCs w:val="28"/>
          <w:highlight w:val="none"/>
          <w:lang w:val="en-US" w:eastAsia="zh-CN"/>
        </w:rPr>
        <w:t>所前镇原海港制钉房屋运营方</w:t>
      </w:r>
      <w:r>
        <w:rPr>
          <w:rFonts w:hint="eastAsia" w:ascii="宋体" w:hAnsi="宋体" w:eastAsia="宋体" w:cs="宋体"/>
          <w:color w:val="auto"/>
          <w:sz w:val="28"/>
          <w:szCs w:val="28"/>
          <w:highlight w:val="none"/>
        </w:rPr>
        <w:t>，现双方就</w:t>
      </w:r>
      <w:r>
        <w:rPr>
          <w:rFonts w:hint="eastAsia" w:ascii="宋体" w:hAnsi="宋体" w:cs="宋体"/>
          <w:color w:val="auto"/>
          <w:sz w:val="28"/>
          <w:szCs w:val="28"/>
          <w:highlight w:val="none"/>
          <w:lang w:eastAsia="zh-CN"/>
        </w:rPr>
        <w:t>委托运营</w:t>
      </w:r>
      <w:r>
        <w:rPr>
          <w:rFonts w:hint="eastAsia" w:ascii="宋体" w:hAnsi="宋体" w:eastAsia="宋体" w:cs="宋体"/>
          <w:color w:val="auto"/>
          <w:sz w:val="28"/>
          <w:szCs w:val="28"/>
          <w:highlight w:val="none"/>
        </w:rPr>
        <w:t>事宜达成一致意见，签订协议如下：</w:t>
      </w:r>
    </w:p>
    <w:p w14:paraId="3290837D">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第一条：</w:t>
      </w:r>
      <w:r>
        <w:rPr>
          <w:rFonts w:hint="eastAsia" w:ascii="宋体" w:hAnsi="宋体" w:cs="宋体"/>
          <w:color w:val="auto"/>
          <w:sz w:val="28"/>
          <w:szCs w:val="28"/>
          <w:highlight w:val="none"/>
          <w:lang w:val="en-US" w:eastAsia="zh-CN"/>
        </w:rPr>
        <w:t>房屋</w:t>
      </w:r>
      <w:r>
        <w:rPr>
          <w:rFonts w:hint="eastAsia" w:ascii="宋体" w:hAnsi="宋体" w:eastAsia="宋体" w:cs="宋体"/>
          <w:color w:val="auto"/>
          <w:sz w:val="28"/>
          <w:szCs w:val="28"/>
          <w:highlight w:val="none"/>
        </w:rPr>
        <w:t>范围及用途</w:t>
      </w:r>
    </w:p>
    <w:p w14:paraId="635DFC83">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房屋</w:t>
      </w:r>
      <w:r>
        <w:rPr>
          <w:rFonts w:hint="eastAsia" w:ascii="宋体" w:hAnsi="宋体" w:eastAsia="宋体" w:cs="宋体"/>
          <w:color w:val="auto"/>
          <w:sz w:val="28"/>
          <w:szCs w:val="28"/>
          <w:highlight w:val="none"/>
        </w:rPr>
        <w:t>位于浙江省杭州市萧山区所前北路10号，合计总面积</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val="en-US" w:eastAsia="zh-CN"/>
        </w:rPr>
        <w:t>2432.24㎡</w:t>
      </w:r>
      <w:r>
        <w:rPr>
          <w:rFonts w:hint="eastAsia" w:ascii="宋体" w:hAnsi="宋体" w:eastAsia="宋体" w:cs="宋体"/>
          <w:color w:val="auto"/>
          <w:sz w:val="28"/>
          <w:szCs w:val="28"/>
          <w:highlight w:val="none"/>
        </w:rPr>
        <w:t>。</w:t>
      </w:r>
    </w:p>
    <w:p w14:paraId="25058054">
      <w:pPr>
        <w:adjustRightInd/>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2、</w:t>
      </w:r>
      <w:r>
        <w:rPr>
          <w:rFonts w:hint="eastAsia" w:ascii="宋体" w:hAnsi="宋体" w:cs="宋体"/>
          <w:color w:val="auto"/>
          <w:sz w:val="28"/>
          <w:szCs w:val="28"/>
          <w:highlight w:val="none"/>
          <w:lang w:val="en-US" w:eastAsia="zh-CN"/>
        </w:rPr>
        <w:t>房屋</w:t>
      </w:r>
      <w:r>
        <w:rPr>
          <w:rFonts w:hint="eastAsia" w:ascii="宋体" w:hAnsi="宋体" w:eastAsia="宋体" w:cs="宋体"/>
          <w:color w:val="auto"/>
          <w:sz w:val="28"/>
          <w:szCs w:val="28"/>
          <w:highlight w:val="none"/>
          <w:lang w:val="en-US" w:eastAsia="zh-CN"/>
        </w:rPr>
        <w:t>不得从事危化品生产、加工、储存、经营</w:t>
      </w:r>
      <w:r>
        <w:rPr>
          <w:rFonts w:hint="eastAsia" w:ascii="宋体" w:hAnsi="宋体" w:eastAsia="宋体" w:cs="宋体"/>
          <w:color w:val="auto"/>
          <w:sz w:val="28"/>
          <w:szCs w:val="28"/>
          <w:highlight w:val="none"/>
        </w:rPr>
        <w:t>。引入的产业要符合属地产业规划。</w:t>
      </w:r>
    </w:p>
    <w:p w14:paraId="67E8975F">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第二条：</w:t>
      </w:r>
      <w:r>
        <w:rPr>
          <w:rFonts w:hint="eastAsia" w:ascii="宋体" w:hAnsi="宋体" w:cs="宋体"/>
          <w:color w:val="auto"/>
          <w:sz w:val="28"/>
          <w:szCs w:val="28"/>
          <w:highlight w:val="none"/>
          <w:lang w:eastAsia="zh-CN"/>
        </w:rPr>
        <w:t>运营</w:t>
      </w:r>
      <w:r>
        <w:rPr>
          <w:rFonts w:hint="eastAsia" w:ascii="宋体" w:hAnsi="宋体" w:eastAsia="宋体" w:cs="宋体"/>
          <w:color w:val="auto"/>
          <w:sz w:val="28"/>
          <w:szCs w:val="28"/>
          <w:highlight w:val="none"/>
        </w:rPr>
        <w:t>时间</w:t>
      </w:r>
    </w:p>
    <w:p w14:paraId="50F0D6E3">
      <w:pPr>
        <w:adjustRightInd/>
        <w:spacing w:line="520" w:lineRule="exact"/>
        <w:ind w:firstLine="560" w:firstLineChars="200"/>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自</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lang w:eastAsia="zh-CN"/>
        </w:rPr>
        <w:t>年</w:t>
      </w:r>
      <w:r>
        <w:rPr>
          <w:rFonts w:hint="eastAsia" w:ascii="宋体" w:hAnsi="宋体" w:eastAsia="宋体" w:cs="宋体"/>
          <w:i/>
          <w:iCs/>
          <w:color w:val="auto"/>
          <w:spacing w:val="0"/>
          <w:sz w:val="28"/>
          <w:szCs w:val="28"/>
          <w:highlight w:val="none"/>
          <w:u w:val="none"/>
          <w:lang w:eastAsia="zh-CN"/>
        </w:rPr>
        <w:t xml:space="preserve"> </w:t>
      </w:r>
      <w:r>
        <w:rPr>
          <w:rFonts w:hint="eastAsia" w:ascii="宋体" w:hAnsi="宋体" w:eastAsia="宋体" w:cs="宋体"/>
          <w:i/>
          <w:iCs/>
          <w:color w:val="auto"/>
          <w:spacing w:val="0"/>
          <w:sz w:val="28"/>
          <w:szCs w:val="28"/>
          <w:highlight w:val="none"/>
          <w:u w:val="none"/>
          <w:lang w:val="en-US" w:eastAsia="zh-CN"/>
        </w:rPr>
        <w:t xml:space="preserve"> </w:t>
      </w:r>
      <w:r>
        <w:rPr>
          <w:rFonts w:hint="eastAsia" w:ascii="宋体" w:hAnsi="宋体" w:eastAsia="宋体" w:cs="宋体"/>
          <w:i/>
          <w:iCs/>
          <w:color w:val="auto"/>
          <w:spacing w:val="0"/>
          <w:sz w:val="28"/>
          <w:szCs w:val="28"/>
          <w:highlight w:val="none"/>
          <w:u w:val="none"/>
          <w:lang w:eastAsia="zh-CN"/>
        </w:rPr>
        <w:t xml:space="preserve"> </w:t>
      </w:r>
      <w:r>
        <w:rPr>
          <w:rFonts w:hint="eastAsia" w:ascii="宋体" w:hAnsi="宋体" w:eastAsia="宋体" w:cs="宋体"/>
          <w:color w:val="auto"/>
          <w:spacing w:val="0"/>
          <w:sz w:val="28"/>
          <w:szCs w:val="28"/>
          <w:highlight w:val="none"/>
          <w:lang w:eastAsia="zh-CN"/>
        </w:rPr>
        <w:t>月</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lang w:eastAsia="zh-CN"/>
        </w:rPr>
        <w:t>日至</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lang w:eastAsia="zh-CN"/>
        </w:rPr>
        <w:t>年</w:t>
      </w:r>
      <w:r>
        <w:rPr>
          <w:rFonts w:hint="eastAsia" w:ascii="宋体" w:hAnsi="宋体" w:eastAsia="宋体" w:cs="宋体"/>
          <w:i/>
          <w:iCs/>
          <w:color w:val="auto"/>
          <w:spacing w:val="0"/>
          <w:sz w:val="28"/>
          <w:szCs w:val="28"/>
          <w:highlight w:val="none"/>
          <w:u w:val="none"/>
          <w:lang w:eastAsia="zh-CN"/>
        </w:rPr>
        <w:t xml:space="preserve"> </w:t>
      </w:r>
      <w:r>
        <w:rPr>
          <w:rFonts w:hint="eastAsia" w:ascii="宋体" w:hAnsi="宋体" w:eastAsia="宋体" w:cs="宋体"/>
          <w:i/>
          <w:iCs/>
          <w:color w:val="auto"/>
          <w:spacing w:val="0"/>
          <w:sz w:val="28"/>
          <w:szCs w:val="28"/>
          <w:highlight w:val="none"/>
          <w:u w:val="none"/>
          <w:lang w:val="en-US" w:eastAsia="zh-CN"/>
        </w:rPr>
        <w:t xml:space="preserve"> </w:t>
      </w:r>
      <w:r>
        <w:rPr>
          <w:rFonts w:hint="eastAsia" w:ascii="宋体" w:hAnsi="宋体" w:eastAsia="宋体" w:cs="宋体"/>
          <w:i/>
          <w:iCs/>
          <w:color w:val="auto"/>
          <w:spacing w:val="0"/>
          <w:sz w:val="28"/>
          <w:szCs w:val="28"/>
          <w:highlight w:val="none"/>
          <w:u w:val="none"/>
          <w:lang w:eastAsia="zh-CN"/>
        </w:rPr>
        <w:t xml:space="preserve"> </w:t>
      </w:r>
      <w:r>
        <w:rPr>
          <w:rFonts w:hint="eastAsia" w:ascii="宋体" w:hAnsi="宋体" w:eastAsia="宋体" w:cs="宋体"/>
          <w:color w:val="auto"/>
          <w:spacing w:val="0"/>
          <w:sz w:val="28"/>
          <w:szCs w:val="28"/>
          <w:highlight w:val="none"/>
          <w:lang w:eastAsia="zh-CN"/>
        </w:rPr>
        <w:t>月</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lang w:eastAsia="zh-CN"/>
        </w:rPr>
        <w:t>日止，共</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u w:val="single"/>
          <w:lang w:val="en-US" w:eastAsia="zh-CN"/>
        </w:rPr>
        <w:t>5</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lang w:eastAsia="zh-CN"/>
        </w:rPr>
        <w:t>年。</w:t>
      </w:r>
      <w:r>
        <w:rPr>
          <w:rFonts w:hint="eastAsia" w:ascii="宋体" w:hAnsi="宋体" w:cs="宋体"/>
          <w:color w:val="auto"/>
          <w:spacing w:val="0"/>
          <w:sz w:val="28"/>
          <w:szCs w:val="28"/>
          <w:highlight w:val="none"/>
          <w:lang w:val="en-US" w:eastAsia="zh-CN"/>
        </w:rPr>
        <w:t>试运营</w:t>
      </w:r>
      <w:r>
        <w:rPr>
          <w:rFonts w:hint="eastAsia" w:ascii="宋体" w:hAnsi="宋体" w:eastAsia="宋体" w:cs="宋体"/>
          <w:color w:val="auto"/>
          <w:spacing w:val="0"/>
          <w:sz w:val="28"/>
          <w:szCs w:val="28"/>
          <w:highlight w:val="none"/>
          <w:lang w:eastAsia="zh-CN"/>
        </w:rPr>
        <w:t>期自</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lang w:eastAsia="zh-CN"/>
        </w:rPr>
        <w:t>年</w:t>
      </w:r>
      <w:r>
        <w:rPr>
          <w:rFonts w:hint="eastAsia" w:ascii="宋体" w:hAnsi="宋体" w:eastAsia="宋体" w:cs="宋体"/>
          <w:i/>
          <w:iCs/>
          <w:color w:val="auto"/>
          <w:spacing w:val="0"/>
          <w:sz w:val="28"/>
          <w:szCs w:val="28"/>
          <w:highlight w:val="none"/>
          <w:u w:val="none"/>
          <w:lang w:eastAsia="zh-CN"/>
        </w:rPr>
        <w:t xml:space="preserve"> </w:t>
      </w:r>
      <w:r>
        <w:rPr>
          <w:rFonts w:hint="eastAsia" w:ascii="宋体" w:hAnsi="宋体" w:eastAsia="宋体" w:cs="宋体"/>
          <w:i/>
          <w:iCs/>
          <w:color w:val="auto"/>
          <w:spacing w:val="0"/>
          <w:sz w:val="28"/>
          <w:szCs w:val="28"/>
          <w:highlight w:val="none"/>
          <w:u w:val="none"/>
          <w:lang w:val="en-US" w:eastAsia="zh-CN"/>
        </w:rPr>
        <w:t xml:space="preserve"> </w:t>
      </w:r>
      <w:r>
        <w:rPr>
          <w:rFonts w:hint="eastAsia" w:ascii="宋体" w:hAnsi="宋体" w:eastAsia="宋体" w:cs="宋体"/>
          <w:i/>
          <w:iCs/>
          <w:color w:val="auto"/>
          <w:spacing w:val="0"/>
          <w:sz w:val="28"/>
          <w:szCs w:val="28"/>
          <w:highlight w:val="none"/>
          <w:u w:val="none"/>
          <w:lang w:eastAsia="zh-CN"/>
        </w:rPr>
        <w:t xml:space="preserve"> </w:t>
      </w:r>
      <w:r>
        <w:rPr>
          <w:rFonts w:hint="eastAsia" w:ascii="宋体" w:hAnsi="宋体" w:eastAsia="宋体" w:cs="宋体"/>
          <w:color w:val="auto"/>
          <w:spacing w:val="0"/>
          <w:sz w:val="28"/>
          <w:szCs w:val="28"/>
          <w:highlight w:val="none"/>
          <w:lang w:eastAsia="zh-CN"/>
        </w:rPr>
        <w:t>月</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lang w:eastAsia="zh-CN"/>
        </w:rPr>
        <w:t>日至</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lang w:eastAsia="zh-CN"/>
        </w:rPr>
        <w:t>年</w:t>
      </w:r>
      <w:r>
        <w:rPr>
          <w:rFonts w:hint="eastAsia" w:ascii="宋体" w:hAnsi="宋体" w:eastAsia="宋体" w:cs="宋体"/>
          <w:i/>
          <w:iCs/>
          <w:color w:val="auto"/>
          <w:spacing w:val="0"/>
          <w:sz w:val="28"/>
          <w:szCs w:val="28"/>
          <w:highlight w:val="none"/>
          <w:u w:val="none"/>
          <w:lang w:eastAsia="zh-CN"/>
        </w:rPr>
        <w:t xml:space="preserve"> </w:t>
      </w:r>
      <w:r>
        <w:rPr>
          <w:rFonts w:hint="eastAsia" w:ascii="宋体" w:hAnsi="宋体" w:eastAsia="宋体" w:cs="宋体"/>
          <w:i/>
          <w:iCs/>
          <w:color w:val="auto"/>
          <w:spacing w:val="0"/>
          <w:sz w:val="28"/>
          <w:szCs w:val="28"/>
          <w:highlight w:val="none"/>
          <w:u w:val="none"/>
          <w:lang w:val="en-US" w:eastAsia="zh-CN"/>
        </w:rPr>
        <w:t xml:space="preserve"> </w:t>
      </w:r>
      <w:r>
        <w:rPr>
          <w:rFonts w:hint="eastAsia" w:ascii="宋体" w:hAnsi="宋体" w:eastAsia="宋体" w:cs="宋体"/>
          <w:i/>
          <w:iCs/>
          <w:color w:val="auto"/>
          <w:spacing w:val="0"/>
          <w:sz w:val="28"/>
          <w:szCs w:val="28"/>
          <w:highlight w:val="none"/>
          <w:u w:val="none"/>
          <w:lang w:eastAsia="zh-CN"/>
        </w:rPr>
        <w:t xml:space="preserve"> </w:t>
      </w:r>
      <w:r>
        <w:rPr>
          <w:rFonts w:hint="eastAsia" w:ascii="宋体" w:hAnsi="宋体" w:eastAsia="宋体" w:cs="宋体"/>
          <w:color w:val="auto"/>
          <w:spacing w:val="0"/>
          <w:sz w:val="28"/>
          <w:szCs w:val="28"/>
          <w:highlight w:val="none"/>
          <w:lang w:eastAsia="zh-CN"/>
        </w:rPr>
        <w:t>月</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single"/>
          <w:lang w:eastAsia="zh-CN"/>
        </w:rPr>
        <w:t xml:space="preserve"> </w:t>
      </w:r>
      <w:r>
        <w:rPr>
          <w:rFonts w:hint="eastAsia" w:ascii="宋体" w:hAnsi="宋体" w:eastAsia="宋体" w:cs="宋体"/>
          <w:color w:val="auto"/>
          <w:spacing w:val="0"/>
          <w:sz w:val="28"/>
          <w:szCs w:val="28"/>
          <w:highlight w:val="none"/>
          <w:lang w:eastAsia="zh-CN"/>
        </w:rPr>
        <w:t>日止，共</w:t>
      </w:r>
      <w:r>
        <w:rPr>
          <w:rFonts w:hint="eastAsia" w:ascii="宋体" w:hAnsi="宋体" w:eastAsia="宋体" w:cs="宋体"/>
          <w:color w:val="auto"/>
          <w:spacing w:val="0"/>
          <w:sz w:val="28"/>
          <w:szCs w:val="28"/>
          <w:highlight w:val="none"/>
          <w:lang w:val="en-US" w:eastAsia="zh-CN"/>
        </w:rPr>
        <w:t xml:space="preserve"> 1 年</w:t>
      </w:r>
      <w:r>
        <w:rPr>
          <w:rFonts w:hint="eastAsia" w:ascii="宋体" w:hAnsi="宋体" w:eastAsia="宋体" w:cs="宋体"/>
          <w:color w:val="auto"/>
          <w:spacing w:val="0"/>
          <w:sz w:val="28"/>
          <w:szCs w:val="28"/>
          <w:highlight w:val="none"/>
          <w:lang w:eastAsia="zh-CN"/>
        </w:rPr>
        <w:t>。</w:t>
      </w:r>
    </w:p>
    <w:p w14:paraId="2071669A">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第三条：相关费用</w:t>
      </w:r>
    </w:p>
    <w:p w14:paraId="7C0DC6AB">
      <w:pPr>
        <w:keepNext w:val="0"/>
        <w:keepLines w:val="0"/>
        <w:pageBreakBefore w:val="0"/>
        <w:widowControl/>
        <w:kinsoku/>
        <w:wordWrap/>
        <w:overflowPunct/>
        <w:topLinePunct w:val="0"/>
        <w:autoSpaceDE/>
        <w:autoSpaceDN/>
        <w:bidi w:val="0"/>
        <w:adjustRightInd/>
        <w:snapToGrid w:val="0"/>
        <w:spacing w:before="70" w:line="240" w:lineRule="auto"/>
        <w:ind w:right="79" w:firstLine="519"/>
        <w:jc w:val="left"/>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4"/>
          <w:sz w:val="30"/>
          <w:szCs w:val="30"/>
          <w:highlight w:val="none"/>
          <w:lang w:val="en-US" w:eastAsia="zh-CN"/>
        </w:rPr>
        <w:t>本项目运营期限5年，试运营期一年</w:t>
      </w:r>
      <w:r>
        <w:rPr>
          <w:rFonts w:hint="eastAsia" w:ascii="仿宋" w:hAnsi="仿宋" w:eastAsia="仿宋" w:cs="仿宋"/>
          <w:color w:val="auto"/>
          <w:spacing w:val="4"/>
          <w:sz w:val="30"/>
          <w:szCs w:val="30"/>
          <w:highlight w:val="none"/>
          <w:lang w:val="en-US" w:eastAsia="zh-CN"/>
        </w:rPr>
        <w:t>。</w:t>
      </w:r>
      <w:r>
        <w:rPr>
          <w:rFonts w:hint="eastAsia" w:ascii="仿宋" w:hAnsi="仿宋" w:eastAsia="仿宋" w:cs="仿宋"/>
          <w:color w:val="auto"/>
          <w:spacing w:val="4"/>
          <w:sz w:val="30"/>
          <w:szCs w:val="30"/>
          <w:highlight w:val="none"/>
          <w:lang w:eastAsia="zh-CN"/>
        </w:rPr>
        <w:t>首年管理费按</w:t>
      </w:r>
      <w:r>
        <w:rPr>
          <w:rFonts w:hint="eastAsia" w:ascii="仿宋" w:hAnsi="仿宋" w:eastAsia="仿宋" w:cs="仿宋"/>
          <w:color w:val="auto"/>
          <w:spacing w:val="4"/>
          <w:sz w:val="30"/>
          <w:szCs w:val="30"/>
          <w:highlight w:val="none"/>
          <w:lang w:val="en-US" w:eastAsia="zh-CN"/>
        </w:rPr>
        <w:t>投标价</w:t>
      </w:r>
      <w:r>
        <w:rPr>
          <w:rFonts w:hint="eastAsia" w:ascii="仿宋" w:hAnsi="仿宋" w:eastAsia="仿宋" w:cs="仿宋"/>
          <w:color w:val="auto"/>
          <w:spacing w:val="4"/>
          <w:sz w:val="30"/>
          <w:szCs w:val="30"/>
          <w:highlight w:val="none"/>
          <w:u w:val="single"/>
          <w:lang w:val="en-US" w:eastAsia="zh-CN"/>
        </w:rPr>
        <w:t xml:space="preserve">      </w:t>
      </w:r>
      <w:r>
        <w:rPr>
          <w:rFonts w:hint="eastAsia" w:ascii="仿宋" w:hAnsi="仿宋" w:eastAsia="仿宋" w:cs="仿宋"/>
          <w:color w:val="auto"/>
          <w:spacing w:val="4"/>
          <w:sz w:val="30"/>
          <w:szCs w:val="30"/>
          <w:highlight w:val="none"/>
          <w:lang w:val="en-US" w:eastAsia="zh-CN"/>
        </w:rPr>
        <w:t xml:space="preserve">  </w:t>
      </w:r>
      <w:r>
        <w:rPr>
          <w:rFonts w:hint="eastAsia" w:ascii="仿宋" w:hAnsi="仿宋" w:eastAsia="仿宋" w:cs="仿宋"/>
          <w:color w:val="auto"/>
          <w:spacing w:val="4"/>
          <w:sz w:val="30"/>
          <w:szCs w:val="30"/>
          <w:highlight w:val="none"/>
          <w:lang w:eastAsia="zh-CN"/>
        </w:rPr>
        <w:t>元，</w:t>
      </w:r>
      <w:r>
        <w:rPr>
          <w:rFonts w:hint="eastAsia" w:ascii="仿宋" w:hAnsi="仿宋" w:eastAsia="仿宋" w:cs="仿宋"/>
          <w:color w:val="auto"/>
          <w:spacing w:val="4"/>
          <w:sz w:val="30"/>
          <w:szCs w:val="30"/>
          <w:highlight w:val="none"/>
          <w:lang w:val="en-US" w:eastAsia="zh-CN"/>
        </w:rPr>
        <w:t>管理费每两年递增3%。前两年管理费</w:t>
      </w:r>
      <w:r>
        <w:rPr>
          <w:rFonts w:hint="eastAsia" w:ascii="仿宋" w:hAnsi="仿宋" w:eastAsia="仿宋" w:cs="仿宋"/>
          <w:color w:val="auto"/>
          <w:spacing w:val="4"/>
          <w:sz w:val="30"/>
          <w:szCs w:val="30"/>
          <w:highlight w:val="none"/>
          <w:lang w:eastAsia="zh-CN"/>
        </w:rPr>
        <w:t>于本合同签订时一次性付清，</w:t>
      </w:r>
      <w:r>
        <w:rPr>
          <w:rFonts w:hint="eastAsia" w:ascii="仿宋" w:hAnsi="仿宋" w:eastAsia="仿宋" w:cs="仿宋"/>
          <w:color w:val="auto"/>
          <w:spacing w:val="4"/>
          <w:sz w:val="30"/>
          <w:szCs w:val="30"/>
          <w:highlight w:val="none"/>
          <w:lang w:val="en-US" w:eastAsia="zh-CN"/>
        </w:rPr>
        <w:t>之后管理费一年一付，</w:t>
      </w:r>
      <w:r>
        <w:rPr>
          <w:rFonts w:hint="eastAsia" w:ascii="仿宋" w:hAnsi="仿宋" w:eastAsia="仿宋" w:cs="仿宋"/>
          <w:color w:val="auto"/>
          <w:spacing w:val="4"/>
          <w:sz w:val="30"/>
          <w:szCs w:val="30"/>
          <w:highlight w:val="none"/>
          <w:lang w:eastAsia="zh-CN"/>
        </w:rPr>
        <w:t>先付后用</w:t>
      </w:r>
      <w:r>
        <w:rPr>
          <w:rFonts w:hint="eastAsia" w:ascii="仿宋" w:hAnsi="仿宋" w:eastAsia="仿宋" w:cs="仿宋"/>
          <w:color w:val="auto"/>
          <w:spacing w:val="4"/>
          <w:sz w:val="30"/>
          <w:szCs w:val="30"/>
          <w:highlight w:val="none"/>
          <w:lang w:val="en-US" w:eastAsia="zh-CN"/>
        </w:rPr>
        <w:t>。考虑到改造及招商因素，试运营期免收管理费。</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245"/>
        <w:gridCol w:w="1965"/>
        <w:gridCol w:w="2325"/>
        <w:gridCol w:w="2757"/>
      </w:tblGrid>
      <w:tr w14:paraId="07DC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top"/>
          </w:tcPr>
          <w:p w14:paraId="2719D3D9">
            <w:pPr>
              <w:widowControl/>
              <w:kinsoku/>
              <w:autoSpaceDE/>
              <w:autoSpaceDN/>
              <w:adjustRightInd/>
              <w:snapToGrid w:val="0"/>
              <w:spacing w:before="70"/>
              <w:ind w:right="79" w:rightChars="0" w:firstLine="0" w:firstLineChars="0"/>
              <w:jc w:val="left"/>
              <w:textAlignment w:val="center"/>
              <w:rPr>
                <w:rFonts w:hint="default"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4"/>
                <w:sz w:val="30"/>
                <w:szCs w:val="30"/>
                <w:highlight w:val="none"/>
                <w:vertAlign w:val="baseline"/>
                <w:lang w:val="en-US" w:eastAsia="zh-CN"/>
              </w:rPr>
              <w:t>序号</w:t>
            </w:r>
          </w:p>
        </w:tc>
        <w:tc>
          <w:tcPr>
            <w:tcW w:w="1245" w:type="dxa"/>
            <w:vAlign w:val="top"/>
          </w:tcPr>
          <w:p w14:paraId="53FCD01D">
            <w:pPr>
              <w:widowControl/>
              <w:kinsoku/>
              <w:autoSpaceDE/>
              <w:autoSpaceDN/>
              <w:adjustRightInd/>
              <w:snapToGrid w:val="0"/>
              <w:spacing w:before="70"/>
              <w:ind w:right="79" w:rightChars="0" w:firstLine="0" w:firstLineChars="0"/>
              <w:jc w:val="left"/>
              <w:textAlignment w:val="center"/>
              <w:rPr>
                <w:rFonts w:hint="default"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4"/>
                <w:sz w:val="30"/>
                <w:szCs w:val="30"/>
                <w:highlight w:val="none"/>
                <w:vertAlign w:val="baseline"/>
                <w:lang w:val="en-US" w:eastAsia="zh-CN"/>
              </w:rPr>
              <w:t>时间</w:t>
            </w:r>
          </w:p>
        </w:tc>
        <w:tc>
          <w:tcPr>
            <w:tcW w:w="1965" w:type="dxa"/>
            <w:vAlign w:val="top"/>
          </w:tcPr>
          <w:p w14:paraId="534112E9">
            <w:pPr>
              <w:widowControl/>
              <w:kinsoku/>
              <w:autoSpaceDE/>
              <w:autoSpaceDN/>
              <w:adjustRightInd/>
              <w:snapToGrid w:val="0"/>
              <w:spacing w:before="70"/>
              <w:ind w:right="79" w:rightChars="0" w:firstLine="0" w:firstLineChars="0"/>
              <w:jc w:val="left"/>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val="en-US" w:eastAsia="zh-CN"/>
              </w:rPr>
              <w:t>管理费</w:t>
            </w:r>
            <w:r>
              <w:rPr>
                <w:rFonts w:hint="eastAsia" w:ascii="仿宋" w:hAnsi="仿宋" w:eastAsia="仿宋" w:cs="仿宋"/>
                <w:color w:val="auto"/>
                <w:spacing w:val="-13"/>
                <w:sz w:val="30"/>
                <w:szCs w:val="30"/>
                <w:highlight w:val="none"/>
                <w:lang w:eastAsia="zh-CN"/>
              </w:rPr>
              <w:t>（元）</w:t>
            </w:r>
          </w:p>
        </w:tc>
        <w:tc>
          <w:tcPr>
            <w:tcW w:w="2325" w:type="dxa"/>
            <w:vAlign w:val="top"/>
          </w:tcPr>
          <w:p w14:paraId="33257C69">
            <w:pPr>
              <w:widowControl/>
              <w:kinsoku/>
              <w:autoSpaceDE/>
              <w:autoSpaceDN/>
              <w:adjustRightInd/>
              <w:snapToGrid w:val="0"/>
              <w:spacing w:before="70"/>
              <w:ind w:right="79" w:rightChars="0" w:firstLine="0" w:firstLineChars="0"/>
              <w:jc w:val="left"/>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eastAsia="zh-CN"/>
              </w:rPr>
              <w:t>实缴</w:t>
            </w:r>
            <w:r>
              <w:rPr>
                <w:rFonts w:hint="eastAsia" w:ascii="仿宋" w:hAnsi="仿宋" w:eastAsia="仿宋" w:cs="仿宋"/>
                <w:color w:val="auto"/>
                <w:spacing w:val="-13"/>
                <w:sz w:val="30"/>
                <w:szCs w:val="30"/>
                <w:highlight w:val="none"/>
                <w:lang w:val="en-US" w:eastAsia="zh-CN"/>
              </w:rPr>
              <w:t>管理费</w:t>
            </w:r>
            <w:r>
              <w:rPr>
                <w:rFonts w:hint="eastAsia" w:ascii="仿宋" w:hAnsi="仿宋" w:eastAsia="仿宋" w:cs="仿宋"/>
                <w:color w:val="auto"/>
                <w:spacing w:val="-13"/>
                <w:sz w:val="30"/>
                <w:szCs w:val="30"/>
                <w:highlight w:val="none"/>
                <w:lang w:eastAsia="zh-CN"/>
              </w:rPr>
              <w:t>（元）</w:t>
            </w:r>
          </w:p>
        </w:tc>
        <w:tc>
          <w:tcPr>
            <w:tcW w:w="2757" w:type="dxa"/>
            <w:vAlign w:val="top"/>
          </w:tcPr>
          <w:p w14:paraId="5AAB26B8">
            <w:pPr>
              <w:widowControl/>
              <w:kinsoku/>
              <w:autoSpaceDE/>
              <w:autoSpaceDN/>
              <w:adjustRightInd/>
              <w:snapToGrid w:val="0"/>
              <w:spacing w:before="70"/>
              <w:ind w:right="79" w:rightChars="0" w:firstLine="0" w:firstLineChars="0"/>
              <w:jc w:val="left"/>
              <w:textAlignment w:val="center"/>
              <w:rPr>
                <w:rFonts w:hint="default" w:ascii="仿宋" w:hAnsi="仿宋" w:eastAsia="仿宋" w:cs="仿宋"/>
                <w:color w:val="auto"/>
                <w:spacing w:val="-13"/>
                <w:sz w:val="30"/>
                <w:szCs w:val="30"/>
                <w:highlight w:val="none"/>
                <w:lang w:val="en-US" w:eastAsia="zh-CN"/>
              </w:rPr>
            </w:pPr>
            <w:r>
              <w:rPr>
                <w:rFonts w:hint="eastAsia" w:ascii="仿宋" w:hAnsi="仿宋" w:eastAsia="仿宋" w:cs="仿宋"/>
                <w:color w:val="auto"/>
                <w:spacing w:val="-13"/>
                <w:sz w:val="30"/>
                <w:szCs w:val="30"/>
                <w:highlight w:val="none"/>
                <w:lang w:val="en-US" w:eastAsia="zh-CN"/>
              </w:rPr>
              <w:t>大写（元）</w:t>
            </w:r>
          </w:p>
        </w:tc>
      </w:tr>
      <w:tr w14:paraId="4B12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top"/>
          </w:tcPr>
          <w:p w14:paraId="5A66171F">
            <w:pPr>
              <w:widowControl w:val="0"/>
              <w:kinsoku/>
              <w:autoSpaceDE/>
              <w:autoSpaceDN/>
              <w:adjustRightInd/>
              <w:snapToGrid w:val="0"/>
              <w:spacing w:before="70"/>
              <w:ind w:right="79" w:rightChars="0"/>
              <w:jc w:val="center"/>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val="en-US" w:eastAsia="zh-CN"/>
              </w:rPr>
              <w:t>1</w:t>
            </w:r>
          </w:p>
        </w:tc>
        <w:tc>
          <w:tcPr>
            <w:tcW w:w="1245" w:type="dxa"/>
            <w:vAlign w:val="top"/>
          </w:tcPr>
          <w:p w14:paraId="48735E91">
            <w:pPr>
              <w:widowControl w:val="0"/>
              <w:kinsoku/>
              <w:autoSpaceDE/>
              <w:autoSpaceDN/>
              <w:adjustRightInd/>
              <w:snapToGrid w:val="0"/>
              <w:spacing w:before="70"/>
              <w:ind w:right="79" w:rightChars="0"/>
              <w:jc w:val="both"/>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eastAsia="zh-CN"/>
              </w:rPr>
              <w:t>第一年</w:t>
            </w:r>
          </w:p>
        </w:tc>
        <w:tc>
          <w:tcPr>
            <w:tcW w:w="1965" w:type="dxa"/>
            <w:vAlign w:val="center"/>
          </w:tcPr>
          <w:p w14:paraId="2E0771E8">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c>
          <w:tcPr>
            <w:tcW w:w="2325" w:type="dxa"/>
            <w:vAlign w:val="center"/>
          </w:tcPr>
          <w:p w14:paraId="56E1CADD">
            <w:pPr>
              <w:keepNext w:val="0"/>
              <w:keepLines w:val="0"/>
              <w:widowControl/>
              <w:suppressLineNumbers w:val="0"/>
              <w:jc w:val="center"/>
              <w:textAlignment w:val="center"/>
              <w:rPr>
                <w:rFonts w:hint="default" w:ascii="仿宋" w:hAnsi="仿宋" w:eastAsia="仿宋" w:cs="仿宋"/>
                <w:color w:val="auto"/>
                <w:spacing w:val="4"/>
                <w:sz w:val="30"/>
                <w:szCs w:val="30"/>
                <w:highlight w:val="none"/>
                <w:vertAlign w:val="baseline"/>
                <w:lang w:val="en-US" w:eastAsia="zh-CN"/>
              </w:rPr>
            </w:pPr>
            <w:r>
              <w:rPr>
                <w:rFonts w:hint="eastAsia" w:ascii="仿宋" w:hAnsi="仿宋" w:eastAsia="仿宋" w:cs="仿宋"/>
                <w:i w:val="0"/>
                <w:iCs w:val="0"/>
                <w:snapToGrid w:val="0"/>
                <w:color w:val="auto"/>
                <w:kern w:val="0"/>
                <w:sz w:val="30"/>
                <w:szCs w:val="30"/>
                <w:highlight w:val="none"/>
                <w:u w:val="none"/>
                <w:lang w:val="en-US" w:eastAsia="zh-CN" w:bidi="ar"/>
              </w:rPr>
              <w:t>/</w:t>
            </w:r>
          </w:p>
        </w:tc>
        <w:tc>
          <w:tcPr>
            <w:tcW w:w="2757" w:type="dxa"/>
            <w:vAlign w:val="center"/>
          </w:tcPr>
          <w:p w14:paraId="5978F89B">
            <w:pPr>
              <w:keepNext w:val="0"/>
              <w:keepLines w:val="0"/>
              <w:widowControl/>
              <w:suppressLineNumbers w:val="0"/>
              <w:jc w:val="center"/>
              <w:textAlignment w:val="center"/>
              <w:rPr>
                <w:rFonts w:hint="eastAsia" w:ascii="仿宋" w:hAnsi="仿宋" w:eastAsia="仿宋" w:cs="仿宋"/>
                <w:color w:val="auto"/>
                <w:spacing w:val="-13"/>
                <w:sz w:val="30"/>
                <w:szCs w:val="30"/>
                <w:highlight w:val="none"/>
                <w:lang w:val="en-US" w:eastAsia="zh-CN"/>
              </w:rPr>
            </w:pPr>
            <w:r>
              <w:rPr>
                <w:rFonts w:hint="eastAsia" w:ascii="仿宋" w:hAnsi="仿宋" w:eastAsia="仿宋" w:cs="仿宋"/>
                <w:color w:val="auto"/>
                <w:spacing w:val="-13"/>
                <w:sz w:val="30"/>
                <w:szCs w:val="30"/>
                <w:highlight w:val="none"/>
                <w:lang w:val="en-US" w:eastAsia="zh-CN"/>
              </w:rPr>
              <w:t>/</w:t>
            </w:r>
          </w:p>
        </w:tc>
      </w:tr>
      <w:tr w14:paraId="5766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top"/>
          </w:tcPr>
          <w:p w14:paraId="7D263217">
            <w:pPr>
              <w:widowControl w:val="0"/>
              <w:kinsoku/>
              <w:autoSpaceDE/>
              <w:autoSpaceDN/>
              <w:adjustRightInd/>
              <w:snapToGrid w:val="0"/>
              <w:spacing w:before="70"/>
              <w:ind w:right="79" w:rightChars="0"/>
              <w:jc w:val="center"/>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val="en-US" w:eastAsia="zh-CN"/>
              </w:rPr>
              <w:t>2</w:t>
            </w:r>
          </w:p>
        </w:tc>
        <w:tc>
          <w:tcPr>
            <w:tcW w:w="1245" w:type="dxa"/>
            <w:vAlign w:val="top"/>
          </w:tcPr>
          <w:p w14:paraId="68E53152">
            <w:pPr>
              <w:widowControl w:val="0"/>
              <w:kinsoku/>
              <w:autoSpaceDE/>
              <w:autoSpaceDN/>
              <w:adjustRightInd/>
              <w:snapToGrid w:val="0"/>
              <w:spacing w:before="70"/>
              <w:ind w:right="79" w:rightChars="0"/>
              <w:jc w:val="both"/>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eastAsia="zh-CN"/>
              </w:rPr>
              <w:t>第二年</w:t>
            </w:r>
          </w:p>
        </w:tc>
        <w:tc>
          <w:tcPr>
            <w:tcW w:w="1965" w:type="dxa"/>
            <w:vAlign w:val="center"/>
          </w:tcPr>
          <w:p w14:paraId="5863D917">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c>
          <w:tcPr>
            <w:tcW w:w="2325" w:type="dxa"/>
            <w:vAlign w:val="center"/>
          </w:tcPr>
          <w:p w14:paraId="436B995E">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c>
          <w:tcPr>
            <w:tcW w:w="2757" w:type="dxa"/>
            <w:vAlign w:val="center"/>
          </w:tcPr>
          <w:p w14:paraId="64213BD6">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r>
      <w:tr w14:paraId="5CFF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top"/>
          </w:tcPr>
          <w:p w14:paraId="1CB69835">
            <w:pPr>
              <w:widowControl w:val="0"/>
              <w:kinsoku/>
              <w:autoSpaceDE/>
              <w:autoSpaceDN/>
              <w:adjustRightInd/>
              <w:snapToGrid w:val="0"/>
              <w:spacing w:before="70"/>
              <w:ind w:right="79" w:rightChars="0"/>
              <w:jc w:val="center"/>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val="en-US" w:eastAsia="zh-CN"/>
              </w:rPr>
              <w:t>3</w:t>
            </w:r>
          </w:p>
        </w:tc>
        <w:tc>
          <w:tcPr>
            <w:tcW w:w="1245" w:type="dxa"/>
            <w:vAlign w:val="top"/>
          </w:tcPr>
          <w:p w14:paraId="69A6B5BB">
            <w:pPr>
              <w:widowControl w:val="0"/>
              <w:kinsoku/>
              <w:autoSpaceDE/>
              <w:autoSpaceDN/>
              <w:adjustRightInd/>
              <w:snapToGrid w:val="0"/>
              <w:spacing w:before="70"/>
              <w:ind w:right="79" w:rightChars="0"/>
              <w:jc w:val="both"/>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eastAsia="zh-CN"/>
              </w:rPr>
              <w:t>第三年</w:t>
            </w:r>
          </w:p>
        </w:tc>
        <w:tc>
          <w:tcPr>
            <w:tcW w:w="1965" w:type="dxa"/>
            <w:vAlign w:val="center"/>
          </w:tcPr>
          <w:p w14:paraId="3F48ADD2">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c>
          <w:tcPr>
            <w:tcW w:w="2325" w:type="dxa"/>
            <w:vAlign w:val="center"/>
          </w:tcPr>
          <w:p w14:paraId="1BEA9CD5">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c>
          <w:tcPr>
            <w:tcW w:w="2757" w:type="dxa"/>
            <w:vAlign w:val="center"/>
          </w:tcPr>
          <w:p w14:paraId="15943F4A">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r>
      <w:tr w14:paraId="6DF4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top"/>
          </w:tcPr>
          <w:p w14:paraId="38DFED81">
            <w:pPr>
              <w:widowControl w:val="0"/>
              <w:kinsoku/>
              <w:autoSpaceDE/>
              <w:autoSpaceDN/>
              <w:adjustRightInd/>
              <w:snapToGrid w:val="0"/>
              <w:spacing w:before="70"/>
              <w:ind w:right="79" w:rightChars="0"/>
              <w:jc w:val="center"/>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val="en-US" w:eastAsia="zh-CN"/>
              </w:rPr>
              <w:t>4</w:t>
            </w:r>
          </w:p>
        </w:tc>
        <w:tc>
          <w:tcPr>
            <w:tcW w:w="1245" w:type="dxa"/>
            <w:vAlign w:val="top"/>
          </w:tcPr>
          <w:p w14:paraId="01F4D70F">
            <w:pPr>
              <w:widowControl w:val="0"/>
              <w:kinsoku/>
              <w:autoSpaceDE/>
              <w:autoSpaceDN/>
              <w:adjustRightInd/>
              <w:snapToGrid w:val="0"/>
              <w:spacing w:before="70"/>
              <w:ind w:right="79" w:rightChars="0"/>
              <w:jc w:val="both"/>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eastAsia="zh-CN"/>
              </w:rPr>
              <w:t>第四年</w:t>
            </w:r>
          </w:p>
        </w:tc>
        <w:tc>
          <w:tcPr>
            <w:tcW w:w="1965" w:type="dxa"/>
            <w:vAlign w:val="center"/>
          </w:tcPr>
          <w:p w14:paraId="2F3FC36D">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c>
          <w:tcPr>
            <w:tcW w:w="2325" w:type="dxa"/>
            <w:vAlign w:val="center"/>
          </w:tcPr>
          <w:p w14:paraId="53C577E2">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c>
          <w:tcPr>
            <w:tcW w:w="2757" w:type="dxa"/>
            <w:vAlign w:val="center"/>
          </w:tcPr>
          <w:p w14:paraId="78A4A4FA">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r>
      <w:tr w14:paraId="3E39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top"/>
          </w:tcPr>
          <w:p w14:paraId="167A8BD8">
            <w:pPr>
              <w:widowControl w:val="0"/>
              <w:kinsoku/>
              <w:autoSpaceDE/>
              <w:autoSpaceDN/>
              <w:adjustRightInd/>
              <w:snapToGrid w:val="0"/>
              <w:spacing w:before="70"/>
              <w:ind w:right="79" w:rightChars="0"/>
              <w:jc w:val="center"/>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val="en-US" w:eastAsia="zh-CN"/>
              </w:rPr>
              <w:t>5</w:t>
            </w:r>
          </w:p>
        </w:tc>
        <w:tc>
          <w:tcPr>
            <w:tcW w:w="1245" w:type="dxa"/>
            <w:vAlign w:val="top"/>
          </w:tcPr>
          <w:p w14:paraId="12FF79A9">
            <w:pPr>
              <w:widowControl w:val="0"/>
              <w:kinsoku/>
              <w:autoSpaceDE/>
              <w:autoSpaceDN/>
              <w:adjustRightInd/>
              <w:snapToGrid w:val="0"/>
              <w:spacing w:before="70"/>
              <w:ind w:right="79" w:rightChars="0"/>
              <w:jc w:val="both"/>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eastAsia="zh-CN"/>
              </w:rPr>
              <w:t>第五年</w:t>
            </w:r>
          </w:p>
        </w:tc>
        <w:tc>
          <w:tcPr>
            <w:tcW w:w="1965" w:type="dxa"/>
            <w:vAlign w:val="center"/>
          </w:tcPr>
          <w:p w14:paraId="244D34D6">
            <w:pPr>
              <w:keepNext w:val="0"/>
              <w:keepLines w:val="0"/>
              <w:widowControl/>
              <w:suppressLineNumbers w:val="0"/>
              <w:jc w:val="right"/>
              <w:textAlignment w:val="center"/>
              <w:rPr>
                <w:rFonts w:hint="default" w:ascii="仿宋" w:hAnsi="仿宋" w:eastAsia="仿宋" w:cs="仿宋"/>
                <w:color w:val="auto"/>
                <w:spacing w:val="4"/>
                <w:sz w:val="30"/>
                <w:szCs w:val="30"/>
                <w:highlight w:val="none"/>
                <w:vertAlign w:val="baseline"/>
                <w:lang w:val="en-US" w:eastAsia="zh-CN"/>
              </w:rPr>
            </w:pPr>
          </w:p>
        </w:tc>
        <w:tc>
          <w:tcPr>
            <w:tcW w:w="2325" w:type="dxa"/>
            <w:vAlign w:val="center"/>
          </w:tcPr>
          <w:p w14:paraId="01006CC5">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c>
          <w:tcPr>
            <w:tcW w:w="2757" w:type="dxa"/>
            <w:vAlign w:val="center"/>
          </w:tcPr>
          <w:p w14:paraId="1AF7A7E9">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r>
      <w:tr w14:paraId="1270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gridSpan w:val="3"/>
            <w:vAlign w:val="top"/>
          </w:tcPr>
          <w:p w14:paraId="0E0EC281">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r>
              <w:rPr>
                <w:rFonts w:hint="eastAsia" w:ascii="仿宋" w:hAnsi="仿宋" w:eastAsia="仿宋" w:cs="仿宋"/>
                <w:color w:val="auto"/>
                <w:spacing w:val="-13"/>
                <w:sz w:val="30"/>
                <w:szCs w:val="30"/>
                <w:highlight w:val="none"/>
                <w:lang w:val="en-US" w:eastAsia="zh-CN"/>
              </w:rPr>
              <w:t>总计</w:t>
            </w:r>
          </w:p>
        </w:tc>
        <w:tc>
          <w:tcPr>
            <w:tcW w:w="2325" w:type="dxa"/>
            <w:vAlign w:val="center"/>
          </w:tcPr>
          <w:p w14:paraId="40D1BD5E">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c>
          <w:tcPr>
            <w:tcW w:w="2757" w:type="dxa"/>
            <w:vAlign w:val="center"/>
          </w:tcPr>
          <w:p w14:paraId="0CB6F1B6">
            <w:pPr>
              <w:keepNext w:val="0"/>
              <w:keepLines w:val="0"/>
              <w:widowControl/>
              <w:suppressLineNumbers w:val="0"/>
              <w:jc w:val="center"/>
              <w:textAlignment w:val="center"/>
              <w:rPr>
                <w:rFonts w:hint="eastAsia" w:ascii="仿宋" w:hAnsi="仿宋" w:eastAsia="仿宋" w:cs="仿宋"/>
                <w:color w:val="auto"/>
                <w:spacing w:val="4"/>
                <w:sz w:val="30"/>
                <w:szCs w:val="30"/>
                <w:highlight w:val="none"/>
                <w:vertAlign w:val="baseline"/>
                <w:lang w:val="en-US" w:eastAsia="zh-CN"/>
              </w:rPr>
            </w:pPr>
          </w:p>
        </w:tc>
      </w:tr>
    </w:tbl>
    <w:p w14:paraId="50234708">
      <w:pPr>
        <w:keepNext w:val="0"/>
        <w:keepLines w:val="0"/>
        <w:pageBreakBefore w:val="0"/>
        <w:widowControl/>
        <w:kinsoku/>
        <w:wordWrap/>
        <w:overflowPunct/>
        <w:topLinePunct w:val="0"/>
        <w:autoSpaceDE/>
        <w:autoSpaceDN/>
        <w:bidi w:val="0"/>
        <w:adjustRightInd/>
        <w:snapToGrid w:val="0"/>
        <w:spacing w:before="70" w:line="240" w:lineRule="auto"/>
        <w:ind w:right="79" w:firstLine="519"/>
        <w:jc w:val="left"/>
        <w:textAlignment w:val="center"/>
        <w:rPr>
          <w:rFonts w:hint="eastAsia" w:ascii="仿宋" w:hAnsi="仿宋" w:eastAsia="仿宋" w:cs="仿宋"/>
          <w:color w:val="auto"/>
          <w:spacing w:val="4"/>
          <w:sz w:val="30"/>
          <w:szCs w:val="30"/>
          <w:highlight w:val="none"/>
          <w:lang w:val="en-US" w:eastAsia="zh-CN"/>
        </w:rPr>
      </w:pPr>
    </w:p>
    <w:p w14:paraId="6756445F">
      <w:pPr>
        <w:kinsoku/>
        <w:autoSpaceDE/>
        <w:autoSpaceDN/>
        <w:adjustRightInd/>
        <w:snapToGrid w:val="0"/>
        <w:spacing w:before="88"/>
        <w:ind w:firstLine="519"/>
        <w:textAlignment w:val="center"/>
        <w:rPr>
          <w:rFonts w:hint="eastAsia"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4.2履</w:t>
      </w:r>
      <w:r>
        <w:rPr>
          <w:rFonts w:hint="eastAsia" w:ascii="仿宋" w:hAnsi="仿宋" w:eastAsia="仿宋" w:cs="仿宋"/>
          <w:color w:val="auto"/>
          <w:spacing w:val="4"/>
          <w:sz w:val="30"/>
          <w:szCs w:val="30"/>
          <w:highlight w:val="none"/>
          <w:lang w:eastAsia="zh-CN"/>
        </w:rPr>
        <w:t>约</w:t>
      </w:r>
      <w:r>
        <w:rPr>
          <w:rFonts w:hint="eastAsia" w:ascii="仿宋" w:hAnsi="仿宋" w:eastAsia="仿宋" w:cs="仿宋"/>
          <w:color w:val="auto"/>
          <w:spacing w:val="4"/>
          <w:sz w:val="30"/>
          <w:szCs w:val="30"/>
          <w:highlight w:val="none"/>
          <w:lang w:val="en-US" w:eastAsia="zh-CN"/>
        </w:rPr>
        <w:t>保证金</w:t>
      </w:r>
      <w:r>
        <w:rPr>
          <w:rFonts w:hint="eastAsia" w:ascii="仿宋" w:hAnsi="仿宋" w:eastAsia="仿宋" w:cs="仿宋"/>
          <w:color w:val="auto"/>
          <w:spacing w:val="4"/>
          <w:sz w:val="30"/>
          <w:szCs w:val="30"/>
          <w:highlight w:val="none"/>
          <w:lang w:eastAsia="zh-CN"/>
        </w:rPr>
        <w:t>：在本合同签订之日，乙方应向甲方提交金额为</w:t>
      </w:r>
      <w:r>
        <w:rPr>
          <w:rFonts w:hint="eastAsia" w:ascii="仿宋" w:hAnsi="仿宋" w:eastAsia="仿宋" w:cs="仿宋"/>
          <w:color w:val="auto"/>
          <w:spacing w:val="4"/>
          <w:sz w:val="30"/>
          <w:szCs w:val="30"/>
          <w:highlight w:val="none"/>
          <w:lang w:val="en-US" w:eastAsia="zh-CN"/>
        </w:rPr>
        <w:t>投标报价10%的</w:t>
      </w:r>
      <w:r>
        <w:rPr>
          <w:rFonts w:hint="eastAsia" w:ascii="仿宋" w:hAnsi="仿宋" w:eastAsia="仿宋" w:cs="仿宋"/>
          <w:color w:val="auto"/>
          <w:spacing w:val="4"/>
          <w:sz w:val="30"/>
          <w:szCs w:val="30"/>
          <w:highlight w:val="none"/>
          <w:lang w:eastAsia="zh-CN"/>
        </w:rPr>
        <w:t>履约</w:t>
      </w:r>
      <w:r>
        <w:rPr>
          <w:rFonts w:hint="eastAsia" w:ascii="仿宋" w:hAnsi="仿宋" w:eastAsia="仿宋" w:cs="仿宋"/>
          <w:color w:val="auto"/>
          <w:spacing w:val="4"/>
          <w:sz w:val="30"/>
          <w:szCs w:val="30"/>
          <w:highlight w:val="none"/>
          <w:lang w:val="en-US" w:eastAsia="zh-CN"/>
        </w:rPr>
        <w:t>保证金，</w:t>
      </w:r>
      <w:r>
        <w:rPr>
          <w:rFonts w:hint="eastAsia" w:ascii="仿宋" w:hAnsi="仿宋" w:eastAsia="仿宋" w:cs="仿宋"/>
          <w:color w:val="auto"/>
          <w:spacing w:val="4"/>
          <w:sz w:val="30"/>
          <w:szCs w:val="30"/>
          <w:highlight w:val="none"/>
          <w:lang w:eastAsia="zh-CN"/>
        </w:rPr>
        <w:t>作为履行本合同的担保。委托运营期满无争议的，甲方凭房屋履约保证金收据将保证金一次性无息返还乙方，委托运营期间因乙方违约造成甲方损失的，甲方有权从</w:t>
      </w:r>
      <w:r>
        <w:rPr>
          <w:rFonts w:hint="eastAsia" w:ascii="仿宋" w:hAnsi="仿宋" w:eastAsia="仿宋" w:cs="仿宋"/>
          <w:color w:val="auto"/>
          <w:spacing w:val="4"/>
          <w:sz w:val="30"/>
          <w:szCs w:val="30"/>
          <w:highlight w:val="none"/>
          <w:lang w:val="en-US" w:eastAsia="zh-CN"/>
        </w:rPr>
        <w:t>履约</w:t>
      </w:r>
      <w:r>
        <w:rPr>
          <w:rFonts w:hint="eastAsia" w:ascii="仿宋" w:hAnsi="仿宋" w:eastAsia="仿宋" w:cs="仿宋"/>
          <w:color w:val="auto"/>
          <w:spacing w:val="4"/>
          <w:sz w:val="30"/>
          <w:szCs w:val="30"/>
          <w:highlight w:val="none"/>
          <w:lang w:eastAsia="zh-CN"/>
        </w:rPr>
        <w:t>保证金中扣除相应损失。</w:t>
      </w:r>
    </w:p>
    <w:p w14:paraId="379B3C97">
      <w:pPr>
        <w:kinsoku/>
        <w:autoSpaceDE/>
        <w:autoSpaceDN/>
        <w:adjustRightInd/>
        <w:snapToGrid w:val="0"/>
        <w:spacing w:before="88"/>
        <w:ind w:firstLine="519"/>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4.3乙方应根据合同向甲方指定的银行账户支付管理费用、</w:t>
      </w:r>
      <w:r>
        <w:rPr>
          <w:rFonts w:hint="eastAsia" w:ascii="仿宋" w:hAnsi="仿宋" w:eastAsia="仿宋" w:cs="仿宋"/>
          <w:color w:val="auto"/>
          <w:spacing w:val="4"/>
          <w:sz w:val="30"/>
          <w:szCs w:val="30"/>
          <w:highlight w:val="none"/>
          <w:lang w:val="en-US" w:eastAsia="zh-CN"/>
        </w:rPr>
        <w:t>履约保证金</w:t>
      </w:r>
      <w:r>
        <w:rPr>
          <w:rFonts w:hint="eastAsia" w:ascii="仿宋" w:hAnsi="仿宋" w:eastAsia="仿宋" w:cs="仿宋"/>
          <w:color w:val="auto"/>
          <w:spacing w:val="4"/>
          <w:sz w:val="30"/>
          <w:szCs w:val="30"/>
          <w:highlight w:val="none"/>
          <w:lang w:eastAsia="zh-CN"/>
        </w:rPr>
        <w:t>。账户信息如下：</w:t>
      </w:r>
    </w:p>
    <w:p w14:paraId="35D66D4F">
      <w:pPr>
        <w:kinsoku/>
        <w:autoSpaceDE/>
        <w:autoSpaceDN/>
        <w:adjustRightInd/>
        <w:snapToGrid w:val="0"/>
        <w:spacing w:before="88"/>
        <w:ind w:firstLine="519"/>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名称： 杭州萧山城市交通开发有限公司</w:t>
      </w:r>
    </w:p>
    <w:p w14:paraId="2748DF8D">
      <w:pPr>
        <w:kinsoku/>
        <w:autoSpaceDE/>
        <w:autoSpaceDN/>
        <w:adjustRightInd/>
        <w:snapToGrid w:val="0"/>
        <w:spacing w:before="88"/>
        <w:ind w:firstLine="519"/>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纳税人识别号：91330109790942202K</w:t>
      </w:r>
    </w:p>
    <w:p w14:paraId="4749A051">
      <w:pPr>
        <w:kinsoku/>
        <w:autoSpaceDE/>
        <w:autoSpaceDN/>
        <w:adjustRightInd/>
        <w:snapToGrid w:val="0"/>
        <w:spacing w:before="88"/>
        <w:ind w:firstLine="519"/>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地址： 浙江省杭州市萧山区萧杭路277号</w:t>
      </w:r>
    </w:p>
    <w:p w14:paraId="50C6DFF9">
      <w:pPr>
        <w:kinsoku/>
        <w:autoSpaceDE/>
        <w:autoSpaceDN/>
        <w:adjustRightInd/>
        <w:snapToGrid w:val="0"/>
        <w:spacing w:before="88"/>
        <w:ind w:firstLine="519"/>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开户行： 中信银行萧山支行</w:t>
      </w:r>
    </w:p>
    <w:p w14:paraId="5B014887">
      <w:pPr>
        <w:kinsoku/>
        <w:autoSpaceDE/>
        <w:autoSpaceDN/>
        <w:adjustRightInd/>
        <w:snapToGrid w:val="0"/>
        <w:spacing w:before="88"/>
        <w:ind w:firstLine="519"/>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账号：7331310182600080398</w:t>
      </w:r>
    </w:p>
    <w:p w14:paraId="425ECF9A">
      <w:pPr>
        <w:kinsoku/>
        <w:autoSpaceDE/>
        <w:autoSpaceDN/>
        <w:adjustRightInd/>
        <w:snapToGrid w:val="0"/>
        <w:spacing w:before="88"/>
        <w:ind w:firstLine="519"/>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甲方在收到乙方所缴款项后开具相应收据、发票。</w:t>
      </w:r>
    </w:p>
    <w:p w14:paraId="3A821098">
      <w:pPr>
        <w:kinsoku/>
        <w:autoSpaceDE/>
        <w:autoSpaceDN/>
        <w:adjustRightInd/>
        <w:snapToGrid w:val="0"/>
        <w:spacing w:before="88"/>
        <w:ind w:firstLine="519"/>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4.5维修费：委托运营期间，乙方应妥善维护房屋设施，除因自然破损、老化、失修造成的房屋结构损坏外，其余均由乙方自行维修处理并承担相关费用。</w:t>
      </w:r>
    </w:p>
    <w:p w14:paraId="2D1EF987">
      <w:pPr>
        <w:kinsoku/>
        <w:autoSpaceDE/>
        <w:autoSpaceDN/>
        <w:adjustRightInd/>
        <w:snapToGrid w:val="0"/>
        <w:spacing w:before="88"/>
        <w:ind w:firstLine="519"/>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4.6使用该房屋从事经营活动需办理的相关手续以及所产生的其他各 类费用，包括申领证照、门前三包、日常维修、安装购置消防设施、物业管理、申请安装电话、宽带、有线（数字）电视等，及后续房屋使用过程中产生的各类费用，均由乙方自行办理并承担，与甲方无涉。</w:t>
      </w:r>
    </w:p>
    <w:p w14:paraId="2092AA4F">
      <w:pPr>
        <w:numPr>
          <w:ilvl w:val="0"/>
          <w:numId w:val="4"/>
        </w:numPr>
        <w:kinsoku/>
        <w:autoSpaceDE/>
        <w:autoSpaceDN/>
        <w:adjustRightInd/>
        <w:snapToGrid w:val="0"/>
        <w:spacing w:before="151"/>
        <w:ind w:right="51" w:firstLine="579"/>
        <w:textAlignment w:val="center"/>
        <w:rPr>
          <w:rFonts w:ascii="仿宋" w:hAnsi="仿宋" w:eastAsia="仿宋" w:cs="仿宋"/>
          <w:color w:val="auto"/>
          <w:spacing w:val="-10"/>
          <w:sz w:val="30"/>
          <w:szCs w:val="30"/>
          <w:highlight w:val="none"/>
          <w:lang w:eastAsia="zh-CN"/>
        </w:rPr>
      </w:pPr>
      <w:r>
        <w:rPr>
          <w:rFonts w:hint="eastAsia" w:ascii="仿宋" w:hAnsi="仿宋" w:eastAsia="仿宋" w:cs="仿宋"/>
          <w:color w:val="auto"/>
          <w:spacing w:val="-10"/>
          <w:sz w:val="30"/>
          <w:szCs w:val="30"/>
          <w:highlight w:val="none"/>
          <w:lang w:eastAsia="zh-CN"/>
        </w:rPr>
        <w:t>委托运营条件</w:t>
      </w:r>
    </w:p>
    <w:p w14:paraId="726AF6D9">
      <w:pPr>
        <w:kinsoku/>
        <w:autoSpaceDE/>
        <w:autoSpaceDN/>
        <w:adjustRightInd/>
        <w:snapToGrid w:val="0"/>
        <w:spacing w:before="151"/>
        <w:ind w:right="51" w:firstLine="572" w:firstLineChars="200"/>
        <w:textAlignment w:val="center"/>
        <w:rPr>
          <w:rFonts w:ascii="仿宋" w:hAnsi="仿宋" w:eastAsia="仿宋" w:cs="仿宋"/>
          <w:color w:val="auto"/>
          <w:sz w:val="30"/>
          <w:szCs w:val="30"/>
          <w:highlight w:val="none"/>
          <w:lang w:eastAsia="zh-CN"/>
        </w:rPr>
      </w:pPr>
      <w:r>
        <w:rPr>
          <w:rFonts w:hint="eastAsia" w:ascii="仿宋" w:hAnsi="仿宋" w:eastAsia="仿宋" w:cs="仿宋"/>
          <w:color w:val="auto"/>
          <w:spacing w:val="-7"/>
          <w:sz w:val="30"/>
          <w:szCs w:val="30"/>
          <w:highlight w:val="none"/>
          <w:lang w:eastAsia="zh-CN"/>
        </w:rPr>
        <w:t xml:space="preserve">5.1 </w:t>
      </w:r>
      <w:r>
        <w:rPr>
          <w:rFonts w:hint="eastAsia" w:ascii="仿宋" w:hAnsi="仿宋" w:eastAsia="仿宋" w:cs="仿宋"/>
          <w:color w:val="auto"/>
          <w:spacing w:val="4"/>
          <w:sz w:val="30"/>
          <w:szCs w:val="30"/>
          <w:highlight w:val="none"/>
          <w:lang w:eastAsia="zh-CN"/>
        </w:rPr>
        <w:t>委托运营期间，</w:t>
      </w:r>
      <w:r>
        <w:rPr>
          <w:rFonts w:hint="eastAsia" w:ascii="仿宋" w:hAnsi="仿宋" w:eastAsia="仿宋" w:cs="仿宋"/>
          <w:color w:val="auto"/>
          <w:spacing w:val="4"/>
          <w:sz w:val="30"/>
          <w:szCs w:val="30"/>
          <w:highlight w:val="none"/>
          <w:lang w:val="en-US" w:eastAsia="zh-CN"/>
        </w:rPr>
        <w:t>不得将本项目运营管理权以任何形式整体转包或转让给第三方，</w:t>
      </w:r>
      <w:r>
        <w:rPr>
          <w:rFonts w:hint="eastAsia" w:ascii="仿宋" w:hAnsi="仿宋" w:eastAsia="仿宋" w:cs="仿宋"/>
          <w:color w:val="auto"/>
          <w:spacing w:val="4"/>
          <w:sz w:val="30"/>
          <w:szCs w:val="30"/>
          <w:highlight w:val="none"/>
          <w:lang w:val="en-US" w:eastAsia="zh-CN"/>
        </w:rPr>
        <w:t>乙方</w:t>
      </w:r>
      <w:r>
        <w:rPr>
          <w:rFonts w:hint="eastAsia" w:ascii="仿宋" w:hAnsi="仿宋" w:eastAsia="仿宋" w:cs="仿宋"/>
          <w:color w:val="auto"/>
          <w:spacing w:val="4"/>
          <w:sz w:val="30"/>
          <w:szCs w:val="30"/>
          <w:highlight w:val="none"/>
          <w:lang w:val="en-US" w:eastAsia="zh-CN"/>
        </w:rPr>
        <w:t>与商户签订的所有书面协议，应经甲方同意并于签署之日起5个工作日内报甲方备案并存档。乙方项目运营不得涉及违法违规，不得从事危化品生产、加工、储存、经营，引入的产业要符合属地产业规划。</w:t>
      </w:r>
      <w:r>
        <w:rPr>
          <w:rFonts w:hint="eastAsia" w:ascii="仿宋" w:hAnsi="仿宋" w:eastAsia="仿宋" w:cs="仿宋"/>
          <w:color w:val="auto"/>
          <w:spacing w:val="4"/>
          <w:sz w:val="30"/>
          <w:szCs w:val="30"/>
          <w:highlight w:val="none"/>
          <w:lang w:eastAsia="zh-CN"/>
        </w:rPr>
        <w:t>如违约，限期一个月内完成整改（时间以整改通知发放之日起算），且甲方有权要求乙方支付违约金20万元，若未完成整改则甲方有权单方面解除合同，并向</w:t>
      </w:r>
      <w:r>
        <w:rPr>
          <w:rFonts w:hint="eastAsia" w:ascii="仿宋" w:hAnsi="仿宋" w:eastAsia="仿宋" w:cs="仿宋"/>
          <w:color w:val="auto"/>
          <w:spacing w:val="4"/>
          <w:sz w:val="30"/>
          <w:szCs w:val="30"/>
          <w:highlight w:val="none"/>
          <w:lang w:val="en-US" w:eastAsia="zh-CN"/>
        </w:rPr>
        <w:t>乙方</w:t>
      </w:r>
      <w:r>
        <w:rPr>
          <w:rFonts w:hint="eastAsia" w:ascii="仿宋" w:hAnsi="仿宋" w:eastAsia="仿宋" w:cs="仿宋"/>
          <w:color w:val="auto"/>
          <w:spacing w:val="4"/>
          <w:sz w:val="30"/>
          <w:szCs w:val="30"/>
          <w:highlight w:val="none"/>
          <w:lang w:eastAsia="zh-CN"/>
        </w:rPr>
        <w:t>提出索赔，扣除全部履约保证金。</w:t>
      </w:r>
    </w:p>
    <w:p w14:paraId="680501CE">
      <w:pPr>
        <w:kinsoku/>
        <w:autoSpaceDE/>
        <w:autoSpaceDN/>
        <w:adjustRightInd/>
        <w:snapToGrid w:val="0"/>
        <w:spacing w:before="105"/>
        <w:ind w:left="560"/>
        <w:textAlignment w:val="center"/>
        <w:rPr>
          <w:rFonts w:ascii="仿宋" w:hAnsi="仿宋" w:eastAsia="仿宋" w:cs="仿宋"/>
          <w:color w:val="auto"/>
          <w:sz w:val="30"/>
          <w:szCs w:val="30"/>
          <w:highlight w:val="none"/>
          <w:lang w:eastAsia="zh-CN"/>
        </w:rPr>
      </w:pPr>
      <w:r>
        <w:rPr>
          <w:rFonts w:hint="eastAsia" w:ascii="仿宋" w:hAnsi="仿宋" w:eastAsia="仿宋" w:cs="仿宋"/>
          <w:color w:val="auto"/>
          <w:spacing w:val="-10"/>
          <w:sz w:val="30"/>
          <w:szCs w:val="30"/>
          <w:highlight w:val="none"/>
          <w:lang w:eastAsia="zh-CN"/>
        </w:rPr>
        <w:t>第六条 特殊情况下的提前解除合同的约定：</w:t>
      </w:r>
    </w:p>
    <w:p w14:paraId="39729FED">
      <w:pPr>
        <w:kinsoku/>
        <w:autoSpaceDE/>
        <w:autoSpaceDN/>
        <w:adjustRightInd/>
        <w:snapToGrid w:val="0"/>
        <w:spacing w:before="125"/>
        <w:ind w:right="31" w:firstLine="560"/>
        <w:textAlignment w:val="center"/>
        <w:rPr>
          <w:rFonts w:ascii="仿宋" w:hAnsi="仿宋" w:eastAsia="仿宋" w:cs="仿宋"/>
          <w:color w:val="auto"/>
          <w:sz w:val="30"/>
          <w:szCs w:val="30"/>
          <w:highlight w:val="none"/>
          <w:lang w:eastAsia="zh-CN"/>
        </w:rPr>
      </w:pPr>
      <w:r>
        <w:rPr>
          <w:rFonts w:hint="eastAsia" w:ascii="仿宋" w:hAnsi="仿宋" w:eastAsia="仿宋" w:cs="仿宋"/>
          <w:color w:val="auto"/>
          <w:spacing w:val="-6"/>
          <w:sz w:val="30"/>
          <w:szCs w:val="30"/>
          <w:highlight w:val="none"/>
          <w:lang w:eastAsia="zh-CN"/>
        </w:rPr>
        <w:t>6.1</w:t>
      </w:r>
      <w:r>
        <w:rPr>
          <w:rFonts w:hint="eastAsia" w:ascii="仿宋" w:hAnsi="仿宋" w:eastAsia="仿宋" w:cs="仿宋"/>
          <w:color w:val="auto"/>
          <w:spacing w:val="4"/>
          <w:sz w:val="30"/>
          <w:szCs w:val="30"/>
          <w:highlight w:val="none"/>
          <w:lang w:eastAsia="zh-CN"/>
        </w:rPr>
        <w:t>委托运营期间，如因政府建设需要或甲方因其他原因需提前收回运营标的，甲方应提前三个月书面通知乙方，乙方应无条件配合并在收到通知后三个月内腾退出场，当年已缴管理费计算到通知日止，未到期部分由甲方无息退 还给乙方，甲方无需承担违约责任。乙方未及时将房屋交还给甲方的。自委托运营期满或者合同解除之日起，按当年管理费的两倍或以该宗地国有土地使用权出让金为基数每日万分之四的标准（两者就高确定甲方损失金额）向甲方赔偿损失至乙方将房屋交还给甲方之日止，甲方可直接向</w:t>
      </w:r>
      <w:r>
        <w:rPr>
          <w:rFonts w:hint="eastAsia" w:ascii="仿宋" w:hAnsi="仿宋" w:eastAsia="仿宋" w:cs="仿宋"/>
          <w:color w:val="auto"/>
          <w:spacing w:val="4"/>
          <w:sz w:val="30"/>
          <w:szCs w:val="30"/>
          <w:highlight w:val="none"/>
          <w:lang w:val="en-US" w:eastAsia="zh-CN"/>
        </w:rPr>
        <w:t>乙方</w:t>
      </w:r>
      <w:r>
        <w:rPr>
          <w:rFonts w:hint="eastAsia" w:ascii="仿宋" w:hAnsi="仿宋" w:eastAsia="仿宋" w:cs="仿宋"/>
          <w:color w:val="auto"/>
          <w:spacing w:val="4"/>
          <w:sz w:val="30"/>
          <w:szCs w:val="30"/>
          <w:highlight w:val="none"/>
          <w:lang w:eastAsia="zh-CN"/>
        </w:rPr>
        <w:t>提出索赔，扣除相应款项，不足部分由乙方补足。</w:t>
      </w:r>
    </w:p>
    <w:p w14:paraId="2AD03534">
      <w:pPr>
        <w:kinsoku/>
        <w:autoSpaceDE/>
        <w:autoSpaceDN/>
        <w:adjustRightInd/>
        <w:snapToGrid w:val="0"/>
        <w:spacing w:before="133"/>
        <w:ind w:right="38" w:firstLine="560"/>
        <w:textAlignment w:val="center"/>
        <w:rPr>
          <w:rFonts w:ascii="仿宋" w:hAnsi="仿宋" w:eastAsia="仿宋" w:cs="仿宋"/>
          <w:color w:val="auto"/>
          <w:sz w:val="30"/>
          <w:szCs w:val="30"/>
          <w:highlight w:val="none"/>
          <w:lang w:eastAsia="zh-CN"/>
        </w:rPr>
      </w:pPr>
      <w:r>
        <w:rPr>
          <w:rFonts w:hint="eastAsia" w:ascii="仿宋" w:hAnsi="仿宋" w:eastAsia="仿宋" w:cs="仿宋"/>
          <w:color w:val="auto"/>
          <w:spacing w:val="-6"/>
          <w:sz w:val="30"/>
          <w:szCs w:val="30"/>
          <w:highlight w:val="none"/>
          <w:lang w:eastAsia="zh-CN"/>
        </w:rPr>
        <w:t>6.2</w:t>
      </w:r>
      <w:r>
        <w:rPr>
          <w:rFonts w:hint="eastAsia" w:ascii="仿宋" w:hAnsi="仿宋" w:eastAsia="仿宋" w:cs="仿宋"/>
          <w:color w:val="auto"/>
          <w:spacing w:val="4"/>
          <w:sz w:val="30"/>
          <w:szCs w:val="30"/>
          <w:highlight w:val="none"/>
          <w:lang w:eastAsia="zh-CN"/>
        </w:rPr>
        <w:t>乙方因特殊原因无法按期履约的，必须提前一个月书面通知甲方， 经甲方书面同意及乙方结清水电费或物业费等费用、变更或注销营业执照后，方可终止本合同，予以退还未到期部分管理费，管理费按实际 使用时间进行结算（运营期限计算至</w:t>
      </w:r>
      <w:r>
        <w:rPr>
          <w:rFonts w:hint="eastAsia" w:ascii="仿宋" w:hAnsi="仿宋" w:eastAsia="仿宋" w:cs="仿宋"/>
          <w:color w:val="auto"/>
          <w:spacing w:val="4"/>
          <w:sz w:val="30"/>
          <w:szCs w:val="30"/>
          <w:highlight w:val="none"/>
          <w:lang w:val="en-US" w:eastAsia="zh-CN"/>
        </w:rPr>
        <w:t>乙方</w:t>
      </w:r>
      <w:r>
        <w:rPr>
          <w:rFonts w:hint="eastAsia" w:ascii="仿宋" w:hAnsi="仿宋" w:eastAsia="仿宋" w:cs="仿宋"/>
          <w:color w:val="auto"/>
          <w:spacing w:val="4"/>
          <w:sz w:val="30"/>
          <w:szCs w:val="30"/>
          <w:highlight w:val="none"/>
          <w:lang w:eastAsia="zh-CN"/>
        </w:rPr>
        <w:t>腾房完毕且变更或注销营业执照日止，实际运营期不满6个月的按6个月计算），房屋履约保证金不予退还。</w:t>
      </w:r>
    </w:p>
    <w:p w14:paraId="3E8174D7">
      <w:pPr>
        <w:kinsoku/>
        <w:autoSpaceDE/>
        <w:autoSpaceDN/>
        <w:adjustRightInd/>
        <w:snapToGrid w:val="0"/>
        <w:spacing w:before="154"/>
        <w:ind w:right="49" w:firstLine="560"/>
        <w:textAlignment w:val="center"/>
        <w:rPr>
          <w:rFonts w:ascii="仿宋" w:hAnsi="仿宋" w:eastAsia="仿宋" w:cs="仿宋"/>
          <w:color w:val="auto"/>
          <w:sz w:val="30"/>
          <w:szCs w:val="30"/>
          <w:highlight w:val="none"/>
          <w:lang w:eastAsia="zh-CN"/>
        </w:rPr>
      </w:pPr>
      <w:r>
        <w:rPr>
          <w:rFonts w:hint="eastAsia" w:ascii="仿宋" w:hAnsi="仿宋" w:eastAsia="仿宋" w:cs="仿宋"/>
          <w:color w:val="auto"/>
          <w:spacing w:val="2"/>
          <w:sz w:val="30"/>
          <w:szCs w:val="30"/>
          <w:highlight w:val="none"/>
          <w:lang w:eastAsia="zh-CN"/>
        </w:rPr>
        <w:t>6.</w:t>
      </w:r>
      <w:r>
        <w:rPr>
          <w:rFonts w:hint="eastAsia" w:ascii="仿宋" w:hAnsi="仿宋" w:eastAsia="仿宋" w:cs="仿宋"/>
          <w:color w:val="auto"/>
          <w:spacing w:val="4"/>
          <w:sz w:val="30"/>
          <w:szCs w:val="30"/>
          <w:highlight w:val="none"/>
          <w:lang w:eastAsia="zh-CN"/>
        </w:rPr>
        <w:t>3如产权方涉及运营房屋土地需要抵押融资等，乙方应当无条件配合甲方抵押手续的办理（包括向贷款银行出具承诺等）。如乙方在收到甲方要求配合的书面要求后3日内未履行配合义务的，甲方有权单方解除本合同。</w:t>
      </w:r>
    </w:p>
    <w:p w14:paraId="343044E0">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第七条  乙方在室内严禁堆放有毒物品和易燃易爆等危险品及国家规定禁止买卖的所有物品，乙方如有违反，甲方有权单方面解除本合同，所造成的损失均由乙方承担</w:t>
      </w:r>
      <w:r>
        <w:rPr>
          <w:rFonts w:hint="eastAsia" w:ascii="仿宋" w:hAnsi="仿宋" w:eastAsia="仿宋" w:cs="仿宋"/>
          <w:color w:val="auto"/>
          <w:spacing w:val="4"/>
          <w:sz w:val="30"/>
          <w:szCs w:val="30"/>
          <w:highlight w:val="none"/>
          <w:lang w:eastAsia="zh-Hans"/>
        </w:rPr>
        <w:t>，且有权要求乙方支付违约金</w:t>
      </w:r>
      <w:r>
        <w:rPr>
          <w:rFonts w:hint="eastAsia" w:ascii="仿宋" w:hAnsi="仿宋" w:eastAsia="仿宋" w:cs="仿宋"/>
          <w:color w:val="auto"/>
          <w:spacing w:val="4"/>
          <w:sz w:val="30"/>
          <w:szCs w:val="30"/>
          <w:highlight w:val="none"/>
          <w:lang w:eastAsia="zh-CN"/>
        </w:rPr>
        <w:t>20万</w:t>
      </w:r>
      <w:r>
        <w:rPr>
          <w:rFonts w:hint="eastAsia" w:ascii="仿宋" w:hAnsi="仿宋" w:eastAsia="仿宋" w:cs="仿宋"/>
          <w:color w:val="auto"/>
          <w:spacing w:val="4"/>
          <w:sz w:val="30"/>
          <w:szCs w:val="30"/>
          <w:highlight w:val="none"/>
          <w:lang w:eastAsia="zh-Hans"/>
        </w:rPr>
        <w:t>元</w:t>
      </w:r>
      <w:r>
        <w:rPr>
          <w:rFonts w:hint="eastAsia" w:ascii="仿宋" w:hAnsi="仿宋" w:eastAsia="仿宋" w:cs="仿宋"/>
          <w:color w:val="auto"/>
          <w:spacing w:val="4"/>
          <w:sz w:val="30"/>
          <w:szCs w:val="30"/>
          <w:highlight w:val="none"/>
          <w:lang w:eastAsia="zh-CN"/>
        </w:rPr>
        <w:t>。</w:t>
      </w:r>
    </w:p>
    <w:p w14:paraId="5FCA3FC5">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第八条  考虑到房屋的整体性，乙方不得向甲方提出提前终止部分房屋的请求。如确实需要解除的，则按本合同6.2条的有关约定处理，提前终止合同。</w:t>
      </w:r>
    </w:p>
    <w:p w14:paraId="664BCAD6">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 xml:space="preserve">第九条 </w:t>
      </w:r>
      <w:r>
        <w:rPr>
          <w:rFonts w:hint="eastAsia" w:ascii="仿宋" w:hAnsi="仿宋" w:eastAsia="仿宋" w:cs="仿宋"/>
          <w:color w:val="auto"/>
          <w:spacing w:val="-10"/>
          <w:sz w:val="30"/>
          <w:szCs w:val="30"/>
          <w:highlight w:val="none"/>
          <w:lang w:eastAsia="zh-CN"/>
        </w:rPr>
        <w:t>委托运营期满或合同解除的处理：</w:t>
      </w:r>
    </w:p>
    <w:p w14:paraId="38E5BF1E">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9.1委托运营期满或合同解除的，乙方必须按约定</w:t>
      </w:r>
      <w:r>
        <w:rPr>
          <w:rFonts w:hint="eastAsia" w:ascii="仿宋" w:hAnsi="仿宋" w:eastAsia="仿宋" w:cs="仿宋"/>
          <w:color w:val="auto"/>
          <w:spacing w:val="4"/>
          <w:sz w:val="30"/>
          <w:szCs w:val="30"/>
          <w:highlight w:val="none"/>
          <w:lang w:eastAsia="zh-Hans"/>
        </w:rPr>
        <w:t>在</w:t>
      </w:r>
      <w:r>
        <w:rPr>
          <w:rFonts w:hint="eastAsia" w:ascii="仿宋" w:hAnsi="仿宋" w:eastAsia="仿宋" w:cs="仿宋"/>
          <w:color w:val="auto"/>
          <w:spacing w:val="4"/>
          <w:sz w:val="30"/>
          <w:szCs w:val="30"/>
          <w:highlight w:val="none"/>
          <w:lang w:eastAsia="zh-CN"/>
        </w:rPr>
        <w:t>委托运营期满或合同解除</w:t>
      </w:r>
      <w:r>
        <w:rPr>
          <w:rFonts w:hint="eastAsia" w:ascii="仿宋" w:hAnsi="仿宋" w:eastAsia="仿宋" w:cs="仿宋"/>
          <w:color w:val="auto"/>
          <w:spacing w:val="4"/>
          <w:sz w:val="30"/>
          <w:szCs w:val="30"/>
          <w:highlight w:val="none"/>
          <w:lang w:eastAsia="zh-Hans"/>
        </w:rPr>
        <w:t>当日</w:t>
      </w:r>
      <w:r>
        <w:rPr>
          <w:rFonts w:hint="eastAsia" w:ascii="仿宋" w:hAnsi="仿宋" w:eastAsia="仿宋" w:cs="仿宋"/>
          <w:color w:val="auto"/>
          <w:spacing w:val="4"/>
          <w:sz w:val="30"/>
          <w:szCs w:val="30"/>
          <w:highlight w:val="none"/>
          <w:lang w:eastAsia="zh-CN"/>
        </w:rPr>
        <w:t>腾空房屋并将房屋交还给甲方（以办理书面交接手续为准）。如乙方拒不搬离的，甲方可以向萧山区人民法院提起诉讼。</w:t>
      </w:r>
    </w:p>
    <w:p w14:paraId="7C7101A4">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9.2委托运营期满后，若土地无开发计划，乙方</w:t>
      </w:r>
      <w:r>
        <w:rPr>
          <w:rFonts w:hint="eastAsia" w:ascii="仿宋" w:hAnsi="仿宋" w:eastAsia="仿宋" w:cs="仿宋"/>
          <w:color w:val="auto"/>
          <w:spacing w:val="4"/>
          <w:sz w:val="30"/>
          <w:szCs w:val="30"/>
          <w:highlight w:val="none"/>
          <w:lang w:val="en-US" w:eastAsia="zh-CN"/>
        </w:rPr>
        <w:t>愿意继续运营</w:t>
      </w:r>
      <w:r>
        <w:rPr>
          <w:rFonts w:hint="eastAsia" w:ascii="仿宋" w:hAnsi="仿宋" w:eastAsia="仿宋" w:cs="仿宋"/>
          <w:color w:val="auto"/>
          <w:spacing w:val="4"/>
          <w:sz w:val="30"/>
          <w:szCs w:val="30"/>
          <w:highlight w:val="none"/>
          <w:lang w:eastAsia="zh-CN"/>
        </w:rPr>
        <w:t>的，提前三个月提出书面申请，</w:t>
      </w:r>
      <w:r>
        <w:rPr>
          <w:rFonts w:hint="eastAsia" w:ascii="仿宋" w:hAnsi="仿宋" w:eastAsia="仿宋" w:cs="仿宋"/>
          <w:color w:val="auto"/>
          <w:spacing w:val="4"/>
          <w:sz w:val="30"/>
          <w:szCs w:val="30"/>
          <w:highlight w:val="none"/>
          <w:lang w:val="en-US" w:eastAsia="zh-CN"/>
        </w:rPr>
        <w:t>甲方综合考虑其履约评价情况、市场环境、业态规划等因素，对资产管理费重新进行评估，可续签三年。</w:t>
      </w:r>
    </w:p>
    <w:p w14:paraId="1625EA0C">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9.3委托运营期满的，若甲方重新</w:t>
      </w:r>
      <w:r>
        <w:rPr>
          <w:rFonts w:hint="eastAsia" w:ascii="仿宋" w:hAnsi="仿宋" w:eastAsia="仿宋" w:cs="仿宋"/>
          <w:color w:val="auto"/>
          <w:spacing w:val="4"/>
          <w:sz w:val="30"/>
          <w:szCs w:val="30"/>
          <w:highlight w:val="none"/>
          <w:lang w:val="en-US" w:eastAsia="zh-CN"/>
        </w:rPr>
        <w:t>招标</w:t>
      </w:r>
      <w:r>
        <w:rPr>
          <w:rFonts w:hint="eastAsia" w:ascii="仿宋" w:hAnsi="仿宋" w:eastAsia="仿宋" w:cs="仿宋"/>
          <w:color w:val="auto"/>
          <w:spacing w:val="4"/>
          <w:sz w:val="30"/>
          <w:szCs w:val="30"/>
          <w:highlight w:val="none"/>
          <w:lang w:eastAsia="zh-CN"/>
        </w:rPr>
        <w:t>，</w:t>
      </w:r>
      <w:r>
        <w:rPr>
          <w:rFonts w:hint="eastAsia" w:ascii="仿宋" w:hAnsi="仿宋" w:eastAsia="仿宋" w:cs="仿宋"/>
          <w:color w:val="auto"/>
          <w:spacing w:val="4"/>
          <w:sz w:val="30"/>
          <w:szCs w:val="30"/>
          <w:highlight w:val="none"/>
          <w:lang w:val="en-US" w:eastAsia="zh-CN"/>
        </w:rPr>
        <w:t>乙方</w:t>
      </w:r>
      <w:r>
        <w:rPr>
          <w:rFonts w:hint="eastAsia" w:ascii="仿宋" w:hAnsi="仿宋" w:eastAsia="仿宋" w:cs="仿宋"/>
          <w:color w:val="auto"/>
          <w:spacing w:val="4"/>
          <w:sz w:val="30"/>
          <w:szCs w:val="30"/>
          <w:highlight w:val="none"/>
          <w:lang w:eastAsia="zh-CN"/>
        </w:rPr>
        <w:t>享有同等价格优先权。</w:t>
      </w:r>
    </w:p>
    <w:p w14:paraId="146BA433">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ascii="仿宋" w:hAnsi="仿宋" w:eastAsia="仿宋" w:cs="仿宋"/>
          <w:color w:val="auto"/>
          <w:spacing w:val="4"/>
          <w:sz w:val="30"/>
          <w:szCs w:val="30"/>
          <w:highlight w:val="none"/>
          <w:lang w:eastAsia="zh-CN"/>
        </w:rPr>
        <w:t>9.4</w:t>
      </w:r>
      <w:r>
        <w:rPr>
          <w:rFonts w:hint="eastAsia" w:ascii="仿宋" w:hAnsi="仿宋" w:eastAsia="仿宋" w:cs="仿宋"/>
          <w:color w:val="auto"/>
          <w:spacing w:val="4"/>
          <w:sz w:val="30"/>
          <w:szCs w:val="30"/>
          <w:highlight w:val="none"/>
          <w:lang w:eastAsia="zh-CN"/>
        </w:rPr>
        <w:t>委托运营</w:t>
      </w:r>
      <w:r>
        <w:rPr>
          <w:rFonts w:ascii="仿宋" w:hAnsi="仿宋" w:eastAsia="仿宋" w:cs="仿宋"/>
          <w:color w:val="auto"/>
          <w:spacing w:val="4"/>
          <w:sz w:val="30"/>
          <w:szCs w:val="30"/>
          <w:highlight w:val="none"/>
          <w:lang w:eastAsia="zh-CN"/>
        </w:rPr>
        <w:t>期满或者合同解除的，</w:t>
      </w:r>
      <w:r>
        <w:rPr>
          <w:rFonts w:hint="eastAsia" w:ascii="仿宋" w:hAnsi="仿宋" w:eastAsia="仿宋" w:cs="仿宋"/>
          <w:color w:val="auto"/>
          <w:spacing w:val="4"/>
          <w:sz w:val="30"/>
          <w:szCs w:val="30"/>
          <w:highlight w:val="none"/>
          <w:lang w:eastAsia="zh-CN"/>
        </w:rPr>
        <w:t>新建、改建、扩建及</w:t>
      </w:r>
      <w:r>
        <w:rPr>
          <w:rFonts w:ascii="仿宋" w:hAnsi="仿宋" w:eastAsia="仿宋" w:cs="仿宋"/>
          <w:color w:val="auto"/>
          <w:spacing w:val="4"/>
          <w:sz w:val="30"/>
          <w:szCs w:val="30"/>
          <w:highlight w:val="none"/>
          <w:lang w:eastAsia="zh-CN"/>
        </w:rPr>
        <w:t>依附于房屋的装饰装修无偿归甲方所有，甲方无需给予乙方任何赔偿或补偿，即甲方不承担该房屋装改善增设他物的任何赔偿和补偿。</w:t>
      </w:r>
    </w:p>
    <w:p w14:paraId="557F8AE2">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ascii="仿宋" w:hAnsi="仿宋" w:eastAsia="仿宋" w:cs="仿宋"/>
          <w:color w:val="auto"/>
          <w:spacing w:val="4"/>
          <w:sz w:val="30"/>
          <w:szCs w:val="30"/>
          <w:highlight w:val="none"/>
          <w:lang w:eastAsia="zh-CN"/>
        </w:rPr>
        <w:t>9.5</w:t>
      </w:r>
      <w:bookmarkStart w:id="19" w:name="_Hlk166539294"/>
      <w:r>
        <w:rPr>
          <w:rFonts w:ascii="仿宋" w:hAnsi="仿宋" w:eastAsia="仿宋" w:cs="仿宋"/>
          <w:color w:val="auto"/>
          <w:spacing w:val="4"/>
          <w:sz w:val="30"/>
          <w:szCs w:val="30"/>
          <w:highlight w:val="none"/>
          <w:lang w:eastAsia="zh-CN"/>
        </w:rPr>
        <w:t>乙方明确知晓在</w:t>
      </w:r>
      <w:r>
        <w:rPr>
          <w:rFonts w:hint="eastAsia" w:ascii="仿宋" w:hAnsi="仿宋" w:eastAsia="仿宋" w:cs="仿宋"/>
          <w:color w:val="auto"/>
          <w:spacing w:val="4"/>
          <w:sz w:val="30"/>
          <w:szCs w:val="30"/>
          <w:highlight w:val="none"/>
          <w:lang w:eastAsia="zh-CN"/>
        </w:rPr>
        <w:t>委托运营</w:t>
      </w:r>
      <w:r>
        <w:rPr>
          <w:rFonts w:ascii="仿宋" w:hAnsi="仿宋" w:eastAsia="仿宋" w:cs="仿宋"/>
          <w:color w:val="auto"/>
          <w:spacing w:val="4"/>
          <w:sz w:val="30"/>
          <w:szCs w:val="30"/>
          <w:highlight w:val="none"/>
          <w:lang w:eastAsia="zh-CN"/>
        </w:rPr>
        <w:t>期满或者合同解除后协议项下宗地将进入国有土地使用权出让程序，若乙方未及时将</w:t>
      </w:r>
      <w:r>
        <w:rPr>
          <w:rFonts w:hint="eastAsia" w:ascii="仿宋" w:hAnsi="仿宋" w:eastAsia="仿宋" w:cs="仿宋"/>
          <w:color w:val="auto"/>
          <w:spacing w:val="4"/>
          <w:sz w:val="30"/>
          <w:szCs w:val="30"/>
          <w:highlight w:val="none"/>
          <w:lang w:eastAsia="zh-CN"/>
        </w:rPr>
        <w:t>委托运营</w:t>
      </w:r>
      <w:r>
        <w:rPr>
          <w:rFonts w:ascii="仿宋" w:hAnsi="仿宋" w:eastAsia="仿宋" w:cs="仿宋"/>
          <w:color w:val="auto"/>
          <w:spacing w:val="4"/>
          <w:sz w:val="30"/>
          <w:szCs w:val="30"/>
          <w:highlight w:val="none"/>
          <w:lang w:eastAsia="zh-CN"/>
        </w:rPr>
        <w:t>物交还给甲方的，自</w:t>
      </w:r>
      <w:r>
        <w:rPr>
          <w:rFonts w:hint="eastAsia" w:ascii="仿宋" w:hAnsi="仿宋" w:eastAsia="仿宋" w:cs="仿宋"/>
          <w:color w:val="auto"/>
          <w:spacing w:val="4"/>
          <w:sz w:val="30"/>
          <w:szCs w:val="30"/>
          <w:highlight w:val="none"/>
          <w:lang w:eastAsia="zh-CN"/>
        </w:rPr>
        <w:t>委托运营</w:t>
      </w:r>
      <w:r>
        <w:rPr>
          <w:rFonts w:ascii="仿宋" w:hAnsi="仿宋" w:eastAsia="仿宋" w:cs="仿宋"/>
          <w:color w:val="auto"/>
          <w:spacing w:val="4"/>
          <w:sz w:val="30"/>
          <w:szCs w:val="30"/>
          <w:highlight w:val="none"/>
          <w:lang w:eastAsia="zh-CN"/>
        </w:rPr>
        <w:t>期</w:t>
      </w:r>
      <w:r>
        <w:rPr>
          <w:rFonts w:hint="eastAsia" w:ascii="仿宋" w:hAnsi="仿宋" w:eastAsia="仿宋" w:cs="仿宋"/>
          <w:color w:val="auto"/>
          <w:spacing w:val="4"/>
          <w:sz w:val="30"/>
          <w:szCs w:val="30"/>
          <w:highlight w:val="none"/>
          <w:lang w:eastAsia="zh-CN"/>
        </w:rPr>
        <w:t>满或者合同解除之日起，乙方按当年管理费的两倍或以该宗地国有土地使用权出让金为基数每日万分之四的标准（两者就高确定甲方损失金额）向甲方赔偿损失至乙方将房屋交还给甲方之日止。</w:t>
      </w:r>
    </w:p>
    <w:bookmarkEnd w:id="19"/>
    <w:p w14:paraId="2C368474">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9.6乙方将房屋交还给甲方时，如有滞留物未腾空的，视为乙方自愿放弃滞留物的所有权。甲方可对滞留物进行处理且不向乙方做任何补偿。</w:t>
      </w:r>
    </w:p>
    <w:p w14:paraId="74731863">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 xml:space="preserve">第十条 </w:t>
      </w:r>
      <w:r>
        <w:rPr>
          <w:rFonts w:hint="eastAsia" w:ascii="仿宋" w:hAnsi="仿宋" w:eastAsia="仿宋" w:cs="仿宋"/>
          <w:color w:val="auto"/>
          <w:spacing w:val="-10"/>
          <w:sz w:val="30"/>
          <w:szCs w:val="30"/>
          <w:highlight w:val="none"/>
          <w:lang w:eastAsia="zh-CN"/>
        </w:rPr>
        <w:t>乙方的其他义务：</w:t>
      </w:r>
    </w:p>
    <w:p w14:paraId="39DE14AD">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10.1乙方要规范自身管理，房屋内的财产应自行向保险公司投保，所发生的一切损失，与甲方无涉。</w:t>
      </w:r>
    </w:p>
    <w:p w14:paraId="61A5ED6D">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10.2乙方须守法经营，乙方生产经营过程中发生的任何纠纷由乙方自行承担，与甲方无涉。</w:t>
      </w:r>
    </w:p>
    <w:p w14:paraId="18E44D69">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10.3乙方如因使用不当造成甲方房屋设施损坏的，或者造成第三方损失的，乙方自行负责处理（包括但不限于进行修复、赔偿等）</w:t>
      </w:r>
      <w:r>
        <w:rPr>
          <w:rFonts w:hint="eastAsia" w:ascii="仿宋" w:hAnsi="仿宋" w:eastAsia="仿宋" w:cs="仿宋"/>
          <w:color w:val="auto"/>
          <w:spacing w:val="4"/>
          <w:sz w:val="30"/>
          <w:szCs w:val="30"/>
          <w:highlight w:val="none"/>
          <w:lang w:eastAsia="zh-Hans"/>
        </w:rPr>
        <w:t>，与甲方无涉，甲方如因此遭受损失或第三方索赔的，有权向乙方索赔或追偿</w:t>
      </w:r>
      <w:r>
        <w:rPr>
          <w:rFonts w:hint="eastAsia" w:ascii="仿宋" w:hAnsi="仿宋" w:eastAsia="仿宋" w:cs="仿宋"/>
          <w:color w:val="auto"/>
          <w:spacing w:val="4"/>
          <w:sz w:val="30"/>
          <w:szCs w:val="30"/>
          <w:highlight w:val="none"/>
          <w:lang w:eastAsia="zh-CN"/>
        </w:rPr>
        <w:t>。</w:t>
      </w:r>
    </w:p>
    <w:p w14:paraId="1BB29455">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10.4</w:t>
      </w:r>
      <w:r>
        <w:rPr>
          <w:rFonts w:hint="eastAsia" w:ascii="仿宋" w:hAnsi="仿宋" w:eastAsia="仿宋" w:cs="仿宋"/>
          <w:color w:val="auto"/>
          <w:spacing w:val="4"/>
          <w:sz w:val="30"/>
          <w:szCs w:val="30"/>
          <w:highlight w:val="none"/>
          <w:lang w:val="en-US" w:eastAsia="zh-CN"/>
        </w:rPr>
        <w:t>委托运营期</w:t>
      </w:r>
      <w:r>
        <w:rPr>
          <w:rFonts w:hint="eastAsia" w:ascii="仿宋" w:hAnsi="仿宋" w:eastAsia="仿宋" w:cs="仿宋"/>
          <w:color w:val="auto"/>
          <w:spacing w:val="4"/>
          <w:sz w:val="30"/>
          <w:szCs w:val="30"/>
          <w:highlight w:val="none"/>
          <w:lang w:eastAsia="zh-CN"/>
        </w:rPr>
        <w:t>内，因乙方未按甲方或有关职能部门要求限期整改，而导致的停水停电、被行政处罚等，相应损失由乙方自行承担。</w:t>
      </w:r>
    </w:p>
    <w:p w14:paraId="4C125F48">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10.5乙方在委托运营期间，要强化安全意识，杜绝各类安全事故发生，委托运营期内发生的一切安全责任事故均由乙方自行承担，与甲方无涉。因消防安全事故等给甲方</w:t>
      </w:r>
      <w:r>
        <w:rPr>
          <w:rFonts w:hint="eastAsia" w:ascii="仿宋" w:hAnsi="仿宋" w:eastAsia="仿宋" w:cs="仿宋"/>
          <w:color w:val="auto"/>
          <w:spacing w:val="4"/>
          <w:sz w:val="30"/>
          <w:szCs w:val="30"/>
          <w:highlight w:val="none"/>
          <w:lang w:eastAsia="zh-Hans"/>
        </w:rPr>
        <w:t>或任意第三方</w:t>
      </w:r>
      <w:r>
        <w:rPr>
          <w:rFonts w:hint="eastAsia" w:ascii="仿宋" w:hAnsi="仿宋" w:eastAsia="仿宋" w:cs="仿宋"/>
          <w:color w:val="auto"/>
          <w:spacing w:val="4"/>
          <w:sz w:val="30"/>
          <w:szCs w:val="30"/>
          <w:highlight w:val="none"/>
          <w:lang w:eastAsia="zh-CN"/>
        </w:rPr>
        <w:t>造成的损失，由乙方承担。</w:t>
      </w:r>
    </w:p>
    <w:p w14:paraId="08B0CAB1">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10.6如乙方决定自费装修房屋的，乙方的装修方案须先报甲方书面同意，在办理合法手续后方可施工。</w:t>
      </w:r>
    </w:p>
    <w:p w14:paraId="71706B3E">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10.7在房屋、土地内乙方未经审批或者有关部门同意搭建构筑物的，甲方有权要求乙方自行拆除，并由乙方承担所有责任。</w:t>
      </w:r>
    </w:p>
    <w:p w14:paraId="79AAC4F1">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第十一条</w:t>
      </w:r>
      <w:r>
        <w:rPr>
          <w:rFonts w:hint="eastAsia" w:ascii="仿宋" w:hAnsi="仿宋" w:eastAsia="仿宋" w:cs="仿宋"/>
          <w:color w:val="auto"/>
          <w:spacing w:val="-10"/>
          <w:sz w:val="30"/>
          <w:szCs w:val="30"/>
          <w:highlight w:val="none"/>
          <w:lang w:eastAsia="zh-CN"/>
        </w:rPr>
        <w:t>免责条款</w:t>
      </w:r>
    </w:p>
    <w:p w14:paraId="7E6AE02D">
      <w:pPr>
        <w:kinsoku/>
        <w:autoSpaceDE/>
        <w:autoSpaceDN/>
        <w:adjustRightInd/>
        <w:snapToGrid w:val="0"/>
        <w:spacing w:before="154"/>
        <w:ind w:right="49" w:firstLine="560" w:firstLineChars="0"/>
        <w:textAlignment w:val="center"/>
        <w:rPr>
          <w:rFonts w:hint="eastAsia"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val="en-US" w:eastAsia="zh-CN"/>
        </w:rPr>
        <w:t>11.1乙</w:t>
      </w:r>
      <w:r>
        <w:rPr>
          <w:rFonts w:hint="eastAsia" w:ascii="仿宋" w:hAnsi="仿宋" w:eastAsia="仿宋" w:cs="仿宋"/>
          <w:color w:val="auto"/>
          <w:spacing w:val="4"/>
          <w:sz w:val="30"/>
          <w:szCs w:val="30"/>
          <w:highlight w:val="none"/>
          <w:lang w:eastAsia="zh-CN"/>
        </w:rPr>
        <w:t>方</w:t>
      </w:r>
      <w:r>
        <w:rPr>
          <w:rFonts w:hint="eastAsia" w:ascii="仿宋" w:hAnsi="仿宋" w:eastAsia="仿宋" w:cs="仿宋"/>
          <w:b w:val="0"/>
          <w:bCs w:val="0"/>
          <w:color w:val="auto"/>
          <w:spacing w:val="4"/>
          <w:sz w:val="30"/>
          <w:szCs w:val="30"/>
          <w:highlight w:val="none"/>
          <w:u w:val="none"/>
        </w:rPr>
        <w:t>须在</w:t>
      </w:r>
      <w:r>
        <w:rPr>
          <w:rFonts w:hint="eastAsia" w:ascii="仿宋" w:hAnsi="仿宋" w:eastAsia="仿宋" w:cs="仿宋"/>
          <w:b w:val="0"/>
          <w:bCs w:val="0"/>
          <w:color w:val="auto"/>
          <w:spacing w:val="4"/>
          <w:sz w:val="30"/>
          <w:szCs w:val="30"/>
          <w:highlight w:val="none"/>
          <w:u w:val="none"/>
          <w:lang w:val="en-US" w:eastAsia="zh-CN"/>
        </w:rPr>
        <w:t>投标</w:t>
      </w:r>
      <w:r>
        <w:rPr>
          <w:rFonts w:hint="eastAsia" w:ascii="仿宋" w:hAnsi="仿宋" w:eastAsia="仿宋" w:cs="仿宋"/>
          <w:b w:val="0"/>
          <w:bCs w:val="0"/>
          <w:color w:val="auto"/>
          <w:spacing w:val="4"/>
          <w:sz w:val="30"/>
          <w:szCs w:val="30"/>
          <w:highlight w:val="none"/>
          <w:u w:val="none"/>
        </w:rPr>
        <w:t>前自行对</w:t>
      </w:r>
      <w:r>
        <w:rPr>
          <w:rFonts w:hint="eastAsia" w:ascii="仿宋" w:hAnsi="仿宋" w:eastAsia="仿宋" w:cs="仿宋"/>
          <w:b w:val="0"/>
          <w:bCs w:val="0"/>
          <w:color w:val="auto"/>
          <w:spacing w:val="4"/>
          <w:sz w:val="30"/>
          <w:szCs w:val="30"/>
          <w:highlight w:val="none"/>
          <w:u w:val="none"/>
          <w:lang w:eastAsia="zh-CN"/>
        </w:rPr>
        <w:t>运营</w:t>
      </w:r>
      <w:r>
        <w:rPr>
          <w:rFonts w:hint="eastAsia" w:ascii="仿宋" w:hAnsi="仿宋" w:eastAsia="仿宋" w:cs="仿宋"/>
          <w:b w:val="0"/>
          <w:bCs w:val="0"/>
          <w:color w:val="auto"/>
          <w:spacing w:val="4"/>
          <w:sz w:val="30"/>
          <w:szCs w:val="30"/>
          <w:highlight w:val="none"/>
          <w:u w:val="none"/>
        </w:rPr>
        <w:t>标的进行全面了解，并对营业所需的各项审批条件和规定进行充分自核。无论因何种原因（包括</w:t>
      </w:r>
      <w:r>
        <w:rPr>
          <w:rFonts w:hint="eastAsia" w:ascii="仿宋" w:hAnsi="仿宋" w:eastAsia="仿宋" w:cs="仿宋"/>
          <w:b w:val="0"/>
          <w:bCs w:val="0"/>
          <w:color w:val="auto"/>
          <w:spacing w:val="4"/>
          <w:sz w:val="30"/>
          <w:szCs w:val="30"/>
          <w:highlight w:val="none"/>
          <w:u w:val="none"/>
          <w:lang w:val="en-US" w:eastAsia="zh-CN"/>
        </w:rPr>
        <w:t>但不限于</w:t>
      </w:r>
      <w:r>
        <w:rPr>
          <w:rFonts w:hint="eastAsia" w:ascii="仿宋" w:hAnsi="仿宋" w:eastAsia="仿宋" w:cs="仿宋"/>
          <w:b w:val="0"/>
          <w:bCs w:val="0"/>
          <w:color w:val="auto"/>
          <w:spacing w:val="4"/>
          <w:sz w:val="30"/>
          <w:szCs w:val="30"/>
          <w:highlight w:val="none"/>
          <w:u w:val="none"/>
        </w:rPr>
        <w:t>土地规划用途和既有结构、设计等因素在内</w:t>
      </w:r>
      <w:r>
        <w:rPr>
          <w:rFonts w:hint="eastAsia" w:ascii="仿宋" w:hAnsi="仿宋" w:eastAsia="仿宋" w:cs="仿宋"/>
          <w:b w:val="0"/>
          <w:bCs w:val="0"/>
          <w:color w:val="auto"/>
          <w:spacing w:val="4"/>
          <w:sz w:val="30"/>
          <w:szCs w:val="30"/>
          <w:highlight w:val="none"/>
          <w:u w:val="none"/>
          <w:lang w:eastAsia="zh-CN"/>
        </w:rPr>
        <w:t>、</w:t>
      </w:r>
      <w:r>
        <w:rPr>
          <w:rFonts w:hint="eastAsia" w:ascii="仿宋" w:hAnsi="仿宋" w:eastAsia="仿宋" w:cs="仿宋"/>
          <w:b w:val="0"/>
          <w:bCs w:val="0"/>
          <w:color w:val="auto"/>
          <w:spacing w:val="4"/>
          <w:sz w:val="30"/>
          <w:szCs w:val="30"/>
          <w:highlight w:val="none"/>
          <w:u w:val="none"/>
        </w:rPr>
        <w:t>标的不动产权属证书</w:t>
      </w:r>
      <w:r>
        <w:rPr>
          <w:rFonts w:hint="eastAsia" w:ascii="仿宋" w:hAnsi="仿宋" w:eastAsia="仿宋" w:cs="仿宋"/>
          <w:b w:val="0"/>
          <w:bCs w:val="0"/>
          <w:color w:val="auto"/>
          <w:spacing w:val="4"/>
          <w:sz w:val="30"/>
          <w:szCs w:val="30"/>
          <w:highlight w:val="none"/>
          <w:u w:val="none"/>
          <w:lang w:eastAsia="zh-CN"/>
        </w:rPr>
        <w:t>已</w:t>
      </w:r>
      <w:r>
        <w:rPr>
          <w:rFonts w:hint="eastAsia" w:ascii="仿宋" w:hAnsi="仿宋" w:eastAsia="仿宋" w:cs="仿宋"/>
          <w:b w:val="0"/>
          <w:bCs w:val="0"/>
          <w:color w:val="auto"/>
          <w:spacing w:val="4"/>
          <w:sz w:val="30"/>
          <w:szCs w:val="30"/>
          <w:highlight w:val="none"/>
          <w:u w:val="none"/>
        </w:rPr>
        <w:t>注销</w:t>
      </w:r>
      <w:r>
        <w:rPr>
          <w:rFonts w:hint="eastAsia" w:ascii="仿宋" w:hAnsi="仿宋" w:eastAsia="仿宋" w:cs="仿宋"/>
          <w:b w:val="0"/>
          <w:bCs w:val="0"/>
          <w:color w:val="auto"/>
          <w:spacing w:val="4"/>
          <w:sz w:val="30"/>
          <w:szCs w:val="30"/>
          <w:highlight w:val="none"/>
          <w:u w:val="none"/>
          <w:lang w:eastAsia="zh-CN"/>
        </w:rPr>
        <w:t>、</w:t>
      </w:r>
      <w:r>
        <w:rPr>
          <w:rFonts w:hint="eastAsia" w:ascii="仿宋" w:hAnsi="仿宋" w:eastAsia="仿宋" w:cs="仿宋"/>
          <w:b w:val="0"/>
          <w:bCs w:val="0"/>
          <w:color w:val="auto"/>
          <w:spacing w:val="4"/>
          <w:sz w:val="30"/>
          <w:szCs w:val="30"/>
          <w:highlight w:val="none"/>
          <w:u w:val="none"/>
          <w:lang w:val="en-US" w:eastAsia="zh-CN"/>
        </w:rPr>
        <w:t>房屋暂无水电接入、部分屋面漏水</w:t>
      </w:r>
      <w:r>
        <w:rPr>
          <w:rFonts w:hint="eastAsia" w:ascii="仿宋" w:hAnsi="仿宋" w:eastAsia="仿宋" w:cs="仿宋"/>
          <w:b w:val="0"/>
          <w:bCs w:val="0"/>
          <w:color w:val="auto"/>
          <w:spacing w:val="4"/>
          <w:sz w:val="30"/>
          <w:szCs w:val="30"/>
          <w:highlight w:val="none"/>
          <w:u w:val="none"/>
        </w:rPr>
        <w:t>）导致的</w:t>
      </w:r>
      <w:r>
        <w:rPr>
          <w:rFonts w:hint="eastAsia" w:ascii="仿宋" w:hAnsi="仿宋" w:eastAsia="仿宋" w:cs="仿宋"/>
          <w:b w:val="0"/>
          <w:bCs w:val="0"/>
          <w:color w:val="auto"/>
          <w:spacing w:val="4"/>
          <w:sz w:val="30"/>
          <w:szCs w:val="30"/>
          <w:highlight w:val="none"/>
          <w:u w:val="none"/>
          <w:lang w:val="en-US" w:eastAsia="zh-CN"/>
        </w:rPr>
        <w:t>审批与</w:t>
      </w:r>
      <w:r>
        <w:rPr>
          <w:rFonts w:hint="eastAsia" w:ascii="仿宋" w:hAnsi="仿宋" w:eastAsia="仿宋" w:cs="仿宋"/>
          <w:b w:val="0"/>
          <w:bCs w:val="0"/>
          <w:color w:val="auto"/>
          <w:spacing w:val="4"/>
          <w:sz w:val="30"/>
          <w:szCs w:val="30"/>
          <w:highlight w:val="none"/>
          <w:u w:val="none"/>
        </w:rPr>
        <w:t>经营风险，</w:t>
      </w:r>
      <w:r>
        <w:rPr>
          <w:rFonts w:hint="eastAsia" w:ascii="仿宋" w:hAnsi="仿宋" w:eastAsia="仿宋" w:cs="仿宋"/>
          <w:b w:val="0"/>
          <w:bCs w:val="0"/>
          <w:color w:val="auto"/>
          <w:spacing w:val="4"/>
          <w:sz w:val="30"/>
          <w:szCs w:val="30"/>
          <w:highlight w:val="none"/>
          <w:u w:val="none"/>
          <w:lang w:val="en-US" w:eastAsia="zh-CN"/>
        </w:rPr>
        <w:t>乙方</w:t>
      </w:r>
      <w:r>
        <w:rPr>
          <w:rFonts w:hint="eastAsia" w:ascii="仿宋" w:hAnsi="仿宋" w:eastAsia="仿宋" w:cs="仿宋"/>
          <w:b w:val="0"/>
          <w:bCs w:val="0"/>
          <w:color w:val="auto"/>
          <w:spacing w:val="4"/>
          <w:sz w:val="30"/>
          <w:szCs w:val="30"/>
          <w:highlight w:val="none"/>
          <w:u w:val="none"/>
        </w:rPr>
        <w:t>承诺</w:t>
      </w:r>
      <w:r>
        <w:rPr>
          <w:rFonts w:hint="eastAsia" w:ascii="仿宋" w:hAnsi="仿宋" w:eastAsia="仿宋" w:cs="仿宋"/>
          <w:b w:val="0"/>
          <w:bCs w:val="0"/>
          <w:color w:val="auto"/>
          <w:spacing w:val="4"/>
          <w:sz w:val="30"/>
          <w:szCs w:val="30"/>
          <w:highlight w:val="none"/>
          <w:u w:val="none"/>
          <w:lang w:val="en-US" w:eastAsia="zh-CN"/>
        </w:rPr>
        <w:t>自行</w:t>
      </w:r>
      <w:r>
        <w:rPr>
          <w:rFonts w:hint="eastAsia" w:ascii="仿宋" w:hAnsi="仿宋" w:eastAsia="仿宋" w:cs="仿宋"/>
          <w:b w:val="0"/>
          <w:bCs w:val="0"/>
          <w:color w:val="auto"/>
          <w:spacing w:val="4"/>
          <w:sz w:val="30"/>
          <w:szCs w:val="30"/>
          <w:highlight w:val="none"/>
          <w:u w:val="none"/>
        </w:rPr>
        <w:t>承担</w:t>
      </w:r>
      <w:r>
        <w:rPr>
          <w:rFonts w:hint="eastAsia" w:ascii="仿宋" w:hAnsi="仿宋" w:eastAsia="仿宋" w:cs="仿宋"/>
          <w:b w:val="0"/>
          <w:bCs w:val="0"/>
          <w:color w:val="auto"/>
          <w:spacing w:val="4"/>
          <w:sz w:val="30"/>
          <w:szCs w:val="30"/>
          <w:highlight w:val="none"/>
          <w:u w:val="none"/>
          <w:lang w:val="en-US" w:eastAsia="zh-CN"/>
        </w:rPr>
        <w:t>相应法律责任、经济成本合经营损失，不得向甲方提出索赔或解约</w:t>
      </w:r>
      <w:r>
        <w:rPr>
          <w:rFonts w:hint="eastAsia" w:ascii="仿宋" w:hAnsi="仿宋" w:eastAsia="仿宋" w:cs="仿宋"/>
          <w:b w:val="0"/>
          <w:bCs w:val="0"/>
          <w:color w:val="auto"/>
          <w:spacing w:val="4"/>
          <w:sz w:val="30"/>
          <w:szCs w:val="30"/>
          <w:highlight w:val="none"/>
          <w:u w:val="none"/>
          <w:lang w:eastAsia="zh-CN"/>
        </w:rPr>
        <w:t>。</w:t>
      </w:r>
    </w:p>
    <w:p w14:paraId="32F5FFE1">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val="en-US" w:eastAsia="zh-CN"/>
        </w:rPr>
        <w:t>11.2</w:t>
      </w:r>
      <w:r>
        <w:rPr>
          <w:rFonts w:hint="eastAsia" w:ascii="仿宋" w:hAnsi="仿宋" w:eastAsia="仿宋" w:cs="仿宋"/>
          <w:color w:val="auto"/>
          <w:spacing w:val="4"/>
          <w:sz w:val="30"/>
          <w:szCs w:val="30"/>
          <w:highlight w:val="none"/>
          <w:lang w:eastAsia="zh-CN"/>
        </w:rPr>
        <w:t>因不可抗力或其他不可归责于双方的原因，致使合同无法履行，本合同自动解除。管理费按实际使用时间进行结算，双方互不承担违约责任。</w:t>
      </w:r>
    </w:p>
    <w:p w14:paraId="6183C636">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第十二条</w:t>
      </w:r>
      <w:r>
        <w:rPr>
          <w:rFonts w:hint="eastAsia" w:ascii="仿宋" w:hAnsi="仿宋" w:eastAsia="仿宋" w:cs="仿宋"/>
          <w:color w:val="auto"/>
          <w:spacing w:val="-10"/>
          <w:sz w:val="30"/>
          <w:szCs w:val="30"/>
          <w:highlight w:val="none"/>
          <w:lang w:eastAsia="zh-CN"/>
        </w:rPr>
        <w:t>其他</w:t>
      </w:r>
    </w:p>
    <w:p w14:paraId="0B68991C">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12.1 乙方的收件地址为</w:t>
      </w:r>
      <w:r>
        <w:rPr>
          <w:rFonts w:hint="eastAsia" w:ascii="仿宋" w:hAnsi="仿宋" w:eastAsia="仿宋" w:cs="仿宋"/>
          <w:color w:val="auto"/>
          <w:spacing w:val="4"/>
          <w:sz w:val="30"/>
          <w:szCs w:val="30"/>
          <w:highlight w:val="none"/>
          <w:u w:val="single"/>
          <w:lang w:eastAsia="zh-CN"/>
        </w:rPr>
        <w:t xml:space="preserve">              </w:t>
      </w:r>
      <w:r>
        <w:rPr>
          <w:rFonts w:hint="eastAsia" w:ascii="仿宋" w:hAnsi="仿宋" w:eastAsia="仿宋" w:cs="仿宋"/>
          <w:color w:val="auto"/>
          <w:spacing w:val="4"/>
          <w:sz w:val="30"/>
          <w:szCs w:val="30"/>
          <w:highlight w:val="none"/>
          <w:lang w:eastAsia="zh-CN"/>
        </w:rPr>
        <w:t>，联系人</w:t>
      </w:r>
      <w:r>
        <w:rPr>
          <w:rFonts w:hint="eastAsia" w:ascii="仿宋" w:hAnsi="仿宋" w:eastAsia="仿宋" w:cs="仿宋"/>
          <w:color w:val="auto"/>
          <w:spacing w:val="4"/>
          <w:sz w:val="30"/>
          <w:szCs w:val="30"/>
          <w:highlight w:val="none"/>
          <w:u w:val="single"/>
          <w:lang w:eastAsia="zh-CN"/>
        </w:rPr>
        <w:t xml:space="preserve">          </w:t>
      </w:r>
      <w:r>
        <w:rPr>
          <w:rFonts w:hint="eastAsia" w:ascii="仿宋" w:hAnsi="仿宋" w:eastAsia="仿宋" w:cs="仿宋"/>
          <w:color w:val="auto"/>
          <w:spacing w:val="4"/>
          <w:sz w:val="30"/>
          <w:szCs w:val="30"/>
          <w:highlight w:val="none"/>
          <w:lang w:eastAsia="zh-CN"/>
        </w:rPr>
        <w:t>，联系电话</w:t>
      </w:r>
      <w:r>
        <w:rPr>
          <w:rFonts w:hint="eastAsia" w:ascii="仿宋" w:hAnsi="仿宋" w:eastAsia="仿宋" w:cs="仿宋"/>
          <w:color w:val="auto"/>
          <w:spacing w:val="4"/>
          <w:sz w:val="30"/>
          <w:szCs w:val="30"/>
          <w:highlight w:val="none"/>
          <w:u w:val="single"/>
          <w:lang w:eastAsia="zh-CN"/>
        </w:rPr>
        <w:t xml:space="preserve">             </w:t>
      </w:r>
      <w:r>
        <w:rPr>
          <w:rFonts w:hint="eastAsia" w:ascii="仿宋" w:hAnsi="仿宋" w:eastAsia="仿宋" w:cs="仿宋"/>
          <w:color w:val="auto"/>
          <w:spacing w:val="4"/>
          <w:sz w:val="30"/>
          <w:szCs w:val="30"/>
          <w:highlight w:val="none"/>
          <w:lang w:eastAsia="zh-CN"/>
        </w:rPr>
        <w:t>；如乙方变更联系地址的，需书面通知甲方，如因乙方变更地址未及时书面通知甲方的，以乙方未变更地址为有效送达地址。</w:t>
      </w:r>
    </w:p>
    <w:p w14:paraId="3D4DA2A8">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乙方确认，甲方按照上述“收件地址”以特快专递形式发出的函件，发出后第三日视为乙方收到函件。适用范围包括双方非诉时各类通知、协议等文件，以及各方发生争议进入诉讼程序和执行程序时相关文件和法律文书的送达。</w:t>
      </w:r>
    </w:p>
    <w:p w14:paraId="5BD0F328">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12.2因乙方未按本合同履行义务，造成甲方为维权支出的所有费用（包括但不限于诉讼费、律师代理费、差旅费等）由乙方承担。</w:t>
      </w:r>
    </w:p>
    <w:p w14:paraId="44747242">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第十三条 争议的解决方式：协商解决，协商不成由</w:t>
      </w:r>
      <w:r>
        <w:rPr>
          <w:rFonts w:hint="eastAsia" w:ascii="仿宋" w:hAnsi="仿宋" w:eastAsia="仿宋" w:cs="仿宋"/>
          <w:color w:val="auto"/>
          <w:spacing w:val="4"/>
          <w:sz w:val="30"/>
          <w:szCs w:val="30"/>
          <w:highlight w:val="none"/>
          <w:lang w:val="en-US" w:eastAsia="zh-CN"/>
        </w:rPr>
        <w:t>房屋</w:t>
      </w:r>
      <w:r>
        <w:rPr>
          <w:rFonts w:hint="eastAsia" w:ascii="仿宋" w:hAnsi="仿宋" w:eastAsia="仿宋" w:cs="仿宋"/>
          <w:color w:val="auto"/>
          <w:spacing w:val="4"/>
          <w:sz w:val="30"/>
          <w:szCs w:val="30"/>
          <w:highlight w:val="none"/>
          <w:lang w:eastAsia="zh-CN"/>
        </w:rPr>
        <w:t>所在地人民法院管辖。</w:t>
      </w:r>
    </w:p>
    <w:p w14:paraId="59B0882E">
      <w:pPr>
        <w:kinsoku/>
        <w:autoSpaceDE/>
        <w:autoSpaceDN/>
        <w:adjustRightInd/>
        <w:snapToGrid w:val="0"/>
        <w:spacing w:before="154"/>
        <w:ind w:right="49" w:firstLine="560"/>
        <w:textAlignment w:val="center"/>
        <w:rPr>
          <w:rFonts w:ascii="仿宋" w:hAnsi="仿宋" w:eastAsia="仿宋" w:cs="仿宋"/>
          <w:color w:val="auto"/>
          <w:spacing w:val="4"/>
          <w:sz w:val="30"/>
          <w:szCs w:val="30"/>
          <w:highlight w:val="none"/>
          <w:lang w:eastAsia="zh-CN"/>
        </w:rPr>
      </w:pPr>
      <w:r>
        <w:rPr>
          <w:rFonts w:hint="eastAsia" w:ascii="仿宋" w:hAnsi="仿宋" w:eastAsia="仿宋" w:cs="仿宋"/>
          <w:color w:val="auto"/>
          <w:spacing w:val="4"/>
          <w:sz w:val="30"/>
          <w:szCs w:val="30"/>
          <w:highlight w:val="none"/>
          <w:lang w:eastAsia="zh-CN"/>
        </w:rPr>
        <w:t>第十四条 本合同经双方签字、盖章后生效。本合同一式</w:t>
      </w:r>
      <w:r>
        <w:rPr>
          <w:rFonts w:hint="eastAsia" w:ascii="仿宋" w:hAnsi="仿宋" w:eastAsia="仿宋" w:cs="仿宋"/>
          <w:color w:val="auto"/>
          <w:spacing w:val="4"/>
          <w:sz w:val="30"/>
          <w:szCs w:val="30"/>
          <w:highlight w:val="none"/>
          <w:lang w:val="en-US" w:eastAsia="zh-CN"/>
        </w:rPr>
        <w:t>陆</w:t>
      </w:r>
      <w:r>
        <w:rPr>
          <w:rFonts w:hint="eastAsia" w:ascii="仿宋" w:hAnsi="仿宋" w:eastAsia="仿宋" w:cs="仿宋"/>
          <w:color w:val="auto"/>
          <w:spacing w:val="4"/>
          <w:sz w:val="30"/>
          <w:szCs w:val="30"/>
          <w:highlight w:val="none"/>
          <w:lang w:eastAsia="zh-CN"/>
        </w:rPr>
        <w:t>份，甲方执叁份，乙方执叁份，具有同等效力。</w:t>
      </w:r>
    </w:p>
    <w:p w14:paraId="5B270B5E">
      <w:pPr>
        <w:kinsoku/>
        <w:autoSpaceDE/>
        <w:autoSpaceDN/>
        <w:adjustRightInd/>
        <w:snapToGrid w:val="0"/>
        <w:textAlignment w:val="center"/>
        <w:rPr>
          <w:rFonts w:ascii="仿宋" w:hAnsi="仿宋" w:eastAsia="仿宋" w:cs="仿宋"/>
          <w:color w:val="auto"/>
          <w:spacing w:val="-9"/>
          <w:sz w:val="30"/>
          <w:szCs w:val="30"/>
          <w:highlight w:val="none"/>
          <w:lang w:eastAsia="zh-CN"/>
        </w:rPr>
      </w:pPr>
    </w:p>
    <w:p w14:paraId="118E5C81">
      <w:pPr>
        <w:rPr>
          <w:color w:val="auto"/>
          <w:highlight w:val="none"/>
        </w:rPr>
      </w:pPr>
    </w:p>
    <w:p w14:paraId="71BCD5B8">
      <w:pPr>
        <w:adjustRightInd/>
        <w:spacing w:line="520" w:lineRule="exact"/>
        <w:ind w:firstLine="560" w:firstLineChars="200"/>
        <w:rPr>
          <w:rFonts w:hint="eastAsia" w:ascii="宋体" w:hAnsi="宋体" w:eastAsia="宋体" w:cs="宋体"/>
          <w:color w:val="auto"/>
          <w:sz w:val="28"/>
          <w:szCs w:val="28"/>
          <w:highlight w:val="none"/>
        </w:rPr>
      </w:pPr>
    </w:p>
    <w:p w14:paraId="3D0595BD">
      <w:pPr>
        <w:adjustRightInd/>
        <w:spacing w:line="520" w:lineRule="exact"/>
        <w:ind w:firstLine="560" w:firstLineChars="200"/>
        <w:rPr>
          <w:rFonts w:hint="eastAsia" w:ascii="宋体" w:hAnsi="宋体" w:eastAsia="宋体" w:cs="宋体"/>
          <w:color w:val="auto"/>
          <w:sz w:val="28"/>
          <w:szCs w:val="28"/>
          <w:highlight w:val="none"/>
        </w:rPr>
      </w:pPr>
    </w:p>
    <w:p w14:paraId="29B843A8">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甲方：杭州萧山</w:t>
      </w:r>
      <w:r>
        <w:rPr>
          <w:rFonts w:hint="eastAsia" w:ascii="宋体" w:hAnsi="宋体" w:eastAsia="宋体" w:cs="宋体"/>
          <w:color w:val="auto"/>
          <w:sz w:val="28"/>
          <w:szCs w:val="28"/>
          <w:highlight w:val="none"/>
          <w:lang w:val="en-US" w:eastAsia="zh-CN"/>
        </w:rPr>
        <w:t>城市交通</w:t>
      </w:r>
      <w:r>
        <w:rPr>
          <w:rFonts w:hint="eastAsia" w:ascii="宋体" w:hAnsi="宋体" w:eastAsia="宋体" w:cs="宋体"/>
          <w:color w:val="auto"/>
          <w:sz w:val="28"/>
          <w:szCs w:val="28"/>
          <w:highlight w:val="none"/>
        </w:rPr>
        <w:t>开发有限公司</w:t>
      </w:r>
    </w:p>
    <w:p w14:paraId="6DAC76F8">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w:t>
      </w:r>
    </w:p>
    <w:p w14:paraId="10372AA8">
      <w:pPr>
        <w:adjustRightInd/>
        <w:spacing w:line="520" w:lineRule="exact"/>
        <w:ind w:firstLine="560" w:firstLineChars="200"/>
        <w:rPr>
          <w:rFonts w:hint="eastAsia" w:ascii="宋体" w:hAnsi="宋体" w:eastAsia="宋体" w:cs="宋体"/>
          <w:color w:val="auto"/>
          <w:sz w:val="28"/>
          <w:szCs w:val="28"/>
          <w:highlight w:val="none"/>
        </w:rPr>
      </w:pPr>
    </w:p>
    <w:p w14:paraId="60C3E4A6">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p>
    <w:p w14:paraId="0C3A333C">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w:t>
      </w:r>
    </w:p>
    <w:p w14:paraId="4D07EC44">
      <w:pPr>
        <w:adjustRightInd/>
        <w:spacing w:line="520" w:lineRule="exact"/>
        <w:ind w:firstLine="560" w:firstLineChars="200"/>
        <w:rPr>
          <w:rFonts w:hint="eastAsia" w:ascii="宋体" w:hAnsi="宋体" w:eastAsia="宋体" w:cs="宋体"/>
          <w:color w:val="auto"/>
          <w:sz w:val="28"/>
          <w:szCs w:val="28"/>
          <w:highlight w:val="none"/>
          <w:lang w:eastAsia="zh-CN"/>
        </w:rPr>
      </w:pPr>
    </w:p>
    <w:p w14:paraId="52419A85">
      <w:pPr>
        <w:adjustRightIn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签订日期：      年   </w:t>
      </w:r>
      <w:r>
        <w:rPr>
          <w:rFonts w:hint="eastAsia" w:ascii="宋体" w:hAnsi="宋体" w:eastAsia="宋体" w:cs="宋体"/>
          <w:color w:val="auto"/>
          <w:sz w:val="28"/>
          <w:szCs w:val="28"/>
          <w:highlight w:val="none"/>
          <w:lang w:val="en-US" w:eastAsia="zh-CN"/>
        </w:rPr>
        <w:t xml:space="preserve">月 </w:t>
      </w:r>
      <w:r>
        <w:rPr>
          <w:rFonts w:hint="eastAsia" w:ascii="宋体" w:hAnsi="宋体" w:eastAsia="宋体" w:cs="宋体"/>
          <w:color w:val="auto"/>
          <w:sz w:val="28"/>
          <w:szCs w:val="28"/>
          <w:highlight w:val="none"/>
        </w:rPr>
        <w:t xml:space="preserve">  日</w:t>
      </w:r>
    </w:p>
    <w:p w14:paraId="56650AAA">
      <w:pPr>
        <w:adjustRightInd/>
        <w:spacing w:line="520" w:lineRule="exact"/>
        <w:ind w:firstLine="560" w:firstLine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签订地点：杭州市萧山区</w:t>
      </w:r>
    </w:p>
    <w:p w14:paraId="4DF85DF2">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62ECABA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6FC0F77">
      <w:pPr>
        <w:rPr>
          <w:rFonts w:hint="eastAsia" w:ascii="宋体" w:hAnsi="宋体" w:eastAsia="宋体" w:cs="宋体"/>
          <w:color w:val="auto"/>
          <w:highlight w:val="none"/>
        </w:rPr>
      </w:pPr>
    </w:p>
    <w:p w14:paraId="05BA25DA">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17"/>
      <w:r>
        <w:rPr>
          <w:rFonts w:hint="eastAsia" w:ascii="宋体" w:hAnsi="宋体" w:eastAsia="宋体" w:cs="宋体"/>
          <w:b/>
          <w:color w:val="auto"/>
          <w:sz w:val="36"/>
          <w:szCs w:val="20"/>
          <w:highlight w:val="none"/>
        </w:rPr>
        <w:t xml:space="preserve"> </w:t>
      </w:r>
      <w:bookmarkEnd w:id="18"/>
      <w:r>
        <w:rPr>
          <w:rFonts w:hint="eastAsia" w:ascii="宋体" w:hAnsi="宋体" w:eastAsia="宋体" w:cs="宋体"/>
          <w:b/>
          <w:color w:val="auto"/>
          <w:sz w:val="36"/>
          <w:szCs w:val="20"/>
          <w:highlight w:val="none"/>
        </w:rPr>
        <w:t>应提交的有关格式范例</w:t>
      </w:r>
    </w:p>
    <w:p w14:paraId="544EF1E0">
      <w:pPr>
        <w:spacing w:line="360" w:lineRule="auto"/>
        <w:jc w:val="center"/>
        <w:outlineLvl w:val="0"/>
        <w:rPr>
          <w:rFonts w:hint="eastAsia" w:ascii="宋体" w:hAnsi="宋体" w:eastAsia="宋体" w:cs="宋体"/>
          <w:b/>
          <w:color w:val="auto"/>
          <w:kern w:val="0"/>
          <w:sz w:val="36"/>
          <w:szCs w:val="36"/>
          <w:highlight w:val="none"/>
        </w:rPr>
      </w:pPr>
    </w:p>
    <w:p w14:paraId="3FEC134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5BF474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8D009A6">
      <w:pPr>
        <w:spacing w:line="360" w:lineRule="auto"/>
        <w:jc w:val="center"/>
        <w:outlineLvl w:val="0"/>
        <w:rPr>
          <w:rFonts w:hint="eastAsia" w:ascii="宋体" w:hAnsi="宋体" w:eastAsia="宋体" w:cs="宋体"/>
          <w:b/>
          <w:color w:val="auto"/>
          <w:kern w:val="0"/>
          <w:sz w:val="36"/>
          <w:szCs w:val="36"/>
          <w:highlight w:val="none"/>
        </w:rPr>
      </w:pPr>
    </w:p>
    <w:p w14:paraId="45C5D2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14:paraId="7A6DC45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14:paraId="212683F4">
      <w:pPr>
        <w:snapToGrid w:val="0"/>
        <w:spacing w:line="360" w:lineRule="auto"/>
        <w:ind w:firstLine="480" w:firstLineChars="200"/>
        <w:rPr>
          <w:rFonts w:hint="eastAsia" w:ascii="宋体" w:hAnsi="宋体" w:eastAsia="宋体" w:cs="宋体"/>
          <w:color w:val="auto"/>
          <w:sz w:val="24"/>
          <w:highlight w:val="none"/>
        </w:rPr>
      </w:pPr>
    </w:p>
    <w:p w14:paraId="6651A976">
      <w:pPr>
        <w:spacing w:line="360" w:lineRule="auto"/>
        <w:ind w:firstLine="480" w:firstLineChars="200"/>
        <w:rPr>
          <w:rFonts w:hint="eastAsia" w:ascii="宋体" w:hAnsi="宋体" w:eastAsia="宋体" w:cs="宋体"/>
          <w:color w:val="auto"/>
          <w:sz w:val="24"/>
          <w:highlight w:val="none"/>
        </w:rPr>
      </w:pPr>
    </w:p>
    <w:p w14:paraId="65D041B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14:paraId="3FE779E1">
      <w:pPr>
        <w:snapToGrid w:val="0"/>
        <w:spacing w:line="360" w:lineRule="auto"/>
        <w:rPr>
          <w:rFonts w:hint="eastAsia" w:ascii="宋体" w:hAnsi="宋体" w:eastAsia="宋体" w:cs="宋体"/>
          <w:color w:val="auto"/>
          <w:sz w:val="24"/>
          <w:highlight w:val="none"/>
        </w:rPr>
      </w:pPr>
    </w:p>
    <w:p w14:paraId="18C6C34C">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14:paraId="70999E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14:paraId="668ABBB3">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14:paraId="7A6E3A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8620B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5B8C5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7F2F1B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6290C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48E489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E56D21A">
      <w:pPr>
        <w:snapToGrid w:val="0"/>
        <w:spacing w:line="360" w:lineRule="auto"/>
        <w:ind w:firstLine="5520" w:firstLineChars="2300"/>
        <w:rPr>
          <w:rFonts w:hint="eastAsia" w:ascii="宋体" w:hAnsi="宋体" w:eastAsia="宋体" w:cs="宋体"/>
          <w:color w:val="auto"/>
          <w:kern w:val="0"/>
          <w:sz w:val="24"/>
          <w:highlight w:val="none"/>
          <w:lang w:val="zh-CN"/>
        </w:rPr>
      </w:pPr>
    </w:p>
    <w:p w14:paraId="1D9468D6">
      <w:pPr>
        <w:snapToGrid w:val="0"/>
        <w:spacing w:line="360" w:lineRule="auto"/>
        <w:ind w:firstLine="5520" w:firstLineChars="2300"/>
        <w:rPr>
          <w:rFonts w:hint="eastAsia" w:ascii="宋体" w:hAnsi="宋体" w:eastAsia="宋体" w:cs="宋体"/>
          <w:color w:val="auto"/>
          <w:kern w:val="0"/>
          <w:sz w:val="24"/>
          <w:highlight w:val="none"/>
          <w:lang w:val="zh-CN"/>
        </w:rPr>
      </w:pPr>
    </w:p>
    <w:p w14:paraId="175D2BDF">
      <w:pPr>
        <w:snapToGrid w:val="0"/>
        <w:spacing w:line="360" w:lineRule="auto"/>
        <w:ind w:firstLine="5520" w:firstLineChars="2300"/>
        <w:rPr>
          <w:rFonts w:hint="eastAsia" w:ascii="宋体" w:hAnsi="宋体" w:eastAsia="宋体" w:cs="宋体"/>
          <w:color w:val="auto"/>
          <w:kern w:val="0"/>
          <w:sz w:val="24"/>
          <w:highlight w:val="none"/>
          <w:lang w:val="zh-CN"/>
        </w:rPr>
      </w:pPr>
    </w:p>
    <w:p w14:paraId="4717AFA7">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14:paraId="6BBA965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08E65B4">
      <w:pPr>
        <w:snapToGrid w:val="0"/>
        <w:spacing w:line="360" w:lineRule="auto"/>
        <w:ind w:right="480"/>
        <w:jc w:val="center"/>
        <w:rPr>
          <w:rFonts w:hint="eastAsia" w:ascii="宋体" w:hAnsi="宋体" w:eastAsia="宋体" w:cs="宋体"/>
          <w:b/>
          <w:color w:val="auto"/>
          <w:kern w:val="0"/>
          <w:sz w:val="32"/>
          <w:szCs w:val="32"/>
          <w:highlight w:val="none"/>
        </w:rPr>
      </w:pPr>
    </w:p>
    <w:p w14:paraId="77064C34">
      <w:pPr>
        <w:snapToGrid w:val="0"/>
        <w:spacing w:line="360" w:lineRule="auto"/>
        <w:ind w:right="480"/>
        <w:jc w:val="center"/>
        <w:rPr>
          <w:rFonts w:hint="eastAsia" w:ascii="宋体" w:hAnsi="宋体" w:eastAsia="宋体" w:cs="宋体"/>
          <w:b/>
          <w:color w:val="auto"/>
          <w:kern w:val="0"/>
          <w:sz w:val="32"/>
          <w:szCs w:val="32"/>
          <w:highlight w:val="none"/>
        </w:rPr>
      </w:pPr>
    </w:p>
    <w:p w14:paraId="6952AC40">
      <w:pPr>
        <w:snapToGrid w:val="0"/>
        <w:spacing w:line="360" w:lineRule="auto"/>
        <w:ind w:right="480"/>
        <w:jc w:val="center"/>
        <w:rPr>
          <w:rFonts w:hint="eastAsia" w:ascii="宋体" w:hAnsi="宋体" w:eastAsia="宋体" w:cs="宋体"/>
          <w:b/>
          <w:color w:val="auto"/>
          <w:kern w:val="0"/>
          <w:sz w:val="32"/>
          <w:szCs w:val="32"/>
          <w:highlight w:val="none"/>
        </w:rPr>
      </w:pPr>
    </w:p>
    <w:p w14:paraId="08CF53BF">
      <w:pPr>
        <w:rPr>
          <w:rFonts w:hint="eastAsia" w:ascii="宋体" w:hAnsi="宋体" w:eastAsia="宋体" w:cs="宋体"/>
          <w:color w:val="auto"/>
          <w:highlight w:val="none"/>
        </w:rPr>
      </w:pPr>
    </w:p>
    <w:p w14:paraId="2620421D">
      <w:pPr>
        <w:snapToGrid w:val="0"/>
        <w:spacing w:line="360" w:lineRule="auto"/>
        <w:ind w:right="480"/>
        <w:jc w:val="center"/>
        <w:rPr>
          <w:rFonts w:hint="eastAsia" w:ascii="宋体" w:hAnsi="宋体" w:eastAsia="宋体" w:cs="宋体"/>
          <w:b/>
          <w:color w:val="auto"/>
          <w:kern w:val="0"/>
          <w:sz w:val="32"/>
          <w:szCs w:val="32"/>
          <w:highlight w:val="none"/>
        </w:rPr>
      </w:pPr>
    </w:p>
    <w:p w14:paraId="053F91A6">
      <w:pPr>
        <w:snapToGrid w:val="0"/>
        <w:spacing w:line="360" w:lineRule="auto"/>
        <w:ind w:right="480"/>
        <w:jc w:val="center"/>
        <w:rPr>
          <w:rFonts w:hint="eastAsia" w:ascii="宋体" w:hAnsi="宋体" w:eastAsia="宋体" w:cs="宋体"/>
          <w:b/>
          <w:color w:val="auto"/>
          <w:kern w:val="0"/>
          <w:sz w:val="32"/>
          <w:szCs w:val="32"/>
          <w:highlight w:val="none"/>
        </w:rPr>
      </w:pPr>
    </w:p>
    <w:p w14:paraId="627588AD">
      <w:pPr>
        <w:snapToGrid w:val="0"/>
        <w:spacing w:line="360" w:lineRule="auto"/>
        <w:ind w:right="480"/>
        <w:jc w:val="center"/>
        <w:rPr>
          <w:rFonts w:hint="eastAsia" w:ascii="宋体" w:hAnsi="宋体" w:eastAsia="宋体" w:cs="宋体"/>
          <w:b/>
          <w:color w:val="auto"/>
          <w:kern w:val="0"/>
          <w:sz w:val="32"/>
          <w:szCs w:val="32"/>
          <w:highlight w:val="none"/>
        </w:rPr>
      </w:pPr>
    </w:p>
    <w:p w14:paraId="17FA375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B3FC0F5">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145867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14:paraId="1BFF138C">
      <w:pPr>
        <w:spacing w:line="360" w:lineRule="auto"/>
        <w:jc w:val="center"/>
        <w:rPr>
          <w:rFonts w:hint="eastAsia" w:ascii="宋体" w:hAnsi="宋体" w:eastAsia="宋体" w:cs="宋体"/>
          <w:color w:val="auto"/>
          <w:kern w:val="0"/>
          <w:sz w:val="24"/>
          <w:highlight w:val="none"/>
          <w:lang w:val="zh-CN"/>
        </w:rPr>
      </w:pPr>
    </w:p>
    <w:p w14:paraId="0A5446B4">
      <w:pPr>
        <w:widowControl/>
        <w:spacing w:line="360" w:lineRule="auto"/>
        <w:ind w:left="150"/>
        <w:jc w:val="center"/>
        <w:rPr>
          <w:rFonts w:hint="eastAsia" w:ascii="宋体" w:hAnsi="宋体" w:eastAsia="宋体" w:cs="宋体"/>
          <w:b/>
          <w:color w:val="auto"/>
          <w:kern w:val="0"/>
          <w:sz w:val="32"/>
          <w:szCs w:val="32"/>
          <w:highlight w:val="none"/>
        </w:rPr>
      </w:pPr>
    </w:p>
    <w:p w14:paraId="22D87A42">
      <w:pPr>
        <w:rPr>
          <w:rFonts w:hint="eastAsia" w:ascii="宋体" w:hAnsi="宋体" w:eastAsia="宋体" w:cs="宋体"/>
          <w:color w:val="auto"/>
          <w:highlight w:val="none"/>
        </w:rPr>
      </w:pPr>
    </w:p>
    <w:p w14:paraId="4BA62FE8">
      <w:pPr>
        <w:snapToGrid w:val="0"/>
        <w:spacing w:line="360" w:lineRule="auto"/>
        <w:ind w:right="480"/>
        <w:jc w:val="center"/>
        <w:rPr>
          <w:rFonts w:hint="eastAsia" w:ascii="宋体" w:hAnsi="宋体" w:eastAsia="宋体" w:cs="宋体"/>
          <w:b/>
          <w:color w:val="auto"/>
          <w:kern w:val="0"/>
          <w:sz w:val="32"/>
          <w:szCs w:val="32"/>
          <w:highlight w:val="none"/>
        </w:rPr>
      </w:pPr>
    </w:p>
    <w:p w14:paraId="2A906E6B">
      <w:pPr>
        <w:snapToGrid w:val="0"/>
        <w:spacing w:line="360" w:lineRule="auto"/>
        <w:ind w:right="480"/>
        <w:jc w:val="center"/>
        <w:rPr>
          <w:rFonts w:hint="eastAsia" w:ascii="宋体" w:hAnsi="宋体" w:eastAsia="宋体" w:cs="宋体"/>
          <w:b/>
          <w:color w:val="auto"/>
          <w:kern w:val="0"/>
          <w:sz w:val="32"/>
          <w:szCs w:val="32"/>
          <w:highlight w:val="none"/>
        </w:rPr>
      </w:pPr>
    </w:p>
    <w:p w14:paraId="3FA7D0AE">
      <w:pPr>
        <w:snapToGrid w:val="0"/>
        <w:spacing w:line="360" w:lineRule="auto"/>
        <w:ind w:right="480"/>
        <w:jc w:val="center"/>
        <w:rPr>
          <w:rFonts w:hint="eastAsia" w:ascii="宋体" w:hAnsi="宋体" w:eastAsia="宋体" w:cs="宋体"/>
          <w:b/>
          <w:color w:val="auto"/>
          <w:kern w:val="0"/>
          <w:sz w:val="32"/>
          <w:szCs w:val="32"/>
          <w:highlight w:val="none"/>
        </w:rPr>
      </w:pPr>
    </w:p>
    <w:p w14:paraId="6D60582F">
      <w:pPr>
        <w:snapToGrid w:val="0"/>
        <w:spacing w:line="360" w:lineRule="auto"/>
        <w:ind w:right="480"/>
        <w:jc w:val="center"/>
        <w:rPr>
          <w:rFonts w:hint="eastAsia" w:ascii="宋体" w:hAnsi="宋体" w:eastAsia="宋体" w:cs="宋体"/>
          <w:b/>
          <w:color w:val="auto"/>
          <w:kern w:val="0"/>
          <w:sz w:val="32"/>
          <w:szCs w:val="32"/>
          <w:highlight w:val="none"/>
        </w:rPr>
      </w:pPr>
    </w:p>
    <w:p w14:paraId="64043CBC">
      <w:pPr>
        <w:snapToGrid w:val="0"/>
        <w:spacing w:line="360" w:lineRule="auto"/>
        <w:ind w:right="480"/>
        <w:jc w:val="center"/>
        <w:rPr>
          <w:rFonts w:hint="eastAsia" w:ascii="宋体" w:hAnsi="宋体" w:eastAsia="宋体" w:cs="宋体"/>
          <w:b/>
          <w:color w:val="auto"/>
          <w:kern w:val="0"/>
          <w:sz w:val="32"/>
          <w:szCs w:val="32"/>
          <w:highlight w:val="none"/>
        </w:rPr>
      </w:pPr>
    </w:p>
    <w:p w14:paraId="450F44A7">
      <w:pPr>
        <w:snapToGrid w:val="0"/>
        <w:spacing w:line="360" w:lineRule="auto"/>
        <w:ind w:right="480"/>
        <w:jc w:val="center"/>
        <w:rPr>
          <w:rFonts w:hint="eastAsia" w:ascii="宋体" w:hAnsi="宋体" w:eastAsia="宋体" w:cs="宋体"/>
          <w:b/>
          <w:color w:val="auto"/>
          <w:kern w:val="0"/>
          <w:sz w:val="32"/>
          <w:szCs w:val="32"/>
          <w:highlight w:val="none"/>
        </w:rPr>
      </w:pPr>
    </w:p>
    <w:p w14:paraId="1A0C5CA9">
      <w:pPr>
        <w:spacing w:line="360" w:lineRule="auto"/>
        <w:jc w:val="center"/>
        <w:outlineLvl w:val="0"/>
        <w:rPr>
          <w:rFonts w:hint="eastAsia" w:ascii="宋体" w:hAnsi="宋体" w:eastAsia="宋体" w:cs="宋体"/>
          <w:b/>
          <w:color w:val="auto"/>
          <w:kern w:val="0"/>
          <w:sz w:val="36"/>
          <w:szCs w:val="36"/>
          <w:highlight w:val="none"/>
        </w:rPr>
      </w:pPr>
    </w:p>
    <w:p w14:paraId="6ECAA0EB">
      <w:pPr>
        <w:snapToGrid w:val="0"/>
        <w:spacing w:line="360" w:lineRule="auto"/>
        <w:ind w:right="480"/>
        <w:jc w:val="center"/>
        <w:rPr>
          <w:rFonts w:hint="eastAsia" w:ascii="宋体" w:hAnsi="宋体" w:eastAsia="宋体" w:cs="宋体"/>
          <w:b/>
          <w:color w:val="auto"/>
          <w:kern w:val="0"/>
          <w:sz w:val="32"/>
          <w:szCs w:val="32"/>
          <w:highlight w:val="none"/>
        </w:rPr>
      </w:pPr>
    </w:p>
    <w:p w14:paraId="0BC0A761">
      <w:pPr>
        <w:spacing w:line="360" w:lineRule="auto"/>
        <w:jc w:val="center"/>
        <w:outlineLvl w:val="0"/>
        <w:rPr>
          <w:rFonts w:hint="eastAsia" w:ascii="宋体" w:hAnsi="宋体" w:eastAsia="宋体" w:cs="宋体"/>
          <w:b/>
          <w:color w:val="auto"/>
          <w:kern w:val="0"/>
          <w:sz w:val="36"/>
          <w:szCs w:val="36"/>
          <w:highlight w:val="none"/>
        </w:rPr>
      </w:pPr>
    </w:p>
    <w:p w14:paraId="3BE398E8">
      <w:pPr>
        <w:snapToGrid w:val="0"/>
        <w:spacing w:line="360" w:lineRule="auto"/>
        <w:ind w:right="480"/>
        <w:jc w:val="center"/>
        <w:rPr>
          <w:rFonts w:hint="eastAsia" w:ascii="宋体" w:hAnsi="宋体" w:eastAsia="宋体" w:cs="宋体"/>
          <w:b/>
          <w:color w:val="auto"/>
          <w:kern w:val="0"/>
          <w:sz w:val="32"/>
          <w:szCs w:val="32"/>
          <w:highlight w:val="none"/>
        </w:rPr>
      </w:pPr>
    </w:p>
    <w:p w14:paraId="51F24BA1">
      <w:pPr>
        <w:spacing w:line="360" w:lineRule="auto"/>
        <w:jc w:val="center"/>
        <w:outlineLvl w:val="0"/>
        <w:rPr>
          <w:rFonts w:hint="eastAsia" w:ascii="宋体" w:hAnsi="宋体" w:eastAsia="宋体" w:cs="宋体"/>
          <w:b/>
          <w:color w:val="auto"/>
          <w:kern w:val="0"/>
          <w:sz w:val="36"/>
          <w:szCs w:val="36"/>
          <w:highlight w:val="none"/>
        </w:rPr>
      </w:pPr>
    </w:p>
    <w:p w14:paraId="71C13DA1">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AE71955">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11401E6D">
      <w:pPr>
        <w:spacing w:line="360" w:lineRule="auto"/>
        <w:jc w:val="center"/>
        <w:outlineLvl w:val="0"/>
        <w:rPr>
          <w:rFonts w:hint="eastAsia" w:ascii="宋体" w:hAnsi="宋体" w:eastAsia="宋体" w:cs="宋体"/>
          <w:b/>
          <w:color w:val="auto"/>
          <w:kern w:val="0"/>
          <w:sz w:val="24"/>
          <w:highlight w:val="none"/>
        </w:rPr>
      </w:pPr>
    </w:p>
    <w:p w14:paraId="0209D81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78AAA8C">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9E5FFD7">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14:paraId="02854D5C">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FF6F47C">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05B8C30A">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1F5690FD">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4C59E528">
      <w:pPr>
        <w:snapToGrid w:val="0"/>
        <w:spacing w:line="360" w:lineRule="auto"/>
        <w:jc w:val="center"/>
        <w:rPr>
          <w:rFonts w:hint="eastAsia" w:ascii="宋体" w:hAnsi="宋体" w:eastAsia="宋体" w:cs="宋体"/>
          <w:b/>
          <w:color w:val="auto"/>
          <w:kern w:val="0"/>
          <w:sz w:val="32"/>
          <w:szCs w:val="32"/>
          <w:highlight w:val="none"/>
          <w:lang w:val="zh-CN"/>
        </w:rPr>
      </w:pPr>
    </w:p>
    <w:p w14:paraId="38622766">
      <w:pPr>
        <w:snapToGrid w:val="0"/>
        <w:spacing w:line="360" w:lineRule="auto"/>
        <w:jc w:val="center"/>
        <w:rPr>
          <w:rFonts w:hint="eastAsia" w:ascii="宋体" w:hAnsi="宋体" w:eastAsia="宋体" w:cs="宋体"/>
          <w:b/>
          <w:color w:val="auto"/>
          <w:kern w:val="0"/>
          <w:sz w:val="32"/>
          <w:szCs w:val="32"/>
          <w:highlight w:val="none"/>
          <w:lang w:val="zh-CN"/>
        </w:rPr>
      </w:pPr>
    </w:p>
    <w:p w14:paraId="657D8D33">
      <w:pPr>
        <w:snapToGrid w:val="0"/>
        <w:spacing w:line="360" w:lineRule="auto"/>
        <w:jc w:val="center"/>
        <w:rPr>
          <w:rFonts w:hint="eastAsia" w:ascii="宋体" w:hAnsi="宋体" w:eastAsia="宋体" w:cs="宋体"/>
          <w:b/>
          <w:color w:val="auto"/>
          <w:kern w:val="0"/>
          <w:sz w:val="32"/>
          <w:szCs w:val="32"/>
          <w:highlight w:val="none"/>
          <w:lang w:val="zh-CN"/>
        </w:rPr>
      </w:pPr>
    </w:p>
    <w:p w14:paraId="7FDF4FA8">
      <w:pPr>
        <w:snapToGrid w:val="0"/>
        <w:spacing w:line="360" w:lineRule="auto"/>
        <w:jc w:val="center"/>
        <w:rPr>
          <w:rFonts w:hint="eastAsia" w:ascii="宋体" w:hAnsi="宋体" w:eastAsia="宋体" w:cs="宋体"/>
          <w:b/>
          <w:color w:val="auto"/>
          <w:kern w:val="0"/>
          <w:sz w:val="32"/>
          <w:szCs w:val="32"/>
          <w:highlight w:val="none"/>
          <w:lang w:val="zh-CN"/>
        </w:rPr>
      </w:pPr>
    </w:p>
    <w:p w14:paraId="6D801572">
      <w:pPr>
        <w:snapToGrid w:val="0"/>
        <w:spacing w:line="360" w:lineRule="auto"/>
        <w:jc w:val="center"/>
        <w:rPr>
          <w:rFonts w:hint="eastAsia" w:ascii="宋体" w:hAnsi="宋体" w:eastAsia="宋体" w:cs="宋体"/>
          <w:b/>
          <w:color w:val="auto"/>
          <w:kern w:val="0"/>
          <w:sz w:val="32"/>
          <w:szCs w:val="32"/>
          <w:highlight w:val="none"/>
          <w:lang w:val="zh-CN"/>
        </w:rPr>
      </w:pPr>
    </w:p>
    <w:p w14:paraId="001EFACA">
      <w:pPr>
        <w:snapToGrid w:val="0"/>
        <w:spacing w:line="360" w:lineRule="auto"/>
        <w:jc w:val="center"/>
        <w:outlineLvl w:val="0"/>
        <w:rPr>
          <w:rFonts w:hint="eastAsia" w:ascii="宋体" w:hAnsi="宋体" w:eastAsia="宋体" w:cs="宋体"/>
          <w:b/>
          <w:color w:val="auto"/>
          <w:kern w:val="0"/>
          <w:sz w:val="32"/>
          <w:szCs w:val="32"/>
          <w:highlight w:val="none"/>
        </w:rPr>
      </w:pPr>
    </w:p>
    <w:p w14:paraId="12B81214">
      <w:pPr>
        <w:snapToGrid w:val="0"/>
        <w:spacing w:line="360" w:lineRule="auto"/>
        <w:jc w:val="center"/>
        <w:outlineLvl w:val="0"/>
        <w:rPr>
          <w:rFonts w:hint="eastAsia" w:ascii="宋体" w:hAnsi="宋体" w:eastAsia="宋体" w:cs="宋体"/>
          <w:b/>
          <w:color w:val="auto"/>
          <w:kern w:val="0"/>
          <w:sz w:val="32"/>
          <w:szCs w:val="32"/>
          <w:highlight w:val="none"/>
        </w:rPr>
      </w:pPr>
    </w:p>
    <w:p w14:paraId="473851BD">
      <w:pPr>
        <w:rPr>
          <w:rFonts w:hint="eastAsia" w:ascii="宋体" w:hAnsi="宋体" w:eastAsia="宋体" w:cs="宋体"/>
          <w:color w:val="auto"/>
          <w:highlight w:val="none"/>
        </w:rPr>
      </w:pPr>
    </w:p>
    <w:p w14:paraId="29C44B75">
      <w:pPr>
        <w:snapToGrid w:val="0"/>
        <w:spacing w:line="360" w:lineRule="auto"/>
        <w:jc w:val="center"/>
        <w:outlineLvl w:val="0"/>
        <w:rPr>
          <w:rFonts w:hint="eastAsia" w:ascii="宋体" w:hAnsi="宋体" w:eastAsia="宋体" w:cs="宋体"/>
          <w:b/>
          <w:color w:val="auto"/>
          <w:kern w:val="0"/>
          <w:sz w:val="32"/>
          <w:szCs w:val="32"/>
          <w:highlight w:val="none"/>
        </w:rPr>
      </w:pPr>
    </w:p>
    <w:p w14:paraId="7654BBBE">
      <w:pPr>
        <w:snapToGrid w:val="0"/>
        <w:spacing w:line="360" w:lineRule="auto"/>
        <w:jc w:val="center"/>
        <w:outlineLvl w:val="0"/>
        <w:rPr>
          <w:rFonts w:hint="eastAsia" w:ascii="宋体" w:hAnsi="宋体" w:eastAsia="宋体" w:cs="宋体"/>
          <w:b/>
          <w:color w:val="auto"/>
          <w:kern w:val="0"/>
          <w:sz w:val="32"/>
          <w:szCs w:val="32"/>
          <w:highlight w:val="none"/>
        </w:rPr>
      </w:pPr>
    </w:p>
    <w:p w14:paraId="22D88006">
      <w:pPr>
        <w:snapToGrid w:val="0"/>
        <w:spacing w:line="360" w:lineRule="auto"/>
        <w:jc w:val="center"/>
        <w:outlineLvl w:val="0"/>
        <w:rPr>
          <w:rFonts w:hint="eastAsia" w:ascii="宋体" w:hAnsi="宋体" w:eastAsia="宋体" w:cs="宋体"/>
          <w:b/>
          <w:color w:val="auto"/>
          <w:kern w:val="0"/>
          <w:sz w:val="32"/>
          <w:szCs w:val="32"/>
          <w:highlight w:val="none"/>
        </w:rPr>
      </w:pPr>
    </w:p>
    <w:p w14:paraId="61DCA0CE">
      <w:pPr>
        <w:snapToGrid w:val="0"/>
        <w:spacing w:line="360" w:lineRule="auto"/>
        <w:jc w:val="center"/>
        <w:outlineLvl w:val="0"/>
        <w:rPr>
          <w:rFonts w:hint="eastAsia" w:ascii="宋体" w:hAnsi="宋体" w:eastAsia="宋体" w:cs="宋体"/>
          <w:b/>
          <w:color w:val="auto"/>
          <w:kern w:val="0"/>
          <w:sz w:val="32"/>
          <w:szCs w:val="32"/>
          <w:highlight w:val="none"/>
        </w:rPr>
      </w:pPr>
    </w:p>
    <w:p w14:paraId="34D04DD6">
      <w:pPr>
        <w:snapToGrid w:val="0"/>
        <w:spacing w:line="360" w:lineRule="auto"/>
        <w:jc w:val="center"/>
        <w:outlineLvl w:val="0"/>
        <w:rPr>
          <w:rFonts w:hint="eastAsia" w:ascii="宋体" w:hAnsi="宋体" w:eastAsia="宋体" w:cs="宋体"/>
          <w:b/>
          <w:color w:val="auto"/>
          <w:kern w:val="0"/>
          <w:sz w:val="32"/>
          <w:szCs w:val="32"/>
          <w:highlight w:val="none"/>
        </w:rPr>
      </w:pPr>
    </w:p>
    <w:p w14:paraId="789C525A">
      <w:pPr>
        <w:snapToGrid w:val="0"/>
        <w:spacing w:line="360" w:lineRule="auto"/>
        <w:jc w:val="center"/>
        <w:outlineLvl w:val="0"/>
        <w:rPr>
          <w:rFonts w:hint="eastAsia" w:ascii="宋体" w:hAnsi="宋体" w:eastAsia="宋体" w:cs="宋体"/>
          <w:b/>
          <w:color w:val="auto"/>
          <w:kern w:val="0"/>
          <w:sz w:val="32"/>
          <w:szCs w:val="32"/>
          <w:highlight w:val="none"/>
        </w:rPr>
      </w:pPr>
    </w:p>
    <w:p w14:paraId="5AB2159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D129634">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14:paraId="4C6EF04C">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057C2A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的有关活动，并对此项目进行投标。为此：</w:t>
      </w:r>
    </w:p>
    <w:p w14:paraId="4E206F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14:paraId="5F80CF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14:paraId="72D304D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93F4C5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14308B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300785D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C0C000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14:paraId="6D6C87D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0FB137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14:paraId="3EC2866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3664AEE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3398187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181EB4B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5FE0824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EB6CE2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14:paraId="7F3F8E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14:paraId="0E91AE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14:paraId="2E752EA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14:paraId="3C7686B2">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C2E059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14:paraId="7B4DC6FF">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D17C3F">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274B46A">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14:paraId="303AD7BC">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4A0B2DD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21EB722">
      <w:pPr>
        <w:pStyle w:val="24"/>
        <w:rPr>
          <w:rFonts w:hint="eastAsia" w:ascii="宋体" w:hAnsi="宋体" w:eastAsia="宋体" w:cs="宋体"/>
          <w:color w:val="auto"/>
          <w:highlight w:val="none"/>
        </w:rPr>
      </w:pPr>
    </w:p>
    <w:p w14:paraId="54378C2B">
      <w:pPr>
        <w:jc w:val="center"/>
        <w:rPr>
          <w:rFonts w:hint="eastAsia" w:ascii="宋体" w:hAnsi="宋体" w:eastAsia="宋体" w:cs="宋体"/>
          <w:b/>
          <w:color w:val="auto"/>
          <w:kern w:val="0"/>
          <w:sz w:val="32"/>
          <w:szCs w:val="32"/>
          <w:highlight w:val="none"/>
          <w:lang w:val="zh-CN"/>
        </w:rPr>
      </w:pPr>
    </w:p>
    <w:p w14:paraId="1007547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F777C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6E76998">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04EA6D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17EF0D1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14:paraId="642A0C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DE2F54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A05DDA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7AD04CC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FFA9AD9">
      <w:pPr>
        <w:snapToGrid w:val="0"/>
        <w:spacing w:line="360" w:lineRule="auto"/>
        <w:rPr>
          <w:rFonts w:hint="eastAsia" w:ascii="宋体" w:hAnsi="宋体" w:eastAsia="宋体" w:cs="宋体"/>
          <w:color w:val="auto"/>
          <w:sz w:val="24"/>
          <w:highlight w:val="none"/>
        </w:rPr>
      </w:pPr>
    </w:p>
    <w:p w14:paraId="6E220D4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6D7C7BC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14:paraId="4EDBC98F">
      <w:pPr>
        <w:pStyle w:val="15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BF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40F412F">
            <w:pPr>
              <w:pStyle w:val="15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F3C78C6">
            <w:pPr>
              <w:pStyle w:val="155"/>
              <w:adjustRightInd w:val="0"/>
              <w:spacing w:line="360" w:lineRule="auto"/>
              <w:rPr>
                <w:rFonts w:hint="eastAsia" w:ascii="宋体" w:hAnsi="宋体" w:eastAsia="宋体" w:cs="宋体"/>
                <w:bCs/>
                <w:color w:val="auto"/>
                <w:sz w:val="24"/>
                <w:highlight w:val="none"/>
              </w:rPr>
            </w:pPr>
          </w:p>
        </w:tc>
      </w:tr>
    </w:tbl>
    <w:p w14:paraId="6C1ABFB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7FEC84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73F21D3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FAF1D07">
      <w:pPr>
        <w:jc w:val="center"/>
        <w:rPr>
          <w:rFonts w:hint="eastAsia" w:ascii="宋体" w:hAnsi="宋体" w:eastAsia="宋体" w:cs="宋体"/>
          <w:b/>
          <w:color w:val="auto"/>
          <w:kern w:val="0"/>
          <w:sz w:val="32"/>
          <w:szCs w:val="32"/>
          <w:highlight w:val="none"/>
          <w:lang w:eastAsia="zh-CN"/>
        </w:rPr>
      </w:pPr>
    </w:p>
    <w:p w14:paraId="5D9A814B">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14:paraId="0EFE9FC2">
      <w:pPr>
        <w:jc w:val="center"/>
        <w:rPr>
          <w:rFonts w:hint="eastAsia" w:ascii="宋体" w:hAnsi="宋体" w:eastAsia="宋体" w:cs="宋体"/>
          <w:b/>
          <w:color w:val="auto"/>
          <w:kern w:val="0"/>
          <w:sz w:val="32"/>
          <w:szCs w:val="32"/>
          <w:highlight w:val="none"/>
          <w:lang w:eastAsia="zh-CN"/>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80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22AA1E2">
            <w:pPr>
              <w:pStyle w:val="155"/>
              <w:adjustRightInd w:val="0"/>
              <w:spacing w:line="360" w:lineRule="auto"/>
              <w:rPr>
                <w:rFonts w:hint="eastAsia" w:ascii="宋体" w:hAnsi="宋体" w:eastAsia="宋体" w:cs="宋体"/>
                <w:bCs/>
                <w:color w:val="auto"/>
                <w:sz w:val="24"/>
                <w:highlight w:val="none"/>
              </w:rPr>
            </w:pPr>
          </w:p>
        </w:tc>
      </w:tr>
    </w:tbl>
    <w:p w14:paraId="31FCA740">
      <w:pPr>
        <w:snapToGrid w:val="0"/>
        <w:spacing w:line="360" w:lineRule="auto"/>
        <w:ind w:firstLine="576"/>
        <w:jc w:val="center"/>
        <w:rPr>
          <w:rFonts w:hint="eastAsia" w:ascii="宋体" w:hAnsi="宋体" w:eastAsia="宋体" w:cs="宋体"/>
          <w:color w:val="auto"/>
          <w:kern w:val="0"/>
          <w:sz w:val="24"/>
          <w:highlight w:val="none"/>
          <w:lang w:val="zh-CN"/>
        </w:rPr>
      </w:pPr>
    </w:p>
    <w:p w14:paraId="1CB362D3">
      <w:pPr>
        <w:snapToGrid w:val="0"/>
        <w:spacing w:line="360" w:lineRule="auto"/>
        <w:ind w:firstLine="576"/>
        <w:jc w:val="center"/>
        <w:rPr>
          <w:rFonts w:hint="eastAsia" w:ascii="宋体" w:hAnsi="宋体" w:eastAsia="宋体" w:cs="宋体"/>
          <w:color w:val="auto"/>
          <w:kern w:val="0"/>
          <w:sz w:val="24"/>
          <w:highlight w:val="none"/>
          <w:lang w:val="zh-CN"/>
        </w:rPr>
      </w:pPr>
    </w:p>
    <w:p w14:paraId="4213EB0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2AD8898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F4BB0BA">
      <w:pPr>
        <w:jc w:val="center"/>
        <w:rPr>
          <w:rFonts w:hint="eastAsia" w:ascii="宋体" w:hAnsi="宋体" w:eastAsia="宋体" w:cs="宋体"/>
          <w:b/>
          <w:color w:val="auto"/>
          <w:kern w:val="0"/>
          <w:sz w:val="32"/>
          <w:szCs w:val="32"/>
          <w:highlight w:val="none"/>
          <w:lang w:eastAsia="zh-CN"/>
        </w:rPr>
      </w:pPr>
    </w:p>
    <w:p w14:paraId="6207558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14:paraId="5E624617">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32AF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C5C87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157697C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4A5D290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C376D4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14:paraId="17EEFD5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117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984E3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253654D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14:paraId="199D702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14:paraId="52085E7A">
            <w:pPr>
              <w:jc w:val="center"/>
              <w:rPr>
                <w:rFonts w:hint="eastAsia" w:ascii="宋体" w:hAnsi="宋体" w:eastAsia="宋体" w:cs="宋体"/>
                <w:color w:val="auto"/>
                <w:sz w:val="24"/>
                <w:highlight w:val="none"/>
              </w:rPr>
            </w:pPr>
          </w:p>
          <w:p w14:paraId="2817DA20">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14:paraId="3BA8B642">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345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391B1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1EE3C7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14:paraId="0E2A51F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14:paraId="0842FE1C">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0F9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27FC5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022156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14:paraId="5155CF6D">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197C2FC6">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4864DB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7DDB5F1">
      <w:pPr>
        <w:jc w:val="center"/>
        <w:rPr>
          <w:rFonts w:hint="eastAsia" w:ascii="宋体" w:hAnsi="宋体" w:eastAsia="宋体" w:cs="宋体"/>
          <w:b/>
          <w:color w:val="auto"/>
          <w:kern w:val="0"/>
          <w:sz w:val="32"/>
          <w:szCs w:val="32"/>
          <w:highlight w:val="none"/>
        </w:rPr>
      </w:pPr>
    </w:p>
    <w:p w14:paraId="0AA95DA6">
      <w:pPr>
        <w:jc w:val="center"/>
        <w:rPr>
          <w:rFonts w:hint="eastAsia" w:ascii="宋体" w:hAnsi="宋体" w:eastAsia="宋体" w:cs="宋体"/>
          <w:b/>
          <w:color w:val="auto"/>
          <w:kern w:val="0"/>
          <w:sz w:val="32"/>
          <w:szCs w:val="32"/>
          <w:highlight w:val="none"/>
        </w:rPr>
      </w:pPr>
    </w:p>
    <w:p w14:paraId="32DACC38">
      <w:pPr>
        <w:jc w:val="both"/>
        <w:rPr>
          <w:rFonts w:hint="eastAsia" w:ascii="宋体" w:hAnsi="宋体" w:eastAsia="宋体" w:cs="宋体"/>
          <w:b/>
          <w:color w:val="auto"/>
          <w:kern w:val="0"/>
          <w:sz w:val="32"/>
          <w:szCs w:val="32"/>
          <w:highlight w:val="none"/>
        </w:rPr>
      </w:pPr>
    </w:p>
    <w:p w14:paraId="1D221F4F">
      <w:pPr>
        <w:jc w:val="center"/>
        <w:rPr>
          <w:rFonts w:hint="eastAsia" w:ascii="宋体" w:hAnsi="宋体" w:eastAsia="宋体" w:cs="宋体"/>
          <w:b/>
          <w:color w:val="auto"/>
          <w:kern w:val="0"/>
          <w:sz w:val="32"/>
          <w:szCs w:val="32"/>
          <w:highlight w:val="none"/>
        </w:rPr>
      </w:pPr>
    </w:p>
    <w:p w14:paraId="0E52232A">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14:paraId="7DD27321">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14:paraId="2602A772">
      <w:pPr>
        <w:jc w:val="center"/>
        <w:rPr>
          <w:rFonts w:hint="eastAsia" w:ascii="宋体" w:hAnsi="宋体" w:eastAsia="宋体" w:cs="宋体"/>
          <w:b/>
          <w:color w:val="auto"/>
          <w:kern w:val="0"/>
          <w:sz w:val="32"/>
          <w:szCs w:val="32"/>
          <w:highlight w:val="none"/>
        </w:rPr>
      </w:pPr>
    </w:p>
    <w:p w14:paraId="5294F0F5">
      <w:pPr>
        <w:jc w:val="center"/>
        <w:rPr>
          <w:rFonts w:hint="eastAsia" w:ascii="宋体" w:hAnsi="宋体" w:eastAsia="宋体" w:cs="宋体"/>
          <w:b/>
          <w:color w:val="auto"/>
          <w:kern w:val="0"/>
          <w:sz w:val="32"/>
          <w:szCs w:val="32"/>
          <w:highlight w:val="none"/>
        </w:rPr>
      </w:pPr>
    </w:p>
    <w:p w14:paraId="1CC5D245">
      <w:pPr>
        <w:jc w:val="center"/>
        <w:rPr>
          <w:rFonts w:hint="eastAsia" w:ascii="宋体" w:hAnsi="宋体" w:eastAsia="宋体" w:cs="宋体"/>
          <w:b/>
          <w:color w:val="auto"/>
          <w:kern w:val="0"/>
          <w:sz w:val="32"/>
          <w:szCs w:val="32"/>
          <w:highlight w:val="none"/>
        </w:rPr>
      </w:pPr>
    </w:p>
    <w:p w14:paraId="2DE8EE57">
      <w:pPr>
        <w:jc w:val="center"/>
        <w:rPr>
          <w:rFonts w:hint="eastAsia" w:ascii="宋体" w:hAnsi="宋体" w:eastAsia="宋体" w:cs="宋体"/>
          <w:b/>
          <w:color w:val="auto"/>
          <w:kern w:val="0"/>
          <w:sz w:val="32"/>
          <w:szCs w:val="32"/>
          <w:highlight w:val="none"/>
        </w:rPr>
      </w:pPr>
    </w:p>
    <w:p w14:paraId="1516D4EC">
      <w:pPr>
        <w:jc w:val="center"/>
        <w:rPr>
          <w:rFonts w:hint="eastAsia" w:ascii="宋体" w:hAnsi="宋体" w:eastAsia="宋体" w:cs="宋体"/>
          <w:b/>
          <w:color w:val="auto"/>
          <w:kern w:val="0"/>
          <w:sz w:val="32"/>
          <w:szCs w:val="32"/>
          <w:highlight w:val="none"/>
        </w:rPr>
      </w:pPr>
    </w:p>
    <w:p w14:paraId="0AD58C52">
      <w:pPr>
        <w:pStyle w:val="62"/>
        <w:rPr>
          <w:rFonts w:hint="eastAsia" w:ascii="宋体" w:hAnsi="宋体" w:eastAsia="宋体" w:cs="宋体"/>
          <w:b/>
          <w:color w:val="auto"/>
          <w:kern w:val="0"/>
          <w:sz w:val="32"/>
          <w:szCs w:val="32"/>
          <w:highlight w:val="none"/>
        </w:rPr>
      </w:pPr>
    </w:p>
    <w:p w14:paraId="56C81E53">
      <w:pPr>
        <w:pStyle w:val="52"/>
        <w:rPr>
          <w:rFonts w:hint="eastAsia" w:ascii="宋体" w:hAnsi="宋体" w:eastAsia="宋体" w:cs="宋体"/>
          <w:color w:val="auto"/>
          <w:highlight w:val="none"/>
        </w:rPr>
      </w:pPr>
    </w:p>
    <w:p w14:paraId="70089258">
      <w:pPr>
        <w:jc w:val="center"/>
        <w:rPr>
          <w:rFonts w:hint="eastAsia" w:ascii="宋体" w:hAnsi="宋体" w:eastAsia="宋体" w:cs="宋体"/>
          <w:b/>
          <w:color w:val="auto"/>
          <w:kern w:val="0"/>
          <w:sz w:val="32"/>
          <w:szCs w:val="32"/>
          <w:highlight w:val="none"/>
        </w:rPr>
      </w:pPr>
    </w:p>
    <w:p w14:paraId="04ED2EA5">
      <w:pPr>
        <w:jc w:val="center"/>
        <w:rPr>
          <w:rFonts w:hint="eastAsia" w:ascii="宋体" w:hAnsi="宋体" w:eastAsia="宋体" w:cs="宋体"/>
          <w:b/>
          <w:color w:val="auto"/>
          <w:kern w:val="0"/>
          <w:sz w:val="32"/>
          <w:szCs w:val="32"/>
          <w:highlight w:val="none"/>
        </w:rPr>
      </w:pPr>
    </w:p>
    <w:p w14:paraId="3B5B2A41">
      <w:pPr>
        <w:jc w:val="center"/>
        <w:rPr>
          <w:rFonts w:hint="eastAsia" w:ascii="宋体" w:hAnsi="宋体" w:eastAsia="宋体" w:cs="宋体"/>
          <w:b/>
          <w:color w:val="auto"/>
          <w:kern w:val="0"/>
          <w:sz w:val="32"/>
          <w:szCs w:val="32"/>
          <w:highlight w:val="none"/>
        </w:rPr>
      </w:pPr>
    </w:p>
    <w:p w14:paraId="1B5364CE">
      <w:pPr>
        <w:jc w:val="center"/>
        <w:rPr>
          <w:rFonts w:hint="eastAsia" w:ascii="宋体" w:hAnsi="宋体" w:eastAsia="宋体" w:cs="宋体"/>
          <w:b/>
          <w:color w:val="auto"/>
          <w:kern w:val="0"/>
          <w:sz w:val="32"/>
          <w:szCs w:val="32"/>
          <w:highlight w:val="none"/>
        </w:rPr>
      </w:pPr>
    </w:p>
    <w:p w14:paraId="685B74F8">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36C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51C1F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1C9CBE9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14:paraId="7B39A9E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14:paraId="169AE8D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1BD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10715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D824705">
            <w:pPr>
              <w:jc w:val="center"/>
              <w:rPr>
                <w:rFonts w:hint="eastAsia" w:ascii="宋体" w:hAnsi="宋体" w:eastAsia="宋体" w:cs="宋体"/>
                <w:b/>
                <w:color w:val="auto"/>
                <w:kern w:val="0"/>
                <w:sz w:val="32"/>
                <w:szCs w:val="32"/>
                <w:highlight w:val="none"/>
              </w:rPr>
            </w:pPr>
          </w:p>
        </w:tc>
        <w:tc>
          <w:tcPr>
            <w:tcW w:w="3546" w:type="dxa"/>
          </w:tcPr>
          <w:p w14:paraId="7D4D7AA6">
            <w:pPr>
              <w:jc w:val="center"/>
              <w:rPr>
                <w:rFonts w:hint="eastAsia" w:ascii="宋体" w:hAnsi="宋体" w:eastAsia="宋体" w:cs="宋体"/>
                <w:b/>
                <w:color w:val="auto"/>
                <w:kern w:val="0"/>
                <w:sz w:val="32"/>
                <w:szCs w:val="32"/>
                <w:highlight w:val="none"/>
              </w:rPr>
            </w:pPr>
          </w:p>
        </w:tc>
        <w:tc>
          <w:tcPr>
            <w:tcW w:w="1276" w:type="dxa"/>
          </w:tcPr>
          <w:p w14:paraId="3AA57643">
            <w:pPr>
              <w:jc w:val="center"/>
              <w:rPr>
                <w:rFonts w:hint="eastAsia" w:ascii="宋体" w:hAnsi="宋体" w:eastAsia="宋体" w:cs="宋体"/>
                <w:b/>
                <w:color w:val="auto"/>
                <w:kern w:val="0"/>
                <w:sz w:val="32"/>
                <w:szCs w:val="32"/>
                <w:highlight w:val="none"/>
              </w:rPr>
            </w:pPr>
          </w:p>
        </w:tc>
      </w:tr>
      <w:tr w14:paraId="136F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52D3D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3413F94">
            <w:pPr>
              <w:jc w:val="center"/>
              <w:rPr>
                <w:rFonts w:hint="eastAsia" w:ascii="宋体" w:hAnsi="宋体" w:eastAsia="宋体" w:cs="宋体"/>
                <w:b/>
                <w:color w:val="auto"/>
                <w:kern w:val="0"/>
                <w:sz w:val="32"/>
                <w:szCs w:val="32"/>
                <w:highlight w:val="none"/>
              </w:rPr>
            </w:pPr>
          </w:p>
        </w:tc>
        <w:tc>
          <w:tcPr>
            <w:tcW w:w="3546" w:type="dxa"/>
          </w:tcPr>
          <w:p w14:paraId="65845442">
            <w:pPr>
              <w:jc w:val="center"/>
              <w:rPr>
                <w:rFonts w:hint="eastAsia" w:ascii="宋体" w:hAnsi="宋体" w:eastAsia="宋体" w:cs="宋体"/>
                <w:b/>
                <w:color w:val="auto"/>
                <w:kern w:val="0"/>
                <w:sz w:val="32"/>
                <w:szCs w:val="32"/>
                <w:highlight w:val="none"/>
              </w:rPr>
            </w:pPr>
          </w:p>
        </w:tc>
        <w:tc>
          <w:tcPr>
            <w:tcW w:w="1276" w:type="dxa"/>
          </w:tcPr>
          <w:p w14:paraId="7C8DD2D0">
            <w:pPr>
              <w:jc w:val="center"/>
              <w:rPr>
                <w:rFonts w:hint="eastAsia" w:ascii="宋体" w:hAnsi="宋体" w:eastAsia="宋体" w:cs="宋体"/>
                <w:b/>
                <w:color w:val="auto"/>
                <w:kern w:val="0"/>
                <w:sz w:val="32"/>
                <w:szCs w:val="32"/>
                <w:highlight w:val="none"/>
              </w:rPr>
            </w:pPr>
          </w:p>
        </w:tc>
      </w:tr>
      <w:tr w14:paraId="6756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BEEF7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6E50B77D">
            <w:pPr>
              <w:jc w:val="center"/>
              <w:rPr>
                <w:rFonts w:hint="eastAsia" w:ascii="宋体" w:hAnsi="宋体" w:eastAsia="宋体" w:cs="宋体"/>
                <w:b/>
                <w:color w:val="auto"/>
                <w:kern w:val="0"/>
                <w:sz w:val="32"/>
                <w:szCs w:val="32"/>
                <w:highlight w:val="none"/>
              </w:rPr>
            </w:pPr>
          </w:p>
        </w:tc>
        <w:tc>
          <w:tcPr>
            <w:tcW w:w="3546" w:type="dxa"/>
          </w:tcPr>
          <w:p w14:paraId="6A639B7B">
            <w:pPr>
              <w:jc w:val="center"/>
              <w:rPr>
                <w:rFonts w:hint="eastAsia" w:ascii="宋体" w:hAnsi="宋体" w:eastAsia="宋体" w:cs="宋体"/>
                <w:b/>
                <w:color w:val="auto"/>
                <w:kern w:val="0"/>
                <w:sz w:val="32"/>
                <w:szCs w:val="32"/>
                <w:highlight w:val="none"/>
              </w:rPr>
            </w:pPr>
          </w:p>
        </w:tc>
        <w:tc>
          <w:tcPr>
            <w:tcW w:w="1276" w:type="dxa"/>
          </w:tcPr>
          <w:p w14:paraId="77BDE0AB">
            <w:pPr>
              <w:jc w:val="center"/>
              <w:rPr>
                <w:rFonts w:hint="eastAsia" w:ascii="宋体" w:hAnsi="宋体" w:eastAsia="宋体" w:cs="宋体"/>
                <w:b/>
                <w:color w:val="auto"/>
                <w:kern w:val="0"/>
                <w:sz w:val="32"/>
                <w:szCs w:val="32"/>
                <w:highlight w:val="none"/>
              </w:rPr>
            </w:pPr>
          </w:p>
        </w:tc>
      </w:tr>
    </w:tbl>
    <w:p w14:paraId="0D8296B3">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14:paraId="6E1FF742">
      <w:pPr>
        <w:jc w:val="center"/>
        <w:rPr>
          <w:rFonts w:hint="eastAsia" w:ascii="宋体" w:hAnsi="宋体" w:eastAsia="宋体" w:cs="宋体"/>
          <w:b/>
          <w:color w:val="auto"/>
          <w:kern w:val="0"/>
          <w:sz w:val="32"/>
          <w:szCs w:val="32"/>
          <w:highlight w:val="none"/>
        </w:rPr>
      </w:pPr>
    </w:p>
    <w:p w14:paraId="73D569B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D43B6B6">
      <w:pPr>
        <w:jc w:val="center"/>
        <w:rPr>
          <w:rFonts w:hint="eastAsia" w:ascii="宋体" w:hAnsi="宋体" w:eastAsia="宋体" w:cs="宋体"/>
          <w:b/>
          <w:color w:val="auto"/>
          <w:kern w:val="0"/>
          <w:sz w:val="32"/>
          <w:szCs w:val="32"/>
          <w:highlight w:val="none"/>
        </w:rPr>
      </w:pPr>
    </w:p>
    <w:p w14:paraId="6A8591AC">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5C77B81F">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6D6A0CB5">
      <w:pPr>
        <w:snapToGrid w:val="0"/>
        <w:spacing w:line="360" w:lineRule="auto"/>
        <w:rPr>
          <w:rFonts w:hint="eastAsia" w:ascii="宋体" w:hAnsi="宋体" w:eastAsia="宋体" w:cs="宋体"/>
          <w:color w:val="auto"/>
          <w:sz w:val="24"/>
          <w:highlight w:val="none"/>
        </w:rPr>
      </w:pPr>
    </w:p>
    <w:p w14:paraId="559EA9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192DA85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14:paraId="253235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93903F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2AD5C1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F24D75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539B0F9">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AE00D9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F5EC79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5262B14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15E524C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BAD32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714A9E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4E2BBDD">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6FF5CF0">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F8AA171">
      <w:pPr>
        <w:spacing w:line="360" w:lineRule="auto"/>
        <w:jc w:val="center"/>
        <w:rPr>
          <w:rFonts w:hint="eastAsia" w:ascii="宋体" w:hAnsi="宋体" w:eastAsia="宋体" w:cs="宋体"/>
          <w:b/>
          <w:bCs/>
          <w:color w:val="auto"/>
          <w:sz w:val="24"/>
          <w:highlight w:val="none"/>
        </w:rPr>
      </w:pPr>
    </w:p>
    <w:p w14:paraId="1E0EE07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D27D1E1">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3A323B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F5B008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7AAFB13">
      <w:pPr>
        <w:spacing w:line="360" w:lineRule="auto"/>
        <w:jc w:val="center"/>
        <w:outlineLvl w:val="0"/>
        <w:rPr>
          <w:rFonts w:hint="eastAsia" w:ascii="宋体" w:hAnsi="宋体" w:eastAsia="宋体" w:cs="宋体"/>
          <w:b/>
          <w:color w:val="auto"/>
          <w:kern w:val="0"/>
          <w:sz w:val="36"/>
          <w:szCs w:val="36"/>
          <w:highlight w:val="none"/>
        </w:rPr>
      </w:pPr>
    </w:p>
    <w:p w14:paraId="054B4B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14:paraId="43DAD4CE">
      <w:pPr>
        <w:snapToGrid w:val="0"/>
        <w:spacing w:line="360" w:lineRule="auto"/>
        <w:ind w:right="480"/>
        <w:jc w:val="center"/>
        <w:rPr>
          <w:rFonts w:hint="eastAsia" w:ascii="宋体" w:hAnsi="宋体" w:eastAsia="宋体" w:cs="宋体"/>
          <w:b/>
          <w:color w:val="auto"/>
          <w:kern w:val="0"/>
          <w:sz w:val="32"/>
          <w:szCs w:val="32"/>
          <w:highlight w:val="none"/>
        </w:rPr>
      </w:pPr>
    </w:p>
    <w:p w14:paraId="6B7B51D3">
      <w:pPr>
        <w:snapToGrid w:val="0"/>
        <w:spacing w:line="360" w:lineRule="auto"/>
        <w:ind w:right="480"/>
        <w:jc w:val="center"/>
        <w:rPr>
          <w:rFonts w:hint="eastAsia" w:ascii="宋体" w:hAnsi="宋体" w:eastAsia="宋体" w:cs="宋体"/>
          <w:b/>
          <w:color w:val="auto"/>
          <w:kern w:val="0"/>
          <w:sz w:val="32"/>
          <w:szCs w:val="32"/>
          <w:highlight w:val="none"/>
        </w:rPr>
      </w:pPr>
    </w:p>
    <w:p w14:paraId="0DCFD3BC">
      <w:pPr>
        <w:snapToGrid w:val="0"/>
        <w:spacing w:line="360" w:lineRule="auto"/>
        <w:ind w:right="480"/>
        <w:jc w:val="center"/>
        <w:rPr>
          <w:rFonts w:hint="eastAsia" w:ascii="宋体" w:hAnsi="宋体" w:eastAsia="宋体" w:cs="宋体"/>
          <w:b/>
          <w:color w:val="auto"/>
          <w:kern w:val="0"/>
          <w:sz w:val="32"/>
          <w:szCs w:val="32"/>
          <w:highlight w:val="none"/>
        </w:rPr>
      </w:pPr>
    </w:p>
    <w:p w14:paraId="4887D1AE">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5A244206">
      <w:pPr>
        <w:snapToGrid w:val="0"/>
        <w:spacing w:line="360" w:lineRule="auto"/>
        <w:ind w:right="480"/>
        <w:jc w:val="center"/>
        <w:rPr>
          <w:rFonts w:hint="eastAsia" w:ascii="宋体" w:hAnsi="宋体" w:eastAsia="宋体" w:cs="宋体"/>
          <w:b/>
          <w:color w:val="auto"/>
          <w:kern w:val="0"/>
          <w:sz w:val="32"/>
          <w:szCs w:val="32"/>
          <w:highlight w:val="none"/>
        </w:rPr>
      </w:pPr>
    </w:p>
    <w:p w14:paraId="00999969">
      <w:pPr>
        <w:snapToGrid w:val="0"/>
        <w:spacing w:line="360" w:lineRule="auto"/>
        <w:ind w:right="480"/>
        <w:jc w:val="center"/>
        <w:rPr>
          <w:rFonts w:hint="eastAsia" w:ascii="宋体" w:hAnsi="宋体" w:eastAsia="宋体" w:cs="宋体"/>
          <w:b/>
          <w:color w:val="auto"/>
          <w:kern w:val="0"/>
          <w:sz w:val="32"/>
          <w:szCs w:val="32"/>
          <w:highlight w:val="none"/>
        </w:rPr>
      </w:pPr>
    </w:p>
    <w:p w14:paraId="2D58EDCD">
      <w:pPr>
        <w:snapToGrid w:val="0"/>
        <w:spacing w:line="360" w:lineRule="auto"/>
        <w:ind w:right="480"/>
        <w:jc w:val="center"/>
        <w:rPr>
          <w:rFonts w:hint="eastAsia" w:ascii="宋体" w:hAnsi="宋体" w:eastAsia="宋体" w:cs="宋体"/>
          <w:b/>
          <w:color w:val="auto"/>
          <w:kern w:val="0"/>
          <w:sz w:val="32"/>
          <w:szCs w:val="32"/>
          <w:highlight w:val="none"/>
        </w:rPr>
      </w:pPr>
    </w:p>
    <w:p w14:paraId="41984F81">
      <w:pPr>
        <w:snapToGrid w:val="0"/>
        <w:spacing w:line="360" w:lineRule="auto"/>
        <w:ind w:right="480"/>
        <w:jc w:val="center"/>
        <w:rPr>
          <w:rFonts w:hint="eastAsia" w:ascii="宋体" w:hAnsi="宋体" w:eastAsia="宋体" w:cs="宋体"/>
          <w:b/>
          <w:color w:val="auto"/>
          <w:kern w:val="0"/>
          <w:sz w:val="32"/>
          <w:szCs w:val="32"/>
          <w:highlight w:val="none"/>
        </w:rPr>
      </w:pPr>
    </w:p>
    <w:p w14:paraId="188FD24C">
      <w:pPr>
        <w:snapToGrid w:val="0"/>
        <w:spacing w:line="360" w:lineRule="auto"/>
        <w:ind w:right="480"/>
        <w:jc w:val="center"/>
        <w:rPr>
          <w:rFonts w:hint="eastAsia" w:ascii="宋体" w:hAnsi="宋体" w:eastAsia="宋体" w:cs="宋体"/>
          <w:b/>
          <w:color w:val="auto"/>
          <w:kern w:val="0"/>
          <w:sz w:val="32"/>
          <w:szCs w:val="32"/>
          <w:highlight w:val="none"/>
        </w:rPr>
      </w:pPr>
    </w:p>
    <w:p w14:paraId="7A79F77B">
      <w:pPr>
        <w:snapToGrid w:val="0"/>
        <w:spacing w:line="360" w:lineRule="auto"/>
        <w:ind w:right="480"/>
        <w:jc w:val="center"/>
        <w:rPr>
          <w:rFonts w:hint="eastAsia" w:ascii="宋体" w:hAnsi="宋体" w:eastAsia="宋体" w:cs="宋体"/>
          <w:b/>
          <w:color w:val="auto"/>
          <w:kern w:val="0"/>
          <w:sz w:val="32"/>
          <w:szCs w:val="32"/>
          <w:highlight w:val="none"/>
        </w:rPr>
      </w:pPr>
    </w:p>
    <w:p w14:paraId="51899588">
      <w:pPr>
        <w:snapToGrid w:val="0"/>
        <w:spacing w:line="360" w:lineRule="auto"/>
        <w:ind w:right="480"/>
        <w:jc w:val="center"/>
        <w:rPr>
          <w:rFonts w:hint="eastAsia" w:ascii="宋体" w:hAnsi="宋体" w:eastAsia="宋体" w:cs="宋体"/>
          <w:b/>
          <w:color w:val="auto"/>
          <w:kern w:val="0"/>
          <w:sz w:val="32"/>
          <w:szCs w:val="32"/>
          <w:highlight w:val="none"/>
        </w:rPr>
      </w:pPr>
    </w:p>
    <w:p w14:paraId="7E157051">
      <w:pPr>
        <w:snapToGrid w:val="0"/>
        <w:spacing w:line="360" w:lineRule="auto"/>
        <w:ind w:right="480"/>
        <w:jc w:val="center"/>
        <w:rPr>
          <w:rFonts w:hint="eastAsia" w:ascii="宋体" w:hAnsi="宋体" w:eastAsia="宋体" w:cs="宋体"/>
          <w:b/>
          <w:color w:val="auto"/>
          <w:kern w:val="0"/>
          <w:sz w:val="32"/>
          <w:szCs w:val="32"/>
          <w:highlight w:val="none"/>
        </w:rPr>
      </w:pPr>
    </w:p>
    <w:p w14:paraId="359BF0E8">
      <w:pPr>
        <w:snapToGrid w:val="0"/>
        <w:spacing w:line="360" w:lineRule="auto"/>
        <w:ind w:right="480"/>
        <w:jc w:val="center"/>
        <w:rPr>
          <w:rFonts w:hint="eastAsia" w:ascii="宋体" w:hAnsi="宋体" w:eastAsia="宋体" w:cs="宋体"/>
          <w:b/>
          <w:color w:val="auto"/>
          <w:kern w:val="0"/>
          <w:sz w:val="32"/>
          <w:szCs w:val="32"/>
          <w:highlight w:val="none"/>
        </w:rPr>
      </w:pPr>
    </w:p>
    <w:p w14:paraId="78B4BC35">
      <w:pPr>
        <w:snapToGrid w:val="0"/>
        <w:spacing w:line="360" w:lineRule="auto"/>
        <w:ind w:right="480"/>
        <w:jc w:val="center"/>
        <w:rPr>
          <w:rFonts w:hint="eastAsia" w:ascii="宋体" w:hAnsi="宋体" w:eastAsia="宋体" w:cs="宋体"/>
          <w:b/>
          <w:color w:val="auto"/>
          <w:kern w:val="0"/>
          <w:sz w:val="32"/>
          <w:szCs w:val="32"/>
          <w:highlight w:val="none"/>
        </w:rPr>
      </w:pPr>
    </w:p>
    <w:p w14:paraId="780E5D59">
      <w:pPr>
        <w:snapToGrid w:val="0"/>
        <w:spacing w:line="360" w:lineRule="auto"/>
        <w:ind w:right="480"/>
        <w:jc w:val="center"/>
        <w:rPr>
          <w:rFonts w:hint="eastAsia" w:ascii="宋体" w:hAnsi="宋体" w:eastAsia="宋体" w:cs="宋体"/>
          <w:b/>
          <w:color w:val="auto"/>
          <w:kern w:val="0"/>
          <w:sz w:val="32"/>
          <w:szCs w:val="32"/>
          <w:highlight w:val="none"/>
        </w:rPr>
      </w:pPr>
    </w:p>
    <w:p w14:paraId="19205E3B">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8FBDAF7">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14:paraId="2C91B9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7F3CAEB9">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D7FF0E4">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w:t>
      </w:r>
    </w:p>
    <w:tbl>
      <w:tblPr>
        <w:tblStyle w:val="64"/>
        <w:tblW w:w="14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190"/>
        <w:gridCol w:w="3782"/>
        <w:gridCol w:w="2595"/>
        <w:gridCol w:w="1092"/>
      </w:tblGrid>
      <w:tr w14:paraId="6D6B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A6EB7B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190" w:type="dxa"/>
            <w:tcBorders>
              <w:top w:val="single" w:color="auto" w:sz="4" w:space="0"/>
              <w:left w:val="single" w:color="auto" w:sz="4" w:space="0"/>
              <w:bottom w:val="single" w:color="auto" w:sz="4" w:space="0"/>
              <w:right w:val="single" w:color="auto" w:sz="4" w:space="0"/>
            </w:tcBorders>
            <w:vAlign w:val="center"/>
          </w:tcPr>
          <w:p w14:paraId="300E7F53">
            <w:pPr>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名称</w:t>
            </w:r>
          </w:p>
        </w:tc>
        <w:tc>
          <w:tcPr>
            <w:tcW w:w="3782" w:type="dxa"/>
            <w:tcBorders>
              <w:top w:val="single" w:color="auto" w:sz="4" w:space="0"/>
              <w:left w:val="single" w:color="auto" w:sz="4" w:space="0"/>
              <w:bottom w:val="single" w:color="auto" w:sz="4" w:space="0"/>
              <w:right w:val="single" w:color="auto" w:sz="4" w:space="0"/>
            </w:tcBorders>
            <w:vAlign w:val="center"/>
          </w:tcPr>
          <w:p w14:paraId="08CB5A0F">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投标报价</w:t>
            </w:r>
          </w:p>
        </w:tc>
        <w:tc>
          <w:tcPr>
            <w:tcW w:w="2595" w:type="dxa"/>
            <w:tcBorders>
              <w:top w:val="single" w:color="auto" w:sz="4" w:space="0"/>
              <w:left w:val="single" w:color="auto" w:sz="4" w:space="0"/>
              <w:bottom w:val="single" w:color="auto" w:sz="4" w:space="0"/>
              <w:right w:val="single" w:color="auto" w:sz="4" w:space="0"/>
            </w:tcBorders>
            <w:vAlign w:val="center"/>
          </w:tcPr>
          <w:p w14:paraId="39CD7D6E">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运营</w:t>
            </w:r>
            <w:r>
              <w:rPr>
                <w:rFonts w:hint="eastAsia" w:ascii="宋体" w:hAnsi="宋体" w:eastAsia="宋体" w:cs="宋体"/>
                <w:b/>
                <w:color w:val="auto"/>
                <w:sz w:val="24"/>
                <w:highlight w:val="none"/>
                <w:lang w:val="en-US" w:eastAsia="zh-CN"/>
              </w:rPr>
              <w:t>期限</w:t>
            </w:r>
          </w:p>
        </w:tc>
        <w:tc>
          <w:tcPr>
            <w:tcW w:w="1092" w:type="dxa"/>
            <w:tcBorders>
              <w:top w:val="single" w:color="auto" w:sz="4" w:space="0"/>
              <w:left w:val="single" w:color="auto" w:sz="4" w:space="0"/>
              <w:bottom w:val="single" w:color="auto" w:sz="4" w:space="0"/>
              <w:right w:val="single" w:color="auto" w:sz="4" w:space="0"/>
            </w:tcBorders>
            <w:vAlign w:val="center"/>
          </w:tcPr>
          <w:p w14:paraId="32823000">
            <w:pPr>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14:paraId="1E2B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8F1130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190" w:type="dxa"/>
            <w:tcBorders>
              <w:top w:val="single" w:color="auto" w:sz="4" w:space="0"/>
              <w:left w:val="single" w:color="auto" w:sz="4" w:space="0"/>
              <w:bottom w:val="single" w:color="auto" w:sz="4" w:space="0"/>
              <w:right w:val="single" w:color="auto" w:sz="4" w:space="0"/>
            </w:tcBorders>
            <w:vAlign w:val="center"/>
          </w:tcPr>
          <w:p w14:paraId="43BB54AB">
            <w:pPr>
              <w:snapToGrid w:val="0"/>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所前镇原海港制钉房屋委托运营项目</w:t>
            </w:r>
          </w:p>
        </w:tc>
        <w:tc>
          <w:tcPr>
            <w:tcW w:w="3782" w:type="dxa"/>
            <w:tcBorders>
              <w:top w:val="single" w:color="auto" w:sz="4" w:space="0"/>
              <w:left w:val="single" w:color="auto" w:sz="4" w:space="0"/>
              <w:bottom w:val="single" w:color="auto" w:sz="4" w:space="0"/>
              <w:right w:val="single" w:color="auto" w:sz="4" w:space="0"/>
            </w:tcBorders>
            <w:vAlign w:val="center"/>
          </w:tcPr>
          <w:p w14:paraId="7C51B136">
            <w:pPr>
              <w:spacing w:line="240" w:lineRule="auto"/>
              <w:jc w:val="center"/>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元/年</w:t>
            </w:r>
          </w:p>
        </w:tc>
        <w:tc>
          <w:tcPr>
            <w:tcW w:w="2595" w:type="dxa"/>
            <w:tcBorders>
              <w:top w:val="single" w:color="auto" w:sz="4" w:space="0"/>
              <w:left w:val="single" w:color="auto" w:sz="4" w:space="0"/>
              <w:bottom w:val="single" w:color="auto" w:sz="4" w:space="0"/>
              <w:right w:val="single" w:color="auto" w:sz="4" w:space="0"/>
            </w:tcBorders>
            <w:vAlign w:val="center"/>
          </w:tcPr>
          <w:p w14:paraId="225F0AA5">
            <w:pPr>
              <w:spacing w:line="240" w:lineRule="auto"/>
              <w:jc w:val="center"/>
              <w:rPr>
                <w:rFonts w:hint="eastAsia" w:ascii="宋体" w:hAnsi="宋体" w:eastAsia="宋体" w:cs="宋体"/>
                <w:color w:val="auto"/>
                <w:sz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44550E57">
            <w:pPr>
              <w:spacing w:line="240" w:lineRule="auto"/>
              <w:jc w:val="center"/>
              <w:rPr>
                <w:rFonts w:hint="eastAsia" w:ascii="宋体" w:hAnsi="宋体" w:eastAsia="宋体" w:cs="宋体"/>
                <w:color w:val="auto"/>
                <w:sz w:val="24"/>
                <w:highlight w:val="none"/>
              </w:rPr>
            </w:pPr>
          </w:p>
        </w:tc>
      </w:tr>
    </w:tbl>
    <w:p w14:paraId="26F3E437">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2DD9711A">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37685B5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16F1144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1806F1A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14:paraId="3D9AF08F">
      <w:pPr>
        <w:spacing w:line="360" w:lineRule="auto"/>
        <w:ind w:firstLine="482" w:firstLineChars="200"/>
        <w:rPr>
          <w:rFonts w:hint="eastAsia" w:ascii="宋体" w:hAnsi="宋体" w:eastAsia="宋体" w:cs="宋体"/>
          <w:b/>
          <w:color w:val="auto"/>
          <w:kern w:val="0"/>
          <w:sz w:val="24"/>
          <w:highlight w:val="none"/>
        </w:rPr>
      </w:pPr>
    </w:p>
    <w:p w14:paraId="51924108">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32D03D8C">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EE5893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14:paraId="5AECD74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14:paraId="05E671F8">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14:paraId="498E42F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6FD088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5E0F1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63F58D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7C834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111B4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40F1E0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14:paraId="01BB7D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14:paraId="3D0D4AD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59479F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7DA4038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14:paraId="0761F29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14:paraId="4C4043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14:paraId="5D183BE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A9EB4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936A59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017E0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C1C85B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14:paraId="3D050D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B001F0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14:paraId="204D92B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BE277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522C9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1C3282D">
      <w:pPr>
        <w:spacing w:line="360" w:lineRule="auto"/>
        <w:jc w:val="center"/>
        <w:rPr>
          <w:rFonts w:hint="eastAsia" w:ascii="宋体" w:hAnsi="宋体" w:eastAsia="宋体" w:cs="宋体"/>
          <w:b/>
          <w:bCs/>
          <w:color w:val="auto"/>
          <w:sz w:val="24"/>
          <w:highlight w:val="none"/>
        </w:rPr>
      </w:pPr>
    </w:p>
    <w:p w14:paraId="5602491C">
      <w:pPr>
        <w:spacing w:line="360" w:lineRule="auto"/>
        <w:rPr>
          <w:rFonts w:hint="eastAsia" w:ascii="宋体" w:hAnsi="宋体" w:eastAsia="宋体" w:cs="宋体"/>
          <w:b/>
          <w:color w:val="auto"/>
          <w:sz w:val="24"/>
          <w:highlight w:val="none"/>
        </w:rPr>
      </w:pPr>
    </w:p>
    <w:p w14:paraId="7A4D9BBB">
      <w:pPr>
        <w:spacing w:line="360" w:lineRule="auto"/>
        <w:rPr>
          <w:rFonts w:hint="eastAsia" w:ascii="宋体" w:hAnsi="宋体" w:eastAsia="宋体" w:cs="宋体"/>
          <w:b/>
          <w:color w:val="auto"/>
          <w:sz w:val="24"/>
          <w:highlight w:val="none"/>
        </w:rPr>
      </w:pPr>
    </w:p>
    <w:p w14:paraId="3F39F871">
      <w:pPr>
        <w:spacing w:line="360" w:lineRule="auto"/>
        <w:rPr>
          <w:rFonts w:hint="eastAsia" w:ascii="宋体" w:hAnsi="宋体" w:eastAsia="宋体" w:cs="宋体"/>
          <w:b/>
          <w:color w:val="auto"/>
          <w:sz w:val="24"/>
          <w:highlight w:val="none"/>
        </w:rPr>
      </w:pPr>
    </w:p>
    <w:p w14:paraId="11E7675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14:paraId="1B45EF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14:paraId="46611CB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14:paraId="3B5E52D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14:paraId="3F2130F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14:paraId="2A2878C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14:paraId="4AC04D3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14:paraId="1510ABDF">
      <w:pPr>
        <w:widowControl/>
        <w:spacing w:line="360" w:lineRule="auto"/>
        <w:ind w:firstLine="600" w:firstLineChars="200"/>
        <w:jc w:val="left"/>
        <w:rPr>
          <w:rFonts w:hint="eastAsia" w:ascii="宋体" w:hAnsi="宋体" w:eastAsia="宋体" w:cs="宋体"/>
          <w:color w:val="auto"/>
          <w:sz w:val="30"/>
          <w:szCs w:val="30"/>
          <w:highlight w:val="none"/>
        </w:rPr>
      </w:pPr>
    </w:p>
    <w:p w14:paraId="49B28DBF">
      <w:pPr>
        <w:spacing w:line="360" w:lineRule="auto"/>
        <w:jc w:val="center"/>
        <w:rPr>
          <w:rFonts w:hint="eastAsia" w:ascii="宋体" w:hAnsi="宋体" w:eastAsia="宋体" w:cs="宋体"/>
          <w:b/>
          <w:color w:val="auto"/>
          <w:spacing w:val="6"/>
          <w:sz w:val="32"/>
          <w:szCs w:val="32"/>
          <w:highlight w:val="none"/>
        </w:rPr>
      </w:pPr>
    </w:p>
    <w:p w14:paraId="6A164A5D">
      <w:pPr>
        <w:spacing w:line="360" w:lineRule="auto"/>
        <w:jc w:val="center"/>
        <w:rPr>
          <w:rFonts w:hint="eastAsia" w:ascii="宋体" w:hAnsi="宋体" w:eastAsia="宋体" w:cs="宋体"/>
          <w:b/>
          <w:color w:val="auto"/>
          <w:spacing w:val="6"/>
          <w:sz w:val="32"/>
          <w:szCs w:val="32"/>
          <w:highlight w:val="none"/>
        </w:rPr>
      </w:pPr>
    </w:p>
    <w:p w14:paraId="6EC39933">
      <w:pPr>
        <w:spacing w:line="360" w:lineRule="auto"/>
        <w:jc w:val="center"/>
        <w:rPr>
          <w:rFonts w:hint="eastAsia" w:ascii="宋体" w:hAnsi="宋体" w:eastAsia="宋体" w:cs="宋体"/>
          <w:b/>
          <w:color w:val="auto"/>
          <w:spacing w:val="6"/>
          <w:sz w:val="32"/>
          <w:szCs w:val="32"/>
          <w:highlight w:val="none"/>
        </w:rPr>
      </w:pPr>
    </w:p>
    <w:p w14:paraId="7B6F9B1E">
      <w:pPr>
        <w:spacing w:line="360" w:lineRule="auto"/>
        <w:jc w:val="center"/>
        <w:rPr>
          <w:rFonts w:hint="eastAsia" w:ascii="宋体" w:hAnsi="宋体" w:eastAsia="宋体" w:cs="宋体"/>
          <w:b/>
          <w:color w:val="auto"/>
          <w:spacing w:val="6"/>
          <w:sz w:val="32"/>
          <w:szCs w:val="32"/>
          <w:highlight w:val="none"/>
        </w:rPr>
      </w:pPr>
    </w:p>
    <w:p w14:paraId="132D0D69">
      <w:pPr>
        <w:spacing w:line="360" w:lineRule="auto"/>
        <w:jc w:val="center"/>
        <w:rPr>
          <w:rFonts w:hint="eastAsia" w:ascii="宋体" w:hAnsi="宋体" w:eastAsia="宋体" w:cs="宋体"/>
          <w:b/>
          <w:color w:val="auto"/>
          <w:spacing w:val="6"/>
          <w:sz w:val="32"/>
          <w:szCs w:val="32"/>
          <w:highlight w:val="none"/>
        </w:rPr>
      </w:pPr>
    </w:p>
    <w:p w14:paraId="2A0730CB">
      <w:pPr>
        <w:spacing w:line="360" w:lineRule="auto"/>
        <w:jc w:val="center"/>
        <w:rPr>
          <w:rFonts w:hint="eastAsia" w:ascii="宋体" w:hAnsi="宋体" w:eastAsia="宋体" w:cs="宋体"/>
          <w:b/>
          <w:color w:val="auto"/>
          <w:spacing w:val="6"/>
          <w:sz w:val="32"/>
          <w:szCs w:val="32"/>
          <w:highlight w:val="none"/>
        </w:rPr>
      </w:pPr>
    </w:p>
    <w:p w14:paraId="40138618">
      <w:pPr>
        <w:spacing w:line="360" w:lineRule="auto"/>
        <w:jc w:val="center"/>
        <w:rPr>
          <w:rFonts w:hint="eastAsia" w:ascii="宋体" w:hAnsi="宋体" w:eastAsia="宋体" w:cs="宋体"/>
          <w:b/>
          <w:color w:val="auto"/>
          <w:spacing w:val="6"/>
          <w:sz w:val="32"/>
          <w:szCs w:val="32"/>
          <w:highlight w:val="none"/>
        </w:rPr>
      </w:pPr>
    </w:p>
    <w:p w14:paraId="1DAA312D">
      <w:pPr>
        <w:spacing w:line="360" w:lineRule="auto"/>
        <w:jc w:val="center"/>
        <w:rPr>
          <w:rFonts w:hint="eastAsia" w:ascii="宋体" w:hAnsi="宋体" w:eastAsia="宋体" w:cs="宋体"/>
          <w:b/>
          <w:color w:val="auto"/>
          <w:spacing w:val="6"/>
          <w:sz w:val="32"/>
          <w:szCs w:val="32"/>
          <w:highlight w:val="none"/>
        </w:rPr>
      </w:pPr>
    </w:p>
    <w:p w14:paraId="2D9BFFB6">
      <w:pPr>
        <w:spacing w:line="360" w:lineRule="auto"/>
        <w:jc w:val="center"/>
        <w:rPr>
          <w:rFonts w:hint="eastAsia" w:ascii="宋体" w:hAnsi="宋体" w:eastAsia="宋体" w:cs="宋体"/>
          <w:b/>
          <w:color w:val="auto"/>
          <w:spacing w:val="6"/>
          <w:sz w:val="32"/>
          <w:szCs w:val="32"/>
          <w:highlight w:val="none"/>
        </w:rPr>
      </w:pPr>
    </w:p>
    <w:p w14:paraId="582FAEA2">
      <w:pPr>
        <w:spacing w:line="360" w:lineRule="auto"/>
        <w:jc w:val="center"/>
        <w:rPr>
          <w:rFonts w:hint="eastAsia" w:ascii="宋体" w:hAnsi="宋体" w:eastAsia="宋体" w:cs="宋体"/>
          <w:b/>
          <w:color w:val="auto"/>
          <w:spacing w:val="6"/>
          <w:sz w:val="32"/>
          <w:szCs w:val="32"/>
          <w:highlight w:val="none"/>
        </w:rPr>
      </w:pPr>
    </w:p>
    <w:p w14:paraId="4139C877">
      <w:pPr>
        <w:spacing w:line="360" w:lineRule="auto"/>
        <w:jc w:val="center"/>
        <w:rPr>
          <w:rFonts w:hint="eastAsia" w:ascii="宋体" w:hAnsi="宋体" w:eastAsia="宋体" w:cs="宋体"/>
          <w:b/>
          <w:color w:val="auto"/>
          <w:spacing w:val="6"/>
          <w:sz w:val="32"/>
          <w:szCs w:val="32"/>
          <w:highlight w:val="none"/>
        </w:rPr>
      </w:pPr>
    </w:p>
    <w:p w14:paraId="04B1FF5E">
      <w:pPr>
        <w:spacing w:line="360" w:lineRule="auto"/>
        <w:jc w:val="center"/>
        <w:rPr>
          <w:rFonts w:hint="eastAsia" w:ascii="宋体" w:hAnsi="宋体" w:eastAsia="宋体" w:cs="宋体"/>
          <w:b/>
          <w:color w:val="auto"/>
          <w:spacing w:val="6"/>
          <w:sz w:val="32"/>
          <w:szCs w:val="32"/>
          <w:highlight w:val="none"/>
        </w:rPr>
      </w:pPr>
    </w:p>
    <w:p w14:paraId="36BE4845">
      <w:pPr>
        <w:spacing w:line="360" w:lineRule="auto"/>
        <w:jc w:val="left"/>
        <w:rPr>
          <w:rFonts w:hint="eastAsia" w:ascii="宋体" w:hAnsi="宋体" w:eastAsia="宋体" w:cs="宋体"/>
          <w:b/>
          <w:color w:val="auto"/>
          <w:spacing w:val="6"/>
          <w:sz w:val="32"/>
          <w:szCs w:val="32"/>
          <w:highlight w:val="none"/>
        </w:rPr>
      </w:pPr>
    </w:p>
    <w:p w14:paraId="1B3A4E1A">
      <w:pPr>
        <w:spacing w:line="360" w:lineRule="auto"/>
        <w:jc w:val="left"/>
        <w:rPr>
          <w:rFonts w:hint="eastAsia" w:ascii="宋体" w:hAnsi="宋体" w:eastAsia="宋体" w:cs="宋体"/>
          <w:b/>
          <w:color w:val="auto"/>
          <w:spacing w:val="6"/>
          <w:sz w:val="32"/>
          <w:szCs w:val="32"/>
          <w:highlight w:val="none"/>
        </w:rPr>
      </w:pPr>
    </w:p>
    <w:p w14:paraId="05FB241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74A3780E">
      <w:pPr>
        <w:spacing w:line="360" w:lineRule="auto"/>
        <w:jc w:val="center"/>
        <w:rPr>
          <w:rFonts w:hint="eastAsia" w:ascii="宋体" w:hAnsi="宋体" w:eastAsia="宋体" w:cs="宋体"/>
          <w:b/>
          <w:color w:val="auto"/>
          <w:sz w:val="24"/>
          <w:highlight w:val="none"/>
        </w:rPr>
      </w:pPr>
    </w:p>
    <w:p w14:paraId="55BA208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912C0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D07907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D4B6A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48EA0F">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122D7DF">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381C6E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1F8AC7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91CBF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98F99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6278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0E0B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9FCE5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3C99A6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2492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3985F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6A87D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EF025E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56AE86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3D097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643935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EB42A0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C4305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333D3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14:paraId="03B5A7F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14:paraId="2E8A4BE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84A9A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14:paraId="643AFC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78AB9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9E04E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A01C2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9239AD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4AF911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48C39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50E9E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71ADA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76DBC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7DB645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4C007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EE4AA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ABD58B3">
      <w:pPr>
        <w:spacing w:line="360" w:lineRule="auto"/>
        <w:rPr>
          <w:rFonts w:hint="eastAsia" w:ascii="宋体" w:hAnsi="宋体" w:eastAsia="宋体" w:cs="宋体"/>
          <w:b/>
          <w:color w:val="auto"/>
          <w:sz w:val="24"/>
          <w:highlight w:val="none"/>
        </w:rPr>
      </w:pPr>
    </w:p>
    <w:p w14:paraId="018289A0">
      <w:pPr>
        <w:spacing w:line="360" w:lineRule="auto"/>
        <w:rPr>
          <w:rFonts w:hint="eastAsia" w:ascii="宋体" w:hAnsi="宋体" w:eastAsia="宋体" w:cs="宋体"/>
          <w:b/>
          <w:color w:val="auto"/>
          <w:sz w:val="24"/>
          <w:highlight w:val="none"/>
        </w:rPr>
      </w:pPr>
    </w:p>
    <w:p w14:paraId="44AFC0A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FD91CAD">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14:paraId="5E72DA0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86C349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E23D54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14:paraId="0D8DDB7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C6CE1E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96400F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546621B">
      <w:pPr>
        <w:spacing w:line="360" w:lineRule="auto"/>
        <w:rPr>
          <w:rFonts w:hint="eastAsia" w:ascii="宋体" w:hAnsi="宋体" w:eastAsia="宋体" w:cs="宋体"/>
          <w:b/>
          <w:color w:val="auto"/>
          <w:sz w:val="24"/>
          <w:highlight w:val="none"/>
        </w:rPr>
      </w:pPr>
    </w:p>
    <w:p w14:paraId="0A25660B">
      <w:pPr>
        <w:autoSpaceDE w:val="0"/>
        <w:autoSpaceDN w:val="0"/>
        <w:jc w:val="center"/>
        <w:rPr>
          <w:rFonts w:hint="eastAsia" w:ascii="宋体" w:hAnsi="宋体" w:eastAsia="宋体" w:cs="宋体"/>
          <w:b/>
          <w:color w:val="auto"/>
          <w:spacing w:val="6"/>
          <w:sz w:val="32"/>
          <w:szCs w:val="32"/>
          <w:highlight w:val="none"/>
        </w:rPr>
      </w:pPr>
    </w:p>
    <w:p w14:paraId="25C8D9DE">
      <w:pPr>
        <w:autoSpaceDE w:val="0"/>
        <w:autoSpaceDN w:val="0"/>
        <w:jc w:val="left"/>
        <w:rPr>
          <w:rFonts w:hint="eastAsia" w:ascii="宋体" w:hAnsi="宋体" w:eastAsia="宋体" w:cs="宋体"/>
          <w:b/>
          <w:color w:val="auto"/>
          <w:spacing w:val="6"/>
          <w:sz w:val="32"/>
          <w:szCs w:val="32"/>
          <w:highlight w:val="none"/>
        </w:rPr>
      </w:pPr>
    </w:p>
    <w:p w14:paraId="19AB48B2">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14:paraId="7EBE95C9">
      <w:pPr>
        <w:autoSpaceDE w:val="0"/>
        <w:autoSpaceDN w:val="0"/>
        <w:jc w:val="center"/>
        <w:rPr>
          <w:rFonts w:hint="eastAsia" w:ascii="宋体" w:hAnsi="宋体" w:eastAsia="宋体" w:cs="宋体"/>
          <w:b/>
          <w:bCs/>
          <w:color w:val="auto"/>
          <w:sz w:val="32"/>
          <w:szCs w:val="32"/>
          <w:highlight w:val="none"/>
        </w:rPr>
      </w:pPr>
    </w:p>
    <w:p w14:paraId="5CBF33F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3D81E782">
      <w:pPr>
        <w:spacing w:line="360" w:lineRule="auto"/>
        <w:rPr>
          <w:rFonts w:hint="eastAsia" w:ascii="宋体" w:hAnsi="宋体" w:eastAsia="宋体" w:cs="宋体"/>
          <w:color w:val="auto"/>
          <w:sz w:val="24"/>
          <w:highlight w:val="none"/>
          <w:u w:val="single"/>
        </w:rPr>
      </w:pPr>
    </w:p>
    <w:p w14:paraId="19105C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50E31C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992A1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9B44AD2">
      <w:pPr>
        <w:spacing w:line="360" w:lineRule="auto"/>
        <w:ind w:firstLine="494"/>
        <w:rPr>
          <w:rFonts w:hint="eastAsia" w:ascii="宋体" w:hAnsi="宋体" w:eastAsia="宋体" w:cs="宋体"/>
          <w:color w:val="auto"/>
          <w:sz w:val="24"/>
          <w:highlight w:val="none"/>
        </w:rPr>
      </w:pPr>
    </w:p>
    <w:p w14:paraId="21AE3723">
      <w:pPr>
        <w:spacing w:line="360" w:lineRule="auto"/>
        <w:ind w:firstLine="494"/>
        <w:rPr>
          <w:rFonts w:hint="eastAsia" w:ascii="宋体" w:hAnsi="宋体" w:eastAsia="宋体" w:cs="宋体"/>
          <w:color w:val="auto"/>
          <w:sz w:val="24"/>
          <w:highlight w:val="none"/>
        </w:rPr>
      </w:pPr>
    </w:p>
    <w:p w14:paraId="3491A44B">
      <w:pPr>
        <w:spacing w:line="360" w:lineRule="auto"/>
        <w:ind w:firstLine="494"/>
        <w:rPr>
          <w:rFonts w:hint="eastAsia" w:ascii="宋体" w:hAnsi="宋体" w:eastAsia="宋体" w:cs="宋体"/>
          <w:color w:val="auto"/>
          <w:sz w:val="24"/>
          <w:highlight w:val="none"/>
        </w:rPr>
      </w:pPr>
    </w:p>
    <w:p w14:paraId="2BA5EC68">
      <w:pPr>
        <w:spacing w:line="360" w:lineRule="auto"/>
        <w:ind w:firstLine="494"/>
        <w:rPr>
          <w:rFonts w:hint="eastAsia" w:ascii="宋体" w:hAnsi="宋体" w:eastAsia="宋体" w:cs="宋体"/>
          <w:color w:val="auto"/>
          <w:sz w:val="24"/>
          <w:highlight w:val="none"/>
        </w:rPr>
      </w:pPr>
    </w:p>
    <w:p w14:paraId="12343A29">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6CE5D5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D63D62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6B01F3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19D0CD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19D0CD9">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4984F2DD">
      <w:pPr>
        <w:autoSpaceDE w:val="0"/>
        <w:autoSpaceDN w:val="0"/>
        <w:jc w:val="center"/>
        <w:rPr>
          <w:rFonts w:hint="eastAsia" w:ascii="宋体" w:hAnsi="宋体" w:eastAsia="宋体" w:cs="宋体"/>
          <w:b/>
          <w:color w:val="auto"/>
          <w:spacing w:val="6"/>
          <w:sz w:val="32"/>
          <w:szCs w:val="32"/>
          <w:highlight w:val="none"/>
        </w:rPr>
      </w:pPr>
    </w:p>
    <w:p w14:paraId="051753B9">
      <w:pPr>
        <w:autoSpaceDE w:val="0"/>
        <w:autoSpaceDN w:val="0"/>
        <w:jc w:val="center"/>
        <w:rPr>
          <w:rFonts w:hint="eastAsia" w:ascii="宋体" w:hAnsi="宋体" w:eastAsia="宋体" w:cs="宋体"/>
          <w:b/>
          <w:color w:val="auto"/>
          <w:spacing w:val="6"/>
          <w:sz w:val="32"/>
          <w:szCs w:val="32"/>
          <w:highlight w:val="none"/>
        </w:rPr>
      </w:pPr>
    </w:p>
    <w:p w14:paraId="707B9940">
      <w:pPr>
        <w:autoSpaceDE w:val="0"/>
        <w:autoSpaceDN w:val="0"/>
        <w:jc w:val="center"/>
        <w:rPr>
          <w:rFonts w:hint="eastAsia" w:ascii="宋体" w:hAnsi="宋体" w:eastAsia="宋体" w:cs="宋体"/>
          <w:b/>
          <w:color w:val="auto"/>
          <w:spacing w:val="6"/>
          <w:sz w:val="32"/>
          <w:szCs w:val="32"/>
          <w:highlight w:val="none"/>
        </w:rPr>
      </w:pPr>
    </w:p>
    <w:p w14:paraId="2A5F54F2">
      <w:pPr>
        <w:autoSpaceDE w:val="0"/>
        <w:autoSpaceDN w:val="0"/>
        <w:jc w:val="center"/>
        <w:rPr>
          <w:rFonts w:hint="eastAsia" w:ascii="宋体" w:hAnsi="宋体" w:eastAsia="宋体" w:cs="宋体"/>
          <w:b/>
          <w:color w:val="auto"/>
          <w:spacing w:val="6"/>
          <w:sz w:val="32"/>
          <w:szCs w:val="32"/>
          <w:highlight w:val="none"/>
        </w:rPr>
      </w:pPr>
    </w:p>
    <w:p w14:paraId="16FD1759">
      <w:pPr>
        <w:autoSpaceDE w:val="0"/>
        <w:autoSpaceDN w:val="0"/>
        <w:jc w:val="center"/>
        <w:rPr>
          <w:rFonts w:hint="eastAsia" w:ascii="宋体" w:hAnsi="宋体" w:eastAsia="宋体" w:cs="宋体"/>
          <w:b/>
          <w:color w:val="auto"/>
          <w:spacing w:val="6"/>
          <w:sz w:val="32"/>
          <w:szCs w:val="32"/>
          <w:highlight w:val="none"/>
        </w:rPr>
      </w:pPr>
    </w:p>
    <w:p w14:paraId="1C2D1158">
      <w:pPr>
        <w:autoSpaceDE w:val="0"/>
        <w:autoSpaceDN w:val="0"/>
        <w:jc w:val="center"/>
        <w:rPr>
          <w:rFonts w:hint="eastAsia" w:ascii="宋体" w:hAnsi="宋体" w:eastAsia="宋体" w:cs="宋体"/>
          <w:b/>
          <w:color w:val="auto"/>
          <w:spacing w:val="6"/>
          <w:sz w:val="32"/>
          <w:szCs w:val="32"/>
          <w:highlight w:val="none"/>
        </w:rPr>
      </w:pPr>
    </w:p>
    <w:p w14:paraId="660073EA">
      <w:pPr>
        <w:autoSpaceDE w:val="0"/>
        <w:autoSpaceDN w:val="0"/>
        <w:jc w:val="center"/>
        <w:rPr>
          <w:rFonts w:hint="eastAsia" w:ascii="宋体" w:hAnsi="宋体" w:eastAsia="宋体" w:cs="宋体"/>
          <w:b/>
          <w:color w:val="auto"/>
          <w:spacing w:val="6"/>
          <w:sz w:val="32"/>
          <w:szCs w:val="32"/>
          <w:highlight w:val="none"/>
        </w:rPr>
      </w:pPr>
    </w:p>
    <w:p w14:paraId="0E46E52F">
      <w:pPr>
        <w:autoSpaceDE w:val="0"/>
        <w:autoSpaceDN w:val="0"/>
        <w:jc w:val="center"/>
        <w:rPr>
          <w:rFonts w:hint="eastAsia" w:ascii="宋体" w:hAnsi="宋体" w:eastAsia="宋体" w:cs="宋体"/>
          <w:b/>
          <w:color w:val="auto"/>
          <w:spacing w:val="6"/>
          <w:sz w:val="32"/>
          <w:szCs w:val="32"/>
          <w:highlight w:val="none"/>
        </w:rPr>
      </w:pPr>
    </w:p>
    <w:p w14:paraId="38581E53">
      <w:pPr>
        <w:autoSpaceDE w:val="0"/>
        <w:autoSpaceDN w:val="0"/>
        <w:jc w:val="center"/>
        <w:rPr>
          <w:rFonts w:hint="eastAsia" w:ascii="宋体" w:hAnsi="宋体" w:eastAsia="宋体" w:cs="宋体"/>
          <w:b/>
          <w:color w:val="auto"/>
          <w:spacing w:val="6"/>
          <w:sz w:val="32"/>
          <w:szCs w:val="32"/>
          <w:highlight w:val="none"/>
        </w:rPr>
      </w:pPr>
    </w:p>
    <w:p w14:paraId="6437E391">
      <w:pPr>
        <w:autoSpaceDE w:val="0"/>
        <w:autoSpaceDN w:val="0"/>
        <w:jc w:val="center"/>
        <w:rPr>
          <w:rFonts w:hint="eastAsia" w:ascii="宋体" w:hAnsi="宋体" w:eastAsia="宋体" w:cs="宋体"/>
          <w:b/>
          <w:color w:val="auto"/>
          <w:spacing w:val="6"/>
          <w:sz w:val="32"/>
          <w:szCs w:val="32"/>
          <w:highlight w:val="none"/>
        </w:rPr>
      </w:pPr>
    </w:p>
    <w:p w14:paraId="354C6D03">
      <w:pPr>
        <w:autoSpaceDE w:val="0"/>
        <w:autoSpaceDN w:val="0"/>
        <w:jc w:val="center"/>
        <w:rPr>
          <w:rFonts w:hint="eastAsia" w:ascii="宋体" w:hAnsi="宋体" w:eastAsia="宋体" w:cs="宋体"/>
          <w:b/>
          <w:color w:val="auto"/>
          <w:spacing w:val="6"/>
          <w:sz w:val="32"/>
          <w:szCs w:val="32"/>
          <w:highlight w:val="none"/>
        </w:rPr>
      </w:pPr>
    </w:p>
    <w:p w14:paraId="4D725553">
      <w:pPr>
        <w:autoSpaceDE w:val="0"/>
        <w:autoSpaceDN w:val="0"/>
        <w:jc w:val="center"/>
        <w:rPr>
          <w:rFonts w:hint="eastAsia" w:ascii="宋体" w:hAnsi="宋体" w:eastAsia="宋体" w:cs="宋体"/>
          <w:b/>
          <w:color w:val="auto"/>
          <w:spacing w:val="6"/>
          <w:sz w:val="32"/>
          <w:szCs w:val="32"/>
          <w:highlight w:val="none"/>
        </w:rPr>
      </w:pPr>
    </w:p>
    <w:p w14:paraId="20C1E22F">
      <w:pPr>
        <w:autoSpaceDE w:val="0"/>
        <w:autoSpaceDN w:val="0"/>
        <w:jc w:val="center"/>
        <w:rPr>
          <w:rFonts w:hint="eastAsia" w:ascii="宋体" w:hAnsi="宋体" w:eastAsia="宋体" w:cs="宋体"/>
          <w:b/>
          <w:color w:val="auto"/>
          <w:spacing w:val="6"/>
          <w:sz w:val="32"/>
          <w:szCs w:val="32"/>
          <w:highlight w:val="none"/>
        </w:rPr>
      </w:pPr>
    </w:p>
    <w:p w14:paraId="4F16AD94">
      <w:pPr>
        <w:autoSpaceDE w:val="0"/>
        <w:autoSpaceDN w:val="0"/>
        <w:jc w:val="center"/>
        <w:rPr>
          <w:rFonts w:hint="eastAsia" w:ascii="宋体" w:hAnsi="宋体" w:eastAsia="宋体" w:cs="宋体"/>
          <w:b/>
          <w:color w:val="auto"/>
          <w:spacing w:val="6"/>
          <w:sz w:val="32"/>
          <w:szCs w:val="32"/>
          <w:highlight w:val="none"/>
        </w:rPr>
      </w:pPr>
    </w:p>
    <w:bookmarkEnd w:id="20"/>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72335">
    <w:pPr>
      <w:pStyle w:val="40"/>
      <w:jc w:val="center"/>
      <w:rPr>
        <w:rFonts w:ascii="仿宋_GB2312" w:eastAsia="仿宋_GB2312"/>
      </w:rPr>
    </w:pPr>
  </w:p>
  <w:p w14:paraId="6302E81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A51C">
    <w:pPr>
      <w:pStyle w:val="40"/>
      <w:jc w:val="center"/>
      <w:rPr>
        <w:rFonts w:ascii="仿宋_GB2312" w:eastAsia="仿宋_GB2312"/>
      </w:rPr>
    </w:pPr>
  </w:p>
  <w:p w14:paraId="60D8A74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69E1">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54855">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554855">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585C596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A381">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FB1A8">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BFB1A8">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5C35B4C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BBE5">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F84C1">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9AF84C1">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68DB9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8453">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964EF">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A9964EF">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0B89E9F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A74E">
    <w:pPr>
      <w:pStyle w:val="40"/>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3ED66">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113ED66">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06D3">
    <w:pPr>
      <w:pStyle w:val="40"/>
      <w:framePr w:wrap="around" w:vAnchor="text" w:hAnchor="margin" w:xAlign="right" w:y="1"/>
      <w:rPr>
        <w:rStyle w:val="74"/>
      </w:rPr>
    </w:pPr>
    <w:r>
      <w:fldChar w:fldCharType="begin"/>
    </w:r>
    <w:r>
      <w:rPr>
        <w:rStyle w:val="74"/>
      </w:rPr>
      <w:instrText xml:space="preserve">PAGE  </w:instrText>
    </w:r>
    <w:r>
      <w:fldChar w:fldCharType="end"/>
    </w:r>
  </w:p>
  <w:p w14:paraId="13846F3C">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003C">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AD704">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66AD704">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1592">
    <w:pPr>
      <w:pStyle w:val="42"/>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0B03">
    <w:pPr>
      <w:pStyle w:val="42"/>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E0B3">
    <w:pPr>
      <w:pStyle w:val="42"/>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96957">
    <w:pPr>
      <w:pStyle w:val="42"/>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BD7FF">
    <w:pPr>
      <w:pStyle w:val="42"/>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43FD">
    <w:pPr>
      <w:pStyle w:val="42"/>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05F3B"/>
    <w:multiLevelType w:val="singleLevel"/>
    <w:tmpl w:val="18805F3B"/>
    <w:lvl w:ilvl="0" w:tentative="0">
      <w:start w:val="1"/>
      <w:numFmt w:val="chineseCounting"/>
      <w:suff w:val="nothing"/>
      <w:lvlText w:val="（%1）"/>
      <w:lvlJc w:val="left"/>
      <w:pPr>
        <w:ind w:left="0" w:firstLine="420"/>
      </w:pPr>
      <w:rPr>
        <w:rFonts w:hint="eastAsia"/>
      </w:rPr>
    </w:lvl>
  </w:abstractNum>
  <w:abstractNum w:abstractNumId="1">
    <w:nsid w:val="19337B3A"/>
    <w:multiLevelType w:val="singleLevel"/>
    <w:tmpl w:val="19337B3A"/>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abstractNum w:abstractNumId="3">
    <w:nsid w:val="4F0291A0"/>
    <w:multiLevelType w:val="singleLevel"/>
    <w:tmpl w:val="4F0291A0"/>
    <w:lvl w:ilvl="0" w:tentative="0">
      <w:start w:val="5"/>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MjI4YTQ4MzY5MGM3MWQ1YWUwNDZiYjM5NTA1YzUifQ=="/>
    <w:docVar w:name="KSO_WPS_MARK_KEY" w:val="fe55a21f-5607-4c54-8c9b-a7456eb72df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B7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740"/>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3A4"/>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0F5"/>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2176"/>
    <w:rsid w:val="0117101D"/>
    <w:rsid w:val="011F6449"/>
    <w:rsid w:val="01236AFB"/>
    <w:rsid w:val="01321EAC"/>
    <w:rsid w:val="017055D0"/>
    <w:rsid w:val="0178495D"/>
    <w:rsid w:val="019F7441"/>
    <w:rsid w:val="01A06AA0"/>
    <w:rsid w:val="01B37585"/>
    <w:rsid w:val="01B5399D"/>
    <w:rsid w:val="01C064F8"/>
    <w:rsid w:val="01D55165"/>
    <w:rsid w:val="01DF6BF8"/>
    <w:rsid w:val="01EC2C57"/>
    <w:rsid w:val="02021298"/>
    <w:rsid w:val="020B640B"/>
    <w:rsid w:val="022F4C6F"/>
    <w:rsid w:val="025F0711"/>
    <w:rsid w:val="02644317"/>
    <w:rsid w:val="026B2E25"/>
    <w:rsid w:val="0280467C"/>
    <w:rsid w:val="02824D4D"/>
    <w:rsid w:val="02BE3979"/>
    <w:rsid w:val="02DC4B10"/>
    <w:rsid w:val="02DD76CE"/>
    <w:rsid w:val="02F36323"/>
    <w:rsid w:val="02F5619C"/>
    <w:rsid w:val="0326446A"/>
    <w:rsid w:val="032D5555"/>
    <w:rsid w:val="036634D2"/>
    <w:rsid w:val="036D400E"/>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5E0112"/>
    <w:rsid w:val="05770BD6"/>
    <w:rsid w:val="058806C7"/>
    <w:rsid w:val="05A16594"/>
    <w:rsid w:val="05A7762D"/>
    <w:rsid w:val="05BF4603"/>
    <w:rsid w:val="05C04DC2"/>
    <w:rsid w:val="060E5941"/>
    <w:rsid w:val="06110FAF"/>
    <w:rsid w:val="06493CA7"/>
    <w:rsid w:val="065A6178"/>
    <w:rsid w:val="066D3597"/>
    <w:rsid w:val="066F1CF3"/>
    <w:rsid w:val="068A1950"/>
    <w:rsid w:val="068B677B"/>
    <w:rsid w:val="06930BB8"/>
    <w:rsid w:val="06956198"/>
    <w:rsid w:val="06C72CF1"/>
    <w:rsid w:val="070419DC"/>
    <w:rsid w:val="07245D42"/>
    <w:rsid w:val="07264C62"/>
    <w:rsid w:val="072F6604"/>
    <w:rsid w:val="074460BC"/>
    <w:rsid w:val="0779354C"/>
    <w:rsid w:val="077F0C95"/>
    <w:rsid w:val="078F5D5A"/>
    <w:rsid w:val="07C300BD"/>
    <w:rsid w:val="07FE18F3"/>
    <w:rsid w:val="08061376"/>
    <w:rsid w:val="08452D77"/>
    <w:rsid w:val="086401F8"/>
    <w:rsid w:val="08751CAA"/>
    <w:rsid w:val="0876556A"/>
    <w:rsid w:val="087E4C40"/>
    <w:rsid w:val="08A52FEB"/>
    <w:rsid w:val="08A53637"/>
    <w:rsid w:val="08A871D0"/>
    <w:rsid w:val="08D66AD6"/>
    <w:rsid w:val="08DA33A3"/>
    <w:rsid w:val="08E80F13"/>
    <w:rsid w:val="092612F3"/>
    <w:rsid w:val="092748F4"/>
    <w:rsid w:val="09335624"/>
    <w:rsid w:val="093E11FE"/>
    <w:rsid w:val="0944690F"/>
    <w:rsid w:val="09535675"/>
    <w:rsid w:val="095F057D"/>
    <w:rsid w:val="09642282"/>
    <w:rsid w:val="09733572"/>
    <w:rsid w:val="09772C16"/>
    <w:rsid w:val="098353B5"/>
    <w:rsid w:val="09A92330"/>
    <w:rsid w:val="09B06B87"/>
    <w:rsid w:val="09C13146"/>
    <w:rsid w:val="09E04166"/>
    <w:rsid w:val="09F81448"/>
    <w:rsid w:val="0A1C0718"/>
    <w:rsid w:val="0A2C10A7"/>
    <w:rsid w:val="0A3C05D9"/>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CE3BF5"/>
    <w:rsid w:val="0DD63300"/>
    <w:rsid w:val="0DF50604"/>
    <w:rsid w:val="0DF702FE"/>
    <w:rsid w:val="0E060E51"/>
    <w:rsid w:val="0E22536A"/>
    <w:rsid w:val="0E24319C"/>
    <w:rsid w:val="0E373674"/>
    <w:rsid w:val="0E5604B2"/>
    <w:rsid w:val="0E5872E2"/>
    <w:rsid w:val="0E6D5D79"/>
    <w:rsid w:val="0E6F14E6"/>
    <w:rsid w:val="0E9D0089"/>
    <w:rsid w:val="0EB803EE"/>
    <w:rsid w:val="0EF94D4B"/>
    <w:rsid w:val="0F0B13B6"/>
    <w:rsid w:val="0F182768"/>
    <w:rsid w:val="0F4958DC"/>
    <w:rsid w:val="0F515DF7"/>
    <w:rsid w:val="0F596BA8"/>
    <w:rsid w:val="0F5B374F"/>
    <w:rsid w:val="0F6248D2"/>
    <w:rsid w:val="0F635421"/>
    <w:rsid w:val="0F693536"/>
    <w:rsid w:val="0F7B0511"/>
    <w:rsid w:val="0F7B76D9"/>
    <w:rsid w:val="0F816ACD"/>
    <w:rsid w:val="0F976DA5"/>
    <w:rsid w:val="0F9832DB"/>
    <w:rsid w:val="0FBF3FD2"/>
    <w:rsid w:val="0FBF7FF3"/>
    <w:rsid w:val="0FCF1C32"/>
    <w:rsid w:val="0FDA406B"/>
    <w:rsid w:val="0FFC3E38"/>
    <w:rsid w:val="10156805"/>
    <w:rsid w:val="10646583"/>
    <w:rsid w:val="107D4B15"/>
    <w:rsid w:val="10841832"/>
    <w:rsid w:val="108A3C80"/>
    <w:rsid w:val="10C26171"/>
    <w:rsid w:val="10DC700E"/>
    <w:rsid w:val="10DE34E4"/>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40AFE"/>
    <w:rsid w:val="129E45B4"/>
    <w:rsid w:val="12D21374"/>
    <w:rsid w:val="12D81596"/>
    <w:rsid w:val="13072A44"/>
    <w:rsid w:val="131A1B7F"/>
    <w:rsid w:val="133A0728"/>
    <w:rsid w:val="13474EA5"/>
    <w:rsid w:val="135F4BE2"/>
    <w:rsid w:val="13913864"/>
    <w:rsid w:val="139B1A0A"/>
    <w:rsid w:val="139B5BDE"/>
    <w:rsid w:val="139D25C7"/>
    <w:rsid w:val="13B50881"/>
    <w:rsid w:val="13BF3CE4"/>
    <w:rsid w:val="140F0A5D"/>
    <w:rsid w:val="141008D8"/>
    <w:rsid w:val="14125FE6"/>
    <w:rsid w:val="142B70E5"/>
    <w:rsid w:val="1447290B"/>
    <w:rsid w:val="144C52DC"/>
    <w:rsid w:val="14500381"/>
    <w:rsid w:val="146D271E"/>
    <w:rsid w:val="14982588"/>
    <w:rsid w:val="149A5AD9"/>
    <w:rsid w:val="14A7619D"/>
    <w:rsid w:val="14BF71E2"/>
    <w:rsid w:val="14ED706B"/>
    <w:rsid w:val="14F111E9"/>
    <w:rsid w:val="14F25B02"/>
    <w:rsid w:val="150536C3"/>
    <w:rsid w:val="150C1963"/>
    <w:rsid w:val="151447A0"/>
    <w:rsid w:val="154A6454"/>
    <w:rsid w:val="154E1128"/>
    <w:rsid w:val="15762120"/>
    <w:rsid w:val="15833AAB"/>
    <w:rsid w:val="15844A86"/>
    <w:rsid w:val="15F56AC3"/>
    <w:rsid w:val="1608540D"/>
    <w:rsid w:val="16163F3B"/>
    <w:rsid w:val="16204A74"/>
    <w:rsid w:val="166C515D"/>
    <w:rsid w:val="16A8729C"/>
    <w:rsid w:val="16B33777"/>
    <w:rsid w:val="16BC70A7"/>
    <w:rsid w:val="16C6339E"/>
    <w:rsid w:val="16C730F7"/>
    <w:rsid w:val="16D6012D"/>
    <w:rsid w:val="16FE2244"/>
    <w:rsid w:val="172F2D79"/>
    <w:rsid w:val="17557BEF"/>
    <w:rsid w:val="1761336D"/>
    <w:rsid w:val="176331FE"/>
    <w:rsid w:val="176D1E2A"/>
    <w:rsid w:val="17852075"/>
    <w:rsid w:val="178B06F1"/>
    <w:rsid w:val="17A05FFC"/>
    <w:rsid w:val="17D349C1"/>
    <w:rsid w:val="17E066D8"/>
    <w:rsid w:val="1830729E"/>
    <w:rsid w:val="18394486"/>
    <w:rsid w:val="185134E3"/>
    <w:rsid w:val="1870062C"/>
    <w:rsid w:val="18817102"/>
    <w:rsid w:val="18830A15"/>
    <w:rsid w:val="18852B28"/>
    <w:rsid w:val="188B5321"/>
    <w:rsid w:val="18C776A6"/>
    <w:rsid w:val="18CA21AC"/>
    <w:rsid w:val="18D64F20"/>
    <w:rsid w:val="18EE574D"/>
    <w:rsid w:val="19341F4D"/>
    <w:rsid w:val="197524E7"/>
    <w:rsid w:val="19761DA4"/>
    <w:rsid w:val="19932372"/>
    <w:rsid w:val="19A07A88"/>
    <w:rsid w:val="19A20DD5"/>
    <w:rsid w:val="19AE03F1"/>
    <w:rsid w:val="19D16EBE"/>
    <w:rsid w:val="1A071A03"/>
    <w:rsid w:val="1A1A5A79"/>
    <w:rsid w:val="1A1A697E"/>
    <w:rsid w:val="1A1F16AE"/>
    <w:rsid w:val="1A2C03C8"/>
    <w:rsid w:val="1A3B5C7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BE55E73"/>
    <w:rsid w:val="1C0459C2"/>
    <w:rsid w:val="1C1B3B4A"/>
    <w:rsid w:val="1C537570"/>
    <w:rsid w:val="1C6B28A5"/>
    <w:rsid w:val="1C88086E"/>
    <w:rsid w:val="1CA045EE"/>
    <w:rsid w:val="1CC47A8B"/>
    <w:rsid w:val="1D266CE1"/>
    <w:rsid w:val="1D3963AF"/>
    <w:rsid w:val="1D68255C"/>
    <w:rsid w:val="1D6A673C"/>
    <w:rsid w:val="1D9247AE"/>
    <w:rsid w:val="1DB567EC"/>
    <w:rsid w:val="1DEC22C4"/>
    <w:rsid w:val="1DF51A98"/>
    <w:rsid w:val="1E120164"/>
    <w:rsid w:val="1E3D060F"/>
    <w:rsid w:val="1E3F7D2E"/>
    <w:rsid w:val="1E4134E4"/>
    <w:rsid w:val="1E5062B3"/>
    <w:rsid w:val="1E523514"/>
    <w:rsid w:val="1E714A66"/>
    <w:rsid w:val="1E730E11"/>
    <w:rsid w:val="1E802593"/>
    <w:rsid w:val="1E8B6156"/>
    <w:rsid w:val="1EA703CC"/>
    <w:rsid w:val="1EB7330C"/>
    <w:rsid w:val="1F0A0FF3"/>
    <w:rsid w:val="1F253AE2"/>
    <w:rsid w:val="1F5771FF"/>
    <w:rsid w:val="1F7C3ECA"/>
    <w:rsid w:val="1FE868A9"/>
    <w:rsid w:val="20034907"/>
    <w:rsid w:val="20173E4B"/>
    <w:rsid w:val="202B1BD0"/>
    <w:rsid w:val="204E48BC"/>
    <w:rsid w:val="208921B3"/>
    <w:rsid w:val="2093370A"/>
    <w:rsid w:val="2093771D"/>
    <w:rsid w:val="20973DEB"/>
    <w:rsid w:val="20B26522"/>
    <w:rsid w:val="20B34C6B"/>
    <w:rsid w:val="20B44310"/>
    <w:rsid w:val="20DF1008"/>
    <w:rsid w:val="20EE2FE4"/>
    <w:rsid w:val="211116EB"/>
    <w:rsid w:val="211E01F0"/>
    <w:rsid w:val="212D6D8F"/>
    <w:rsid w:val="216133FC"/>
    <w:rsid w:val="217B4C81"/>
    <w:rsid w:val="218944CA"/>
    <w:rsid w:val="21D56769"/>
    <w:rsid w:val="21D62C50"/>
    <w:rsid w:val="21E52EF3"/>
    <w:rsid w:val="21FB5D7B"/>
    <w:rsid w:val="22077252"/>
    <w:rsid w:val="220B1C3D"/>
    <w:rsid w:val="221D1D20"/>
    <w:rsid w:val="22334A87"/>
    <w:rsid w:val="22B61EBB"/>
    <w:rsid w:val="22B83BEE"/>
    <w:rsid w:val="22BE6801"/>
    <w:rsid w:val="22C04C60"/>
    <w:rsid w:val="22E03145"/>
    <w:rsid w:val="23113F1A"/>
    <w:rsid w:val="2331574F"/>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217B6"/>
    <w:rsid w:val="254F52B1"/>
    <w:rsid w:val="258B00E2"/>
    <w:rsid w:val="25A34E23"/>
    <w:rsid w:val="25A917A6"/>
    <w:rsid w:val="25B97DD8"/>
    <w:rsid w:val="25BE27CC"/>
    <w:rsid w:val="25CE1A0B"/>
    <w:rsid w:val="25E92F53"/>
    <w:rsid w:val="25F74A5C"/>
    <w:rsid w:val="2628662C"/>
    <w:rsid w:val="262D45DE"/>
    <w:rsid w:val="266E6AE8"/>
    <w:rsid w:val="267E09C1"/>
    <w:rsid w:val="26871DC8"/>
    <w:rsid w:val="26931130"/>
    <w:rsid w:val="26A53EF9"/>
    <w:rsid w:val="26A56700"/>
    <w:rsid w:val="26A6481F"/>
    <w:rsid w:val="26A94201"/>
    <w:rsid w:val="26AC274F"/>
    <w:rsid w:val="270377E9"/>
    <w:rsid w:val="27044A29"/>
    <w:rsid w:val="2712566F"/>
    <w:rsid w:val="271D34C8"/>
    <w:rsid w:val="272F6449"/>
    <w:rsid w:val="274C4FBA"/>
    <w:rsid w:val="276142BF"/>
    <w:rsid w:val="27783712"/>
    <w:rsid w:val="27907362"/>
    <w:rsid w:val="279B7084"/>
    <w:rsid w:val="27A02A0E"/>
    <w:rsid w:val="27BC422F"/>
    <w:rsid w:val="282D0BDB"/>
    <w:rsid w:val="28333E1D"/>
    <w:rsid w:val="28454BD6"/>
    <w:rsid w:val="28455253"/>
    <w:rsid w:val="284C05F6"/>
    <w:rsid w:val="28551971"/>
    <w:rsid w:val="285B1C53"/>
    <w:rsid w:val="289F7086"/>
    <w:rsid w:val="28AA21E7"/>
    <w:rsid w:val="28C32028"/>
    <w:rsid w:val="28CC490F"/>
    <w:rsid w:val="28DE40AA"/>
    <w:rsid w:val="29345E77"/>
    <w:rsid w:val="29453CBE"/>
    <w:rsid w:val="294C65AD"/>
    <w:rsid w:val="294E3480"/>
    <w:rsid w:val="29546D79"/>
    <w:rsid w:val="29806583"/>
    <w:rsid w:val="298B3C4C"/>
    <w:rsid w:val="29983EF5"/>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956040"/>
    <w:rsid w:val="2DC53663"/>
    <w:rsid w:val="2DD15014"/>
    <w:rsid w:val="2DF0257A"/>
    <w:rsid w:val="2DF72DE4"/>
    <w:rsid w:val="2E0220AF"/>
    <w:rsid w:val="2E4B082A"/>
    <w:rsid w:val="2E5D4E86"/>
    <w:rsid w:val="2E5D790B"/>
    <w:rsid w:val="2E776A61"/>
    <w:rsid w:val="2E9A143D"/>
    <w:rsid w:val="2E9A3C18"/>
    <w:rsid w:val="2EA1707C"/>
    <w:rsid w:val="2EBB0FEE"/>
    <w:rsid w:val="2EC63002"/>
    <w:rsid w:val="2ECB46DA"/>
    <w:rsid w:val="2F064D1A"/>
    <w:rsid w:val="2F0A6B38"/>
    <w:rsid w:val="2F0E78D3"/>
    <w:rsid w:val="2F923A19"/>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1670AE9"/>
    <w:rsid w:val="319C6071"/>
    <w:rsid w:val="31AC537E"/>
    <w:rsid w:val="31B420C4"/>
    <w:rsid w:val="31B82C24"/>
    <w:rsid w:val="31C17BA9"/>
    <w:rsid w:val="31C549B6"/>
    <w:rsid w:val="31E3679B"/>
    <w:rsid w:val="31E732FD"/>
    <w:rsid w:val="31FC2A71"/>
    <w:rsid w:val="324E1A4B"/>
    <w:rsid w:val="32517576"/>
    <w:rsid w:val="3262346C"/>
    <w:rsid w:val="32A64673"/>
    <w:rsid w:val="32BE5C2C"/>
    <w:rsid w:val="32FB6478"/>
    <w:rsid w:val="331E793D"/>
    <w:rsid w:val="332637C2"/>
    <w:rsid w:val="33263B3F"/>
    <w:rsid w:val="336963EB"/>
    <w:rsid w:val="33816EEB"/>
    <w:rsid w:val="338863E7"/>
    <w:rsid w:val="33AB7949"/>
    <w:rsid w:val="33EB55CD"/>
    <w:rsid w:val="33EC4C02"/>
    <w:rsid w:val="340D2360"/>
    <w:rsid w:val="3410665D"/>
    <w:rsid w:val="34211214"/>
    <w:rsid w:val="342E63AB"/>
    <w:rsid w:val="34433534"/>
    <w:rsid w:val="3460010E"/>
    <w:rsid w:val="3466782F"/>
    <w:rsid w:val="347B5D1E"/>
    <w:rsid w:val="34950E68"/>
    <w:rsid w:val="34986E94"/>
    <w:rsid w:val="34A60310"/>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6D4B"/>
    <w:rsid w:val="391F535F"/>
    <w:rsid w:val="392E73EA"/>
    <w:rsid w:val="39636459"/>
    <w:rsid w:val="396B7F6C"/>
    <w:rsid w:val="399C14F7"/>
    <w:rsid w:val="39B417A9"/>
    <w:rsid w:val="39C5316C"/>
    <w:rsid w:val="39F5707E"/>
    <w:rsid w:val="39FC5695"/>
    <w:rsid w:val="3A006D8E"/>
    <w:rsid w:val="3A3651E5"/>
    <w:rsid w:val="3A4E2342"/>
    <w:rsid w:val="3A744481"/>
    <w:rsid w:val="3A8C7BEF"/>
    <w:rsid w:val="3A906246"/>
    <w:rsid w:val="3B2349B7"/>
    <w:rsid w:val="3B3D2819"/>
    <w:rsid w:val="3B4677B8"/>
    <w:rsid w:val="3B616CFF"/>
    <w:rsid w:val="3B6259F6"/>
    <w:rsid w:val="3B894B0B"/>
    <w:rsid w:val="3B976654"/>
    <w:rsid w:val="3B9B68EE"/>
    <w:rsid w:val="3BBB7264"/>
    <w:rsid w:val="3BC01EFC"/>
    <w:rsid w:val="3BC50684"/>
    <w:rsid w:val="3BC52CC1"/>
    <w:rsid w:val="3BCA786A"/>
    <w:rsid w:val="3BD06659"/>
    <w:rsid w:val="3BD31E2F"/>
    <w:rsid w:val="3BF15831"/>
    <w:rsid w:val="3C105946"/>
    <w:rsid w:val="3C2E2D78"/>
    <w:rsid w:val="3C3A44D8"/>
    <w:rsid w:val="3C471448"/>
    <w:rsid w:val="3C556941"/>
    <w:rsid w:val="3C5F759A"/>
    <w:rsid w:val="3C616601"/>
    <w:rsid w:val="3C6C525A"/>
    <w:rsid w:val="3CA60D3D"/>
    <w:rsid w:val="3CCB770C"/>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DF3DD8"/>
    <w:rsid w:val="3DE041CB"/>
    <w:rsid w:val="3E0D48F6"/>
    <w:rsid w:val="3E1868B4"/>
    <w:rsid w:val="3E1B574C"/>
    <w:rsid w:val="3E1D2DF9"/>
    <w:rsid w:val="3E377251"/>
    <w:rsid w:val="3E42664B"/>
    <w:rsid w:val="3E5A7334"/>
    <w:rsid w:val="3E7B5D6B"/>
    <w:rsid w:val="3E843E66"/>
    <w:rsid w:val="3E8F51FE"/>
    <w:rsid w:val="3E926F87"/>
    <w:rsid w:val="3E94330A"/>
    <w:rsid w:val="3E992734"/>
    <w:rsid w:val="3E9A59DE"/>
    <w:rsid w:val="3EA95CBD"/>
    <w:rsid w:val="3EAF4836"/>
    <w:rsid w:val="3EC33DFA"/>
    <w:rsid w:val="3EF42B7C"/>
    <w:rsid w:val="3EF66285"/>
    <w:rsid w:val="3F060E16"/>
    <w:rsid w:val="3F1D1096"/>
    <w:rsid w:val="3F2F0234"/>
    <w:rsid w:val="3F5707E4"/>
    <w:rsid w:val="3F6363FE"/>
    <w:rsid w:val="3F72377D"/>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6D1F86"/>
    <w:rsid w:val="427C4BBB"/>
    <w:rsid w:val="428667D2"/>
    <w:rsid w:val="42CD1CE0"/>
    <w:rsid w:val="42D53E10"/>
    <w:rsid w:val="42E1381E"/>
    <w:rsid w:val="42ED6459"/>
    <w:rsid w:val="42FE58DD"/>
    <w:rsid w:val="43174B3D"/>
    <w:rsid w:val="433F0E43"/>
    <w:rsid w:val="434B790E"/>
    <w:rsid w:val="4353625D"/>
    <w:rsid w:val="4360274F"/>
    <w:rsid w:val="43977AB6"/>
    <w:rsid w:val="43A3342B"/>
    <w:rsid w:val="43C77C27"/>
    <w:rsid w:val="43DE09EE"/>
    <w:rsid w:val="44002FAD"/>
    <w:rsid w:val="44106150"/>
    <w:rsid w:val="4430589B"/>
    <w:rsid w:val="44356927"/>
    <w:rsid w:val="449101DD"/>
    <w:rsid w:val="449D00C3"/>
    <w:rsid w:val="44BB6F7E"/>
    <w:rsid w:val="44DE1391"/>
    <w:rsid w:val="44E72961"/>
    <w:rsid w:val="45144786"/>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A350C0"/>
    <w:rsid w:val="46C4686E"/>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6167F"/>
    <w:rsid w:val="4A064FA0"/>
    <w:rsid w:val="4A16615C"/>
    <w:rsid w:val="4A4424D7"/>
    <w:rsid w:val="4A493572"/>
    <w:rsid w:val="4A6E0CA4"/>
    <w:rsid w:val="4A83134F"/>
    <w:rsid w:val="4AB82D0F"/>
    <w:rsid w:val="4AEB7664"/>
    <w:rsid w:val="4AFD7C19"/>
    <w:rsid w:val="4AFE73BF"/>
    <w:rsid w:val="4B0567D1"/>
    <w:rsid w:val="4B236AAE"/>
    <w:rsid w:val="4B555D27"/>
    <w:rsid w:val="4B707271"/>
    <w:rsid w:val="4B8644CF"/>
    <w:rsid w:val="4B9739F7"/>
    <w:rsid w:val="4B974368"/>
    <w:rsid w:val="4B9A6B21"/>
    <w:rsid w:val="4B9C1FA2"/>
    <w:rsid w:val="4BA207B5"/>
    <w:rsid w:val="4BE96C25"/>
    <w:rsid w:val="4BEE2503"/>
    <w:rsid w:val="4C245A30"/>
    <w:rsid w:val="4C5D53ED"/>
    <w:rsid w:val="4C676029"/>
    <w:rsid w:val="4CAF7256"/>
    <w:rsid w:val="4CB6685F"/>
    <w:rsid w:val="4CC367FE"/>
    <w:rsid w:val="4CFF2296"/>
    <w:rsid w:val="4D077F3C"/>
    <w:rsid w:val="4D0B224C"/>
    <w:rsid w:val="4D123355"/>
    <w:rsid w:val="4D2A3B31"/>
    <w:rsid w:val="4D312C52"/>
    <w:rsid w:val="4D4B0F25"/>
    <w:rsid w:val="4D5E537D"/>
    <w:rsid w:val="4D905305"/>
    <w:rsid w:val="4D964A72"/>
    <w:rsid w:val="4D9C1254"/>
    <w:rsid w:val="4E0C137B"/>
    <w:rsid w:val="4E526455"/>
    <w:rsid w:val="4E54216E"/>
    <w:rsid w:val="4E5A0B37"/>
    <w:rsid w:val="4E5F2074"/>
    <w:rsid w:val="4E793892"/>
    <w:rsid w:val="4E800872"/>
    <w:rsid w:val="4E9532A8"/>
    <w:rsid w:val="4E9A20A5"/>
    <w:rsid w:val="4EBD5F65"/>
    <w:rsid w:val="4EC569ED"/>
    <w:rsid w:val="4ED50EA1"/>
    <w:rsid w:val="4EEC050C"/>
    <w:rsid w:val="4EF833C6"/>
    <w:rsid w:val="4F104EC3"/>
    <w:rsid w:val="4F22226C"/>
    <w:rsid w:val="4F47354A"/>
    <w:rsid w:val="4F5A32E7"/>
    <w:rsid w:val="4F911C54"/>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A6E28"/>
    <w:rsid w:val="510D65B7"/>
    <w:rsid w:val="511157AB"/>
    <w:rsid w:val="5142540C"/>
    <w:rsid w:val="518832C8"/>
    <w:rsid w:val="51A0432A"/>
    <w:rsid w:val="51A86090"/>
    <w:rsid w:val="51B7396D"/>
    <w:rsid w:val="51F00DC5"/>
    <w:rsid w:val="51F4743E"/>
    <w:rsid w:val="522E4CC3"/>
    <w:rsid w:val="5244713B"/>
    <w:rsid w:val="52615633"/>
    <w:rsid w:val="526A04DD"/>
    <w:rsid w:val="52977FD4"/>
    <w:rsid w:val="52A25790"/>
    <w:rsid w:val="52A96B6F"/>
    <w:rsid w:val="52B45975"/>
    <w:rsid w:val="52D94AA4"/>
    <w:rsid w:val="52E87579"/>
    <w:rsid w:val="52EA3A62"/>
    <w:rsid w:val="52F50BB8"/>
    <w:rsid w:val="53097272"/>
    <w:rsid w:val="53126839"/>
    <w:rsid w:val="53544462"/>
    <w:rsid w:val="53676980"/>
    <w:rsid w:val="53960CB2"/>
    <w:rsid w:val="5397158E"/>
    <w:rsid w:val="53C84E07"/>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248FC"/>
    <w:rsid w:val="555D4828"/>
    <w:rsid w:val="556A79B3"/>
    <w:rsid w:val="557A4C8B"/>
    <w:rsid w:val="558931E1"/>
    <w:rsid w:val="55923347"/>
    <w:rsid w:val="55925180"/>
    <w:rsid w:val="55983B1B"/>
    <w:rsid w:val="55A8376B"/>
    <w:rsid w:val="55C248FD"/>
    <w:rsid w:val="55D87B28"/>
    <w:rsid w:val="55DC29B6"/>
    <w:rsid w:val="55DD4241"/>
    <w:rsid w:val="55F16964"/>
    <w:rsid w:val="55FA20BB"/>
    <w:rsid w:val="56010BC8"/>
    <w:rsid w:val="561C1BE8"/>
    <w:rsid w:val="566B6D1E"/>
    <w:rsid w:val="569E129D"/>
    <w:rsid w:val="56C76EC1"/>
    <w:rsid w:val="56FC33A3"/>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E2560"/>
    <w:rsid w:val="5A4215CD"/>
    <w:rsid w:val="5A5D3B6E"/>
    <w:rsid w:val="5A637A76"/>
    <w:rsid w:val="5A686384"/>
    <w:rsid w:val="5A6D33BA"/>
    <w:rsid w:val="5A792B1F"/>
    <w:rsid w:val="5A874767"/>
    <w:rsid w:val="5AA85BE2"/>
    <w:rsid w:val="5AAD6F28"/>
    <w:rsid w:val="5AD63A24"/>
    <w:rsid w:val="5AE51FB6"/>
    <w:rsid w:val="5B2E1A1D"/>
    <w:rsid w:val="5B735BDB"/>
    <w:rsid w:val="5B785F50"/>
    <w:rsid w:val="5B843A1C"/>
    <w:rsid w:val="5B873E3F"/>
    <w:rsid w:val="5C02690E"/>
    <w:rsid w:val="5C196DA7"/>
    <w:rsid w:val="5C2A048C"/>
    <w:rsid w:val="5C35640B"/>
    <w:rsid w:val="5C7422AE"/>
    <w:rsid w:val="5C80234E"/>
    <w:rsid w:val="5C8A680C"/>
    <w:rsid w:val="5CE45C2B"/>
    <w:rsid w:val="5CEB387F"/>
    <w:rsid w:val="5D0C4701"/>
    <w:rsid w:val="5D0F0395"/>
    <w:rsid w:val="5D221076"/>
    <w:rsid w:val="5D346868"/>
    <w:rsid w:val="5D397964"/>
    <w:rsid w:val="5D551783"/>
    <w:rsid w:val="5D5A391C"/>
    <w:rsid w:val="5D5F10C0"/>
    <w:rsid w:val="5D891B7B"/>
    <w:rsid w:val="5D8A5E82"/>
    <w:rsid w:val="5D930F65"/>
    <w:rsid w:val="5D945FAA"/>
    <w:rsid w:val="5DAD38EE"/>
    <w:rsid w:val="5DD501B5"/>
    <w:rsid w:val="5E00256A"/>
    <w:rsid w:val="5E006862"/>
    <w:rsid w:val="5E0207B9"/>
    <w:rsid w:val="5E030308"/>
    <w:rsid w:val="5E093CEF"/>
    <w:rsid w:val="5E1834A1"/>
    <w:rsid w:val="5E261785"/>
    <w:rsid w:val="5E4A7017"/>
    <w:rsid w:val="5E552BBA"/>
    <w:rsid w:val="5E611C10"/>
    <w:rsid w:val="5E626095"/>
    <w:rsid w:val="5E700AA7"/>
    <w:rsid w:val="5E74631F"/>
    <w:rsid w:val="5E765627"/>
    <w:rsid w:val="5E7A0F3F"/>
    <w:rsid w:val="5E866777"/>
    <w:rsid w:val="5EF50A1B"/>
    <w:rsid w:val="5EFC7377"/>
    <w:rsid w:val="5F012A1A"/>
    <w:rsid w:val="5F06174D"/>
    <w:rsid w:val="5F3A3602"/>
    <w:rsid w:val="5F45733B"/>
    <w:rsid w:val="5F5B211E"/>
    <w:rsid w:val="5F6277C6"/>
    <w:rsid w:val="5F6D0B1D"/>
    <w:rsid w:val="5F8D0B82"/>
    <w:rsid w:val="5F8F1006"/>
    <w:rsid w:val="5FCC5339"/>
    <w:rsid w:val="5FE34A5B"/>
    <w:rsid w:val="5FF00741"/>
    <w:rsid w:val="5FFE1E36"/>
    <w:rsid w:val="60172C7B"/>
    <w:rsid w:val="60232584"/>
    <w:rsid w:val="60305BC5"/>
    <w:rsid w:val="605864BB"/>
    <w:rsid w:val="607330CE"/>
    <w:rsid w:val="60825176"/>
    <w:rsid w:val="60873AD9"/>
    <w:rsid w:val="609F2AC4"/>
    <w:rsid w:val="60C413D5"/>
    <w:rsid w:val="60D108D2"/>
    <w:rsid w:val="60FA2EE8"/>
    <w:rsid w:val="61054A27"/>
    <w:rsid w:val="610A52BC"/>
    <w:rsid w:val="611D2366"/>
    <w:rsid w:val="61421856"/>
    <w:rsid w:val="615227C4"/>
    <w:rsid w:val="61654E3F"/>
    <w:rsid w:val="6182292A"/>
    <w:rsid w:val="618B5F69"/>
    <w:rsid w:val="61985864"/>
    <w:rsid w:val="619F7F92"/>
    <w:rsid w:val="61BB155E"/>
    <w:rsid w:val="61BD2EFD"/>
    <w:rsid w:val="61F94C26"/>
    <w:rsid w:val="61FB4D8E"/>
    <w:rsid w:val="62000E56"/>
    <w:rsid w:val="62244584"/>
    <w:rsid w:val="624F3E49"/>
    <w:rsid w:val="62632286"/>
    <w:rsid w:val="62775066"/>
    <w:rsid w:val="62885958"/>
    <w:rsid w:val="628903DB"/>
    <w:rsid w:val="628F1B10"/>
    <w:rsid w:val="62C860CC"/>
    <w:rsid w:val="62F40B65"/>
    <w:rsid w:val="62FC2CFE"/>
    <w:rsid w:val="63024505"/>
    <w:rsid w:val="63361153"/>
    <w:rsid w:val="63540CCD"/>
    <w:rsid w:val="635B1DB5"/>
    <w:rsid w:val="63711FED"/>
    <w:rsid w:val="63880DDC"/>
    <w:rsid w:val="63885935"/>
    <w:rsid w:val="638D750D"/>
    <w:rsid w:val="63AC52D2"/>
    <w:rsid w:val="63AC6CC0"/>
    <w:rsid w:val="63B048E8"/>
    <w:rsid w:val="63B87E52"/>
    <w:rsid w:val="63E717FB"/>
    <w:rsid w:val="64043733"/>
    <w:rsid w:val="64055776"/>
    <w:rsid w:val="64175397"/>
    <w:rsid w:val="64240056"/>
    <w:rsid w:val="643E143A"/>
    <w:rsid w:val="644A0C02"/>
    <w:rsid w:val="648B6EEF"/>
    <w:rsid w:val="64C158BF"/>
    <w:rsid w:val="64CE2EAA"/>
    <w:rsid w:val="65092215"/>
    <w:rsid w:val="65203A20"/>
    <w:rsid w:val="65363CF3"/>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F3F24"/>
    <w:rsid w:val="673E055F"/>
    <w:rsid w:val="67551CE3"/>
    <w:rsid w:val="6762328A"/>
    <w:rsid w:val="67A22552"/>
    <w:rsid w:val="67A530AB"/>
    <w:rsid w:val="67B22DCC"/>
    <w:rsid w:val="67BE71AA"/>
    <w:rsid w:val="67D90273"/>
    <w:rsid w:val="67DE5875"/>
    <w:rsid w:val="67E55852"/>
    <w:rsid w:val="67EB1AB4"/>
    <w:rsid w:val="67FA1285"/>
    <w:rsid w:val="681D01B2"/>
    <w:rsid w:val="682A3165"/>
    <w:rsid w:val="68551F4F"/>
    <w:rsid w:val="68647B92"/>
    <w:rsid w:val="687C10C9"/>
    <w:rsid w:val="68840C16"/>
    <w:rsid w:val="68876EFB"/>
    <w:rsid w:val="68884654"/>
    <w:rsid w:val="689F444F"/>
    <w:rsid w:val="68B96DBB"/>
    <w:rsid w:val="68C462F1"/>
    <w:rsid w:val="68CA2805"/>
    <w:rsid w:val="68E85AE5"/>
    <w:rsid w:val="68E937A3"/>
    <w:rsid w:val="693E15D3"/>
    <w:rsid w:val="69627681"/>
    <w:rsid w:val="69721F18"/>
    <w:rsid w:val="6977531D"/>
    <w:rsid w:val="69997A8D"/>
    <w:rsid w:val="69B51747"/>
    <w:rsid w:val="69BD5BBB"/>
    <w:rsid w:val="69CC2BFF"/>
    <w:rsid w:val="69D327F2"/>
    <w:rsid w:val="69FD55B8"/>
    <w:rsid w:val="6A0B1C62"/>
    <w:rsid w:val="6A0C584D"/>
    <w:rsid w:val="6A0D3F4C"/>
    <w:rsid w:val="6A2406C8"/>
    <w:rsid w:val="6A4B328A"/>
    <w:rsid w:val="6A4B36BE"/>
    <w:rsid w:val="6A8F2B46"/>
    <w:rsid w:val="6A9D5E8D"/>
    <w:rsid w:val="6AB20DE6"/>
    <w:rsid w:val="6ABA3454"/>
    <w:rsid w:val="6AD53AE1"/>
    <w:rsid w:val="6ADC5EF8"/>
    <w:rsid w:val="6ADE0BD1"/>
    <w:rsid w:val="6AE96859"/>
    <w:rsid w:val="6AFD19B0"/>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6F471B"/>
    <w:rsid w:val="6D7C129A"/>
    <w:rsid w:val="6D8007DE"/>
    <w:rsid w:val="6D9078AF"/>
    <w:rsid w:val="6DAA3FEF"/>
    <w:rsid w:val="6DC0172B"/>
    <w:rsid w:val="6DCB690C"/>
    <w:rsid w:val="6DD41A5B"/>
    <w:rsid w:val="6DED1766"/>
    <w:rsid w:val="6DF43C2E"/>
    <w:rsid w:val="6DF51CA3"/>
    <w:rsid w:val="6E0C105A"/>
    <w:rsid w:val="6E8335BD"/>
    <w:rsid w:val="6E8E12EF"/>
    <w:rsid w:val="6E9045AA"/>
    <w:rsid w:val="6E972936"/>
    <w:rsid w:val="6EB74327"/>
    <w:rsid w:val="6EC91D52"/>
    <w:rsid w:val="6ED446C5"/>
    <w:rsid w:val="6F184A18"/>
    <w:rsid w:val="6F2A7D94"/>
    <w:rsid w:val="6F802313"/>
    <w:rsid w:val="6F8331F1"/>
    <w:rsid w:val="6FAE1A09"/>
    <w:rsid w:val="6FD75BF8"/>
    <w:rsid w:val="6FEF3B3E"/>
    <w:rsid w:val="707723D0"/>
    <w:rsid w:val="70DB77AC"/>
    <w:rsid w:val="70F5661B"/>
    <w:rsid w:val="70F574E0"/>
    <w:rsid w:val="70FF0D7D"/>
    <w:rsid w:val="71360107"/>
    <w:rsid w:val="713B688E"/>
    <w:rsid w:val="716C63AC"/>
    <w:rsid w:val="717209D9"/>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470C6"/>
    <w:rsid w:val="73533CC2"/>
    <w:rsid w:val="73C0646E"/>
    <w:rsid w:val="7400051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B8421D"/>
    <w:rsid w:val="75D20F1D"/>
    <w:rsid w:val="75DA2C18"/>
    <w:rsid w:val="75F54412"/>
    <w:rsid w:val="761969BC"/>
    <w:rsid w:val="761D08E0"/>
    <w:rsid w:val="76400B70"/>
    <w:rsid w:val="765D347C"/>
    <w:rsid w:val="76826699"/>
    <w:rsid w:val="76C87133"/>
    <w:rsid w:val="76CD08D5"/>
    <w:rsid w:val="76DB4B92"/>
    <w:rsid w:val="76FF4961"/>
    <w:rsid w:val="77052AA4"/>
    <w:rsid w:val="77136511"/>
    <w:rsid w:val="77340A39"/>
    <w:rsid w:val="77351FD0"/>
    <w:rsid w:val="77472422"/>
    <w:rsid w:val="774E6744"/>
    <w:rsid w:val="777F31F2"/>
    <w:rsid w:val="77BC4C63"/>
    <w:rsid w:val="77D1700D"/>
    <w:rsid w:val="77E4568D"/>
    <w:rsid w:val="77EC04CC"/>
    <w:rsid w:val="78006A23"/>
    <w:rsid w:val="78775729"/>
    <w:rsid w:val="78A42DB0"/>
    <w:rsid w:val="78A656AB"/>
    <w:rsid w:val="78B2245C"/>
    <w:rsid w:val="78E172CC"/>
    <w:rsid w:val="78EA1D1F"/>
    <w:rsid w:val="7904172F"/>
    <w:rsid w:val="79062AD2"/>
    <w:rsid w:val="790F7E27"/>
    <w:rsid w:val="792451CB"/>
    <w:rsid w:val="792A231A"/>
    <w:rsid w:val="79316829"/>
    <w:rsid w:val="79404FE3"/>
    <w:rsid w:val="797C7409"/>
    <w:rsid w:val="797E66A9"/>
    <w:rsid w:val="79A97383"/>
    <w:rsid w:val="79E27E8B"/>
    <w:rsid w:val="79F850CE"/>
    <w:rsid w:val="79FD443C"/>
    <w:rsid w:val="7A1D1975"/>
    <w:rsid w:val="7A3902E6"/>
    <w:rsid w:val="7A3E5150"/>
    <w:rsid w:val="7A4670D6"/>
    <w:rsid w:val="7A5027DA"/>
    <w:rsid w:val="7A534B63"/>
    <w:rsid w:val="7A615382"/>
    <w:rsid w:val="7A653600"/>
    <w:rsid w:val="7A67303B"/>
    <w:rsid w:val="7A9654B8"/>
    <w:rsid w:val="7AAB1D04"/>
    <w:rsid w:val="7ABA4368"/>
    <w:rsid w:val="7ABF6F25"/>
    <w:rsid w:val="7AD05746"/>
    <w:rsid w:val="7B226FCC"/>
    <w:rsid w:val="7B257FFD"/>
    <w:rsid w:val="7B343476"/>
    <w:rsid w:val="7B5A2978"/>
    <w:rsid w:val="7B5A7E4C"/>
    <w:rsid w:val="7B641C6A"/>
    <w:rsid w:val="7B667AF9"/>
    <w:rsid w:val="7B736F81"/>
    <w:rsid w:val="7B7432EC"/>
    <w:rsid w:val="7B7468F8"/>
    <w:rsid w:val="7BE64CF7"/>
    <w:rsid w:val="7BEE0103"/>
    <w:rsid w:val="7C034D32"/>
    <w:rsid w:val="7C0A0FE4"/>
    <w:rsid w:val="7C1429E3"/>
    <w:rsid w:val="7C254906"/>
    <w:rsid w:val="7C5022FF"/>
    <w:rsid w:val="7C590818"/>
    <w:rsid w:val="7C6E0182"/>
    <w:rsid w:val="7C7C10F6"/>
    <w:rsid w:val="7C853BEA"/>
    <w:rsid w:val="7C881368"/>
    <w:rsid w:val="7CDD251F"/>
    <w:rsid w:val="7CE27788"/>
    <w:rsid w:val="7CEB1735"/>
    <w:rsid w:val="7D0357E5"/>
    <w:rsid w:val="7D0C32F1"/>
    <w:rsid w:val="7D0F408D"/>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BC6AFC"/>
    <w:rsid w:val="7EF56FBB"/>
    <w:rsid w:val="7EFC38CE"/>
    <w:rsid w:val="7F067E4D"/>
    <w:rsid w:val="7F0768EB"/>
    <w:rsid w:val="7F143BEC"/>
    <w:rsid w:val="7F6137FA"/>
    <w:rsid w:val="7F715AF2"/>
    <w:rsid w:val="7F793597"/>
    <w:rsid w:val="7F7F59BF"/>
    <w:rsid w:val="7F886E69"/>
    <w:rsid w:val="7FCC0E3D"/>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6"/>
    <w:qFormat/>
    <w:uiPriority w:val="0"/>
    <w:rPr>
      <w:lang w:val="zh-CN"/>
    </w:rPr>
  </w:style>
  <w:style w:type="paragraph" w:styleId="39">
    <w:name w:val="Balloon Text"/>
    <w:basedOn w:val="1"/>
    <w:link w:val="194"/>
    <w:qFormat/>
    <w:uiPriority w:val="0"/>
    <w:rPr>
      <w:sz w:val="18"/>
      <w:szCs w:val="18"/>
    </w:rPr>
  </w:style>
  <w:style w:type="paragraph" w:styleId="40">
    <w:name w:val="footer"/>
    <w:basedOn w:val="1"/>
    <w:link w:val="388"/>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qFormat/>
    <w:uiPriority w:val="0"/>
    <w:rPr>
      <w:b/>
      <w:bCs/>
    </w:rPr>
  </w:style>
  <w:style w:type="paragraph" w:styleId="62">
    <w:name w:val="Body Text First Indent"/>
    <w:basedOn w:val="24"/>
    <w:next w:val="1"/>
    <w:link w:val="326"/>
    <w:qFormat/>
    <w:uiPriority w:val="0"/>
    <w:pPr>
      <w:ind w:firstLine="420"/>
    </w:pPr>
    <w:rPr>
      <w:rFonts w:hAnsi="Calibri" w:cs="Times New Roman"/>
      <w:snapToGrid/>
      <w:szCs w:val="20"/>
    </w:rPr>
  </w:style>
  <w:style w:type="paragraph" w:styleId="63">
    <w:name w:val="Body Text First Indent 2"/>
    <w:basedOn w:val="25"/>
    <w:next w:val="1"/>
    <w:link w:val="127"/>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2">
    <w:name w:val="Default"/>
    <w:next w:val="83"/>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5">
    <w:name w:val="[Normal]"/>
    <w:qFormat/>
    <w:uiPriority w:val="0"/>
    <w:rPr>
      <w:rFonts w:ascii="宋体" w:hAnsi="宋体" w:eastAsia="宋体" w:cs="Times New Roman"/>
      <w:sz w:val="24"/>
      <w:lang w:val="zh-CN"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paragraph" w:customStyle="1" w:styleId="87">
    <w:name w:val="正文文本首行缩进 21"/>
    <w:basedOn w:val="25"/>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3"/>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1"/>
    <w:qFormat/>
    <w:uiPriority w:val="0"/>
    <w:rPr>
      <w:rFonts w:ascii="Arial" w:hAnsi="Arial" w:eastAsia="黑体" w:cs="Arial"/>
      <w:snapToGrid w:val="0"/>
      <w:kern w:val="0"/>
      <w:szCs w:val="21"/>
    </w:rPr>
  </w:style>
  <w:style w:type="character" w:customStyle="1" w:styleId="13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8"/>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6"/>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1"/>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2"/>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6"/>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5"/>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qFormat/>
    <w:uiPriority w:val="0"/>
    <w:rPr>
      <w:kern w:val="2"/>
      <w:sz w:val="21"/>
      <w:szCs w:val="24"/>
    </w:rPr>
  </w:style>
  <w:style w:type="character" w:customStyle="1" w:styleId="350">
    <w:name w:val="签名 Char"/>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1"/>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1"/>
    <w:qFormat/>
    <w:uiPriority w:val="0"/>
    <w:rPr>
      <w:rFonts w:ascii="Arial" w:hAnsi="Arial" w:eastAsia="黑体" w:cs="Arial"/>
      <w:snapToGrid w:val="0"/>
      <w:kern w:val="0"/>
      <w:szCs w:val="21"/>
    </w:rPr>
  </w:style>
  <w:style w:type="character" w:customStyle="1" w:styleId="437">
    <w:name w:val="hui"/>
    <w:basedOn w:val="71"/>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2"/>
    <w:next w:val="82"/>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2"/>
    <w:next w:val="82"/>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8"/>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9">
    <w:name w:val="font101"/>
    <w:basedOn w:val="71"/>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18052</Words>
  <Characters>19161</Characters>
  <Lines>293</Lines>
  <Paragraphs>82</Paragraphs>
  <TotalTime>58</TotalTime>
  <ScaleCrop>false</ScaleCrop>
  <LinksUpToDate>false</LinksUpToDate>
  <CharactersWithSpaces>20217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三月七</cp:lastModifiedBy>
  <cp:lastPrinted>2024-11-29T06:27:00Z</cp:lastPrinted>
  <dcterms:modified xsi:type="dcterms:W3CDTF">2024-12-16T05:35:14Z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5A3EDFC95F8245F087608002375CBFC7_13</vt:lpwstr>
  </property>
  <property fmtid="{D5CDD505-2E9C-101B-9397-08002B2CF9AE}" pid="5" name="commondata">
    <vt:lpwstr>eyJoZGlkIjoiMzdkYTNjODAzOWEyZTBjZWI2OWE0Y2U2MTNhOGNiNmUifQ==</vt:lpwstr>
  </property>
</Properties>
</file>