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1FA0506">
      <w:pPr>
        <w:shd w:val="clear"/>
        <w:tabs>
          <w:tab w:val="left" w:pos="5040"/>
        </w:tabs>
        <w:spacing w:line="360" w:lineRule="auto"/>
        <w:jc w:val="center"/>
        <w:rPr>
          <w:rFonts w:cs="仿宋_GB2312" w:asciiTheme="majorEastAsia" w:hAnsiTheme="majorEastAsia" w:eastAsiaTheme="majorEastAsia"/>
          <w:color w:val="auto"/>
          <w:sz w:val="48"/>
          <w:szCs w:val="48"/>
          <w:highlight w:val="none"/>
        </w:rPr>
      </w:pPr>
    </w:p>
    <w:p w14:paraId="727DD6DB">
      <w:pPr>
        <w:pStyle w:val="10"/>
        <w:shd w:val="clear"/>
        <w:rPr>
          <w:color w:val="auto"/>
          <w:highlight w:val="none"/>
        </w:rPr>
      </w:pPr>
    </w:p>
    <w:p w14:paraId="46D206E5">
      <w:pPr>
        <w:shd w:val="clear"/>
        <w:spacing w:line="360" w:lineRule="auto"/>
        <w:jc w:val="center"/>
        <w:rPr>
          <w:rFonts w:cs="仿宋_GB2312" w:asciiTheme="majorEastAsia" w:hAnsiTheme="majorEastAsia" w:eastAsiaTheme="majorEastAsia"/>
          <w:b/>
          <w:color w:val="auto"/>
          <w:sz w:val="36"/>
          <w:szCs w:val="36"/>
          <w:highlight w:val="none"/>
        </w:rPr>
      </w:pPr>
      <w:bookmarkStart w:id="0" w:name="OLE_LINK8"/>
      <w:r>
        <w:rPr>
          <w:rFonts w:hint="eastAsia" w:cs="仿宋_GB2312" w:asciiTheme="majorEastAsia" w:hAnsiTheme="majorEastAsia" w:eastAsiaTheme="majorEastAsia"/>
          <w:b/>
          <w:color w:val="auto"/>
          <w:sz w:val="36"/>
          <w:szCs w:val="36"/>
          <w:highlight w:val="none"/>
        </w:rPr>
        <w:t>宁南工业孵化基地园区综合运营管理服务项目</w:t>
      </w:r>
    </w:p>
    <w:bookmarkEnd w:id="0"/>
    <w:p w14:paraId="5AD96939">
      <w:pPr>
        <w:shd w:val="clear"/>
        <w:spacing w:line="360" w:lineRule="auto"/>
        <w:jc w:val="center"/>
        <w:rPr>
          <w:rFonts w:cs="仿宋_GB2312" w:asciiTheme="majorEastAsia" w:hAnsiTheme="majorEastAsia" w:eastAsiaTheme="majorEastAsia"/>
          <w:color w:val="auto"/>
          <w:sz w:val="48"/>
          <w:szCs w:val="48"/>
          <w:highlight w:val="none"/>
        </w:rPr>
      </w:pPr>
    </w:p>
    <w:p w14:paraId="41956EF4">
      <w:pPr>
        <w:shd w:val="clear"/>
        <w:spacing w:line="360" w:lineRule="auto"/>
        <w:jc w:val="center"/>
        <w:rPr>
          <w:rFonts w:cs="仿宋_GB2312" w:asciiTheme="majorEastAsia" w:hAnsiTheme="majorEastAsia" w:eastAsiaTheme="majorEastAsia"/>
          <w:color w:val="auto"/>
          <w:sz w:val="48"/>
          <w:szCs w:val="48"/>
          <w:highlight w:val="none"/>
        </w:rPr>
      </w:pPr>
      <w:r>
        <w:rPr>
          <w:rFonts w:hint="eastAsia" w:cs="仿宋_GB2312" w:asciiTheme="majorEastAsia" w:hAnsiTheme="majorEastAsia" w:eastAsiaTheme="majorEastAsia"/>
          <w:color w:val="auto"/>
          <w:sz w:val="48"/>
          <w:szCs w:val="48"/>
          <w:highlight w:val="none"/>
        </w:rPr>
        <w:t>公开招标采购文件</w:t>
      </w:r>
    </w:p>
    <w:p w14:paraId="3EF644C0">
      <w:pPr>
        <w:shd w:val="clear"/>
        <w:spacing w:line="360" w:lineRule="auto"/>
        <w:jc w:val="center"/>
        <w:rPr>
          <w:rFonts w:cs="仿宋_GB2312" w:asciiTheme="majorEastAsia" w:hAnsiTheme="majorEastAsia" w:eastAsiaTheme="majorEastAsia"/>
          <w:b/>
          <w:color w:val="auto"/>
          <w:sz w:val="44"/>
          <w:szCs w:val="44"/>
          <w:highlight w:val="none"/>
        </w:rPr>
      </w:pPr>
      <w:r>
        <w:rPr>
          <w:rFonts w:cs="仿宋_GB2312" w:asciiTheme="majorEastAsia" w:hAnsiTheme="majorEastAsia" w:eastAsiaTheme="majorEastAsia"/>
          <w:b/>
          <w:color w:val="auto"/>
          <w:sz w:val="44"/>
          <w:szCs w:val="44"/>
          <w:highlight w:val="none"/>
        </w:rPr>
        <w:t xml:space="preserve"> （电子招投标）</w:t>
      </w:r>
    </w:p>
    <w:p w14:paraId="48A5B7BF">
      <w:pPr>
        <w:shd w:val="clear"/>
        <w:snapToGrid w:val="0"/>
        <w:spacing w:line="360" w:lineRule="auto"/>
        <w:jc w:val="center"/>
        <w:rPr>
          <w:rFonts w:cs="仿宋_GB2312" w:asciiTheme="majorEastAsia" w:hAnsiTheme="majorEastAsia" w:eastAsiaTheme="majorEastAsia"/>
          <w:color w:val="auto"/>
          <w:sz w:val="28"/>
          <w:szCs w:val="30"/>
          <w:highlight w:val="none"/>
        </w:rPr>
      </w:pPr>
      <w:r>
        <w:rPr>
          <w:rFonts w:hint="eastAsia" w:cs="仿宋_GB2312" w:asciiTheme="majorEastAsia" w:hAnsiTheme="majorEastAsia" w:eastAsiaTheme="majorEastAsia"/>
          <w:color w:val="auto"/>
          <w:sz w:val="28"/>
          <w:szCs w:val="30"/>
          <w:highlight w:val="none"/>
        </w:rPr>
        <w:t>项目编号</w:t>
      </w:r>
      <w:r>
        <w:rPr>
          <w:rFonts w:cs="仿宋_GB2312" w:asciiTheme="majorEastAsia" w:hAnsiTheme="majorEastAsia" w:eastAsiaTheme="majorEastAsia"/>
          <w:color w:val="auto"/>
          <w:sz w:val="28"/>
          <w:szCs w:val="30"/>
          <w:highlight w:val="none"/>
        </w:rPr>
        <w:t>:FHGQZB(202</w:t>
      </w:r>
      <w:r>
        <w:rPr>
          <w:rFonts w:hint="eastAsia" w:cs="仿宋_GB2312" w:asciiTheme="majorEastAsia" w:hAnsiTheme="majorEastAsia" w:eastAsiaTheme="majorEastAsia"/>
          <w:color w:val="auto"/>
          <w:sz w:val="28"/>
          <w:szCs w:val="30"/>
          <w:highlight w:val="none"/>
        </w:rPr>
        <w:t>5</w:t>
      </w:r>
      <w:r>
        <w:rPr>
          <w:rFonts w:cs="仿宋_GB2312" w:asciiTheme="majorEastAsia" w:hAnsiTheme="majorEastAsia" w:eastAsiaTheme="majorEastAsia"/>
          <w:color w:val="auto"/>
          <w:sz w:val="28"/>
          <w:szCs w:val="30"/>
          <w:highlight w:val="none"/>
        </w:rPr>
        <w:t>)</w:t>
      </w:r>
      <w:r>
        <w:rPr>
          <w:rFonts w:hint="eastAsia" w:cs="仿宋_GB2312" w:asciiTheme="majorEastAsia" w:hAnsiTheme="majorEastAsia" w:eastAsiaTheme="majorEastAsia"/>
          <w:color w:val="auto"/>
          <w:sz w:val="28"/>
          <w:szCs w:val="30"/>
          <w:highlight w:val="none"/>
        </w:rPr>
        <w:t>098</w:t>
      </w:r>
      <w:r>
        <w:rPr>
          <w:rFonts w:cs="仿宋_GB2312" w:asciiTheme="majorEastAsia" w:hAnsiTheme="majorEastAsia" w:eastAsiaTheme="majorEastAsia"/>
          <w:color w:val="auto"/>
          <w:sz w:val="28"/>
          <w:szCs w:val="30"/>
          <w:highlight w:val="none"/>
        </w:rPr>
        <w:t>D</w:t>
      </w:r>
    </w:p>
    <w:p w14:paraId="5BF9EC49">
      <w:pPr>
        <w:shd w:val="clear"/>
        <w:spacing w:line="360" w:lineRule="auto"/>
        <w:rPr>
          <w:rFonts w:cs="仿宋_GB2312" w:asciiTheme="majorEastAsia" w:hAnsiTheme="majorEastAsia" w:eastAsiaTheme="majorEastAsia"/>
          <w:color w:val="auto"/>
          <w:sz w:val="28"/>
          <w:szCs w:val="20"/>
          <w:highlight w:val="none"/>
        </w:rPr>
      </w:pPr>
    </w:p>
    <w:p w14:paraId="42A99C5F">
      <w:pPr>
        <w:shd w:val="clear"/>
        <w:spacing w:line="360" w:lineRule="auto"/>
        <w:jc w:val="center"/>
        <w:rPr>
          <w:rFonts w:cs="仿宋_GB2312" w:asciiTheme="majorEastAsia" w:hAnsiTheme="majorEastAsia" w:eastAsiaTheme="majorEastAsia"/>
          <w:b/>
          <w:color w:val="auto"/>
          <w:sz w:val="44"/>
          <w:szCs w:val="44"/>
          <w:highlight w:val="none"/>
        </w:rPr>
      </w:pPr>
    </w:p>
    <w:p w14:paraId="02EE4B69">
      <w:pPr>
        <w:shd w:val="clear"/>
        <w:spacing w:line="360" w:lineRule="auto"/>
        <w:jc w:val="center"/>
        <w:rPr>
          <w:rFonts w:cs="仿宋_GB2312" w:asciiTheme="majorEastAsia" w:hAnsiTheme="majorEastAsia" w:eastAsiaTheme="majorEastAsia"/>
          <w:b/>
          <w:color w:val="auto"/>
          <w:sz w:val="44"/>
          <w:szCs w:val="44"/>
          <w:highlight w:val="none"/>
        </w:rPr>
      </w:pPr>
    </w:p>
    <w:p w14:paraId="0A3FFD64">
      <w:pPr>
        <w:pStyle w:val="27"/>
        <w:shd w:val="clear"/>
        <w:ind w:firstLine="560"/>
        <w:rPr>
          <w:color w:val="auto"/>
          <w:highlight w:val="none"/>
        </w:rPr>
      </w:pPr>
    </w:p>
    <w:p w14:paraId="01EA8020">
      <w:pPr>
        <w:pStyle w:val="27"/>
        <w:shd w:val="clear"/>
        <w:ind w:firstLine="560"/>
        <w:rPr>
          <w:color w:val="auto"/>
          <w:highlight w:val="none"/>
        </w:rPr>
      </w:pPr>
    </w:p>
    <w:p w14:paraId="3A8662AC">
      <w:pPr>
        <w:pStyle w:val="27"/>
        <w:shd w:val="clear"/>
        <w:ind w:firstLine="560"/>
        <w:rPr>
          <w:color w:val="auto"/>
          <w:highlight w:val="none"/>
        </w:rPr>
      </w:pPr>
    </w:p>
    <w:p w14:paraId="54B3FF2A">
      <w:pPr>
        <w:pStyle w:val="27"/>
        <w:shd w:val="clear"/>
        <w:ind w:firstLine="560"/>
        <w:rPr>
          <w:color w:val="auto"/>
          <w:highlight w:val="none"/>
        </w:rPr>
      </w:pPr>
    </w:p>
    <w:p w14:paraId="31A096B3">
      <w:pPr>
        <w:pStyle w:val="27"/>
        <w:shd w:val="clear"/>
        <w:ind w:firstLine="560"/>
        <w:rPr>
          <w:color w:val="auto"/>
          <w:highlight w:val="none"/>
        </w:rPr>
      </w:pPr>
    </w:p>
    <w:p w14:paraId="6E031FB6">
      <w:pPr>
        <w:pStyle w:val="27"/>
        <w:shd w:val="clear"/>
        <w:ind w:firstLine="560"/>
        <w:rPr>
          <w:color w:val="auto"/>
          <w:highlight w:val="none"/>
        </w:rPr>
      </w:pPr>
    </w:p>
    <w:p w14:paraId="3F4A99A9">
      <w:pPr>
        <w:shd w:val="clear"/>
        <w:spacing w:line="360" w:lineRule="auto"/>
        <w:jc w:val="center"/>
        <w:rPr>
          <w:rFonts w:cs="仿宋_GB2312" w:asciiTheme="majorEastAsia" w:hAnsiTheme="majorEastAsia" w:eastAsiaTheme="majorEastAsia"/>
          <w:color w:val="auto"/>
          <w:sz w:val="24"/>
          <w:highlight w:val="none"/>
        </w:rPr>
      </w:pPr>
    </w:p>
    <w:p w14:paraId="2CA70E6D">
      <w:pPr>
        <w:shd w:val="clear"/>
        <w:spacing w:line="360" w:lineRule="auto"/>
        <w:jc w:val="center"/>
        <w:rPr>
          <w:rFonts w:cs="仿宋_GB2312" w:asciiTheme="majorEastAsia" w:hAnsiTheme="majorEastAsia" w:eastAsiaTheme="majorEastAsia"/>
          <w:color w:val="auto"/>
          <w:sz w:val="24"/>
          <w:highlight w:val="none"/>
        </w:rPr>
      </w:pPr>
    </w:p>
    <w:p w14:paraId="367245C6">
      <w:pPr>
        <w:shd w:val="clear"/>
        <w:spacing w:line="360" w:lineRule="auto"/>
        <w:rPr>
          <w:rFonts w:cs="仿宋_GB2312" w:asciiTheme="majorEastAsia" w:hAnsiTheme="majorEastAsia" w:eastAsiaTheme="majorEastAsia"/>
          <w:color w:val="auto"/>
          <w:sz w:val="32"/>
          <w:szCs w:val="32"/>
          <w:highlight w:val="none"/>
        </w:rPr>
      </w:pPr>
    </w:p>
    <w:p w14:paraId="27F514EB">
      <w:pPr>
        <w:shd w:val="clear"/>
        <w:snapToGrid w:val="0"/>
        <w:spacing w:line="360" w:lineRule="auto"/>
        <w:ind w:firstLine="1280" w:firstLineChars="400"/>
        <w:rPr>
          <w:rFonts w:cs="仿宋_GB2312" w:asciiTheme="majorEastAsia" w:hAnsiTheme="majorEastAsia" w:eastAsiaTheme="majorEastAsia"/>
          <w:color w:val="auto"/>
          <w:sz w:val="32"/>
          <w:szCs w:val="32"/>
          <w:highlight w:val="none"/>
        </w:rPr>
      </w:pPr>
      <w:bookmarkStart w:id="1" w:name="OLE_LINK99"/>
      <w:bookmarkStart w:id="2" w:name="OLE_LINK98"/>
      <w:r>
        <w:rPr>
          <w:rFonts w:hint="eastAsia" w:cs="仿宋_GB2312" w:asciiTheme="majorEastAsia" w:hAnsiTheme="majorEastAsia" w:eastAsiaTheme="majorEastAsia"/>
          <w:color w:val="auto"/>
          <w:sz w:val="32"/>
          <w:szCs w:val="32"/>
          <w:highlight w:val="none"/>
        </w:rPr>
        <w:t>采购人：</w:t>
      </w:r>
      <w:bookmarkStart w:id="3" w:name="OLE_LINK56"/>
      <w:bookmarkStart w:id="4" w:name="OLE_LINK55"/>
      <w:r>
        <w:rPr>
          <w:rFonts w:hint="eastAsia" w:cs="仿宋_GB2312" w:asciiTheme="majorEastAsia" w:hAnsiTheme="majorEastAsia" w:eastAsiaTheme="majorEastAsia"/>
          <w:color w:val="auto"/>
          <w:sz w:val="32"/>
          <w:szCs w:val="32"/>
          <w:highlight w:val="none"/>
        </w:rPr>
        <w:t>宁波宁南汇诚科技发展有限公司</w:t>
      </w:r>
    </w:p>
    <w:bookmarkEnd w:id="3"/>
    <w:bookmarkEnd w:id="4"/>
    <w:p w14:paraId="636D21AF">
      <w:pPr>
        <w:shd w:val="clear"/>
        <w:spacing w:line="360" w:lineRule="auto"/>
        <w:jc w:val="center"/>
        <w:rPr>
          <w:rFonts w:cs="仿宋_GB2312" w:asciiTheme="majorEastAsia" w:hAnsiTheme="majorEastAsia" w:eastAsiaTheme="majorEastAsia"/>
          <w:bCs/>
          <w:color w:val="auto"/>
          <w:sz w:val="32"/>
          <w:szCs w:val="32"/>
          <w:highlight w:val="none"/>
        </w:rPr>
      </w:pPr>
      <w:r>
        <w:rPr>
          <w:rFonts w:hint="eastAsia" w:cs="仿宋_GB2312" w:asciiTheme="majorEastAsia" w:hAnsiTheme="majorEastAsia" w:eastAsiaTheme="majorEastAsia"/>
          <w:bCs/>
          <w:color w:val="auto"/>
          <w:sz w:val="32"/>
          <w:szCs w:val="32"/>
          <w:highlight w:val="none"/>
        </w:rPr>
        <w:t>采购代理机构：宁波敬信项目管理咨询有限公司</w:t>
      </w:r>
    </w:p>
    <w:bookmarkEnd w:id="1"/>
    <w:bookmarkEnd w:id="2"/>
    <w:p w14:paraId="79E35CC6">
      <w:pPr>
        <w:shd w:val="clear"/>
        <w:snapToGrid w:val="0"/>
        <w:spacing w:line="360" w:lineRule="auto"/>
        <w:jc w:val="center"/>
        <w:rPr>
          <w:rFonts w:cs="仿宋_GB2312" w:asciiTheme="majorEastAsia" w:hAnsiTheme="majorEastAsia" w:eastAsiaTheme="majorEastAsia"/>
          <w:bCs/>
          <w:color w:val="auto"/>
          <w:sz w:val="32"/>
          <w:szCs w:val="32"/>
          <w:highlight w:val="none"/>
        </w:rPr>
      </w:pPr>
    </w:p>
    <w:p w14:paraId="5810A2E7">
      <w:pPr>
        <w:shd w:val="clear"/>
        <w:snapToGrid w:val="0"/>
        <w:spacing w:line="360" w:lineRule="auto"/>
        <w:jc w:val="center"/>
        <w:rPr>
          <w:rFonts w:cs="仿宋_GB2312" w:asciiTheme="majorEastAsia" w:hAnsiTheme="majorEastAsia" w:eastAsiaTheme="majorEastAsia"/>
          <w:bCs/>
          <w:color w:val="auto"/>
          <w:sz w:val="32"/>
          <w:szCs w:val="32"/>
          <w:highlight w:val="none"/>
        </w:rPr>
      </w:pPr>
      <w:r>
        <w:rPr>
          <w:rFonts w:hint="eastAsia" w:cs="仿宋_GB2312" w:asciiTheme="majorEastAsia" w:hAnsiTheme="majorEastAsia" w:eastAsiaTheme="majorEastAsia"/>
          <w:bCs/>
          <w:color w:val="auto"/>
          <w:sz w:val="32"/>
          <w:szCs w:val="32"/>
          <w:highlight w:val="none"/>
        </w:rPr>
        <w:t>二零二五年</w:t>
      </w:r>
    </w:p>
    <w:p w14:paraId="57704788">
      <w:pPr>
        <w:shd w:val="clear"/>
        <w:spacing w:line="360" w:lineRule="auto"/>
        <w:jc w:val="center"/>
        <w:rPr>
          <w:rFonts w:cs="仿宋_GB2312" w:asciiTheme="majorEastAsia" w:hAnsiTheme="majorEastAsia" w:eastAsiaTheme="majorEastAsia"/>
          <w:color w:val="auto"/>
          <w:sz w:val="24"/>
          <w:highlight w:val="none"/>
        </w:rPr>
      </w:pPr>
      <w:r>
        <w:rPr>
          <w:rFonts w:cs="仿宋_GB2312" w:asciiTheme="majorEastAsia" w:hAnsiTheme="majorEastAsia" w:eastAsiaTheme="majorEastAsia"/>
          <w:color w:val="auto"/>
          <w:sz w:val="24"/>
          <w:highlight w:val="none"/>
        </w:rPr>
        <w:br w:type="page"/>
      </w:r>
      <w:bookmarkStart w:id="5" w:name="_Hlt67893495"/>
      <w:bookmarkEnd w:id="5"/>
    </w:p>
    <w:p w14:paraId="32F6B76A">
      <w:pPr>
        <w:shd w:val="clear"/>
        <w:spacing w:line="360" w:lineRule="auto"/>
        <w:jc w:val="center"/>
        <w:rPr>
          <w:rFonts w:cs="仿宋_GB2312" w:asciiTheme="majorEastAsia" w:hAnsiTheme="majorEastAsia" w:eastAsiaTheme="majorEastAsia"/>
          <w:color w:val="auto"/>
          <w:sz w:val="24"/>
          <w:highlight w:val="none"/>
        </w:rPr>
      </w:pPr>
    </w:p>
    <w:p w14:paraId="4E47D5AB">
      <w:pPr>
        <w:shd w:val="clear"/>
        <w:spacing w:line="360" w:lineRule="auto"/>
        <w:jc w:val="center"/>
        <w:rPr>
          <w:rFonts w:cs="仿宋_GB2312" w:asciiTheme="majorEastAsia" w:hAnsiTheme="majorEastAsia" w:eastAsiaTheme="majorEastAsia"/>
          <w:b/>
          <w:color w:val="auto"/>
          <w:sz w:val="48"/>
          <w:szCs w:val="48"/>
          <w:highlight w:val="none"/>
        </w:rPr>
      </w:pPr>
      <w:r>
        <w:rPr>
          <w:rFonts w:hint="eastAsia" w:cs="仿宋_GB2312" w:asciiTheme="majorEastAsia" w:hAnsiTheme="majorEastAsia" w:eastAsiaTheme="majorEastAsia"/>
          <w:b/>
          <w:color w:val="auto"/>
          <w:sz w:val="48"/>
          <w:szCs w:val="48"/>
          <w:highlight w:val="none"/>
        </w:rPr>
        <w:t>目录</w:t>
      </w:r>
    </w:p>
    <w:p w14:paraId="6E01B5A1">
      <w:pPr>
        <w:shd w:val="clear"/>
        <w:spacing w:line="360" w:lineRule="auto"/>
        <w:rPr>
          <w:rFonts w:cs="仿宋_GB2312" w:asciiTheme="majorEastAsia" w:hAnsiTheme="majorEastAsia" w:eastAsiaTheme="majorEastAsia"/>
          <w:color w:val="auto"/>
          <w:sz w:val="32"/>
          <w:szCs w:val="32"/>
          <w:highlight w:val="none"/>
        </w:rPr>
      </w:pPr>
    </w:p>
    <w:p w14:paraId="2B65B058">
      <w:pPr>
        <w:shd w:val="clear"/>
        <w:spacing w:line="360" w:lineRule="auto"/>
        <w:rPr>
          <w:rFonts w:cs="仿宋_GB2312" w:asciiTheme="majorEastAsia" w:hAnsiTheme="majorEastAsia" w:eastAsiaTheme="majorEastAsia"/>
          <w:color w:val="auto"/>
          <w:sz w:val="32"/>
          <w:szCs w:val="32"/>
          <w:highlight w:val="none"/>
        </w:rPr>
      </w:pPr>
    </w:p>
    <w:p w14:paraId="6A57B24F">
      <w:pPr>
        <w:shd w:val="clear"/>
        <w:spacing w:line="360" w:lineRule="auto"/>
        <w:ind w:firstLine="1280" w:firstLineChars="400"/>
        <w:rPr>
          <w:rFonts w:cs="仿宋" w:asciiTheme="majorEastAsia" w:hAnsiTheme="majorEastAsia" w:eastAsiaTheme="majorEastAsia"/>
          <w:color w:val="auto"/>
          <w:sz w:val="32"/>
          <w:szCs w:val="32"/>
          <w:highlight w:val="none"/>
        </w:rPr>
      </w:pPr>
      <w:r>
        <w:rPr>
          <w:rFonts w:hint="eastAsia" w:cs="仿宋" w:asciiTheme="majorEastAsia" w:hAnsiTheme="majorEastAsia" w:eastAsiaTheme="majorEastAsia"/>
          <w:color w:val="auto"/>
          <w:sz w:val="32"/>
          <w:szCs w:val="32"/>
          <w:highlight w:val="none"/>
        </w:rPr>
        <w:t>第一部分      招标公告</w:t>
      </w:r>
    </w:p>
    <w:p w14:paraId="33145CA1">
      <w:pPr>
        <w:shd w:val="clear"/>
        <w:spacing w:line="360" w:lineRule="auto"/>
        <w:ind w:firstLine="1280" w:firstLineChars="400"/>
        <w:rPr>
          <w:rFonts w:cs="仿宋" w:asciiTheme="majorEastAsia" w:hAnsiTheme="majorEastAsia" w:eastAsiaTheme="majorEastAsia"/>
          <w:color w:val="auto"/>
          <w:sz w:val="32"/>
          <w:szCs w:val="32"/>
          <w:highlight w:val="none"/>
        </w:rPr>
      </w:pPr>
      <w:r>
        <w:rPr>
          <w:rFonts w:hint="eastAsia" w:cs="仿宋" w:asciiTheme="majorEastAsia" w:hAnsiTheme="majorEastAsia" w:eastAsiaTheme="majorEastAsia"/>
          <w:color w:val="auto"/>
          <w:sz w:val="32"/>
          <w:szCs w:val="32"/>
          <w:highlight w:val="none"/>
        </w:rPr>
        <w:t>第二部分      投标须知</w:t>
      </w:r>
    </w:p>
    <w:p w14:paraId="1B364B8F">
      <w:pPr>
        <w:shd w:val="clear"/>
        <w:spacing w:line="360" w:lineRule="auto"/>
        <w:ind w:firstLine="1280" w:firstLineChars="400"/>
        <w:rPr>
          <w:rFonts w:cs="仿宋" w:asciiTheme="majorEastAsia" w:hAnsiTheme="majorEastAsia" w:eastAsiaTheme="majorEastAsia"/>
          <w:color w:val="auto"/>
          <w:sz w:val="32"/>
          <w:szCs w:val="32"/>
          <w:highlight w:val="none"/>
        </w:rPr>
      </w:pPr>
      <w:r>
        <w:rPr>
          <w:rFonts w:hint="eastAsia" w:cs="仿宋" w:asciiTheme="majorEastAsia" w:hAnsiTheme="majorEastAsia" w:eastAsiaTheme="majorEastAsia"/>
          <w:color w:val="auto"/>
          <w:sz w:val="32"/>
          <w:szCs w:val="32"/>
          <w:highlight w:val="none"/>
        </w:rPr>
        <w:t>第三部分      采购需求</w:t>
      </w:r>
    </w:p>
    <w:p w14:paraId="3D6E0C86">
      <w:pPr>
        <w:shd w:val="clear"/>
        <w:spacing w:line="360" w:lineRule="auto"/>
        <w:ind w:firstLine="1280" w:firstLineChars="400"/>
        <w:rPr>
          <w:rFonts w:cs="仿宋" w:asciiTheme="majorEastAsia" w:hAnsiTheme="majorEastAsia" w:eastAsiaTheme="majorEastAsia"/>
          <w:color w:val="auto"/>
          <w:sz w:val="32"/>
          <w:szCs w:val="32"/>
          <w:highlight w:val="none"/>
        </w:rPr>
      </w:pPr>
      <w:r>
        <w:rPr>
          <w:rFonts w:hint="eastAsia" w:cs="仿宋" w:asciiTheme="majorEastAsia" w:hAnsiTheme="majorEastAsia" w:eastAsiaTheme="majorEastAsia"/>
          <w:color w:val="auto"/>
          <w:sz w:val="32"/>
          <w:szCs w:val="32"/>
          <w:highlight w:val="none"/>
        </w:rPr>
        <w:t>第四部分      评标办法</w:t>
      </w:r>
    </w:p>
    <w:p w14:paraId="0CF635DB">
      <w:pPr>
        <w:shd w:val="clear"/>
        <w:spacing w:line="360" w:lineRule="auto"/>
        <w:ind w:firstLine="1280" w:firstLineChars="400"/>
        <w:rPr>
          <w:rFonts w:cs="仿宋" w:asciiTheme="majorEastAsia" w:hAnsiTheme="majorEastAsia" w:eastAsiaTheme="majorEastAsia"/>
          <w:color w:val="auto"/>
          <w:sz w:val="32"/>
          <w:szCs w:val="32"/>
          <w:highlight w:val="none"/>
        </w:rPr>
      </w:pPr>
      <w:r>
        <w:rPr>
          <w:rFonts w:hint="eastAsia" w:cs="仿宋" w:asciiTheme="majorEastAsia" w:hAnsiTheme="majorEastAsia" w:eastAsiaTheme="majorEastAsia"/>
          <w:color w:val="auto"/>
          <w:sz w:val="32"/>
          <w:szCs w:val="32"/>
          <w:highlight w:val="none"/>
        </w:rPr>
        <w:t>第五部分      拟签订的合同文本</w:t>
      </w:r>
    </w:p>
    <w:p w14:paraId="6E81C3AB">
      <w:pPr>
        <w:shd w:val="clear"/>
        <w:spacing w:line="360" w:lineRule="auto"/>
        <w:ind w:firstLine="1280" w:firstLineChars="400"/>
        <w:rPr>
          <w:rFonts w:cs="仿宋" w:asciiTheme="majorEastAsia" w:hAnsiTheme="majorEastAsia" w:eastAsiaTheme="majorEastAsia"/>
          <w:color w:val="auto"/>
          <w:sz w:val="32"/>
          <w:szCs w:val="32"/>
          <w:highlight w:val="none"/>
        </w:rPr>
      </w:pPr>
      <w:r>
        <w:rPr>
          <w:rFonts w:hint="eastAsia" w:cs="仿宋" w:asciiTheme="majorEastAsia" w:hAnsiTheme="majorEastAsia" w:eastAsiaTheme="majorEastAsia"/>
          <w:color w:val="auto"/>
          <w:sz w:val="32"/>
          <w:szCs w:val="32"/>
          <w:highlight w:val="none"/>
        </w:rPr>
        <w:t>第六部分      应提交的有关格式范例</w:t>
      </w:r>
    </w:p>
    <w:p w14:paraId="45811239">
      <w:pPr>
        <w:shd w:val="clear"/>
        <w:spacing w:line="360" w:lineRule="auto"/>
        <w:ind w:firstLine="549" w:firstLineChars="229"/>
        <w:rPr>
          <w:rFonts w:cs="仿宋" w:asciiTheme="majorEastAsia" w:hAnsiTheme="majorEastAsia" w:eastAsiaTheme="majorEastAsia"/>
          <w:color w:val="auto"/>
          <w:sz w:val="24"/>
          <w:highlight w:val="none"/>
        </w:rPr>
      </w:pPr>
      <w:bookmarkStart w:id="6" w:name="_Hlt91233176"/>
      <w:bookmarkEnd w:id="6"/>
      <w:bookmarkStart w:id="7" w:name="_Toc91899869"/>
    </w:p>
    <w:p w14:paraId="55526F61">
      <w:pPr>
        <w:shd w:val="clear"/>
        <w:spacing w:line="360" w:lineRule="auto"/>
        <w:ind w:firstLine="549" w:firstLineChars="229"/>
        <w:rPr>
          <w:rFonts w:cs="仿宋" w:asciiTheme="majorEastAsia" w:hAnsiTheme="majorEastAsia" w:eastAsiaTheme="majorEastAsia"/>
          <w:color w:val="auto"/>
          <w:sz w:val="24"/>
          <w:highlight w:val="none"/>
        </w:rPr>
      </w:pPr>
    </w:p>
    <w:p w14:paraId="1EA6ADFE">
      <w:pPr>
        <w:shd w:val="clear"/>
        <w:spacing w:line="360" w:lineRule="auto"/>
        <w:ind w:firstLine="549" w:firstLineChars="229"/>
        <w:rPr>
          <w:rFonts w:cs="仿宋" w:asciiTheme="majorEastAsia" w:hAnsiTheme="majorEastAsia" w:eastAsiaTheme="majorEastAsia"/>
          <w:color w:val="auto"/>
          <w:sz w:val="24"/>
          <w:highlight w:val="none"/>
        </w:rPr>
      </w:pPr>
    </w:p>
    <w:p w14:paraId="2373202E">
      <w:pPr>
        <w:shd w:val="clear"/>
        <w:spacing w:line="360" w:lineRule="auto"/>
        <w:ind w:firstLine="549" w:firstLineChars="229"/>
        <w:rPr>
          <w:rFonts w:cs="仿宋" w:asciiTheme="majorEastAsia" w:hAnsiTheme="majorEastAsia" w:eastAsiaTheme="majorEastAsia"/>
          <w:color w:val="auto"/>
          <w:sz w:val="24"/>
          <w:highlight w:val="none"/>
        </w:rPr>
      </w:pPr>
    </w:p>
    <w:p w14:paraId="569B49E3">
      <w:pPr>
        <w:shd w:val="clear"/>
        <w:spacing w:line="360" w:lineRule="auto"/>
        <w:ind w:firstLine="549" w:firstLineChars="229"/>
        <w:rPr>
          <w:rFonts w:cs="仿宋" w:asciiTheme="majorEastAsia" w:hAnsiTheme="majorEastAsia" w:eastAsiaTheme="majorEastAsia"/>
          <w:color w:val="auto"/>
          <w:sz w:val="24"/>
          <w:highlight w:val="none"/>
        </w:rPr>
      </w:pPr>
    </w:p>
    <w:p w14:paraId="25628376">
      <w:pPr>
        <w:shd w:val="clear"/>
        <w:spacing w:line="360" w:lineRule="auto"/>
        <w:ind w:firstLine="549" w:firstLineChars="229"/>
        <w:rPr>
          <w:rFonts w:cs="仿宋" w:asciiTheme="majorEastAsia" w:hAnsiTheme="majorEastAsia" w:eastAsiaTheme="majorEastAsia"/>
          <w:color w:val="auto"/>
          <w:sz w:val="24"/>
          <w:highlight w:val="none"/>
        </w:rPr>
      </w:pPr>
    </w:p>
    <w:p w14:paraId="13EFEE6D">
      <w:pPr>
        <w:shd w:val="clear"/>
        <w:spacing w:line="360" w:lineRule="auto"/>
        <w:ind w:firstLine="549" w:firstLineChars="229"/>
        <w:rPr>
          <w:rFonts w:cs="仿宋" w:asciiTheme="majorEastAsia" w:hAnsiTheme="majorEastAsia" w:eastAsiaTheme="majorEastAsia"/>
          <w:color w:val="auto"/>
          <w:sz w:val="24"/>
          <w:highlight w:val="none"/>
        </w:rPr>
      </w:pPr>
    </w:p>
    <w:p w14:paraId="6B1A5727">
      <w:pPr>
        <w:shd w:val="clear"/>
        <w:spacing w:line="360" w:lineRule="auto"/>
        <w:ind w:firstLine="549" w:firstLineChars="229"/>
        <w:rPr>
          <w:rFonts w:cs="仿宋" w:asciiTheme="majorEastAsia" w:hAnsiTheme="majorEastAsia" w:eastAsiaTheme="majorEastAsia"/>
          <w:color w:val="auto"/>
          <w:sz w:val="24"/>
          <w:highlight w:val="none"/>
        </w:rPr>
      </w:pPr>
    </w:p>
    <w:p w14:paraId="75C9AEC9">
      <w:pPr>
        <w:shd w:val="clear"/>
        <w:spacing w:line="360" w:lineRule="auto"/>
        <w:ind w:firstLine="549" w:firstLineChars="229"/>
        <w:rPr>
          <w:rFonts w:cs="仿宋" w:asciiTheme="majorEastAsia" w:hAnsiTheme="majorEastAsia" w:eastAsiaTheme="majorEastAsia"/>
          <w:color w:val="auto"/>
          <w:sz w:val="24"/>
          <w:highlight w:val="none"/>
        </w:rPr>
      </w:pPr>
    </w:p>
    <w:p w14:paraId="2CBCD3FC">
      <w:pPr>
        <w:shd w:val="clear"/>
        <w:spacing w:line="360" w:lineRule="auto"/>
        <w:ind w:firstLine="549" w:firstLineChars="229"/>
        <w:rPr>
          <w:rFonts w:cs="仿宋" w:asciiTheme="majorEastAsia" w:hAnsiTheme="majorEastAsia" w:eastAsiaTheme="majorEastAsia"/>
          <w:color w:val="auto"/>
          <w:sz w:val="24"/>
          <w:highlight w:val="none"/>
        </w:rPr>
      </w:pPr>
    </w:p>
    <w:p w14:paraId="712618B5">
      <w:pPr>
        <w:shd w:val="clear"/>
        <w:spacing w:line="360" w:lineRule="auto"/>
        <w:ind w:firstLine="549" w:firstLineChars="229"/>
        <w:rPr>
          <w:rFonts w:cs="仿宋" w:asciiTheme="majorEastAsia" w:hAnsiTheme="majorEastAsia" w:eastAsiaTheme="majorEastAsia"/>
          <w:color w:val="auto"/>
          <w:sz w:val="24"/>
          <w:highlight w:val="none"/>
        </w:rPr>
      </w:pPr>
    </w:p>
    <w:p w14:paraId="5CD812B0">
      <w:pPr>
        <w:shd w:val="clear"/>
        <w:spacing w:line="360" w:lineRule="auto"/>
        <w:ind w:firstLine="549" w:firstLineChars="229"/>
        <w:rPr>
          <w:rFonts w:cs="仿宋" w:asciiTheme="majorEastAsia" w:hAnsiTheme="majorEastAsia" w:eastAsiaTheme="majorEastAsia"/>
          <w:color w:val="auto"/>
          <w:sz w:val="24"/>
          <w:highlight w:val="none"/>
        </w:rPr>
      </w:pPr>
    </w:p>
    <w:p w14:paraId="53686B1B">
      <w:pPr>
        <w:shd w:val="clear"/>
        <w:spacing w:line="360" w:lineRule="auto"/>
        <w:ind w:firstLine="549" w:firstLineChars="229"/>
        <w:rPr>
          <w:rFonts w:cs="仿宋" w:asciiTheme="majorEastAsia" w:hAnsiTheme="majorEastAsia" w:eastAsiaTheme="majorEastAsia"/>
          <w:color w:val="auto"/>
          <w:sz w:val="24"/>
          <w:highlight w:val="none"/>
        </w:rPr>
      </w:pPr>
    </w:p>
    <w:p w14:paraId="603174FB">
      <w:pPr>
        <w:shd w:val="clear"/>
        <w:spacing w:line="360" w:lineRule="auto"/>
        <w:rPr>
          <w:rFonts w:cs="仿宋" w:asciiTheme="majorEastAsia" w:hAnsiTheme="majorEastAsia" w:eastAsiaTheme="majorEastAsia"/>
          <w:color w:val="auto"/>
          <w:sz w:val="24"/>
          <w:highlight w:val="none"/>
        </w:rPr>
      </w:pPr>
    </w:p>
    <w:p w14:paraId="0F06362E">
      <w:pPr>
        <w:shd w:val="clear"/>
        <w:spacing w:line="360" w:lineRule="auto"/>
        <w:jc w:val="center"/>
        <w:outlineLvl w:val="0"/>
        <w:rPr>
          <w:rFonts w:cs="仿宋" w:asciiTheme="majorEastAsia" w:hAnsiTheme="majorEastAsia" w:eastAsiaTheme="majorEastAsia"/>
          <w:b/>
          <w:color w:val="auto"/>
          <w:sz w:val="36"/>
          <w:szCs w:val="20"/>
          <w:highlight w:val="none"/>
        </w:rPr>
      </w:pPr>
      <w:bookmarkStart w:id="8" w:name="第一部分"/>
      <w:r>
        <w:rPr>
          <w:rFonts w:hint="eastAsia" w:cs="仿宋" w:asciiTheme="majorEastAsia" w:hAnsiTheme="majorEastAsia" w:eastAsiaTheme="majorEastAsia"/>
          <w:b/>
          <w:color w:val="auto"/>
          <w:sz w:val="36"/>
          <w:szCs w:val="36"/>
          <w:highlight w:val="none"/>
        </w:rPr>
        <w:br w:type="page"/>
      </w:r>
      <w:bookmarkEnd w:id="7"/>
      <w:bookmarkEnd w:id="8"/>
      <w:bookmarkStart w:id="9" w:name="_Hlt74649545"/>
      <w:bookmarkEnd w:id="9"/>
      <w:bookmarkStart w:id="10" w:name="_Hlt74707423"/>
      <w:bookmarkEnd w:id="10"/>
      <w:bookmarkStart w:id="11" w:name="_Hlt74728647"/>
      <w:bookmarkEnd w:id="11"/>
      <w:bookmarkStart w:id="12" w:name="_Hlt74729822"/>
      <w:bookmarkEnd w:id="12"/>
      <w:bookmarkStart w:id="13" w:name="第二部分"/>
      <w:bookmarkStart w:id="14" w:name="_Toc91899870"/>
      <w:bookmarkStart w:id="15" w:name="_Toc91899871"/>
      <w:r>
        <w:rPr>
          <w:rFonts w:hint="eastAsia" w:cs="仿宋" w:asciiTheme="majorEastAsia" w:hAnsiTheme="majorEastAsia" w:eastAsiaTheme="majorEastAsia"/>
          <w:b/>
          <w:color w:val="auto"/>
          <w:sz w:val="36"/>
          <w:szCs w:val="20"/>
          <w:highlight w:val="none"/>
        </w:rPr>
        <w:t>第一部分 招标公告</w:t>
      </w:r>
    </w:p>
    <w:p w14:paraId="34275D59">
      <w:pPr>
        <w:pBdr>
          <w:top w:val="single" w:color="auto" w:sz="4" w:space="1"/>
          <w:left w:val="single" w:color="auto" w:sz="4" w:space="4"/>
          <w:bottom w:val="single" w:color="auto" w:sz="4" w:space="1"/>
          <w:right w:val="single" w:color="auto" w:sz="4" w:space="4"/>
        </w:pBd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项目概况</w:t>
      </w:r>
    </w:p>
    <w:p w14:paraId="6DCBE81A">
      <w:pPr>
        <w:pBdr>
          <w:top w:val="single" w:color="auto" w:sz="4" w:space="1"/>
          <w:left w:val="single" w:color="auto" w:sz="4" w:space="4"/>
          <w:bottom w:val="single" w:color="auto" w:sz="4" w:space="1"/>
          <w:right w:val="single" w:color="auto" w:sz="4" w:space="4"/>
        </w:pBdr>
        <w:shd w:val="clear"/>
        <w:spacing w:line="360" w:lineRule="auto"/>
        <w:ind w:firstLine="480" w:firstLineChars="200"/>
        <w:rPr>
          <w:rFonts w:cs="仿宋" w:asciiTheme="majorEastAsia" w:hAnsiTheme="majorEastAsia" w:eastAsiaTheme="majorEastAsia"/>
          <w:color w:val="auto"/>
          <w:sz w:val="24"/>
          <w:highlight w:val="none"/>
          <w:u w:val="single"/>
        </w:rPr>
      </w:pPr>
      <w:r>
        <w:rPr>
          <w:rFonts w:hint="eastAsia" w:cs="仿宋" w:asciiTheme="majorEastAsia" w:hAnsiTheme="majorEastAsia" w:eastAsiaTheme="majorEastAsia"/>
          <w:color w:val="auto"/>
          <w:sz w:val="24"/>
          <w:highlight w:val="none"/>
          <w:u w:val="single"/>
        </w:rPr>
        <w:t>宁南工业孵化基地园区综合运营管理服务项目</w:t>
      </w:r>
      <w:r>
        <w:rPr>
          <w:rFonts w:hint="eastAsia" w:cs="仿宋" w:asciiTheme="majorEastAsia" w:hAnsiTheme="majorEastAsia" w:eastAsiaTheme="majorEastAsia"/>
          <w:color w:val="auto"/>
          <w:sz w:val="24"/>
          <w:highlight w:val="none"/>
        </w:rPr>
        <w:t>的潜在供应商应在乐采云平台（</w:t>
      </w:r>
      <w:r>
        <w:rPr>
          <w:color w:val="auto"/>
          <w:highlight w:val="none"/>
        </w:rPr>
        <w:fldChar w:fldCharType="begin"/>
      </w:r>
      <w:r>
        <w:rPr>
          <w:color w:val="auto"/>
          <w:highlight w:val="none"/>
        </w:rPr>
        <w:instrText xml:space="preserve"> HYPERLINK "https://www.zcygov.cn/）获取（下载）招标文件，并于2025年00月00日00点00分00秒" </w:instrText>
      </w:r>
      <w:r>
        <w:rPr>
          <w:color w:val="auto"/>
          <w:highlight w:val="none"/>
        </w:rPr>
        <w:fldChar w:fldCharType="separate"/>
      </w:r>
      <w:r>
        <w:rPr>
          <w:rStyle w:val="26"/>
          <w:rFonts w:hint="eastAsia" w:cs="仿宋" w:asciiTheme="majorEastAsia" w:hAnsiTheme="majorEastAsia" w:eastAsiaTheme="majorEastAsia"/>
          <w:color w:val="auto"/>
          <w:sz w:val="24"/>
          <w:szCs w:val="24"/>
          <w:highlight w:val="none"/>
        </w:rPr>
        <w:t>https://www.lecaiyun.com/）获取（下载）招标文件，并于</w:t>
      </w:r>
      <w:r>
        <w:rPr>
          <w:rStyle w:val="26"/>
          <w:rFonts w:hint="eastAsia" w:cs="仿宋" w:asciiTheme="majorEastAsia" w:hAnsiTheme="majorEastAsia" w:eastAsiaTheme="majorEastAsia"/>
          <w:snapToGrid/>
          <w:color w:val="auto"/>
          <w:kern w:val="2"/>
          <w:sz w:val="24"/>
          <w:szCs w:val="24"/>
          <w:highlight w:val="none"/>
        </w:rPr>
        <w:t>2025年0</w:t>
      </w:r>
      <w:r>
        <w:rPr>
          <w:rStyle w:val="26"/>
          <w:rFonts w:hint="eastAsia" w:cs="仿宋" w:asciiTheme="majorEastAsia" w:hAnsiTheme="majorEastAsia" w:eastAsiaTheme="majorEastAsia"/>
          <w:snapToGrid/>
          <w:color w:val="auto"/>
          <w:kern w:val="2"/>
          <w:sz w:val="24"/>
          <w:szCs w:val="24"/>
          <w:highlight w:val="none"/>
          <w:lang w:val="en-US" w:eastAsia="zh-CN"/>
        </w:rPr>
        <w:t>4</w:t>
      </w:r>
      <w:r>
        <w:rPr>
          <w:rStyle w:val="26"/>
          <w:rFonts w:hint="eastAsia" w:cs="仿宋" w:asciiTheme="majorEastAsia" w:hAnsiTheme="majorEastAsia" w:eastAsiaTheme="majorEastAsia"/>
          <w:snapToGrid/>
          <w:color w:val="auto"/>
          <w:kern w:val="2"/>
          <w:sz w:val="24"/>
          <w:szCs w:val="24"/>
          <w:highlight w:val="none"/>
        </w:rPr>
        <w:t>月</w:t>
      </w:r>
      <w:r>
        <w:rPr>
          <w:rStyle w:val="26"/>
          <w:rFonts w:hint="eastAsia" w:cs="仿宋" w:asciiTheme="majorEastAsia" w:hAnsiTheme="majorEastAsia" w:eastAsiaTheme="majorEastAsia"/>
          <w:snapToGrid/>
          <w:color w:val="auto"/>
          <w:kern w:val="2"/>
          <w:sz w:val="24"/>
          <w:szCs w:val="24"/>
          <w:highlight w:val="none"/>
          <w:lang w:val="en-US" w:eastAsia="zh-CN"/>
        </w:rPr>
        <w:t>23</w:t>
      </w:r>
      <w:r>
        <w:rPr>
          <w:rStyle w:val="26"/>
          <w:rFonts w:hint="eastAsia" w:cs="仿宋" w:asciiTheme="majorEastAsia" w:hAnsiTheme="majorEastAsia" w:eastAsiaTheme="majorEastAsia"/>
          <w:snapToGrid/>
          <w:color w:val="auto"/>
          <w:kern w:val="2"/>
          <w:sz w:val="24"/>
          <w:szCs w:val="24"/>
          <w:highlight w:val="none"/>
        </w:rPr>
        <w:t>日</w:t>
      </w:r>
      <w:r>
        <w:rPr>
          <w:rStyle w:val="26"/>
          <w:rFonts w:hint="eastAsia" w:cs="仿宋" w:asciiTheme="majorEastAsia" w:hAnsiTheme="majorEastAsia" w:eastAsiaTheme="majorEastAsia"/>
          <w:snapToGrid/>
          <w:color w:val="auto"/>
          <w:kern w:val="2"/>
          <w:sz w:val="24"/>
          <w:szCs w:val="24"/>
          <w:highlight w:val="none"/>
          <w:lang w:val="en-US" w:eastAsia="zh-CN"/>
        </w:rPr>
        <w:t>09</w:t>
      </w:r>
      <w:r>
        <w:rPr>
          <w:rStyle w:val="26"/>
          <w:rFonts w:hint="eastAsia" w:cs="仿宋" w:asciiTheme="majorEastAsia" w:hAnsiTheme="majorEastAsia" w:eastAsiaTheme="majorEastAsia"/>
          <w:snapToGrid/>
          <w:color w:val="auto"/>
          <w:kern w:val="2"/>
          <w:sz w:val="24"/>
          <w:szCs w:val="24"/>
          <w:highlight w:val="none"/>
        </w:rPr>
        <w:t>点00分</w:t>
      </w:r>
      <w:r>
        <w:rPr>
          <w:rStyle w:val="26"/>
          <w:rFonts w:hint="eastAsia" w:cs="仿宋" w:asciiTheme="majorEastAsia" w:hAnsiTheme="majorEastAsia" w:eastAsiaTheme="majorEastAsia"/>
          <w:bCs/>
          <w:snapToGrid/>
          <w:color w:val="auto"/>
          <w:kern w:val="2"/>
          <w:sz w:val="24"/>
          <w:szCs w:val="24"/>
          <w:highlight w:val="none"/>
        </w:rPr>
        <w:t>00秒</w:t>
      </w:r>
      <w:r>
        <w:rPr>
          <w:rStyle w:val="26"/>
          <w:rFonts w:hint="eastAsia" w:cs="仿宋" w:asciiTheme="majorEastAsia" w:hAnsiTheme="majorEastAsia" w:eastAsiaTheme="majorEastAsia"/>
          <w:bCs/>
          <w:snapToGrid/>
          <w:color w:val="auto"/>
          <w:kern w:val="2"/>
          <w:sz w:val="24"/>
          <w:szCs w:val="24"/>
          <w:highlight w:val="none"/>
        </w:rPr>
        <w:fldChar w:fldCharType="end"/>
      </w:r>
      <w:r>
        <w:rPr>
          <w:rFonts w:hint="eastAsia" w:cs="仿宋" w:asciiTheme="majorEastAsia" w:hAnsiTheme="majorEastAsia" w:eastAsiaTheme="majorEastAsia"/>
          <w:bCs/>
          <w:color w:val="auto"/>
          <w:sz w:val="24"/>
          <w:highlight w:val="none"/>
        </w:rPr>
        <w:t>（北京时间）前</w:t>
      </w:r>
      <w:r>
        <w:rPr>
          <w:rFonts w:hint="eastAsia" w:cs="仿宋" w:asciiTheme="majorEastAsia" w:hAnsiTheme="majorEastAsia" w:eastAsiaTheme="majorEastAsia"/>
          <w:color w:val="auto"/>
          <w:sz w:val="24"/>
          <w:highlight w:val="none"/>
        </w:rPr>
        <w:t>递交（上传）投标文件。</w:t>
      </w:r>
    </w:p>
    <w:p w14:paraId="138FA55D">
      <w:pPr>
        <w:shd w:val="clear"/>
        <w:spacing w:line="360" w:lineRule="auto"/>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 xml:space="preserve">一、项目基本情况                                            </w:t>
      </w:r>
    </w:p>
    <w:p w14:paraId="10CF9EEA">
      <w:pPr>
        <w:shd w:val="clear"/>
        <w:spacing w:line="360" w:lineRule="auto"/>
        <w:ind w:firstLine="465"/>
        <w:rPr>
          <w:rFonts w:cs="仿宋" w:asciiTheme="majorEastAsia" w:hAnsiTheme="majorEastAsia" w:eastAsiaTheme="majorEastAsia"/>
          <w:color w:val="auto"/>
          <w:sz w:val="24"/>
          <w:highlight w:val="none"/>
        </w:rPr>
      </w:pPr>
      <w:r>
        <w:rPr>
          <w:rFonts w:hint="eastAsia" w:cs="仿宋" w:asciiTheme="majorEastAsia" w:hAnsiTheme="majorEastAsia" w:eastAsiaTheme="majorEastAsia"/>
          <w:b/>
          <w:color w:val="auto"/>
          <w:sz w:val="24"/>
          <w:highlight w:val="none"/>
        </w:rPr>
        <w:t>项目编号：</w:t>
      </w:r>
      <w:r>
        <w:rPr>
          <w:rFonts w:cs="仿宋" w:asciiTheme="majorEastAsia" w:hAnsiTheme="majorEastAsia" w:eastAsiaTheme="majorEastAsia"/>
          <w:color w:val="auto"/>
          <w:sz w:val="24"/>
          <w:highlight w:val="none"/>
        </w:rPr>
        <w:t>FHGQZB(202</w:t>
      </w:r>
      <w:r>
        <w:rPr>
          <w:rFonts w:hint="eastAsia" w:cs="仿宋" w:asciiTheme="majorEastAsia" w:hAnsiTheme="majorEastAsia" w:eastAsiaTheme="majorEastAsia"/>
          <w:color w:val="auto"/>
          <w:sz w:val="24"/>
          <w:highlight w:val="none"/>
        </w:rPr>
        <w:t>5</w:t>
      </w:r>
      <w:r>
        <w:rPr>
          <w:rFonts w:cs="仿宋" w:asciiTheme="majorEastAsia" w:hAnsiTheme="majorEastAsia" w:eastAsiaTheme="majorEastAsia"/>
          <w:color w:val="auto"/>
          <w:sz w:val="24"/>
          <w:highlight w:val="none"/>
        </w:rPr>
        <w:t>)</w:t>
      </w:r>
      <w:r>
        <w:rPr>
          <w:rFonts w:hint="eastAsia" w:cs="仿宋" w:asciiTheme="majorEastAsia" w:hAnsiTheme="majorEastAsia" w:eastAsiaTheme="majorEastAsia"/>
          <w:color w:val="auto"/>
          <w:sz w:val="24"/>
          <w:highlight w:val="none"/>
        </w:rPr>
        <w:t>098</w:t>
      </w:r>
      <w:r>
        <w:rPr>
          <w:rFonts w:cs="仿宋" w:asciiTheme="majorEastAsia" w:hAnsiTheme="majorEastAsia" w:eastAsiaTheme="majorEastAsia"/>
          <w:color w:val="auto"/>
          <w:sz w:val="24"/>
          <w:highlight w:val="none"/>
        </w:rPr>
        <w:t>D</w:t>
      </w:r>
    </w:p>
    <w:p w14:paraId="4E8C7D2E">
      <w:pPr>
        <w:shd w:val="clear"/>
        <w:spacing w:line="360" w:lineRule="auto"/>
        <w:ind w:firstLine="465"/>
        <w:rPr>
          <w:rFonts w:cs="仿宋" w:asciiTheme="majorEastAsia" w:hAnsiTheme="majorEastAsia" w:eastAsiaTheme="majorEastAsia"/>
          <w:color w:val="auto"/>
          <w:sz w:val="24"/>
          <w:highlight w:val="none"/>
        </w:rPr>
      </w:pPr>
      <w:r>
        <w:rPr>
          <w:rFonts w:hint="eastAsia" w:cs="仿宋" w:asciiTheme="majorEastAsia" w:hAnsiTheme="majorEastAsia" w:eastAsiaTheme="majorEastAsia"/>
          <w:b/>
          <w:color w:val="auto"/>
          <w:sz w:val="24"/>
          <w:highlight w:val="none"/>
        </w:rPr>
        <w:t>项目名称：</w:t>
      </w:r>
      <w:bookmarkStart w:id="16" w:name="OLE_LINK23"/>
      <w:bookmarkStart w:id="17" w:name="OLE_LINK101"/>
      <w:bookmarkStart w:id="18" w:name="OLE_LINK100"/>
      <w:bookmarkStart w:id="19" w:name="OLE_LINK76"/>
      <w:bookmarkStart w:id="20" w:name="OLE_LINK77"/>
      <w:bookmarkStart w:id="21" w:name="OLE_LINK70"/>
      <w:r>
        <w:rPr>
          <w:rFonts w:hint="eastAsia" w:cs="仿宋" w:asciiTheme="majorEastAsia" w:hAnsiTheme="majorEastAsia" w:eastAsiaTheme="majorEastAsia"/>
          <w:color w:val="auto"/>
          <w:sz w:val="24"/>
          <w:highlight w:val="none"/>
        </w:rPr>
        <w:t>宁南工业孵化基地园区</w:t>
      </w:r>
      <w:bookmarkStart w:id="22" w:name="OLE_LINK33"/>
      <w:bookmarkStart w:id="23" w:name="OLE_LINK34"/>
      <w:r>
        <w:rPr>
          <w:rFonts w:hint="eastAsia" w:cs="仿宋" w:asciiTheme="majorEastAsia" w:hAnsiTheme="majorEastAsia" w:eastAsiaTheme="majorEastAsia"/>
          <w:color w:val="auto"/>
          <w:sz w:val="24"/>
          <w:highlight w:val="none"/>
        </w:rPr>
        <w:t>综合运营管理服务</w:t>
      </w:r>
      <w:bookmarkEnd w:id="22"/>
      <w:bookmarkEnd w:id="23"/>
      <w:r>
        <w:rPr>
          <w:rFonts w:hint="eastAsia" w:cs="仿宋" w:asciiTheme="majorEastAsia" w:hAnsiTheme="majorEastAsia" w:eastAsiaTheme="majorEastAsia"/>
          <w:color w:val="auto"/>
          <w:sz w:val="24"/>
          <w:highlight w:val="none"/>
        </w:rPr>
        <w:t>项目</w:t>
      </w:r>
      <w:bookmarkEnd w:id="16"/>
      <w:bookmarkEnd w:id="17"/>
      <w:bookmarkEnd w:id="18"/>
      <w:bookmarkEnd w:id="19"/>
      <w:bookmarkEnd w:id="20"/>
      <w:bookmarkEnd w:id="21"/>
    </w:p>
    <w:p w14:paraId="07125A08">
      <w:pPr>
        <w:shd w:val="clear"/>
        <w:spacing w:line="360" w:lineRule="auto"/>
        <w:ind w:firstLine="472" w:firstLineChars="196"/>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预算金额（元）：</w:t>
      </w:r>
      <w:bookmarkStart w:id="24" w:name="OLE_LINK2"/>
      <w:bookmarkStart w:id="25" w:name="OLE_LINK1"/>
      <w:r>
        <w:rPr>
          <w:rFonts w:hint="eastAsia" w:cs="仿宋" w:asciiTheme="majorEastAsia" w:hAnsiTheme="majorEastAsia" w:eastAsiaTheme="majorEastAsia"/>
          <w:color w:val="auto"/>
          <w:sz w:val="24"/>
          <w:highlight w:val="none"/>
        </w:rPr>
        <w:t>2800000</w:t>
      </w:r>
      <w:bookmarkEnd w:id="24"/>
      <w:bookmarkEnd w:id="25"/>
      <w:r>
        <w:rPr>
          <w:rFonts w:hint="eastAsia" w:cs="仿宋" w:asciiTheme="majorEastAsia" w:hAnsiTheme="majorEastAsia" w:eastAsiaTheme="majorEastAsia"/>
          <w:color w:val="auto"/>
          <w:sz w:val="24"/>
          <w:highlight w:val="none"/>
        </w:rPr>
        <w:t>元/年；</w:t>
      </w:r>
    </w:p>
    <w:p w14:paraId="620586C3">
      <w:pPr>
        <w:shd w:val="clear"/>
        <w:spacing w:line="360" w:lineRule="auto"/>
        <w:ind w:firstLine="480"/>
        <w:rPr>
          <w:rFonts w:cs="仿宋" w:asciiTheme="majorEastAsia" w:hAnsiTheme="majorEastAsia" w:eastAsiaTheme="majorEastAsia"/>
          <w:color w:val="auto"/>
          <w:sz w:val="24"/>
          <w:highlight w:val="none"/>
        </w:rPr>
      </w:pPr>
      <w:r>
        <w:rPr>
          <w:rFonts w:hint="eastAsia" w:cs="仿宋" w:asciiTheme="majorEastAsia" w:hAnsiTheme="majorEastAsia" w:eastAsiaTheme="majorEastAsia"/>
          <w:b/>
          <w:color w:val="auto"/>
          <w:sz w:val="24"/>
          <w:highlight w:val="none"/>
        </w:rPr>
        <w:t>最高限价（元）：</w:t>
      </w:r>
      <w:r>
        <w:rPr>
          <w:rFonts w:hint="eastAsia" w:cs="仿宋" w:asciiTheme="majorEastAsia" w:hAnsiTheme="majorEastAsia" w:eastAsiaTheme="majorEastAsia"/>
          <w:color w:val="auto"/>
          <w:sz w:val="24"/>
          <w:highlight w:val="none"/>
        </w:rPr>
        <w:t>2800000元/年；</w:t>
      </w:r>
      <w:bookmarkStart w:id="26" w:name="OLE_LINK90"/>
      <w:bookmarkStart w:id="27" w:name="OLE_LINK91"/>
      <w:bookmarkStart w:id="28" w:name="OLE_LINK14"/>
      <w:r>
        <w:rPr>
          <w:rFonts w:hint="eastAsia" w:cs="仿宋" w:asciiTheme="majorEastAsia" w:hAnsiTheme="majorEastAsia" w:eastAsiaTheme="majorEastAsia"/>
          <w:color w:val="auto"/>
          <w:sz w:val="24"/>
          <w:highlight w:val="none"/>
        </w:rPr>
        <w:t>运营管理服务</w:t>
      </w:r>
      <w:bookmarkStart w:id="29" w:name="_Hlk192001945"/>
      <w:bookmarkStart w:id="30" w:name="OLE_LINK69"/>
      <w:r>
        <w:rPr>
          <w:rFonts w:hint="eastAsia" w:cs="仿宋" w:asciiTheme="majorEastAsia" w:hAnsiTheme="majorEastAsia" w:eastAsiaTheme="majorEastAsia"/>
          <w:color w:val="auto"/>
          <w:sz w:val="24"/>
          <w:highlight w:val="none"/>
        </w:rPr>
        <w:t>费最高限价：800000元</w:t>
      </w:r>
      <w:bookmarkEnd w:id="29"/>
      <w:bookmarkEnd w:id="30"/>
      <w:r>
        <w:rPr>
          <w:rFonts w:hint="eastAsia" w:cs="仿宋" w:asciiTheme="majorEastAsia" w:hAnsiTheme="majorEastAsia" w:eastAsiaTheme="majorEastAsia"/>
          <w:color w:val="auto"/>
          <w:sz w:val="24"/>
          <w:highlight w:val="none"/>
        </w:rPr>
        <w:t>/年；安全管理和环境管理服务费最高限价</w:t>
      </w:r>
      <w:bookmarkEnd w:id="26"/>
      <w:bookmarkEnd w:id="27"/>
      <w:r>
        <w:rPr>
          <w:rFonts w:hint="eastAsia" w:cs="仿宋" w:asciiTheme="majorEastAsia" w:hAnsiTheme="majorEastAsia" w:eastAsiaTheme="majorEastAsia"/>
          <w:color w:val="auto"/>
          <w:sz w:val="24"/>
          <w:highlight w:val="none"/>
        </w:rPr>
        <w:t>：2000000元/年。</w:t>
      </w:r>
      <w:bookmarkEnd w:id="28"/>
    </w:p>
    <w:p w14:paraId="690C0347">
      <w:pPr>
        <w:pStyle w:val="7"/>
        <w:shd w:val="clear"/>
        <w:spacing w:line="360" w:lineRule="auto"/>
        <w:ind w:firstLine="480"/>
        <w:rPr>
          <w:rFonts w:cs="仿宋" w:asciiTheme="majorEastAsia" w:hAnsiTheme="majorEastAsia" w:eastAsiaTheme="majorEastAsia"/>
          <w:bCs/>
          <w:snapToGrid/>
          <w:color w:val="auto"/>
          <w:kern w:val="2"/>
          <w:sz w:val="24"/>
          <w:szCs w:val="24"/>
          <w:highlight w:val="none"/>
        </w:rPr>
      </w:pPr>
      <w:r>
        <w:rPr>
          <w:rFonts w:hint="eastAsia" w:cs="仿宋" w:asciiTheme="majorEastAsia" w:hAnsiTheme="majorEastAsia" w:eastAsiaTheme="majorEastAsia"/>
          <w:b/>
          <w:color w:val="auto"/>
          <w:sz w:val="24"/>
          <w:highlight w:val="none"/>
        </w:rPr>
        <w:t>采购需求：</w:t>
      </w:r>
      <w:r>
        <w:rPr>
          <w:rFonts w:hint="eastAsia" w:cs="仿宋" w:asciiTheme="majorEastAsia" w:hAnsiTheme="majorEastAsia" w:eastAsiaTheme="majorEastAsia"/>
          <w:color w:val="auto"/>
          <w:sz w:val="24"/>
          <w:highlight w:val="none"/>
        </w:rPr>
        <w:t>综合运营管理服务</w:t>
      </w:r>
      <w:r>
        <w:rPr>
          <w:rFonts w:hint="eastAsia" w:cs="仿宋" w:asciiTheme="majorEastAsia" w:hAnsiTheme="majorEastAsia" w:eastAsiaTheme="majorEastAsia"/>
          <w:bCs/>
          <w:snapToGrid/>
          <w:color w:val="auto"/>
          <w:kern w:val="2"/>
          <w:sz w:val="24"/>
          <w:szCs w:val="24"/>
          <w:highlight w:val="none"/>
        </w:rPr>
        <w:t>。详见招标文件第三部分采购需求。</w:t>
      </w:r>
    </w:p>
    <w:p w14:paraId="7C99BE6E">
      <w:pPr>
        <w:shd w:val="clear"/>
        <w:spacing w:line="360" w:lineRule="auto"/>
        <w:ind w:firstLine="480"/>
        <w:rPr>
          <w:rFonts w:cs="仿宋" w:asciiTheme="majorEastAsia" w:hAnsiTheme="majorEastAsia" w:eastAsiaTheme="majorEastAsia"/>
          <w:bCs/>
          <w:color w:val="auto"/>
          <w:sz w:val="24"/>
          <w:highlight w:val="none"/>
        </w:rPr>
      </w:pPr>
      <w:r>
        <w:rPr>
          <w:rFonts w:hint="eastAsia" w:cs="仿宋" w:asciiTheme="majorEastAsia" w:hAnsiTheme="majorEastAsia" w:eastAsiaTheme="majorEastAsia"/>
          <w:b/>
          <w:color w:val="auto"/>
          <w:sz w:val="24"/>
          <w:highlight w:val="none"/>
        </w:rPr>
        <w:t>合同履约期限：</w:t>
      </w:r>
      <w:r>
        <w:rPr>
          <w:rFonts w:hint="eastAsia" w:cs="仿宋" w:asciiTheme="majorEastAsia" w:hAnsiTheme="majorEastAsia" w:eastAsiaTheme="majorEastAsia"/>
          <w:bCs/>
          <w:color w:val="auto"/>
          <w:sz w:val="24"/>
          <w:highlight w:val="none"/>
        </w:rPr>
        <w:t>详见招标文件第三部分采购需求。</w:t>
      </w:r>
    </w:p>
    <w:p w14:paraId="01F70A85">
      <w:pPr>
        <w:shd w:val="clear"/>
        <w:spacing w:line="360" w:lineRule="auto"/>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二、申请人的资格要求：</w:t>
      </w:r>
    </w:p>
    <w:p w14:paraId="6C54BC52">
      <w:pPr>
        <w:shd w:val="clear"/>
        <w:spacing w:line="360" w:lineRule="auto"/>
        <w:ind w:firstLine="480"/>
        <w:rPr>
          <w:rFonts w:cs="仿宋" w:asciiTheme="majorEastAsia" w:hAnsiTheme="majorEastAsia" w:eastAsiaTheme="majorEastAsia"/>
          <w:snapToGrid w:val="0"/>
          <w:color w:val="auto"/>
          <w:kern w:val="28"/>
          <w:sz w:val="24"/>
          <w:szCs w:val="20"/>
          <w:highlight w:val="none"/>
        </w:rPr>
      </w:pPr>
      <w:r>
        <w:rPr>
          <w:rFonts w:hint="eastAsia" w:cs="仿宋" w:asciiTheme="majorEastAsia" w:hAnsiTheme="majorEastAsia" w:eastAsiaTheme="majorEastAsia"/>
          <w:snapToGrid w:val="0"/>
          <w:color w:val="auto"/>
          <w:kern w:val="28"/>
          <w:sz w:val="24"/>
          <w:szCs w:val="20"/>
          <w:highlight w:val="none"/>
        </w:rPr>
        <w:t>1. 满足《中华人民共和国政府采购法》第二十二条规定；未被“信用中国”（www.creditchina.gov.cn)、中国政府采购网（www.ccgp.gov.cn）列入失信被执行人、重大税收违法失信主体、政府采购严重违法失信行为记录名单；</w:t>
      </w:r>
    </w:p>
    <w:p w14:paraId="38D93CDB">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snapToGrid w:val="0"/>
          <w:color w:val="auto"/>
          <w:kern w:val="28"/>
          <w:sz w:val="24"/>
          <w:szCs w:val="20"/>
          <w:highlight w:val="none"/>
        </w:rPr>
        <w:t xml:space="preserve">    2.落实政府采购政策需满足的资格要求：</w:t>
      </w:r>
      <w:r>
        <w:rPr>
          <w:rFonts w:hint="eastAsia" w:cs="仿宋" w:asciiTheme="majorEastAsia" w:hAnsiTheme="majorEastAsia" w:eastAsiaTheme="majorEastAsia"/>
          <w:color w:val="auto"/>
          <w:kern w:val="0"/>
          <w:sz w:val="24"/>
          <w:highlight w:val="none"/>
        </w:rPr>
        <w:sym w:font="Wingdings" w:char="F0FE"/>
      </w:r>
      <w:r>
        <w:rPr>
          <w:rFonts w:hint="eastAsia" w:cs="仿宋" w:asciiTheme="majorEastAsia" w:hAnsiTheme="majorEastAsia" w:eastAsiaTheme="majorEastAsia"/>
          <w:color w:val="auto"/>
          <w:sz w:val="24"/>
          <w:highlight w:val="none"/>
        </w:rPr>
        <w:t>无；</w:t>
      </w:r>
    </w:p>
    <w:p w14:paraId="3A13932A">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3.本项目的特定资格要求：/。</w:t>
      </w:r>
    </w:p>
    <w:p w14:paraId="6D7B04A5">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08A39A9">
      <w:pPr>
        <w:pStyle w:val="27"/>
        <w:shd w:val="clear"/>
        <w:ind w:firstLine="480"/>
        <w:rPr>
          <w:color w:val="auto"/>
          <w:highlight w:val="none"/>
        </w:rPr>
      </w:pPr>
      <w:r>
        <w:rPr>
          <w:rFonts w:hint="eastAsia" w:cs="仿宋" w:asciiTheme="majorEastAsia" w:hAnsiTheme="majorEastAsia" w:eastAsiaTheme="majorEastAsia"/>
          <w:color w:val="auto"/>
          <w:sz w:val="24"/>
          <w:highlight w:val="none"/>
        </w:rPr>
        <w:t>5.本项目接受联合体投标：</w:t>
      </w:r>
      <w:r>
        <w:rPr>
          <w:rFonts w:hint="eastAsia" w:ascii="MS Gothic" w:hAnsi="MS Gothic" w:eastAsia="MS Gothic" w:cs="MS Gothic"/>
          <w:color w:val="auto"/>
          <w:kern w:val="0"/>
          <w:sz w:val="24"/>
          <w:highlight w:val="none"/>
        </w:rPr>
        <w:t>☐</w:t>
      </w:r>
      <w:r>
        <w:rPr>
          <w:rFonts w:hint="eastAsia" w:cs="仿宋" w:asciiTheme="majorEastAsia" w:hAnsiTheme="majorEastAsia" w:eastAsiaTheme="majorEastAsia"/>
          <w:color w:val="auto"/>
          <w:sz w:val="24"/>
          <w:highlight w:val="none"/>
        </w:rPr>
        <w:t>是，</w:t>
      </w:r>
      <w:r>
        <w:rPr>
          <w:rFonts w:hint="eastAsia" w:cs="仿宋" w:asciiTheme="majorEastAsia" w:hAnsiTheme="majorEastAsia" w:eastAsiaTheme="majorEastAsia"/>
          <w:color w:val="auto"/>
          <w:kern w:val="0"/>
          <w:sz w:val="24"/>
          <w:highlight w:val="none"/>
        </w:rPr>
        <w:sym w:font="Wingdings" w:char="F0FE"/>
      </w:r>
      <w:r>
        <w:rPr>
          <w:rFonts w:hint="eastAsia" w:cs="仿宋" w:asciiTheme="majorEastAsia" w:hAnsiTheme="majorEastAsia" w:eastAsiaTheme="majorEastAsia"/>
          <w:color w:val="auto"/>
          <w:sz w:val="24"/>
          <w:highlight w:val="none"/>
        </w:rPr>
        <w:t>否</w:t>
      </w:r>
      <w:r>
        <w:rPr>
          <w:rFonts w:hint="eastAsia" w:cs="仿宋" w:asciiTheme="majorEastAsia" w:hAnsiTheme="majorEastAsia" w:eastAsiaTheme="majorEastAsia"/>
          <w:color w:val="auto"/>
          <w:kern w:val="0"/>
          <w:sz w:val="24"/>
          <w:highlight w:val="none"/>
        </w:rPr>
        <w:t>。</w:t>
      </w:r>
    </w:p>
    <w:p w14:paraId="3762373C">
      <w:pPr>
        <w:shd w:val="clear"/>
        <w:spacing w:line="360" w:lineRule="auto"/>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 xml:space="preserve">三、获取招标文件 </w:t>
      </w:r>
    </w:p>
    <w:p w14:paraId="6BAF1445">
      <w:pPr>
        <w:shd w:val="clear"/>
        <w:spacing w:line="360" w:lineRule="auto"/>
        <w:ind w:firstLine="482"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b/>
          <w:color w:val="auto"/>
          <w:sz w:val="24"/>
          <w:highlight w:val="none"/>
        </w:rPr>
        <w:t>时间：</w:t>
      </w:r>
      <w:r>
        <w:rPr>
          <w:rFonts w:hint="eastAsia" w:cs="仿宋" w:asciiTheme="majorEastAsia" w:hAnsiTheme="majorEastAsia" w:eastAsiaTheme="majorEastAsia"/>
          <w:color w:val="auto"/>
          <w:sz w:val="24"/>
          <w:highlight w:val="none"/>
          <w:u w:val="single"/>
        </w:rPr>
        <w:t>2025年0</w:t>
      </w:r>
      <w:r>
        <w:rPr>
          <w:rFonts w:hint="eastAsia" w:cs="仿宋" w:asciiTheme="majorEastAsia" w:hAnsiTheme="majorEastAsia" w:eastAsiaTheme="majorEastAsia"/>
          <w:color w:val="auto"/>
          <w:sz w:val="24"/>
          <w:highlight w:val="none"/>
          <w:u w:val="single"/>
          <w:lang w:val="en-US" w:eastAsia="zh-CN"/>
        </w:rPr>
        <w:t>3</w:t>
      </w:r>
      <w:r>
        <w:rPr>
          <w:rFonts w:hint="eastAsia" w:cs="仿宋" w:asciiTheme="majorEastAsia" w:hAnsiTheme="majorEastAsia" w:eastAsiaTheme="majorEastAsia"/>
          <w:color w:val="auto"/>
          <w:sz w:val="24"/>
          <w:highlight w:val="none"/>
          <w:u w:val="single"/>
        </w:rPr>
        <w:t>月</w:t>
      </w:r>
      <w:r>
        <w:rPr>
          <w:rFonts w:hint="eastAsia" w:cs="仿宋" w:asciiTheme="majorEastAsia" w:hAnsiTheme="majorEastAsia" w:eastAsiaTheme="majorEastAsia"/>
          <w:color w:val="auto"/>
          <w:sz w:val="24"/>
          <w:highlight w:val="none"/>
          <w:u w:val="single"/>
          <w:lang w:val="en-US" w:eastAsia="zh-CN"/>
        </w:rPr>
        <w:t>31</w:t>
      </w:r>
      <w:r>
        <w:rPr>
          <w:rFonts w:hint="eastAsia" w:cs="仿宋" w:asciiTheme="majorEastAsia" w:hAnsiTheme="majorEastAsia" w:eastAsiaTheme="majorEastAsia"/>
          <w:color w:val="auto"/>
          <w:sz w:val="24"/>
          <w:highlight w:val="none"/>
          <w:u w:val="single"/>
        </w:rPr>
        <w:t>日</w:t>
      </w:r>
      <w:r>
        <w:rPr>
          <w:rFonts w:hint="eastAsia" w:cs="仿宋" w:asciiTheme="majorEastAsia" w:hAnsiTheme="majorEastAsia" w:eastAsiaTheme="majorEastAsia"/>
          <w:color w:val="auto"/>
          <w:sz w:val="24"/>
          <w:highlight w:val="none"/>
        </w:rPr>
        <w:t>至</w:t>
      </w:r>
      <w:r>
        <w:rPr>
          <w:rFonts w:hint="eastAsia" w:cs="仿宋" w:asciiTheme="majorEastAsia" w:hAnsiTheme="majorEastAsia" w:eastAsiaTheme="majorEastAsia"/>
          <w:color w:val="auto"/>
          <w:sz w:val="24"/>
          <w:highlight w:val="none"/>
          <w:u w:val="single"/>
        </w:rPr>
        <w:t>2025年0</w:t>
      </w:r>
      <w:r>
        <w:rPr>
          <w:rFonts w:hint="eastAsia" w:cs="仿宋" w:asciiTheme="majorEastAsia" w:hAnsiTheme="majorEastAsia" w:eastAsiaTheme="majorEastAsia"/>
          <w:color w:val="auto"/>
          <w:sz w:val="24"/>
          <w:highlight w:val="none"/>
          <w:u w:val="single"/>
          <w:lang w:val="en-US" w:eastAsia="zh-CN"/>
        </w:rPr>
        <w:t>4</w:t>
      </w:r>
      <w:r>
        <w:rPr>
          <w:rFonts w:hint="eastAsia" w:cs="仿宋" w:asciiTheme="majorEastAsia" w:hAnsiTheme="majorEastAsia" w:eastAsiaTheme="majorEastAsia"/>
          <w:color w:val="auto"/>
          <w:sz w:val="24"/>
          <w:highlight w:val="none"/>
          <w:u w:val="single"/>
        </w:rPr>
        <w:t>月0</w:t>
      </w:r>
      <w:r>
        <w:rPr>
          <w:rFonts w:hint="eastAsia" w:cs="仿宋" w:asciiTheme="majorEastAsia" w:hAnsiTheme="majorEastAsia" w:eastAsiaTheme="majorEastAsia"/>
          <w:color w:val="auto"/>
          <w:sz w:val="24"/>
          <w:highlight w:val="none"/>
          <w:u w:val="single"/>
          <w:lang w:val="en-US" w:eastAsia="zh-CN"/>
        </w:rPr>
        <w:t>8</w:t>
      </w:r>
      <w:r>
        <w:rPr>
          <w:rFonts w:hint="eastAsia" w:cs="仿宋" w:asciiTheme="majorEastAsia" w:hAnsiTheme="majorEastAsia" w:eastAsiaTheme="majorEastAsia"/>
          <w:color w:val="auto"/>
          <w:sz w:val="24"/>
          <w:highlight w:val="none"/>
          <w:u w:val="single"/>
        </w:rPr>
        <w:t>日</w:t>
      </w:r>
      <w:r>
        <w:rPr>
          <w:rFonts w:hint="eastAsia" w:cs="仿宋" w:asciiTheme="majorEastAsia" w:hAnsiTheme="majorEastAsia" w:eastAsiaTheme="majorEastAsia"/>
          <w:color w:val="auto"/>
          <w:sz w:val="24"/>
          <w:highlight w:val="none"/>
        </w:rPr>
        <w:t>，每天上午00:00至12:00 ，下午12:00至23:59（北京时间）。</w:t>
      </w:r>
    </w:p>
    <w:p w14:paraId="3290ADAD">
      <w:pPr>
        <w:shd w:val="clear"/>
        <w:spacing w:line="360" w:lineRule="auto"/>
        <w:ind w:firstLine="482"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b/>
          <w:color w:val="auto"/>
          <w:sz w:val="24"/>
          <w:highlight w:val="none"/>
        </w:rPr>
        <w:t>地点（网址）：</w:t>
      </w:r>
      <w:r>
        <w:rPr>
          <w:rFonts w:hint="eastAsia" w:cs="仿宋" w:asciiTheme="majorEastAsia" w:hAnsiTheme="majorEastAsia" w:eastAsiaTheme="majorEastAsia"/>
          <w:color w:val="auto"/>
          <w:sz w:val="24"/>
          <w:highlight w:val="none"/>
        </w:rPr>
        <w:t>乐采云平台（https://www.lecaiyun.com/）。</w:t>
      </w:r>
    </w:p>
    <w:p w14:paraId="65794941">
      <w:pPr>
        <w:shd w:val="clear"/>
        <w:spacing w:line="360" w:lineRule="auto"/>
        <w:ind w:firstLine="482"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b/>
          <w:color w:val="auto"/>
          <w:sz w:val="24"/>
          <w:highlight w:val="none"/>
        </w:rPr>
        <w:t>方式：</w:t>
      </w:r>
      <w:r>
        <w:rPr>
          <w:rFonts w:hint="eastAsia" w:cs="仿宋" w:asciiTheme="majorEastAsia" w:hAnsiTheme="majorEastAsia" w:eastAsiaTheme="majorEastAsia"/>
          <w:color w:val="auto"/>
          <w:sz w:val="24"/>
          <w:highlight w:val="none"/>
        </w:rPr>
        <w:t xml:space="preserve">供应商登录乐采云平台https://www.lecaiyun.com/在线申请获取招标文件（进入“项目采购”应用，在获取采购文件菜单中选择项目，申请获取招标文件）。 </w:t>
      </w:r>
    </w:p>
    <w:p w14:paraId="2C8FCE74">
      <w:pPr>
        <w:shd w:val="clear"/>
        <w:spacing w:line="360" w:lineRule="auto"/>
        <w:ind w:firstLine="482"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b/>
          <w:color w:val="auto"/>
          <w:sz w:val="24"/>
          <w:highlight w:val="none"/>
        </w:rPr>
        <w:t>售价（元）：</w:t>
      </w:r>
      <w:r>
        <w:rPr>
          <w:rFonts w:hint="eastAsia" w:cs="仿宋" w:asciiTheme="majorEastAsia" w:hAnsiTheme="majorEastAsia" w:eastAsiaTheme="majorEastAsia"/>
          <w:color w:val="auto"/>
          <w:sz w:val="24"/>
          <w:highlight w:val="none"/>
        </w:rPr>
        <w:t xml:space="preserve">0 </w:t>
      </w:r>
      <w:r>
        <w:rPr>
          <w:rFonts w:hint="eastAsia" w:cs="仿宋" w:asciiTheme="majorEastAsia" w:hAnsiTheme="majorEastAsia" w:eastAsiaTheme="majorEastAsia"/>
          <w:color w:val="auto"/>
          <w:sz w:val="24"/>
          <w:highlight w:val="none"/>
        </w:rPr>
        <w:tab/>
      </w:r>
    </w:p>
    <w:p w14:paraId="41714C29">
      <w:pPr>
        <w:shd w:val="clear"/>
        <w:spacing w:line="360" w:lineRule="auto"/>
        <w:rPr>
          <w:rFonts w:cs="仿宋" w:asciiTheme="majorEastAsia" w:hAnsiTheme="majorEastAsia" w:eastAsiaTheme="majorEastAsia"/>
          <w:b/>
          <w:color w:val="auto"/>
          <w:sz w:val="24"/>
          <w:highlight w:val="none"/>
        </w:rPr>
      </w:pPr>
    </w:p>
    <w:p w14:paraId="63B35621">
      <w:pPr>
        <w:shd w:val="clear"/>
        <w:spacing w:line="360" w:lineRule="auto"/>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四、提交投标文件截止时间、开标时间和地点</w:t>
      </w:r>
    </w:p>
    <w:p w14:paraId="105959D4">
      <w:pPr>
        <w:shd w:val="clear"/>
        <w:spacing w:line="360" w:lineRule="auto"/>
        <w:ind w:firstLine="482"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b/>
          <w:color w:val="auto"/>
          <w:sz w:val="24"/>
          <w:highlight w:val="none"/>
        </w:rPr>
        <w:t>提交投标文件截止时间：</w:t>
      </w:r>
      <w:r>
        <w:rPr>
          <w:rFonts w:hint="eastAsia" w:cs="仿宋" w:asciiTheme="majorEastAsia" w:hAnsiTheme="majorEastAsia" w:eastAsiaTheme="majorEastAsia"/>
          <w:color w:val="auto"/>
          <w:sz w:val="24"/>
          <w:highlight w:val="none"/>
          <w:u w:val="single"/>
        </w:rPr>
        <w:t xml:space="preserve"> 2025年0</w:t>
      </w:r>
      <w:r>
        <w:rPr>
          <w:rFonts w:hint="eastAsia" w:cs="仿宋" w:asciiTheme="majorEastAsia" w:hAnsiTheme="majorEastAsia" w:eastAsiaTheme="majorEastAsia"/>
          <w:color w:val="auto"/>
          <w:sz w:val="24"/>
          <w:highlight w:val="none"/>
          <w:u w:val="single"/>
          <w:lang w:val="en-US" w:eastAsia="zh-CN"/>
        </w:rPr>
        <w:t>4</w:t>
      </w:r>
      <w:r>
        <w:rPr>
          <w:rFonts w:hint="eastAsia" w:cs="仿宋" w:asciiTheme="majorEastAsia" w:hAnsiTheme="majorEastAsia" w:eastAsiaTheme="majorEastAsia"/>
          <w:color w:val="auto"/>
          <w:sz w:val="24"/>
          <w:highlight w:val="none"/>
          <w:u w:val="single"/>
        </w:rPr>
        <w:t>月</w:t>
      </w:r>
      <w:r>
        <w:rPr>
          <w:rFonts w:hint="eastAsia" w:cs="仿宋" w:asciiTheme="majorEastAsia" w:hAnsiTheme="majorEastAsia" w:eastAsiaTheme="majorEastAsia"/>
          <w:color w:val="auto"/>
          <w:sz w:val="24"/>
          <w:highlight w:val="none"/>
          <w:u w:val="single"/>
          <w:lang w:val="en-US" w:eastAsia="zh-CN"/>
        </w:rPr>
        <w:t>23</w:t>
      </w:r>
      <w:r>
        <w:rPr>
          <w:rFonts w:hint="eastAsia" w:cs="仿宋" w:asciiTheme="majorEastAsia" w:hAnsiTheme="majorEastAsia" w:eastAsiaTheme="majorEastAsia"/>
          <w:color w:val="auto"/>
          <w:sz w:val="24"/>
          <w:highlight w:val="none"/>
          <w:u w:val="single"/>
        </w:rPr>
        <w:t>日</w:t>
      </w:r>
      <w:r>
        <w:rPr>
          <w:rFonts w:hint="eastAsia" w:cs="仿宋" w:asciiTheme="majorEastAsia" w:hAnsiTheme="majorEastAsia" w:eastAsiaTheme="majorEastAsia"/>
          <w:color w:val="auto"/>
          <w:sz w:val="24"/>
          <w:highlight w:val="none"/>
          <w:u w:val="single"/>
          <w:lang w:val="en-US" w:eastAsia="zh-CN"/>
        </w:rPr>
        <w:t>09</w:t>
      </w:r>
      <w:r>
        <w:rPr>
          <w:rFonts w:hint="eastAsia" w:cs="仿宋" w:asciiTheme="majorEastAsia" w:hAnsiTheme="majorEastAsia" w:eastAsiaTheme="majorEastAsia"/>
          <w:color w:val="auto"/>
          <w:sz w:val="24"/>
          <w:highlight w:val="none"/>
          <w:u w:val="single"/>
        </w:rPr>
        <w:t>点00分</w:t>
      </w:r>
      <w:r>
        <w:rPr>
          <w:rFonts w:hint="eastAsia" w:cs="仿宋" w:asciiTheme="majorEastAsia" w:hAnsiTheme="majorEastAsia" w:eastAsiaTheme="majorEastAsia"/>
          <w:color w:val="auto"/>
          <w:sz w:val="24"/>
          <w:highlight w:val="none"/>
        </w:rPr>
        <w:t>（北京时间）。</w:t>
      </w:r>
    </w:p>
    <w:p w14:paraId="7F6AD85F">
      <w:pPr>
        <w:shd w:val="clear"/>
        <w:spacing w:line="360" w:lineRule="auto"/>
        <w:ind w:firstLine="482" w:firstLineChars="200"/>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投标地点（网址）：</w:t>
      </w:r>
      <w:r>
        <w:rPr>
          <w:rFonts w:hint="eastAsia" w:cs="仿宋" w:asciiTheme="majorEastAsia" w:hAnsiTheme="majorEastAsia" w:eastAsiaTheme="majorEastAsia"/>
          <w:color w:val="auto"/>
          <w:sz w:val="24"/>
          <w:highlight w:val="none"/>
        </w:rPr>
        <w:t>乐采云平台（https://www.lecaiyun.com/）。</w:t>
      </w:r>
    </w:p>
    <w:p w14:paraId="6F1BC984">
      <w:pPr>
        <w:shd w:val="clear"/>
        <w:spacing w:line="360" w:lineRule="auto"/>
        <w:ind w:firstLine="482" w:firstLineChars="200"/>
        <w:rPr>
          <w:rFonts w:cs="仿宋" w:asciiTheme="majorEastAsia" w:hAnsiTheme="majorEastAsia" w:eastAsiaTheme="majorEastAsia"/>
          <w:bCs/>
          <w:color w:val="auto"/>
          <w:sz w:val="24"/>
          <w:highlight w:val="none"/>
          <w:u w:val="single"/>
        </w:rPr>
      </w:pPr>
      <w:r>
        <w:rPr>
          <w:rFonts w:hint="eastAsia" w:cs="仿宋" w:asciiTheme="majorEastAsia" w:hAnsiTheme="majorEastAsia" w:eastAsiaTheme="majorEastAsia"/>
          <w:b/>
          <w:color w:val="auto"/>
          <w:sz w:val="24"/>
          <w:highlight w:val="none"/>
        </w:rPr>
        <w:t>开标时间：</w:t>
      </w:r>
      <w:r>
        <w:rPr>
          <w:rFonts w:hint="eastAsia" w:cs="仿宋" w:asciiTheme="majorEastAsia" w:hAnsiTheme="majorEastAsia" w:eastAsiaTheme="majorEastAsia"/>
          <w:color w:val="auto"/>
          <w:sz w:val="24"/>
          <w:highlight w:val="none"/>
          <w:u w:val="single"/>
        </w:rPr>
        <w:t>2025年0</w:t>
      </w:r>
      <w:r>
        <w:rPr>
          <w:rFonts w:hint="eastAsia" w:cs="仿宋" w:asciiTheme="majorEastAsia" w:hAnsiTheme="majorEastAsia" w:eastAsiaTheme="majorEastAsia"/>
          <w:color w:val="auto"/>
          <w:sz w:val="24"/>
          <w:highlight w:val="none"/>
          <w:u w:val="single"/>
          <w:lang w:val="en-US" w:eastAsia="zh-CN"/>
        </w:rPr>
        <w:t>4</w:t>
      </w:r>
      <w:r>
        <w:rPr>
          <w:rFonts w:hint="eastAsia" w:cs="仿宋" w:asciiTheme="majorEastAsia" w:hAnsiTheme="majorEastAsia" w:eastAsiaTheme="majorEastAsia"/>
          <w:color w:val="auto"/>
          <w:sz w:val="24"/>
          <w:highlight w:val="none"/>
          <w:u w:val="single"/>
        </w:rPr>
        <w:t>月</w:t>
      </w:r>
      <w:r>
        <w:rPr>
          <w:rFonts w:hint="eastAsia" w:cs="仿宋" w:asciiTheme="majorEastAsia" w:hAnsiTheme="majorEastAsia" w:eastAsiaTheme="majorEastAsia"/>
          <w:color w:val="auto"/>
          <w:sz w:val="24"/>
          <w:highlight w:val="none"/>
          <w:u w:val="single"/>
          <w:lang w:val="en-US" w:eastAsia="zh-CN"/>
        </w:rPr>
        <w:t>23</w:t>
      </w:r>
      <w:r>
        <w:rPr>
          <w:rFonts w:hint="eastAsia" w:cs="仿宋" w:asciiTheme="majorEastAsia" w:hAnsiTheme="majorEastAsia" w:eastAsiaTheme="majorEastAsia"/>
          <w:color w:val="auto"/>
          <w:sz w:val="24"/>
          <w:highlight w:val="none"/>
          <w:u w:val="single"/>
        </w:rPr>
        <w:t>日</w:t>
      </w:r>
      <w:r>
        <w:rPr>
          <w:rFonts w:hint="eastAsia" w:cs="仿宋" w:asciiTheme="majorEastAsia" w:hAnsiTheme="majorEastAsia" w:eastAsiaTheme="majorEastAsia"/>
          <w:color w:val="auto"/>
          <w:sz w:val="24"/>
          <w:highlight w:val="none"/>
          <w:u w:val="single"/>
          <w:lang w:val="en-US" w:eastAsia="zh-CN"/>
        </w:rPr>
        <w:t>09</w:t>
      </w:r>
      <w:r>
        <w:rPr>
          <w:rFonts w:hint="eastAsia" w:cs="仿宋" w:asciiTheme="majorEastAsia" w:hAnsiTheme="majorEastAsia" w:eastAsiaTheme="majorEastAsia"/>
          <w:color w:val="auto"/>
          <w:sz w:val="24"/>
          <w:highlight w:val="none"/>
          <w:u w:val="single"/>
        </w:rPr>
        <w:t>点00分</w:t>
      </w:r>
      <w:r>
        <w:rPr>
          <w:rFonts w:hint="eastAsia" w:cs="仿宋" w:asciiTheme="majorEastAsia" w:hAnsiTheme="majorEastAsia" w:eastAsiaTheme="majorEastAsia"/>
          <w:bCs/>
          <w:color w:val="auto"/>
          <w:sz w:val="24"/>
          <w:highlight w:val="none"/>
        </w:rPr>
        <w:t>。</w:t>
      </w:r>
    </w:p>
    <w:p w14:paraId="6527F34D">
      <w:pPr>
        <w:shd w:val="clear"/>
        <w:spacing w:line="360" w:lineRule="auto"/>
        <w:ind w:firstLine="482"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b/>
          <w:color w:val="auto"/>
          <w:sz w:val="24"/>
          <w:highlight w:val="none"/>
        </w:rPr>
        <w:t>开标地点（网址）：</w:t>
      </w:r>
      <w:r>
        <w:rPr>
          <w:rFonts w:hint="eastAsia" w:cs="仿宋" w:asciiTheme="majorEastAsia" w:hAnsiTheme="majorEastAsia" w:eastAsiaTheme="majorEastAsia"/>
          <w:color w:val="auto"/>
          <w:sz w:val="24"/>
          <w:highlight w:val="none"/>
        </w:rPr>
        <w:t>乐采云平台（https://www.lecaiyun.com/）。</w:t>
      </w:r>
    </w:p>
    <w:p w14:paraId="4B039FB8">
      <w:pPr>
        <w:shd w:val="clear"/>
        <w:spacing w:line="360" w:lineRule="auto"/>
        <w:ind w:firstLine="482" w:firstLineChars="200"/>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开标地点（线下）：</w:t>
      </w:r>
      <w:r>
        <w:rPr>
          <w:rFonts w:hint="eastAsia" w:cs="仿宋" w:asciiTheme="majorEastAsia" w:hAnsiTheme="majorEastAsia" w:eastAsiaTheme="majorEastAsia"/>
          <w:bCs/>
          <w:color w:val="auto"/>
          <w:sz w:val="24"/>
          <w:highlight w:val="none"/>
        </w:rPr>
        <w:t>宁波市奉化区公共资源交易中心开标厅</w:t>
      </w:r>
      <w:r>
        <w:rPr>
          <w:rFonts w:hint="eastAsia" w:cs="仿宋" w:asciiTheme="majorEastAsia" w:hAnsiTheme="majorEastAsia" w:eastAsiaTheme="majorEastAsia"/>
          <w:bCs/>
          <w:color w:val="auto"/>
          <w:sz w:val="24"/>
          <w:highlight w:val="none"/>
          <w:lang w:val="en-US" w:eastAsia="zh-CN"/>
        </w:rPr>
        <w:t>一</w:t>
      </w:r>
      <w:r>
        <w:rPr>
          <w:rFonts w:hint="eastAsia" w:cs="仿宋" w:asciiTheme="majorEastAsia" w:hAnsiTheme="majorEastAsia" w:eastAsiaTheme="majorEastAsia"/>
          <w:bCs/>
          <w:color w:val="auto"/>
          <w:sz w:val="24"/>
          <w:highlight w:val="none"/>
        </w:rPr>
        <w:t>（宁波市奉化区大成东路277号4楼）</w:t>
      </w:r>
    </w:p>
    <w:p w14:paraId="377EE8A8">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b/>
          <w:color w:val="auto"/>
          <w:sz w:val="24"/>
          <w:highlight w:val="none"/>
        </w:rPr>
        <w:t xml:space="preserve">五、公告期限 </w:t>
      </w:r>
    </w:p>
    <w:p w14:paraId="54DF5EBA">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自本公告发布之日起5个工作日。</w:t>
      </w:r>
    </w:p>
    <w:p w14:paraId="3CBC8967">
      <w:pPr>
        <w:shd w:val="clear"/>
        <w:spacing w:line="360" w:lineRule="auto"/>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六、其他补充事宜</w:t>
      </w:r>
    </w:p>
    <w:p w14:paraId="7B8DD728">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监督管理部门投诉。</w:t>
      </w:r>
    </w:p>
    <w:p w14:paraId="639F5D2F">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其他事项：（1）需要落实的政府采购政策：包括节约资源、保护环境、支持创新、促进中小企业发展等。详见招标文件的第二部分总则。（2）电子招投标的说明：①电子招投标：本项目以数据电文形式，依托“乐采云平台（</w:t>
      </w:r>
      <w:bookmarkStart w:id="31" w:name="OLE_LINK48"/>
      <w:r>
        <w:rPr>
          <w:rFonts w:hint="eastAsia" w:cs="仿宋" w:asciiTheme="majorEastAsia" w:hAnsiTheme="majorEastAsia" w:eastAsiaTheme="majorEastAsia"/>
          <w:color w:val="auto"/>
          <w:sz w:val="24"/>
          <w:highlight w:val="none"/>
        </w:rPr>
        <w:t>https://www.lecaiyun.com/</w:t>
      </w:r>
      <w:bookmarkEnd w:id="31"/>
      <w:r>
        <w:rPr>
          <w:rFonts w:hint="eastAsia" w:cs="仿宋" w:asciiTheme="majorEastAsia" w:hAnsiTheme="majorEastAsia" w:eastAsiaTheme="majorEastAsia"/>
          <w:color w:val="auto"/>
          <w:sz w:val="24"/>
          <w:highlight w:val="none"/>
        </w:rPr>
        <w:t>）”进行招投标活动，不接受纸质投标文件；②投标准备：注册账号--点击“商家入驻”，进行政府采购供应商资料填写；申领CA数字证书---申领流程详见“浙江企业采购信息服务网-下载专区-电子交易客户端-CA驱动和申领流程”；安装“乐采云电子交易客户端”----前往“浙江企业采购信息服务网-下载专区-电子交易客户端”进行下载并安装；</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sz w:val="24"/>
          <w:highlight w:val="none"/>
        </w:rPr>
        <w:t>在开标前应确保成为浙江企业采购信息服务网正式注册入库供应商，并完成CA数字证书办理。完成CA数字证书办理在资料齐全的情况下预计7个工作日左右，请各</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sz w:val="24"/>
          <w:highlight w:val="none"/>
        </w:rPr>
        <w:t>合理预估时间，及时办理。③招标文件的获取：使用账号登录或者使用CA登录乐采云平台；进入“项目采购”应用，在获取采购文件菜单中选择项目，获取招标文件；④投标文件的制作：在“乐采云电子交易客户端”中完成“填写基本信息”、“导入投标文件”、“标书关联”、“标书检查”、“电子签名”、“生成电子标书”等操作；⑤采购人、采购代理机构将依托乐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⑥对未按上述方式获取招标文件的供应商对该文件提出的质疑，采购人或采购代理机构将不予处理；⑦不提供招标文件纸质版；⑧投标文件的解密：</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sz w:val="24"/>
          <w:highlight w:val="none"/>
        </w:rPr>
        <w:t>按照平台提示和招标文件的规定在半小时内完成在线解密。⑨具体操作指南：详见乐采云平台“服务中心-帮助文档-项目采购-操作流程-电子招投标-政府采购项目电子交易管理操作指南-供应商”。</w:t>
      </w:r>
    </w:p>
    <w:p w14:paraId="7D6EE261">
      <w:pPr>
        <w:shd w:val="clear"/>
        <w:spacing w:line="360" w:lineRule="auto"/>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七、对本次采购提出询问、质疑、投诉，请按以下方式联系</w:t>
      </w:r>
    </w:p>
    <w:p w14:paraId="6DDD11C8">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   1.采购人信息</w:t>
      </w:r>
    </w:p>
    <w:p w14:paraId="26CC5F82">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名 称：</w:t>
      </w:r>
      <w:bookmarkStart w:id="32" w:name="OLE_LINK51"/>
      <w:bookmarkStart w:id="33" w:name="OLE_LINK63"/>
      <w:bookmarkStart w:id="34" w:name="OLE_LINK53"/>
      <w:r>
        <w:rPr>
          <w:rFonts w:hint="eastAsia" w:cs="仿宋" w:asciiTheme="majorEastAsia" w:hAnsiTheme="majorEastAsia" w:eastAsiaTheme="majorEastAsia"/>
          <w:color w:val="auto"/>
          <w:sz w:val="24"/>
          <w:highlight w:val="none"/>
        </w:rPr>
        <w:t>宁波宁南汇诚科技发展有限公司</w:t>
      </w:r>
      <w:bookmarkEnd w:id="32"/>
      <w:bookmarkEnd w:id="33"/>
      <w:bookmarkEnd w:id="34"/>
    </w:p>
    <w:p w14:paraId="11DDF950">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联系地址：</w:t>
      </w:r>
      <w:r>
        <w:rPr>
          <w:rFonts w:cs="仿宋" w:asciiTheme="majorEastAsia" w:hAnsiTheme="majorEastAsia" w:eastAsiaTheme="majorEastAsia"/>
          <w:color w:val="auto"/>
          <w:sz w:val="24"/>
          <w:highlight w:val="none"/>
        </w:rPr>
        <w:t>浙江省宁波市奉化区方桥街道方桥工业区方港</w:t>
      </w:r>
      <w:r>
        <w:rPr>
          <w:rFonts w:hint="eastAsia" w:cs="仿宋" w:asciiTheme="majorEastAsia" w:hAnsiTheme="majorEastAsia" w:eastAsiaTheme="majorEastAsia"/>
          <w:color w:val="auto"/>
          <w:sz w:val="24"/>
          <w:highlight w:val="none"/>
        </w:rPr>
        <w:t>路10号</w:t>
      </w:r>
    </w:p>
    <w:p w14:paraId="79EEE3BB">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联系人：李先生</w:t>
      </w:r>
    </w:p>
    <w:p w14:paraId="191EF0BE">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联系方式：0574-88608958</w:t>
      </w:r>
    </w:p>
    <w:p w14:paraId="067CC1F2">
      <w:pPr>
        <w:shd w:val="clear"/>
        <w:spacing w:line="360" w:lineRule="auto"/>
        <w:ind w:firstLine="240" w:firstLineChars="1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2.采购代理机构信息</w:t>
      </w:r>
    </w:p>
    <w:p w14:paraId="758505AD">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名 称：宁波敬信项目管理咨询有限公司</w:t>
      </w:r>
    </w:p>
    <w:p w14:paraId="2A62F272">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地　址：宁波市奉化区岳林东路商业二16幢502室（惠政丽都北门）　　</w:t>
      </w:r>
    </w:p>
    <w:p w14:paraId="11E1EE3A">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执行联系人：罗女士                 联系方式：0574-88986386</w:t>
      </w:r>
    </w:p>
    <w:p w14:paraId="269A402F">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质疑答复联系人：卓先生          　 联系方式：0574-88986375</w:t>
      </w:r>
    </w:p>
    <w:p w14:paraId="71689853">
      <w:pPr>
        <w:shd w:val="clear"/>
        <w:spacing w:line="360" w:lineRule="auto"/>
        <w:ind w:firstLine="240" w:firstLineChars="1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3.监督管理部门</w:t>
      </w:r>
    </w:p>
    <w:p w14:paraId="0B43C422">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名    称：</w:t>
      </w:r>
      <w:r>
        <w:rPr>
          <w:rFonts w:hint="eastAsia"/>
          <w:color w:val="auto"/>
          <w:sz w:val="24"/>
          <w:highlight w:val="none"/>
        </w:rPr>
        <w:t>宁波宁南新城国有资产经营管理有限责任公司纪检监察（审计）室</w:t>
      </w:r>
    </w:p>
    <w:p w14:paraId="606AB6DF">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地    址：</w:t>
      </w:r>
      <w:r>
        <w:rPr>
          <w:rFonts w:hint="eastAsia"/>
          <w:color w:val="auto"/>
          <w:sz w:val="24"/>
          <w:highlight w:val="none"/>
        </w:rPr>
        <w:t>奉化区方桥街道方港路10号</w:t>
      </w:r>
    </w:p>
    <w:p w14:paraId="622985B2">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联 系 人 ：</w:t>
      </w:r>
      <w:r>
        <w:rPr>
          <w:rFonts w:hint="eastAsia"/>
          <w:bCs/>
          <w:color w:val="auto"/>
          <w:sz w:val="24"/>
          <w:highlight w:val="none"/>
        </w:rPr>
        <w:t>马女士</w:t>
      </w:r>
    </w:p>
    <w:p w14:paraId="4834BDD6">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监督投诉电话：</w:t>
      </w:r>
      <w:r>
        <w:rPr>
          <w:bCs/>
          <w:color w:val="auto"/>
          <w:sz w:val="24"/>
          <w:highlight w:val="none"/>
        </w:rPr>
        <w:t>0574-88682807</w:t>
      </w:r>
    </w:p>
    <w:p w14:paraId="01F5065A">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若对项目采购电子交易系统操作有疑问，可登录乐采云（https://www.lecaiyun.com/），点击右侧咨询小采，获取采小蜜智能服务管家帮助，或拨打乐采云服务热线400-881-7190获取热线服务帮助。</w:t>
      </w:r>
    </w:p>
    <w:p w14:paraId="64392300">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CA问题联系电话（人工）：汇信CA 400-888-4636；天谷CA 400-087-8198。</w:t>
      </w:r>
    </w:p>
    <w:p w14:paraId="5AC39FFF">
      <w:pPr>
        <w:pStyle w:val="11"/>
        <w:shd w:val="clear"/>
        <w:spacing w:line="360" w:lineRule="auto"/>
        <w:ind w:firstLine="480" w:firstLineChars="200"/>
        <w:rPr>
          <w:rFonts w:cs="仿宋" w:asciiTheme="majorEastAsia" w:hAnsiTheme="majorEastAsia" w:eastAsiaTheme="majorEastAsia"/>
          <w:color w:val="auto"/>
          <w:sz w:val="24"/>
          <w:szCs w:val="24"/>
          <w:highlight w:val="none"/>
        </w:rPr>
      </w:pPr>
    </w:p>
    <w:p w14:paraId="6FBE6418">
      <w:pPr>
        <w:shd w:val="clear"/>
        <w:spacing w:line="360" w:lineRule="auto"/>
        <w:jc w:val="center"/>
        <w:outlineLvl w:val="0"/>
        <w:rPr>
          <w:rFonts w:cs="仿宋" w:asciiTheme="majorEastAsia" w:hAnsiTheme="majorEastAsia" w:eastAsiaTheme="majorEastAsia"/>
          <w:b/>
          <w:color w:val="auto"/>
          <w:sz w:val="36"/>
          <w:szCs w:val="20"/>
          <w:highlight w:val="none"/>
        </w:rPr>
      </w:pPr>
      <w:r>
        <w:rPr>
          <w:rFonts w:hint="eastAsia" w:cs="仿宋" w:asciiTheme="majorEastAsia" w:hAnsiTheme="majorEastAsia" w:eastAsiaTheme="majorEastAsia"/>
          <w:b/>
          <w:color w:val="auto"/>
          <w:sz w:val="36"/>
          <w:szCs w:val="20"/>
          <w:highlight w:val="none"/>
        </w:rPr>
        <w:br w:type="page"/>
      </w:r>
      <w:r>
        <w:rPr>
          <w:rFonts w:hint="eastAsia" w:cs="仿宋" w:asciiTheme="majorEastAsia" w:hAnsiTheme="majorEastAsia" w:eastAsiaTheme="majorEastAsia"/>
          <w:b/>
          <w:color w:val="auto"/>
          <w:sz w:val="36"/>
          <w:szCs w:val="20"/>
          <w:highlight w:val="none"/>
        </w:rPr>
        <w:t>第二部分</w:t>
      </w:r>
      <w:bookmarkEnd w:id="13"/>
      <w:r>
        <w:rPr>
          <w:rFonts w:hint="eastAsia" w:cs="仿宋" w:asciiTheme="majorEastAsia" w:hAnsiTheme="majorEastAsia" w:eastAsiaTheme="majorEastAsia"/>
          <w:b/>
          <w:color w:val="auto"/>
          <w:sz w:val="36"/>
          <w:szCs w:val="20"/>
          <w:highlight w:val="none"/>
        </w:rPr>
        <w:t xml:space="preserve"> 投标须知</w:t>
      </w:r>
      <w:bookmarkEnd w:id="14"/>
    </w:p>
    <w:p w14:paraId="1C343DB2">
      <w:pPr>
        <w:shd w:val="clear"/>
        <w:snapToGrid w:val="0"/>
        <w:spacing w:line="360" w:lineRule="auto"/>
        <w:jc w:val="center"/>
        <w:rPr>
          <w:rFonts w:cs="仿宋" w:asciiTheme="majorEastAsia" w:hAnsiTheme="majorEastAsia" w:eastAsiaTheme="majorEastAsia"/>
          <w:b/>
          <w:color w:val="auto"/>
          <w:sz w:val="32"/>
          <w:szCs w:val="20"/>
          <w:highlight w:val="none"/>
        </w:rPr>
      </w:pPr>
      <w:r>
        <w:rPr>
          <w:rFonts w:hint="eastAsia" w:cs="仿宋" w:asciiTheme="majorEastAsia" w:hAnsiTheme="majorEastAsia" w:eastAsiaTheme="majorEastAsia"/>
          <w:b/>
          <w:color w:val="auto"/>
          <w:sz w:val="32"/>
          <w:szCs w:val="20"/>
          <w:highlight w:val="none"/>
        </w:rPr>
        <w:t>前附表</w:t>
      </w:r>
    </w:p>
    <w:tbl>
      <w:tblPr>
        <w:tblStyle w:val="21"/>
        <w:tblW w:w="9134"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662"/>
      </w:tblGrid>
      <w:tr w14:paraId="0116D4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46951936">
            <w:pPr>
              <w:shd w:val="clear"/>
              <w:snapToGrid w:val="0"/>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2C902CAB">
            <w:pPr>
              <w:shd w:val="clear"/>
              <w:snapToGrid w:val="0"/>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事项</w:t>
            </w:r>
          </w:p>
        </w:tc>
        <w:tc>
          <w:tcPr>
            <w:tcW w:w="6662" w:type="dxa"/>
            <w:tcBorders>
              <w:top w:val="single" w:color="000000" w:sz="8" w:space="0"/>
              <w:left w:val="single" w:color="000000" w:sz="2" w:space="0"/>
              <w:bottom w:val="single" w:color="000000" w:sz="8" w:space="0"/>
              <w:right w:val="single" w:color="000000" w:sz="8" w:space="0"/>
            </w:tcBorders>
            <w:vAlign w:val="center"/>
          </w:tcPr>
          <w:p w14:paraId="05B4AAFF">
            <w:pPr>
              <w:shd w:val="clear"/>
              <w:snapToGrid w:val="0"/>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本项目的特别规定</w:t>
            </w:r>
          </w:p>
        </w:tc>
      </w:tr>
      <w:tr w14:paraId="35CA68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272" w:hRule="atLeast"/>
          <w:tblHeader/>
        </w:trPr>
        <w:tc>
          <w:tcPr>
            <w:tcW w:w="629" w:type="dxa"/>
            <w:tcBorders>
              <w:top w:val="single" w:color="auto" w:sz="4" w:space="0"/>
              <w:left w:val="single" w:color="auto" w:sz="4" w:space="0"/>
              <w:bottom w:val="single" w:color="auto" w:sz="4" w:space="0"/>
              <w:right w:val="single" w:color="auto" w:sz="4" w:space="0"/>
            </w:tcBorders>
          </w:tcPr>
          <w:p w14:paraId="5FA1473C">
            <w:pPr>
              <w:shd w:val="clear"/>
              <w:snapToGrid w:val="0"/>
              <w:spacing w:line="360" w:lineRule="auto"/>
              <w:jc w:val="center"/>
              <w:rPr>
                <w:rFonts w:cs="仿宋" w:asciiTheme="majorEastAsia" w:hAnsiTheme="majorEastAsia" w:eastAsiaTheme="majorEastAsia"/>
                <w:color w:val="auto"/>
                <w:sz w:val="24"/>
                <w:highlight w:val="none"/>
              </w:rPr>
            </w:pPr>
          </w:p>
          <w:p w14:paraId="391D309C">
            <w:pPr>
              <w:shd w:val="clear"/>
              <w:snapToGrid w:val="0"/>
              <w:spacing w:line="360" w:lineRule="auto"/>
              <w:jc w:val="center"/>
              <w:rPr>
                <w:rFonts w:cs="仿宋" w:asciiTheme="majorEastAsia" w:hAnsiTheme="majorEastAsia" w:eastAsiaTheme="majorEastAsia"/>
                <w:color w:val="auto"/>
                <w:sz w:val="24"/>
                <w:highlight w:val="none"/>
              </w:rPr>
            </w:pPr>
          </w:p>
          <w:p w14:paraId="03CE7E50">
            <w:pPr>
              <w:shd w:val="clear"/>
              <w:snapToGrid w:val="0"/>
              <w:spacing w:line="360" w:lineRule="auto"/>
              <w:jc w:val="center"/>
              <w:rPr>
                <w:rFonts w:cs="仿宋" w:asciiTheme="majorEastAsia" w:hAnsiTheme="majorEastAsia" w:eastAsiaTheme="majorEastAsia"/>
                <w:color w:val="auto"/>
                <w:sz w:val="24"/>
                <w:highlight w:val="none"/>
              </w:rPr>
            </w:pPr>
          </w:p>
          <w:p w14:paraId="1101AD87">
            <w:pPr>
              <w:shd w:val="clear"/>
              <w:snapToGrid w:val="0"/>
              <w:spacing w:line="360" w:lineRule="auto"/>
              <w:jc w:val="center"/>
              <w:rPr>
                <w:rFonts w:cs="仿宋" w:asciiTheme="majorEastAsia" w:hAnsiTheme="majorEastAsia" w:eastAsiaTheme="majorEastAsia"/>
                <w:color w:val="auto"/>
                <w:sz w:val="24"/>
                <w:highlight w:val="none"/>
              </w:rPr>
            </w:pPr>
          </w:p>
          <w:p w14:paraId="4DD594FA">
            <w:pPr>
              <w:shd w:val="clear"/>
              <w:snapToGrid w:val="0"/>
              <w:spacing w:line="360" w:lineRule="auto"/>
              <w:jc w:val="center"/>
              <w:rPr>
                <w:rFonts w:cs="仿宋" w:asciiTheme="majorEastAsia" w:hAnsiTheme="majorEastAsia" w:eastAsiaTheme="majorEastAsia"/>
                <w:color w:val="auto"/>
                <w:sz w:val="24"/>
                <w:highlight w:val="none"/>
              </w:rPr>
            </w:pPr>
          </w:p>
          <w:p w14:paraId="3C759B58">
            <w:pPr>
              <w:shd w:val="clear"/>
              <w:snapToGrid w:val="0"/>
              <w:spacing w:line="360" w:lineRule="auto"/>
              <w:jc w:val="center"/>
              <w:rPr>
                <w:rFonts w:cs="仿宋" w:asciiTheme="majorEastAsia" w:hAnsiTheme="majorEastAsia" w:eastAsiaTheme="majorEastAsia"/>
                <w:color w:val="auto"/>
                <w:sz w:val="24"/>
                <w:highlight w:val="none"/>
              </w:rPr>
            </w:pPr>
          </w:p>
          <w:p w14:paraId="09A6AEBD">
            <w:pPr>
              <w:shd w:val="clear"/>
              <w:snapToGrid w:val="0"/>
              <w:spacing w:line="360" w:lineRule="auto"/>
              <w:jc w:val="center"/>
              <w:rPr>
                <w:rFonts w:cs="仿宋" w:asciiTheme="majorEastAsia" w:hAnsiTheme="majorEastAsia" w:eastAsiaTheme="majorEastAsia"/>
                <w:color w:val="auto"/>
                <w:sz w:val="24"/>
                <w:highlight w:val="none"/>
              </w:rPr>
            </w:pPr>
          </w:p>
          <w:p w14:paraId="537E497C">
            <w:pPr>
              <w:shd w:val="clear"/>
              <w:snapToGrid w:val="0"/>
              <w:spacing w:line="360" w:lineRule="auto"/>
              <w:jc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949F932">
            <w:pPr>
              <w:shd w:val="clear"/>
              <w:snapToGrid w:val="0"/>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报价要求</w:t>
            </w:r>
          </w:p>
        </w:tc>
        <w:tc>
          <w:tcPr>
            <w:tcW w:w="6662" w:type="dxa"/>
            <w:tcBorders>
              <w:top w:val="single" w:color="000000" w:sz="8" w:space="0"/>
              <w:left w:val="single" w:color="000000" w:sz="2" w:space="0"/>
              <w:bottom w:val="single" w:color="000000" w:sz="8" w:space="0"/>
              <w:right w:val="single" w:color="000000" w:sz="8" w:space="0"/>
            </w:tcBorders>
            <w:vAlign w:val="center"/>
          </w:tcPr>
          <w:p w14:paraId="2EEA898C">
            <w:pPr>
              <w:shd w:val="clear"/>
              <w:snapToGrid w:val="0"/>
              <w:spacing w:line="360" w:lineRule="auto"/>
              <w:jc w:val="left"/>
              <w:rPr>
                <w:rFonts w:cs="仿宋" w:asciiTheme="majorEastAsia" w:hAnsiTheme="majorEastAsia" w:eastAsiaTheme="majorEastAsia"/>
                <w:b/>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有关本项目实施所需的所有费用（含税费）均计入报价。</w:t>
            </w:r>
            <w:r>
              <w:rPr>
                <w:rFonts w:hint="eastAsia" w:cs="仿宋" w:asciiTheme="majorEastAsia" w:hAnsiTheme="majorEastAsia" w:eastAsiaTheme="majorEastAsia"/>
                <w:color w:val="auto"/>
                <w:sz w:val="24"/>
                <w:highlight w:val="none"/>
              </w:rPr>
              <w:t>开标一览表是报价的唯一载体</w:t>
            </w:r>
            <w:r>
              <w:rPr>
                <w:rFonts w:hint="eastAsia" w:cs="仿宋" w:asciiTheme="majorEastAsia" w:hAnsiTheme="majorEastAsia" w:eastAsiaTheme="majorEastAsia"/>
                <w:color w:val="auto"/>
                <w:kern w:val="0"/>
                <w:sz w:val="24"/>
                <w:highlight w:val="none"/>
                <w:lang w:val="zh-CN"/>
              </w:rPr>
              <w:t>。投标文件中价格全部采用人民币报价。招标文件未列明，而供应商认为必需的费用也需列入报价。</w:t>
            </w:r>
          </w:p>
          <w:p w14:paraId="1E466033">
            <w:pPr>
              <w:shd w:val="clear"/>
              <w:snapToGrid w:val="0"/>
              <w:spacing w:line="360" w:lineRule="auto"/>
              <w:jc w:val="left"/>
              <w:rPr>
                <w:rFonts w:cs="仿宋" w:asciiTheme="majorEastAsia" w:hAnsiTheme="majorEastAsia" w:eastAsiaTheme="majorEastAsia"/>
                <w:b/>
                <w:color w:val="auto"/>
                <w:kern w:val="0"/>
                <w:sz w:val="24"/>
                <w:highlight w:val="none"/>
                <w:lang w:val="zh-CN"/>
              </w:rPr>
            </w:pPr>
            <w:r>
              <w:rPr>
                <w:rFonts w:hint="eastAsia" w:cs="仿宋" w:asciiTheme="majorEastAsia" w:hAnsiTheme="majorEastAsia" w:eastAsiaTheme="majorEastAsia"/>
                <w:b/>
                <w:color w:val="auto"/>
                <w:kern w:val="0"/>
                <w:sz w:val="24"/>
                <w:highlight w:val="none"/>
                <w:lang w:val="zh-CN"/>
              </w:rPr>
              <w:t>投标报价出现下列情形的，投标无效：</w:t>
            </w:r>
          </w:p>
          <w:p w14:paraId="2E08C4BA">
            <w:pPr>
              <w:shd w:val="clear"/>
              <w:snapToGrid w:val="0"/>
              <w:spacing w:line="360" w:lineRule="auto"/>
              <w:ind w:firstLine="241" w:firstLineChars="100"/>
              <w:jc w:val="left"/>
              <w:rPr>
                <w:rFonts w:cs="仿宋" w:asciiTheme="majorEastAsia" w:hAnsiTheme="majorEastAsia" w:eastAsiaTheme="majorEastAsia"/>
                <w:b/>
                <w:color w:val="auto"/>
                <w:kern w:val="0"/>
                <w:sz w:val="24"/>
                <w:highlight w:val="none"/>
                <w:lang w:val="zh-CN"/>
              </w:rPr>
            </w:pPr>
            <w:r>
              <w:rPr>
                <w:rFonts w:hint="eastAsia" w:cs="仿宋" w:asciiTheme="majorEastAsia" w:hAnsiTheme="majorEastAsia" w:eastAsiaTheme="majorEastAsia"/>
                <w:b/>
                <w:color w:val="auto"/>
                <w:kern w:val="0"/>
                <w:sz w:val="24"/>
                <w:highlight w:val="none"/>
                <w:lang w:val="zh-CN"/>
              </w:rPr>
              <w:t>投标文件出现不是唯一的、有选择性投标报价的；</w:t>
            </w:r>
          </w:p>
          <w:p w14:paraId="59ACB37B">
            <w:pPr>
              <w:shd w:val="clear"/>
              <w:snapToGrid w:val="0"/>
              <w:spacing w:line="360" w:lineRule="auto"/>
              <w:ind w:firstLine="241" w:firstLineChars="100"/>
              <w:jc w:val="left"/>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b/>
                <w:color w:val="auto"/>
                <w:kern w:val="0"/>
                <w:sz w:val="24"/>
                <w:highlight w:val="none"/>
                <w:lang w:val="zh-CN"/>
              </w:rPr>
              <w:t xml:space="preserve">投标报价超过招标文件中规定的预算金额或者最高限价的; </w:t>
            </w:r>
          </w:p>
          <w:p w14:paraId="7855342B">
            <w:pPr>
              <w:shd w:val="clear"/>
              <w:spacing w:line="360" w:lineRule="auto"/>
              <w:ind w:firstLine="241" w:firstLineChars="100"/>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kern w:val="0"/>
                <w:sz w:val="24"/>
                <w:highlight w:val="none"/>
              </w:rPr>
              <w:t>报价明显低于其他通过符合性审查供应商的报价，有可能影响产品质量或者不能诚信履约的，未能按要求提供书面说明或者提交相关证明材料证明其报价合理性的</w:t>
            </w:r>
            <w:r>
              <w:rPr>
                <w:rFonts w:hint="eastAsia" w:cs="仿宋" w:asciiTheme="majorEastAsia" w:hAnsiTheme="majorEastAsia" w:eastAsiaTheme="majorEastAsia"/>
                <w:b/>
                <w:color w:val="auto"/>
                <w:sz w:val="24"/>
                <w:szCs w:val="21"/>
                <w:highlight w:val="none"/>
              </w:rPr>
              <w:t>;</w:t>
            </w:r>
          </w:p>
          <w:p w14:paraId="0DDF2125">
            <w:pPr>
              <w:shd w:val="clear"/>
              <w:spacing w:line="360" w:lineRule="auto"/>
              <w:ind w:firstLine="241" w:firstLineChars="1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b/>
                <w:color w:val="auto"/>
                <w:kern w:val="0"/>
                <w:sz w:val="24"/>
                <w:highlight w:val="none"/>
              </w:rPr>
              <w:t>供应商对根据修正原则修正后的报价不确认的</w:t>
            </w:r>
            <w:r>
              <w:rPr>
                <w:rFonts w:hint="eastAsia" w:cs="仿宋" w:asciiTheme="majorEastAsia" w:hAnsiTheme="majorEastAsia" w:eastAsiaTheme="majorEastAsia"/>
                <w:b/>
                <w:color w:val="auto"/>
                <w:sz w:val="24"/>
                <w:highlight w:val="none"/>
              </w:rPr>
              <w:t>。</w:t>
            </w:r>
          </w:p>
        </w:tc>
      </w:tr>
      <w:tr w14:paraId="6E8503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5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3FB3BBF">
            <w:pPr>
              <w:shd w:val="clear"/>
              <w:snapToGrid w:val="0"/>
              <w:spacing w:line="360" w:lineRule="auto"/>
              <w:jc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212778D3">
            <w:pPr>
              <w:pStyle w:val="11"/>
              <w:shd w:val="clear"/>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kern w:val="28"/>
                <w:sz w:val="24"/>
                <w:szCs w:val="24"/>
                <w:highlight w:val="none"/>
              </w:rPr>
              <w:t>投标保证金</w:t>
            </w:r>
          </w:p>
        </w:tc>
        <w:tc>
          <w:tcPr>
            <w:tcW w:w="6662" w:type="dxa"/>
            <w:tcBorders>
              <w:top w:val="single" w:color="000000" w:sz="8" w:space="0"/>
              <w:left w:val="single" w:color="000000" w:sz="2" w:space="0"/>
              <w:bottom w:val="single" w:color="000000" w:sz="8" w:space="0"/>
              <w:right w:val="single" w:color="000000" w:sz="8" w:space="0"/>
            </w:tcBorders>
            <w:vAlign w:val="center"/>
          </w:tcPr>
          <w:p w14:paraId="0303D349">
            <w:pPr>
              <w:pStyle w:val="7"/>
              <w:shd w:val="clear"/>
              <w:spacing w:line="360" w:lineRule="auto"/>
              <w:ind w:firstLine="0"/>
              <w:jc w:val="left"/>
              <w:rPr>
                <w:rFonts w:cs="仿宋" w:asciiTheme="majorEastAsia" w:hAnsiTheme="majorEastAsia"/>
                <w:b/>
                <w:color w:val="auto"/>
                <w:kern w:val="0"/>
                <w:sz w:val="24"/>
                <w:highlight w:val="none"/>
              </w:rPr>
            </w:pPr>
            <w:r>
              <w:rPr>
                <w:rFonts w:hint="eastAsia" w:hAnsi="宋体" w:cs="宋体"/>
                <w:color w:val="auto"/>
                <w:sz w:val="24"/>
                <w:highlight w:val="none"/>
              </w:rPr>
              <w:t>不适用。</w:t>
            </w:r>
          </w:p>
        </w:tc>
      </w:tr>
      <w:tr w14:paraId="69272C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E8CC4D1">
            <w:pPr>
              <w:shd w:val="clear"/>
              <w:snapToGrid w:val="0"/>
              <w:spacing w:line="360" w:lineRule="auto"/>
              <w:jc w:val="lef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4162FEA9">
            <w:pPr>
              <w:shd w:val="clear"/>
              <w:snapToGrid w:val="0"/>
              <w:spacing w:line="360" w:lineRule="auto"/>
              <w:ind w:firstLine="482" w:firstLineChars="200"/>
              <w:jc w:val="left"/>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分包</w:t>
            </w:r>
          </w:p>
        </w:tc>
        <w:tc>
          <w:tcPr>
            <w:tcW w:w="6662" w:type="dxa"/>
            <w:tcBorders>
              <w:top w:val="single" w:color="000000" w:sz="8" w:space="0"/>
              <w:left w:val="single" w:color="000000" w:sz="2" w:space="0"/>
              <w:bottom w:val="single" w:color="000000" w:sz="8" w:space="0"/>
              <w:right w:val="single" w:color="000000" w:sz="8" w:space="0"/>
            </w:tcBorders>
            <w:vAlign w:val="center"/>
          </w:tcPr>
          <w:p w14:paraId="3360CFB9">
            <w:pPr>
              <w:shd w:val="clear"/>
              <w:spacing w:line="360" w:lineRule="auto"/>
              <w:jc w:val="lef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不同意分包。</w:t>
            </w:r>
          </w:p>
        </w:tc>
      </w:tr>
      <w:tr w14:paraId="0BA2EF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89CA7C4">
            <w:pPr>
              <w:shd w:val="clear"/>
              <w:snapToGrid w:val="0"/>
              <w:spacing w:line="360" w:lineRule="auto"/>
              <w:jc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F66FFDB">
            <w:pPr>
              <w:shd w:val="clear"/>
              <w:snapToGrid w:val="0"/>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供应商应当提供的资格文件</w:t>
            </w:r>
          </w:p>
        </w:tc>
        <w:tc>
          <w:tcPr>
            <w:tcW w:w="6662" w:type="dxa"/>
            <w:tcBorders>
              <w:top w:val="single" w:color="000000" w:sz="8" w:space="0"/>
              <w:left w:val="single" w:color="000000" w:sz="2" w:space="0"/>
              <w:bottom w:val="single" w:color="000000" w:sz="8" w:space="0"/>
              <w:right w:val="single" w:color="000000" w:sz="8" w:space="0"/>
            </w:tcBorders>
            <w:vAlign w:val="center"/>
          </w:tcPr>
          <w:p w14:paraId="58BB169A">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资格证明文件：见招标文件第二部分9.1。</w:t>
            </w:r>
          </w:p>
          <w:p w14:paraId="511E6639">
            <w:pPr>
              <w:shd w:val="clear"/>
              <w:spacing w:line="360" w:lineRule="auto"/>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sz w:val="24"/>
                <w:highlight w:val="none"/>
              </w:rPr>
              <w:t>资格证明文件不全的或者不符合招标文件标明的资格要求的</w:t>
            </w:r>
            <w:r>
              <w:rPr>
                <w:rFonts w:hint="eastAsia" w:cs="仿宋" w:asciiTheme="majorEastAsia" w:hAnsiTheme="majorEastAsia" w:eastAsiaTheme="majorEastAsia"/>
                <w:color w:val="auto"/>
                <w:sz w:val="24"/>
                <w:highlight w:val="none"/>
                <w:lang w:val="zh-CN"/>
              </w:rPr>
              <w:t>，视为供应商不具备招标文件中规定的资格要求，投标无效。</w:t>
            </w:r>
          </w:p>
        </w:tc>
      </w:tr>
      <w:tr w14:paraId="513585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2280ECB">
            <w:pPr>
              <w:shd w:val="clear"/>
              <w:snapToGrid w:val="0"/>
              <w:spacing w:line="360" w:lineRule="auto"/>
              <w:jc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3C34B24D">
            <w:pPr>
              <w:shd w:val="clear"/>
              <w:snapToGrid w:val="0"/>
              <w:spacing w:line="360" w:lineRule="auto"/>
              <w:jc w:val="center"/>
              <w:rPr>
                <w:rFonts w:cs="仿宋" w:asciiTheme="majorEastAsia" w:hAnsiTheme="majorEastAsia" w:eastAsiaTheme="majorEastAsia"/>
                <w:b/>
                <w:color w:val="auto"/>
                <w:sz w:val="24"/>
                <w:highlight w:val="none"/>
              </w:rPr>
            </w:pPr>
            <w:r>
              <w:rPr>
                <w:rFonts w:hint="eastAsia" w:ascii="宋体" w:hAnsi="宋体" w:cs="仿宋"/>
                <w:b/>
                <w:color w:val="auto"/>
                <w:sz w:val="24"/>
                <w:highlight w:val="none"/>
              </w:rPr>
              <w:t>开标前答疑会或现场考察</w:t>
            </w:r>
          </w:p>
        </w:tc>
        <w:tc>
          <w:tcPr>
            <w:tcW w:w="6662" w:type="dxa"/>
            <w:tcBorders>
              <w:top w:val="single" w:color="000000" w:sz="8" w:space="0"/>
              <w:left w:val="single" w:color="000000" w:sz="2" w:space="0"/>
              <w:bottom w:val="single" w:color="000000" w:sz="8" w:space="0"/>
              <w:right w:val="single" w:color="000000" w:sz="8" w:space="0"/>
            </w:tcBorders>
            <w:vAlign w:val="center"/>
          </w:tcPr>
          <w:p w14:paraId="56D4C7AE">
            <w:pPr>
              <w:shd w:val="clear"/>
              <w:spacing w:line="360" w:lineRule="auto"/>
              <w:rPr>
                <w:rFonts w:cs="仿宋" w:asciiTheme="majorEastAsia" w:hAnsiTheme="majorEastAsia" w:eastAsiaTheme="majorEastAsia"/>
                <w:color w:val="auto"/>
                <w:sz w:val="24"/>
                <w:szCs w:val="20"/>
                <w:highlight w:val="none"/>
              </w:rPr>
            </w:pPr>
            <w:r>
              <w:rPr>
                <w:rFonts w:hint="eastAsia" w:ascii="宋体" w:hAnsi="宋体" w:cs="仿宋"/>
                <w:color w:val="auto"/>
                <w:sz w:val="24"/>
                <w:highlight w:val="none"/>
              </w:rPr>
              <w:t>不组织。</w:t>
            </w:r>
          </w:p>
        </w:tc>
      </w:tr>
      <w:tr w14:paraId="33B7B3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257625F">
            <w:pPr>
              <w:shd w:val="clear"/>
              <w:snapToGrid w:val="0"/>
              <w:spacing w:line="360" w:lineRule="auto"/>
              <w:jc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20C7C972">
            <w:pPr>
              <w:shd w:val="clear"/>
              <w:snapToGrid w:val="0"/>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样品提供</w:t>
            </w:r>
          </w:p>
        </w:tc>
        <w:tc>
          <w:tcPr>
            <w:tcW w:w="6662" w:type="dxa"/>
            <w:tcBorders>
              <w:top w:val="single" w:color="000000" w:sz="8" w:space="0"/>
              <w:left w:val="single" w:color="000000" w:sz="2" w:space="0"/>
              <w:bottom w:val="single" w:color="000000" w:sz="8" w:space="0"/>
              <w:right w:val="single" w:color="000000" w:sz="8" w:space="0"/>
            </w:tcBorders>
            <w:vAlign w:val="center"/>
          </w:tcPr>
          <w:p w14:paraId="0409FC23">
            <w:pPr>
              <w:shd w:val="clear"/>
              <w:spacing w:line="360" w:lineRule="auto"/>
              <w:rPr>
                <w:rFonts w:cs="仿宋" w:asciiTheme="majorEastAsia" w:hAnsiTheme="majorEastAsia" w:eastAsiaTheme="majorEastAsia"/>
                <w:color w:val="auto"/>
                <w:sz w:val="24"/>
                <w:highlight w:val="none"/>
              </w:rPr>
            </w:pPr>
            <w:r>
              <w:rPr>
                <w:color w:val="auto"/>
                <w:spacing w:val="-11"/>
                <w:sz w:val="24"/>
                <w:highlight w:val="none"/>
              </w:rPr>
              <w:t>不要求</w:t>
            </w:r>
          </w:p>
        </w:tc>
      </w:tr>
      <w:tr w14:paraId="05F45E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2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1EC5EE5">
            <w:pPr>
              <w:shd w:val="clear"/>
              <w:snapToGrid w:val="0"/>
              <w:spacing w:line="360" w:lineRule="auto"/>
              <w:jc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7</w:t>
            </w:r>
          </w:p>
        </w:tc>
        <w:tc>
          <w:tcPr>
            <w:tcW w:w="1843" w:type="dxa"/>
            <w:tcBorders>
              <w:top w:val="single" w:color="000000" w:sz="8" w:space="0"/>
              <w:left w:val="single" w:color="000000" w:sz="2" w:space="0"/>
              <w:bottom w:val="single" w:color="000000" w:sz="8" w:space="0"/>
              <w:right w:val="single" w:color="000000" w:sz="8" w:space="0"/>
            </w:tcBorders>
            <w:vAlign w:val="center"/>
          </w:tcPr>
          <w:p w14:paraId="159F02BF">
            <w:pPr>
              <w:shd w:val="clear"/>
              <w:snapToGrid w:val="0"/>
              <w:spacing w:line="360" w:lineRule="auto"/>
              <w:jc w:val="center"/>
              <w:rPr>
                <w:rFonts w:cs="仿宋" w:asciiTheme="majorEastAsia" w:hAnsiTheme="majorEastAsia" w:eastAsiaTheme="majorEastAsia"/>
                <w:b/>
                <w:bCs/>
                <w:color w:val="auto"/>
                <w:sz w:val="24"/>
                <w:highlight w:val="none"/>
              </w:rPr>
            </w:pPr>
            <w:r>
              <w:rPr>
                <w:rFonts w:cs="仿宋" w:asciiTheme="majorEastAsia" w:hAnsiTheme="majorEastAsia" w:eastAsiaTheme="majorEastAsia"/>
                <w:b/>
                <w:bCs/>
                <w:color w:val="auto"/>
                <w:sz w:val="24"/>
                <w:highlight w:val="none"/>
              </w:rPr>
              <w:t>方案讲解</w:t>
            </w:r>
          </w:p>
        </w:tc>
        <w:tc>
          <w:tcPr>
            <w:tcW w:w="6662" w:type="dxa"/>
            <w:tcBorders>
              <w:top w:val="single" w:color="000000" w:sz="8" w:space="0"/>
              <w:left w:val="single" w:color="000000" w:sz="2" w:space="0"/>
              <w:bottom w:val="single" w:color="000000" w:sz="8" w:space="0"/>
              <w:right w:val="single" w:color="000000" w:sz="8" w:space="0"/>
            </w:tcBorders>
            <w:vAlign w:val="center"/>
          </w:tcPr>
          <w:p w14:paraId="44E24E74">
            <w:pPr>
              <w:pStyle w:val="70"/>
              <w:shd w:val="clear"/>
              <w:spacing w:before="147" w:line="330" w:lineRule="auto"/>
              <w:ind w:left="36" w:right="4628"/>
              <w:rPr>
                <w:rFonts w:cs="仿宋" w:asciiTheme="majorEastAsia" w:hAnsiTheme="majorEastAsia" w:eastAsiaTheme="majorEastAsia"/>
                <w:color w:val="auto"/>
                <w:sz w:val="24"/>
                <w:highlight w:val="none"/>
                <w:lang w:eastAsia="zh-CN"/>
              </w:rPr>
            </w:pPr>
            <w:r>
              <w:rPr>
                <w:color w:val="auto"/>
                <w:spacing w:val="-11"/>
                <w:sz w:val="24"/>
                <w:szCs w:val="24"/>
                <w:highlight w:val="none"/>
                <w:lang w:eastAsia="zh-CN"/>
              </w:rPr>
              <w:t>不组织。</w:t>
            </w:r>
          </w:p>
        </w:tc>
      </w:tr>
      <w:tr w14:paraId="7F3C7E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8"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38E7B44">
            <w:pPr>
              <w:shd w:val="clear"/>
              <w:snapToGrid w:val="0"/>
              <w:spacing w:line="360" w:lineRule="auto"/>
              <w:jc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3D34C5EC">
            <w:pPr>
              <w:shd w:val="clear"/>
              <w:snapToGrid w:val="0"/>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是否允许采购进口产品</w:t>
            </w:r>
          </w:p>
        </w:tc>
        <w:tc>
          <w:tcPr>
            <w:tcW w:w="6662" w:type="dxa"/>
            <w:tcBorders>
              <w:top w:val="single" w:color="000000" w:sz="8" w:space="0"/>
              <w:left w:val="single" w:color="000000" w:sz="2" w:space="0"/>
              <w:bottom w:val="single" w:color="000000" w:sz="8" w:space="0"/>
              <w:right w:val="single" w:color="000000" w:sz="8" w:space="0"/>
            </w:tcBorders>
            <w:vAlign w:val="center"/>
          </w:tcPr>
          <w:p w14:paraId="117C6C4D">
            <w:pPr>
              <w:shd w:val="clear"/>
              <w:spacing w:line="360" w:lineRule="auto"/>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本项目不允许采购进口产品。</w:t>
            </w:r>
          </w:p>
        </w:tc>
      </w:tr>
      <w:tr w14:paraId="6EF9DC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3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A575F3E">
            <w:pPr>
              <w:shd w:val="clear"/>
              <w:snapToGrid w:val="0"/>
              <w:spacing w:line="360" w:lineRule="auto"/>
              <w:jc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1FA92868">
            <w:pPr>
              <w:shd w:val="clear"/>
              <w:snapToGrid w:val="0"/>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项目属性</w:t>
            </w:r>
          </w:p>
        </w:tc>
        <w:tc>
          <w:tcPr>
            <w:tcW w:w="6662" w:type="dxa"/>
            <w:tcBorders>
              <w:top w:val="single" w:color="000000" w:sz="8" w:space="0"/>
              <w:left w:val="single" w:color="000000" w:sz="2" w:space="0"/>
              <w:bottom w:val="single" w:color="000000" w:sz="8" w:space="0"/>
              <w:right w:val="single" w:color="000000" w:sz="8" w:space="0"/>
            </w:tcBorders>
            <w:vAlign w:val="center"/>
          </w:tcPr>
          <w:p w14:paraId="75378998">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服务类。</w:t>
            </w:r>
          </w:p>
        </w:tc>
      </w:tr>
      <w:tr w14:paraId="5EBB55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AE65C4B">
            <w:pPr>
              <w:shd w:val="clear"/>
              <w:snapToGrid w:val="0"/>
              <w:spacing w:line="360" w:lineRule="auto"/>
              <w:jc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328042CC">
            <w:pPr>
              <w:shd w:val="clear"/>
              <w:snapToGrid w:val="0"/>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采购标的对应的中小企业划分标准所属行业</w:t>
            </w:r>
          </w:p>
        </w:tc>
        <w:tc>
          <w:tcPr>
            <w:tcW w:w="6662" w:type="dxa"/>
            <w:tcBorders>
              <w:top w:val="single" w:color="000000" w:sz="8" w:space="0"/>
              <w:left w:val="single" w:color="000000" w:sz="2" w:space="0"/>
              <w:bottom w:val="single" w:color="000000" w:sz="8" w:space="0"/>
              <w:right w:val="single" w:color="000000" w:sz="8" w:space="0"/>
            </w:tcBorders>
            <w:vAlign w:val="center"/>
          </w:tcPr>
          <w:p w14:paraId="31C588A0">
            <w:pPr>
              <w:pStyle w:val="27"/>
              <w:shd w:val="clear"/>
              <w:ind w:firstLine="0" w:firstLineChars="0"/>
              <w:rPr>
                <w:color w:val="auto"/>
                <w:sz w:val="24"/>
                <w:highlight w:val="none"/>
              </w:rPr>
            </w:pPr>
            <w:r>
              <w:rPr>
                <w:rFonts w:hint="eastAsia" w:cs="仿宋" w:asciiTheme="majorEastAsia" w:hAnsiTheme="majorEastAsia" w:eastAsiaTheme="majorEastAsia"/>
                <w:color w:val="auto"/>
                <w:kern w:val="0"/>
                <w:sz w:val="24"/>
                <w:highlight w:val="none"/>
              </w:rPr>
              <w:t>标的：</w:t>
            </w:r>
            <w:r>
              <w:rPr>
                <w:rFonts w:hint="eastAsia" w:ascii="宋体" w:hAnsi="宋体" w:eastAsia="宋体" w:cs="宋体"/>
                <w:color w:val="auto"/>
                <w:sz w:val="24"/>
                <w:highlight w:val="none"/>
                <w:u w:val="single"/>
              </w:rPr>
              <w:t>综合运营管理服务</w:t>
            </w:r>
            <w:r>
              <w:rPr>
                <w:rFonts w:hint="eastAsia" w:cs="仿宋" w:asciiTheme="majorEastAsia" w:hAnsiTheme="majorEastAsia" w:eastAsiaTheme="majorEastAsia"/>
                <w:color w:val="auto"/>
                <w:kern w:val="0"/>
                <w:sz w:val="24"/>
                <w:highlight w:val="none"/>
              </w:rPr>
              <w:t>，属于</w:t>
            </w:r>
            <w:bookmarkStart w:id="35" w:name="OLE_LINK39"/>
            <w:bookmarkStart w:id="36" w:name="OLE_LINK38"/>
            <w:r>
              <w:rPr>
                <w:rFonts w:hint="eastAsia" w:ascii="宋体" w:hAnsi="宋体" w:eastAsia="宋体" w:cs="宋体"/>
                <w:color w:val="auto"/>
                <w:sz w:val="24"/>
                <w:highlight w:val="none"/>
                <w:u w:val="single"/>
              </w:rPr>
              <w:t>租赁和商务服务业</w:t>
            </w:r>
            <w:r>
              <w:rPr>
                <w:rFonts w:hint="eastAsia" w:ascii="宋体" w:hAnsi="宋体" w:eastAsia="宋体" w:cs="宋体"/>
                <w:color w:val="auto"/>
                <w:spacing w:val="-4"/>
                <w:sz w:val="24"/>
                <w:highlight w:val="none"/>
              </w:rPr>
              <w:t>行业</w:t>
            </w:r>
            <w:bookmarkEnd w:id="35"/>
            <w:bookmarkEnd w:id="36"/>
            <w:r>
              <w:rPr>
                <w:rFonts w:hint="eastAsia" w:cs="仿宋" w:asciiTheme="majorEastAsia" w:hAnsiTheme="majorEastAsia" w:eastAsiaTheme="majorEastAsia"/>
                <w:color w:val="auto"/>
                <w:kern w:val="0"/>
                <w:sz w:val="24"/>
                <w:highlight w:val="none"/>
              </w:rPr>
              <w:t>；</w:t>
            </w:r>
          </w:p>
        </w:tc>
      </w:tr>
      <w:tr w14:paraId="7EA086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tcBorders>
              <w:top w:val="single" w:color="auto" w:sz="4" w:space="0"/>
              <w:left w:val="single" w:color="000000" w:sz="8" w:space="0"/>
              <w:right w:val="single" w:color="000000" w:sz="2" w:space="0"/>
            </w:tcBorders>
            <w:vAlign w:val="center"/>
          </w:tcPr>
          <w:p w14:paraId="4AD87A94">
            <w:pPr>
              <w:shd w:val="clear"/>
              <w:snapToGrid w:val="0"/>
              <w:spacing w:line="360" w:lineRule="auto"/>
              <w:jc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5C87E6F8">
            <w:pPr>
              <w:shd w:val="clear"/>
              <w:snapToGrid w:val="0"/>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中标服务费</w:t>
            </w:r>
          </w:p>
        </w:tc>
        <w:tc>
          <w:tcPr>
            <w:tcW w:w="6662" w:type="dxa"/>
            <w:tcBorders>
              <w:top w:val="single" w:color="000000" w:sz="8" w:space="0"/>
              <w:left w:val="single" w:color="000000" w:sz="2" w:space="0"/>
              <w:bottom w:val="single" w:color="000000" w:sz="8" w:space="0"/>
              <w:right w:val="single" w:color="000000" w:sz="8" w:space="0"/>
            </w:tcBorders>
            <w:vAlign w:val="center"/>
          </w:tcPr>
          <w:p w14:paraId="3E9ACFE4">
            <w:pPr>
              <w:pStyle w:val="27"/>
              <w:shd w:val="clear"/>
              <w:spacing w:line="360" w:lineRule="auto"/>
              <w:ind w:firstLine="0" w:firstLineChars="0"/>
              <w:rPr>
                <w:rFonts w:cs="仿宋" w:asciiTheme="majorEastAsia" w:hAnsiTheme="majorEastAsia" w:eastAsiaTheme="majorEastAsia"/>
                <w:snapToGrid w:val="0"/>
                <w:color w:val="auto"/>
                <w:kern w:val="28"/>
                <w:sz w:val="24"/>
                <w:highlight w:val="none"/>
              </w:rPr>
            </w:pPr>
            <w:r>
              <w:rPr>
                <w:rFonts w:hint="eastAsia" w:ascii="宋体" w:hAnsi="宋体" w:eastAsia="宋体" w:cs="宋体"/>
                <w:color w:val="auto"/>
                <w:sz w:val="24"/>
                <w:highlight w:val="none"/>
              </w:rPr>
              <w:t>本项目服务期限三年，最终以供应商三年服务期限的中标总价作为代理服务费计算基准价计算服务费后×</w:t>
            </w:r>
            <w:r>
              <w:rPr>
                <w:rFonts w:hint="eastAsia" w:ascii="宋体" w:hAnsi="宋体" w:cs="宋体"/>
                <w:color w:val="auto"/>
                <w:sz w:val="24"/>
                <w:highlight w:val="none"/>
              </w:rPr>
              <w:t>0.8</w:t>
            </w:r>
            <w:r>
              <w:rPr>
                <w:rFonts w:hint="eastAsia" w:ascii="宋体" w:hAnsi="宋体" w:eastAsia="宋体" w:cs="宋体"/>
                <w:color w:val="auto"/>
                <w:sz w:val="24"/>
                <w:highlight w:val="none"/>
              </w:rPr>
              <w:t>收取实际服务费。（代理服务费计算参照国家发改委发改办价格</w:t>
            </w:r>
            <w:r>
              <w:rPr>
                <w:rFonts w:hint="eastAsia" w:ascii="宋体" w:hAnsi="宋体" w:cs="宋体"/>
                <w:color w:val="auto"/>
                <w:sz w:val="24"/>
                <w:highlight w:val="none"/>
              </w:rPr>
              <w:t>[2003]857</w:t>
            </w:r>
            <w:r>
              <w:rPr>
                <w:rFonts w:hint="eastAsia" w:ascii="宋体" w:hAnsi="宋体" w:eastAsia="宋体" w:cs="宋体"/>
                <w:color w:val="auto"/>
                <w:sz w:val="24"/>
                <w:highlight w:val="none"/>
              </w:rPr>
              <w:t>号通知和原国家计委计[2002]1980号文件。）本项目中标服务费，由中标人支付。</w:t>
            </w:r>
          </w:p>
        </w:tc>
      </w:tr>
      <w:bookmarkEnd w:id="15"/>
    </w:tbl>
    <w:p w14:paraId="7E02E043">
      <w:pPr>
        <w:shd w:val="clear"/>
        <w:spacing w:line="360" w:lineRule="auto"/>
        <w:jc w:val="center"/>
        <w:outlineLvl w:val="0"/>
        <w:rPr>
          <w:rFonts w:cs="仿宋" w:asciiTheme="majorEastAsia" w:hAnsiTheme="majorEastAsia" w:eastAsiaTheme="majorEastAsia"/>
          <w:b/>
          <w:color w:val="auto"/>
          <w:sz w:val="32"/>
          <w:szCs w:val="20"/>
          <w:highlight w:val="none"/>
        </w:rPr>
      </w:pPr>
      <w:bookmarkStart w:id="37" w:name="第三部分"/>
      <w:bookmarkStart w:id="38" w:name="_Toc164416483"/>
      <w:r>
        <w:rPr>
          <w:rFonts w:cs="仿宋" w:asciiTheme="majorEastAsia" w:hAnsiTheme="majorEastAsia" w:eastAsiaTheme="majorEastAsia"/>
          <w:b/>
          <w:color w:val="auto"/>
          <w:sz w:val="32"/>
          <w:szCs w:val="20"/>
          <w:highlight w:val="none"/>
        </w:rPr>
        <w:br w:type="page"/>
      </w:r>
      <w:r>
        <w:rPr>
          <w:rFonts w:hint="eastAsia" w:cs="仿宋" w:asciiTheme="majorEastAsia" w:hAnsiTheme="majorEastAsia" w:eastAsiaTheme="majorEastAsia"/>
          <w:b/>
          <w:color w:val="auto"/>
          <w:sz w:val="32"/>
          <w:szCs w:val="20"/>
          <w:highlight w:val="none"/>
        </w:rPr>
        <w:t>一、总则</w:t>
      </w:r>
    </w:p>
    <w:p w14:paraId="541C164A">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适用范围</w:t>
      </w:r>
    </w:p>
    <w:p w14:paraId="57622ABB">
      <w:pPr>
        <w:shd w:val="clear"/>
        <w:snapToGrid w:val="0"/>
        <w:spacing w:line="360" w:lineRule="auto"/>
        <w:ind w:firstLine="480" w:firstLineChars="200"/>
        <w:jc w:val="lef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本招标文件适用于该项目的招标、投标、开标、资格审查及信用信息查询、评标、定标、合同、验收等行为（法律、法规另有规定的，从其规定）。</w:t>
      </w:r>
    </w:p>
    <w:p w14:paraId="02A7952D">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定义</w:t>
      </w:r>
    </w:p>
    <w:p w14:paraId="29A0D169">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2.1 “采购人”系指招标公告中载明的本项目的采购人。</w:t>
      </w:r>
    </w:p>
    <w:p w14:paraId="51A3348F">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2.2 “采购代理机构”系指招标公告中载明的本项目的采购代理机构。</w:t>
      </w:r>
    </w:p>
    <w:p w14:paraId="7DA8CB72">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2.3 “</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sz w:val="24"/>
          <w:highlight w:val="none"/>
        </w:rPr>
        <w:t>”系指是指响应招标、参加投标竞争的法人、其他组织或者自然人。</w:t>
      </w:r>
    </w:p>
    <w:p w14:paraId="7048AF85">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2.4 “负责人”系指法人企业的法定负责人，或其他组织为法律、行政法规规定代表单位行使职权的主要负责人，或自然人本人。</w:t>
      </w:r>
    </w:p>
    <w:p w14:paraId="46F977D8">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2.5“电子签名”系指数据电文中以电子形式所含、所附用于识别签名人身份并表明签名人认可其中内容的数据；“公章”系指单位法定名称章。</w:t>
      </w:r>
    </w:p>
    <w:p w14:paraId="15D27C85">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2.6“电子交易平台”是指本项目采购活动所依托的采购云平台（https://www.lecaiyun.com/）。</w:t>
      </w:r>
    </w:p>
    <w:p w14:paraId="66CE7229">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2.7 “▲” 系指实质性要求条款，“</w:t>
      </w:r>
      <w:bookmarkStart w:id="39" w:name="OLE_LINK58"/>
      <w:bookmarkStart w:id="40" w:name="OLE_LINK59"/>
      <w:r>
        <w:rPr>
          <w:rFonts w:ascii="Wingdings" w:hAnsi="Wingdings" w:eastAsia="仿宋" w:cs="仿宋"/>
          <w:color w:val="auto"/>
          <w:kern w:val="0"/>
          <w:sz w:val="24"/>
          <w:highlight w:val="none"/>
        </w:rPr>
        <w:t></w:t>
      </w:r>
      <w:bookmarkEnd w:id="39"/>
      <w:bookmarkEnd w:id="40"/>
      <w:r>
        <w:rPr>
          <w:rFonts w:hint="eastAsia" w:cs="仿宋" w:asciiTheme="majorEastAsia" w:hAnsiTheme="majorEastAsia" w:eastAsiaTheme="majorEastAsia"/>
          <w:color w:val="auto"/>
          <w:sz w:val="24"/>
          <w:highlight w:val="none"/>
        </w:rPr>
        <w:t>” 系指适用本项目的要求，“</w:t>
      </w:r>
      <w:r>
        <w:rPr>
          <w:rFonts w:hint="eastAsia" w:ascii="MS Gothic" w:hAnsi="MS Gothic" w:eastAsia="MS Gothic" w:cs="MS Gothic"/>
          <w:color w:val="auto"/>
          <w:kern w:val="0"/>
          <w:sz w:val="24"/>
          <w:highlight w:val="none"/>
        </w:rPr>
        <w:t>☐</w:t>
      </w:r>
      <w:r>
        <w:rPr>
          <w:rFonts w:hint="eastAsia" w:cs="仿宋" w:asciiTheme="majorEastAsia" w:hAnsiTheme="majorEastAsia" w:eastAsiaTheme="majorEastAsia"/>
          <w:color w:val="auto"/>
          <w:sz w:val="24"/>
          <w:highlight w:val="none"/>
        </w:rPr>
        <w:t>” 系指不适用本项目的要求。</w:t>
      </w:r>
    </w:p>
    <w:p w14:paraId="3C6CFEB6">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采购项目需要落实的政府采购政策</w:t>
      </w:r>
    </w:p>
    <w:p w14:paraId="351C41D4">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3.1 本项目原则上采购本国生产的货物、工程和服务，不允许采购进口产品。除非采购人采购进口产品，已经在采购活动开始前向监管部门提出申请并获得监管部门审核同意，且在采购需求中明确规定可以采购进口产品（但如果因信息不对称等原因，仍有满足需求的国内产品要求参与采购竞争的，采购人、采购代理机构不会对其加以限制，仍将按照公平竞争原则实施采购）。</w:t>
      </w:r>
    </w:p>
    <w:p w14:paraId="6EFBE028">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3.2 支持节能产品</w:t>
      </w:r>
    </w:p>
    <w:p w14:paraId="29A1401D">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3.3支持中小企业发展</w:t>
      </w:r>
    </w:p>
    <w:p w14:paraId="1FA1DACD">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2DA8CA6D">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符合中小企业划分标准的个体工商户，在政府采购活动中视同中小企业。</w:t>
      </w:r>
    </w:p>
    <w:p w14:paraId="2C12C5C5">
      <w:pPr>
        <w:widowControl/>
        <w:shd w:val="clear"/>
        <w:spacing w:line="360" w:lineRule="auto"/>
        <w:ind w:firstLine="480" w:firstLineChars="200"/>
        <w:jc w:val="left"/>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bCs/>
          <w:color w:val="auto"/>
          <w:sz w:val="24"/>
          <w:highlight w:val="none"/>
        </w:rPr>
        <w:t>3.3.2</w:t>
      </w:r>
      <w:r>
        <w:rPr>
          <w:rFonts w:hint="eastAsia" w:cs="仿宋" w:asciiTheme="majorEastAsia" w:hAnsiTheme="majorEastAsia" w:eastAsiaTheme="majorEastAsia"/>
          <w:color w:val="auto"/>
          <w:kern w:val="0"/>
          <w:sz w:val="24"/>
          <w:highlight w:val="none"/>
        </w:rPr>
        <w:t>在政府采购活动中，</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kern w:val="0"/>
          <w:sz w:val="24"/>
          <w:highlight w:val="none"/>
        </w:rPr>
        <w:t>提供的货物、工程或者服务符合下列情形的，享受中小企业扶持政策：</w:t>
      </w:r>
    </w:p>
    <w:p w14:paraId="623493C6">
      <w:pPr>
        <w:widowControl/>
        <w:shd w:val="clear"/>
        <w:spacing w:line="360" w:lineRule="auto"/>
        <w:ind w:firstLine="480" w:firstLineChars="200"/>
        <w:jc w:val="left"/>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3.3.2.1在货物采购项目中，货物由中小企业制造，即货物由中小企业生产且使用该中小企业商号或者注册商标；</w:t>
      </w:r>
    </w:p>
    <w:p w14:paraId="05D430C8">
      <w:pPr>
        <w:widowControl/>
        <w:shd w:val="clear"/>
        <w:spacing w:line="360" w:lineRule="auto"/>
        <w:ind w:firstLine="480" w:firstLineChars="200"/>
        <w:jc w:val="left"/>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3.3.2.2在工程采购项目中，工程由中小企业承建，即工程施工单位为中小企业；</w:t>
      </w:r>
    </w:p>
    <w:p w14:paraId="6A3D8DDC">
      <w:pPr>
        <w:widowControl/>
        <w:shd w:val="clear"/>
        <w:spacing w:line="360" w:lineRule="auto"/>
        <w:ind w:firstLine="480" w:firstLineChars="200"/>
        <w:jc w:val="left"/>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3.3.2.3在服务采购项目中，服务由中小企业承接，即提供服务的人员为中小企业依照《中华人民共和国劳动合同法》订立劳动合同的从业人员。</w:t>
      </w:r>
    </w:p>
    <w:p w14:paraId="736472A9">
      <w:pPr>
        <w:widowControl/>
        <w:shd w:val="clear"/>
        <w:spacing w:line="360" w:lineRule="auto"/>
        <w:ind w:firstLine="480" w:firstLineChars="200"/>
        <w:jc w:val="left"/>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在货物采购项目中，</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kern w:val="0"/>
          <w:sz w:val="24"/>
          <w:highlight w:val="none"/>
        </w:rPr>
        <w:t>提供的货物既有中小企业制造货物，也有大型企业制造货物的，不享受中小企业扶持政策。</w:t>
      </w:r>
    </w:p>
    <w:p w14:paraId="50085224">
      <w:pPr>
        <w:widowControl/>
        <w:shd w:val="clear"/>
        <w:spacing w:line="360" w:lineRule="auto"/>
        <w:ind w:firstLine="480" w:firstLineChars="200"/>
        <w:jc w:val="left"/>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以联合体形式参加政府采购活动，联合体各方均为中小企业的，联合体视同中小企业。其中，联合体各方均为小微企业的，联合体视同小微企业。</w:t>
      </w:r>
    </w:p>
    <w:p w14:paraId="49CF29FE">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3.3.3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3%的扣除，用扣除后的价格参加评审。组成联合体或者接受分包的小微企业与联合体内其他企业、分包企业之间存在直接控股、管理关系的，不享受价格扣除优惠政策。</w:t>
      </w:r>
    </w:p>
    <w:p w14:paraId="7AEFDA76">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3.3.4符合《关于促进残疾人就业政府采购政策的通知》（财库〔2017〕141号）规定的条件并提供《残疾人福利性单位声明函》的残疾人福利性单位视同小型、微型企业；</w:t>
      </w:r>
    </w:p>
    <w:p w14:paraId="4F0A1FAD">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46187039">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3.3.6可享受中小企业扶持政策的</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sz w:val="24"/>
          <w:highlight w:val="none"/>
        </w:rPr>
        <w:t>应按照招标文件格式要求提供《中小企业声明函》，</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sz w:val="24"/>
          <w:highlight w:val="none"/>
        </w:rPr>
        <w:t>提供的《中小企业声明函》与实际情况不符的，不享受中小企业扶持政策。声明内容不实的，属于提供虚假材料谋取中标、成交的，依法承担法律责任。</w:t>
      </w:r>
    </w:p>
    <w:p w14:paraId="3AE95097">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3.3.7中小企业享受扶持政策获得政府采购合同的，小微企业不得将合同分包给大中型企业，中型企业不得将合同分包给大型企业。</w:t>
      </w:r>
    </w:p>
    <w:p w14:paraId="741C3B9E">
      <w:pPr>
        <w:shd w:val="clear"/>
        <w:spacing w:line="360" w:lineRule="auto"/>
        <w:ind w:firstLine="480" w:firstLineChars="200"/>
        <w:rPr>
          <w:rFonts w:cs="仿宋" w:asciiTheme="majorEastAsia" w:hAnsiTheme="majorEastAsia" w:eastAsiaTheme="majorEastAsia"/>
          <w:color w:val="auto"/>
          <w:sz w:val="24"/>
          <w:highlight w:val="none"/>
        </w:rPr>
      </w:pPr>
    </w:p>
    <w:p w14:paraId="3BFC74EC">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特别说明</w:t>
      </w:r>
    </w:p>
    <w:p w14:paraId="607EDEBC">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4.1关于分公司投标</w:t>
      </w:r>
    </w:p>
    <w:p w14:paraId="30D6AA42">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除银行、保险、石油石化、电力、电信等特殊行业外。法人的分支机构由于不能独立承担民事责任，不能以分支机构的身份参加政府采购，只能以法人身份参加。 </w:t>
      </w:r>
    </w:p>
    <w:p w14:paraId="51CB9E9D">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4.2关于知识产权</w:t>
      </w:r>
    </w:p>
    <w:p w14:paraId="326C900C">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4.2.1 </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sz w:val="24"/>
          <w:highlight w:val="none"/>
        </w:rPr>
        <w:t>必须保证，采购人在中华人民共和国境内使用投标货物、资料、技术、服务或其任何一部分时，享有不受限制的无偿使用权，如有第三方向采购人提出侵犯其专利权、商标权或其它知识产权的主张，该责任应由</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sz w:val="24"/>
          <w:highlight w:val="none"/>
        </w:rPr>
        <w:t>承担。</w:t>
      </w:r>
    </w:p>
    <w:p w14:paraId="09883723">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4.2.2 投标报价应包含所有应向所有权人支付的专利权、商标权或其它知识产权的一切相关费用。</w:t>
      </w:r>
    </w:p>
    <w:p w14:paraId="52D844B9">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4.2.3 系统软件、通用软件必须是具有在中国境内的合法使用权或版权的正版软件，涉及到第三方提出侵权或知识产权的起诉及支付版税等费用由</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sz w:val="24"/>
          <w:highlight w:val="none"/>
        </w:rPr>
        <w:t>承担所有责任及费用。</w:t>
      </w:r>
    </w:p>
    <w:p w14:paraId="6EE697C4">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4.3</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sz w:val="24"/>
          <w:highlight w:val="none"/>
        </w:rPr>
        <w:t>的风险</w:t>
      </w:r>
    </w:p>
    <w:p w14:paraId="36A13CA7">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4.3.1 </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sz w:val="24"/>
          <w:highlight w:val="none"/>
        </w:rPr>
        <w:t>应详细阅读招标文件中的全部内容和要求，按照招标文件的要求提交投标文件，没有按照招标文件要求提供投标文件和资料导致的风险由</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sz w:val="24"/>
          <w:highlight w:val="none"/>
        </w:rPr>
        <w:t>承担,并对所提供的全部资料的真实性承担法律责任。</w:t>
      </w:r>
    </w:p>
    <w:p w14:paraId="656F594A">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4.3.2 无论因何种原因导致本次采购活动终止致</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sz w:val="24"/>
          <w:highlight w:val="none"/>
        </w:rPr>
        <w:t>损失的，相关责任人均不承担任何责任。</w:t>
      </w:r>
    </w:p>
    <w:p w14:paraId="2DC1007B">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询问、质疑、投诉</w:t>
      </w:r>
    </w:p>
    <w:p w14:paraId="74A98089">
      <w:pPr>
        <w:shd w:val="clear"/>
        <w:spacing w:line="360" w:lineRule="auto"/>
        <w:ind w:firstLine="480" w:firstLineChars="200"/>
        <w:rPr>
          <w:rFonts w:cs="仿宋" w:asciiTheme="majorEastAsia" w:hAnsiTheme="majorEastAsia" w:eastAsiaTheme="majorEastAsia"/>
          <w:color w:val="auto"/>
          <w:sz w:val="24"/>
          <w:highlight w:val="none"/>
          <w:lang w:val="zh-CN"/>
        </w:rPr>
      </w:pPr>
      <w:r>
        <w:rPr>
          <w:rFonts w:hint="eastAsia" w:cs="仿宋" w:asciiTheme="majorEastAsia" w:hAnsiTheme="majorEastAsia" w:eastAsiaTheme="majorEastAsia"/>
          <w:color w:val="auto"/>
          <w:sz w:val="24"/>
          <w:highlight w:val="none"/>
        </w:rPr>
        <w:t>5</w:t>
      </w:r>
      <w:r>
        <w:rPr>
          <w:rFonts w:hint="eastAsia" w:cs="仿宋" w:asciiTheme="majorEastAsia" w:hAnsiTheme="majorEastAsia" w:eastAsiaTheme="majorEastAsia"/>
          <w:color w:val="auto"/>
          <w:sz w:val="24"/>
          <w:highlight w:val="none"/>
          <w:lang w:val="zh-CN"/>
        </w:rPr>
        <w:t>.1供应商询问</w:t>
      </w:r>
    </w:p>
    <w:p w14:paraId="725DDB26">
      <w:pPr>
        <w:shd w:val="clear"/>
        <w:spacing w:line="360" w:lineRule="auto"/>
        <w:ind w:firstLine="480" w:firstLineChars="200"/>
        <w:rPr>
          <w:rFonts w:cs="仿宋" w:asciiTheme="majorEastAsia" w:hAnsiTheme="majorEastAsia" w:eastAsiaTheme="majorEastAsia"/>
          <w:color w:val="auto"/>
          <w:sz w:val="24"/>
          <w:highlight w:val="none"/>
          <w:lang w:val="zh-CN"/>
        </w:rPr>
      </w:pPr>
      <w:r>
        <w:rPr>
          <w:rFonts w:hint="eastAsia" w:cs="仿宋" w:asciiTheme="majorEastAsia" w:hAnsiTheme="majorEastAsia" w:eastAsiaTheme="majorEastAsia"/>
          <w:color w:val="auto"/>
          <w:sz w:val="24"/>
          <w:highlight w:val="none"/>
          <w:lang w:val="zh-CN"/>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C4FB4C5">
      <w:pPr>
        <w:shd w:val="clear"/>
        <w:spacing w:line="360" w:lineRule="auto"/>
        <w:ind w:firstLine="480" w:firstLineChars="200"/>
        <w:rPr>
          <w:rFonts w:cs="仿宋" w:asciiTheme="majorEastAsia" w:hAnsiTheme="majorEastAsia" w:eastAsiaTheme="majorEastAsia"/>
          <w:color w:val="auto"/>
          <w:sz w:val="24"/>
          <w:highlight w:val="none"/>
          <w:lang w:val="zh-CN"/>
        </w:rPr>
      </w:pPr>
      <w:r>
        <w:rPr>
          <w:rFonts w:hint="eastAsia" w:cs="仿宋" w:asciiTheme="majorEastAsia" w:hAnsiTheme="majorEastAsia" w:eastAsiaTheme="majorEastAsia"/>
          <w:color w:val="auto"/>
          <w:sz w:val="24"/>
          <w:highlight w:val="none"/>
        </w:rPr>
        <w:t>5</w:t>
      </w:r>
      <w:r>
        <w:rPr>
          <w:rFonts w:hint="eastAsia" w:cs="仿宋" w:asciiTheme="majorEastAsia" w:hAnsiTheme="majorEastAsia" w:eastAsiaTheme="majorEastAsia"/>
          <w:color w:val="auto"/>
          <w:sz w:val="24"/>
          <w:highlight w:val="none"/>
          <w:lang w:val="zh-CN"/>
        </w:rPr>
        <w:t>.2供应商质疑</w:t>
      </w:r>
    </w:p>
    <w:p w14:paraId="5CC5AD50">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w:t>
      </w:r>
      <w:r>
        <w:rPr>
          <w:rFonts w:hint="eastAsia" w:cs="仿宋" w:asciiTheme="majorEastAsia" w:hAnsiTheme="majorEastAsia" w:eastAsiaTheme="majorEastAsia"/>
          <w:color w:val="auto"/>
          <w:sz w:val="24"/>
          <w:highlight w:val="none"/>
          <w:lang w:val="zh-CN"/>
        </w:rPr>
        <w:t>.2</w:t>
      </w:r>
      <w:r>
        <w:rPr>
          <w:rFonts w:hint="eastAsia" w:cs="仿宋" w:asciiTheme="majorEastAsia" w:hAnsiTheme="majorEastAsia" w:eastAsiaTheme="majorEastAsia"/>
          <w:color w:val="auto"/>
          <w:sz w:val="24"/>
          <w:highlight w:val="none"/>
        </w:rPr>
        <w:t>.1提出质疑的供应商应当是参与所质疑项目采购活动的供应商。潜在供应商已依法获取其可质疑的招标文件的，可以对该文件提出质疑。</w:t>
      </w:r>
    </w:p>
    <w:p w14:paraId="6A674E78">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w:t>
      </w:r>
      <w:r>
        <w:rPr>
          <w:rFonts w:hint="eastAsia" w:cs="仿宋" w:asciiTheme="majorEastAsia" w:hAnsiTheme="majorEastAsia" w:eastAsiaTheme="majorEastAsia"/>
          <w:color w:val="auto"/>
          <w:sz w:val="24"/>
          <w:highlight w:val="none"/>
          <w:lang w:val="zh-CN"/>
        </w:rPr>
        <w:t>.2</w:t>
      </w:r>
      <w:r>
        <w:rPr>
          <w:rFonts w:hint="eastAsia" w:cs="仿宋" w:asciiTheme="majorEastAsia" w:hAnsiTheme="majorEastAsia" w:eastAsiaTheme="majorEastAsia"/>
          <w:color w:val="auto"/>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41A893AA">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5.2.2.1对招标文件提出质疑的，质疑期限为供应商获得招标文件之日或者招标文件公告期限届满之日起计算。</w:t>
      </w:r>
    </w:p>
    <w:p w14:paraId="65DEE25F">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5.2.2.2对采购过程提出质疑的，质疑期限为各采购程序环节结束之日起计算。</w:t>
      </w:r>
    </w:p>
    <w:p w14:paraId="173F7D06">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5.2.2.3对采购结果提出质疑的，质疑期限自采购结果公告期限届满之日起计算。</w:t>
      </w:r>
    </w:p>
    <w:p w14:paraId="422ED51D">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5.2.2.4对同一采购程序环节的质疑，供应商须一次性提出。</w:t>
      </w:r>
    </w:p>
    <w:p w14:paraId="4098A51F">
      <w:pPr>
        <w:shd w:val="clear"/>
        <w:spacing w:line="360" w:lineRule="auto"/>
        <w:ind w:firstLine="480" w:firstLineChars="200"/>
        <w:rPr>
          <w:rFonts w:cs="仿宋" w:asciiTheme="majorEastAsia" w:hAnsiTheme="majorEastAsia" w:eastAsiaTheme="majorEastAsia"/>
          <w:color w:val="auto"/>
          <w:sz w:val="24"/>
          <w:highlight w:val="none"/>
          <w:lang w:val="zh-CN"/>
        </w:rPr>
      </w:pPr>
      <w:r>
        <w:rPr>
          <w:rFonts w:hint="eastAsia" w:cs="仿宋" w:asciiTheme="majorEastAsia" w:hAnsiTheme="majorEastAsia" w:eastAsiaTheme="majorEastAsia"/>
          <w:color w:val="auto"/>
          <w:sz w:val="24"/>
          <w:highlight w:val="none"/>
        </w:rPr>
        <w:t>5</w:t>
      </w:r>
      <w:r>
        <w:rPr>
          <w:rFonts w:hint="eastAsia" w:cs="仿宋" w:asciiTheme="majorEastAsia" w:hAnsiTheme="majorEastAsia" w:eastAsiaTheme="majorEastAsia"/>
          <w:color w:val="auto"/>
          <w:sz w:val="24"/>
          <w:highlight w:val="none"/>
          <w:lang w:val="zh-CN"/>
        </w:rPr>
        <w:t>.2.3</w:t>
      </w:r>
      <w:r>
        <w:rPr>
          <w:rFonts w:hint="eastAsia" w:cs="仿宋" w:asciiTheme="majorEastAsia" w:hAnsiTheme="majorEastAsia" w:eastAsiaTheme="majorEastAsia"/>
          <w:color w:val="auto"/>
          <w:sz w:val="24"/>
          <w:highlight w:val="none"/>
        </w:rPr>
        <w:t>供应商提出质疑应当提交质疑函和必要的证明材料。质疑函应当包括下列内容：</w:t>
      </w:r>
    </w:p>
    <w:p w14:paraId="5D18AB92">
      <w:pPr>
        <w:shd w:val="clear"/>
        <w:spacing w:line="360" w:lineRule="auto"/>
        <w:ind w:firstLine="480" w:firstLineChars="200"/>
        <w:rPr>
          <w:rFonts w:cs="仿宋" w:asciiTheme="majorEastAsia" w:hAnsiTheme="majorEastAsia" w:eastAsiaTheme="majorEastAsia"/>
          <w:color w:val="auto"/>
          <w:sz w:val="24"/>
          <w:highlight w:val="none"/>
          <w:lang w:val="zh-CN"/>
        </w:rPr>
      </w:pPr>
      <w:r>
        <w:rPr>
          <w:rFonts w:hint="eastAsia" w:cs="仿宋" w:asciiTheme="majorEastAsia" w:hAnsiTheme="majorEastAsia" w:eastAsiaTheme="majorEastAsia"/>
          <w:color w:val="auto"/>
          <w:sz w:val="24"/>
          <w:highlight w:val="none"/>
        </w:rPr>
        <w:t>5</w:t>
      </w:r>
      <w:r>
        <w:rPr>
          <w:rFonts w:hint="eastAsia" w:cs="仿宋" w:asciiTheme="majorEastAsia" w:hAnsiTheme="majorEastAsia" w:eastAsiaTheme="majorEastAsia"/>
          <w:color w:val="auto"/>
          <w:sz w:val="24"/>
          <w:highlight w:val="none"/>
          <w:lang w:val="zh-CN"/>
        </w:rPr>
        <w:t>.2.3.1供应商的姓名或者名称、地址、邮编、联系人及联系电话；</w:t>
      </w:r>
    </w:p>
    <w:p w14:paraId="5F813784">
      <w:pPr>
        <w:shd w:val="clear"/>
        <w:spacing w:line="360" w:lineRule="auto"/>
        <w:ind w:firstLine="480" w:firstLineChars="200"/>
        <w:rPr>
          <w:rFonts w:cs="仿宋" w:asciiTheme="majorEastAsia" w:hAnsiTheme="majorEastAsia" w:eastAsiaTheme="majorEastAsia"/>
          <w:color w:val="auto"/>
          <w:sz w:val="24"/>
          <w:highlight w:val="none"/>
          <w:lang w:val="zh-CN"/>
        </w:rPr>
      </w:pPr>
      <w:r>
        <w:rPr>
          <w:rFonts w:hint="eastAsia" w:cs="仿宋" w:asciiTheme="majorEastAsia" w:hAnsiTheme="majorEastAsia" w:eastAsiaTheme="majorEastAsia"/>
          <w:color w:val="auto"/>
          <w:sz w:val="24"/>
          <w:highlight w:val="none"/>
        </w:rPr>
        <w:t>5</w:t>
      </w:r>
      <w:r>
        <w:rPr>
          <w:rFonts w:hint="eastAsia" w:cs="仿宋" w:asciiTheme="majorEastAsia" w:hAnsiTheme="majorEastAsia" w:eastAsiaTheme="majorEastAsia"/>
          <w:color w:val="auto"/>
          <w:sz w:val="24"/>
          <w:highlight w:val="none"/>
          <w:lang w:val="zh-CN"/>
        </w:rPr>
        <w:t>.2.3.2质疑项目的名称、编号；</w:t>
      </w:r>
    </w:p>
    <w:p w14:paraId="43F665F7">
      <w:pPr>
        <w:shd w:val="clear"/>
        <w:spacing w:line="360" w:lineRule="auto"/>
        <w:ind w:firstLine="480" w:firstLineChars="200"/>
        <w:rPr>
          <w:rFonts w:cs="仿宋" w:asciiTheme="majorEastAsia" w:hAnsiTheme="majorEastAsia" w:eastAsiaTheme="majorEastAsia"/>
          <w:color w:val="auto"/>
          <w:sz w:val="24"/>
          <w:highlight w:val="none"/>
          <w:lang w:val="zh-CN"/>
        </w:rPr>
      </w:pPr>
      <w:r>
        <w:rPr>
          <w:rFonts w:hint="eastAsia" w:cs="仿宋" w:asciiTheme="majorEastAsia" w:hAnsiTheme="majorEastAsia" w:eastAsiaTheme="majorEastAsia"/>
          <w:color w:val="auto"/>
          <w:sz w:val="24"/>
          <w:highlight w:val="none"/>
        </w:rPr>
        <w:t>5</w:t>
      </w:r>
      <w:r>
        <w:rPr>
          <w:rFonts w:hint="eastAsia" w:cs="仿宋" w:asciiTheme="majorEastAsia" w:hAnsiTheme="majorEastAsia" w:eastAsiaTheme="majorEastAsia"/>
          <w:color w:val="auto"/>
          <w:sz w:val="24"/>
          <w:highlight w:val="none"/>
          <w:lang w:val="zh-CN"/>
        </w:rPr>
        <w:t>.2.3.3具体、明确的质疑事项和与质疑事项相关的请求；</w:t>
      </w:r>
    </w:p>
    <w:p w14:paraId="73DC1D25">
      <w:pPr>
        <w:shd w:val="clear"/>
        <w:spacing w:line="360" w:lineRule="auto"/>
        <w:ind w:firstLine="480" w:firstLineChars="200"/>
        <w:rPr>
          <w:rFonts w:cs="仿宋" w:asciiTheme="majorEastAsia" w:hAnsiTheme="majorEastAsia" w:eastAsiaTheme="majorEastAsia"/>
          <w:color w:val="auto"/>
          <w:sz w:val="24"/>
          <w:highlight w:val="none"/>
          <w:lang w:val="zh-CN"/>
        </w:rPr>
      </w:pPr>
      <w:r>
        <w:rPr>
          <w:rFonts w:hint="eastAsia" w:cs="仿宋" w:asciiTheme="majorEastAsia" w:hAnsiTheme="majorEastAsia" w:eastAsiaTheme="majorEastAsia"/>
          <w:color w:val="auto"/>
          <w:sz w:val="24"/>
          <w:highlight w:val="none"/>
        </w:rPr>
        <w:t>5</w:t>
      </w:r>
      <w:r>
        <w:rPr>
          <w:rFonts w:hint="eastAsia" w:cs="仿宋" w:asciiTheme="majorEastAsia" w:hAnsiTheme="majorEastAsia" w:eastAsiaTheme="majorEastAsia"/>
          <w:color w:val="auto"/>
          <w:sz w:val="24"/>
          <w:highlight w:val="none"/>
          <w:lang w:val="zh-CN"/>
        </w:rPr>
        <w:t>.2.3.4事实依据；</w:t>
      </w:r>
    </w:p>
    <w:p w14:paraId="6151D30F">
      <w:pPr>
        <w:shd w:val="clear"/>
        <w:spacing w:line="360" w:lineRule="auto"/>
        <w:ind w:firstLine="480" w:firstLineChars="200"/>
        <w:rPr>
          <w:rFonts w:cs="仿宋" w:asciiTheme="majorEastAsia" w:hAnsiTheme="majorEastAsia" w:eastAsiaTheme="majorEastAsia"/>
          <w:color w:val="auto"/>
          <w:sz w:val="24"/>
          <w:highlight w:val="none"/>
          <w:lang w:val="zh-CN"/>
        </w:rPr>
      </w:pPr>
      <w:r>
        <w:rPr>
          <w:rFonts w:hint="eastAsia" w:cs="仿宋" w:asciiTheme="majorEastAsia" w:hAnsiTheme="majorEastAsia" w:eastAsiaTheme="majorEastAsia"/>
          <w:color w:val="auto"/>
          <w:sz w:val="24"/>
          <w:highlight w:val="none"/>
        </w:rPr>
        <w:t>5</w:t>
      </w:r>
      <w:r>
        <w:rPr>
          <w:rFonts w:hint="eastAsia" w:cs="仿宋" w:asciiTheme="majorEastAsia" w:hAnsiTheme="majorEastAsia" w:eastAsiaTheme="majorEastAsia"/>
          <w:color w:val="auto"/>
          <w:sz w:val="24"/>
          <w:highlight w:val="none"/>
          <w:lang w:val="zh-CN"/>
        </w:rPr>
        <w:t>.2.3.5必要的法律依据；</w:t>
      </w:r>
    </w:p>
    <w:p w14:paraId="0646F24C">
      <w:pPr>
        <w:shd w:val="clear"/>
        <w:spacing w:line="360" w:lineRule="auto"/>
        <w:ind w:firstLine="480" w:firstLineChars="200"/>
        <w:rPr>
          <w:rFonts w:cs="仿宋" w:asciiTheme="majorEastAsia" w:hAnsiTheme="majorEastAsia" w:eastAsiaTheme="majorEastAsia"/>
          <w:color w:val="auto"/>
          <w:sz w:val="24"/>
          <w:highlight w:val="none"/>
          <w:lang w:val="zh-CN"/>
        </w:rPr>
      </w:pPr>
      <w:r>
        <w:rPr>
          <w:rFonts w:hint="eastAsia" w:cs="仿宋" w:asciiTheme="majorEastAsia" w:hAnsiTheme="majorEastAsia" w:eastAsiaTheme="majorEastAsia"/>
          <w:color w:val="auto"/>
          <w:sz w:val="24"/>
          <w:highlight w:val="none"/>
        </w:rPr>
        <w:t>5</w:t>
      </w:r>
      <w:r>
        <w:rPr>
          <w:rFonts w:hint="eastAsia" w:cs="仿宋" w:asciiTheme="majorEastAsia" w:hAnsiTheme="majorEastAsia" w:eastAsiaTheme="majorEastAsia"/>
          <w:color w:val="auto"/>
          <w:sz w:val="24"/>
          <w:highlight w:val="none"/>
          <w:lang w:val="zh-CN"/>
        </w:rPr>
        <w:t>.2.3.6提出质疑的日期。</w:t>
      </w:r>
    </w:p>
    <w:p w14:paraId="2A6720A3">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5.2.3.7对招标文件提出质疑的需要提供在乐采云平台获取招标文件的截图。</w:t>
      </w:r>
    </w:p>
    <w:p w14:paraId="4CC69735">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供应商提交的质疑函需一式三份。供应商为自然人的，应当由本人签字；供应商为法人或者其他组织的，应当由法定代表人、主要负责人，或者其授权代表签字或者盖章，并加盖公章。</w:t>
      </w:r>
    </w:p>
    <w:p w14:paraId="19071123">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质疑函范本请到浙江企业采购信息服务网下载专区下载。</w:t>
      </w:r>
    </w:p>
    <w:p w14:paraId="750F548B">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w:t>
      </w:r>
      <w:r>
        <w:rPr>
          <w:rFonts w:hint="eastAsia" w:cs="仿宋" w:asciiTheme="majorEastAsia" w:hAnsiTheme="majorEastAsia" w:eastAsiaTheme="majorEastAsia"/>
          <w:color w:val="auto"/>
          <w:sz w:val="24"/>
          <w:highlight w:val="none"/>
          <w:lang w:val="zh-CN"/>
        </w:rPr>
        <w:t>.2</w:t>
      </w:r>
      <w:r>
        <w:rPr>
          <w:rFonts w:hint="eastAsia" w:cs="仿宋" w:asciiTheme="majorEastAsia" w:hAnsiTheme="majorEastAsia" w:eastAsiaTheme="majorEastAsia"/>
          <w:color w:val="auto"/>
          <w:sz w:val="24"/>
          <w:highlight w:val="none"/>
        </w:rPr>
        <w:t>.4采购人或者采购代理机构应当在收到供应商的书面质疑后七个工作日内作出答复，并以书面形式通知质疑供应商和其他与质疑处理结果有利害关系的政府采购当事人，但答复的内容不得涉及商业秘密。</w:t>
      </w:r>
    </w:p>
    <w:p w14:paraId="5A60820C">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w:t>
      </w:r>
      <w:r>
        <w:rPr>
          <w:rFonts w:hint="eastAsia" w:cs="仿宋" w:asciiTheme="majorEastAsia" w:hAnsiTheme="majorEastAsia" w:eastAsiaTheme="majorEastAsia"/>
          <w:color w:val="auto"/>
          <w:sz w:val="24"/>
          <w:highlight w:val="none"/>
          <w:lang w:val="zh-CN"/>
        </w:rPr>
        <w:t>.2</w:t>
      </w:r>
      <w:r>
        <w:rPr>
          <w:rFonts w:hint="eastAsia" w:cs="仿宋" w:asciiTheme="majorEastAsia" w:hAnsiTheme="majorEastAsia" w:eastAsiaTheme="majorEastAsia"/>
          <w:color w:val="auto"/>
          <w:sz w:val="24"/>
          <w:highlight w:val="none"/>
        </w:rPr>
        <w:t>.5询问或者质疑事项可能影响采购结果的，采购人应当暂停签订合同，已经签订合同的，应当中止履行合同。</w:t>
      </w:r>
    </w:p>
    <w:p w14:paraId="49343548">
      <w:pPr>
        <w:shd w:val="clear"/>
        <w:spacing w:line="360" w:lineRule="auto"/>
        <w:ind w:firstLine="480" w:firstLineChars="200"/>
        <w:rPr>
          <w:rFonts w:cs="仿宋" w:asciiTheme="majorEastAsia" w:hAnsiTheme="majorEastAsia" w:eastAsiaTheme="majorEastAsia"/>
          <w:color w:val="auto"/>
          <w:sz w:val="24"/>
          <w:highlight w:val="none"/>
          <w:lang w:val="zh-CN"/>
        </w:rPr>
      </w:pPr>
      <w:r>
        <w:rPr>
          <w:rFonts w:hint="eastAsia" w:cs="仿宋" w:asciiTheme="majorEastAsia" w:hAnsiTheme="majorEastAsia" w:eastAsiaTheme="majorEastAsia"/>
          <w:color w:val="auto"/>
          <w:sz w:val="24"/>
          <w:highlight w:val="none"/>
        </w:rPr>
        <w:t>5</w:t>
      </w:r>
      <w:r>
        <w:rPr>
          <w:rFonts w:hint="eastAsia" w:cs="仿宋" w:asciiTheme="majorEastAsia" w:hAnsiTheme="majorEastAsia" w:eastAsiaTheme="majorEastAsia"/>
          <w:color w:val="auto"/>
          <w:sz w:val="24"/>
          <w:highlight w:val="none"/>
          <w:lang w:val="zh-CN"/>
        </w:rPr>
        <w:t>.3供应商投诉</w:t>
      </w:r>
    </w:p>
    <w:p w14:paraId="16DDD55D">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5.3.1质疑供应商对采购人、采购代理机构的答复不满意或者采购人、采购代理机构未在规定的时间内作出答复的，可以在答复期满后十五个工作日内向监督管理部门提出投诉。监督管理部门应当在收到投诉后三十个工作日内，对投诉事项作出处理决定，并以书面形式通知投诉人和与投诉事项有关的当事人。</w:t>
      </w:r>
    </w:p>
    <w:p w14:paraId="52B6A1F6">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5.3.</w:t>
      </w:r>
      <w:r>
        <w:rPr>
          <w:rFonts w:hint="eastAsia" w:cs="仿宋" w:asciiTheme="majorEastAsia" w:hAnsiTheme="majorEastAsia" w:eastAsiaTheme="majorEastAsia"/>
          <w:color w:val="auto"/>
          <w:sz w:val="24"/>
          <w:highlight w:val="none"/>
          <w:lang w:val="zh-CN"/>
        </w:rPr>
        <w:t>2</w:t>
      </w:r>
      <w:r>
        <w:rPr>
          <w:rFonts w:hint="eastAsia" w:cs="仿宋" w:asciiTheme="majorEastAsia" w:hAnsiTheme="majorEastAsia" w:eastAsiaTheme="majorEastAsia"/>
          <w:color w:val="auto"/>
          <w:sz w:val="24"/>
          <w:highlight w:val="none"/>
        </w:rPr>
        <w:t>供应商投诉的事项不得超出已质疑事项的范围，基于质疑答复内容提出的投诉事项除外。</w:t>
      </w:r>
    </w:p>
    <w:p w14:paraId="3DD9568B">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5.3.3供应商投诉应当有明确的请求和必要的证明材料。</w:t>
      </w:r>
    </w:p>
    <w:p w14:paraId="3EA26EF5">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5.3.4 以联合体形式参加政府采购活动的，其投诉应当由组成联合体的所有供应商共同提出。</w:t>
      </w:r>
    </w:p>
    <w:p w14:paraId="07316BB1">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5.3.5投诉人对监督管理部门的投诉处理决定不服或监督管理部门逾期未作处理的，可以向区国资管理中心反映。供应商或相关利害关系人在采购过程中发现涉及违法违纪行为或造成国有资产损失的，可以向纪检监察部门和区国资管理中心反映。举报违法行为，应提供有效线索和证明材料。</w:t>
      </w:r>
    </w:p>
    <w:p w14:paraId="1D1EB586">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投诉书范本请到浙江企业采购信息服务网下载专区下载。</w:t>
      </w:r>
    </w:p>
    <w:p w14:paraId="1CB55FA5">
      <w:pPr>
        <w:shd w:val="clear"/>
        <w:spacing w:line="360" w:lineRule="auto"/>
        <w:jc w:val="center"/>
        <w:outlineLvl w:val="0"/>
        <w:rPr>
          <w:rFonts w:cs="仿宋" w:asciiTheme="majorEastAsia" w:hAnsiTheme="majorEastAsia" w:eastAsiaTheme="majorEastAsia"/>
          <w:b/>
          <w:color w:val="auto"/>
          <w:sz w:val="32"/>
          <w:szCs w:val="20"/>
          <w:highlight w:val="none"/>
        </w:rPr>
      </w:pPr>
    </w:p>
    <w:p w14:paraId="55D4D147">
      <w:pPr>
        <w:shd w:val="clear"/>
        <w:spacing w:line="360" w:lineRule="auto"/>
        <w:jc w:val="center"/>
        <w:outlineLvl w:val="0"/>
        <w:rPr>
          <w:rFonts w:cs="仿宋" w:asciiTheme="majorEastAsia" w:hAnsiTheme="majorEastAsia" w:eastAsiaTheme="majorEastAsia"/>
          <w:b/>
          <w:color w:val="auto"/>
          <w:sz w:val="32"/>
          <w:szCs w:val="20"/>
          <w:highlight w:val="none"/>
        </w:rPr>
      </w:pPr>
      <w:r>
        <w:rPr>
          <w:rFonts w:hint="eastAsia" w:cs="仿宋" w:asciiTheme="majorEastAsia" w:hAnsiTheme="majorEastAsia" w:eastAsiaTheme="majorEastAsia"/>
          <w:b/>
          <w:color w:val="auto"/>
          <w:sz w:val="32"/>
          <w:szCs w:val="20"/>
          <w:highlight w:val="none"/>
        </w:rPr>
        <w:t>二、招标文件的构成、澄清、修改</w:t>
      </w:r>
    </w:p>
    <w:p w14:paraId="05B6B720">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招标文件的构成</w:t>
      </w:r>
    </w:p>
    <w:p w14:paraId="3AB7DE8C">
      <w:pPr>
        <w:pStyle w:val="11"/>
        <w:shd w:val="clear"/>
        <w:spacing w:line="360" w:lineRule="auto"/>
        <w:ind w:firstLine="480" w:firstLineChars="200"/>
        <w:rPr>
          <w:rFonts w:cs="仿宋" w:asciiTheme="majorEastAsia" w:hAnsiTheme="majorEastAsia" w:eastAsiaTheme="majorEastAsia"/>
          <w:color w:val="auto"/>
          <w:sz w:val="24"/>
          <w:szCs w:val="24"/>
          <w:highlight w:val="none"/>
        </w:rPr>
      </w:pPr>
      <w:r>
        <w:rPr>
          <w:rFonts w:hint="eastAsia" w:cs="仿宋" w:asciiTheme="majorEastAsia" w:hAnsiTheme="majorEastAsia" w:eastAsiaTheme="majorEastAsia"/>
          <w:color w:val="auto"/>
          <w:sz w:val="24"/>
          <w:szCs w:val="24"/>
          <w:highlight w:val="none"/>
        </w:rPr>
        <w:t>6.1 招标文件包括下列文件及附件：</w:t>
      </w:r>
    </w:p>
    <w:p w14:paraId="08C87DB4">
      <w:pPr>
        <w:pStyle w:val="11"/>
        <w:shd w:val="clear"/>
        <w:spacing w:line="360" w:lineRule="auto"/>
        <w:ind w:firstLine="480" w:firstLineChars="200"/>
        <w:rPr>
          <w:rFonts w:cs="仿宋" w:asciiTheme="majorEastAsia" w:hAnsiTheme="majorEastAsia" w:eastAsiaTheme="majorEastAsia"/>
          <w:color w:val="auto"/>
          <w:sz w:val="24"/>
          <w:szCs w:val="24"/>
          <w:highlight w:val="none"/>
        </w:rPr>
      </w:pPr>
      <w:r>
        <w:rPr>
          <w:rFonts w:hint="eastAsia" w:cs="仿宋" w:asciiTheme="majorEastAsia" w:hAnsiTheme="majorEastAsia" w:eastAsiaTheme="majorEastAsia"/>
          <w:color w:val="auto"/>
          <w:sz w:val="24"/>
          <w:szCs w:val="24"/>
          <w:highlight w:val="none"/>
        </w:rPr>
        <w:t>6.1.1 招标公告；</w:t>
      </w:r>
    </w:p>
    <w:p w14:paraId="51D27919">
      <w:pPr>
        <w:pStyle w:val="11"/>
        <w:shd w:val="clear"/>
        <w:spacing w:line="360" w:lineRule="auto"/>
        <w:ind w:firstLine="480" w:firstLineChars="200"/>
        <w:rPr>
          <w:rFonts w:cs="仿宋" w:asciiTheme="majorEastAsia" w:hAnsiTheme="majorEastAsia" w:eastAsiaTheme="majorEastAsia"/>
          <w:color w:val="auto"/>
          <w:sz w:val="24"/>
          <w:szCs w:val="24"/>
          <w:highlight w:val="none"/>
        </w:rPr>
      </w:pPr>
      <w:r>
        <w:rPr>
          <w:rFonts w:hint="eastAsia" w:cs="仿宋" w:asciiTheme="majorEastAsia" w:hAnsiTheme="majorEastAsia" w:eastAsiaTheme="majorEastAsia"/>
          <w:color w:val="auto"/>
          <w:sz w:val="24"/>
          <w:szCs w:val="24"/>
          <w:highlight w:val="none"/>
        </w:rPr>
        <w:t xml:space="preserve">6.1.2 </w:t>
      </w:r>
      <w:r>
        <w:rPr>
          <w:rFonts w:hint="eastAsia" w:cs="仿宋" w:asciiTheme="majorEastAsia" w:hAnsiTheme="majorEastAsia" w:eastAsiaTheme="majorEastAsia"/>
          <w:color w:val="auto"/>
          <w:sz w:val="24"/>
          <w:szCs w:val="24"/>
          <w:highlight w:val="none"/>
          <w:lang w:val="zh-CN"/>
        </w:rPr>
        <w:t>投标</w:t>
      </w:r>
      <w:r>
        <w:rPr>
          <w:rFonts w:hint="eastAsia" w:cs="仿宋" w:asciiTheme="majorEastAsia" w:hAnsiTheme="majorEastAsia" w:eastAsiaTheme="majorEastAsia"/>
          <w:color w:val="auto"/>
          <w:sz w:val="24"/>
          <w:szCs w:val="24"/>
          <w:highlight w:val="none"/>
        </w:rPr>
        <w:t>须知；</w:t>
      </w:r>
    </w:p>
    <w:p w14:paraId="582B852C">
      <w:pPr>
        <w:pStyle w:val="11"/>
        <w:shd w:val="clear"/>
        <w:spacing w:line="360" w:lineRule="auto"/>
        <w:ind w:firstLine="480" w:firstLineChars="200"/>
        <w:rPr>
          <w:rFonts w:cs="仿宋" w:asciiTheme="majorEastAsia" w:hAnsiTheme="majorEastAsia" w:eastAsiaTheme="majorEastAsia"/>
          <w:color w:val="auto"/>
          <w:sz w:val="24"/>
          <w:szCs w:val="24"/>
          <w:highlight w:val="none"/>
        </w:rPr>
      </w:pPr>
      <w:r>
        <w:rPr>
          <w:rFonts w:hint="eastAsia" w:cs="仿宋" w:asciiTheme="majorEastAsia" w:hAnsiTheme="majorEastAsia" w:eastAsiaTheme="majorEastAsia"/>
          <w:color w:val="auto"/>
          <w:sz w:val="24"/>
          <w:szCs w:val="24"/>
          <w:highlight w:val="none"/>
        </w:rPr>
        <w:t>6.1.3 采购需求；</w:t>
      </w:r>
    </w:p>
    <w:p w14:paraId="21FD3803">
      <w:pPr>
        <w:pStyle w:val="11"/>
        <w:shd w:val="clear"/>
        <w:spacing w:line="360" w:lineRule="auto"/>
        <w:ind w:firstLine="480" w:firstLineChars="200"/>
        <w:rPr>
          <w:rFonts w:cs="仿宋" w:asciiTheme="majorEastAsia" w:hAnsiTheme="majorEastAsia" w:eastAsiaTheme="majorEastAsia"/>
          <w:color w:val="auto"/>
          <w:sz w:val="24"/>
          <w:szCs w:val="24"/>
          <w:highlight w:val="none"/>
        </w:rPr>
      </w:pPr>
      <w:r>
        <w:rPr>
          <w:rFonts w:hint="eastAsia" w:cs="仿宋" w:asciiTheme="majorEastAsia" w:hAnsiTheme="majorEastAsia" w:eastAsiaTheme="majorEastAsia"/>
          <w:color w:val="auto"/>
          <w:sz w:val="24"/>
          <w:szCs w:val="24"/>
          <w:highlight w:val="none"/>
        </w:rPr>
        <w:t>6.1.4 评标办法；</w:t>
      </w:r>
    </w:p>
    <w:p w14:paraId="01251777">
      <w:pPr>
        <w:pStyle w:val="11"/>
        <w:shd w:val="clear"/>
        <w:spacing w:line="360" w:lineRule="auto"/>
        <w:ind w:firstLine="480" w:firstLineChars="200"/>
        <w:rPr>
          <w:rFonts w:cs="仿宋" w:asciiTheme="majorEastAsia" w:hAnsiTheme="majorEastAsia" w:eastAsiaTheme="majorEastAsia"/>
          <w:color w:val="auto"/>
          <w:sz w:val="24"/>
          <w:szCs w:val="24"/>
          <w:highlight w:val="none"/>
        </w:rPr>
      </w:pPr>
      <w:r>
        <w:rPr>
          <w:rFonts w:hint="eastAsia" w:cs="仿宋" w:asciiTheme="majorEastAsia" w:hAnsiTheme="majorEastAsia" w:eastAsiaTheme="majorEastAsia"/>
          <w:color w:val="auto"/>
          <w:sz w:val="24"/>
          <w:szCs w:val="24"/>
          <w:highlight w:val="none"/>
        </w:rPr>
        <w:t>6.1.5 拟签订的合同文本；</w:t>
      </w:r>
    </w:p>
    <w:p w14:paraId="4AFBC5E1">
      <w:pPr>
        <w:pStyle w:val="11"/>
        <w:shd w:val="clear"/>
        <w:spacing w:line="360" w:lineRule="auto"/>
        <w:ind w:firstLine="480" w:firstLineChars="200"/>
        <w:rPr>
          <w:rFonts w:cs="仿宋" w:asciiTheme="majorEastAsia" w:hAnsiTheme="majorEastAsia" w:eastAsiaTheme="majorEastAsia"/>
          <w:color w:val="auto"/>
          <w:sz w:val="24"/>
          <w:szCs w:val="24"/>
          <w:highlight w:val="none"/>
        </w:rPr>
      </w:pPr>
      <w:r>
        <w:rPr>
          <w:rFonts w:hint="eastAsia" w:cs="仿宋" w:asciiTheme="majorEastAsia" w:hAnsiTheme="majorEastAsia" w:eastAsiaTheme="majorEastAsia"/>
          <w:color w:val="auto"/>
          <w:sz w:val="24"/>
          <w:szCs w:val="24"/>
          <w:highlight w:val="none"/>
        </w:rPr>
        <w:t>6.1.6 应提交的有关格式范例。</w:t>
      </w:r>
    </w:p>
    <w:p w14:paraId="1CA2847E">
      <w:pPr>
        <w:pStyle w:val="11"/>
        <w:shd w:val="clear"/>
        <w:spacing w:line="360" w:lineRule="auto"/>
        <w:ind w:firstLine="480" w:firstLineChars="200"/>
        <w:rPr>
          <w:rFonts w:cs="仿宋" w:asciiTheme="majorEastAsia" w:hAnsiTheme="majorEastAsia" w:eastAsiaTheme="majorEastAsia"/>
          <w:color w:val="auto"/>
          <w:sz w:val="24"/>
          <w:szCs w:val="24"/>
          <w:highlight w:val="none"/>
        </w:rPr>
      </w:pPr>
      <w:r>
        <w:rPr>
          <w:rFonts w:hint="eastAsia" w:cs="仿宋" w:asciiTheme="majorEastAsia" w:hAnsiTheme="majorEastAsia" w:eastAsiaTheme="majorEastAsia"/>
          <w:color w:val="auto"/>
          <w:sz w:val="24"/>
          <w:szCs w:val="24"/>
          <w:highlight w:val="none"/>
        </w:rPr>
        <w:t>6.1.7 附件（如有）</w:t>
      </w:r>
    </w:p>
    <w:p w14:paraId="09AFC79E">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6.2与本项目有关的</w:t>
      </w:r>
      <w:r>
        <w:rPr>
          <w:rFonts w:hint="eastAsia" w:cs="仿宋" w:asciiTheme="majorEastAsia" w:hAnsiTheme="majorEastAsia" w:eastAsiaTheme="majorEastAsia"/>
          <w:bCs/>
          <w:color w:val="auto"/>
          <w:sz w:val="24"/>
          <w:highlight w:val="none"/>
        </w:rPr>
        <w:t>澄清或者修改的内容为招标文件的组成部分</w:t>
      </w:r>
      <w:r>
        <w:rPr>
          <w:rFonts w:hint="eastAsia" w:cs="仿宋" w:asciiTheme="majorEastAsia" w:hAnsiTheme="majorEastAsia" w:eastAsiaTheme="majorEastAsia"/>
          <w:color w:val="auto"/>
          <w:sz w:val="24"/>
          <w:highlight w:val="none"/>
        </w:rPr>
        <w:t>。</w:t>
      </w:r>
    </w:p>
    <w:p w14:paraId="1F25417D">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招标文件的澄清、修改</w:t>
      </w:r>
    </w:p>
    <w:p w14:paraId="083289D5">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7.1 采购人对招标文件进行必要的澄清或者修改的，在采购信息发布网站上发布更正公告。澄清或者修改的内容可能影响投标文件编制的，更正公告在投标截止时间至少15日前发出；不足15日的，顺延提交投标文件截止时间。</w:t>
      </w:r>
    </w:p>
    <w:p w14:paraId="1991D770">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7.2 更正公告为招标文件的组成部分，一经在网站发布，视同已通知所有招标文件的收受人，不再采用其它方式传达相关信息, 若因未能及时了解到上述网站上发布的相关信息而导致的一切后果自行承担。</w:t>
      </w:r>
    </w:p>
    <w:p w14:paraId="3745922F">
      <w:pPr>
        <w:shd w:val="clear"/>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7.3 如更正公告有重新发布电子招标文件的，</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sz w:val="24"/>
          <w:highlight w:val="none"/>
        </w:rPr>
        <w:t>应下载最新发布的电子招标文件制作投标文件。</w:t>
      </w:r>
    </w:p>
    <w:p w14:paraId="66E7ADE8">
      <w:pPr>
        <w:shd w:val="clear"/>
        <w:spacing w:line="360" w:lineRule="auto"/>
        <w:ind w:firstLine="480" w:firstLineChars="200"/>
        <w:rPr>
          <w:rFonts w:cs="仿宋" w:asciiTheme="majorEastAsia" w:hAnsiTheme="majorEastAsia" w:eastAsiaTheme="majorEastAsia"/>
          <w:b/>
          <w:color w:val="auto"/>
          <w:sz w:val="28"/>
          <w:szCs w:val="20"/>
          <w:highlight w:val="none"/>
        </w:rPr>
      </w:pPr>
      <w:r>
        <w:rPr>
          <w:rFonts w:hint="eastAsia" w:cs="仿宋" w:asciiTheme="majorEastAsia" w:hAnsiTheme="majorEastAsia" w:eastAsiaTheme="majorEastAsia"/>
          <w:color w:val="auto"/>
          <w:sz w:val="24"/>
          <w:highlight w:val="none"/>
        </w:rPr>
        <w:t>7.4 已获取招标文件的潜在</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sz w:val="24"/>
          <w:highlight w:val="none"/>
        </w:rPr>
        <w:t>，若有问题需要澄清，应于投标截止时间前，以书面形式向采购代理机构提出。</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sz w:val="24"/>
          <w:highlight w:val="none"/>
        </w:rPr>
        <w:t>在规定的时间内未对招标文件提出疑问、质疑或要求澄清的，将视其为无异议。对招标文件中描述有歧义或前后不一致的地方，评标委员会有权进行评判，但对同一条款的评判应适用于每个</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sz w:val="24"/>
          <w:highlight w:val="none"/>
        </w:rPr>
        <w:t>。</w:t>
      </w:r>
    </w:p>
    <w:p w14:paraId="25D67B5E">
      <w:pPr>
        <w:shd w:val="clear"/>
        <w:spacing w:line="360" w:lineRule="auto"/>
        <w:jc w:val="center"/>
        <w:outlineLvl w:val="0"/>
        <w:rPr>
          <w:rFonts w:cs="仿宋" w:asciiTheme="majorEastAsia" w:hAnsiTheme="majorEastAsia" w:eastAsiaTheme="majorEastAsia"/>
          <w:b/>
          <w:color w:val="auto"/>
          <w:sz w:val="28"/>
          <w:szCs w:val="20"/>
          <w:highlight w:val="none"/>
        </w:rPr>
      </w:pPr>
      <w:r>
        <w:rPr>
          <w:rFonts w:hint="eastAsia" w:cs="仿宋" w:asciiTheme="majorEastAsia" w:hAnsiTheme="majorEastAsia" w:eastAsiaTheme="majorEastAsia"/>
          <w:b/>
          <w:color w:val="auto"/>
          <w:sz w:val="28"/>
          <w:szCs w:val="20"/>
          <w:highlight w:val="none"/>
        </w:rPr>
        <w:t>三、投标</w:t>
      </w:r>
    </w:p>
    <w:p w14:paraId="56D46067">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投标文件的语言</w:t>
      </w:r>
    </w:p>
    <w:p w14:paraId="0C54B246">
      <w:pPr>
        <w:shd w:val="clear"/>
        <w:autoSpaceDE w:val="0"/>
        <w:autoSpaceDN w:val="0"/>
        <w:spacing w:line="360" w:lineRule="auto"/>
        <w:ind w:firstLine="480" w:firstLineChars="200"/>
        <w:rPr>
          <w:rFonts w:cs="仿宋" w:asciiTheme="majorEastAsia" w:hAnsiTheme="majorEastAsia" w:eastAsiaTheme="majorEastAsia"/>
          <w:color w:val="auto"/>
          <w:sz w:val="24"/>
          <w:highlight w:val="none"/>
          <w:lang w:val="zh-CN"/>
        </w:rPr>
      </w:pPr>
      <w:r>
        <w:rPr>
          <w:rFonts w:hint="eastAsia" w:cs="仿宋" w:asciiTheme="majorEastAsia" w:hAnsiTheme="majorEastAsia" w:eastAsiaTheme="majorEastAsia"/>
          <w:color w:val="auto"/>
          <w:sz w:val="24"/>
          <w:highlight w:val="none"/>
        </w:rPr>
        <w:t>投标文件及</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sz w:val="24"/>
          <w:highlight w:val="none"/>
        </w:rPr>
        <w:t>与采购有关的来往通知、函件和文件均应使用中文。</w:t>
      </w:r>
    </w:p>
    <w:p w14:paraId="02700E3F">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投标文件的组成</w:t>
      </w:r>
    </w:p>
    <w:p w14:paraId="1E976506">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9.1 </w:t>
      </w:r>
      <w:r>
        <w:rPr>
          <w:rFonts w:hint="eastAsia" w:cs="仿宋" w:asciiTheme="majorEastAsia" w:hAnsiTheme="majorEastAsia" w:eastAsiaTheme="majorEastAsia"/>
          <w:b/>
          <w:color w:val="auto"/>
          <w:sz w:val="24"/>
          <w:highlight w:val="none"/>
        </w:rPr>
        <w:t>资格文件</w:t>
      </w:r>
      <w:r>
        <w:rPr>
          <w:rFonts w:hint="eastAsia" w:cs="仿宋" w:asciiTheme="majorEastAsia" w:hAnsiTheme="majorEastAsia" w:eastAsiaTheme="majorEastAsia"/>
          <w:color w:val="auto"/>
          <w:sz w:val="24"/>
          <w:highlight w:val="none"/>
        </w:rPr>
        <w:t>：</w:t>
      </w:r>
    </w:p>
    <w:p w14:paraId="4D96E682">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9.1.1有效的企业法人营业执照（或事业法人登记证）、其他组织（个体工商户）的营业执照或者民办非企业单位登记证书；</w:t>
      </w:r>
    </w:p>
    <w:p w14:paraId="27C3AE11">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9.1.2符合参加政府采购活动应当具备的一般条件的承诺函(格式见第六部分)；</w:t>
      </w:r>
    </w:p>
    <w:p w14:paraId="58A06326">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9.1.3落实政府采购政策需满足的资格要求（如适用）；</w:t>
      </w:r>
    </w:p>
    <w:p w14:paraId="3A442E24">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9.1.4本项目的特定资格要求（如有）。</w:t>
      </w:r>
    </w:p>
    <w:p w14:paraId="1524E550">
      <w:pPr>
        <w:shd w:val="clear"/>
        <w:snapToGrid w:val="0"/>
        <w:spacing w:line="360" w:lineRule="auto"/>
        <w:ind w:firstLine="480" w:firstLineChars="200"/>
        <w:rPr>
          <w:rFonts w:cs="仿宋" w:asciiTheme="majorEastAsia" w:hAnsiTheme="majorEastAsia" w:eastAsiaTheme="majorEastAsia"/>
          <w:b/>
          <w:bCs/>
          <w:color w:val="auto"/>
          <w:sz w:val="24"/>
          <w:highlight w:val="none"/>
          <w:lang w:val="zh-CN"/>
        </w:rPr>
      </w:pPr>
      <w:r>
        <w:rPr>
          <w:rFonts w:hint="eastAsia" w:cs="仿宋" w:asciiTheme="majorEastAsia" w:hAnsiTheme="majorEastAsia" w:eastAsiaTheme="majorEastAsia"/>
          <w:color w:val="auto"/>
          <w:sz w:val="24"/>
          <w:highlight w:val="none"/>
        </w:rPr>
        <w:t>9</w:t>
      </w:r>
      <w:r>
        <w:rPr>
          <w:rFonts w:hint="eastAsia" w:cs="仿宋" w:asciiTheme="majorEastAsia" w:hAnsiTheme="majorEastAsia" w:eastAsiaTheme="majorEastAsia"/>
          <w:color w:val="auto"/>
          <w:sz w:val="24"/>
          <w:highlight w:val="none"/>
          <w:lang w:val="zh-CN"/>
        </w:rPr>
        <w:t>.</w:t>
      </w:r>
      <w:r>
        <w:rPr>
          <w:rFonts w:hint="eastAsia" w:cs="仿宋" w:asciiTheme="majorEastAsia" w:hAnsiTheme="majorEastAsia" w:eastAsiaTheme="majorEastAsia"/>
          <w:color w:val="auto"/>
          <w:sz w:val="24"/>
          <w:highlight w:val="none"/>
        </w:rPr>
        <w:t>2</w:t>
      </w:r>
      <w:r>
        <w:rPr>
          <w:rFonts w:hint="eastAsia" w:cs="仿宋" w:asciiTheme="majorEastAsia" w:hAnsiTheme="majorEastAsia" w:eastAsiaTheme="majorEastAsia"/>
          <w:b/>
          <w:bCs/>
          <w:color w:val="auto"/>
          <w:sz w:val="24"/>
          <w:highlight w:val="none"/>
        </w:rPr>
        <w:t>商务技术</w:t>
      </w:r>
      <w:r>
        <w:rPr>
          <w:rFonts w:hint="eastAsia" w:cs="仿宋" w:asciiTheme="majorEastAsia" w:hAnsiTheme="majorEastAsia" w:eastAsiaTheme="majorEastAsia"/>
          <w:b/>
          <w:bCs/>
          <w:color w:val="auto"/>
          <w:sz w:val="24"/>
          <w:highlight w:val="none"/>
          <w:lang w:val="zh-CN"/>
        </w:rPr>
        <w:t>文件：</w:t>
      </w:r>
    </w:p>
    <w:p w14:paraId="293E065F">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9.2.1 评分索引表</w:t>
      </w:r>
    </w:p>
    <w:p w14:paraId="76DC1A82">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9.2.2 符合性自查表；</w:t>
      </w:r>
    </w:p>
    <w:p w14:paraId="5FFB36D4">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9.2.3 投标函；</w:t>
      </w:r>
    </w:p>
    <w:p w14:paraId="011973D0">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9.2.4 授权委托书或法定代表人（单位负责人、自然人本人）身份证明；</w:t>
      </w:r>
    </w:p>
    <w:p w14:paraId="3A55D79B">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9.2.5 投标人基本情况表；</w:t>
      </w:r>
    </w:p>
    <w:p w14:paraId="62CC6D23">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9.2.6 距采购人最近或者能为本项目提供最优服务的网点情况表；</w:t>
      </w:r>
    </w:p>
    <w:p w14:paraId="2E3D71B1">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w:t>
      </w:r>
      <w:r>
        <w:rPr>
          <w:rFonts w:hint="eastAsia" w:cs="仿宋" w:asciiTheme="majorEastAsia" w:hAnsiTheme="majorEastAsia" w:eastAsiaTheme="majorEastAsia"/>
          <w:color w:val="auto"/>
          <w:sz w:val="24"/>
          <w:highlight w:val="none"/>
          <w:lang w:val="zh-CN"/>
        </w:rPr>
        <w:t>.</w:t>
      </w:r>
      <w:r>
        <w:rPr>
          <w:rFonts w:hint="eastAsia" w:cs="仿宋" w:asciiTheme="majorEastAsia" w:hAnsiTheme="majorEastAsia" w:eastAsiaTheme="majorEastAsia"/>
          <w:color w:val="auto"/>
          <w:sz w:val="24"/>
          <w:highlight w:val="none"/>
        </w:rPr>
        <w:t>2</w:t>
      </w:r>
      <w:r>
        <w:rPr>
          <w:rFonts w:hint="eastAsia" w:cs="仿宋" w:asciiTheme="majorEastAsia" w:hAnsiTheme="majorEastAsia" w:eastAsiaTheme="majorEastAsia"/>
          <w:color w:val="auto"/>
          <w:sz w:val="24"/>
          <w:highlight w:val="none"/>
          <w:lang w:val="zh-CN"/>
        </w:rPr>
        <w:t>.</w:t>
      </w:r>
      <w:r>
        <w:rPr>
          <w:rFonts w:hint="eastAsia" w:cs="仿宋" w:asciiTheme="majorEastAsia" w:hAnsiTheme="majorEastAsia" w:eastAsiaTheme="majorEastAsia"/>
          <w:color w:val="auto"/>
          <w:sz w:val="24"/>
          <w:highlight w:val="none"/>
        </w:rPr>
        <w:t>7 评标标准相应的商务技术资料；</w:t>
      </w:r>
    </w:p>
    <w:p w14:paraId="60AF70EF">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9.2.8 商务响应表；</w:t>
      </w:r>
    </w:p>
    <w:p w14:paraId="47F0AEF6">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9.2.9 服务响应表；</w:t>
      </w:r>
    </w:p>
    <w:p w14:paraId="094334C9">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9.2.10项目实施人员一览表；</w:t>
      </w:r>
    </w:p>
    <w:p w14:paraId="501CDABF">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9.2.11同类业绩情况一览表；</w:t>
      </w:r>
    </w:p>
    <w:p w14:paraId="4AE35873">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9.2.12</w:t>
      </w:r>
      <w:r>
        <w:rPr>
          <w:rFonts w:hint="eastAsia" w:cs="仿宋" w:asciiTheme="majorEastAsia" w:hAnsiTheme="majorEastAsia" w:eastAsiaTheme="majorEastAsia"/>
          <w:color w:val="auto"/>
          <w:sz w:val="24"/>
          <w:highlight w:val="none"/>
          <w:lang w:val="zh-CN"/>
        </w:rPr>
        <w:t>政府采购供应商廉洁自律承诺书；</w:t>
      </w:r>
    </w:p>
    <w:p w14:paraId="7AA681A2">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9.2.13其他资料（如有）。</w:t>
      </w:r>
    </w:p>
    <w:p w14:paraId="4D1E6117">
      <w:pPr>
        <w:shd w:val="clear"/>
        <w:snapToGrid w:val="0"/>
        <w:spacing w:line="360" w:lineRule="auto"/>
        <w:ind w:firstLine="480" w:firstLineChars="200"/>
        <w:rPr>
          <w:rFonts w:cs="仿宋" w:asciiTheme="majorEastAsia" w:hAnsiTheme="majorEastAsia" w:eastAsiaTheme="majorEastAsia"/>
          <w:color w:val="auto"/>
          <w:sz w:val="24"/>
          <w:highlight w:val="none"/>
          <w:u w:val="single"/>
          <w:lang w:val="zh-CN"/>
        </w:rPr>
      </w:pPr>
      <w:r>
        <w:rPr>
          <w:rFonts w:hint="eastAsia" w:cs="仿宋" w:asciiTheme="majorEastAsia" w:hAnsiTheme="majorEastAsia" w:eastAsiaTheme="majorEastAsia"/>
          <w:color w:val="auto"/>
          <w:kern w:val="0"/>
          <w:sz w:val="24"/>
          <w:highlight w:val="none"/>
        </w:rPr>
        <w:t>9</w:t>
      </w:r>
      <w:r>
        <w:rPr>
          <w:rFonts w:hint="eastAsia" w:cs="仿宋" w:asciiTheme="majorEastAsia" w:hAnsiTheme="majorEastAsia" w:eastAsiaTheme="majorEastAsia"/>
          <w:color w:val="auto"/>
          <w:kern w:val="0"/>
          <w:sz w:val="24"/>
          <w:highlight w:val="none"/>
          <w:lang w:val="zh-CN"/>
        </w:rPr>
        <w:t>.</w:t>
      </w:r>
      <w:r>
        <w:rPr>
          <w:rFonts w:hint="eastAsia" w:cs="仿宋" w:asciiTheme="majorEastAsia" w:hAnsiTheme="majorEastAsia" w:eastAsiaTheme="majorEastAsia"/>
          <w:color w:val="auto"/>
          <w:kern w:val="0"/>
          <w:sz w:val="24"/>
          <w:highlight w:val="none"/>
        </w:rPr>
        <w:t xml:space="preserve">3 </w:t>
      </w:r>
      <w:r>
        <w:rPr>
          <w:rFonts w:hint="eastAsia" w:cs="仿宋" w:asciiTheme="majorEastAsia" w:hAnsiTheme="majorEastAsia" w:eastAsiaTheme="majorEastAsia"/>
          <w:b/>
          <w:color w:val="auto"/>
          <w:sz w:val="24"/>
          <w:highlight w:val="none"/>
        </w:rPr>
        <w:t>报价文件：</w:t>
      </w:r>
    </w:p>
    <w:p w14:paraId="3AED71D0">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9.3.1 开标一览表；</w:t>
      </w:r>
    </w:p>
    <w:p w14:paraId="06ABCD75">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9.3.2 投标报价明细表；</w:t>
      </w:r>
    </w:p>
    <w:p w14:paraId="49CB6117">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9.3.3 中小企业声明函（如有）；</w:t>
      </w:r>
    </w:p>
    <w:p w14:paraId="370AF152">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9.3.4 残疾人福利性单位声明函（如有）；</w:t>
      </w:r>
    </w:p>
    <w:p w14:paraId="6D2515BB">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9.3.5 监狱企业的证明文件（如有）；</w:t>
      </w:r>
    </w:p>
    <w:p w14:paraId="4346AF18">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9.3.6 政府采购统计基础信息表；</w:t>
      </w:r>
    </w:p>
    <w:p w14:paraId="0CF21F43">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9.3.7其他资料（如有）。</w:t>
      </w:r>
    </w:p>
    <w:p w14:paraId="603B438D">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投标文件的编制</w:t>
      </w:r>
    </w:p>
    <w:p w14:paraId="1C654ADC">
      <w:pPr>
        <w:shd w:val="clear"/>
        <w:spacing w:line="360" w:lineRule="auto"/>
        <w:ind w:firstLine="480" w:firstLineChars="200"/>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color w:val="auto"/>
          <w:kern w:val="0"/>
          <w:sz w:val="24"/>
          <w:highlight w:val="none"/>
          <w:lang w:val="zh-CN"/>
        </w:rPr>
        <w:t>1</w:t>
      </w:r>
      <w:r>
        <w:rPr>
          <w:rFonts w:hint="eastAsia" w:cs="仿宋" w:asciiTheme="majorEastAsia" w:hAnsiTheme="majorEastAsia" w:eastAsiaTheme="majorEastAsia"/>
          <w:color w:val="auto"/>
          <w:kern w:val="0"/>
          <w:sz w:val="24"/>
          <w:highlight w:val="none"/>
        </w:rPr>
        <w:t>0</w:t>
      </w:r>
      <w:r>
        <w:rPr>
          <w:rFonts w:hint="eastAsia" w:cs="仿宋" w:asciiTheme="majorEastAsia" w:hAnsiTheme="majorEastAsia" w:eastAsiaTheme="majorEastAsia"/>
          <w:color w:val="auto"/>
          <w:kern w:val="0"/>
          <w:sz w:val="24"/>
          <w:highlight w:val="none"/>
          <w:lang w:val="zh-CN"/>
        </w:rPr>
        <w:t>.1投标文件分为资格文件、商务技术文件、报价文件三部分。各供应商在编制投标文件时请按照招标文件第六部分规定的格式进行。</w:t>
      </w:r>
      <w:r>
        <w:rPr>
          <w:rFonts w:hint="eastAsia" w:cs="仿宋" w:asciiTheme="majorEastAsia" w:hAnsiTheme="majorEastAsia" w:eastAsiaTheme="majorEastAsia"/>
          <w:color w:val="auto"/>
          <w:kern w:val="0"/>
          <w:sz w:val="24"/>
          <w:highlight w:val="none"/>
        </w:rPr>
        <w:t>未有规定格式的资料，</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kern w:val="0"/>
          <w:sz w:val="24"/>
          <w:highlight w:val="none"/>
        </w:rPr>
        <w:t>应自行编制，但至少须包含9.投标文件组成中的内容。</w:t>
      </w:r>
      <w:r>
        <w:rPr>
          <w:rFonts w:hint="eastAsia" w:cs="仿宋" w:asciiTheme="majorEastAsia" w:hAnsiTheme="majorEastAsia" w:eastAsiaTheme="majorEastAsia"/>
          <w:color w:val="auto"/>
          <w:kern w:val="0"/>
          <w:sz w:val="24"/>
          <w:highlight w:val="none"/>
          <w:lang w:val="zh-CN"/>
        </w:rPr>
        <w:t>混乱的编排导致投标文件被误读或评标委员会查找不到有效文件是供应商的风险。</w:t>
      </w:r>
    </w:p>
    <w:p w14:paraId="0F684003">
      <w:pPr>
        <w:shd w:val="clear"/>
        <w:spacing w:line="360" w:lineRule="auto"/>
        <w:ind w:firstLine="480" w:firstLineChars="200"/>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1</w:t>
      </w:r>
      <w:r>
        <w:rPr>
          <w:rFonts w:hint="eastAsia" w:cs="仿宋" w:asciiTheme="majorEastAsia" w:hAnsiTheme="majorEastAsia" w:eastAsiaTheme="majorEastAsia"/>
          <w:color w:val="auto"/>
          <w:kern w:val="0"/>
          <w:sz w:val="24"/>
          <w:highlight w:val="none"/>
        </w:rPr>
        <w:t>0</w:t>
      </w:r>
      <w:r>
        <w:rPr>
          <w:rFonts w:hint="eastAsia" w:cs="仿宋" w:asciiTheme="majorEastAsia" w:hAnsiTheme="majorEastAsia" w:eastAsiaTheme="majorEastAsia"/>
          <w:color w:val="auto"/>
          <w:kern w:val="0"/>
          <w:sz w:val="24"/>
          <w:highlight w:val="none"/>
          <w:lang w:val="zh-CN"/>
        </w:rPr>
        <w:t>.2供应商进行电子投标应安装客户端软件—“乐采云电子交易客户端”，并按照招标文件和电子交易平台的要求编制并加密投标文件。供应商未按规定加密的投标文件，电子交易平台将拒收并提示。</w:t>
      </w:r>
    </w:p>
    <w:p w14:paraId="26FC7159">
      <w:pPr>
        <w:shd w:val="clear"/>
        <w:spacing w:line="360" w:lineRule="auto"/>
        <w:ind w:firstLine="480" w:firstLineChars="200"/>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1</w:t>
      </w:r>
      <w:r>
        <w:rPr>
          <w:rFonts w:hint="eastAsia" w:cs="仿宋" w:asciiTheme="majorEastAsia" w:hAnsiTheme="majorEastAsia" w:eastAsiaTheme="majorEastAsia"/>
          <w:color w:val="auto"/>
          <w:kern w:val="0"/>
          <w:sz w:val="24"/>
          <w:highlight w:val="none"/>
        </w:rPr>
        <w:t>0</w:t>
      </w:r>
      <w:r>
        <w:rPr>
          <w:rFonts w:hint="eastAsia" w:cs="仿宋" w:asciiTheme="majorEastAsia" w:hAnsiTheme="majorEastAsia" w:eastAsiaTheme="majorEastAsia"/>
          <w:color w:val="auto"/>
          <w:kern w:val="0"/>
          <w:sz w:val="24"/>
          <w:highlight w:val="none"/>
          <w:lang w:val="zh-CN"/>
        </w:rPr>
        <w:t>.3使用“乐采云电子交易客户端”需要提前申领CA数字证书，申领流程请自行前往“浙江企业采购信息服务网-下载专区-电子交易客户端-CA驱动和申领流程”进行查阅。</w:t>
      </w:r>
    </w:p>
    <w:p w14:paraId="0C1AAA86">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投标文件的签署、盖章</w:t>
      </w:r>
    </w:p>
    <w:p w14:paraId="5D4513DE">
      <w:pPr>
        <w:pStyle w:val="43"/>
        <w:shd w:val="clear"/>
        <w:snapToGrid w:val="0"/>
        <w:spacing w:before="0"/>
        <w:ind w:firstLine="480"/>
        <w:rPr>
          <w:rFonts w:cs="仿宋" w:asciiTheme="majorEastAsia" w:hAnsiTheme="majorEastAsia" w:eastAsiaTheme="majorEastAsia"/>
          <w:b/>
          <w:color w:val="auto"/>
          <w:highlight w:val="none"/>
        </w:rPr>
      </w:pPr>
      <w:r>
        <w:rPr>
          <w:rFonts w:hint="eastAsia" w:cs="仿宋" w:asciiTheme="majorEastAsia" w:hAnsiTheme="majorEastAsia" w:eastAsiaTheme="majorEastAsia"/>
          <w:color w:val="auto"/>
          <w:szCs w:val="24"/>
          <w:highlight w:val="none"/>
        </w:rPr>
        <w:t>11.1投标文件按照招标文件第六部分格式要</w:t>
      </w:r>
      <w:r>
        <w:rPr>
          <w:rFonts w:hint="eastAsia" w:cs="仿宋" w:asciiTheme="majorEastAsia" w:hAnsiTheme="majorEastAsia" w:eastAsiaTheme="majorEastAsia"/>
          <w:color w:val="auto"/>
          <w:highlight w:val="none"/>
        </w:rPr>
        <w:t>求进行签署、盖章。</w:t>
      </w:r>
      <w:r>
        <w:rPr>
          <w:rFonts w:hint="eastAsia" w:cs="仿宋" w:asciiTheme="majorEastAsia" w:hAnsiTheme="majorEastAsia" w:eastAsiaTheme="majorEastAsia"/>
          <w:b/>
          <w:color w:val="auto"/>
          <w:highlight w:val="none"/>
        </w:rPr>
        <w:t>▲供应商的投标文件未按照招标文件要求签署、盖章的，其投标无效</w:t>
      </w:r>
      <w:r>
        <w:rPr>
          <w:rFonts w:hint="eastAsia" w:cs="仿宋" w:asciiTheme="majorEastAsia" w:hAnsiTheme="majorEastAsia" w:eastAsiaTheme="majorEastAsia"/>
          <w:color w:val="auto"/>
          <w:szCs w:val="24"/>
          <w:highlight w:val="none"/>
        </w:rPr>
        <w:t>。</w:t>
      </w:r>
    </w:p>
    <w:p w14:paraId="4E608EF0">
      <w:pPr>
        <w:pStyle w:val="43"/>
        <w:shd w:val="clear"/>
        <w:snapToGrid w:val="0"/>
        <w:spacing w:before="0"/>
        <w:ind w:firstLine="480"/>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11.2为确保网上操作合法、有效和安全，</w:t>
      </w:r>
      <w:r>
        <w:rPr>
          <w:rFonts w:hint="eastAsia" w:cs="仿宋" w:asciiTheme="majorEastAsia" w:hAnsiTheme="majorEastAsia" w:eastAsiaTheme="majorEastAsia"/>
          <w:color w:val="auto"/>
          <w:kern w:val="0"/>
          <w:highlight w:val="none"/>
          <w:lang w:val="zh-CN"/>
        </w:rPr>
        <w:t>供应商</w:t>
      </w:r>
      <w:r>
        <w:rPr>
          <w:rFonts w:hint="eastAsia" w:cs="仿宋" w:asciiTheme="majorEastAsia" w:hAnsiTheme="majorEastAsia" w:eastAsiaTheme="majorEastAsia"/>
          <w:color w:val="auto"/>
          <w:highlight w:val="none"/>
        </w:rPr>
        <w:t>应当在投标截止时间前完成在“政府采购云平台”的身份认证，确保在电子投标过程中能够对相关数据电文进行加密和使用电子签名。</w:t>
      </w:r>
    </w:p>
    <w:p w14:paraId="761B50C7">
      <w:pPr>
        <w:pStyle w:val="43"/>
        <w:shd w:val="clear"/>
        <w:snapToGrid w:val="0"/>
        <w:spacing w:before="0"/>
        <w:ind w:firstLine="480"/>
        <w:rPr>
          <w:rFonts w:cs="仿宋" w:asciiTheme="majorEastAsia" w:hAnsiTheme="majorEastAsia" w:eastAsiaTheme="majorEastAsia"/>
          <w:color w:val="auto"/>
          <w:szCs w:val="24"/>
          <w:highlight w:val="none"/>
        </w:rPr>
      </w:pPr>
      <w:r>
        <w:rPr>
          <w:rFonts w:hint="eastAsia" w:cs="仿宋" w:asciiTheme="majorEastAsia" w:hAnsiTheme="majorEastAsia" w:eastAsiaTheme="majorEastAsia"/>
          <w:color w:val="auto"/>
          <w:highlight w:val="none"/>
        </w:rPr>
        <w:t>11.3招标文件对投标文件签署、盖章的要求适用于电子签名。</w:t>
      </w:r>
    </w:p>
    <w:p w14:paraId="2E2D825C">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投标文件的提交、补充、修改、撤回</w:t>
      </w:r>
    </w:p>
    <w:p w14:paraId="489EE8E2">
      <w:pPr>
        <w:pStyle w:val="43"/>
        <w:shd w:val="clear"/>
        <w:ind w:firstLine="480"/>
        <w:rPr>
          <w:rFonts w:cs="仿宋" w:asciiTheme="majorEastAsia" w:hAnsiTheme="majorEastAsia" w:eastAsiaTheme="majorEastAsia"/>
          <w:color w:val="auto"/>
          <w:szCs w:val="24"/>
          <w:highlight w:val="none"/>
        </w:rPr>
      </w:pPr>
      <w:r>
        <w:rPr>
          <w:rFonts w:hint="eastAsia" w:cs="仿宋" w:asciiTheme="majorEastAsia" w:hAnsiTheme="majorEastAsia" w:eastAsiaTheme="majorEastAsia"/>
          <w:color w:val="auto"/>
          <w:szCs w:val="24"/>
          <w:highlight w:val="none"/>
        </w:rPr>
        <w:t>12.1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295AA82">
      <w:pPr>
        <w:pStyle w:val="43"/>
        <w:shd w:val="clear"/>
        <w:spacing w:before="0"/>
        <w:ind w:firstLine="480"/>
        <w:rPr>
          <w:rFonts w:cs="仿宋" w:asciiTheme="majorEastAsia" w:hAnsiTheme="majorEastAsia" w:eastAsiaTheme="majorEastAsia"/>
          <w:color w:val="auto"/>
          <w:szCs w:val="24"/>
          <w:highlight w:val="none"/>
        </w:rPr>
      </w:pPr>
      <w:r>
        <w:rPr>
          <w:rFonts w:hint="eastAsia" w:cs="仿宋" w:asciiTheme="majorEastAsia" w:hAnsiTheme="majorEastAsia" w:eastAsiaTheme="majorEastAsia"/>
          <w:color w:val="auto"/>
          <w:szCs w:val="24"/>
          <w:highlight w:val="none"/>
        </w:rPr>
        <w:t>12.2电子交易平台收到投标文件，将妥善保存并即时向供应商发出确认回执通知。在投标截止时间前，除供应商补充、修改或者撤回投标文件外，任何单位和个人不得解密或提取投标文件。</w:t>
      </w:r>
    </w:p>
    <w:p w14:paraId="6B60FBF4">
      <w:pPr>
        <w:pStyle w:val="43"/>
        <w:shd w:val="clear"/>
        <w:spacing w:before="0"/>
        <w:ind w:firstLine="480"/>
        <w:rPr>
          <w:rFonts w:cs="仿宋" w:asciiTheme="majorEastAsia" w:hAnsiTheme="majorEastAsia" w:eastAsiaTheme="majorEastAsia"/>
          <w:color w:val="auto"/>
          <w:szCs w:val="24"/>
          <w:highlight w:val="none"/>
        </w:rPr>
      </w:pPr>
      <w:r>
        <w:rPr>
          <w:rFonts w:hint="eastAsia" w:cs="仿宋" w:asciiTheme="majorEastAsia" w:hAnsiTheme="majorEastAsia" w:eastAsiaTheme="majorEastAsia"/>
          <w:color w:val="auto"/>
          <w:szCs w:val="24"/>
          <w:highlight w:val="none"/>
        </w:rPr>
        <w:t>12.3采购人、采购代理机构可以视情况延长投标文件提交的截止时间。在上述情况下，采购代理机构与</w:t>
      </w:r>
      <w:r>
        <w:rPr>
          <w:rFonts w:hint="eastAsia" w:cs="仿宋" w:asciiTheme="majorEastAsia" w:hAnsiTheme="majorEastAsia" w:eastAsiaTheme="majorEastAsia"/>
          <w:color w:val="auto"/>
          <w:kern w:val="0"/>
          <w:highlight w:val="none"/>
          <w:lang w:val="zh-CN"/>
        </w:rPr>
        <w:t>供应商</w:t>
      </w:r>
      <w:r>
        <w:rPr>
          <w:rFonts w:hint="eastAsia" w:cs="仿宋" w:asciiTheme="majorEastAsia" w:hAnsiTheme="majorEastAsia" w:eastAsiaTheme="majorEastAsia"/>
          <w:color w:val="auto"/>
          <w:szCs w:val="24"/>
          <w:highlight w:val="none"/>
        </w:rPr>
        <w:t>以前在投标截止期方面的全部权利、责任和义务，将适用于延长至新的投标截止期。</w:t>
      </w:r>
    </w:p>
    <w:p w14:paraId="3CD425B7">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投标有效期</w:t>
      </w:r>
    </w:p>
    <w:p w14:paraId="7035721D">
      <w:pPr>
        <w:shd w:val="clear"/>
        <w:spacing w:line="360" w:lineRule="auto"/>
        <w:ind w:firstLine="480" w:firstLineChars="200"/>
        <w:rPr>
          <w:rFonts w:cs="仿宋" w:asciiTheme="majorEastAsia" w:hAnsiTheme="majorEastAsia" w:eastAsiaTheme="majorEastAsia"/>
          <w:b/>
          <w:color w:val="auto"/>
          <w:sz w:val="24"/>
          <w:szCs w:val="21"/>
          <w:highlight w:val="none"/>
        </w:rPr>
      </w:pPr>
      <w:r>
        <w:rPr>
          <w:rFonts w:hint="eastAsia" w:cs="仿宋" w:asciiTheme="majorEastAsia" w:hAnsiTheme="majorEastAsia" w:eastAsiaTheme="majorEastAsia"/>
          <w:color w:val="auto"/>
          <w:sz w:val="24"/>
          <w:szCs w:val="20"/>
          <w:highlight w:val="none"/>
        </w:rPr>
        <w:t>投标有效期为从提交投标文件的截止之日起90天。▲</w:t>
      </w:r>
      <w:r>
        <w:rPr>
          <w:rFonts w:hint="eastAsia" w:cs="仿宋" w:asciiTheme="majorEastAsia" w:hAnsiTheme="majorEastAsia" w:eastAsiaTheme="majorEastAsia"/>
          <w:b/>
          <w:color w:val="auto"/>
          <w:sz w:val="24"/>
          <w:szCs w:val="20"/>
          <w:highlight w:val="none"/>
        </w:rPr>
        <w:t>供应商的投标文件中承</w:t>
      </w:r>
      <w:r>
        <w:rPr>
          <w:rFonts w:hint="eastAsia" w:cs="仿宋" w:asciiTheme="majorEastAsia" w:hAnsiTheme="majorEastAsia" w:eastAsiaTheme="majorEastAsia"/>
          <w:b/>
          <w:color w:val="auto"/>
          <w:sz w:val="24"/>
          <w:szCs w:val="21"/>
          <w:highlight w:val="none"/>
        </w:rPr>
        <w:t>诺的投标有效期少于招标文件中载明的投标有效期的，投标无效。</w:t>
      </w:r>
    </w:p>
    <w:p w14:paraId="713EC19D">
      <w:pPr>
        <w:pStyle w:val="43"/>
        <w:shd w:val="clear"/>
        <w:spacing w:before="0"/>
        <w:ind w:firstLine="643"/>
        <w:rPr>
          <w:rFonts w:cs="仿宋" w:asciiTheme="majorEastAsia" w:hAnsiTheme="majorEastAsia" w:eastAsiaTheme="majorEastAsia"/>
          <w:b/>
          <w:color w:val="auto"/>
          <w:sz w:val="32"/>
          <w:highlight w:val="none"/>
        </w:rPr>
      </w:pPr>
    </w:p>
    <w:p w14:paraId="52214C7F">
      <w:pPr>
        <w:pStyle w:val="43"/>
        <w:shd w:val="clear"/>
        <w:spacing w:before="0"/>
        <w:ind w:firstLine="1928" w:firstLineChars="600"/>
        <w:rPr>
          <w:rFonts w:cs="仿宋" w:asciiTheme="majorEastAsia" w:hAnsiTheme="majorEastAsia" w:eastAsiaTheme="majorEastAsia"/>
          <w:b/>
          <w:color w:val="auto"/>
          <w:sz w:val="32"/>
          <w:highlight w:val="none"/>
        </w:rPr>
      </w:pPr>
      <w:r>
        <w:rPr>
          <w:rFonts w:hint="eastAsia" w:cs="仿宋" w:asciiTheme="majorEastAsia" w:hAnsiTheme="majorEastAsia" w:eastAsiaTheme="majorEastAsia"/>
          <w:b/>
          <w:color w:val="auto"/>
          <w:sz w:val="32"/>
          <w:highlight w:val="none"/>
        </w:rPr>
        <w:t>四、开标、资格审查与信用信息查询</w:t>
      </w:r>
    </w:p>
    <w:p w14:paraId="77E29C88">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 xml:space="preserve">开标 </w:t>
      </w:r>
    </w:p>
    <w:p w14:paraId="0D85E625">
      <w:pPr>
        <w:pStyle w:val="38"/>
        <w:shd w:val="clear"/>
        <w:spacing w:before="0" w:line="360" w:lineRule="auto"/>
        <w:ind w:left="0" w:firstLine="480" w:firstLineChars="200"/>
        <w:contextualSpacing/>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14.1采购代理机构按照招标文件规定的时间通过电子交易平台组织开标，所有</w:t>
      </w:r>
      <w:r>
        <w:rPr>
          <w:rFonts w:hint="eastAsia" w:cs="仿宋" w:asciiTheme="majorEastAsia" w:hAnsiTheme="majorEastAsia" w:eastAsiaTheme="majorEastAsia"/>
          <w:color w:val="auto"/>
          <w:sz w:val="24"/>
          <w:highlight w:val="none"/>
          <w:lang w:val="zh-CN"/>
        </w:rPr>
        <w:t>供应商</w:t>
      </w:r>
      <w:r>
        <w:rPr>
          <w:rFonts w:hint="eastAsia" w:cs="仿宋" w:asciiTheme="majorEastAsia" w:hAnsiTheme="majorEastAsia" w:eastAsiaTheme="majorEastAsia"/>
          <w:color w:val="auto"/>
          <w:sz w:val="24"/>
          <w:highlight w:val="none"/>
        </w:rPr>
        <w:t>均应当准时在线参加。</w:t>
      </w:r>
      <w:r>
        <w:rPr>
          <w:rFonts w:hint="eastAsia" w:cs="仿宋" w:asciiTheme="majorEastAsia" w:hAnsiTheme="majorEastAsia" w:eastAsiaTheme="majorEastAsia"/>
          <w:color w:val="auto"/>
          <w:sz w:val="24"/>
          <w:highlight w:val="none"/>
          <w:lang w:val="zh-CN"/>
        </w:rPr>
        <w:t>供应商</w:t>
      </w:r>
      <w:r>
        <w:rPr>
          <w:rFonts w:hint="eastAsia" w:cs="仿宋" w:asciiTheme="majorEastAsia" w:hAnsiTheme="majorEastAsia" w:eastAsiaTheme="majorEastAsia"/>
          <w:color w:val="auto"/>
          <w:sz w:val="24"/>
          <w:highlight w:val="none"/>
        </w:rPr>
        <w:t>不足3家的，不得开标。</w:t>
      </w:r>
    </w:p>
    <w:p w14:paraId="5872C4BB">
      <w:pPr>
        <w:pStyle w:val="38"/>
        <w:shd w:val="clear"/>
        <w:spacing w:before="0" w:line="360" w:lineRule="auto"/>
        <w:ind w:left="0" w:firstLine="240" w:firstLineChars="100"/>
        <w:contextualSpacing/>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14.2开标时，电子交易平台按开标时间自动提取所有投标文件。采购代理机构依托电子交易平台发起开始解密指令，</w:t>
      </w:r>
      <w:r>
        <w:rPr>
          <w:rFonts w:hint="eastAsia" w:cs="仿宋" w:asciiTheme="majorEastAsia" w:hAnsiTheme="majorEastAsia" w:eastAsiaTheme="majorEastAsia"/>
          <w:color w:val="auto"/>
          <w:sz w:val="24"/>
          <w:highlight w:val="none"/>
          <w:lang w:val="zh-CN"/>
        </w:rPr>
        <w:t>供应商</w:t>
      </w:r>
      <w:r>
        <w:rPr>
          <w:rFonts w:hint="eastAsia" w:cs="仿宋" w:asciiTheme="majorEastAsia" w:hAnsiTheme="majorEastAsia" w:eastAsiaTheme="majorEastAsia"/>
          <w:color w:val="auto"/>
          <w:sz w:val="24"/>
          <w:highlight w:val="none"/>
        </w:rPr>
        <w:t>按照平台提示和招标文件的规定在半小时内完成在线解密。</w:t>
      </w:r>
    </w:p>
    <w:p w14:paraId="37DA8026">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资格审查</w:t>
      </w:r>
    </w:p>
    <w:p w14:paraId="029E72B4">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15.1开标后，采购人或采购代理机构依据法律法规和招标文件的规定，对供应商的资格条件进行审查。</w:t>
      </w:r>
    </w:p>
    <w:p w14:paraId="0A65DA2C">
      <w:pPr>
        <w:pStyle w:val="43"/>
        <w:shd w:val="clear"/>
        <w:spacing w:before="0"/>
        <w:ind w:firstLine="480"/>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kern w:val="0"/>
          <w:szCs w:val="24"/>
          <w:highlight w:val="none"/>
        </w:rPr>
        <w:t>15.</w:t>
      </w:r>
      <w:r>
        <w:rPr>
          <w:rFonts w:hint="eastAsia" w:cs="仿宋" w:asciiTheme="majorEastAsia" w:hAnsiTheme="majorEastAsia" w:eastAsiaTheme="majorEastAsia"/>
          <w:color w:val="auto"/>
          <w:highlight w:val="none"/>
        </w:rPr>
        <w:t>2对未通过资格审查的供应商，采购人或采购代理机构告知其未通过的原因。</w:t>
      </w:r>
    </w:p>
    <w:p w14:paraId="66660FBB">
      <w:pPr>
        <w:pStyle w:val="43"/>
        <w:shd w:val="clear"/>
        <w:spacing w:before="0"/>
        <w:ind w:firstLine="480"/>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kern w:val="0"/>
          <w:szCs w:val="24"/>
          <w:highlight w:val="none"/>
        </w:rPr>
        <w:t>15.</w:t>
      </w:r>
      <w:r>
        <w:rPr>
          <w:rFonts w:hint="eastAsia" w:cs="仿宋" w:asciiTheme="majorEastAsia" w:hAnsiTheme="majorEastAsia" w:eastAsiaTheme="majorEastAsia"/>
          <w:color w:val="auto"/>
          <w:highlight w:val="none"/>
        </w:rPr>
        <w:t>3合格供应商不足3家的，不再评标。</w:t>
      </w:r>
    </w:p>
    <w:p w14:paraId="799C4A12">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信用信息查询</w:t>
      </w:r>
    </w:p>
    <w:p w14:paraId="6C6386E2">
      <w:pPr>
        <w:pStyle w:val="43"/>
        <w:shd w:val="clear"/>
        <w:spacing w:before="0"/>
        <w:ind w:firstLine="495" w:firstLineChars="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16.1信用信息查询渠道及截止时间：采购代理机构将通过“信用中国”网站(www.creditchina.gov.cn)、中国政府采购网(www.ccgp.gov.cn)渠道查询供应商投标截止时间当天的信用记录。</w:t>
      </w:r>
    </w:p>
    <w:p w14:paraId="1EEDD291">
      <w:pPr>
        <w:pStyle w:val="43"/>
        <w:shd w:val="clear"/>
        <w:spacing w:before="0"/>
        <w:ind w:firstLine="495" w:firstLineChars="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16.2信用信息的使用规则：经查询列入失信被执行人名单、重大税收违法失信主体、政府采购严重违法失信行为记录名单的</w:t>
      </w:r>
      <w:r>
        <w:rPr>
          <w:rFonts w:hint="eastAsia" w:cs="仿宋" w:asciiTheme="majorEastAsia" w:hAnsiTheme="majorEastAsia" w:eastAsiaTheme="majorEastAsia"/>
          <w:color w:val="auto"/>
          <w:kern w:val="0"/>
          <w:highlight w:val="none"/>
          <w:lang w:val="zh-CN"/>
        </w:rPr>
        <w:t>供应商</w:t>
      </w:r>
      <w:r>
        <w:rPr>
          <w:rFonts w:hint="eastAsia" w:cs="仿宋" w:asciiTheme="majorEastAsia" w:hAnsiTheme="majorEastAsia" w:eastAsiaTheme="majorEastAsia"/>
          <w:color w:val="auto"/>
          <w:kern w:val="0"/>
          <w:szCs w:val="24"/>
          <w:highlight w:val="none"/>
        </w:rPr>
        <w:t>将被拒绝参与政府采购活动。</w:t>
      </w:r>
    </w:p>
    <w:p w14:paraId="1BF4902B">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16.3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cs="仿宋" w:asciiTheme="majorEastAsia" w:hAnsiTheme="majorEastAsia" w:eastAsiaTheme="majorEastAsia"/>
          <w:color w:val="auto"/>
          <w:highlight w:val="none"/>
        </w:rPr>
        <w:t>。</w:t>
      </w:r>
    </w:p>
    <w:p w14:paraId="6412E69C">
      <w:pPr>
        <w:shd w:val="clear"/>
        <w:snapToGrid w:val="0"/>
        <w:spacing w:line="360" w:lineRule="auto"/>
        <w:jc w:val="center"/>
        <w:outlineLvl w:val="0"/>
        <w:rPr>
          <w:rFonts w:cs="仿宋" w:asciiTheme="majorEastAsia" w:hAnsiTheme="majorEastAsia" w:eastAsiaTheme="majorEastAsia"/>
          <w:b/>
          <w:color w:val="auto"/>
          <w:sz w:val="36"/>
          <w:szCs w:val="36"/>
          <w:highlight w:val="none"/>
        </w:rPr>
      </w:pPr>
    </w:p>
    <w:p w14:paraId="1EB40F88">
      <w:pPr>
        <w:shd w:val="clear"/>
        <w:snapToGrid w:val="0"/>
        <w:spacing w:line="360" w:lineRule="auto"/>
        <w:jc w:val="center"/>
        <w:outlineLvl w:val="0"/>
        <w:rPr>
          <w:rFonts w:cs="仿宋" w:asciiTheme="majorEastAsia" w:hAnsiTheme="majorEastAsia" w:eastAsiaTheme="majorEastAsia"/>
          <w:b/>
          <w:color w:val="auto"/>
          <w:sz w:val="36"/>
          <w:szCs w:val="36"/>
          <w:highlight w:val="none"/>
        </w:rPr>
      </w:pPr>
      <w:r>
        <w:rPr>
          <w:rFonts w:hint="eastAsia" w:cs="仿宋" w:asciiTheme="majorEastAsia" w:hAnsiTheme="majorEastAsia" w:eastAsiaTheme="majorEastAsia"/>
          <w:b/>
          <w:color w:val="auto"/>
          <w:sz w:val="36"/>
          <w:szCs w:val="36"/>
          <w:highlight w:val="none"/>
        </w:rPr>
        <w:t>五、评标</w:t>
      </w:r>
    </w:p>
    <w:p w14:paraId="037754AD">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bookmarkStart w:id="41" w:name="_Toc91899903"/>
      <w:r>
        <w:rPr>
          <w:rFonts w:hint="eastAsia" w:cs="仿宋" w:asciiTheme="majorEastAsia" w:hAnsiTheme="majorEastAsia" w:eastAsiaTheme="majorEastAsia"/>
          <w:b/>
          <w:color w:val="auto"/>
          <w:sz w:val="24"/>
          <w:highlight w:val="none"/>
        </w:rPr>
        <w:t>评标委员会</w:t>
      </w:r>
    </w:p>
    <w:p w14:paraId="0C8290D1">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17.1 本次招标依法组建评标委员会。评标委员会由采购人代表和评审专家组成，评审专家从专家库随机抽取。</w:t>
      </w:r>
    </w:p>
    <w:p w14:paraId="14DAC7DA">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17.2 评标原则。评标委员会必须遵循公平、公正、客观、科学的原则和规定的程序进行评标；评标的依据为招标文件和投标文件；评审人员应独立评标，不得带有任何倾向性和启发性影响他人评审；任何单位和个人不得干扰、影响评标的正常进行；评标委员会及有关工作人员不得私下与投标人接触，不得向外界透露任何与评标有关的内容。</w:t>
      </w:r>
    </w:p>
    <w:p w14:paraId="2FDD0F4D">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17.3 评审专家有下列情形之一的，受到邀请应主动提出回避，采购当事人也可以要求该评审专家回避：</w:t>
      </w:r>
    </w:p>
    <w:p w14:paraId="1AE9AB1A">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17.3.1 参加采购活动前3年内与供应商存在劳动关系；</w:t>
      </w:r>
    </w:p>
    <w:p w14:paraId="305A5C25">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17.3.2 参加采购活动前3年内担任供应商的董事、监事；</w:t>
      </w:r>
    </w:p>
    <w:p w14:paraId="2863284B">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17.3.3 参加采购活动前3年内是供应商的控股股东或实际控制人；</w:t>
      </w:r>
    </w:p>
    <w:p w14:paraId="78DBBBC3">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17.3.4 与供应商的法定代表人或者负责人有夫妻、直系血亲、三代以内旁系血亲或者近姻亲关系；</w:t>
      </w:r>
    </w:p>
    <w:p w14:paraId="3C2F0068">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17.3.5 与供应商有其他可能影响政府采购活动公平、公正进行的关系。</w:t>
      </w:r>
    </w:p>
    <w:p w14:paraId="49C73EF6">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17.3.6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14:paraId="0917E492">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17.4 评标委员会判断投标文件的有效性、合格性和响应情况，仅依据投标人所递交一切文件的真实表述，不受与本项目无直接关联的外部信息、传言而影响自身的专业判断。</w:t>
      </w:r>
    </w:p>
    <w:p w14:paraId="3F8624A7">
      <w:pPr>
        <w:pStyle w:val="43"/>
        <w:shd w:val="clear"/>
        <w:spacing w:before="0"/>
        <w:ind w:firstLine="480"/>
        <w:rPr>
          <w:rFonts w:asciiTheme="majorEastAsia" w:hAnsiTheme="majorEastAsia" w:eastAsiaTheme="majorEastAsia"/>
          <w:color w:val="auto"/>
          <w:highlight w:val="none"/>
        </w:rPr>
      </w:pPr>
      <w:r>
        <w:rPr>
          <w:rFonts w:hint="eastAsia" w:cs="仿宋" w:asciiTheme="majorEastAsia" w:hAnsiTheme="majorEastAsia" w:eastAsiaTheme="majorEastAsia"/>
          <w:color w:val="auto"/>
          <w:kern w:val="0"/>
          <w:szCs w:val="24"/>
          <w:highlight w:val="none"/>
        </w:rPr>
        <w:t>17.5 评委依法独立评审，并对评审意见承担个人责任。评委对需要共同认定的事项存在争议的，按照少数服从多数的原则做出结论。持不同意见的评委应当在评审报告上签署不同意见并说明理由，否则视为同意。</w:t>
      </w:r>
    </w:p>
    <w:p w14:paraId="2F56ACF6">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评标</w:t>
      </w:r>
    </w:p>
    <w:p w14:paraId="1B544907">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评标委员会将根据招标文件和有关规定，履行评标工作职责，并按照评标方法及评分标准，全面衡量各</w:t>
      </w:r>
      <w:r>
        <w:rPr>
          <w:rFonts w:hint="eastAsia" w:cs="仿宋" w:asciiTheme="majorEastAsia" w:hAnsiTheme="majorEastAsia" w:eastAsiaTheme="majorEastAsia"/>
          <w:color w:val="auto"/>
          <w:kern w:val="0"/>
          <w:highlight w:val="none"/>
          <w:lang w:val="zh-CN"/>
        </w:rPr>
        <w:t>供应商</w:t>
      </w:r>
      <w:r>
        <w:rPr>
          <w:rFonts w:hint="eastAsia" w:cs="仿宋" w:asciiTheme="majorEastAsia" w:hAnsiTheme="majorEastAsia" w:eastAsiaTheme="majorEastAsia"/>
          <w:color w:val="auto"/>
          <w:kern w:val="0"/>
          <w:szCs w:val="24"/>
          <w:highlight w:val="none"/>
        </w:rPr>
        <w:t>对招标文件的响应情况。对实质上响应招标文件的</w:t>
      </w:r>
      <w:r>
        <w:rPr>
          <w:rFonts w:hint="eastAsia" w:cs="仿宋" w:asciiTheme="majorEastAsia" w:hAnsiTheme="majorEastAsia" w:eastAsiaTheme="majorEastAsia"/>
          <w:color w:val="auto"/>
          <w:kern w:val="0"/>
          <w:highlight w:val="none"/>
          <w:lang w:val="zh-CN"/>
        </w:rPr>
        <w:t>供应商</w:t>
      </w:r>
      <w:r>
        <w:rPr>
          <w:rFonts w:hint="eastAsia" w:cs="仿宋" w:asciiTheme="majorEastAsia" w:hAnsiTheme="majorEastAsia" w:eastAsiaTheme="majorEastAsia"/>
          <w:color w:val="auto"/>
          <w:kern w:val="0"/>
          <w:szCs w:val="24"/>
          <w:highlight w:val="none"/>
        </w:rPr>
        <w:t>，按照评审因素的量化指标推荐综合得分排名第一的为中标候选人。</w:t>
      </w:r>
    </w:p>
    <w:p w14:paraId="35B462A3">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得分相同的，按投标报价由低到高顺序排列。得分且投标报价相同的，投标文件满足招标文件全部实质性要求，且按照评审因素的量化指标评审得分最高的</w:t>
      </w:r>
      <w:r>
        <w:rPr>
          <w:rFonts w:hint="eastAsia" w:cs="仿宋" w:asciiTheme="majorEastAsia" w:hAnsiTheme="majorEastAsia" w:eastAsiaTheme="majorEastAsia"/>
          <w:color w:val="auto"/>
          <w:kern w:val="0"/>
          <w:highlight w:val="none"/>
          <w:lang w:val="zh-CN"/>
        </w:rPr>
        <w:t>供应商</w:t>
      </w:r>
      <w:r>
        <w:rPr>
          <w:rFonts w:hint="eastAsia" w:cs="仿宋" w:asciiTheme="majorEastAsia" w:hAnsiTheme="majorEastAsia" w:eastAsiaTheme="majorEastAsia"/>
          <w:color w:val="auto"/>
          <w:kern w:val="0"/>
          <w:szCs w:val="24"/>
          <w:highlight w:val="none"/>
        </w:rPr>
        <w:t>为排名第一的中标候选人。</w:t>
      </w:r>
    </w:p>
    <w:p w14:paraId="3563B99B">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详见招标文件第四部分评标办法。</w:t>
      </w:r>
    </w:p>
    <w:p w14:paraId="171EAA95">
      <w:pPr>
        <w:shd w:val="clear"/>
        <w:spacing w:line="360" w:lineRule="auto"/>
        <w:rPr>
          <w:rFonts w:cs="仿宋" w:asciiTheme="majorEastAsia" w:hAnsiTheme="majorEastAsia" w:eastAsiaTheme="majorEastAsia"/>
          <w:b/>
          <w:color w:val="auto"/>
          <w:sz w:val="24"/>
          <w:highlight w:val="none"/>
        </w:rPr>
      </w:pPr>
    </w:p>
    <w:p w14:paraId="48E8D25E">
      <w:pPr>
        <w:shd w:val="clear"/>
        <w:snapToGrid w:val="0"/>
        <w:spacing w:line="360" w:lineRule="auto"/>
        <w:jc w:val="center"/>
        <w:outlineLvl w:val="0"/>
        <w:rPr>
          <w:rFonts w:cs="仿宋" w:asciiTheme="majorEastAsia" w:hAnsiTheme="majorEastAsia" w:eastAsiaTheme="majorEastAsia"/>
          <w:b/>
          <w:color w:val="auto"/>
          <w:sz w:val="36"/>
          <w:szCs w:val="36"/>
          <w:highlight w:val="none"/>
        </w:rPr>
      </w:pPr>
      <w:r>
        <w:rPr>
          <w:rFonts w:hint="eastAsia" w:cs="仿宋" w:asciiTheme="majorEastAsia" w:hAnsiTheme="majorEastAsia" w:eastAsiaTheme="majorEastAsia"/>
          <w:b/>
          <w:color w:val="auto"/>
          <w:sz w:val="36"/>
          <w:szCs w:val="36"/>
          <w:highlight w:val="none"/>
        </w:rPr>
        <w:t>六、定 标</w:t>
      </w:r>
    </w:p>
    <w:p w14:paraId="51051A64">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确定中标供应商</w:t>
      </w:r>
    </w:p>
    <w:p w14:paraId="1A6E16A4">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本项目由评标委员会推荐一个中标候选人，采购人不得在评标委员会推荐的中标候选人以外确定中标候选人。</w:t>
      </w:r>
    </w:p>
    <w:p w14:paraId="2DDB7682">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中标通知与中标结果公告</w:t>
      </w:r>
    </w:p>
    <w:p w14:paraId="6111C2F4">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20.1自中标人确定之日起2个工作日内，采购代理机构通过电子交易平台向中标人发出中标通知书，同时编制发布采购结果公告。采购代理机构也可以以纸质形式进行中标通知。</w:t>
      </w:r>
    </w:p>
    <w:p w14:paraId="6FDD082C">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20.2中标结果公告内容包括采购人及其委托的采购代理机构的名称、地址、联系方式，项目名称和项目编号，中标人名称、地址和中标金额，主要中标标的的名称、规格型号、数量、单价、服务要求，中标公告期限以及评审专家名单。</w:t>
      </w:r>
    </w:p>
    <w:p w14:paraId="4361CF3D">
      <w:pPr>
        <w:pStyle w:val="43"/>
        <w:shd w:val="clear"/>
        <w:spacing w:before="0"/>
        <w:ind w:firstLine="480"/>
        <w:rPr>
          <w:rFonts w:cs="仿宋" w:asciiTheme="majorEastAsia" w:hAnsiTheme="majorEastAsia" w:eastAsiaTheme="majorEastAsia"/>
          <w:b/>
          <w:color w:val="auto"/>
          <w:sz w:val="32"/>
          <w:highlight w:val="none"/>
        </w:rPr>
      </w:pPr>
      <w:r>
        <w:rPr>
          <w:rFonts w:hint="eastAsia" w:cs="仿宋" w:asciiTheme="majorEastAsia" w:hAnsiTheme="majorEastAsia" w:eastAsiaTheme="majorEastAsia"/>
          <w:color w:val="auto"/>
          <w:kern w:val="0"/>
          <w:szCs w:val="24"/>
          <w:highlight w:val="none"/>
        </w:rPr>
        <w:t>20.3公告期限为1个工作日。</w:t>
      </w:r>
    </w:p>
    <w:p w14:paraId="7BD82379">
      <w:pPr>
        <w:shd w:val="clear"/>
        <w:snapToGrid w:val="0"/>
        <w:spacing w:line="360" w:lineRule="auto"/>
        <w:ind w:left="120" w:leftChars="57" w:firstLine="482" w:firstLineChars="150"/>
        <w:jc w:val="center"/>
        <w:rPr>
          <w:rFonts w:cs="仿宋" w:asciiTheme="majorEastAsia" w:hAnsiTheme="majorEastAsia" w:eastAsiaTheme="majorEastAsia"/>
          <w:b/>
          <w:color w:val="auto"/>
          <w:sz w:val="32"/>
          <w:highlight w:val="none"/>
        </w:rPr>
      </w:pPr>
    </w:p>
    <w:p w14:paraId="07C84960">
      <w:pPr>
        <w:shd w:val="clear"/>
        <w:snapToGrid w:val="0"/>
        <w:spacing w:line="360" w:lineRule="auto"/>
        <w:ind w:left="120" w:leftChars="57" w:firstLine="482" w:firstLineChars="150"/>
        <w:jc w:val="center"/>
        <w:rPr>
          <w:rFonts w:cs="仿宋" w:asciiTheme="majorEastAsia" w:hAnsiTheme="majorEastAsia" w:eastAsiaTheme="majorEastAsia"/>
          <w:b/>
          <w:color w:val="auto"/>
          <w:sz w:val="32"/>
          <w:highlight w:val="none"/>
        </w:rPr>
      </w:pPr>
      <w:r>
        <w:rPr>
          <w:rFonts w:hint="eastAsia" w:cs="仿宋" w:asciiTheme="majorEastAsia" w:hAnsiTheme="majorEastAsia" w:eastAsiaTheme="majorEastAsia"/>
          <w:b/>
          <w:color w:val="auto"/>
          <w:sz w:val="32"/>
          <w:highlight w:val="none"/>
        </w:rPr>
        <w:t>七、合同授予</w:t>
      </w:r>
    </w:p>
    <w:p w14:paraId="0440FB0B">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合同授予</w:t>
      </w:r>
    </w:p>
    <w:p w14:paraId="6C71F3DE">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合同主要条款详见第五部分拟签订的合同文本。</w:t>
      </w:r>
    </w:p>
    <w:p w14:paraId="0AD9CC7D">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合同的签订</w:t>
      </w:r>
    </w:p>
    <w:p w14:paraId="1FAB1D9E">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22.1 采购人与中标供应商应当通过电子交易平台在中标通知书发出之日起三十日内，按照招标文件及中标供应商的投标文件确定的事项签订采购合同，并在合同签订之日起2个工作日内依法发布合同公告。</w:t>
      </w:r>
    </w:p>
    <w:p w14:paraId="74813ED7">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lang w:val="zh-CN"/>
        </w:rPr>
        <w:t>2</w:t>
      </w:r>
      <w:r>
        <w:rPr>
          <w:rFonts w:hint="eastAsia" w:cs="仿宋" w:asciiTheme="majorEastAsia" w:hAnsiTheme="majorEastAsia" w:eastAsiaTheme="majorEastAsia"/>
          <w:color w:val="auto"/>
          <w:kern w:val="0"/>
          <w:szCs w:val="24"/>
          <w:highlight w:val="none"/>
        </w:rPr>
        <w:t>2</w:t>
      </w:r>
      <w:r>
        <w:rPr>
          <w:rFonts w:hint="eastAsia" w:cs="仿宋" w:asciiTheme="majorEastAsia" w:hAnsiTheme="majorEastAsia" w:eastAsiaTheme="majorEastAsia"/>
          <w:color w:val="auto"/>
          <w:kern w:val="0"/>
          <w:szCs w:val="24"/>
          <w:highlight w:val="none"/>
          <w:lang w:val="zh-CN"/>
        </w:rPr>
        <w:t>.2中标供应商按规定的日期、时间、地点，由法定代表人或其授权代表与采购人代表签订合同。如中标人为联合体的，由联合体成员各方法定代表人或其授权代表与采购人代表签订合同。</w:t>
      </w:r>
    </w:p>
    <w:p w14:paraId="7DA25917">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22.3如签订合同并生效后，供应商无故拒绝或延期，除按照合同条款处理外，列入不良行为记录名单，并给予通报。</w:t>
      </w:r>
    </w:p>
    <w:p w14:paraId="4E49EE68">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22.4中标供应商拒绝与采购人签订合同的，列入不良行为记录名单，采购人、采购代理机构重新开展采购活动。</w:t>
      </w:r>
    </w:p>
    <w:p w14:paraId="02922257">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履约保证金</w:t>
      </w:r>
    </w:p>
    <w:p w14:paraId="5C345F22">
      <w:pPr>
        <w:pStyle w:val="43"/>
        <w:shd w:val="clear"/>
        <w:spacing w:before="0"/>
        <w:ind w:firstLine="480"/>
        <w:rPr>
          <w:rFonts w:cs="仿宋" w:asciiTheme="majorEastAsia" w:hAnsiTheme="majorEastAsia" w:eastAsiaTheme="majorEastAsia"/>
          <w:b/>
          <w:color w:val="auto"/>
          <w:highlight w:val="none"/>
        </w:rPr>
      </w:pPr>
      <w:r>
        <w:rPr>
          <w:rFonts w:hint="eastAsia" w:cs="仿宋" w:asciiTheme="majorEastAsia" w:hAnsiTheme="majorEastAsia" w:eastAsiaTheme="majorEastAsia"/>
          <w:color w:val="auto"/>
          <w:kern w:val="0"/>
          <w:highlight w:val="none"/>
        </w:rPr>
        <w:t>拟签订的合同文本要求中标供应商提交履约保证金的，供应商应当以支票、汇票、本票或者银行、</w:t>
      </w:r>
      <w:r>
        <w:rPr>
          <w:rFonts w:hint="eastAsia" w:cs="仿宋" w:asciiTheme="majorEastAsia" w:hAnsiTheme="majorEastAsia" w:eastAsiaTheme="majorEastAsia"/>
          <w:color w:val="auto"/>
          <w:kern w:val="0"/>
          <w:szCs w:val="24"/>
          <w:highlight w:val="none"/>
        </w:rPr>
        <w:t>保险公司</w:t>
      </w:r>
      <w:r>
        <w:rPr>
          <w:rFonts w:hint="eastAsia" w:cs="仿宋" w:asciiTheme="majorEastAsia" w:hAnsiTheme="majorEastAsia" w:eastAsiaTheme="majorEastAsia"/>
          <w:color w:val="auto"/>
          <w:kern w:val="0"/>
          <w:highlight w:val="none"/>
        </w:rPr>
        <w:t>出具的保函等非现金形式提交</w:t>
      </w:r>
      <w:r>
        <w:rPr>
          <w:rFonts w:hint="eastAsia" w:cs="仿宋" w:asciiTheme="majorEastAsia" w:hAnsiTheme="majorEastAsia" w:eastAsiaTheme="majorEastAsia"/>
          <w:color w:val="auto"/>
          <w:highlight w:val="none"/>
        </w:rPr>
        <w:t>。鼓励和支持供应商以银行、保险公司出具的保函形式提供履约保证金。</w:t>
      </w:r>
      <w:r>
        <w:rPr>
          <w:rFonts w:hint="eastAsia" w:cs="仿宋" w:asciiTheme="majorEastAsia" w:hAnsiTheme="majorEastAsia" w:eastAsiaTheme="majorEastAsia"/>
          <w:b/>
          <w:color w:val="auto"/>
          <w:highlight w:val="none"/>
        </w:rPr>
        <w:t>采购人不得拒收履约保函。</w:t>
      </w:r>
    </w:p>
    <w:p w14:paraId="1F4B1EDD">
      <w:pPr>
        <w:shd w:val="clear"/>
        <w:snapToGrid w:val="0"/>
        <w:spacing w:line="360" w:lineRule="auto"/>
        <w:ind w:firstLine="3357" w:firstLineChars="1045"/>
        <w:rPr>
          <w:rFonts w:cs="仿宋" w:asciiTheme="majorEastAsia" w:hAnsiTheme="majorEastAsia" w:eastAsiaTheme="majorEastAsia"/>
          <w:b/>
          <w:color w:val="auto"/>
          <w:sz w:val="32"/>
          <w:highlight w:val="none"/>
        </w:rPr>
      </w:pPr>
    </w:p>
    <w:p w14:paraId="36C475E4">
      <w:pPr>
        <w:shd w:val="clear"/>
        <w:snapToGrid w:val="0"/>
        <w:spacing w:line="360" w:lineRule="auto"/>
        <w:ind w:firstLine="3357" w:firstLineChars="1045"/>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32"/>
          <w:highlight w:val="none"/>
        </w:rPr>
        <w:t>八、电子交易活动的中止</w:t>
      </w:r>
    </w:p>
    <w:p w14:paraId="52826D91">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电子交易活动的中止</w:t>
      </w:r>
    </w:p>
    <w:p w14:paraId="70DAE549">
      <w:pPr>
        <w:shd w:val="clear"/>
        <w:tabs>
          <w:tab w:val="left" w:pos="0"/>
        </w:tabs>
        <w:spacing w:line="360" w:lineRule="auto"/>
        <w:ind w:firstLine="48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采购过程中出现以下情形，导致电子交易平台无法正常运行，或者无法保证电子交易的公平、公正和安全时，采购代理机构可中止电子交易活动：</w:t>
      </w:r>
    </w:p>
    <w:p w14:paraId="6F470F79">
      <w:pPr>
        <w:pStyle w:val="43"/>
        <w:shd w:val="clear"/>
        <w:snapToGrid w:val="0"/>
        <w:spacing w:before="0"/>
        <w:ind w:firstLine="480"/>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 xml:space="preserve">24.1电子交易平台发生故障而无法登录访问的； </w:t>
      </w:r>
    </w:p>
    <w:p w14:paraId="44FD09EB">
      <w:pPr>
        <w:pStyle w:val="43"/>
        <w:shd w:val="clear"/>
        <w:snapToGrid w:val="0"/>
        <w:spacing w:before="0"/>
        <w:ind w:firstLine="480"/>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24.2电子交易平台应用或数据库出现错误，不能进行正常操作的；</w:t>
      </w:r>
    </w:p>
    <w:p w14:paraId="63EA02BD">
      <w:pPr>
        <w:pStyle w:val="43"/>
        <w:shd w:val="clear"/>
        <w:snapToGrid w:val="0"/>
        <w:spacing w:before="0"/>
        <w:ind w:firstLine="480"/>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24.3电子交易平台发现严重安全漏洞，有潜在泄密危险的；</w:t>
      </w:r>
    </w:p>
    <w:p w14:paraId="315E26F3">
      <w:pPr>
        <w:pStyle w:val="43"/>
        <w:shd w:val="clear"/>
        <w:snapToGrid w:val="0"/>
        <w:spacing w:before="0"/>
        <w:ind w:firstLine="480"/>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 xml:space="preserve">24.4病毒发作导致不能进行正常操作的； </w:t>
      </w:r>
    </w:p>
    <w:p w14:paraId="22A871AB">
      <w:pPr>
        <w:pStyle w:val="43"/>
        <w:shd w:val="clear"/>
        <w:snapToGrid w:val="0"/>
        <w:spacing w:before="0"/>
        <w:ind w:firstLine="480"/>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24.5其他无法保证电子交易的公平、公正和安全的情况。</w:t>
      </w:r>
    </w:p>
    <w:p w14:paraId="74A94345">
      <w:pPr>
        <w:shd w:val="clear"/>
        <w:tabs>
          <w:tab w:val="left" w:pos="0"/>
        </w:tabs>
        <w:spacing w:line="360" w:lineRule="auto"/>
        <w:ind w:firstLine="480"/>
        <w:rPr>
          <w:rFonts w:cs="仿宋" w:asciiTheme="majorEastAsia" w:hAnsiTheme="majorEastAsia" w:eastAsiaTheme="majorEastAsia"/>
          <w:color w:val="auto"/>
          <w:sz w:val="24"/>
          <w:highlight w:val="none"/>
        </w:rPr>
      </w:pPr>
    </w:p>
    <w:p w14:paraId="53356FD7">
      <w:pPr>
        <w:shd w:val="clear"/>
        <w:snapToGrid w:val="0"/>
        <w:spacing w:line="360" w:lineRule="auto"/>
        <w:ind w:left="120" w:leftChars="57" w:firstLine="482" w:firstLineChars="150"/>
        <w:jc w:val="center"/>
        <w:rPr>
          <w:rFonts w:cs="仿宋" w:asciiTheme="majorEastAsia" w:hAnsiTheme="majorEastAsia" w:eastAsiaTheme="majorEastAsia"/>
          <w:b/>
          <w:color w:val="auto"/>
          <w:sz w:val="32"/>
          <w:highlight w:val="none"/>
        </w:rPr>
      </w:pPr>
      <w:r>
        <w:rPr>
          <w:rFonts w:hint="eastAsia" w:cs="仿宋" w:asciiTheme="majorEastAsia" w:hAnsiTheme="majorEastAsia" w:eastAsiaTheme="majorEastAsia"/>
          <w:b/>
          <w:color w:val="auto"/>
          <w:sz w:val="32"/>
          <w:highlight w:val="none"/>
        </w:rPr>
        <w:t>九、验收</w:t>
      </w:r>
    </w:p>
    <w:p w14:paraId="2A329A27">
      <w:pPr>
        <w:numPr>
          <w:ilvl w:val="0"/>
          <w:numId w:val="1"/>
        </w:numPr>
        <w:shd w:val="clear"/>
        <w:adjustRightInd w:val="0"/>
        <w:snapToGrid w:val="0"/>
        <w:spacing w:beforeLines="50" w:line="360" w:lineRule="auto"/>
        <w:ind w:firstLine="482" w:firstLineChars="200"/>
        <w:jc w:val="left"/>
        <w:outlineLvl w:val="1"/>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验收</w:t>
      </w:r>
    </w:p>
    <w:p w14:paraId="4264308D">
      <w:pPr>
        <w:shd w:val="clear"/>
        <w:tabs>
          <w:tab w:val="left" w:pos="0"/>
        </w:tabs>
        <w:spacing w:line="360" w:lineRule="auto"/>
        <w:ind w:firstLine="48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25.1采购人组织对供应商履约的验收。大型或者复杂的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C1711E9">
      <w:pPr>
        <w:shd w:val="clear"/>
        <w:tabs>
          <w:tab w:val="left" w:pos="0"/>
        </w:tabs>
        <w:spacing w:line="360" w:lineRule="auto"/>
        <w:ind w:firstLine="48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25.2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B512324">
      <w:pPr>
        <w:shd w:val="clear"/>
        <w:tabs>
          <w:tab w:val="left" w:pos="0"/>
        </w:tabs>
        <w:spacing w:line="360" w:lineRule="auto"/>
        <w:ind w:firstLine="48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25.3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监管部门。</w:t>
      </w:r>
      <w:bookmarkEnd w:id="37"/>
      <w:bookmarkEnd w:id="38"/>
      <w:bookmarkEnd w:id="41"/>
      <w:bookmarkStart w:id="42" w:name="_Hlt68072998"/>
      <w:bookmarkEnd w:id="42"/>
      <w:bookmarkStart w:id="43" w:name="_Hlt68073093"/>
      <w:bookmarkEnd w:id="43"/>
      <w:bookmarkStart w:id="44" w:name="_Hlt75236011"/>
      <w:bookmarkEnd w:id="44"/>
      <w:bookmarkStart w:id="45" w:name="_Hlt74730295"/>
      <w:bookmarkEnd w:id="45"/>
      <w:bookmarkStart w:id="46" w:name="_Hlt68057669"/>
      <w:bookmarkEnd w:id="46"/>
      <w:bookmarkStart w:id="47" w:name="_Hlt74729768"/>
      <w:bookmarkEnd w:id="47"/>
      <w:bookmarkStart w:id="48" w:name="_Hlt75236101"/>
      <w:bookmarkEnd w:id="48"/>
      <w:bookmarkStart w:id="49" w:name="_Hlt74707468"/>
      <w:bookmarkEnd w:id="49"/>
      <w:bookmarkStart w:id="50" w:name="_Hlt68072990"/>
      <w:bookmarkEnd w:id="50"/>
      <w:bookmarkStart w:id="51" w:name="_Hlt74714665"/>
      <w:bookmarkEnd w:id="51"/>
      <w:bookmarkStart w:id="52" w:name="_Hlt68403820"/>
      <w:bookmarkEnd w:id="52"/>
      <w:bookmarkStart w:id="53" w:name="_Hlt75236290"/>
      <w:bookmarkEnd w:id="53"/>
      <w:bookmarkStart w:id="54" w:name="第四部分"/>
    </w:p>
    <w:p w14:paraId="5622A3D8">
      <w:pPr>
        <w:shd w:val="clear"/>
        <w:spacing w:line="360" w:lineRule="auto"/>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br w:type="page"/>
      </w:r>
    </w:p>
    <w:p w14:paraId="7A8659D3">
      <w:pPr>
        <w:shd w:val="clear"/>
        <w:tabs>
          <w:tab w:val="left" w:pos="0"/>
        </w:tabs>
        <w:spacing w:line="360" w:lineRule="auto"/>
        <w:jc w:val="center"/>
        <w:rPr>
          <w:rFonts w:cs="仿宋" w:asciiTheme="majorEastAsia" w:hAnsiTheme="majorEastAsia" w:eastAsiaTheme="majorEastAsia"/>
          <w:b/>
          <w:color w:val="auto"/>
          <w:sz w:val="36"/>
          <w:szCs w:val="36"/>
          <w:highlight w:val="none"/>
        </w:rPr>
      </w:pPr>
      <w:r>
        <w:rPr>
          <w:rFonts w:hint="eastAsia" w:cs="仿宋" w:asciiTheme="majorEastAsia" w:hAnsiTheme="majorEastAsia" w:eastAsiaTheme="majorEastAsia"/>
          <w:b/>
          <w:color w:val="auto"/>
          <w:sz w:val="36"/>
          <w:szCs w:val="36"/>
          <w:highlight w:val="none"/>
        </w:rPr>
        <w:t>第三部分   采购需求</w:t>
      </w:r>
    </w:p>
    <w:p w14:paraId="2BDC8BDB">
      <w:pPr>
        <w:shd w:val="clear"/>
        <w:spacing w:line="360" w:lineRule="auto"/>
        <w:ind w:firstLine="482" w:firstLineChars="200"/>
        <w:rPr>
          <w:b/>
          <w:color w:val="auto"/>
          <w:sz w:val="24"/>
          <w:highlight w:val="none"/>
        </w:rPr>
      </w:pPr>
      <w:r>
        <w:rPr>
          <w:rFonts w:hint="eastAsia" w:ascii="宋体" w:hAnsi="宋体" w:cs="宋体"/>
          <w:b/>
          <w:bCs/>
          <w:color w:val="auto"/>
          <w:sz w:val="24"/>
          <w:szCs w:val="20"/>
          <w:highlight w:val="none"/>
        </w:rPr>
        <w:t>▲</w:t>
      </w:r>
      <w:r>
        <w:rPr>
          <w:rFonts w:hint="eastAsia"/>
          <w:b/>
          <w:color w:val="auto"/>
          <w:sz w:val="24"/>
          <w:highlight w:val="none"/>
        </w:rPr>
        <w:t>一、项目概况</w:t>
      </w:r>
    </w:p>
    <w:p w14:paraId="4369FD61">
      <w:pPr>
        <w:shd w:val="clear"/>
        <w:spacing w:line="360" w:lineRule="auto"/>
        <w:ind w:firstLine="480" w:firstLineChars="200"/>
        <w:rPr>
          <w:color w:val="auto"/>
          <w:sz w:val="24"/>
          <w:highlight w:val="none"/>
        </w:rPr>
      </w:pPr>
      <w:r>
        <w:rPr>
          <w:rFonts w:hint="eastAsia"/>
          <w:color w:val="auto"/>
          <w:sz w:val="24"/>
          <w:highlight w:val="none"/>
        </w:rPr>
        <w:t>（一）项目名称：宁南工业孵化基地园区</w:t>
      </w:r>
      <w:bookmarkStart w:id="55" w:name="OLE_LINK25"/>
      <w:r>
        <w:rPr>
          <w:rFonts w:hint="eastAsia"/>
          <w:color w:val="auto"/>
          <w:sz w:val="24"/>
          <w:highlight w:val="none"/>
        </w:rPr>
        <w:t>综合运营管理服务</w:t>
      </w:r>
      <w:bookmarkEnd w:id="55"/>
      <w:r>
        <w:rPr>
          <w:rFonts w:hint="eastAsia"/>
          <w:color w:val="auto"/>
          <w:sz w:val="24"/>
          <w:highlight w:val="none"/>
        </w:rPr>
        <w:t>项目</w:t>
      </w:r>
    </w:p>
    <w:p w14:paraId="2E6A831D">
      <w:pPr>
        <w:shd w:val="clear"/>
        <w:spacing w:line="360" w:lineRule="auto"/>
        <w:ind w:firstLine="480" w:firstLineChars="200"/>
        <w:rPr>
          <w:color w:val="auto"/>
          <w:sz w:val="24"/>
          <w:highlight w:val="none"/>
        </w:rPr>
      </w:pPr>
      <w:r>
        <w:rPr>
          <w:rFonts w:hint="eastAsia"/>
          <w:color w:val="auto"/>
          <w:sz w:val="24"/>
          <w:highlight w:val="none"/>
        </w:rPr>
        <w:t>（二）园区简介：</w:t>
      </w:r>
    </w:p>
    <w:p w14:paraId="2FF6236F">
      <w:pPr>
        <w:shd w:val="clear"/>
        <w:spacing w:line="360" w:lineRule="auto"/>
        <w:ind w:firstLine="480" w:firstLineChars="200"/>
        <w:rPr>
          <w:color w:val="auto"/>
          <w:sz w:val="24"/>
          <w:highlight w:val="none"/>
        </w:rPr>
      </w:pPr>
      <w:r>
        <w:rPr>
          <w:rFonts w:hint="eastAsia"/>
          <w:color w:val="auto"/>
          <w:sz w:val="24"/>
          <w:highlight w:val="none"/>
        </w:rPr>
        <w:t>宁南工业孵化基地园区项目位于奉化区方桥街道，西至汇诚路，南至恒兴东路，东至方欣路、北至规划道路。项目总用地面积</w:t>
      </w:r>
      <w:r>
        <w:rPr>
          <w:color w:val="auto"/>
          <w:sz w:val="24"/>
          <w:highlight w:val="none"/>
        </w:rPr>
        <w:t>39181</w:t>
      </w:r>
      <w:r>
        <w:rPr>
          <w:rFonts w:hint="eastAsia"/>
          <w:color w:val="auto"/>
          <w:sz w:val="24"/>
          <w:highlight w:val="none"/>
        </w:rPr>
        <w:t>平方米，总建筑面积</w:t>
      </w:r>
      <w:r>
        <w:rPr>
          <w:color w:val="auto"/>
          <w:sz w:val="24"/>
          <w:highlight w:val="none"/>
        </w:rPr>
        <w:t>97682.42</w:t>
      </w:r>
      <w:r>
        <w:rPr>
          <w:rFonts w:hint="eastAsia"/>
          <w:color w:val="auto"/>
          <w:sz w:val="24"/>
          <w:highlight w:val="none"/>
        </w:rPr>
        <w:t>平方米，其中地上建筑面积</w:t>
      </w:r>
      <w:r>
        <w:rPr>
          <w:color w:val="auto"/>
          <w:sz w:val="24"/>
          <w:highlight w:val="none"/>
        </w:rPr>
        <w:t>86612.64</w:t>
      </w:r>
      <w:r>
        <w:rPr>
          <w:rFonts w:hint="eastAsia"/>
          <w:color w:val="auto"/>
          <w:sz w:val="24"/>
          <w:highlight w:val="none"/>
        </w:rPr>
        <w:t>平方米，地下建筑面积</w:t>
      </w:r>
      <w:r>
        <w:rPr>
          <w:color w:val="auto"/>
          <w:sz w:val="24"/>
          <w:highlight w:val="none"/>
        </w:rPr>
        <w:t>11069.78</w:t>
      </w:r>
      <w:r>
        <w:rPr>
          <w:rFonts w:hint="eastAsia"/>
          <w:color w:val="auto"/>
          <w:sz w:val="24"/>
          <w:highlight w:val="none"/>
        </w:rPr>
        <w:t>平方米，由</w:t>
      </w:r>
      <w:r>
        <w:rPr>
          <w:color w:val="auto"/>
          <w:sz w:val="24"/>
          <w:highlight w:val="none"/>
        </w:rPr>
        <w:t>5</w:t>
      </w:r>
      <w:r>
        <w:rPr>
          <w:rFonts w:hint="eastAsia"/>
          <w:color w:val="auto"/>
          <w:sz w:val="24"/>
          <w:highlight w:val="none"/>
        </w:rPr>
        <w:t>栋厂房构成，总车位</w:t>
      </w:r>
      <w:r>
        <w:rPr>
          <w:color w:val="auto"/>
          <w:sz w:val="24"/>
          <w:highlight w:val="none"/>
        </w:rPr>
        <w:t>347</w:t>
      </w:r>
      <w:r>
        <w:rPr>
          <w:rFonts w:hint="eastAsia"/>
          <w:color w:val="auto"/>
          <w:sz w:val="24"/>
          <w:highlight w:val="none"/>
        </w:rPr>
        <w:t>个，其中地下车位</w:t>
      </w:r>
      <w:r>
        <w:rPr>
          <w:color w:val="auto"/>
          <w:sz w:val="24"/>
          <w:highlight w:val="none"/>
        </w:rPr>
        <w:t>330</w:t>
      </w:r>
      <w:r>
        <w:rPr>
          <w:rFonts w:hint="eastAsia"/>
          <w:color w:val="auto"/>
          <w:sz w:val="24"/>
          <w:highlight w:val="none"/>
        </w:rPr>
        <w:t>个，地面车位</w:t>
      </w:r>
      <w:r>
        <w:rPr>
          <w:color w:val="auto"/>
          <w:sz w:val="24"/>
          <w:highlight w:val="none"/>
        </w:rPr>
        <w:t>17</w:t>
      </w:r>
      <w:r>
        <w:rPr>
          <w:rFonts w:hint="eastAsia"/>
          <w:color w:val="auto"/>
          <w:sz w:val="24"/>
          <w:highlight w:val="none"/>
        </w:rPr>
        <w:t>个。另外园区内有自建房建筑总面积</w:t>
      </w:r>
      <w:r>
        <w:rPr>
          <w:color w:val="auto"/>
          <w:sz w:val="24"/>
          <w:highlight w:val="none"/>
        </w:rPr>
        <w:t>9741.6</w:t>
      </w:r>
      <w:r>
        <w:rPr>
          <w:rFonts w:hint="eastAsia"/>
          <w:color w:val="auto"/>
          <w:sz w:val="24"/>
          <w:highlight w:val="none"/>
        </w:rPr>
        <w:t>平方米，其中地上建筑面积</w:t>
      </w:r>
      <w:r>
        <w:rPr>
          <w:color w:val="auto"/>
          <w:sz w:val="24"/>
          <w:highlight w:val="none"/>
        </w:rPr>
        <w:t>8477.9</w:t>
      </w:r>
      <w:r>
        <w:rPr>
          <w:rFonts w:hint="eastAsia"/>
          <w:color w:val="auto"/>
          <w:sz w:val="24"/>
          <w:highlight w:val="none"/>
        </w:rPr>
        <w:t>平方米，地下建筑面积</w:t>
      </w:r>
      <w:r>
        <w:rPr>
          <w:color w:val="auto"/>
          <w:sz w:val="24"/>
          <w:highlight w:val="none"/>
        </w:rPr>
        <w:t>1263.7</w:t>
      </w:r>
      <w:r>
        <w:rPr>
          <w:rFonts w:hint="eastAsia"/>
          <w:color w:val="auto"/>
          <w:sz w:val="24"/>
          <w:highlight w:val="none"/>
        </w:rPr>
        <w:t>平方米。</w:t>
      </w:r>
    </w:p>
    <w:p w14:paraId="5EEA1275">
      <w:pPr>
        <w:shd w:val="clear"/>
        <w:spacing w:line="360" w:lineRule="auto"/>
        <w:ind w:firstLine="480" w:firstLineChars="200"/>
        <w:rPr>
          <w:color w:val="auto"/>
          <w:sz w:val="24"/>
          <w:highlight w:val="none"/>
        </w:rPr>
      </w:pPr>
      <w:r>
        <w:rPr>
          <w:rFonts w:hint="eastAsia"/>
          <w:color w:val="auto"/>
          <w:sz w:val="24"/>
          <w:highlight w:val="none"/>
        </w:rPr>
        <w:t>本园区聚焦先进智造产业链，重点以先进装备制造、新材料、电子信息、人工智能技术、区块链技术、生物医药等为主导产业。</w:t>
      </w:r>
    </w:p>
    <w:p w14:paraId="2C524EC4">
      <w:pPr>
        <w:shd w:val="clear"/>
        <w:spacing w:line="360" w:lineRule="auto"/>
        <w:ind w:firstLine="482" w:firstLineChars="200"/>
        <w:rPr>
          <w:b/>
          <w:color w:val="auto"/>
          <w:sz w:val="24"/>
          <w:highlight w:val="none"/>
        </w:rPr>
      </w:pPr>
      <w:r>
        <w:rPr>
          <w:rFonts w:hint="eastAsia" w:ascii="宋体" w:hAnsi="宋体" w:cs="宋体"/>
          <w:b/>
          <w:bCs/>
          <w:color w:val="auto"/>
          <w:sz w:val="24"/>
          <w:szCs w:val="20"/>
          <w:highlight w:val="none"/>
        </w:rPr>
        <w:t>▲</w:t>
      </w:r>
      <w:r>
        <w:rPr>
          <w:rFonts w:hint="eastAsia"/>
          <w:b/>
          <w:color w:val="auto"/>
          <w:sz w:val="24"/>
          <w:highlight w:val="none"/>
        </w:rPr>
        <w:t>二、服务内容</w:t>
      </w:r>
    </w:p>
    <w:p w14:paraId="7CD2A2F1">
      <w:pPr>
        <w:shd w:val="clear"/>
        <w:spacing w:line="360" w:lineRule="auto"/>
        <w:ind w:firstLine="480" w:firstLineChars="200"/>
        <w:rPr>
          <w:color w:val="auto"/>
          <w:sz w:val="24"/>
          <w:highlight w:val="none"/>
        </w:rPr>
      </w:pPr>
      <w:r>
        <w:rPr>
          <w:rFonts w:hint="eastAsia"/>
          <w:color w:val="auto"/>
          <w:sz w:val="24"/>
          <w:highlight w:val="none"/>
        </w:rPr>
        <w:t>本项目服务内容主要包括：宁南工业孵化基地园区的企业运营服务、安全管理和环境管理服务等内容。</w:t>
      </w:r>
    </w:p>
    <w:p w14:paraId="17998C97">
      <w:pPr>
        <w:shd w:val="clear"/>
        <w:spacing w:line="360" w:lineRule="auto"/>
        <w:ind w:firstLine="482" w:firstLineChars="200"/>
        <w:rPr>
          <w:b/>
          <w:color w:val="auto"/>
          <w:sz w:val="24"/>
          <w:highlight w:val="none"/>
        </w:rPr>
      </w:pPr>
      <w:bookmarkStart w:id="56" w:name="OLE_LINK24"/>
      <w:r>
        <w:rPr>
          <w:rFonts w:hint="eastAsia" w:ascii="宋体" w:hAnsi="宋体" w:cs="宋体"/>
          <w:b/>
          <w:bCs/>
          <w:color w:val="auto"/>
          <w:sz w:val="24"/>
          <w:szCs w:val="20"/>
          <w:highlight w:val="none"/>
        </w:rPr>
        <w:t>▲</w:t>
      </w:r>
      <w:bookmarkEnd w:id="56"/>
      <w:r>
        <w:rPr>
          <w:rFonts w:hint="eastAsia"/>
          <w:b/>
          <w:color w:val="auto"/>
          <w:sz w:val="24"/>
          <w:highlight w:val="none"/>
        </w:rPr>
        <w:t>三、服务要求</w:t>
      </w:r>
    </w:p>
    <w:p w14:paraId="275714CA">
      <w:pPr>
        <w:shd w:val="clear"/>
        <w:spacing w:line="360" w:lineRule="auto"/>
        <w:ind w:firstLine="480" w:firstLineChars="200"/>
        <w:rPr>
          <w:color w:val="auto"/>
          <w:sz w:val="24"/>
          <w:highlight w:val="none"/>
        </w:rPr>
      </w:pPr>
      <w:r>
        <w:rPr>
          <w:rFonts w:hint="eastAsia"/>
          <w:color w:val="auto"/>
          <w:sz w:val="24"/>
          <w:highlight w:val="none"/>
        </w:rPr>
        <w:t>（一）</w:t>
      </w:r>
      <w:bookmarkStart w:id="57" w:name="OLE_LINK64"/>
      <w:r>
        <w:rPr>
          <w:rFonts w:hint="eastAsia"/>
          <w:color w:val="auto"/>
          <w:sz w:val="24"/>
          <w:highlight w:val="none"/>
        </w:rPr>
        <w:t>运营管理服务</w:t>
      </w:r>
      <w:bookmarkEnd w:id="57"/>
    </w:p>
    <w:p w14:paraId="6AC8C20B">
      <w:pPr>
        <w:shd w:val="clear"/>
        <w:spacing w:line="360" w:lineRule="auto"/>
        <w:ind w:firstLine="480" w:firstLineChars="200"/>
        <w:rPr>
          <w:color w:val="auto"/>
          <w:sz w:val="24"/>
          <w:highlight w:val="none"/>
        </w:rPr>
      </w:pPr>
      <w:bookmarkStart w:id="58" w:name="OLE_LINK41"/>
      <w:r>
        <w:rPr>
          <w:color w:val="auto"/>
          <w:sz w:val="24"/>
          <w:highlight w:val="none"/>
        </w:rPr>
        <w:t>1</w:t>
      </w:r>
      <w:r>
        <w:rPr>
          <w:rFonts w:hint="eastAsia"/>
          <w:color w:val="auto"/>
          <w:sz w:val="24"/>
          <w:highlight w:val="none"/>
        </w:rPr>
        <w:t>、为项目引进优质企业。</w:t>
      </w:r>
    </w:p>
    <w:p w14:paraId="6448810A">
      <w:pPr>
        <w:shd w:val="clear"/>
        <w:spacing w:line="360" w:lineRule="auto"/>
        <w:ind w:firstLine="480" w:firstLineChars="200"/>
        <w:rPr>
          <w:color w:val="auto"/>
          <w:sz w:val="24"/>
          <w:highlight w:val="none"/>
        </w:rPr>
      </w:pPr>
      <w:r>
        <w:rPr>
          <w:color w:val="auto"/>
          <w:sz w:val="24"/>
          <w:highlight w:val="none"/>
        </w:rPr>
        <w:t>2</w:t>
      </w:r>
      <w:r>
        <w:rPr>
          <w:rFonts w:hint="eastAsia"/>
          <w:color w:val="auto"/>
          <w:sz w:val="24"/>
          <w:highlight w:val="none"/>
        </w:rPr>
        <w:t>、严格控制入驻企业产业属性，严格控制入驻企业发展质量。</w:t>
      </w:r>
    </w:p>
    <w:p w14:paraId="430E4647">
      <w:pPr>
        <w:shd w:val="clear"/>
        <w:spacing w:line="360" w:lineRule="auto"/>
        <w:ind w:firstLine="480" w:firstLineChars="200"/>
        <w:rPr>
          <w:color w:val="auto"/>
          <w:sz w:val="24"/>
          <w:highlight w:val="none"/>
        </w:rPr>
      </w:pPr>
      <w:r>
        <w:rPr>
          <w:color w:val="auto"/>
          <w:sz w:val="24"/>
          <w:highlight w:val="none"/>
        </w:rPr>
        <w:t>3</w:t>
      </w:r>
      <w:r>
        <w:rPr>
          <w:rFonts w:hint="eastAsia"/>
          <w:color w:val="auto"/>
          <w:sz w:val="24"/>
          <w:highlight w:val="none"/>
        </w:rPr>
        <w:t>、提供高新技术企业培育咨询与服务。</w:t>
      </w:r>
    </w:p>
    <w:p w14:paraId="5C0CACB2">
      <w:pPr>
        <w:shd w:val="clear"/>
        <w:spacing w:line="360" w:lineRule="auto"/>
        <w:ind w:firstLine="480" w:firstLineChars="200"/>
        <w:rPr>
          <w:color w:val="auto"/>
          <w:sz w:val="24"/>
          <w:highlight w:val="none"/>
        </w:rPr>
      </w:pPr>
      <w:r>
        <w:rPr>
          <w:color w:val="auto"/>
          <w:sz w:val="24"/>
          <w:highlight w:val="none"/>
        </w:rPr>
        <w:t>4</w:t>
      </w:r>
      <w:r>
        <w:rPr>
          <w:rFonts w:hint="eastAsia"/>
          <w:color w:val="auto"/>
          <w:sz w:val="24"/>
          <w:highlight w:val="none"/>
        </w:rPr>
        <w:t>、积极配合招标人做好重大项目招引谈判的跟踪协助工作及后续的落地签约对接。</w:t>
      </w:r>
    </w:p>
    <w:p w14:paraId="450AE1E1">
      <w:pPr>
        <w:shd w:val="clear"/>
        <w:spacing w:line="360" w:lineRule="auto"/>
        <w:ind w:firstLine="480" w:firstLineChars="200"/>
        <w:rPr>
          <w:color w:val="auto"/>
          <w:sz w:val="24"/>
          <w:highlight w:val="none"/>
        </w:rPr>
      </w:pPr>
      <w:r>
        <w:rPr>
          <w:color w:val="auto"/>
          <w:sz w:val="24"/>
          <w:highlight w:val="none"/>
        </w:rPr>
        <w:t>5</w:t>
      </w:r>
      <w:r>
        <w:rPr>
          <w:rFonts w:hint="eastAsia"/>
          <w:color w:val="auto"/>
          <w:sz w:val="24"/>
          <w:highlight w:val="none"/>
        </w:rPr>
        <w:t>、负责租金的催缴工作，保证入驻企业租金及时缴纳。</w:t>
      </w:r>
    </w:p>
    <w:p w14:paraId="7420DA1B">
      <w:pPr>
        <w:shd w:val="clear"/>
        <w:spacing w:line="360" w:lineRule="auto"/>
        <w:ind w:firstLine="480" w:firstLineChars="200"/>
        <w:rPr>
          <w:color w:val="auto"/>
          <w:sz w:val="24"/>
          <w:highlight w:val="none"/>
        </w:rPr>
      </w:pPr>
      <w:r>
        <w:rPr>
          <w:color w:val="auto"/>
          <w:sz w:val="24"/>
          <w:highlight w:val="none"/>
        </w:rPr>
        <w:t>6</w:t>
      </w:r>
      <w:r>
        <w:rPr>
          <w:rFonts w:hint="eastAsia"/>
          <w:color w:val="auto"/>
          <w:sz w:val="24"/>
          <w:highlight w:val="none"/>
        </w:rPr>
        <w:t>、组建运营团队做好园区日常接待工作，制定工作流程并组织实施，协助招标人完成出租合同的签署。</w:t>
      </w:r>
    </w:p>
    <w:p w14:paraId="2F62E73C">
      <w:pPr>
        <w:shd w:val="clear"/>
        <w:spacing w:line="360" w:lineRule="auto"/>
        <w:ind w:firstLine="480" w:firstLineChars="200"/>
        <w:rPr>
          <w:color w:val="auto"/>
          <w:sz w:val="24"/>
          <w:highlight w:val="none"/>
        </w:rPr>
      </w:pPr>
      <w:r>
        <w:rPr>
          <w:color w:val="auto"/>
          <w:sz w:val="24"/>
          <w:highlight w:val="none"/>
        </w:rPr>
        <w:t>7</w:t>
      </w:r>
      <w:r>
        <w:rPr>
          <w:rFonts w:hint="eastAsia"/>
          <w:color w:val="auto"/>
          <w:sz w:val="24"/>
          <w:highlight w:val="none"/>
        </w:rPr>
        <w:t>、承担客户接待工作，无论客户来源，投标人均应向客户提供跟进、带看、成交全生命周期运营服务（含招标人及政府相关部门推荐的客户）。</w:t>
      </w:r>
    </w:p>
    <w:p w14:paraId="2C82D761">
      <w:pPr>
        <w:shd w:val="clear"/>
        <w:spacing w:line="360" w:lineRule="auto"/>
        <w:ind w:firstLine="480" w:firstLineChars="200"/>
        <w:rPr>
          <w:color w:val="auto"/>
          <w:sz w:val="24"/>
          <w:highlight w:val="none"/>
        </w:rPr>
      </w:pPr>
      <w:r>
        <w:rPr>
          <w:color w:val="auto"/>
          <w:sz w:val="24"/>
          <w:highlight w:val="none"/>
        </w:rPr>
        <w:t>8</w:t>
      </w:r>
      <w:r>
        <w:rPr>
          <w:rFonts w:hint="eastAsia"/>
          <w:color w:val="auto"/>
          <w:sz w:val="24"/>
          <w:highlight w:val="none"/>
        </w:rPr>
        <w:t>、做好政府重大活动接待工作。</w:t>
      </w:r>
    </w:p>
    <w:p w14:paraId="7C78B10C">
      <w:pPr>
        <w:shd w:val="clear"/>
        <w:spacing w:line="360" w:lineRule="auto"/>
        <w:ind w:firstLine="480" w:firstLineChars="200"/>
        <w:rPr>
          <w:color w:val="auto"/>
          <w:sz w:val="24"/>
          <w:highlight w:val="none"/>
        </w:rPr>
      </w:pPr>
      <w:r>
        <w:rPr>
          <w:color w:val="auto"/>
          <w:sz w:val="24"/>
          <w:highlight w:val="none"/>
        </w:rPr>
        <w:t>9</w:t>
      </w:r>
      <w:r>
        <w:rPr>
          <w:rFonts w:hint="eastAsia"/>
          <w:color w:val="auto"/>
          <w:sz w:val="24"/>
          <w:highlight w:val="none"/>
        </w:rPr>
        <w:t>、每年结合招标人需求组织培训、金融对接、活动、技术论坛等活动，建设园区企业公共赋能平台，相关成本经招标人确认后由招标人自行承担。</w:t>
      </w:r>
    </w:p>
    <w:p w14:paraId="47C6C807">
      <w:pPr>
        <w:shd w:val="clear"/>
        <w:spacing w:line="360" w:lineRule="auto"/>
        <w:ind w:firstLine="480" w:firstLineChars="200"/>
        <w:rPr>
          <w:color w:val="auto"/>
          <w:sz w:val="24"/>
          <w:highlight w:val="none"/>
        </w:rPr>
      </w:pPr>
      <w:r>
        <w:rPr>
          <w:color w:val="auto"/>
          <w:sz w:val="24"/>
          <w:highlight w:val="none"/>
        </w:rPr>
        <w:t>10</w:t>
      </w:r>
      <w:r>
        <w:rPr>
          <w:rFonts w:hint="eastAsia"/>
          <w:color w:val="auto"/>
          <w:sz w:val="24"/>
          <w:highlight w:val="none"/>
        </w:rPr>
        <w:t>、不定期提供政策交底，开展各类企业辅导服务（包含但不限于政策辅导、政务代办、创业辅导、安全生产管理服务辅导、人力资源辅导等）。</w:t>
      </w:r>
    </w:p>
    <w:p w14:paraId="7F517370">
      <w:pPr>
        <w:shd w:val="clear"/>
        <w:spacing w:line="360" w:lineRule="auto"/>
        <w:ind w:firstLine="480" w:firstLineChars="200"/>
        <w:rPr>
          <w:color w:val="auto"/>
          <w:sz w:val="24"/>
          <w:highlight w:val="none"/>
        </w:rPr>
      </w:pPr>
      <w:r>
        <w:rPr>
          <w:color w:val="auto"/>
          <w:sz w:val="24"/>
          <w:highlight w:val="none"/>
        </w:rPr>
        <w:t>11</w:t>
      </w:r>
      <w:r>
        <w:rPr>
          <w:rFonts w:hint="eastAsia"/>
          <w:color w:val="auto"/>
          <w:sz w:val="24"/>
          <w:highlight w:val="none"/>
        </w:rPr>
        <w:t>、做好园区项目入驻企业统计与管理工作，进行企业有关登记、数据统计、企业管理等工作，做好企业资料归档管理及台账管理。</w:t>
      </w:r>
    </w:p>
    <w:p w14:paraId="052DA148">
      <w:pPr>
        <w:shd w:val="clear"/>
        <w:spacing w:line="360" w:lineRule="auto"/>
        <w:ind w:firstLine="480" w:firstLineChars="200"/>
        <w:rPr>
          <w:color w:val="auto"/>
          <w:sz w:val="24"/>
          <w:highlight w:val="none"/>
        </w:rPr>
      </w:pPr>
      <w:r>
        <w:rPr>
          <w:color w:val="auto"/>
          <w:sz w:val="24"/>
          <w:highlight w:val="none"/>
        </w:rPr>
        <w:t>12</w:t>
      </w:r>
      <w:r>
        <w:rPr>
          <w:rFonts w:hint="eastAsia"/>
          <w:color w:val="auto"/>
          <w:sz w:val="24"/>
          <w:highlight w:val="none"/>
        </w:rPr>
        <w:t>、招标人与承租户签署租赁合同时，投标人应及时催促承租户完成租赁合同盖章等工作。</w:t>
      </w:r>
    </w:p>
    <w:p w14:paraId="011902A3">
      <w:pPr>
        <w:shd w:val="clear"/>
        <w:spacing w:line="360" w:lineRule="auto"/>
        <w:ind w:firstLine="480" w:firstLineChars="200"/>
        <w:rPr>
          <w:color w:val="auto"/>
          <w:sz w:val="24"/>
          <w:highlight w:val="none"/>
        </w:rPr>
      </w:pPr>
      <w:r>
        <w:rPr>
          <w:color w:val="auto"/>
          <w:sz w:val="24"/>
          <w:highlight w:val="none"/>
        </w:rPr>
        <w:t>13</w:t>
      </w:r>
      <w:r>
        <w:rPr>
          <w:rFonts w:hint="eastAsia"/>
          <w:color w:val="auto"/>
          <w:sz w:val="24"/>
          <w:highlight w:val="none"/>
        </w:rPr>
        <w:t>、协助招标人完成制定企业准入、退出的管理制度。</w:t>
      </w:r>
    </w:p>
    <w:p w14:paraId="396C9B45">
      <w:pPr>
        <w:shd w:val="clear"/>
        <w:spacing w:line="360" w:lineRule="auto"/>
        <w:ind w:firstLine="480" w:firstLineChars="200"/>
        <w:rPr>
          <w:color w:val="auto"/>
          <w:sz w:val="24"/>
          <w:highlight w:val="none"/>
        </w:rPr>
      </w:pPr>
      <w:r>
        <w:rPr>
          <w:color w:val="auto"/>
          <w:sz w:val="24"/>
          <w:highlight w:val="none"/>
        </w:rPr>
        <w:t>14</w:t>
      </w:r>
      <w:r>
        <w:rPr>
          <w:rFonts w:hint="eastAsia"/>
          <w:color w:val="auto"/>
          <w:sz w:val="24"/>
          <w:highlight w:val="none"/>
        </w:rPr>
        <w:t>、协助企业考核，按时提供企业运营数据报表。</w:t>
      </w:r>
    </w:p>
    <w:p w14:paraId="4522A1F5">
      <w:pPr>
        <w:shd w:val="clear"/>
        <w:spacing w:line="360" w:lineRule="auto"/>
        <w:ind w:firstLine="480" w:firstLineChars="200"/>
        <w:rPr>
          <w:color w:val="auto"/>
          <w:sz w:val="24"/>
          <w:highlight w:val="none"/>
        </w:rPr>
      </w:pPr>
      <w:r>
        <w:rPr>
          <w:color w:val="auto"/>
          <w:sz w:val="24"/>
          <w:highlight w:val="none"/>
        </w:rPr>
        <w:t>15</w:t>
      </w:r>
      <w:r>
        <w:rPr>
          <w:rFonts w:hint="eastAsia"/>
          <w:color w:val="auto"/>
          <w:sz w:val="24"/>
          <w:highlight w:val="none"/>
        </w:rPr>
        <w:t>、维护企业关系，定期走访企业，建立重点企业联系人制度。</w:t>
      </w:r>
    </w:p>
    <w:p w14:paraId="270AD228">
      <w:pPr>
        <w:shd w:val="clear"/>
        <w:spacing w:line="360" w:lineRule="auto"/>
        <w:ind w:firstLine="480" w:firstLineChars="200"/>
        <w:rPr>
          <w:color w:val="auto"/>
          <w:sz w:val="24"/>
          <w:highlight w:val="none"/>
        </w:rPr>
      </w:pPr>
      <w:r>
        <w:rPr>
          <w:color w:val="auto"/>
          <w:sz w:val="24"/>
          <w:highlight w:val="none"/>
        </w:rPr>
        <w:t>16</w:t>
      </w:r>
      <w:r>
        <w:rPr>
          <w:rFonts w:hint="eastAsia"/>
          <w:color w:val="auto"/>
          <w:sz w:val="24"/>
          <w:highlight w:val="none"/>
        </w:rPr>
        <w:t>、负责园区企业的日常联络，在服务期间必须遵纪守法，承担服务期间对商户的治安管理、安全生产管理，房屋防火、防盗及门前三包等服务，服从当地有关部门的规定，不得进行违法违规活动，若发生违法违规事件由投标人承担相应后果。</w:t>
      </w:r>
    </w:p>
    <w:p w14:paraId="3C08A556">
      <w:pPr>
        <w:shd w:val="clear"/>
        <w:spacing w:line="360" w:lineRule="auto"/>
        <w:ind w:firstLine="480" w:firstLineChars="200"/>
        <w:rPr>
          <w:color w:val="auto"/>
          <w:sz w:val="24"/>
          <w:highlight w:val="none"/>
        </w:rPr>
      </w:pPr>
      <w:r>
        <w:rPr>
          <w:color w:val="auto"/>
          <w:sz w:val="24"/>
          <w:highlight w:val="none"/>
        </w:rPr>
        <w:t>17</w:t>
      </w:r>
      <w:r>
        <w:rPr>
          <w:rFonts w:hint="eastAsia"/>
          <w:color w:val="auto"/>
          <w:sz w:val="24"/>
          <w:highlight w:val="none"/>
        </w:rPr>
        <w:t>、投标人不得招入给对城市管理、安全生产、居民生活带来影响或隐患的单位或个人。出现跨门经营、占道经营以及乱堆放、乱吊挂等各类问题，投标人负连带责任，必须及时配合社区、城管、公安等部门督促承租人完成整改。</w:t>
      </w:r>
    </w:p>
    <w:p w14:paraId="5A788D0C">
      <w:pPr>
        <w:shd w:val="clear"/>
        <w:spacing w:line="360" w:lineRule="auto"/>
        <w:ind w:firstLine="480" w:firstLineChars="200"/>
        <w:rPr>
          <w:color w:val="auto"/>
          <w:sz w:val="24"/>
          <w:highlight w:val="none"/>
        </w:rPr>
      </w:pPr>
      <w:r>
        <w:rPr>
          <w:color w:val="auto"/>
          <w:sz w:val="24"/>
          <w:highlight w:val="none"/>
        </w:rPr>
        <w:t>18</w:t>
      </w:r>
      <w:r>
        <w:rPr>
          <w:rFonts w:hint="eastAsia"/>
          <w:color w:val="auto"/>
          <w:sz w:val="24"/>
          <w:highlight w:val="none"/>
        </w:rPr>
        <w:t>、结合招标人实际招商引资需求配合提供相应的</w:t>
      </w:r>
      <w:bookmarkStart w:id="59" w:name="OLE_LINK4"/>
      <w:r>
        <w:rPr>
          <w:rFonts w:hint="eastAsia"/>
          <w:color w:val="auto"/>
          <w:sz w:val="24"/>
          <w:highlight w:val="none"/>
        </w:rPr>
        <w:t>推广和宣传策划方案</w:t>
      </w:r>
      <w:bookmarkEnd w:id="59"/>
      <w:r>
        <w:rPr>
          <w:rFonts w:hint="eastAsia"/>
          <w:color w:val="auto"/>
          <w:sz w:val="24"/>
          <w:highlight w:val="none"/>
        </w:rPr>
        <w:t>，相关成本经招标人确认后由招标人自行承担。</w:t>
      </w:r>
    </w:p>
    <w:p w14:paraId="7007789A">
      <w:pPr>
        <w:shd w:val="clear"/>
        <w:spacing w:line="360" w:lineRule="auto"/>
        <w:ind w:firstLine="480" w:firstLineChars="200"/>
        <w:rPr>
          <w:color w:val="auto"/>
          <w:sz w:val="24"/>
          <w:highlight w:val="none"/>
        </w:rPr>
      </w:pPr>
      <w:r>
        <w:rPr>
          <w:color w:val="auto"/>
          <w:sz w:val="24"/>
          <w:highlight w:val="none"/>
        </w:rPr>
        <w:t>19</w:t>
      </w:r>
      <w:r>
        <w:rPr>
          <w:rFonts w:hint="eastAsia"/>
          <w:color w:val="auto"/>
          <w:sz w:val="24"/>
          <w:highlight w:val="none"/>
        </w:rPr>
        <w:t>、结合招标人实际运营需求提供大数据服务，通过短信平台投放、网站投放等多渠道方式进行推广，相关成本经招标人确认后由招标人自行承担。</w:t>
      </w:r>
    </w:p>
    <w:p w14:paraId="30CF108D">
      <w:pPr>
        <w:shd w:val="clear"/>
        <w:spacing w:line="360" w:lineRule="auto"/>
        <w:ind w:firstLine="480" w:firstLineChars="200"/>
        <w:rPr>
          <w:color w:val="auto"/>
          <w:sz w:val="24"/>
          <w:highlight w:val="none"/>
        </w:rPr>
      </w:pPr>
      <w:r>
        <w:rPr>
          <w:color w:val="auto"/>
          <w:sz w:val="24"/>
          <w:highlight w:val="none"/>
        </w:rPr>
        <w:t>20</w:t>
      </w:r>
      <w:r>
        <w:rPr>
          <w:rFonts w:hint="eastAsia"/>
          <w:color w:val="auto"/>
          <w:sz w:val="24"/>
          <w:highlight w:val="none"/>
        </w:rPr>
        <w:t>、完成招标人要求的与本项目营销策划有关的其他工作。</w:t>
      </w:r>
    </w:p>
    <w:p w14:paraId="28A69401">
      <w:pPr>
        <w:shd w:val="clear"/>
        <w:spacing w:line="360" w:lineRule="auto"/>
        <w:ind w:firstLine="480" w:firstLineChars="200"/>
        <w:rPr>
          <w:color w:val="auto"/>
          <w:sz w:val="24"/>
          <w:highlight w:val="none"/>
        </w:rPr>
      </w:pPr>
      <w:r>
        <w:rPr>
          <w:color w:val="auto"/>
          <w:sz w:val="24"/>
          <w:highlight w:val="none"/>
        </w:rPr>
        <w:t>21</w:t>
      </w:r>
      <w:r>
        <w:rPr>
          <w:rFonts w:hint="eastAsia"/>
          <w:color w:val="auto"/>
          <w:sz w:val="24"/>
          <w:highlight w:val="none"/>
        </w:rPr>
        <w:t>、结合招标人实际运营需求，建设数字园区运营系统，提供</w:t>
      </w:r>
      <w:bookmarkStart w:id="60" w:name="OLE_LINK74"/>
      <w:bookmarkStart w:id="61" w:name="OLE_LINK75"/>
      <w:r>
        <w:rPr>
          <w:rFonts w:hint="eastAsia"/>
          <w:color w:val="auto"/>
          <w:sz w:val="24"/>
          <w:highlight w:val="none"/>
        </w:rPr>
        <w:t>智慧园区运营服务，</w:t>
      </w:r>
      <w:bookmarkEnd w:id="60"/>
      <w:bookmarkEnd w:id="61"/>
      <w:r>
        <w:rPr>
          <w:rFonts w:hint="eastAsia"/>
          <w:color w:val="auto"/>
          <w:sz w:val="24"/>
          <w:highlight w:val="none"/>
        </w:rPr>
        <w:t>赋能园区管理、运行、运营和服务，相关成本经招标人确认后由招标人另行承担。</w:t>
      </w:r>
    </w:p>
    <w:p w14:paraId="6F8A6F4C">
      <w:pPr>
        <w:shd w:val="clear"/>
        <w:spacing w:line="360" w:lineRule="auto"/>
        <w:ind w:firstLine="480" w:firstLineChars="200"/>
        <w:rPr>
          <w:color w:val="auto"/>
          <w:sz w:val="24"/>
          <w:highlight w:val="none"/>
        </w:rPr>
      </w:pPr>
      <w:r>
        <w:rPr>
          <w:color w:val="auto"/>
          <w:sz w:val="24"/>
          <w:highlight w:val="none"/>
        </w:rPr>
        <w:t>22</w:t>
      </w:r>
      <w:r>
        <w:rPr>
          <w:rFonts w:hint="eastAsia"/>
          <w:color w:val="auto"/>
          <w:sz w:val="24"/>
          <w:highlight w:val="none"/>
        </w:rPr>
        <w:t>、做好员工上岗培训，培养高素质的从业人员。</w:t>
      </w:r>
    </w:p>
    <w:p w14:paraId="7F9DE9D8">
      <w:pPr>
        <w:shd w:val="clear"/>
        <w:spacing w:line="360" w:lineRule="auto"/>
        <w:ind w:firstLine="480" w:firstLineChars="200"/>
        <w:rPr>
          <w:color w:val="auto"/>
          <w:sz w:val="24"/>
          <w:highlight w:val="none"/>
        </w:rPr>
      </w:pPr>
      <w:r>
        <w:rPr>
          <w:color w:val="auto"/>
          <w:sz w:val="24"/>
          <w:highlight w:val="none"/>
        </w:rPr>
        <w:t>23</w:t>
      </w:r>
      <w:r>
        <w:rPr>
          <w:rFonts w:hint="eastAsia"/>
          <w:color w:val="auto"/>
          <w:sz w:val="24"/>
          <w:highlight w:val="none"/>
        </w:rPr>
        <w:t>、运营服务人员需统一着装、言行文明，遵守招标人的各项规章制度及工作规范，维护园区整体服务形象。</w:t>
      </w:r>
    </w:p>
    <w:p w14:paraId="1618765A">
      <w:pPr>
        <w:shd w:val="clear"/>
        <w:spacing w:line="360" w:lineRule="auto"/>
        <w:ind w:firstLine="480" w:firstLineChars="200"/>
        <w:rPr>
          <w:color w:val="auto"/>
          <w:sz w:val="24"/>
          <w:highlight w:val="none"/>
        </w:rPr>
      </w:pPr>
      <w:r>
        <w:rPr>
          <w:color w:val="auto"/>
          <w:sz w:val="24"/>
          <w:highlight w:val="none"/>
        </w:rPr>
        <w:t>24</w:t>
      </w:r>
      <w:r>
        <w:rPr>
          <w:rFonts w:hint="eastAsia"/>
          <w:color w:val="auto"/>
          <w:sz w:val="24"/>
          <w:highlight w:val="none"/>
        </w:rPr>
        <w:t>、其他日常运营管理工作。</w:t>
      </w:r>
    </w:p>
    <w:bookmarkEnd w:id="58"/>
    <w:p w14:paraId="01A02219">
      <w:pPr>
        <w:shd w:val="clear"/>
        <w:spacing w:line="360" w:lineRule="auto"/>
        <w:ind w:firstLine="480" w:firstLineChars="200"/>
        <w:rPr>
          <w:color w:val="auto"/>
          <w:sz w:val="24"/>
          <w:highlight w:val="none"/>
        </w:rPr>
      </w:pPr>
      <w:r>
        <w:rPr>
          <w:rFonts w:hint="eastAsia"/>
          <w:color w:val="auto"/>
          <w:sz w:val="24"/>
          <w:highlight w:val="none"/>
        </w:rPr>
        <w:t>（二）安全管理和环境管理服务</w:t>
      </w:r>
    </w:p>
    <w:p w14:paraId="6CD1EA90">
      <w:pPr>
        <w:shd w:val="clear"/>
        <w:spacing w:line="360" w:lineRule="auto"/>
        <w:ind w:firstLine="480" w:firstLineChars="200"/>
        <w:rPr>
          <w:color w:val="auto"/>
          <w:sz w:val="24"/>
          <w:highlight w:val="none"/>
        </w:rPr>
      </w:pPr>
      <w:r>
        <w:rPr>
          <w:rFonts w:hint="eastAsia"/>
          <w:color w:val="auto"/>
          <w:sz w:val="24"/>
          <w:highlight w:val="none"/>
        </w:rPr>
        <w:t>负责园区的安全管理和环境管理服务。服务范围包括但不限于：公共设施的管理、公共秩序和公共环境卫生的维护、日常安全巡查、绿化养护和管理、展厅保洁和管理、车辆管理、提供行政后勤管理辅助服务、招标人要求的其他及临时性服务等相关内容。</w:t>
      </w:r>
    </w:p>
    <w:p w14:paraId="3B0B8FB0">
      <w:pPr>
        <w:shd w:val="clear"/>
        <w:spacing w:line="360" w:lineRule="auto"/>
        <w:ind w:firstLine="480" w:firstLineChars="200"/>
        <w:rPr>
          <w:color w:val="auto"/>
          <w:sz w:val="24"/>
          <w:highlight w:val="none"/>
        </w:rPr>
      </w:pPr>
      <w:r>
        <w:rPr>
          <w:color w:val="auto"/>
          <w:sz w:val="24"/>
          <w:highlight w:val="none"/>
        </w:rPr>
        <w:t>1</w:t>
      </w:r>
      <w:r>
        <w:rPr>
          <w:rFonts w:hint="eastAsia"/>
          <w:color w:val="auto"/>
          <w:sz w:val="24"/>
          <w:highlight w:val="none"/>
        </w:rPr>
        <w:t>、综合服务</w:t>
      </w:r>
    </w:p>
    <w:p w14:paraId="3E0503B6">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1</w:t>
      </w:r>
      <w:r>
        <w:rPr>
          <w:rFonts w:hint="eastAsia"/>
          <w:color w:val="auto"/>
          <w:sz w:val="24"/>
          <w:highlight w:val="none"/>
        </w:rPr>
        <w:t>）负责催缴物业费、水电费和公共能耗费等。</w:t>
      </w:r>
    </w:p>
    <w:p w14:paraId="734C2946">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2</w:t>
      </w:r>
      <w:r>
        <w:rPr>
          <w:rFonts w:hint="eastAsia"/>
          <w:color w:val="auto"/>
          <w:sz w:val="24"/>
          <w:highlight w:val="none"/>
        </w:rPr>
        <w:t>）设置管理人员负责接待工作，外出时应留有联系方式或安排他人临时负责接待。</w:t>
      </w:r>
    </w:p>
    <w:p w14:paraId="6B99F821">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3</w:t>
      </w:r>
      <w:r>
        <w:rPr>
          <w:rFonts w:hint="eastAsia"/>
          <w:color w:val="auto"/>
          <w:sz w:val="24"/>
          <w:highlight w:val="none"/>
        </w:rPr>
        <w:t>）负责制定年度服务工作计划、各项应急预案，并组织实施。</w:t>
      </w:r>
    </w:p>
    <w:p w14:paraId="2DB2E711">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4</w:t>
      </w:r>
      <w:r>
        <w:rPr>
          <w:rFonts w:hint="eastAsia"/>
          <w:color w:val="auto"/>
          <w:sz w:val="24"/>
          <w:highlight w:val="none"/>
        </w:rPr>
        <w:t>）健全管理规章制度、服务质量标准，管理档案及相关移交资料。</w:t>
      </w:r>
    </w:p>
    <w:p w14:paraId="070387D3">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5</w:t>
      </w:r>
      <w:r>
        <w:rPr>
          <w:rFonts w:hint="eastAsia"/>
          <w:color w:val="auto"/>
          <w:sz w:val="24"/>
          <w:highlight w:val="none"/>
        </w:rPr>
        <w:t>）严格执行各项保密制度，防止不宜公开的资料、文件和信息的泄露。</w:t>
      </w:r>
    </w:p>
    <w:p w14:paraId="630BBAE1">
      <w:pPr>
        <w:shd w:val="clear"/>
        <w:adjustRightInd w:val="0"/>
        <w:snapToGrid w:val="0"/>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6</w:t>
      </w:r>
      <w:r>
        <w:rPr>
          <w:rFonts w:hint="eastAsia"/>
          <w:color w:val="auto"/>
          <w:sz w:val="24"/>
          <w:highlight w:val="none"/>
        </w:rPr>
        <w:t>）要求安全管理及环境管理人员有较强事业心与责任感，具备较高的业务水准、较强的组织协调与管理能力。根据服务单位要求，做好日常工作安排和管理事务，同时负责整个项目协调管理工作、与业主的沟通等。</w:t>
      </w:r>
    </w:p>
    <w:p w14:paraId="003ABC8C">
      <w:pPr>
        <w:shd w:val="clear"/>
        <w:spacing w:line="360" w:lineRule="auto"/>
        <w:ind w:firstLine="480" w:firstLineChars="200"/>
        <w:rPr>
          <w:color w:val="auto"/>
          <w:sz w:val="24"/>
          <w:highlight w:val="none"/>
        </w:rPr>
      </w:pPr>
      <w:r>
        <w:rPr>
          <w:color w:val="auto"/>
          <w:sz w:val="24"/>
          <w:highlight w:val="none"/>
        </w:rPr>
        <w:t>2</w:t>
      </w:r>
      <w:r>
        <w:rPr>
          <w:rFonts w:hint="eastAsia"/>
          <w:color w:val="auto"/>
          <w:sz w:val="24"/>
          <w:highlight w:val="none"/>
        </w:rPr>
        <w:t>、公共设施设备管理</w:t>
      </w:r>
    </w:p>
    <w:p w14:paraId="0B67FA82">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1</w:t>
      </w:r>
      <w:r>
        <w:rPr>
          <w:rFonts w:hint="eastAsia"/>
          <w:color w:val="auto"/>
          <w:sz w:val="24"/>
          <w:highlight w:val="none"/>
        </w:rPr>
        <w:t>）严格遵守有关安全法规及操作规程制度，严禁违章操作。</w:t>
      </w:r>
    </w:p>
    <w:p w14:paraId="0EE52D51">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2</w:t>
      </w:r>
      <w:r>
        <w:rPr>
          <w:rFonts w:hint="eastAsia"/>
          <w:color w:val="auto"/>
          <w:sz w:val="24"/>
          <w:highlight w:val="none"/>
        </w:rPr>
        <w:t>）做好设施设备的日常巡查，做好相关公用部位、设备机房的警示提醒等相关工作。</w:t>
      </w:r>
    </w:p>
    <w:p w14:paraId="20854F32">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3</w:t>
      </w:r>
      <w:r>
        <w:rPr>
          <w:rFonts w:hint="eastAsia"/>
          <w:color w:val="auto"/>
          <w:sz w:val="24"/>
          <w:highlight w:val="none"/>
        </w:rPr>
        <w:t>）建立相对应设备台账，做好日常保养、维修等记录和存档。</w:t>
      </w:r>
    </w:p>
    <w:p w14:paraId="279AF362">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4</w:t>
      </w:r>
      <w:r>
        <w:rPr>
          <w:rFonts w:hint="eastAsia"/>
          <w:color w:val="auto"/>
          <w:sz w:val="24"/>
          <w:highlight w:val="none"/>
        </w:rPr>
        <w:t>）特种设备设施取得安全使用证和合格的检验报告后方可运行，操作人员严格执行持证上岗制度。</w:t>
      </w:r>
    </w:p>
    <w:p w14:paraId="0C0F461F">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5</w:t>
      </w:r>
      <w:r>
        <w:rPr>
          <w:rFonts w:hint="eastAsia"/>
          <w:color w:val="auto"/>
          <w:sz w:val="24"/>
          <w:highlight w:val="none"/>
        </w:rPr>
        <w:t>）保证设备机房的环境整洁，无杂物、灰尘、鼠害等现象。</w:t>
      </w:r>
    </w:p>
    <w:p w14:paraId="759DCFA6">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6</w:t>
      </w:r>
      <w:r>
        <w:rPr>
          <w:rFonts w:hint="eastAsia"/>
          <w:color w:val="auto"/>
          <w:sz w:val="24"/>
          <w:highlight w:val="none"/>
        </w:rPr>
        <w:t>）制定各类突发事件应急预案，确保无重大管理责任事故。</w:t>
      </w:r>
    </w:p>
    <w:p w14:paraId="74D8A497">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7</w:t>
      </w:r>
      <w:r>
        <w:rPr>
          <w:rFonts w:hint="eastAsia"/>
          <w:color w:val="auto"/>
          <w:sz w:val="24"/>
          <w:highlight w:val="none"/>
        </w:rPr>
        <w:t>）每月巡视空置房，建立巡视台账，定期更新。</w:t>
      </w:r>
    </w:p>
    <w:p w14:paraId="445EB655">
      <w:pPr>
        <w:shd w:val="clear"/>
        <w:spacing w:line="360" w:lineRule="auto"/>
        <w:ind w:firstLine="480" w:firstLineChars="200"/>
        <w:rPr>
          <w:color w:val="auto"/>
          <w:sz w:val="24"/>
          <w:highlight w:val="none"/>
        </w:rPr>
      </w:pPr>
      <w:r>
        <w:rPr>
          <w:color w:val="auto"/>
          <w:sz w:val="24"/>
          <w:highlight w:val="none"/>
        </w:rPr>
        <w:t>3</w:t>
      </w:r>
      <w:r>
        <w:rPr>
          <w:rFonts w:hint="eastAsia"/>
          <w:color w:val="auto"/>
          <w:sz w:val="24"/>
          <w:highlight w:val="none"/>
        </w:rPr>
        <w:t>、清洁卫生管理</w:t>
      </w:r>
    </w:p>
    <w:p w14:paraId="441238A1">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1</w:t>
      </w:r>
      <w:r>
        <w:rPr>
          <w:rFonts w:hint="eastAsia"/>
          <w:color w:val="auto"/>
          <w:sz w:val="24"/>
          <w:highlight w:val="none"/>
        </w:rPr>
        <w:t>）要求清洁卫生管理人员品貌端正，政治思想好，身体健康，无不良记录和嗜好，工作认真负责。</w:t>
      </w:r>
    </w:p>
    <w:p w14:paraId="4A91D932">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2</w:t>
      </w:r>
      <w:r>
        <w:rPr>
          <w:rFonts w:hint="eastAsia"/>
          <w:color w:val="auto"/>
          <w:sz w:val="24"/>
          <w:highlight w:val="none"/>
        </w:rPr>
        <w:t>）负责公共区域卫生的清洁，包括公共场合入口、大厅、走廊、电梯、消防楼梯、卫生间、地下车库、道路等。</w:t>
      </w:r>
    </w:p>
    <w:p w14:paraId="17AB0C46">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3</w:t>
      </w:r>
      <w:r>
        <w:rPr>
          <w:rFonts w:hint="eastAsia"/>
          <w:color w:val="auto"/>
          <w:sz w:val="24"/>
          <w:highlight w:val="none"/>
        </w:rPr>
        <w:t>）负责日常绿化保洁，保持绿地无杂物、垃圾、果皮、纸屑。</w:t>
      </w:r>
    </w:p>
    <w:p w14:paraId="338B48CC">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4</w:t>
      </w:r>
      <w:r>
        <w:rPr>
          <w:rFonts w:hint="eastAsia"/>
          <w:color w:val="auto"/>
          <w:sz w:val="24"/>
          <w:highlight w:val="none"/>
        </w:rPr>
        <w:t>）做到垃圾日产日清，做到垃圾桶、果皮箱整洁。垃圾收集清运不包括承租户另行堆放的工业垃圾。</w:t>
      </w:r>
    </w:p>
    <w:p w14:paraId="710EC6DA">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5</w:t>
      </w:r>
      <w:r>
        <w:rPr>
          <w:rFonts w:hint="eastAsia"/>
          <w:color w:val="auto"/>
          <w:sz w:val="24"/>
          <w:highlight w:val="none"/>
        </w:rPr>
        <w:t>）保持地下车库换气通风、无杂物、垃圾、积水。</w:t>
      </w:r>
    </w:p>
    <w:p w14:paraId="48B2CFFB">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6</w:t>
      </w:r>
      <w:r>
        <w:rPr>
          <w:rFonts w:hint="eastAsia"/>
          <w:color w:val="auto"/>
          <w:sz w:val="24"/>
          <w:highlight w:val="none"/>
        </w:rPr>
        <w:t>）加强垃圾分类点位周边卫生清理，每日对垃圾桶进行清洗，做好相关维护工作。</w:t>
      </w:r>
    </w:p>
    <w:p w14:paraId="3782119F">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7</w:t>
      </w:r>
      <w:r>
        <w:rPr>
          <w:rFonts w:hint="eastAsia"/>
          <w:color w:val="auto"/>
          <w:sz w:val="24"/>
          <w:highlight w:val="none"/>
        </w:rPr>
        <w:t>）卫生间每天定时滚动保洁、消毒，做到无异味、无大片水污渍。</w:t>
      </w:r>
    </w:p>
    <w:p w14:paraId="62BD6E47">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8</w:t>
      </w:r>
      <w:r>
        <w:rPr>
          <w:rFonts w:hint="eastAsia"/>
          <w:color w:val="auto"/>
          <w:sz w:val="24"/>
          <w:highlight w:val="none"/>
        </w:rPr>
        <w:t>）各种设备房地面保持整洁，无杂物堆放，保持各设施设备无锈蚀、污垢、灰尘。</w:t>
      </w:r>
    </w:p>
    <w:p w14:paraId="05D96157">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9</w:t>
      </w:r>
      <w:r>
        <w:rPr>
          <w:rFonts w:hint="eastAsia"/>
          <w:color w:val="auto"/>
          <w:sz w:val="24"/>
          <w:highlight w:val="none"/>
        </w:rPr>
        <w:t>）加强鼠、蟑、蝇、蚊、白蚁消杀及其他虫害预防。</w:t>
      </w:r>
    </w:p>
    <w:p w14:paraId="3F102E6A">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10</w:t>
      </w:r>
      <w:r>
        <w:rPr>
          <w:rFonts w:hint="eastAsia"/>
          <w:color w:val="auto"/>
          <w:sz w:val="24"/>
          <w:highlight w:val="none"/>
        </w:rPr>
        <w:t>）统一着装、服务规范、言行文明，遵守采购单位的各项规章制度，注意保密。</w:t>
      </w:r>
    </w:p>
    <w:p w14:paraId="7F29430C">
      <w:pPr>
        <w:shd w:val="clear"/>
        <w:spacing w:line="360" w:lineRule="auto"/>
        <w:ind w:firstLine="480" w:firstLineChars="200"/>
        <w:rPr>
          <w:color w:val="auto"/>
          <w:sz w:val="24"/>
          <w:highlight w:val="none"/>
        </w:rPr>
      </w:pPr>
      <w:r>
        <w:rPr>
          <w:color w:val="auto"/>
          <w:sz w:val="24"/>
          <w:highlight w:val="none"/>
        </w:rPr>
        <w:t>4</w:t>
      </w:r>
      <w:r>
        <w:rPr>
          <w:rFonts w:hint="eastAsia"/>
          <w:color w:val="auto"/>
          <w:sz w:val="24"/>
          <w:highlight w:val="none"/>
        </w:rPr>
        <w:t>、公共绿化的养护和管理</w:t>
      </w:r>
    </w:p>
    <w:p w14:paraId="15A19232">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1</w:t>
      </w:r>
      <w:r>
        <w:rPr>
          <w:rFonts w:hint="eastAsia"/>
          <w:color w:val="auto"/>
          <w:sz w:val="24"/>
          <w:highlight w:val="none"/>
        </w:rPr>
        <w:t>）负责园区公共区域的绿化养护、不定期洒水等。</w:t>
      </w:r>
    </w:p>
    <w:p w14:paraId="04471A82">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2</w:t>
      </w:r>
      <w:r>
        <w:rPr>
          <w:rFonts w:hint="eastAsia"/>
          <w:color w:val="auto"/>
          <w:sz w:val="24"/>
          <w:highlight w:val="none"/>
        </w:rPr>
        <w:t>）对园区绿化带中的花卉、灌木、树木进行定期的修剪和养护，保证公共区域的绿化环境得到良好的呈现。</w:t>
      </w:r>
    </w:p>
    <w:p w14:paraId="7B925CA3">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3</w:t>
      </w:r>
      <w:r>
        <w:rPr>
          <w:rFonts w:hint="eastAsia"/>
          <w:color w:val="auto"/>
          <w:sz w:val="24"/>
          <w:highlight w:val="none"/>
        </w:rPr>
        <w:t>）设置爱护绿化等提示牌。</w:t>
      </w:r>
    </w:p>
    <w:p w14:paraId="28CBB22F">
      <w:pPr>
        <w:shd w:val="clear"/>
        <w:spacing w:line="360" w:lineRule="auto"/>
        <w:ind w:firstLine="480" w:firstLineChars="200"/>
        <w:rPr>
          <w:color w:val="auto"/>
          <w:sz w:val="24"/>
          <w:highlight w:val="none"/>
        </w:rPr>
      </w:pPr>
      <w:r>
        <w:rPr>
          <w:color w:val="auto"/>
          <w:sz w:val="24"/>
          <w:highlight w:val="none"/>
        </w:rPr>
        <w:t>5</w:t>
      </w:r>
      <w:r>
        <w:rPr>
          <w:rFonts w:hint="eastAsia"/>
          <w:color w:val="auto"/>
          <w:sz w:val="24"/>
          <w:highlight w:val="none"/>
        </w:rPr>
        <w:t>、停车场运营和车辆停放管理</w:t>
      </w:r>
    </w:p>
    <w:p w14:paraId="120EDFEF">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1</w:t>
      </w:r>
      <w:r>
        <w:rPr>
          <w:rFonts w:hint="eastAsia"/>
          <w:color w:val="auto"/>
          <w:sz w:val="24"/>
          <w:highlight w:val="none"/>
        </w:rPr>
        <w:t>）统一负责停车场的管理维护，提供停车场引导、环境保洁和安全防范服务。</w:t>
      </w:r>
    </w:p>
    <w:p w14:paraId="0217C55B">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2</w:t>
      </w:r>
      <w:r>
        <w:rPr>
          <w:rFonts w:hint="eastAsia"/>
          <w:color w:val="auto"/>
          <w:sz w:val="24"/>
          <w:highlight w:val="none"/>
        </w:rPr>
        <w:t>）建立与园区相匹配的停车管理制度，做好车辆出入登记并存档，为出入服务区域的车辆提供引导服务，保持车辆出入畅通、停放有序。</w:t>
      </w:r>
    </w:p>
    <w:p w14:paraId="54C92A6A">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3</w:t>
      </w:r>
      <w:r>
        <w:rPr>
          <w:rFonts w:hint="eastAsia"/>
          <w:color w:val="auto"/>
          <w:sz w:val="24"/>
          <w:highlight w:val="none"/>
        </w:rPr>
        <w:t>）在服务区域的通道、车库进出口处设置车辆行驶警示牌及标志。</w:t>
      </w:r>
    </w:p>
    <w:p w14:paraId="79EDDEA6">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4</w:t>
      </w:r>
      <w:r>
        <w:rPr>
          <w:rFonts w:hint="eastAsia"/>
          <w:color w:val="auto"/>
          <w:sz w:val="24"/>
          <w:highlight w:val="none"/>
        </w:rPr>
        <w:t>）严格管理载有有毒、有害、易爆物品的车辆进入服务区域内。</w:t>
      </w:r>
    </w:p>
    <w:p w14:paraId="431FE8A8">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5</w:t>
      </w:r>
      <w:r>
        <w:rPr>
          <w:rFonts w:hint="eastAsia"/>
          <w:color w:val="auto"/>
          <w:sz w:val="24"/>
          <w:highlight w:val="none"/>
        </w:rPr>
        <w:t>）不得擅自改变停车位使用用途。</w:t>
      </w:r>
    </w:p>
    <w:p w14:paraId="33BB0CE3">
      <w:pPr>
        <w:shd w:val="clear"/>
        <w:spacing w:line="360" w:lineRule="auto"/>
        <w:ind w:firstLine="480" w:firstLineChars="200"/>
        <w:rPr>
          <w:color w:val="auto"/>
          <w:sz w:val="24"/>
          <w:highlight w:val="none"/>
        </w:rPr>
      </w:pPr>
      <w:r>
        <w:rPr>
          <w:color w:val="auto"/>
          <w:sz w:val="24"/>
          <w:highlight w:val="none"/>
        </w:rPr>
        <w:t>6</w:t>
      </w:r>
      <w:r>
        <w:rPr>
          <w:rFonts w:hint="eastAsia"/>
          <w:color w:val="auto"/>
          <w:sz w:val="24"/>
          <w:highlight w:val="none"/>
        </w:rPr>
        <w:t>、公共秩序维护、消防、安全防范等事项的管理</w:t>
      </w:r>
    </w:p>
    <w:p w14:paraId="4BB6ECC1">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1</w:t>
      </w:r>
      <w:r>
        <w:rPr>
          <w:rFonts w:hint="eastAsia"/>
          <w:color w:val="auto"/>
          <w:sz w:val="24"/>
          <w:highlight w:val="none"/>
        </w:rPr>
        <w:t>）建立门卫、安全监控</w:t>
      </w:r>
      <w:r>
        <w:rPr>
          <w:color w:val="auto"/>
          <w:sz w:val="24"/>
          <w:highlight w:val="none"/>
        </w:rPr>
        <w:t>24</w:t>
      </w:r>
      <w:r>
        <w:rPr>
          <w:rFonts w:hint="eastAsia"/>
          <w:color w:val="auto"/>
          <w:sz w:val="24"/>
          <w:highlight w:val="none"/>
        </w:rPr>
        <w:t>小时值班制度，明确安全防范的各自责任范围，做好服务区域内的安全防范工作。</w:t>
      </w:r>
    </w:p>
    <w:p w14:paraId="28E7D7FD">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2</w:t>
      </w:r>
      <w:r>
        <w:rPr>
          <w:rFonts w:hint="eastAsia"/>
          <w:color w:val="auto"/>
          <w:sz w:val="24"/>
          <w:highlight w:val="none"/>
        </w:rPr>
        <w:t>）实行</w:t>
      </w:r>
      <w:r>
        <w:rPr>
          <w:color w:val="auto"/>
          <w:sz w:val="24"/>
          <w:highlight w:val="none"/>
        </w:rPr>
        <w:t>24</w:t>
      </w:r>
      <w:r>
        <w:rPr>
          <w:rFonts w:hint="eastAsia"/>
          <w:color w:val="auto"/>
          <w:sz w:val="24"/>
          <w:highlight w:val="none"/>
        </w:rPr>
        <w:t>小时消防及防盗监控值班，做好消防器材、设施的维护检查，并做好检查记录。重大节日配合招标人进行节日消防安全大检查，并按招标人要求及时进行整改。</w:t>
      </w:r>
    </w:p>
    <w:p w14:paraId="0768B512">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3</w:t>
      </w:r>
      <w:r>
        <w:rPr>
          <w:rFonts w:hint="eastAsia"/>
          <w:color w:val="auto"/>
          <w:sz w:val="24"/>
          <w:highlight w:val="none"/>
        </w:rPr>
        <w:t>）实行</w:t>
      </w:r>
      <w:r>
        <w:rPr>
          <w:color w:val="auto"/>
          <w:sz w:val="24"/>
          <w:highlight w:val="none"/>
        </w:rPr>
        <w:t>24</w:t>
      </w:r>
      <w:r>
        <w:rPr>
          <w:rFonts w:hint="eastAsia"/>
          <w:color w:val="auto"/>
          <w:sz w:val="24"/>
          <w:highlight w:val="none"/>
        </w:rPr>
        <w:t>小时全天候保安巡视服务，巡视服务区域内人员、车辆活动等情况，维护服务区域内秩序。</w:t>
      </w:r>
    </w:p>
    <w:p w14:paraId="471ACAB3">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4</w:t>
      </w:r>
      <w:r>
        <w:rPr>
          <w:rFonts w:hint="eastAsia"/>
          <w:color w:val="auto"/>
          <w:sz w:val="24"/>
          <w:highlight w:val="none"/>
        </w:rPr>
        <w:t>）制作服务区域紧急逃生图，明确逃生路线。消防通道不准堆放物品，消除不安全隐患，保持疏通，并确保疏通指示灯、安全出口指标灯能正常使用。</w:t>
      </w:r>
    </w:p>
    <w:p w14:paraId="02AFC419">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5</w:t>
      </w:r>
      <w:r>
        <w:rPr>
          <w:rFonts w:hint="eastAsia"/>
          <w:color w:val="auto"/>
          <w:sz w:val="24"/>
          <w:highlight w:val="none"/>
        </w:rPr>
        <w:t>）劝止在服务区域内燃放烟花爆竹和焚烧垃圾及废纸等现场用火现象，处理好违反规定存放在管区内的易燃、易爆、剧毒、放射性等物和排放有害、有毒、危险物质等。</w:t>
      </w:r>
    </w:p>
    <w:p w14:paraId="5463E183">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6</w:t>
      </w:r>
      <w:r>
        <w:rPr>
          <w:rFonts w:hint="eastAsia"/>
          <w:color w:val="auto"/>
          <w:sz w:val="24"/>
          <w:highlight w:val="none"/>
        </w:rPr>
        <w:t>）遇有突发事件，值班人员应立即按规定报告相关部门，所有保安人员必须无条件服从园区管理单位或政府有关部门的指挥和调遣。</w:t>
      </w:r>
    </w:p>
    <w:p w14:paraId="358D5945">
      <w:pPr>
        <w:shd w:val="clear"/>
        <w:spacing w:line="360" w:lineRule="auto"/>
        <w:ind w:firstLine="480" w:firstLineChars="200"/>
        <w:rPr>
          <w:color w:val="auto"/>
          <w:sz w:val="24"/>
          <w:highlight w:val="none"/>
        </w:rPr>
      </w:pPr>
      <w:r>
        <w:rPr>
          <w:color w:val="auto"/>
          <w:sz w:val="24"/>
          <w:highlight w:val="none"/>
        </w:rPr>
        <w:t>7</w:t>
      </w:r>
      <w:r>
        <w:rPr>
          <w:rFonts w:hint="eastAsia"/>
          <w:color w:val="auto"/>
          <w:sz w:val="24"/>
          <w:highlight w:val="none"/>
        </w:rPr>
        <w:t>、装修管理服务</w:t>
      </w:r>
    </w:p>
    <w:p w14:paraId="66EBBF61">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1</w:t>
      </w:r>
      <w:r>
        <w:rPr>
          <w:rFonts w:hint="eastAsia"/>
          <w:color w:val="auto"/>
          <w:sz w:val="24"/>
          <w:highlight w:val="none"/>
        </w:rPr>
        <w:t>）与承租户或使用人、装饰装修企业签订装饰装修管理服务协议，约定责任和义务，告知禁止事项和注意行为。</w:t>
      </w:r>
    </w:p>
    <w:p w14:paraId="372F206E">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2</w:t>
      </w:r>
      <w:r>
        <w:rPr>
          <w:rFonts w:hint="eastAsia"/>
          <w:color w:val="auto"/>
          <w:sz w:val="24"/>
          <w:highlight w:val="none"/>
        </w:rPr>
        <w:t>）每日巡查装修现场，发现承租户或使用人有违规装修行为的，应予以劝阻，并做好劝阻记录，必要时应当予以取证。</w:t>
      </w:r>
    </w:p>
    <w:p w14:paraId="6C98865B">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3</w:t>
      </w:r>
      <w:r>
        <w:rPr>
          <w:rFonts w:hint="eastAsia"/>
          <w:color w:val="auto"/>
          <w:sz w:val="24"/>
          <w:highlight w:val="none"/>
        </w:rPr>
        <w:t>）中标人指定地点用于临时堆放，应采取围挡、遮盖等措施。承租户自行清运装修垃圾的，应采用户内堆放和袋装运输或密闭运输的方式，避免二次污染。</w:t>
      </w:r>
    </w:p>
    <w:p w14:paraId="6B95D473">
      <w:pPr>
        <w:shd w:val="clear"/>
        <w:spacing w:line="360" w:lineRule="auto"/>
        <w:ind w:firstLine="480" w:firstLineChars="200"/>
        <w:rPr>
          <w:color w:val="auto"/>
          <w:sz w:val="24"/>
          <w:highlight w:val="none"/>
        </w:rPr>
      </w:pPr>
      <w:r>
        <w:rPr>
          <w:color w:val="auto"/>
          <w:sz w:val="24"/>
          <w:highlight w:val="none"/>
        </w:rPr>
        <w:t>8</w:t>
      </w:r>
      <w:r>
        <w:rPr>
          <w:rFonts w:hint="eastAsia"/>
          <w:color w:val="auto"/>
          <w:sz w:val="24"/>
          <w:highlight w:val="none"/>
        </w:rPr>
        <w:t>、辅助服务</w:t>
      </w:r>
    </w:p>
    <w:p w14:paraId="4E88844B">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1</w:t>
      </w:r>
      <w:r>
        <w:rPr>
          <w:rFonts w:hint="eastAsia"/>
          <w:color w:val="auto"/>
          <w:sz w:val="24"/>
          <w:highlight w:val="none"/>
        </w:rPr>
        <w:t>）做好外来访客引导服务，建立企业员工闹事应急预案，有序引导、安抚等候接访，确保闹事人员不进入管理区域。</w:t>
      </w:r>
    </w:p>
    <w:p w14:paraId="3EAEB72C">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2</w:t>
      </w:r>
      <w:r>
        <w:rPr>
          <w:rFonts w:hint="eastAsia"/>
          <w:color w:val="auto"/>
          <w:sz w:val="24"/>
          <w:highlight w:val="none"/>
        </w:rPr>
        <w:t>）对限电、限水、停电、停水、电梯故障及相应的设备故障及时通知，并告知招标人做好相应的准备。</w:t>
      </w:r>
    </w:p>
    <w:p w14:paraId="00DD9895">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3</w:t>
      </w:r>
      <w:r>
        <w:rPr>
          <w:rFonts w:hint="eastAsia"/>
          <w:color w:val="auto"/>
          <w:sz w:val="24"/>
          <w:highlight w:val="none"/>
        </w:rPr>
        <w:t>）按要求做好园区范围内防范各类传染病的各项防疫及应急工作。</w:t>
      </w:r>
    </w:p>
    <w:p w14:paraId="118C7B07">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4</w:t>
      </w:r>
      <w:r>
        <w:rPr>
          <w:rFonts w:hint="eastAsia"/>
          <w:color w:val="auto"/>
          <w:sz w:val="24"/>
          <w:highlight w:val="none"/>
        </w:rPr>
        <w:t>）负责园区范围内防范各类突发性灾害（台风、洪水、危险品泄漏）等及应急工作，制定各类应急预案，并定期组织物管人员进行应急预案演练。</w:t>
      </w:r>
    </w:p>
    <w:p w14:paraId="00F2854B">
      <w:pPr>
        <w:shd w:val="clear"/>
        <w:ind w:firstLine="482" w:firstLineChars="200"/>
        <w:rPr>
          <w:b/>
          <w:color w:val="auto"/>
          <w:sz w:val="24"/>
          <w:highlight w:val="none"/>
        </w:rPr>
      </w:pPr>
      <w:bookmarkStart w:id="62" w:name="OLE_LINK12"/>
      <w:bookmarkStart w:id="63" w:name="OLE_LINK11"/>
      <w:r>
        <w:rPr>
          <w:rFonts w:hint="eastAsia" w:ascii="宋体" w:hAnsi="宋体" w:cs="宋体"/>
          <w:b/>
          <w:bCs/>
          <w:color w:val="auto"/>
          <w:sz w:val="24"/>
          <w:szCs w:val="20"/>
          <w:highlight w:val="none"/>
        </w:rPr>
        <w:t>▲</w:t>
      </w:r>
      <w:bookmarkEnd w:id="62"/>
      <w:bookmarkEnd w:id="63"/>
      <w:r>
        <w:rPr>
          <w:rFonts w:hint="eastAsia"/>
          <w:b/>
          <w:color w:val="auto"/>
          <w:sz w:val="24"/>
          <w:highlight w:val="none"/>
        </w:rPr>
        <w:t>四、团队人员配置要求</w:t>
      </w:r>
      <w:bookmarkStart w:id="64" w:name="OLE_LINK104"/>
      <w:bookmarkStart w:id="65" w:name="OLE_LINK105"/>
    </w:p>
    <w:tbl>
      <w:tblPr>
        <w:tblStyle w:val="71"/>
        <w:tblpPr w:leftFromText="180" w:rightFromText="180" w:vertAnchor="text" w:horzAnchor="page" w:tblpX="1521" w:tblpY="945"/>
        <w:tblOverlap w:val="never"/>
        <w:tblW w:w="9315"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85"/>
        <w:gridCol w:w="1848"/>
        <w:gridCol w:w="2308"/>
        <w:gridCol w:w="4474"/>
      </w:tblGrid>
      <w:tr w14:paraId="5F8C0B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0" w:hRule="atLeast"/>
        </w:trPr>
        <w:tc>
          <w:tcPr>
            <w:tcW w:w="685" w:type="dxa"/>
            <w:tcBorders>
              <w:top w:val="single" w:color="000000" w:sz="2" w:space="0"/>
              <w:left w:val="single" w:color="000000" w:sz="2" w:space="0"/>
              <w:bottom w:val="single" w:color="000000" w:sz="2" w:space="0"/>
              <w:right w:val="single" w:color="000000" w:sz="2" w:space="0"/>
            </w:tcBorders>
            <w:vAlign w:val="center"/>
          </w:tcPr>
          <w:p w14:paraId="21B4D4D6">
            <w:pPr>
              <w:pStyle w:val="70"/>
              <w:shd w:val="clear"/>
              <w:jc w:val="center"/>
              <w:rPr>
                <w:rFonts w:eastAsiaTheme="minorEastAsia"/>
                <w:b/>
                <w:bCs/>
                <w:color w:val="auto"/>
                <w:spacing w:val="6"/>
                <w:sz w:val="24"/>
                <w:szCs w:val="24"/>
                <w:highlight w:val="none"/>
              </w:rPr>
            </w:pPr>
            <w:r>
              <w:rPr>
                <w:rFonts w:hint="eastAsia" w:eastAsiaTheme="minorEastAsia"/>
                <w:b/>
                <w:bCs/>
                <w:color w:val="auto"/>
                <w:spacing w:val="6"/>
                <w:sz w:val="24"/>
                <w:szCs w:val="24"/>
                <w:highlight w:val="none"/>
              </w:rPr>
              <w:t>序号</w:t>
            </w:r>
          </w:p>
        </w:tc>
        <w:tc>
          <w:tcPr>
            <w:tcW w:w="1848" w:type="dxa"/>
            <w:tcBorders>
              <w:top w:val="single" w:color="000000" w:sz="2" w:space="0"/>
              <w:left w:val="single" w:color="000000" w:sz="2" w:space="0"/>
              <w:bottom w:val="single" w:color="000000" w:sz="2" w:space="0"/>
              <w:right w:val="single" w:color="000000" w:sz="2" w:space="0"/>
            </w:tcBorders>
            <w:vAlign w:val="center"/>
          </w:tcPr>
          <w:p w14:paraId="3F7A010F">
            <w:pPr>
              <w:pStyle w:val="70"/>
              <w:shd w:val="clear"/>
              <w:jc w:val="center"/>
              <w:rPr>
                <w:rFonts w:eastAsiaTheme="minorEastAsia"/>
                <w:b/>
                <w:bCs/>
                <w:color w:val="auto"/>
                <w:spacing w:val="6"/>
                <w:sz w:val="24"/>
                <w:szCs w:val="24"/>
                <w:highlight w:val="none"/>
              </w:rPr>
            </w:pPr>
            <w:r>
              <w:rPr>
                <w:rFonts w:hint="eastAsia" w:eastAsiaTheme="minorEastAsia"/>
                <w:b/>
                <w:bCs/>
                <w:color w:val="auto"/>
                <w:spacing w:val="6"/>
                <w:sz w:val="24"/>
                <w:szCs w:val="24"/>
                <w:highlight w:val="none"/>
              </w:rPr>
              <w:t>人员岗位</w:t>
            </w:r>
          </w:p>
        </w:tc>
        <w:tc>
          <w:tcPr>
            <w:tcW w:w="2308" w:type="dxa"/>
            <w:tcBorders>
              <w:top w:val="single" w:color="000000" w:sz="2" w:space="0"/>
              <w:left w:val="single" w:color="000000" w:sz="2" w:space="0"/>
              <w:bottom w:val="single" w:color="000000" w:sz="2" w:space="0"/>
              <w:right w:val="single" w:color="000000" w:sz="2" w:space="0"/>
            </w:tcBorders>
            <w:vAlign w:val="center"/>
          </w:tcPr>
          <w:p w14:paraId="2E8BC5C4">
            <w:pPr>
              <w:pStyle w:val="70"/>
              <w:shd w:val="clear"/>
              <w:jc w:val="center"/>
              <w:rPr>
                <w:rFonts w:eastAsiaTheme="minorEastAsia"/>
                <w:b/>
                <w:bCs/>
                <w:color w:val="auto"/>
                <w:spacing w:val="6"/>
                <w:sz w:val="24"/>
                <w:szCs w:val="24"/>
                <w:highlight w:val="none"/>
                <w:lang w:eastAsia="zh-CN"/>
              </w:rPr>
            </w:pPr>
            <w:r>
              <w:rPr>
                <w:rFonts w:hint="eastAsia" w:eastAsiaTheme="minorEastAsia"/>
                <w:b/>
                <w:bCs/>
                <w:color w:val="auto"/>
                <w:spacing w:val="6"/>
                <w:sz w:val="24"/>
                <w:szCs w:val="24"/>
                <w:highlight w:val="none"/>
                <w:lang w:eastAsia="zh-CN"/>
              </w:rPr>
              <w:t>人数配置</w:t>
            </w:r>
          </w:p>
        </w:tc>
        <w:tc>
          <w:tcPr>
            <w:tcW w:w="4474" w:type="dxa"/>
            <w:tcBorders>
              <w:top w:val="single" w:color="000000" w:sz="2" w:space="0"/>
              <w:left w:val="single" w:color="000000" w:sz="2" w:space="0"/>
              <w:bottom w:val="single" w:color="000000" w:sz="2" w:space="0"/>
              <w:right w:val="single" w:color="000000" w:sz="2" w:space="0"/>
            </w:tcBorders>
            <w:vAlign w:val="center"/>
          </w:tcPr>
          <w:p w14:paraId="671F9667">
            <w:pPr>
              <w:pStyle w:val="70"/>
              <w:shd w:val="clear"/>
              <w:jc w:val="center"/>
              <w:rPr>
                <w:rFonts w:eastAsiaTheme="minorEastAsia"/>
                <w:b/>
                <w:bCs/>
                <w:color w:val="auto"/>
                <w:spacing w:val="6"/>
                <w:sz w:val="24"/>
                <w:szCs w:val="24"/>
                <w:highlight w:val="none"/>
              </w:rPr>
            </w:pPr>
            <w:r>
              <w:rPr>
                <w:rFonts w:hint="eastAsia" w:eastAsiaTheme="minorEastAsia"/>
                <w:b/>
                <w:bCs/>
                <w:color w:val="auto"/>
                <w:spacing w:val="6"/>
                <w:sz w:val="24"/>
                <w:szCs w:val="24"/>
                <w:highlight w:val="none"/>
              </w:rPr>
              <w:t>备注</w:t>
            </w:r>
          </w:p>
        </w:tc>
      </w:tr>
      <w:tr w14:paraId="37D725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315" w:type="dxa"/>
            <w:gridSpan w:val="4"/>
            <w:tcBorders>
              <w:top w:val="single" w:color="000000" w:sz="2" w:space="0"/>
              <w:left w:val="single" w:color="000000" w:sz="2" w:space="0"/>
              <w:bottom w:val="single" w:color="000000" w:sz="2" w:space="0"/>
              <w:right w:val="single" w:color="000000" w:sz="2" w:space="0"/>
            </w:tcBorders>
            <w:vAlign w:val="center"/>
          </w:tcPr>
          <w:p w14:paraId="22641A9F">
            <w:pPr>
              <w:pStyle w:val="70"/>
              <w:shd w:val="clear"/>
              <w:spacing w:line="228" w:lineRule="auto"/>
              <w:ind w:left="125" w:firstLine="426"/>
              <w:rPr>
                <w:rFonts w:eastAsiaTheme="minorEastAsia"/>
                <w:color w:val="auto"/>
                <w:sz w:val="24"/>
                <w:szCs w:val="24"/>
                <w:highlight w:val="none"/>
              </w:rPr>
            </w:pPr>
            <w:r>
              <w:rPr>
                <w:rFonts w:hint="eastAsia" w:eastAsiaTheme="minorEastAsia"/>
                <w:b/>
                <w:bCs/>
                <w:color w:val="auto"/>
                <w:spacing w:val="6"/>
                <w:sz w:val="24"/>
                <w:szCs w:val="24"/>
                <w:highlight w:val="none"/>
              </w:rPr>
              <w:t>（一）运营服务团队</w:t>
            </w:r>
          </w:p>
        </w:tc>
      </w:tr>
      <w:bookmarkEnd w:id="64"/>
      <w:bookmarkEnd w:id="65"/>
      <w:tr w14:paraId="2F1B48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trPr>
        <w:tc>
          <w:tcPr>
            <w:tcW w:w="685" w:type="dxa"/>
            <w:tcBorders>
              <w:top w:val="single" w:color="000000" w:sz="2" w:space="0"/>
              <w:left w:val="single" w:color="000000" w:sz="2" w:space="0"/>
              <w:bottom w:val="single" w:color="000000" w:sz="2" w:space="0"/>
              <w:right w:val="single" w:color="000000" w:sz="2" w:space="0"/>
            </w:tcBorders>
            <w:vAlign w:val="center"/>
          </w:tcPr>
          <w:p w14:paraId="0FF94B21">
            <w:pPr>
              <w:pStyle w:val="70"/>
              <w:shd w:val="clear"/>
              <w:jc w:val="center"/>
              <w:rPr>
                <w:rFonts w:eastAsiaTheme="minorEastAsia"/>
                <w:color w:val="auto"/>
                <w:spacing w:val="6"/>
                <w:sz w:val="24"/>
                <w:szCs w:val="24"/>
                <w:highlight w:val="none"/>
              </w:rPr>
            </w:pPr>
            <w:r>
              <w:rPr>
                <w:rFonts w:hint="eastAsia" w:eastAsiaTheme="minorEastAsia"/>
                <w:color w:val="auto"/>
                <w:spacing w:val="6"/>
                <w:sz w:val="24"/>
                <w:szCs w:val="24"/>
                <w:highlight w:val="none"/>
              </w:rPr>
              <w:t>1</w:t>
            </w:r>
          </w:p>
        </w:tc>
        <w:tc>
          <w:tcPr>
            <w:tcW w:w="1848" w:type="dxa"/>
            <w:tcBorders>
              <w:top w:val="single" w:color="000000" w:sz="2" w:space="0"/>
              <w:left w:val="single" w:color="000000" w:sz="2" w:space="0"/>
              <w:bottom w:val="single" w:color="000000" w:sz="2" w:space="0"/>
              <w:right w:val="single" w:color="000000" w:sz="2" w:space="0"/>
            </w:tcBorders>
            <w:vAlign w:val="center"/>
          </w:tcPr>
          <w:p w14:paraId="0F33602C">
            <w:pPr>
              <w:pStyle w:val="70"/>
              <w:shd w:val="clear"/>
              <w:jc w:val="center"/>
              <w:rPr>
                <w:rFonts w:eastAsiaTheme="minorEastAsia"/>
                <w:color w:val="auto"/>
                <w:spacing w:val="6"/>
                <w:sz w:val="24"/>
                <w:szCs w:val="24"/>
                <w:highlight w:val="none"/>
                <w:lang w:eastAsia="zh-CN"/>
              </w:rPr>
            </w:pPr>
            <w:r>
              <w:rPr>
                <w:rFonts w:hint="eastAsia" w:eastAsiaTheme="minorEastAsia"/>
                <w:color w:val="auto"/>
                <w:spacing w:val="6"/>
                <w:sz w:val="24"/>
                <w:szCs w:val="24"/>
                <w:highlight w:val="none"/>
                <w:lang w:eastAsia="zh-CN"/>
              </w:rPr>
              <w:t>项目负责人</w:t>
            </w:r>
          </w:p>
        </w:tc>
        <w:tc>
          <w:tcPr>
            <w:tcW w:w="2308" w:type="dxa"/>
            <w:tcBorders>
              <w:top w:val="single" w:color="000000" w:sz="2" w:space="0"/>
              <w:left w:val="single" w:color="000000" w:sz="2" w:space="0"/>
              <w:bottom w:val="single" w:color="000000" w:sz="2" w:space="0"/>
              <w:right w:val="single" w:color="000000" w:sz="2" w:space="0"/>
            </w:tcBorders>
            <w:vAlign w:val="center"/>
          </w:tcPr>
          <w:p w14:paraId="4E2A49D2">
            <w:pPr>
              <w:pStyle w:val="70"/>
              <w:shd w:val="clear"/>
              <w:jc w:val="center"/>
              <w:rPr>
                <w:rFonts w:eastAsiaTheme="minorEastAsia"/>
                <w:color w:val="auto"/>
                <w:spacing w:val="6"/>
                <w:sz w:val="24"/>
                <w:szCs w:val="24"/>
                <w:highlight w:val="none"/>
                <w:lang w:eastAsia="zh-CN"/>
              </w:rPr>
            </w:pPr>
            <w:r>
              <w:rPr>
                <w:rFonts w:hint="eastAsia" w:eastAsiaTheme="minorEastAsia"/>
                <w:color w:val="auto"/>
                <w:spacing w:val="6"/>
                <w:sz w:val="24"/>
                <w:szCs w:val="24"/>
                <w:highlight w:val="none"/>
                <w:lang w:eastAsia="zh-CN"/>
              </w:rPr>
              <w:t>1 名</w:t>
            </w:r>
          </w:p>
        </w:tc>
        <w:tc>
          <w:tcPr>
            <w:tcW w:w="4474" w:type="dxa"/>
            <w:tcBorders>
              <w:top w:val="single" w:color="000000" w:sz="2" w:space="0"/>
              <w:left w:val="single" w:color="000000" w:sz="2" w:space="0"/>
              <w:bottom w:val="single" w:color="000000" w:sz="2" w:space="0"/>
              <w:right w:val="single" w:color="000000" w:sz="2" w:space="0"/>
            </w:tcBorders>
            <w:vAlign w:val="center"/>
          </w:tcPr>
          <w:p w14:paraId="6A96AE70">
            <w:pPr>
              <w:pStyle w:val="70"/>
              <w:shd w:val="clear"/>
              <w:jc w:val="center"/>
              <w:rPr>
                <w:rFonts w:eastAsiaTheme="minorEastAsia"/>
                <w:color w:val="auto"/>
                <w:spacing w:val="6"/>
                <w:sz w:val="21"/>
                <w:szCs w:val="21"/>
                <w:highlight w:val="none"/>
                <w:lang w:eastAsia="zh-CN"/>
              </w:rPr>
            </w:pPr>
            <w:r>
              <w:rPr>
                <w:rFonts w:hint="eastAsia" w:eastAsiaTheme="minorEastAsia"/>
                <w:color w:val="auto"/>
                <w:spacing w:val="6"/>
                <w:sz w:val="21"/>
                <w:szCs w:val="21"/>
                <w:highlight w:val="none"/>
                <w:lang w:eastAsia="zh-CN"/>
              </w:rPr>
              <w:t>统筹园区整体运营，制定发展战略</w:t>
            </w:r>
          </w:p>
          <w:p w14:paraId="56AEC126">
            <w:pPr>
              <w:pStyle w:val="70"/>
              <w:shd w:val="clear"/>
              <w:jc w:val="center"/>
              <w:rPr>
                <w:rFonts w:eastAsiaTheme="minorEastAsia"/>
                <w:color w:val="auto"/>
                <w:spacing w:val="6"/>
                <w:sz w:val="21"/>
                <w:szCs w:val="21"/>
                <w:highlight w:val="none"/>
                <w:lang w:eastAsia="zh-CN"/>
              </w:rPr>
            </w:pPr>
            <w:r>
              <w:rPr>
                <w:rFonts w:hint="eastAsia" w:eastAsiaTheme="minorEastAsia"/>
                <w:color w:val="auto"/>
                <w:spacing w:val="6"/>
                <w:sz w:val="21"/>
                <w:szCs w:val="21"/>
                <w:highlight w:val="none"/>
                <w:lang w:eastAsia="zh-CN"/>
              </w:rPr>
              <w:t>对接政府、企业及外部资源，推动项目进展</w:t>
            </w:r>
          </w:p>
        </w:tc>
      </w:tr>
      <w:tr w14:paraId="4FEE65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trPr>
        <w:tc>
          <w:tcPr>
            <w:tcW w:w="685" w:type="dxa"/>
            <w:tcBorders>
              <w:top w:val="single" w:color="000000" w:sz="2" w:space="0"/>
              <w:left w:val="single" w:color="000000" w:sz="2" w:space="0"/>
              <w:bottom w:val="single" w:color="000000" w:sz="2" w:space="0"/>
              <w:right w:val="single" w:color="000000" w:sz="2" w:space="0"/>
            </w:tcBorders>
            <w:vAlign w:val="center"/>
          </w:tcPr>
          <w:p w14:paraId="1105119C">
            <w:pPr>
              <w:pStyle w:val="70"/>
              <w:shd w:val="clear"/>
              <w:jc w:val="center"/>
              <w:rPr>
                <w:rFonts w:eastAsiaTheme="minorEastAsia"/>
                <w:color w:val="auto"/>
                <w:spacing w:val="6"/>
                <w:sz w:val="24"/>
                <w:szCs w:val="24"/>
                <w:highlight w:val="none"/>
                <w:lang w:eastAsia="zh-CN"/>
              </w:rPr>
            </w:pPr>
            <w:r>
              <w:rPr>
                <w:rFonts w:hint="eastAsia" w:eastAsiaTheme="minorEastAsia"/>
                <w:color w:val="auto"/>
                <w:spacing w:val="6"/>
                <w:sz w:val="24"/>
                <w:szCs w:val="24"/>
                <w:highlight w:val="none"/>
                <w:lang w:eastAsia="zh-CN"/>
              </w:rPr>
              <w:t>2</w:t>
            </w:r>
          </w:p>
        </w:tc>
        <w:tc>
          <w:tcPr>
            <w:tcW w:w="1848" w:type="dxa"/>
            <w:tcBorders>
              <w:top w:val="single" w:color="000000" w:sz="2" w:space="0"/>
              <w:left w:val="single" w:color="000000" w:sz="2" w:space="0"/>
              <w:bottom w:val="single" w:color="000000" w:sz="2" w:space="0"/>
              <w:right w:val="single" w:color="000000" w:sz="2" w:space="0"/>
            </w:tcBorders>
            <w:vAlign w:val="center"/>
          </w:tcPr>
          <w:p w14:paraId="33DA26F3">
            <w:pPr>
              <w:pStyle w:val="70"/>
              <w:shd w:val="clear"/>
              <w:jc w:val="center"/>
              <w:rPr>
                <w:rFonts w:eastAsiaTheme="minorEastAsia"/>
                <w:color w:val="auto"/>
                <w:spacing w:val="6"/>
                <w:sz w:val="24"/>
                <w:szCs w:val="24"/>
                <w:highlight w:val="none"/>
                <w:lang w:eastAsia="zh-CN"/>
              </w:rPr>
            </w:pPr>
            <w:r>
              <w:rPr>
                <w:rFonts w:hint="eastAsia" w:eastAsiaTheme="minorEastAsia"/>
                <w:color w:val="auto"/>
                <w:spacing w:val="6"/>
                <w:sz w:val="24"/>
                <w:szCs w:val="24"/>
                <w:highlight w:val="none"/>
                <w:lang w:eastAsia="zh-CN"/>
              </w:rPr>
              <w:t>运营顾问</w:t>
            </w:r>
          </w:p>
        </w:tc>
        <w:tc>
          <w:tcPr>
            <w:tcW w:w="2308" w:type="dxa"/>
            <w:tcBorders>
              <w:top w:val="single" w:color="000000" w:sz="2" w:space="0"/>
              <w:left w:val="single" w:color="000000" w:sz="2" w:space="0"/>
              <w:bottom w:val="single" w:color="000000" w:sz="2" w:space="0"/>
              <w:right w:val="single" w:color="000000" w:sz="2" w:space="0"/>
            </w:tcBorders>
            <w:vAlign w:val="center"/>
          </w:tcPr>
          <w:p w14:paraId="6D6B7EC6">
            <w:pPr>
              <w:pStyle w:val="70"/>
              <w:shd w:val="clear"/>
              <w:jc w:val="center"/>
              <w:rPr>
                <w:rFonts w:eastAsiaTheme="minorEastAsia"/>
                <w:color w:val="auto"/>
                <w:spacing w:val="6"/>
                <w:sz w:val="24"/>
                <w:szCs w:val="24"/>
                <w:highlight w:val="none"/>
                <w:lang w:eastAsia="zh-CN"/>
              </w:rPr>
            </w:pPr>
            <w:r>
              <w:rPr>
                <w:rFonts w:hint="eastAsia" w:eastAsiaTheme="minorEastAsia"/>
                <w:color w:val="auto"/>
                <w:spacing w:val="6"/>
                <w:sz w:val="24"/>
                <w:szCs w:val="24"/>
                <w:highlight w:val="none"/>
                <w:lang w:eastAsia="zh-CN"/>
              </w:rPr>
              <w:t>1 名</w:t>
            </w:r>
          </w:p>
        </w:tc>
        <w:tc>
          <w:tcPr>
            <w:tcW w:w="4474" w:type="dxa"/>
            <w:tcBorders>
              <w:top w:val="single" w:color="000000" w:sz="2" w:space="0"/>
              <w:left w:val="single" w:color="000000" w:sz="2" w:space="0"/>
              <w:bottom w:val="single" w:color="000000" w:sz="2" w:space="0"/>
              <w:right w:val="single" w:color="000000" w:sz="2" w:space="0"/>
            </w:tcBorders>
            <w:vAlign w:val="center"/>
          </w:tcPr>
          <w:p w14:paraId="45AFAE76">
            <w:pPr>
              <w:pStyle w:val="70"/>
              <w:shd w:val="clear"/>
              <w:jc w:val="center"/>
              <w:rPr>
                <w:rFonts w:eastAsiaTheme="minorEastAsia"/>
                <w:color w:val="auto"/>
                <w:spacing w:val="6"/>
                <w:sz w:val="21"/>
                <w:szCs w:val="21"/>
                <w:highlight w:val="none"/>
                <w:lang w:eastAsia="zh-CN"/>
              </w:rPr>
            </w:pPr>
            <w:r>
              <w:rPr>
                <w:rFonts w:hint="eastAsia" w:eastAsiaTheme="minorEastAsia"/>
                <w:color w:val="auto"/>
                <w:spacing w:val="6"/>
                <w:sz w:val="21"/>
                <w:szCs w:val="21"/>
                <w:highlight w:val="none"/>
                <w:lang w:eastAsia="zh-CN"/>
              </w:rPr>
              <w:t>负责园区运营管理、企业服务和接待服务工作</w:t>
            </w:r>
          </w:p>
        </w:tc>
      </w:tr>
      <w:tr w14:paraId="7505EA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trPr>
        <w:tc>
          <w:tcPr>
            <w:tcW w:w="685" w:type="dxa"/>
            <w:tcBorders>
              <w:top w:val="single" w:color="000000" w:sz="2" w:space="0"/>
              <w:left w:val="single" w:color="000000" w:sz="2" w:space="0"/>
              <w:bottom w:val="single" w:color="000000" w:sz="2" w:space="0"/>
              <w:right w:val="single" w:color="000000" w:sz="2" w:space="0"/>
            </w:tcBorders>
            <w:vAlign w:val="center"/>
          </w:tcPr>
          <w:p w14:paraId="0BB08A66">
            <w:pPr>
              <w:pStyle w:val="70"/>
              <w:shd w:val="clear"/>
              <w:jc w:val="center"/>
              <w:rPr>
                <w:rFonts w:eastAsiaTheme="minorEastAsia"/>
                <w:color w:val="auto"/>
                <w:spacing w:val="6"/>
                <w:sz w:val="24"/>
                <w:szCs w:val="24"/>
                <w:highlight w:val="none"/>
                <w:lang w:eastAsia="zh-CN"/>
              </w:rPr>
            </w:pPr>
            <w:r>
              <w:rPr>
                <w:rFonts w:hint="eastAsia" w:eastAsiaTheme="minorEastAsia"/>
                <w:color w:val="auto"/>
                <w:spacing w:val="6"/>
                <w:sz w:val="24"/>
                <w:szCs w:val="24"/>
                <w:highlight w:val="none"/>
                <w:lang w:eastAsia="zh-CN"/>
              </w:rPr>
              <w:t>3</w:t>
            </w:r>
          </w:p>
        </w:tc>
        <w:tc>
          <w:tcPr>
            <w:tcW w:w="1848" w:type="dxa"/>
            <w:tcBorders>
              <w:top w:val="single" w:color="000000" w:sz="2" w:space="0"/>
              <w:left w:val="single" w:color="000000" w:sz="2" w:space="0"/>
              <w:bottom w:val="single" w:color="000000" w:sz="2" w:space="0"/>
              <w:right w:val="single" w:color="000000" w:sz="2" w:space="0"/>
            </w:tcBorders>
            <w:vAlign w:val="center"/>
          </w:tcPr>
          <w:p w14:paraId="62C041FD">
            <w:pPr>
              <w:pStyle w:val="70"/>
              <w:shd w:val="clear"/>
              <w:jc w:val="center"/>
              <w:rPr>
                <w:rFonts w:eastAsiaTheme="minorEastAsia"/>
                <w:color w:val="auto"/>
                <w:spacing w:val="6"/>
                <w:sz w:val="24"/>
                <w:szCs w:val="24"/>
                <w:highlight w:val="none"/>
                <w:lang w:eastAsia="zh-CN"/>
              </w:rPr>
            </w:pPr>
            <w:r>
              <w:rPr>
                <w:rFonts w:hint="eastAsia" w:eastAsiaTheme="minorEastAsia"/>
                <w:color w:val="auto"/>
                <w:spacing w:val="6"/>
                <w:sz w:val="24"/>
                <w:szCs w:val="24"/>
                <w:highlight w:val="none"/>
                <w:lang w:eastAsia="zh-CN"/>
              </w:rPr>
              <w:t>运营客服</w:t>
            </w:r>
          </w:p>
        </w:tc>
        <w:tc>
          <w:tcPr>
            <w:tcW w:w="2308" w:type="dxa"/>
            <w:tcBorders>
              <w:top w:val="single" w:color="000000" w:sz="2" w:space="0"/>
              <w:left w:val="single" w:color="000000" w:sz="2" w:space="0"/>
              <w:bottom w:val="single" w:color="000000" w:sz="2" w:space="0"/>
              <w:right w:val="single" w:color="000000" w:sz="2" w:space="0"/>
            </w:tcBorders>
            <w:vAlign w:val="center"/>
          </w:tcPr>
          <w:p w14:paraId="6EDF6622">
            <w:pPr>
              <w:pStyle w:val="70"/>
              <w:shd w:val="clear"/>
              <w:jc w:val="center"/>
              <w:rPr>
                <w:rFonts w:eastAsiaTheme="minorEastAsia"/>
                <w:color w:val="auto"/>
                <w:spacing w:val="6"/>
                <w:sz w:val="24"/>
                <w:szCs w:val="24"/>
                <w:highlight w:val="none"/>
                <w:lang w:eastAsia="zh-CN"/>
              </w:rPr>
            </w:pPr>
            <w:r>
              <w:rPr>
                <w:rFonts w:hint="eastAsia" w:eastAsiaTheme="minorEastAsia"/>
                <w:color w:val="auto"/>
                <w:spacing w:val="6"/>
                <w:sz w:val="24"/>
                <w:szCs w:val="24"/>
                <w:highlight w:val="none"/>
                <w:lang w:eastAsia="zh-CN"/>
              </w:rPr>
              <w:t>1 名</w:t>
            </w:r>
          </w:p>
        </w:tc>
        <w:tc>
          <w:tcPr>
            <w:tcW w:w="4474" w:type="dxa"/>
            <w:tcBorders>
              <w:top w:val="single" w:color="000000" w:sz="2" w:space="0"/>
              <w:left w:val="single" w:color="000000" w:sz="2" w:space="0"/>
              <w:bottom w:val="single" w:color="000000" w:sz="2" w:space="0"/>
              <w:right w:val="single" w:color="000000" w:sz="2" w:space="0"/>
            </w:tcBorders>
            <w:vAlign w:val="center"/>
          </w:tcPr>
          <w:p w14:paraId="58143E5A">
            <w:pPr>
              <w:pStyle w:val="70"/>
              <w:shd w:val="clear"/>
              <w:jc w:val="center"/>
              <w:rPr>
                <w:rFonts w:eastAsiaTheme="minorEastAsia"/>
                <w:color w:val="auto"/>
                <w:spacing w:val="6"/>
                <w:sz w:val="21"/>
                <w:szCs w:val="21"/>
                <w:highlight w:val="none"/>
                <w:lang w:eastAsia="zh-CN"/>
              </w:rPr>
            </w:pPr>
            <w:r>
              <w:rPr>
                <w:rFonts w:hint="eastAsia" w:eastAsiaTheme="minorEastAsia"/>
                <w:color w:val="auto"/>
                <w:spacing w:val="6"/>
                <w:sz w:val="21"/>
                <w:szCs w:val="21"/>
                <w:highlight w:val="none"/>
                <w:lang w:eastAsia="zh-CN"/>
              </w:rPr>
              <w:t>负责企业入驻对接、接待及日常服务</w:t>
            </w:r>
          </w:p>
        </w:tc>
      </w:tr>
      <w:tr w14:paraId="5A633C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trPr>
        <w:tc>
          <w:tcPr>
            <w:tcW w:w="2533" w:type="dxa"/>
            <w:gridSpan w:val="2"/>
            <w:tcBorders>
              <w:top w:val="single" w:color="000000" w:sz="2" w:space="0"/>
              <w:left w:val="single" w:color="000000" w:sz="2" w:space="0"/>
              <w:bottom w:val="single" w:color="000000" w:sz="2" w:space="0"/>
              <w:right w:val="single" w:color="000000" w:sz="2" w:space="0"/>
            </w:tcBorders>
            <w:vAlign w:val="center"/>
          </w:tcPr>
          <w:p w14:paraId="5A453209">
            <w:pPr>
              <w:pStyle w:val="70"/>
              <w:shd w:val="clear"/>
              <w:jc w:val="center"/>
              <w:rPr>
                <w:rFonts w:eastAsiaTheme="minorEastAsia"/>
                <w:color w:val="auto"/>
                <w:spacing w:val="6"/>
                <w:sz w:val="24"/>
                <w:szCs w:val="24"/>
                <w:highlight w:val="none"/>
                <w:lang w:eastAsia="zh-CN"/>
              </w:rPr>
            </w:pPr>
            <w:r>
              <w:rPr>
                <w:rFonts w:hint="eastAsia" w:eastAsiaTheme="minorEastAsia"/>
                <w:color w:val="auto"/>
                <w:spacing w:val="6"/>
                <w:sz w:val="24"/>
                <w:szCs w:val="24"/>
                <w:highlight w:val="none"/>
                <w:lang w:eastAsia="zh-CN"/>
              </w:rPr>
              <w:t>小计</w:t>
            </w:r>
          </w:p>
        </w:tc>
        <w:tc>
          <w:tcPr>
            <w:tcW w:w="2308" w:type="dxa"/>
            <w:tcBorders>
              <w:top w:val="single" w:color="000000" w:sz="2" w:space="0"/>
              <w:left w:val="single" w:color="000000" w:sz="2" w:space="0"/>
              <w:bottom w:val="single" w:color="000000" w:sz="2" w:space="0"/>
              <w:right w:val="single" w:color="000000" w:sz="2" w:space="0"/>
            </w:tcBorders>
            <w:vAlign w:val="center"/>
          </w:tcPr>
          <w:p w14:paraId="34F293EF">
            <w:pPr>
              <w:pStyle w:val="70"/>
              <w:shd w:val="clear"/>
              <w:jc w:val="center"/>
              <w:rPr>
                <w:rFonts w:eastAsiaTheme="minorEastAsia"/>
                <w:color w:val="auto"/>
                <w:spacing w:val="6"/>
                <w:sz w:val="24"/>
                <w:szCs w:val="24"/>
                <w:highlight w:val="none"/>
                <w:lang w:eastAsia="zh-CN"/>
              </w:rPr>
            </w:pPr>
            <w:r>
              <w:rPr>
                <w:rFonts w:hint="eastAsia" w:eastAsiaTheme="minorEastAsia"/>
                <w:color w:val="auto"/>
                <w:spacing w:val="6"/>
                <w:sz w:val="24"/>
                <w:szCs w:val="24"/>
                <w:highlight w:val="none"/>
                <w:lang w:eastAsia="zh-CN"/>
              </w:rPr>
              <w:t>3名</w:t>
            </w:r>
          </w:p>
        </w:tc>
        <w:tc>
          <w:tcPr>
            <w:tcW w:w="4474" w:type="dxa"/>
            <w:tcBorders>
              <w:top w:val="single" w:color="000000" w:sz="2" w:space="0"/>
              <w:left w:val="single" w:color="000000" w:sz="2" w:space="0"/>
              <w:bottom w:val="single" w:color="000000" w:sz="2" w:space="0"/>
              <w:right w:val="single" w:color="000000" w:sz="2" w:space="0"/>
            </w:tcBorders>
            <w:vAlign w:val="center"/>
          </w:tcPr>
          <w:p w14:paraId="74B8071D">
            <w:pPr>
              <w:pStyle w:val="70"/>
              <w:shd w:val="clear"/>
              <w:jc w:val="center"/>
              <w:rPr>
                <w:rFonts w:eastAsiaTheme="minorEastAsia"/>
                <w:color w:val="auto"/>
                <w:spacing w:val="6"/>
                <w:sz w:val="21"/>
                <w:szCs w:val="21"/>
                <w:highlight w:val="none"/>
                <w:lang w:eastAsia="zh-CN"/>
              </w:rPr>
            </w:pPr>
          </w:p>
        </w:tc>
      </w:tr>
      <w:tr w14:paraId="64DFBD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5" w:hRule="atLeast"/>
        </w:trPr>
        <w:tc>
          <w:tcPr>
            <w:tcW w:w="9315" w:type="dxa"/>
            <w:gridSpan w:val="4"/>
            <w:tcBorders>
              <w:top w:val="single" w:color="000000" w:sz="2" w:space="0"/>
              <w:left w:val="single" w:color="000000" w:sz="2" w:space="0"/>
              <w:bottom w:val="single" w:color="000000" w:sz="2" w:space="0"/>
              <w:right w:val="single" w:color="000000" w:sz="2" w:space="0"/>
            </w:tcBorders>
            <w:vAlign w:val="center"/>
          </w:tcPr>
          <w:p w14:paraId="5383D167">
            <w:pPr>
              <w:pStyle w:val="70"/>
              <w:shd w:val="clear"/>
              <w:spacing w:line="228" w:lineRule="auto"/>
              <w:ind w:left="125" w:firstLine="426"/>
              <w:rPr>
                <w:rFonts w:eastAsiaTheme="minorEastAsia"/>
                <w:color w:val="auto"/>
                <w:sz w:val="24"/>
                <w:szCs w:val="24"/>
                <w:highlight w:val="none"/>
                <w:lang w:eastAsia="zh-CN"/>
              </w:rPr>
            </w:pPr>
            <w:r>
              <w:rPr>
                <w:rFonts w:hint="eastAsia" w:eastAsiaTheme="minorEastAsia"/>
                <w:b/>
                <w:bCs/>
                <w:color w:val="auto"/>
                <w:spacing w:val="6"/>
                <w:sz w:val="24"/>
                <w:szCs w:val="24"/>
                <w:highlight w:val="none"/>
                <w:lang w:eastAsia="zh-CN"/>
              </w:rPr>
              <w:t>（二）安全管理及环境管理服务团队</w:t>
            </w:r>
          </w:p>
        </w:tc>
      </w:tr>
      <w:tr w14:paraId="69E5A9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trPr>
        <w:tc>
          <w:tcPr>
            <w:tcW w:w="685" w:type="dxa"/>
            <w:tcBorders>
              <w:top w:val="single" w:color="000000" w:sz="2" w:space="0"/>
              <w:left w:val="single" w:color="000000" w:sz="2" w:space="0"/>
              <w:bottom w:val="single" w:color="000000" w:sz="2" w:space="0"/>
              <w:right w:val="single" w:color="000000" w:sz="2" w:space="0"/>
            </w:tcBorders>
            <w:vAlign w:val="center"/>
          </w:tcPr>
          <w:p w14:paraId="5E43A2A0">
            <w:pPr>
              <w:pStyle w:val="70"/>
              <w:shd w:val="clear"/>
              <w:jc w:val="center"/>
              <w:rPr>
                <w:rFonts w:eastAsiaTheme="minorEastAsia"/>
                <w:color w:val="auto"/>
                <w:spacing w:val="6"/>
                <w:sz w:val="24"/>
                <w:szCs w:val="24"/>
                <w:highlight w:val="none"/>
                <w:lang w:eastAsia="zh-CN"/>
              </w:rPr>
            </w:pPr>
            <w:r>
              <w:rPr>
                <w:rFonts w:hint="eastAsia" w:eastAsiaTheme="minorEastAsia"/>
                <w:color w:val="auto"/>
                <w:spacing w:val="6"/>
                <w:sz w:val="24"/>
                <w:szCs w:val="24"/>
                <w:highlight w:val="none"/>
                <w:lang w:eastAsia="zh-CN"/>
              </w:rPr>
              <w:t>1</w:t>
            </w:r>
          </w:p>
        </w:tc>
        <w:tc>
          <w:tcPr>
            <w:tcW w:w="1848" w:type="dxa"/>
            <w:tcBorders>
              <w:top w:val="single" w:color="000000" w:sz="2" w:space="0"/>
              <w:left w:val="single" w:color="000000" w:sz="2" w:space="0"/>
              <w:bottom w:val="single" w:color="000000" w:sz="2" w:space="0"/>
              <w:right w:val="single" w:color="000000" w:sz="2" w:space="0"/>
            </w:tcBorders>
            <w:vAlign w:val="center"/>
          </w:tcPr>
          <w:p w14:paraId="4D648CE8">
            <w:pPr>
              <w:pStyle w:val="70"/>
              <w:shd w:val="clear"/>
              <w:jc w:val="center"/>
              <w:rPr>
                <w:rFonts w:eastAsiaTheme="minorEastAsia"/>
                <w:color w:val="auto"/>
                <w:spacing w:val="6"/>
                <w:sz w:val="24"/>
                <w:szCs w:val="24"/>
                <w:highlight w:val="none"/>
                <w:lang w:eastAsia="zh-CN"/>
              </w:rPr>
            </w:pPr>
            <w:r>
              <w:rPr>
                <w:rFonts w:hint="eastAsia" w:eastAsiaTheme="minorEastAsia"/>
                <w:color w:val="auto"/>
                <w:spacing w:val="6"/>
                <w:sz w:val="24"/>
                <w:szCs w:val="24"/>
                <w:highlight w:val="none"/>
                <w:lang w:eastAsia="zh-CN"/>
              </w:rPr>
              <w:t>项目经理</w:t>
            </w:r>
          </w:p>
        </w:tc>
        <w:tc>
          <w:tcPr>
            <w:tcW w:w="2308" w:type="dxa"/>
            <w:tcBorders>
              <w:top w:val="single" w:color="000000" w:sz="2" w:space="0"/>
              <w:left w:val="single" w:color="000000" w:sz="2" w:space="0"/>
              <w:bottom w:val="single" w:color="000000" w:sz="2" w:space="0"/>
              <w:right w:val="single" w:color="000000" w:sz="2" w:space="0"/>
            </w:tcBorders>
            <w:vAlign w:val="center"/>
          </w:tcPr>
          <w:p w14:paraId="14272298">
            <w:pPr>
              <w:pStyle w:val="70"/>
              <w:shd w:val="clear"/>
              <w:jc w:val="center"/>
              <w:rPr>
                <w:rFonts w:eastAsiaTheme="minorEastAsia"/>
                <w:color w:val="auto"/>
                <w:spacing w:val="6"/>
                <w:sz w:val="24"/>
                <w:szCs w:val="24"/>
                <w:highlight w:val="none"/>
                <w:lang w:eastAsia="zh-CN"/>
              </w:rPr>
            </w:pPr>
            <w:r>
              <w:rPr>
                <w:rFonts w:hint="eastAsia" w:eastAsiaTheme="minorEastAsia"/>
                <w:color w:val="auto"/>
                <w:spacing w:val="6"/>
                <w:sz w:val="24"/>
                <w:szCs w:val="24"/>
                <w:highlight w:val="none"/>
                <w:lang w:eastAsia="zh-CN"/>
              </w:rPr>
              <w:t>1 名</w:t>
            </w:r>
          </w:p>
        </w:tc>
        <w:tc>
          <w:tcPr>
            <w:tcW w:w="4474" w:type="dxa"/>
            <w:tcBorders>
              <w:top w:val="single" w:color="000000" w:sz="2" w:space="0"/>
              <w:left w:val="single" w:color="000000" w:sz="2" w:space="0"/>
              <w:bottom w:val="single" w:color="000000" w:sz="2" w:space="0"/>
              <w:right w:val="single" w:color="000000" w:sz="2" w:space="0"/>
            </w:tcBorders>
            <w:vAlign w:val="center"/>
          </w:tcPr>
          <w:p w14:paraId="50D5368A">
            <w:pPr>
              <w:pStyle w:val="70"/>
              <w:shd w:val="clear"/>
              <w:jc w:val="center"/>
              <w:rPr>
                <w:rFonts w:eastAsiaTheme="minorEastAsia"/>
                <w:color w:val="auto"/>
                <w:spacing w:val="6"/>
                <w:sz w:val="21"/>
                <w:szCs w:val="21"/>
                <w:highlight w:val="none"/>
                <w:lang w:eastAsia="zh-CN"/>
              </w:rPr>
            </w:pPr>
            <w:r>
              <w:rPr>
                <w:rFonts w:hint="eastAsia" w:eastAsiaTheme="minorEastAsia"/>
                <w:color w:val="auto"/>
                <w:spacing w:val="6"/>
                <w:sz w:val="21"/>
                <w:szCs w:val="21"/>
                <w:highlight w:val="none"/>
                <w:lang w:eastAsia="zh-CN"/>
              </w:rPr>
              <w:t>负责管理安全管理及环境管理服务团队，监督安保、保洁、绿化等工作，保障园区安全</w:t>
            </w:r>
          </w:p>
        </w:tc>
      </w:tr>
      <w:tr w14:paraId="3900D5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trPr>
        <w:tc>
          <w:tcPr>
            <w:tcW w:w="685" w:type="dxa"/>
            <w:tcBorders>
              <w:top w:val="single" w:color="000000" w:sz="2" w:space="0"/>
              <w:left w:val="single" w:color="000000" w:sz="2" w:space="0"/>
              <w:bottom w:val="single" w:color="000000" w:sz="2" w:space="0"/>
              <w:right w:val="single" w:color="000000" w:sz="2" w:space="0"/>
            </w:tcBorders>
            <w:vAlign w:val="center"/>
          </w:tcPr>
          <w:p w14:paraId="41ABD841">
            <w:pPr>
              <w:pStyle w:val="70"/>
              <w:shd w:val="clear"/>
              <w:jc w:val="center"/>
              <w:rPr>
                <w:rFonts w:eastAsiaTheme="minorEastAsia"/>
                <w:color w:val="auto"/>
                <w:spacing w:val="6"/>
                <w:sz w:val="24"/>
                <w:szCs w:val="24"/>
                <w:highlight w:val="none"/>
                <w:lang w:eastAsia="zh-CN"/>
              </w:rPr>
            </w:pPr>
            <w:r>
              <w:rPr>
                <w:rFonts w:hint="eastAsia" w:eastAsiaTheme="minorEastAsia"/>
                <w:color w:val="auto"/>
                <w:spacing w:val="6"/>
                <w:sz w:val="24"/>
                <w:szCs w:val="24"/>
                <w:highlight w:val="none"/>
                <w:lang w:eastAsia="zh-CN"/>
              </w:rPr>
              <w:t>2</w:t>
            </w:r>
          </w:p>
        </w:tc>
        <w:tc>
          <w:tcPr>
            <w:tcW w:w="1848" w:type="dxa"/>
            <w:tcBorders>
              <w:top w:val="single" w:color="000000" w:sz="2" w:space="0"/>
              <w:left w:val="single" w:color="000000" w:sz="2" w:space="0"/>
              <w:bottom w:val="single" w:color="000000" w:sz="2" w:space="0"/>
              <w:right w:val="single" w:color="000000" w:sz="2" w:space="0"/>
            </w:tcBorders>
            <w:vAlign w:val="center"/>
          </w:tcPr>
          <w:p w14:paraId="4FC4FAF9">
            <w:pPr>
              <w:pStyle w:val="70"/>
              <w:shd w:val="clear"/>
              <w:jc w:val="center"/>
              <w:rPr>
                <w:rFonts w:eastAsiaTheme="minorEastAsia"/>
                <w:color w:val="auto"/>
                <w:spacing w:val="6"/>
                <w:sz w:val="24"/>
                <w:szCs w:val="24"/>
                <w:highlight w:val="none"/>
                <w:lang w:eastAsia="zh-CN"/>
              </w:rPr>
            </w:pPr>
            <w:r>
              <w:rPr>
                <w:rFonts w:hint="eastAsia" w:eastAsiaTheme="minorEastAsia"/>
                <w:color w:val="auto"/>
                <w:spacing w:val="6"/>
                <w:sz w:val="24"/>
                <w:szCs w:val="24"/>
                <w:highlight w:val="none"/>
                <w:lang w:eastAsia="zh-CN"/>
              </w:rPr>
              <w:t>工程</w:t>
            </w:r>
          </w:p>
        </w:tc>
        <w:tc>
          <w:tcPr>
            <w:tcW w:w="2308" w:type="dxa"/>
            <w:tcBorders>
              <w:top w:val="single" w:color="000000" w:sz="2" w:space="0"/>
              <w:left w:val="single" w:color="000000" w:sz="2" w:space="0"/>
              <w:bottom w:val="single" w:color="000000" w:sz="2" w:space="0"/>
              <w:right w:val="single" w:color="000000" w:sz="2" w:space="0"/>
            </w:tcBorders>
            <w:vAlign w:val="center"/>
          </w:tcPr>
          <w:p w14:paraId="3F7143BE">
            <w:pPr>
              <w:pStyle w:val="70"/>
              <w:shd w:val="clear"/>
              <w:jc w:val="center"/>
              <w:rPr>
                <w:rFonts w:eastAsiaTheme="minorEastAsia"/>
                <w:color w:val="auto"/>
                <w:spacing w:val="6"/>
                <w:sz w:val="24"/>
                <w:szCs w:val="24"/>
                <w:highlight w:val="none"/>
                <w:lang w:eastAsia="zh-CN"/>
              </w:rPr>
            </w:pPr>
            <w:r>
              <w:rPr>
                <w:rFonts w:hint="eastAsia" w:eastAsiaTheme="minorEastAsia"/>
                <w:color w:val="auto"/>
                <w:spacing w:val="6"/>
                <w:sz w:val="24"/>
                <w:szCs w:val="24"/>
                <w:highlight w:val="none"/>
                <w:lang w:eastAsia="zh-CN"/>
              </w:rPr>
              <w:t>2 名</w:t>
            </w:r>
          </w:p>
        </w:tc>
        <w:tc>
          <w:tcPr>
            <w:tcW w:w="4474" w:type="dxa"/>
            <w:tcBorders>
              <w:top w:val="single" w:color="000000" w:sz="2" w:space="0"/>
              <w:left w:val="single" w:color="000000" w:sz="2" w:space="0"/>
              <w:bottom w:val="single" w:color="000000" w:sz="2" w:space="0"/>
              <w:right w:val="single" w:color="000000" w:sz="2" w:space="0"/>
            </w:tcBorders>
            <w:vAlign w:val="center"/>
          </w:tcPr>
          <w:p w14:paraId="1D0E16D1">
            <w:pPr>
              <w:pStyle w:val="70"/>
              <w:shd w:val="clear"/>
              <w:jc w:val="center"/>
              <w:rPr>
                <w:rFonts w:eastAsiaTheme="minorEastAsia"/>
                <w:color w:val="auto"/>
                <w:spacing w:val="6"/>
                <w:sz w:val="21"/>
                <w:szCs w:val="21"/>
                <w:highlight w:val="none"/>
                <w:lang w:eastAsia="zh-CN"/>
              </w:rPr>
            </w:pPr>
            <w:r>
              <w:rPr>
                <w:rFonts w:hint="eastAsia" w:eastAsiaTheme="minorEastAsia"/>
                <w:color w:val="auto"/>
                <w:spacing w:val="6"/>
                <w:sz w:val="21"/>
                <w:szCs w:val="21"/>
                <w:highlight w:val="none"/>
                <w:lang w:eastAsia="zh-CN"/>
              </w:rPr>
              <w:t>负责园区设施设备的运行和管理</w:t>
            </w:r>
          </w:p>
        </w:tc>
      </w:tr>
      <w:tr w14:paraId="51DFD5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trPr>
        <w:tc>
          <w:tcPr>
            <w:tcW w:w="685" w:type="dxa"/>
            <w:tcBorders>
              <w:top w:val="single" w:color="000000" w:sz="2" w:space="0"/>
              <w:left w:val="single" w:color="000000" w:sz="2" w:space="0"/>
              <w:bottom w:val="single" w:color="000000" w:sz="2" w:space="0"/>
              <w:right w:val="single" w:color="000000" w:sz="2" w:space="0"/>
            </w:tcBorders>
            <w:vAlign w:val="center"/>
          </w:tcPr>
          <w:p w14:paraId="159BEA15">
            <w:pPr>
              <w:pStyle w:val="70"/>
              <w:shd w:val="clear"/>
              <w:jc w:val="center"/>
              <w:rPr>
                <w:rFonts w:eastAsiaTheme="minorEastAsia"/>
                <w:color w:val="auto"/>
                <w:spacing w:val="6"/>
                <w:sz w:val="24"/>
                <w:szCs w:val="24"/>
                <w:highlight w:val="none"/>
                <w:lang w:eastAsia="zh-CN"/>
              </w:rPr>
            </w:pPr>
            <w:r>
              <w:rPr>
                <w:rFonts w:hint="eastAsia" w:eastAsiaTheme="minorEastAsia"/>
                <w:color w:val="auto"/>
                <w:spacing w:val="6"/>
                <w:sz w:val="24"/>
                <w:szCs w:val="24"/>
                <w:highlight w:val="none"/>
                <w:lang w:eastAsia="zh-CN"/>
              </w:rPr>
              <w:t>3</w:t>
            </w:r>
          </w:p>
        </w:tc>
        <w:tc>
          <w:tcPr>
            <w:tcW w:w="1848" w:type="dxa"/>
            <w:tcBorders>
              <w:top w:val="single" w:color="000000" w:sz="2" w:space="0"/>
              <w:left w:val="single" w:color="000000" w:sz="2" w:space="0"/>
              <w:bottom w:val="single" w:color="000000" w:sz="2" w:space="0"/>
              <w:right w:val="single" w:color="000000" w:sz="2" w:space="0"/>
            </w:tcBorders>
            <w:vAlign w:val="center"/>
          </w:tcPr>
          <w:p w14:paraId="6F06D0E0">
            <w:pPr>
              <w:pStyle w:val="70"/>
              <w:shd w:val="clear"/>
              <w:jc w:val="center"/>
              <w:rPr>
                <w:rFonts w:eastAsiaTheme="minorEastAsia"/>
                <w:color w:val="auto"/>
                <w:spacing w:val="6"/>
                <w:sz w:val="24"/>
                <w:szCs w:val="24"/>
                <w:highlight w:val="none"/>
                <w:lang w:eastAsia="zh-CN"/>
              </w:rPr>
            </w:pPr>
            <w:r>
              <w:rPr>
                <w:rFonts w:hint="eastAsia" w:eastAsiaTheme="minorEastAsia"/>
                <w:color w:val="auto"/>
                <w:spacing w:val="6"/>
                <w:sz w:val="24"/>
                <w:szCs w:val="24"/>
                <w:highlight w:val="none"/>
                <w:lang w:eastAsia="zh-CN"/>
              </w:rPr>
              <w:t>消防监控</w:t>
            </w:r>
          </w:p>
        </w:tc>
        <w:tc>
          <w:tcPr>
            <w:tcW w:w="2308" w:type="dxa"/>
            <w:tcBorders>
              <w:top w:val="single" w:color="000000" w:sz="2" w:space="0"/>
              <w:left w:val="single" w:color="000000" w:sz="2" w:space="0"/>
              <w:bottom w:val="single" w:color="000000" w:sz="2" w:space="0"/>
              <w:right w:val="single" w:color="000000" w:sz="2" w:space="0"/>
            </w:tcBorders>
            <w:vAlign w:val="center"/>
          </w:tcPr>
          <w:p w14:paraId="3B724611">
            <w:pPr>
              <w:pStyle w:val="70"/>
              <w:shd w:val="clear"/>
              <w:jc w:val="center"/>
              <w:rPr>
                <w:rFonts w:eastAsiaTheme="minorEastAsia"/>
                <w:color w:val="auto"/>
                <w:spacing w:val="6"/>
                <w:sz w:val="24"/>
                <w:szCs w:val="24"/>
                <w:highlight w:val="none"/>
                <w:lang w:eastAsia="zh-CN"/>
              </w:rPr>
            </w:pPr>
            <w:r>
              <w:rPr>
                <w:rFonts w:hint="eastAsia" w:eastAsiaTheme="minorEastAsia"/>
                <w:color w:val="auto"/>
                <w:spacing w:val="6"/>
                <w:sz w:val="24"/>
                <w:szCs w:val="24"/>
                <w:highlight w:val="none"/>
                <w:lang w:eastAsia="zh-CN"/>
              </w:rPr>
              <w:t>3 名</w:t>
            </w:r>
          </w:p>
        </w:tc>
        <w:tc>
          <w:tcPr>
            <w:tcW w:w="4474" w:type="dxa"/>
            <w:tcBorders>
              <w:top w:val="single" w:color="000000" w:sz="2" w:space="0"/>
              <w:left w:val="single" w:color="000000" w:sz="2" w:space="0"/>
              <w:bottom w:val="single" w:color="000000" w:sz="2" w:space="0"/>
              <w:right w:val="single" w:color="000000" w:sz="2" w:space="0"/>
            </w:tcBorders>
            <w:vAlign w:val="center"/>
          </w:tcPr>
          <w:p w14:paraId="6C144C10">
            <w:pPr>
              <w:pStyle w:val="70"/>
              <w:shd w:val="clear"/>
              <w:jc w:val="center"/>
              <w:rPr>
                <w:rFonts w:eastAsiaTheme="minorEastAsia"/>
                <w:color w:val="auto"/>
                <w:spacing w:val="6"/>
                <w:sz w:val="21"/>
                <w:szCs w:val="21"/>
                <w:highlight w:val="none"/>
                <w:lang w:eastAsia="zh-CN"/>
              </w:rPr>
            </w:pPr>
            <w:r>
              <w:rPr>
                <w:rFonts w:hint="eastAsia" w:eastAsiaTheme="minorEastAsia"/>
                <w:color w:val="auto"/>
                <w:spacing w:val="6"/>
                <w:sz w:val="21"/>
                <w:szCs w:val="21"/>
                <w:highlight w:val="none"/>
                <w:lang w:eastAsia="zh-CN"/>
              </w:rPr>
              <w:t>监控园区消防系统，组织园区消防演练，排查园区消防隐患</w:t>
            </w:r>
          </w:p>
        </w:tc>
      </w:tr>
      <w:tr w14:paraId="056951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trPr>
        <w:tc>
          <w:tcPr>
            <w:tcW w:w="685" w:type="dxa"/>
            <w:tcBorders>
              <w:top w:val="single" w:color="000000" w:sz="2" w:space="0"/>
              <w:left w:val="single" w:color="000000" w:sz="2" w:space="0"/>
              <w:bottom w:val="single" w:color="000000" w:sz="2" w:space="0"/>
              <w:right w:val="single" w:color="000000" w:sz="2" w:space="0"/>
            </w:tcBorders>
            <w:vAlign w:val="center"/>
          </w:tcPr>
          <w:p w14:paraId="6B617B17">
            <w:pPr>
              <w:pStyle w:val="70"/>
              <w:shd w:val="clear"/>
              <w:jc w:val="center"/>
              <w:rPr>
                <w:rFonts w:eastAsiaTheme="minorEastAsia"/>
                <w:color w:val="auto"/>
                <w:spacing w:val="6"/>
                <w:sz w:val="24"/>
                <w:szCs w:val="24"/>
                <w:highlight w:val="none"/>
                <w:lang w:eastAsia="zh-CN"/>
              </w:rPr>
            </w:pPr>
            <w:r>
              <w:rPr>
                <w:rFonts w:hint="eastAsia" w:eastAsiaTheme="minorEastAsia"/>
                <w:color w:val="auto"/>
                <w:spacing w:val="6"/>
                <w:sz w:val="24"/>
                <w:szCs w:val="24"/>
                <w:highlight w:val="none"/>
                <w:lang w:eastAsia="zh-CN"/>
              </w:rPr>
              <w:t>4</w:t>
            </w:r>
          </w:p>
        </w:tc>
        <w:tc>
          <w:tcPr>
            <w:tcW w:w="1848" w:type="dxa"/>
            <w:tcBorders>
              <w:top w:val="single" w:color="000000" w:sz="2" w:space="0"/>
              <w:left w:val="single" w:color="000000" w:sz="2" w:space="0"/>
              <w:bottom w:val="single" w:color="000000" w:sz="2" w:space="0"/>
              <w:right w:val="single" w:color="000000" w:sz="2" w:space="0"/>
            </w:tcBorders>
            <w:vAlign w:val="center"/>
          </w:tcPr>
          <w:p w14:paraId="3BB8FBD1">
            <w:pPr>
              <w:pStyle w:val="70"/>
              <w:shd w:val="clear"/>
              <w:jc w:val="center"/>
              <w:rPr>
                <w:rFonts w:eastAsiaTheme="minorEastAsia"/>
                <w:color w:val="auto"/>
                <w:spacing w:val="6"/>
                <w:sz w:val="24"/>
                <w:szCs w:val="24"/>
                <w:highlight w:val="none"/>
                <w:lang w:eastAsia="zh-CN"/>
              </w:rPr>
            </w:pPr>
            <w:r>
              <w:rPr>
                <w:rFonts w:hint="eastAsia" w:eastAsiaTheme="minorEastAsia"/>
                <w:color w:val="auto"/>
                <w:spacing w:val="6"/>
                <w:sz w:val="24"/>
                <w:szCs w:val="24"/>
                <w:highlight w:val="none"/>
                <w:lang w:eastAsia="zh-CN"/>
              </w:rPr>
              <w:t>安全服务</w:t>
            </w:r>
          </w:p>
        </w:tc>
        <w:tc>
          <w:tcPr>
            <w:tcW w:w="2308" w:type="dxa"/>
            <w:tcBorders>
              <w:top w:val="single" w:color="000000" w:sz="2" w:space="0"/>
              <w:left w:val="single" w:color="000000" w:sz="2" w:space="0"/>
              <w:bottom w:val="single" w:color="000000" w:sz="2" w:space="0"/>
              <w:right w:val="single" w:color="000000" w:sz="2" w:space="0"/>
            </w:tcBorders>
            <w:vAlign w:val="center"/>
          </w:tcPr>
          <w:p w14:paraId="2948FC1D">
            <w:pPr>
              <w:pStyle w:val="70"/>
              <w:shd w:val="clear"/>
              <w:jc w:val="center"/>
              <w:rPr>
                <w:rFonts w:eastAsiaTheme="minorEastAsia"/>
                <w:color w:val="auto"/>
                <w:spacing w:val="6"/>
                <w:sz w:val="24"/>
                <w:szCs w:val="24"/>
                <w:highlight w:val="none"/>
                <w:lang w:eastAsia="zh-CN"/>
              </w:rPr>
            </w:pPr>
            <w:r>
              <w:rPr>
                <w:rFonts w:hint="eastAsia" w:eastAsiaTheme="minorEastAsia"/>
                <w:color w:val="auto"/>
                <w:spacing w:val="6"/>
                <w:sz w:val="24"/>
                <w:szCs w:val="24"/>
                <w:highlight w:val="none"/>
                <w:lang w:eastAsia="zh-CN"/>
              </w:rPr>
              <w:t>15 名</w:t>
            </w:r>
          </w:p>
        </w:tc>
        <w:tc>
          <w:tcPr>
            <w:tcW w:w="4474" w:type="dxa"/>
            <w:tcBorders>
              <w:top w:val="single" w:color="000000" w:sz="2" w:space="0"/>
              <w:left w:val="single" w:color="000000" w:sz="2" w:space="0"/>
              <w:bottom w:val="single" w:color="000000" w:sz="2" w:space="0"/>
              <w:right w:val="single" w:color="000000" w:sz="2" w:space="0"/>
            </w:tcBorders>
            <w:vAlign w:val="center"/>
          </w:tcPr>
          <w:p w14:paraId="7A1EE268">
            <w:pPr>
              <w:pStyle w:val="70"/>
              <w:shd w:val="clear"/>
              <w:jc w:val="center"/>
              <w:rPr>
                <w:rFonts w:eastAsiaTheme="minorEastAsia"/>
                <w:color w:val="auto"/>
                <w:spacing w:val="6"/>
                <w:sz w:val="21"/>
                <w:szCs w:val="21"/>
                <w:highlight w:val="none"/>
                <w:lang w:eastAsia="zh-CN"/>
              </w:rPr>
            </w:pPr>
            <w:r>
              <w:rPr>
                <w:rFonts w:hint="eastAsia" w:eastAsiaTheme="minorEastAsia"/>
                <w:color w:val="auto"/>
                <w:spacing w:val="6"/>
                <w:sz w:val="21"/>
                <w:szCs w:val="21"/>
                <w:highlight w:val="none"/>
                <w:lang w:eastAsia="zh-CN"/>
              </w:rPr>
              <w:t>含门岗、巡逻、保卫、停车管理、换休人员</w:t>
            </w:r>
          </w:p>
        </w:tc>
      </w:tr>
      <w:tr w14:paraId="2A3918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trPr>
        <w:tc>
          <w:tcPr>
            <w:tcW w:w="685" w:type="dxa"/>
            <w:tcBorders>
              <w:top w:val="single" w:color="000000" w:sz="2" w:space="0"/>
              <w:left w:val="single" w:color="000000" w:sz="2" w:space="0"/>
              <w:bottom w:val="single" w:color="000000" w:sz="2" w:space="0"/>
              <w:right w:val="single" w:color="000000" w:sz="2" w:space="0"/>
            </w:tcBorders>
            <w:vAlign w:val="center"/>
          </w:tcPr>
          <w:p w14:paraId="4A9499DE">
            <w:pPr>
              <w:pStyle w:val="70"/>
              <w:shd w:val="clear"/>
              <w:jc w:val="center"/>
              <w:rPr>
                <w:rFonts w:eastAsiaTheme="minorEastAsia"/>
                <w:color w:val="auto"/>
                <w:spacing w:val="6"/>
                <w:sz w:val="24"/>
                <w:szCs w:val="24"/>
                <w:highlight w:val="none"/>
                <w:lang w:eastAsia="zh-CN"/>
              </w:rPr>
            </w:pPr>
            <w:r>
              <w:rPr>
                <w:rFonts w:hint="eastAsia" w:eastAsiaTheme="minorEastAsia"/>
                <w:color w:val="auto"/>
                <w:spacing w:val="6"/>
                <w:sz w:val="24"/>
                <w:szCs w:val="24"/>
                <w:highlight w:val="none"/>
                <w:lang w:eastAsia="zh-CN"/>
              </w:rPr>
              <w:t>5</w:t>
            </w:r>
          </w:p>
        </w:tc>
        <w:tc>
          <w:tcPr>
            <w:tcW w:w="1848" w:type="dxa"/>
            <w:tcBorders>
              <w:top w:val="single" w:color="000000" w:sz="2" w:space="0"/>
              <w:left w:val="single" w:color="000000" w:sz="2" w:space="0"/>
              <w:bottom w:val="single" w:color="000000" w:sz="2" w:space="0"/>
              <w:right w:val="single" w:color="000000" w:sz="2" w:space="0"/>
            </w:tcBorders>
            <w:vAlign w:val="center"/>
          </w:tcPr>
          <w:p w14:paraId="052BB998">
            <w:pPr>
              <w:pStyle w:val="70"/>
              <w:shd w:val="clear"/>
              <w:jc w:val="center"/>
              <w:rPr>
                <w:rFonts w:eastAsiaTheme="minorEastAsia"/>
                <w:color w:val="auto"/>
                <w:spacing w:val="6"/>
                <w:sz w:val="24"/>
                <w:szCs w:val="24"/>
                <w:highlight w:val="none"/>
                <w:lang w:eastAsia="zh-CN"/>
              </w:rPr>
            </w:pPr>
            <w:r>
              <w:rPr>
                <w:rFonts w:hint="eastAsia" w:eastAsiaTheme="minorEastAsia"/>
                <w:color w:val="auto"/>
                <w:spacing w:val="6"/>
                <w:sz w:val="24"/>
                <w:szCs w:val="24"/>
                <w:highlight w:val="none"/>
                <w:lang w:eastAsia="zh-CN"/>
              </w:rPr>
              <w:t>环境服务</w:t>
            </w:r>
          </w:p>
        </w:tc>
        <w:tc>
          <w:tcPr>
            <w:tcW w:w="2308" w:type="dxa"/>
            <w:tcBorders>
              <w:top w:val="single" w:color="000000" w:sz="2" w:space="0"/>
              <w:left w:val="single" w:color="000000" w:sz="2" w:space="0"/>
              <w:bottom w:val="single" w:color="000000" w:sz="2" w:space="0"/>
              <w:right w:val="single" w:color="000000" w:sz="2" w:space="0"/>
            </w:tcBorders>
            <w:vAlign w:val="center"/>
          </w:tcPr>
          <w:p w14:paraId="1F0D2E22">
            <w:pPr>
              <w:pStyle w:val="70"/>
              <w:shd w:val="clear"/>
              <w:jc w:val="center"/>
              <w:rPr>
                <w:rFonts w:eastAsiaTheme="minorEastAsia"/>
                <w:color w:val="auto"/>
                <w:spacing w:val="6"/>
                <w:sz w:val="24"/>
                <w:szCs w:val="24"/>
                <w:highlight w:val="none"/>
                <w:lang w:eastAsia="zh-CN"/>
              </w:rPr>
            </w:pPr>
            <w:r>
              <w:rPr>
                <w:rFonts w:hint="eastAsia" w:eastAsiaTheme="minorEastAsia"/>
                <w:color w:val="auto"/>
                <w:spacing w:val="6"/>
                <w:sz w:val="24"/>
                <w:szCs w:val="24"/>
                <w:highlight w:val="none"/>
                <w:lang w:eastAsia="zh-CN"/>
              </w:rPr>
              <w:t>3 名</w:t>
            </w:r>
          </w:p>
        </w:tc>
        <w:tc>
          <w:tcPr>
            <w:tcW w:w="4474" w:type="dxa"/>
            <w:tcBorders>
              <w:top w:val="single" w:color="000000" w:sz="2" w:space="0"/>
              <w:left w:val="single" w:color="000000" w:sz="2" w:space="0"/>
              <w:bottom w:val="single" w:color="000000" w:sz="2" w:space="0"/>
              <w:right w:val="single" w:color="000000" w:sz="2" w:space="0"/>
            </w:tcBorders>
            <w:vAlign w:val="center"/>
          </w:tcPr>
          <w:p w14:paraId="01D7352A">
            <w:pPr>
              <w:pStyle w:val="70"/>
              <w:shd w:val="clear"/>
              <w:jc w:val="center"/>
              <w:rPr>
                <w:rFonts w:eastAsiaTheme="minorEastAsia"/>
                <w:color w:val="auto"/>
                <w:spacing w:val="6"/>
                <w:sz w:val="21"/>
                <w:szCs w:val="21"/>
                <w:highlight w:val="none"/>
                <w:lang w:eastAsia="zh-CN"/>
              </w:rPr>
            </w:pPr>
            <w:r>
              <w:rPr>
                <w:rFonts w:hint="eastAsia" w:eastAsiaTheme="minorEastAsia"/>
                <w:color w:val="auto"/>
                <w:spacing w:val="6"/>
                <w:sz w:val="21"/>
                <w:szCs w:val="21"/>
                <w:highlight w:val="none"/>
                <w:lang w:eastAsia="zh-CN"/>
              </w:rPr>
              <w:t>负责园区内的环境卫生、绿化养护等工作</w:t>
            </w:r>
          </w:p>
          <w:p w14:paraId="2C07B29F">
            <w:pPr>
              <w:pStyle w:val="70"/>
              <w:shd w:val="clear"/>
              <w:jc w:val="center"/>
              <w:rPr>
                <w:rFonts w:eastAsiaTheme="minorEastAsia"/>
                <w:color w:val="auto"/>
                <w:spacing w:val="6"/>
                <w:sz w:val="21"/>
                <w:szCs w:val="21"/>
                <w:highlight w:val="none"/>
                <w:lang w:eastAsia="zh-CN"/>
              </w:rPr>
            </w:pPr>
          </w:p>
        </w:tc>
      </w:tr>
      <w:tr w14:paraId="52DF87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trPr>
        <w:tc>
          <w:tcPr>
            <w:tcW w:w="2533" w:type="dxa"/>
            <w:gridSpan w:val="2"/>
            <w:tcBorders>
              <w:top w:val="single" w:color="000000" w:sz="2" w:space="0"/>
              <w:left w:val="single" w:color="000000" w:sz="2" w:space="0"/>
              <w:bottom w:val="single" w:color="000000" w:sz="2" w:space="0"/>
              <w:right w:val="single" w:color="000000" w:sz="2" w:space="0"/>
            </w:tcBorders>
            <w:vAlign w:val="center"/>
          </w:tcPr>
          <w:p w14:paraId="38D6AA63">
            <w:pPr>
              <w:pStyle w:val="70"/>
              <w:shd w:val="clear"/>
              <w:jc w:val="center"/>
              <w:rPr>
                <w:rFonts w:eastAsiaTheme="minorEastAsia"/>
                <w:color w:val="auto"/>
                <w:spacing w:val="6"/>
                <w:sz w:val="24"/>
                <w:szCs w:val="24"/>
                <w:highlight w:val="none"/>
                <w:lang w:eastAsia="zh-CN"/>
              </w:rPr>
            </w:pPr>
            <w:r>
              <w:rPr>
                <w:rFonts w:hint="eastAsia" w:eastAsiaTheme="minorEastAsia"/>
                <w:color w:val="auto"/>
                <w:spacing w:val="6"/>
                <w:sz w:val="24"/>
                <w:szCs w:val="24"/>
                <w:highlight w:val="none"/>
                <w:lang w:eastAsia="zh-CN"/>
              </w:rPr>
              <w:t>小计</w:t>
            </w:r>
          </w:p>
        </w:tc>
        <w:tc>
          <w:tcPr>
            <w:tcW w:w="2308" w:type="dxa"/>
            <w:tcBorders>
              <w:top w:val="single" w:color="000000" w:sz="2" w:space="0"/>
              <w:left w:val="single" w:color="000000" w:sz="2" w:space="0"/>
              <w:bottom w:val="single" w:color="000000" w:sz="2" w:space="0"/>
              <w:right w:val="single" w:color="000000" w:sz="2" w:space="0"/>
            </w:tcBorders>
            <w:vAlign w:val="center"/>
          </w:tcPr>
          <w:p w14:paraId="233E6588">
            <w:pPr>
              <w:pStyle w:val="70"/>
              <w:shd w:val="clear"/>
              <w:jc w:val="center"/>
              <w:rPr>
                <w:rFonts w:eastAsiaTheme="minorEastAsia"/>
                <w:color w:val="auto"/>
                <w:spacing w:val="6"/>
                <w:sz w:val="24"/>
                <w:szCs w:val="24"/>
                <w:highlight w:val="none"/>
                <w:lang w:eastAsia="zh-CN"/>
              </w:rPr>
            </w:pPr>
            <w:r>
              <w:rPr>
                <w:rFonts w:hint="eastAsia" w:eastAsiaTheme="minorEastAsia"/>
                <w:color w:val="auto"/>
                <w:spacing w:val="6"/>
                <w:sz w:val="24"/>
                <w:szCs w:val="24"/>
                <w:highlight w:val="none"/>
                <w:lang w:eastAsia="zh-CN"/>
              </w:rPr>
              <w:t>24 名</w:t>
            </w:r>
          </w:p>
        </w:tc>
        <w:tc>
          <w:tcPr>
            <w:tcW w:w="4474" w:type="dxa"/>
            <w:tcBorders>
              <w:top w:val="single" w:color="000000" w:sz="2" w:space="0"/>
              <w:left w:val="single" w:color="000000" w:sz="2" w:space="0"/>
              <w:bottom w:val="single" w:color="000000" w:sz="2" w:space="0"/>
              <w:right w:val="single" w:color="000000" w:sz="2" w:space="0"/>
            </w:tcBorders>
            <w:vAlign w:val="center"/>
          </w:tcPr>
          <w:p w14:paraId="73331D49">
            <w:pPr>
              <w:pStyle w:val="70"/>
              <w:shd w:val="clear"/>
              <w:jc w:val="center"/>
              <w:rPr>
                <w:rFonts w:eastAsiaTheme="minorEastAsia"/>
                <w:color w:val="auto"/>
                <w:spacing w:val="6"/>
                <w:sz w:val="21"/>
                <w:szCs w:val="21"/>
                <w:highlight w:val="none"/>
                <w:lang w:eastAsia="zh-CN"/>
              </w:rPr>
            </w:pPr>
          </w:p>
        </w:tc>
      </w:tr>
      <w:tr w14:paraId="524B37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090" w:hRule="atLeast"/>
        </w:trPr>
        <w:tc>
          <w:tcPr>
            <w:tcW w:w="9315" w:type="dxa"/>
            <w:gridSpan w:val="4"/>
            <w:tcBorders>
              <w:top w:val="single" w:color="000000" w:sz="2" w:space="0"/>
              <w:left w:val="single" w:color="000000" w:sz="2" w:space="0"/>
              <w:bottom w:val="single" w:color="000000" w:sz="2" w:space="0"/>
              <w:right w:val="single" w:color="000000" w:sz="2" w:space="0"/>
            </w:tcBorders>
            <w:vAlign w:val="center"/>
          </w:tcPr>
          <w:p w14:paraId="64472BD6">
            <w:pPr>
              <w:shd w:val="clear"/>
              <w:spacing w:line="360" w:lineRule="auto"/>
              <w:ind w:firstLine="403"/>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1、项目运营管理服务人员包括但不限于以上职位，人数（配置）不得少于27人，投标人可根据项目的实际进行人员的合理化配置，且上述人员均需身体健康，责任心强。</w:t>
            </w:r>
          </w:p>
          <w:p w14:paraId="4C9712D1">
            <w:pPr>
              <w:shd w:val="clear"/>
              <w:spacing w:line="360" w:lineRule="auto"/>
              <w:ind w:firstLine="403"/>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2、在合同履行过程中，中标人所配备的相关人员无法胜任该项目或者采购人认为该人员的工作能力无法满足采购人要求的，采购人有权要求中标人无条件更换，若更换人员三次及以上仍然无法满足采购人要求的，采购人有权终止合同，中标人无权向采购人提出索赔，且采购人保留向中标人索赔相关损失的权利。</w:t>
            </w:r>
          </w:p>
          <w:p w14:paraId="49FE9C31">
            <w:pPr>
              <w:shd w:val="clear"/>
              <w:spacing w:line="360" w:lineRule="auto"/>
              <w:ind w:firstLine="403"/>
              <w:rPr>
                <w:rFonts w:ascii="宋体" w:hAnsi="宋体" w:cs="宋体" w:eastAsiaTheme="minorEastAsia"/>
                <w:color w:val="auto"/>
                <w:sz w:val="24"/>
                <w:highlight w:val="none"/>
              </w:rPr>
            </w:pPr>
            <w:r>
              <w:rPr>
                <w:rFonts w:hint="eastAsia" w:ascii="宋体" w:hAnsi="宋体" w:cs="宋体" w:eastAsiaTheme="minorEastAsia"/>
                <w:color w:val="auto"/>
                <w:sz w:val="24"/>
                <w:highlight w:val="none"/>
              </w:rPr>
              <w:t>3、在合同履行过程中，中标人在服务质量等各方面的履行情况被采购人提出书面整改意见三次及以上的，或对采购人提出的意见屡次不进行改正的，采购人有权终止合同，中标人无权向采购人提出索赔，且采购人保留向中标人索赔相关损失的权利。</w:t>
            </w:r>
          </w:p>
          <w:p w14:paraId="7D0CA34C">
            <w:pPr>
              <w:shd w:val="clear"/>
              <w:spacing w:line="360" w:lineRule="auto"/>
              <w:ind w:firstLine="403"/>
              <w:rPr>
                <w:rFonts w:eastAsiaTheme="minorEastAsia" w:cstheme="minorBidi"/>
                <w:color w:val="auto"/>
                <w:highlight w:val="none"/>
              </w:rPr>
            </w:pPr>
            <w:r>
              <w:rPr>
                <w:rFonts w:hint="eastAsia" w:ascii="宋体" w:hAnsi="宋体" w:cs="宋体" w:eastAsiaTheme="minorEastAsia"/>
                <w:color w:val="auto"/>
                <w:sz w:val="24"/>
                <w:highlight w:val="none"/>
              </w:rPr>
              <w:t>4、中标人的工作人员应做好自身防护工作，员工在工作期间发生的所有事故由投标人自行承担，投标人对其工作人员的安全负全部责任，与采购人无关。</w:t>
            </w:r>
          </w:p>
        </w:tc>
      </w:tr>
    </w:tbl>
    <w:p w14:paraId="3C53B44B">
      <w:pPr>
        <w:shd w:val="clear"/>
        <w:spacing w:line="360" w:lineRule="auto"/>
        <w:ind w:firstLine="482" w:firstLineChars="200"/>
        <w:rPr>
          <w:color w:val="auto"/>
          <w:sz w:val="24"/>
          <w:highlight w:val="none"/>
        </w:rPr>
      </w:pPr>
      <w:r>
        <w:rPr>
          <w:rFonts w:hint="eastAsia" w:ascii="宋体" w:hAnsi="宋体" w:cs="宋体"/>
          <w:b/>
          <w:bCs/>
          <w:color w:val="auto"/>
          <w:sz w:val="24"/>
          <w:szCs w:val="20"/>
          <w:highlight w:val="none"/>
        </w:rPr>
        <w:t>▲</w:t>
      </w:r>
      <w:r>
        <w:rPr>
          <w:rFonts w:hint="eastAsia"/>
          <w:b/>
          <w:color w:val="auto"/>
          <w:sz w:val="24"/>
          <w:highlight w:val="none"/>
        </w:rPr>
        <w:t>五、其他要求</w:t>
      </w:r>
    </w:p>
    <w:p w14:paraId="4F0EDACE">
      <w:pPr>
        <w:shd w:val="clear"/>
        <w:spacing w:line="360" w:lineRule="auto"/>
        <w:ind w:firstLine="480" w:firstLineChars="200"/>
        <w:rPr>
          <w:color w:val="auto"/>
          <w:sz w:val="24"/>
          <w:highlight w:val="none"/>
        </w:rPr>
      </w:pPr>
      <w:r>
        <w:rPr>
          <w:color w:val="auto"/>
          <w:sz w:val="24"/>
          <w:highlight w:val="none"/>
        </w:rPr>
        <w:t>1</w:t>
      </w:r>
      <w:r>
        <w:rPr>
          <w:rFonts w:hint="eastAsia"/>
          <w:color w:val="auto"/>
          <w:sz w:val="24"/>
          <w:highlight w:val="none"/>
        </w:rPr>
        <w:t>、未经招标人同意，不向任何第三方透露与本项目有关的信息资料。</w:t>
      </w:r>
    </w:p>
    <w:p w14:paraId="6BB2B104">
      <w:pPr>
        <w:shd w:val="clear"/>
        <w:spacing w:line="360" w:lineRule="auto"/>
        <w:ind w:firstLine="480" w:firstLineChars="200"/>
        <w:rPr>
          <w:color w:val="auto"/>
          <w:sz w:val="24"/>
          <w:highlight w:val="none"/>
        </w:rPr>
      </w:pPr>
      <w:r>
        <w:rPr>
          <w:color w:val="auto"/>
          <w:sz w:val="24"/>
          <w:highlight w:val="none"/>
        </w:rPr>
        <w:t>2</w:t>
      </w:r>
      <w:r>
        <w:rPr>
          <w:rFonts w:hint="eastAsia"/>
          <w:color w:val="auto"/>
          <w:sz w:val="24"/>
          <w:highlight w:val="none"/>
        </w:rPr>
        <w:t>、不得引进违法违禁、有严重噪音污染、环境污染的项目。投标人应做好承租户的经营动态管理，园区的各承租户不得有违法违禁、严重噪音污染、环境污染的项目。</w:t>
      </w:r>
    </w:p>
    <w:p w14:paraId="190076A7">
      <w:pPr>
        <w:shd w:val="clear"/>
        <w:spacing w:line="360" w:lineRule="auto"/>
        <w:ind w:firstLine="480" w:firstLineChars="200"/>
        <w:rPr>
          <w:color w:val="auto"/>
          <w:sz w:val="24"/>
          <w:highlight w:val="none"/>
        </w:rPr>
      </w:pPr>
      <w:r>
        <w:rPr>
          <w:color w:val="auto"/>
          <w:sz w:val="24"/>
          <w:highlight w:val="none"/>
        </w:rPr>
        <w:t>3</w:t>
      </w:r>
      <w:r>
        <w:rPr>
          <w:rFonts w:hint="eastAsia"/>
          <w:color w:val="auto"/>
          <w:sz w:val="24"/>
          <w:highlight w:val="none"/>
        </w:rPr>
        <w:t>、承担双方确认的运营管理活动中投标人应当承担的各项费用、税款（专票）等。</w:t>
      </w:r>
    </w:p>
    <w:p w14:paraId="11FFD5DE">
      <w:pPr>
        <w:shd w:val="clear"/>
        <w:spacing w:line="360" w:lineRule="auto"/>
        <w:ind w:firstLine="480" w:firstLineChars="200"/>
        <w:rPr>
          <w:color w:val="auto"/>
          <w:sz w:val="24"/>
          <w:highlight w:val="none"/>
        </w:rPr>
      </w:pPr>
      <w:r>
        <w:rPr>
          <w:color w:val="auto"/>
          <w:sz w:val="24"/>
          <w:highlight w:val="none"/>
        </w:rPr>
        <w:t>4</w:t>
      </w:r>
      <w:r>
        <w:rPr>
          <w:rFonts w:hint="eastAsia"/>
          <w:color w:val="auto"/>
          <w:sz w:val="24"/>
          <w:highlight w:val="none"/>
        </w:rPr>
        <w:t>、接受招标人的监督管理，招标人有权随时对投标人的工作进行调查，如发现承租户有不正当经营行为，或者提供虚假经营报告、财务报表等的，招标人有权要求投标人在一定限期内进行改善。</w:t>
      </w:r>
    </w:p>
    <w:p w14:paraId="1981ACDA">
      <w:pPr>
        <w:shd w:val="clear"/>
        <w:spacing w:line="360" w:lineRule="auto"/>
        <w:ind w:firstLine="480" w:firstLineChars="200"/>
        <w:rPr>
          <w:color w:val="auto"/>
          <w:sz w:val="24"/>
          <w:highlight w:val="none"/>
        </w:rPr>
      </w:pPr>
      <w:r>
        <w:rPr>
          <w:color w:val="auto"/>
          <w:sz w:val="24"/>
          <w:highlight w:val="none"/>
        </w:rPr>
        <w:t>5</w:t>
      </w:r>
      <w:r>
        <w:rPr>
          <w:rFonts w:hint="eastAsia"/>
          <w:color w:val="auto"/>
          <w:sz w:val="24"/>
          <w:highlight w:val="none"/>
        </w:rPr>
        <w:t>、未经招标人许可不得随意给客户额外承诺，竭力维护招标人的良好形象和信誉。</w:t>
      </w:r>
    </w:p>
    <w:p w14:paraId="655798A1">
      <w:pPr>
        <w:shd w:val="clear"/>
        <w:spacing w:line="360" w:lineRule="auto"/>
        <w:ind w:firstLine="480" w:firstLineChars="200"/>
        <w:rPr>
          <w:color w:val="auto"/>
          <w:sz w:val="24"/>
          <w:highlight w:val="none"/>
        </w:rPr>
      </w:pPr>
      <w:r>
        <w:rPr>
          <w:color w:val="auto"/>
          <w:sz w:val="24"/>
          <w:highlight w:val="none"/>
        </w:rPr>
        <w:t>6</w:t>
      </w:r>
      <w:r>
        <w:rPr>
          <w:rFonts w:hint="eastAsia"/>
          <w:color w:val="auto"/>
          <w:sz w:val="24"/>
          <w:highlight w:val="none"/>
        </w:rPr>
        <w:t>、不得侵害招标人、使用人及他人的合法权益。</w:t>
      </w:r>
    </w:p>
    <w:p w14:paraId="18C79A91">
      <w:pPr>
        <w:shd w:val="clear"/>
        <w:spacing w:line="360" w:lineRule="auto"/>
        <w:ind w:firstLine="480" w:firstLineChars="200"/>
        <w:rPr>
          <w:color w:val="auto"/>
          <w:sz w:val="24"/>
          <w:highlight w:val="none"/>
        </w:rPr>
      </w:pPr>
      <w:r>
        <w:rPr>
          <w:color w:val="auto"/>
          <w:sz w:val="24"/>
          <w:highlight w:val="none"/>
        </w:rPr>
        <w:t>7</w:t>
      </w:r>
      <w:r>
        <w:rPr>
          <w:rFonts w:hint="eastAsia"/>
          <w:color w:val="auto"/>
          <w:sz w:val="24"/>
          <w:highlight w:val="none"/>
        </w:rPr>
        <w:t>、由招标人原因引起的企业要求赔偿、退租等情况，投标人应尽力协助招标人处理相关事宜。</w:t>
      </w:r>
    </w:p>
    <w:p w14:paraId="239FA9B7">
      <w:pPr>
        <w:shd w:val="clear"/>
        <w:spacing w:line="360" w:lineRule="auto"/>
        <w:ind w:firstLine="480" w:firstLineChars="200"/>
        <w:rPr>
          <w:color w:val="auto"/>
          <w:sz w:val="24"/>
          <w:highlight w:val="none"/>
        </w:rPr>
      </w:pPr>
      <w:r>
        <w:rPr>
          <w:color w:val="auto"/>
          <w:sz w:val="24"/>
          <w:highlight w:val="none"/>
        </w:rPr>
        <w:t>8</w:t>
      </w:r>
      <w:r>
        <w:rPr>
          <w:rFonts w:hint="eastAsia"/>
          <w:color w:val="auto"/>
          <w:sz w:val="24"/>
          <w:highlight w:val="none"/>
        </w:rPr>
        <w:t>、如招标人有举办大型活动的需求，由中标人提交策划方案，由招标人负责实施，相关成本由招标人自行承担。</w:t>
      </w:r>
    </w:p>
    <w:p w14:paraId="3E4BF71B">
      <w:pPr>
        <w:shd w:val="clear"/>
        <w:spacing w:line="360" w:lineRule="auto"/>
        <w:ind w:firstLine="480" w:firstLineChars="200"/>
        <w:rPr>
          <w:color w:val="auto"/>
          <w:highlight w:val="none"/>
        </w:rPr>
      </w:pPr>
      <w:r>
        <w:rPr>
          <w:color w:val="auto"/>
          <w:sz w:val="24"/>
          <w:highlight w:val="none"/>
        </w:rPr>
        <w:t>9</w:t>
      </w:r>
      <w:r>
        <w:rPr>
          <w:rFonts w:hint="eastAsia"/>
          <w:color w:val="auto"/>
          <w:sz w:val="24"/>
          <w:highlight w:val="none"/>
        </w:rPr>
        <w:t>、项目物业公共设施设备（如高低压配电系统、电梯设备、消防系统、智能化系统、安防监控系统、水泵设备等）的维修维护费用由招标人自行承担，不包含在运营管理服务费内。</w:t>
      </w:r>
    </w:p>
    <w:p w14:paraId="6C56B491">
      <w:pPr>
        <w:shd w:val="clear"/>
        <w:spacing w:line="360" w:lineRule="auto"/>
        <w:ind w:firstLine="480" w:firstLineChars="200"/>
        <w:rPr>
          <w:color w:val="auto"/>
          <w:sz w:val="24"/>
          <w:highlight w:val="none"/>
        </w:rPr>
      </w:pPr>
      <w:r>
        <w:rPr>
          <w:color w:val="auto"/>
          <w:sz w:val="24"/>
          <w:highlight w:val="none"/>
        </w:rPr>
        <w:t>10</w:t>
      </w:r>
      <w:r>
        <w:rPr>
          <w:rFonts w:hint="eastAsia"/>
          <w:color w:val="auto"/>
          <w:sz w:val="24"/>
          <w:highlight w:val="none"/>
        </w:rPr>
        <w:t>、双方另行约定的应由投标人履行与运营管理有关的其他事项。</w:t>
      </w:r>
    </w:p>
    <w:p w14:paraId="07030A28">
      <w:pPr>
        <w:widowControl/>
        <w:shd w:val="clear"/>
        <w:spacing w:line="360" w:lineRule="auto"/>
        <w:jc w:val="left"/>
        <w:rPr>
          <w:color w:val="auto"/>
          <w:sz w:val="24"/>
          <w:highlight w:val="none"/>
        </w:rPr>
        <w:sectPr>
          <w:footerReference r:id="rId3" w:type="default"/>
          <w:pgSz w:w="11906" w:h="16838"/>
          <w:pgMar w:top="1276" w:right="1274" w:bottom="1247" w:left="1418" w:header="851" w:footer="992" w:gutter="0"/>
          <w:cols w:space="720" w:num="1"/>
        </w:sectPr>
      </w:pPr>
    </w:p>
    <w:p w14:paraId="20FF8B6B">
      <w:pPr>
        <w:shd w:val="clear"/>
        <w:adjustRightInd w:val="0"/>
        <w:snapToGrid w:val="0"/>
        <w:spacing w:line="360" w:lineRule="auto"/>
        <w:rPr>
          <w:rFonts w:hint="eastAsia" w:ascii="宋体" w:hAnsi="宋体" w:cs="宋体"/>
          <w:b/>
          <w:color w:val="auto"/>
          <w:sz w:val="24"/>
          <w:highlight w:val="none"/>
        </w:rPr>
      </w:pPr>
      <w:bookmarkStart w:id="66" w:name="OLE_LINK27"/>
      <w:bookmarkStart w:id="67" w:name="OLE_LINK26"/>
      <w:r>
        <w:rPr>
          <w:rFonts w:hint="eastAsia" w:ascii="宋体" w:hAnsi="宋体" w:cs="宋体"/>
          <w:b/>
          <w:bCs/>
          <w:color w:val="auto"/>
          <w:sz w:val="24"/>
          <w:szCs w:val="20"/>
          <w:highlight w:val="none"/>
        </w:rPr>
        <w:t>▲</w:t>
      </w:r>
      <w:bookmarkEnd w:id="66"/>
      <w:bookmarkEnd w:id="67"/>
      <w:r>
        <w:rPr>
          <w:rFonts w:hint="eastAsia" w:ascii="宋体" w:hAnsi="宋体" w:cs="宋体"/>
          <w:b/>
          <w:color w:val="auto"/>
          <w:sz w:val="24"/>
          <w:highlight w:val="none"/>
        </w:rPr>
        <w:t>六、考核办法</w:t>
      </w:r>
    </w:p>
    <w:p w14:paraId="768F89D2">
      <w:pPr>
        <w:shd w:val="clear"/>
        <w:adjustRightInd w:val="0"/>
        <w:snapToGrid w:val="0"/>
        <w:spacing w:line="360" w:lineRule="auto"/>
        <w:rPr>
          <w:rFonts w:ascii="宋体" w:hAnsi="宋体" w:cs="宋体"/>
          <w:color w:val="auto"/>
          <w:sz w:val="24"/>
          <w:highlight w:val="none"/>
        </w:rPr>
      </w:pPr>
      <w:r>
        <w:rPr>
          <w:rFonts w:hint="eastAsia" w:ascii="宋体" w:hAnsi="宋体" w:cs="宋体"/>
          <w:color w:val="auto"/>
          <w:sz w:val="24"/>
          <w:highlight w:val="none"/>
        </w:rPr>
        <w:t>考核说明：中标人必须按招标文件要求提供优质的服务，并接受采购人的考核和奖惩。</w:t>
      </w:r>
    </w:p>
    <w:p w14:paraId="73AF66F1">
      <w:pPr>
        <w:pStyle w:val="2"/>
        <w:shd w:val="clear"/>
        <w:spacing w:before="0" w:after="0" w:line="240" w:lineRule="auto"/>
        <w:jc w:val="left"/>
        <w:rPr>
          <w:rFonts w:ascii="宋体" w:hAnsi="宋体" w:cs="宋体"/>
          <w:snapToGrid w:val="0"/>
          <w:color w:val="auto"/>
          <w:sz w:val="24"/>
          <w:szCs w:val="20"/>
          <w:highlight w:val="none"/>
        </w:rPr>
      </w:pPr>
      <w:r>
        <w:rPr>
          <w:rFonts w:hint="eastAsia" w:ascii="宋体" w:hAnsi="宋体" w:cs="宋体"/>
          <w:snapToGrid w:val="0"/>
          <w:color w:val="auto"/>
          <w:sz w:val="24"/>
          <w:szCs w:val="20"/>
          <w:highlight w:val="none"/>
        </w:rPr>
        <w:t>附件一：运营管理季度考核办法</w:t>
      </w:r>
    </w:p>
    <w:tbl>
      <w:tblPr>
        <w:tblStyle w:val="22"/>
        <w:tblpPr w:leftFromText="180" w:rightFromText="180" w:vertAnchor="text" w:horzAnchor="page" w:tblpXSpec="center" w:tblpY="277"/>
        <w:tblOverlap w:val="never"/>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13" w:type="dxa"/>
          <w:left w:w="108" w:type="dxa"/>
          <w:bottom w:w="113" w:type="dxa"/>
          <w:right w:w="108" w:type="dxa"/>
        </w:tblCellMar>
      </w:tblPr>
      <w:tblGrid>
        <w:gridCol w:w="589"/>
        <w:gridCol w:w="1357"/>
        <w:gridCol w:w="1564"/>
        <w:gridCol w:w="5246"/>
        <w:gridCol w:w="849"/>
        <w:gridCol w:w="4112"/>
        <w:gridCol w:w="814"/>
      </w:tblGrid>
      <w:tr w14:paraId="1477E2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313" w:hRule="atLeast"/>
        </w:trPr>
        <w:tc>
          <w:tcPr>
            <w:tcW w:w="203" w:type="pct"/>
            <w:tcBorders>
              <w:top w:val="single" w:color="auto" w:sz="4" w:space="0"/>
              <w:left w:val="single" w:color="auto" w:sz="4" w:space="0"/>
              <w:bottom w:val="single" w:color="auto" w:sz="4" w:space="0"/>
              <w:right w:val="single" w:color="auto" w:sz="4" w:space="0"/>
            </w:tcBorders>
            <w:vAlign w:val="center"/>
          </w:tcPr>
          <w:p w14:paraId="2A8FD12F">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序号</w:t>
            </w:r>
          </w:p>
        </w:tc>
        <w:tc>
          <w:tcPr>
            <w:tcW w:w="1005" w:type="pct"/>
            <w:gridSpan w:val="2"/>
            <w:tcBorders>
              <w:top w:val="single" w:color="auto" w:sz="4" w:space="0"/>
              <w:left w:val="single" w:color="auto" w:sz="4" w:space="0"/>
              <w:bottom w:val="single" w:color="auto" w:sz="4" w:space="0"/>
              <w:right w:val="single" w:color="auto" w:sz="4" w:space="0"/>
            </w:tcBorders>
            <w:vAlign w:val="center"/>
          </w:tcPr>
          <w:p w14:paraId="39839801">
            <w:pPr>
              <w:pStyle w:val="70"/>
              <w:shd w:val="clear"/>
              <w:jc w:val="center"/>
              <w:rPr>
                <w:color w:val="auto"/>
                <w:spacing w:val="6"/>
                <w:sz w:val="21"/>
                <w:szCs w:val="21"/>
                <w:highlight w:val="none"/>
                <w:lang w:eastAsia="zh-CN"/>
              </w:rPr>
            </w:pPr>
          </w:p>
        </w:tc>
        <w:tc>
          <w:tcPr>
            <w:tcW w:w="1805" w:type="pct"/>
            <w:tcBorders>
              <w:top w:val="single" w:color="auto" w:sz="4" w:space="0"/>
              <w:left w:val="single" w:color="auto" w:sz="4" w:space="0"/>
              <w:bottom w:val="single" w:color="auto" w:sz="4" w:space="0"/>
              <w:right w:val="single" w:color="auto" w:sz="4" w:space="0"/>
            </w:tcBorders>
            <w:vAlign w:val="center"/>
          </w:tcPr>
          <w:p w14:paraId="301BB470">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评分标准</w:t>
            </w:r>
          </w:p>
        </w:tc>
        <w:tc>
          <w:tcPr>
            <w:tcW w:w="292" w:type="pct"/>
            <w:tcBorders>
              <w:top w:val="single" w:color="auto" w:sz="4" w:space="0"/>
              <w:left w:val="single" w:color="auto" w:sz="4" w:space="0"/>
              <w:bottom w:val="single" w:color="auto" w:sz="4" w:space="0"/>
              <w:right w:val="single" w:color="auto" w:sz="4" w:space="0"/>
            </w:tcBorders>
            <w:vAlign w:val="center"/>
          </w:tcPr>
          <w:p w14:paraId="4BBC7303">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分值</w:t>
            </w:r>
          </w:p>
        </w:tc>
        <w:tc>
          <w:tcPr>
            <w:tcW w:w="1415" w:type="pct"/>
            <w:tcBorders>
              <w:top w:val="single" w:color="auto" w:sz="4" w:space="0"/>
              <w:left w:val="single" w:color="auto" w:sz="4" w:space="0"/>
              <w:bottom w:val="single" w:color="auto" w:sz="4" w:space="0"/>
              <w:right w:val="single" w:color="auto" w:sz="4" w:space="0"/>
            </w:tcBorders>
            <w:vAlign w:val="center"/>
          </w:tcPr>
          <w:p w14:paraId="60D597D2">
            <w:pPr>
              <w:widowControl/>
              <w:shd w:val="clear"/>
              <w:jc w:val="center"/>
              <w:rPr>
                <w:rFonts w:ascii="宋体" w:hAnsi="宋体" w:cs="宋体"/>
                <w:color w:val="auto"/>
                <w:spacing w:val="6"/>
                <w:szCs w:val="21"/>
                <w:highlight w:val="none"/>
              </w:rPr>
            </w:pPr>
            <w:r>
              <w:rPr>
                <w:rFonts w:hint="eastAsia" w:ascii="宋体" w:hAnsi="宋体" w:cs="宋体"/>
                <w:color w:val="auto"/>
                <w:spacing w:val="6"/>
                <w:szCs w:val="21"/>
                <w:highlight w:val="none"/>
              </w:rPr>
              <w:t>评分验收办法及评分</w:t>
            </w:r>
          </w:p>
        </w:tc>
        <w:tc>
          <w:tcPr>
            <w:tcW w:w="280" w:type="pct"/>
            <w:tcBorders>
              <w:top w:val="single" w:color="auto" w:sz="4" w:space="0"/>
              <w:left w:val="single" w:color="auto" w:sz="4" w:space="0"/>
              <w:bottom w:val="single" w:color="auto" w:sz="4" w:space="0"/>
              <w:right w:val="single" w:color="auto" w:sz="4" w:space="0"/>
            </w:tcBorders>
            <w:vAlign w:val="center"/>
          </w:tcPr>
          <w:p w14:paraId="3CC04AD0">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得分</w:t>
            </w:r>
          </w:p>
        </w:tc>
      </w:tr>
      <w:tr w14:paraId="6F081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203" w:type="pct"/>
            <w:tcBorders>
              <w:top w:val="single" w:color="auto" w:sz="4" w:space="0"/>
              <w:left w:val="single" w:color="auto" w:sz="4" w:space="0"/>
              <w:bottom w:val="single" w:color="auto" w:sz="4" w:space="0"/>
              <w:right w:val="single" w:color="auto" w:sz="4" w:space="0"/>
            </w:tcBorders>
            <w:vAlign w:val="center"/>
          </w:tcPr>
          <w:p w14:paraId="29CD764C">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w:t>
            </w:r>
          </w:p>
        </w:tc>
        <w:tc>
          <w:tcPr>
            <w:tcW w:w="1005" w:type="pct"/>
            <w:gridSpan w:val="2"/>
            <w:tcBorders>
              <w:top w:val="single" w:color="auto" w:sz="4" w:space="0"/>
              <w:left w:val="single" w:color="auto" w:sz="4" w:space="0"/>
              <w:bottom w:val="single" w:color="auto" w:sz="4" w:space="0"/>
              <w:right w:val="single" w:color="auto" w:sz="4" w:space="0"/>
            </w:tcBorders>
            <w:vAlign w:val="center"/>
          </w:tcPr>
          <w:p w14:paraId="72865A73">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企业推介对接</w:t>
            </w:r>
          </w:p>
        </w:tc>
        <w:tc>
          <w:tcPr>
            <w:tcW w:w="1805" w:type="pct"/>
            <w:tcBorders>
              <w:top w:val="single" w:color="auto" w:sz="4" w:space="0"/>
              <w:left w:val="single" w:color="auto" w:sz="4" w:space="0"/>
              <w:bottom w:val="single" w:color="auto" w:sz="4" w:space="0"/>
              <w:right w:val="single" w:color="auto" w:sz="4" w:space="0"/>
            </w:tcBorders>
            <w:vAlign w:val="center"/>
          </w:tcPr>
          <w:p w14:paraId="01C1D34E">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企业推介对接</w:t>
            </w:r>
          </w:p>
        </w:tc>
        <w:tc>
          <w:tcPr>
            <w:tcW w:w="292" w:type="pct"/>
            <w:tcBorders>
              <w:top w:val="single" w:color="auto" w:sz="4" w:space="0"/>
              <w:left w:val="single" w:color="auto" w:sz="4" w:space="0"/>
              <w:bottom w:val="single" w:color="auto" w:sz="4" w:space="0"/>
              <w:right w:val="single" w:color="auto" w:sz="4" w:space="0"/>
            </w:tcBorders>
            <w:vAlign w:val="center"/>
          </w:tcPr>
          <w:p w14:paraId="520E931A">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30</w:t>
            </w:r>
          </w:p>
        </w:tc>
        <w:tc>
          <w:tcPr>
            <w:tcW w:w="1415" w:type="pct"/>
            <w:tcBorders>
              <w:top w:val="single" w:color="auto" w:sz="4" w:space="0"/>
              <w:left w:val="single" w:color="auto" w:sz="4" w:space="0"/>
              <w:bottom w:val="single" w:color="auto" w:sz="4" w:space="0"/>
              <w:right w:val="single" w:color="auto" w:sz="4" w:space="0"/>
            </w:tcBorders>
            <w:vAlign w:val="center"/>
          </w:tcPr>
          <w:p w14:paraId="1C3FD055">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每季度3场，每少1场扣10分</w:t>
            </w:r>
          </w:p>
        </w:tc>
        <w:tc>
          <w:tcPr>
            <w:tcW w:w="280" w:type="pct"/>
            <w:tcBorders>
              <w:top w:val="single" w:color="auto" w:sz="4" w:space="0"/>
              <w:left w:val="single" w:color="auto" w:sz="4" w:space="0"/>
              <w:bottom w:val="single" w:color="auto" w:sz="4" w:space="0"/>
              <w:right w:val="single" w:color="auto" w:sz="4" w:space="0"/>
            </w:tcBorders>
            <w:vAlign w:val="center"/>
          </w:tcPr>
          <w:p w14:paraId="3C609261">
            <w:pPr>
              <w:pStyle w:val="70"/>
              <w:shd w:val="clear"/>
              <w:jc w:val="center"/>
              <w:rPr>
                <w:color w:val="auto"/>
                <w:spacing w:val="6"/>
                <w:sz w:val="21"/>
                <w:szCs w:val="21"/>
                <w:highlight w:val="none"/>
                <w:lang w:eastAsia="zh-CN"/>
              </w:rPr>
            </w:pPr>
          </w:p>
        </w:tc>
      </w:tr>
      <w:tr w14:paraId="51AD5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203" w:type="pct"/>
            <w:tcBorders>
              <w:top w:val="single" w:color="auto" w:sz="4" w:space="0"/>
              <w:left w:val="single" w:color="auto" w:sz="4" w:space="0"/>
              <w:bottom w:val="single" w:color="auto" w:sz="4" w:space="0"/>
              <w:right w:val="single" w:color="auto" w:sz="4" w:space="0"/>
            </w:tcBorders>
            <w:vAlign w:val="center"/>
          </w:tcPr>
          <w:p w14:paraId="5F190C8B">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2</w:t>
            </w:r>
          </w:p>
        </w:tc>
        <w:tc>
          <w:tcPr>
            <w:tcW w:w="1005" w:type="pct"/>
            <w:gridSpan w:val="2"/>
            <w:tcBorders>
              <w:top w:val="single" w:color="auto" w:sz="4" w:space="0"/>
              <w:left w:val="single" w:color="auto" w:sz="4" w:space="0"/>
              <w:bottom w:val="single" w:color="auto" w:sz="4" w:space="0"/>
              <w:right w:val="single" w:color="auto" w:sz="4" w:space="0"/>
            </w:tcBorders>
            <w:vAlign w:val="center"/>
          </w:tcPr>
          <w:p w14:paraId="1A30FB17">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企业档案管理</w:t>
            </w:r>
          </w:p>
        </w:tc>
        <w:tc>
          <w:tcPr>
            <w:tcW w:w="1805" w:type="pct"/>
            <w:tcBorders>
              <w:top w:val="single" w:color="auto" w:sz="4" w:space="0"/>
              <w:left w:val="single" w:color="auto" w:sz="4" w:space="0"/>
              <w:bottom w:val="single" w:color="auto" w:sz="4" w:space="0"/>
              <w:right w:val="single" w:color="auto" w:sz="4" w:space="0"/>
            </w:tcBorders>
            <w:vAlign w:val="center"/>
          </w:tcPr>
          <w:p w14:paraId="25A8E268">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建立企业档案（含企业基本信息、来访信息等），保证档案完整及准确性</w:t>
            </w:r>
          </w:p>
        </w:tc>
        <w:tc>
          <w:tcPr>
            <w:tcW w:w="292" w:type="pct"/>
            <w:tcBorders>
              <w:top w:val="single" w:color="auto" w:sz="4" w:space="0"/>
              <w:left w:val="single" w:color="auto" w:sz="4" w:space="0"/>
              <w:bottom w:val="single" w:color="auto" w:sz="4" w:space="0"/>
              <w:right w:val="single" w:color="auto" w:sz="4" w:space="0"/>
            </w:tcBorders>
            <w:vAlign w:val="center"/>
          </w:tcPr>
          <w:p w14:paraId="1F8D0F22">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10</w:t>
            </w:r>
          </w:p>
        </w:tc>
        <w:tc>
          <w:tcPr>
            <w:tcW w:w="1415" w:type="pct"/>
            <w:tcBorders>
              <w:top w:val="single" w:color="auto" w:sz="4" w:space="0"/>
              <w:left w:val="single" w:color="auto" w:sz="4" w:space="0"/>
              <w:bottom w:val="single" w:color="auto" w:sz="4" w:space="0"/>
              <w:right w:val="single" w:color="auto" w:sz="4" w:space="0"/>
            </w:tcBorders>
            <w:vAlign w:val="center"/>
          </w:tcPr>
          <w:p w14:paraId="64DF46DE">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w:t>
            </w:r>
          </w:p>
          <w:p w14:paraId="0CF1B152">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每次扣0.5分</w:t>
            </w:r>
          </w:p>
        </w:tc>
        <w:tc>
          <w:tcPr>
            <w:tcW w:w="280" w:type="pct"/>
            <w:tcBorders>
              <w:top w:val="single" w:color="auto" w:sz="4" w:space="0"/>
              <w:left w:val="single" w:color="auto" w:sz="4" w:space="0"/>
              <w:bottom w:val="single" w:color="auto" w:sz="4" w:space="0"/>
              <w:right w:val="single" w:color="auto" w:sz="4" w:space="0"/>
            </w:tcBorders>
            <w:vAlign w:val="center"/>
          </w:tcPr>
          <w:p w14:paraId="729722E1">
            <w:pPr>
              <w:pStyle w:val="70"/>
              <w:shd w:val="clear"/>
              <w:jc w:val="center"/>
              <w:rPr>
                <w:color w:val="auto"/>
                <w:spacing w:val="6"/>
                <w:sz w:val="21"/>
                <w:szCs w:val="21"/>
                <w:highlight w:val="none"/>
                <w:lang w:eastAsia="zh-CN"/>
              </w:rPr>
            </w:pPr>
          </w:p>
        </w:tc>
      </w:tr>
      <w:tr w14:paraId="613BA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203" w:type="pct"/>
            <w:tcBorders>
              <w:top w:val="single" w:color="auto" w:sz="4" w:space="0"/>
              <w:left w:val="single" w:color="auto" w:sz="4" w:space="0"/>
              <w:bottom w:val="single" w:color="auto" w:sz="4" w:space="0"/>
              <w:right w:val="single" w:color="auto" w:sz="4" w:space="0"/>
            </w:tcBorders>
            <w:vAlign w:val="center"/>
          </w:tcPr>
          <w:p w14:paraId="68F24B36">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3</w:t>
            </w:r>
          </w:p>
        </w:tc>
        <w:tc>
          <w:tcPr>
            <w:tcW w:w="467" w:type="pct"/>
            <w:vMerge w:val="restart"/>
            <w:tcBorders>
              <w:top w:val="single" w:color="auto" w:sz="4" w:space="0"/>
              <w:left w:val="single" w:color="auto" w:sz="4" w:space="0"/>
              <w:bottom w:val="single" w:color="auto" w:sz="4" w:space="0"/>
              <w:right w:val="single" w:color="auto" w:sz="4" w:space="0"/>
            </w:tcBorders>
            <w:vAlign w:val="center"/>
          </w:tcPr>
          <w:p w14:paraId="19EEDFE3">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企业管理服务</w:t>
            </w:r>
          </w:p>
        </w:tc>
        <w:tc>
          <w:tcPr>
            <w:tcW w:w="538" w:type="pct"/>
            <w:vMerge w:val="restart"/>
            <w:tcBorders>
              <w:top w:val="single" w:color="auto" w:sz="4" w:space="0"/>
              <w:left w:val="single" w:color="auto" w:sz="4" w:space="0"/>
              <w:bottom w:val="single" w:color="auto" w:sz="4" w:space="0"/>
              <w:right w:val="single" w:color="auto" w:sz="4" w:space="0"/>
            </w:tcBorders>
            <w:vAlign w:val="center"/>
          </w:tcPr>
          <w:p w14:paraId="7C778BFE">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服务质量</w:t>
            </w:r>
          </w:p>
        </w:tc>
        <w:tc>
          <w:tcPr>
            <w:tcW w:w="1805" w:type="pct"/>
            <w:tcBorders>
              <w:top w:val="single" w:color="auto" w:sz="4" w:space="0"/>
              <w:left w:val="single" w:color="auto" w:sz="4" w:space="0"/>
              <w:bottom w:val="single" w:color="auto" w:sz="4" w:space="0"/>
              <w:right w:val="single" w:color="auto" w:sz="4" w:space="0"/>
            </w:tcBorders>
            <w:vAlign w:val="center"/>
          </w:tcPr>
          <w:p w14:paraId="2B547617">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企业综合满意度达90%及以上</w:t>
            </w:r>
          </w:p>
        </w:tc>
        <w:tc>
          <w:tcPr>
            <w:tcW w:w="292" w:type="pct"/>
            <w:tcBorders>
              <w:top w:val="single" w:color="auto" w:sz="4" w:space="0"/>
              <w:left w:val="single" w:color="auto" w:sz="4" w:space="0"/>
              <w:bottom w:val="single" w:color="auto" w:sz="4" w:space="0"/>
              <w:right w:val="single" w:color="auto" w:sz="4" w:space="0"/>
            </w:tcBorders>
            <w:vAlign w:val="center"/>
          </w:tcPr>
          <w:p w14:paraId="16FCC89D">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1415" w:type="pct"/>
            <w:tcBorders>
              <w:top w:val="single" w:color="auto" w:sz="4" w:space="0"/>
              <w:left w:val="single" w:color="auto" w:sz="4" w:space="0"/>
              <w:bottom w:val="single" w:color="auto" w:sz="4" w:space="0"/>
              <w:right w:val="single" w:color="auto" w:sz="4" w:space="0"/>
            </w:tcBorders>
            <w:vAlign w:val="center"/>
          </w:tcPr>
          <w:p w14:paraId="38161122">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每少5%扣1分</w:t>
            </w:r>
          </w:p>
        </w:tc>
        <w:tc>
          <w:tcPr>
            <w:tcW w:w="280" w:type="pct"/>
            <w:tcBorders>
              <w:top w:val="single" w:color="auto" w:sz="4" w:space="0"/>
              <w:left w:val="single" w:color="auto" w:sz="4" w:space="0"/>
              <w:bottom w:val="single" w:color="auto" w:sz="4" w:space="0"/>
              <w:right w:val="single" w:color="auto" w:sz="4" w:space="0"/>
            </w:tcBorders>
            <w:vAlign w:val="center"/>
          </w:tcPr>
          <w:p w14:paraId="70B8CC97">
            <w:pPr>
              <w:pStyle w:val="70"/>
              <w:shd w:val="clear"/>
              <w:jc w:val="center"/>
              <w:rPr>
                <w:color w:val="auto"/>
                <w:spacing w:val="6"/>
                <w:sz w:val="21"/>
                <w:szCs w:val="21"/>
                <w:highlight w:val="none"/>
                <w:lang w:eastAsia="zh-CN"/>
              </w:rPr>
            </w:pPr>
          </w:p>
        </w:tc>
      </w:tr>
      <w:tr w14:paraId="2336A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203" w:type="pct"/>
            <w:tcBorders>
              <w:top w:val="single" w:color="auto" w:sz="4" w:space="0"/>
              <w:left w:val="single" w:color="auto" w:sz="4" w:space="0"/>
              <w:bottom w:val="single" w:color="auto" w:sz="4" w:space="0"/>
              <w:right w:val="single" w:color="auto" w:sz="4" w:space="0"/>
            </w:tcBorders>
            <w:vAlign w:val="center"/>
          </w:tcPr>
          <w:p w14:paraId="35D8C406">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4</w:t>
            </w:r>
          </w:p>
        </w:tc>
        <w:tc>
          <w:tcPr>
            <w:tcW w:w="467" w:type="pct"/>
            <w:vMerge w:val="continue"/>
            <w:tcBorders>
              <w:top w:val="single" w:color="auto" w:sz="4" w:space="0"/>
              <w:left w:val="single" w:color="auto" w:sz="4" w:space="0"/>
              <w:bottom w:val="single" w:color="auto" w:sz="4" w:space="0"/>
              <w:right w:val="single" w:color="auto" w:sz="4" w:space="0"/>
            </w:tcBorders>
            <w:vAlign w:val="center"/>
          </w:tcPr>
          <w:p w14:paraId="5E73648D">
            <w:pPr>
              <w:widowControl/>
              <w:shd w:val="clear"/>
              <w:jc w:val="left"/>
              <w:rPr>
                <w:rFonts w:ascii="宋体" w:hAnsi="宋体" w:cs="宋体"/>
                <w:color w:val="auto"/>
                <w:spacing w:val="6"/>
                <w:szCs w:val="21"/>
                <w:highlight w:val="none"/>
              </w:rPr>
            </w:pPr>
          </w:p>
        </w:tc>
        <w:tc>
          <w:tcPr>
            <w:tcW w:w="538" w:type="pct"/>
            <w:vMerge w:val="continue"/>
            <w:tcBorders>
              <w:top w:val="single" w:color="auto" w:sz="4" w:space="0"/>
              <w:left w:val="single" w:color="auto" w:sz="4" w:space="0"/>
              <w:bottom w:val="single" w:color="auto" w:sz="4" w:space="0"/>
              <w:right w:val="single" w:color="auto" w:sz="4" w:space="0"/>
            </w:tcBorders>
            <w:vAlign w:val="center"/>
          </w:tcPr>
          <w:p w14:paraId="7E46EA82">
            <w:pPr>
              <w:widowControl/>
              <w:shd w:val="clear"/>
              <w:jc w:val="left"/>
              <w:rPr>
                <w:rFonts w:ascii="宋体" w:hAnsi="宋体" w:cs="宋体"/>
                <w:color w:val="auto"/>
                <w:spacing w:val="6"/>
                <w:szCs w:val="21"/>
                <w:highlight w:val="none"/>
              </w:rPr>
            </w:pPr>
          </w:p>
        </w:tc>
        <w:tc>
          <w:tcPr>
            <w:tcW w:w="1805" w:type="pct"/>
            <w:tcBorders>
              <w:top w:val="single" w:color="auto" w:sz="4" w:space="0"/>
              <w:left w:val="single" w:color="auto" w:sz="4" w:space="0"/>
              <w:bottom w:val="single" w:color="auto" w:sz="4" w:space="0"/>
              <w:right w:val="single" w:color="auto" w:sz="4" w:space="0"/>
            </w:tcBorders>
            <w:vAlign w:val="center"/>
          </w:tcPr>
          <w:p w14:paraId="126BEC2F">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协助招标人做好招商接待调研工作，负责场地带看、合同签约等</w:t>
            </w:r>
          </w:p>
        </w:tc>
        <w:tc>
          <w:tcPr>
            <w:tcW w:w="292" w:type="pct"/>
            <w:tcBorders>
              <w:top w:val="single" w:color="auto" w:sz="4" w:space="0"/>
              <w:left w:val="single" w:color="auto" w:sz="4" w:space="0"/>
              <w:bottom w:val="single" w:color="auto" w:sz="4" w:space="0"/>
              <w:right w:val="single" w:color="auto" w:sz="4" w:space="0"/>
            </w:tcBorders>
            <w:vAlign w:val="center"/>
          </w:tcPr>
          <w:p w14:paraId="3699A584">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1415" w:type="pct"/>
            <w:tcBorders>
              <w:top w:val="single" w:color="auto" w:sz="4" w:space="0"/>
              <w:left w:val="single" w:color="auto" w:sz="4" w:space="0"/>
              <w:bottom w:val="single" w:color="auto" w:sz="4" w:space="0"/>
              <w:right w:val="single" w:color="auto" w:sz="4" w:space="0"/>
            </w:tcBorders>
            <w:vAlign w:val="center"/>
          </w:tcPr>
          <w:p w14:paraId="3AFB82C5">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w:t>
            </w:r>
          </w:p>
          <w:p w14:paraId="7645C298">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每次扣0.5分</w:t>
            </w:r>
          </w:p>
        </w:tc>
        <w:tc>
          <w:tcPr>
            <w:tcW w:w="280" w:type="pct"/>
            <w:tcBorders>
              <w:top w:val="single" w:color="auto" w:sz="4" w:space="0"/>
              <w:left w:val="single" w:color="auto" w:sz="4" w:space="0"/>
              <w:bottom w:val="single" w:color="auto" w:sz="4" w:space="0"/>
              <w:right w:val="single" w:color="auto" w:sz="4" w:space="0"/>
            </w:tcBorders>
            <w:vAlign w:val="center"/>
          </w:tcPr>
          <w:p w14:paraId="65FD7A86">
            <w:pPr>
              <w:pStyle w:val="70"/>
              <w:shd w:val="clear"/>
              <w:jc w:val="center"/>
              <w:rPr>
                <w:color w:val="auto"/>
                <w:spacing w:val="6"/>
                <w:sz w:val="21"/>
                <w:szCs w:val="21"/>
                <w:highlight w:val="none"/>
                <w:lang w:eastAsia="zh-CN"/>
              </w:rPr>
            </w:pPr>
          </w:p>
        </w:tc>
      </w:tr>
      <w:tr w14:paraId="558B6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203" w:type="pct"/>
            <w:tcBorders>
              <w:top w:val="single" w:color="auto" w:sz="4" w:space="0"/>
              <w:left w:val="single" w:color="auto" w:sz="4" w:space="0"/>
              <w:bottom w:val="single" w:color="auto" w:sz="4" w:space="0"/>
              <w:right w:val="single" w:color="auto" w:sz="4" w:space="0"/>
            </w:tcBorders>
            <w:vAlign w:val="center"/>
          </w:tcPr>
          <w:p w14:paraId="40D3A1BD">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467" w:type="pct"/>
            <w:vMerge w:val="continue"/>
            <w:tcBorders>
              <w:top w:val="single" w:color="auto" w:sz="4" w:space="0"/>
              <w:left w:val="single" w:color="auto" w:sz="4" w:space="0"/>
              <w:bottom w:val="single" w:color="auto" w:sz="4" w:space="0"/>
              <w:right w:val="single" w:color="auto" w:sz="4" w:space="0"/>
            </w:tcBorders>
            <w:vAlign w:val="center"/>
          </w:tcPr>
          <w:p w14:paraId="07E635DD">
            <w:pPr>
              <w:widowControl/>
              <w:shd w:val="clear"/>
              <w:jc w:val="left"/>
              <w:rPr>
                <w:rFonts w:ascii="宋体" w:hAnsi="宋体" w:cs="宋体"/>
                <w:color w:val="auto"/>
                <w:spacing w:val="6"/>
                <w:szCs w:val="21"/>
                <w:highlight w:val="none"/>
              </w:rPr>
            </w:pPr>
          </w:p>
        </w:tc>
        <w:tc>
          <w:tcPr>
            <w:tcW w:w="538" w:type="pct"/>
            <w:vMerge w:val="continue"/>
            <w:tcBorders>
              <w:top w:val="single" w:color="auto" w:sz="4" w:space="0"/>
              <w:left w:val="single" w:color="auto" w:sz="4" w:space="0"/>
              <w:bottom w:val="single" w:color="auto" w:sz="4" w:space="0"/>
              <w:right w:val="single" w:color="auto" w:sz="4" w:space="0"/>
            </w:tcBorders>
            <w:vAlign w:val="center"/>
          </w:tcPr>
          <w:p w14:paraId="263FEBD4">
            <w:pPr>
              <w:widowControl/>
              <w:shd w:val="clear"/>
              <w:jc w:val="left"/>
              <w:rPr>
                <w:rFonts w:ascii="宋体" w:hAnsi="宋体" w:cs="宋体"/>
                <w:color w:val="auto"/>
                <w:spacing w:val="6"/>
                <w:szCs w:val="21"/>
                <w:highlight w:val="none"/>
              </w:rPr>
            </w:pPr>
          </w:p>
        </w:tc>
        <w:tc>
          <w:tcPr>
            <w:tcW w:w="1805" w:type="pct"/>
            <w:tcBorders>
              <w:top w:val="single" w:color="auto" w:sz="4" w:space="0"/>
              <w:left w:val="single" w:color="auto" w:sz="4" w:space="0"/>
              <w:bottom w:val="single" w:color="auto" w:sz="4" w:space="0"/>
              <w:right w:val="single" w:color="auto" w:sz="4" w:space="0"/>
            </w:tcBorders>
            <w:vAlign w:val="center"/>
          </w:tcPr>
          <w:p w14:paraId="731D00FF">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企业关系维护，定期走访企业，建立重点企业联系人制度</w:t>
            </w:r>
          </w:p>
        </w:tc>
        <w:tc>
          <w:tcPr>
            <w:tcW w:w="292" w:type="pct"/>
            <w:tcBorders>
              <w:top w:val="single" w:color="auto" w:sz="4" w:space="0"/>
              <w:left w:val="single" w:color="auto" w:sz="4" w:space="0"/>
              <w:bottom w:val="single" w:color="auto" w:sz="4" w:space="0"/>
              <w:right w:val="single" w:color="auto" w:sz="4" w:space="0"/>
            </w:tcBorders>
            <w:vAlign w:val="center"/>
          </w:tcPr>
          <w:p w14:paraId="085847E4">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1415" w:type="pct"/>
            <w:tcBorders>
              <w:top w:val="single" w:color="auto" w:sz="4" w:space="0"/>
              <w:left w:val="single" w:color="auto" w:sz="4" w:space="0"/>
              <w:bottom w:val="single" w:color="auto" w:sz="4" w:space="0"/>
              <w:right w:val="single" w:color="auto" w:sz="4" w:space="0"/>
            </w:tcBorders>
            <w:vAlign w:val="center"/>
          </w:tcPr>
          <w:p w14:paraId="0415F336">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w:t>
            </w:r>
          </w:p>
          <w:p w14:paraId="2D382EBC">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每次扣0.5分</w:t>
            </w:r>
          </w:p>
        </w:tc>
        <w:tc>
          <w:tcPr>
            <w:tcW w:w="280" w:type="pct"/>
            <w:tcBorders>
              <w:top w:val="single" w:color="auto" w:sz="4" w:space="0"/>
              <w:left w:val="single" w:color="auto" w:sz="4" w:space="0"/>
              <w:bottom w:val="single" w:color="auto" w:sz="4" w:space="0"/>
              <w:right w:val="single" w:color="auto" w:sz="4" w:space="0"/>
            </w:tcBorders>
            <w:vAlign w:val="center"/>
          </w:tcPr>
          <w:p w14:paraId="60E970C4">
            <w:pPr>
              <w:pStyle w:val="70"/>
              <w:shd w:val="clear"/>
              <w:jc w:val="center"/>
              <w:rPr>
                <w:color w:val="auto"/>
                <w:spacing w:val="6"/>
                <w:sz w:val="21"/>
                <w:szCs w:val="21"/>
                <w:highlight w:val="none"/>
                <w:lang w:eastAsia="zh-CN"/>
              </w:rPr>
            </w:pPr>
          </w:p>
        </w:tc>
      </w:tr>
      <w:tr w14:paraId="1DC3C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203" w:type="pct"/>
            <w:tcBorders>
              <w:top w:val="single" w:color="auto" w:sz="4" w:space="0"/>
              <w:left w:val="single" w:color="auto" w:sz="4" w:space="0"/>
              <w:bottom w:val="single" w:color="auto" w:sz="4" w:space="0"/>
              <w:right w:val="single" w:color="auto" w:sz="4" w:space="0"/>
            </w:tcBorders>
            <w:vAlign w:val="center"/>
          </w:tcPr>
          <w:p w14:paraId="2B14424C">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6</w:t>
            </w:r>
          </w:p>
        </w:tc>
        <w:tc>
          <w:tcPr>
            <w:tcW w:w="467" w:type="pct"/>
            <w:vMerge w:val="continue"/>
            <w:tcBorders>
              <w:top w:val="single" w:color="auto" w:sz="4" w:space="0"/>
              <w:left w:val="single" w:color="auto" w:sz="4" w:space="0"/>
              <w:bottom w:val="single" w:color="auto" w:sz="4" w:space="0"/>
              <w:right w:val="single" w:color="auto" w:sz="4" w:space="0"/>
            </w:tcBorders>
            <w:vAlign w:val="center"/>
          </w:tcPr>
          <w:p w14:paraId="011EC599">
            <w:pPr>
              <w:widowControl/>
              <w:shd w:val="clear"/>
              <w:jc w:val="left"/>
              <w:rPr>
                <w:rFonts w:ascii="宋体" w:hAnsi="宋体" w:cs="宋体"/>
                <w:color w:val="auto"/>
                <w:spacing w:val="6"/>
                <w:szCs w:val="21"/>
                <w:highlight w:val="none"/>
              </w:rPr>
            </w:pPr>
          </w:p>
        </w:tc>
        <w:tc>
          <w:tcPr>
            <w:tcW w:w="538" w:type="pct"/>
            <w:vMerge w:val="continue"/>
            <w:tcBorders>
              <w:top w:val="single" w:color="auto" w:sz="4" w:space="0"/>
              <w:left w:val="single" w:color="auto" w:sz="4" w:space="0"/>
              <w:bottom w:val="single" w:color="auto" w:sz="4" w:space="0"/>
              <w:right w:val="single" w:color="auto" w:sz="4" w:space="0"/>
            </w:tcBorders>
            <w:vAlign w:val="center"/>
          </w:tcPr>
          <w:p w14:paraId="04CD69CF">
            <w:pPr>
              <w:widowControl/>
              <w:shd w:val="clear"/>
              <w:jc w:val="left"/>
              <w:rPr>
                <w:rFonts w:ascii="宋体" w:hAnsi="宋体" w:cs="宋体"/>
                <w:color w:val="auto"/>
                <w:spacing w:val="6"/>
                <w:szCs w:val="21"/>
                <w:highlight w:val="none"/>
              </w:rPr>
            </w:pPr>
          </w:p>
        </w:tc>
        <w:tc>
          <w:tcPr>
            <w:tcW w:w="1805" w:type="pct"/>
            <w:tcBorders>
              <w:top w:val="single" w:color="auto" w:sz="4" w:space="0"/>
              <w:left w:val="single" w:color="auto" w:sz="4" w:space="0"/>
              <w:bottom w:val="single" w:color="auto" w:sz="4" w:space="0"/>
              <w:right w:val="single" w:color="auto" w:sz="4" w:space="0"/>
            </w:tcBorders>
            <w:vAlign w:val="center"/>
          </w:tcPr>
          <w:p w14:paraId="6DE4FA31">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做好常态化服务（如政策推送、财税申报、工商财税支持等）</w:t>
            </w:r>
          </w:p>
        </w:tc>
        <w:tc>
          <w:tcPr>
            <w:tcW w:w="292" w:type="pct"/>
            <w:tcBorders>
              <w:top w:val="single" w:color="auto" w:sz="4" w:space="0"/>
              <w:left w:val="single" w:color="auto" w:sz="4" w:space="0"/>
              <w:bottom w:val="single" w:color="auto" w:sz="4" w:space="0"/>
              <w:right w:val="single" w:color="auto" w:sz="4" w:space="0"/>
            </w:tcBorders>
            <w:vAlign w:val="center"/>
          </w:tcPr>
          <w:p w14:paraId="589C2BB8">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1415" w:type="pct"/>
            <w:tcBorders>
              <w:top w:val="single" w:color="auto" w:sz="4" w:space="0"/>
              <w:left w:val="single" w:color="auto" w:sz="4" w:space="0"/>
              <w:bottom w:val="single" w:color="auto" w:sz="4" w:space="0"/>
              <w:right w:val="single" w:color="auto" w:sz="4" w:space="0"/>
            </w:tcBorders>
            <w:vAlign w:val="center"/>
          </w:tcPr>
          <w:p w14:paraId="7A1F3A6D">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w:t>
            </w:r>
          </w:p>
          <w:p w14:paraId="6A6E9E4E">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每次扣0.5分</w:t>
            </w:r>
          </w:p>
        </w:tc>
        <w:tc>
          <w:tcPr>
            <w:tcW w:w="280" w:type="pct"/>
            <w:tcBorders>
              <w:top w:val="single" w:color="auto" w:sz="4" w:space="0"/>
              <w:left w:val="single" w:color="auto" w:sz="4" w:space="0"/>
              <w:bottom w:val="single" w:color="auto" w:sz="4" w:space="0"/>
              <w:right w:val="single" w:color="auto" w:sz="4" w:space="0"/>
            </w:tcBorders>
            <w:vAlign w:val="center"/>
          </w:tcPr>
          <w:p w14:paraId="23E7E827">
            <w:pPr>
              <w:pStyle w:val="70"/>
              <w:shd w:val="clear"/>
              <w:jc w:val="center"/>
              <w:rPr>
                <w:color w:val="auto"/>
                <w:spacing w:val="6"/>
                <w:sz w:val="21"/>
                <w:szCs w:val="21"/>
                <w:highlight w:val="none"/>
                <w:lang w:eastAsia="zh-CN"/>
              </w:rPr>
            </w:pPr>
          </w:p>
        </w:tc>
      </w:tr>
      <w:tr w14:paraId="51000F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203" w:type="pct"/>
            <w:tcBorders>
              <w:top w:val="single" w:color="auto" w:sz="4" w:space="0"/>
              <w:left w:val="single" w:color="auto" w:sz="4" w:space="0"/>
              <w:bottom w:val="single" w:color="auto" w:sz="4" w:space="0"/>
              <w:right w:val="single" w:color="auto" w:sz="4" w:space="0"/>
            </w:tcBorders>
            <w:vAlign w:val="center"/>
          </w:tcPr>
          <w:p w14:paraId="02D62429">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7</w:t>
            </w:r>
          </w:p>
        </w:tc>
        <w:tc>
          <w:tcPr>
            <w:tcW w:w="467" w:type="pct"/>
            <w:vMerge w:val="continue"/>
            <w:tcBorders>
              <w:top w:val="single" w:color="auto" w:sz="4" w:space="0"/>
              <w:left w:val="single" w:color="auto" w:sz="4" w:space="0"/>
              <w:bottom w:val="single" w:color="auto" w:sz="4" w:space="0"/>
              <w:right w:val="single" w:color="auto" w:sz="4" w:space="0"/>
            </w:tcBorders>
            <w:vAlign w:val="center"/>
          </w:tcPr>
          <w:p w14:paraId="7A4E4CD5">
            <w:pPr>
              <w:widowControl/>
              <w:shd w:val="clear"/>
              <w:jc w:val="left"/>
              <w:rPr>
                <w:rFonts w:ascii="宋体" w:hAnsi="宋体" w:cs="宋体"/>
                <w:color w:val="auto"/>
                <w:spacing w:val="6"/>
                <w:szCs w:val="21"/>
                <w:highlight w:val="none"/>
              </w:rPr>
            </w:pPr>
          </w:p>
        </w:tc>
        <w:tc>
          <w:tcPr>
            <w:tcW w:w="538" w:type="pct"/>
            <w:tcBorders>
              <w:top w:val="single" w:color="auto" w:sz="4" w:space="0"/>
              <w:left w:val="single" w:color="auto" w:sz="4" w:space="0"/>
              <w:bottom w:val="single" w:color="auto" w:sz="4" w:space="0"/>
              <w:right w:val="single" w:color="auto" w:sz="4" w:space="0"/>
            </w:tcBorders>
            <w:vAlign w:val="center"/>
          </w:tcPr>
          <w:p w14:paraId="32FA30F8">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服务体量</w:t>
            </w:r>
          </w:p>
        </w:tc>
        <w:tc>
          <w:tcPr>
            <w:tcW w:w="1805" w:type="pct"/>
            <w:tcBorders>
              <w:top w:val="single" w:color="auto" w:sz="4" w:space="0"/>
              <w:left w:val="single" w:color="auto" w:sz="4" w:space="0"/>
              <w:bottom w:val="single" w:color="auto" w:sz="4" w:space="0"/>
              <w:right w:val="single" w:color="auto" w:sz="4" w:space="0"/>
            </w:tcBorders>
            <w:vAlign w:val="center"/>
          </w:tcPr>
          <w:p w14:paraId="3DAE36EC">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实际服务企业体量</w:t>
            </w:r>
          </w:p>
        </w:tc>
        <w:tc>
          <w:tcPr>
            <w:tcW w:w="292" w:type="pct"/>
            <w:tcBorders>
              <w:top w:val="single" w:color="auto" w:sz="4" w:space="0"/>
              <w:left w:val="single" w:color="auto" w:sz="4" w:space="0"/>
              <w:bottom w:val="single" w:color="auto" w:sz="4" w:space="0"/>
              <w:right w:val="single" w:color="auto" w:sz="4" w:space="0"/>
            </w:tcBorders>
            <w:vAlign w:val="center"/>
          </w:tcPr>
          <w:p w14:paraId="1FBFB71C">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40</w:t>
            </w:r>
          </w:p>
        </w:tc>
        <w:tc>
          <w:tcPr>
            <w:tcW w:w="1415" w:type="pct"/>
            <w:tcBorders>
              <w:top w:val="single" w:color="auto" w:sz="4" w:space="0"/>
              <w:left w:val="single" w:color="auto" w:sz="4" w:space="0"/>
              <w:bottom w:val="single" w:color="auto" w:sz="4" w:space="0"/>
              <w:right w:val="single" w:color="auto" w:sz="4" w:space="0"/>
            </w:tcBorders>
            <w:vAlign w:val="center"/>
          </w:tcPr>
          <w:p w14:paraId="36C42246">
            <w:pPr>
              <w:pStyle w:val="70"/>
              <w:shd w:val="clear"/>
              <w:rPr>
                <w:color w:val="auto"/>
                <w:spacing w:val="6"/>
                <w:sz w:val="21"/>
                <w:szCs w:val="21"/>
                <w:highlight w:val="none"/>
                <w:lang w:eastAsia="zh-CN"/>
              </w:rPr>
            </w:pPr>
            <w:r>
              <w:rPr>
                <w:rFonts w:hint="eastAsia"/>
                <w:color w:val="auto"/>
                <w:spacing w:val="6"/>
                <w:sz w:val="21"/>
                <w:szCs w:val="21"/>
                <w:highlight w:val="none"/>
                <w:lang w:eastAsia="zh-CN"/>
              </w:rPr>
              <w:t>以当季度末园区的实际服务企业体量的占比同比例得分</w:t>
            </w:r>
          </w:p>
          <w:p w14:paraId="1392F94C">
            <w:pPr>
              <w:pStyle w:val="70"/>
              <w:shd w:val="clear"/>
              <w:rPr>
                <w:color w:val="auto"/>
                <w:spacing w:val="6"/>
                <w:sz w:val="21"/>
                <w:szCs w:val="21"/>
                <w:highlight w:val="none"/>
                <w:lang w:eastAsia="zh-CN"/>
              </w:rPr>
            </w:pPr>
            <w:r>
              <w:rPr>
                <w:rFonts w:hint="eastAsia"/>
                <w:color w:val="auto"/>
                <w:spacing w:val="6"/>
                <w:sz w:val="21"/>
                <w:szCs w:val="21"/>
                <w:highlight w:val="none"/>
                <w:lang w:eastAsia="zh-CN"/>
              </w:rPr>
              <w:t>（①服务企业体量的计算以入驻企业合同签约之日起计；②当园区实际服务企业体量占比≥80%时，按100%得分）</w:t>
            </w:r>
          </w:p>
        </w:tc>
        <w:tc>
          <w:tcPr>
            <w:tcW w:w="280" w:type="pct"/>
            <w:tcBorders>
              <w:top w:val="single" w:color="auto" w:sz="4" w:space="0"/>
              <w:left w:val="single" w:color="auto" w:sz="4" w:space="0"/>
              <w:bottom w:val="single" w:color="auto" w:sz="4" w:space="0"/>
              <w:right w:val="single" w:color="auto" w:sz="4" w:space="0"/>
            </w:tcBorders>
            <w:vAlign w:val="center"/>
          </w:tcPr>
          <w:p w14:paraId="68265448">
            <w:pPr>
              <w:pStyle w:val="70"/>
              <w:shd w:val="clear"/>
              <w:jc w:val="center"/>
              <w:rPr>
                <w:color w:val="auto"/>
                <w:spacing w:val="6"/>
                <w:sz w:val="21"/>
                <w:szCs w:val="21"/>
                <w:highlight w:val="none"/>
                <w:lang w:eastAsia="zh-CN"/>
              </w:rPr>
            </w:pPr>
          </w:p>
        </w:tc>
      </w:tr>
      <w:tr w14:paraId="07591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359" w:hRule="atLeast"/>
        </w:trPr>
        <w:tc>
          <w:tcPr>
            <w:tcW w:w="4720" w:type="pct"/>
            <w:gridSpan w:val="6"/>
            <w:tcBorders>
              <w:top w:val="single" w:color="auto" w:sz="4" w:space="0"/>
              <w:left w:val="single" w:color="auto" w:sz="4" w:space="0"/>
              <w:bottom w:val="single" w:color="auto" w:sz="4" w:space="0"/>
              <w:right w:val="single" w:color="auto" w:sz="4" w:space="0"/>
            </w:tcBorders>
            <w:vAlign w:val="center"/>
          </w:tcPr>
          <w:p w14:paraId="6FDFE9AA">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合计得分</w:t>
            </w:r>
          </w:p>
        </w:tc>
        <w:tc>
          <w:tcPr>
            <w:tcW w:w="280" w:type="pct"/>
            <w:tcBorders>
              <w:top w:val="single" w:color="auto" w:sz="4" w:space="0"/>
              <w:left w:val="single" w:color="auto" w:sz="4" w:space="0"/>
              <w:bottom w:val="single" w:color="auto" w:sz="4" w:space="0"/>
              <w:right w:val="single" w:color="auto" w:sz="4" w:space="0"/>
            </w:tcBorders>
            <w:vAlign w:val="center"/>
          </w:tcPr>
          <w:p w14:paraId="6DA9F279">
            <w:pPr>
              <w:pStyle w:val="70"/>
              <w:shd w:val="clear"/>
              <w:jc w:val="center"/>
              <w:rPr>
                <w:color w:val="auto"/>
                <w:spacing w:val="6"/>
                <w:sz w:val="21"/>
                <w:szCs w:val="21"/>
                <w:highlight w:val="none"/>
                <w:lang w:eastAsia="zh-CN"/>
              </w:rPr>
            </w:pPr>
          </w:p>
        </w:tc>
      </w:tr>
    </w:tbl>
    <w:p w14:paraId="277C55FF">
      <w:pPr>
        <w:pStyle w:val="43"/>
        <w:shd w:val="clear"/>
        <w:snapToGrid w:val="0"/>
        <w:ind w:firstLine="480"/>
        <w:rPr>
          <w:rFonts w:ascii="宋体" w:hAnsi="宋体" w:cs="宋体"/>
          <w:snapToGrid w:val="0"/>
          <w:color w:val="auto"/>
          <w:highlight w:val="none"/>
        </w:rPr>
      </w:pPr>
      <w:r>
        <w:rPr>
          <w:rFonts w:hint="eastAsia" w:ascii="宋体" w:hAnsi="宋体" w:cs="宋体"/>
          <w:color w:val="auto"/>
          <w:szCs w:val="24"/>
          <w:highlight w:val="none"/>
        </w:rPr>
        <w:t>本考核细则按季度进行打分考核，满分为100分，按考核得分同比例支付季度运营管理服务费。</w:t>
      </w:r>
      <w:r>
        <w:rPr>
          <w:rFonts w:hint="eastAsia" w:ascii="宋体" w:hAnsi="宋体" w:cs="宋体"/>
          <w:snapToGrid w:val="0"/>
          <w:color w:val="auto"/>
          <w:highlight w:val="none"/>
        </w:rPr>
        <w:br w:type="page"/>
      </w:r>
    </w:p>
    <w:p w14:paraId="50FDD03D">
      <w:pPr>
        <w:widowControl/>
        <w:shd w:val="clear"/>
        <w:spacing w:line="360" w:lineRule="auto"/>
        <w:jc w:val="left"/>
        <w:rPr>
          <w:rFonts w:ascii="宋体" w:hAnsi="宋体" w:cs="宋体"/>
          <w:b/>
          <w:bCs/>
          <w:snapToGrid w:val="0"/>
          <w:color w:val="auto"/>
          <w:kern w:val="44"/>
          <w:sz w:val="24"/>
          <w:szCs w:val="20"/>
          <w:highlight w:val="none"/>
        </w:rPr>
        <w:sectPr>
          <w:pgSz w:w="16838" w:h="11906" w:orient="landscape"/>
          <w:pgMar w:top="993" w:right="1276" w:bottom="993" w:left="1247" w:header="851" w:footer="688" w:gutter="0"/>
          <w:cols w:space="720" w:num="1"/>
        </w:sectPr>
      </w:pPr>
    </w:p>
    <w:p w14:paraId="3D6B9573">
      <w:pPr>
        <w:pStyle w:val="2"/>
        <w:shd w:val="clear"/>
        <w:spacing w:before="0" w:after="0" w:line="240" w:lineRule="auto"/>
        <w:ind w:firstLine="482" w:firstLineChars="200"/>
        <w:jc w:val="left"/>
        <w:rPr>
          <w:rFonts w:ascii="宋体" w:hAnsi="宋体" w:cs="宋体"/>
          <w:snapToGrid w:val="0"/>
          <w:color w:val="auto"/>
          <w:sz w:val="24"/>
          <w:szCs w:val="20"/>
          <w:highlight w:val="none"/>
        </w:rPr>
      </w:pPr>
      <w:r>
        <w:rPr>
          <w:rFonts w:hint="eastAsia" w:ascii="宋体" w:hAnsi="宋体" w:cs="宋体"/>
          <w:snapToGrid w:val="0"/>
          <w:color w:val="auto"/>
          <w:sz w:val="24"/>
          <w:szCs w:val="20"/>
          <w:highlight w:val="none"/>
        </w:rPr>
        <w:t>附件二：安全管理及环境管理季度考核办法</w:t>
      </w:r>
    </w:p>
    <w:tbl>
      <w:tblPr>
        <w:tblStyle w:val="22"/>
        <w:tblpPr w:leftFromText="180" w:rightFromText="180" w:vertAnchor="text" w:horzAnchor="page" w:tblpXSpec="center" w:tblpY="277"/>
        <w:tblOverlap w:val="never"/>
        <w:tblW w:w="102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13" w:type="dxa"/>
          <w:left w:w="108" w:type="dxa"/>
          <w:bottom w:w="113" w:type="dxa"/>
          <w:right w:w="108" w:type="dxa"/>
        </w:tblCellMar>
      </w:tblPr>
      <w:tblGrid>
        <w:gridCol w:w="677"/>
        <w:gridCol w:w="5549"/>
        <w:gridCol w:w="777"/>
        <w:gridCol w:w="2319"/>
        <w:gridCol w:w="938"/>
      </w:tblGrid>
      <w:tr w14:paraId="55B4F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313" w:hRule="atLeast"/>
        </w:trPr>
        <w:tc>
          <w:tcPr>
            <w:tcW w:w="677" w:type="dxa"/>
            <w:tcBorders>
              <w:top w:val="single" w:color="auto" w:sz="4" w:space="0"/>
              <w:left w:val="single" w:color="auto" w:sz="4" w:space="0"/>
              <w:bottom w:val="single" w:color="auto" w:sz="4" w:space="0"/>
              <w:right w:val="single" w:color="auto" w:sz="4" w:space="0"/>
            </w:tcBorders>
            <w:vAlign w:val="center"/>
          </w:tcPr>
          <w:p w14:paraId="075F1B5C">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序号</w:t>
            </w:r>
          </w:p>
        </w:tc>
        <w:tc>
          <w:tcPr>
            <w:tcW w:w="5549" w:type="dxa"/>
            <w:tcBorders>
              <w:top w:val="single" w:color="auto" w:sz="4" w:space="0"/>
              <w:left w:val="single" w:color="auto" w:sz="4" w:space="0"/>
              <w:bottom w:val="single" w:color="auto" w:sz="4" w:space="0"/>
              <w:right w:val="single" w:color="auto" w:sz="4" w:space="0"/>
            </w:tcBorders>
            <w:vAlign w:val="center"/>
          </w:tcPr>
          <w:p w14:paraId="4A5F5B53">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评分标准</w:t>
            </w:r>
          </w:p>
        </w:tc>
        <w:tc>
          <w:tcPr>
            <w:tcW w:w="777" w:type="dxa"/>
            <w:tcBorders>
              <w:top w:val="single" w:color="auto" w:sz="4" w:space="0"/>
              <w:left w:val="single" w:color="auto" w:sz="4" w:space="0"/>
              <w:bottom w:val="single" w:color="auto" w:sz="4" w:space="0"/>
              <w:right w:val="single" w:color="auto" w:sz="4" w:space="0"/>
            </w:tcBorders>
            <w:vAlign w:val="center"/>
          </w:tcPr>
          <w:p w14:paraId="5D4AFB88">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分值</w:t>
            </w:r>
          </w:p>
        </w:tc>
        <w:tc>
          <w:tcPr>
            <w:tcW w:w="2319" w:type="dxa"/>
            <w:tcBorders>
              <w:top w:val="single" w:color="auto" w:sz="4" w:space="0"/>
              <w:left w:val="single" w:color="auto" w:sz="4" w:space="0"/>
              <w:bottom w:val="single" w:color="auto" w:sz="4" w:space="0"/>
              <w:right w:val="single" w:color="auto" w:sz="4" w:space="0"/>
            </w:tcBorders>
            <w:vAlign w:val="center"/>
          </w:tcPr>
          <w:p w14:paraId="6C4539DB">
            <w:pPr>
              <w:widowControl/>
              <w:shd w:val="clear"/>
              <w:jc w:val="center"/>
              <w:rPr>
                <w:color w:val="auto"/>
                <w:spacing w:val="6"/>
                <w:szCs w:val="21"/>
                <w:highlight w:val="none"/>
              </w:rPr>
            </w:pPr>
            <w:r>
              <w:rPr>
                <w:rFonts w:hint="eastAsia" w:ascii="宋体" w:hAnsi="宋体" w:cs="宋体"/>
                <w:color w:val="auto"/>
                <w:kern w:val="0"/>
                <w:sz w:val="20"/>
                <w:szCs w:val="20"/>
                <w:highlight w:val="none"/>
              </w:rPr>
              <w:t>评分验收办法及评分</w:t>
            </w:r>
          </w:p>
        </w:tc>
        <w:tc>
          <w:tcPr>
            <w:tcW w:w="938" w:type="dxa"/>
            <w:tcBorders>
              <w:top w:val="single" w:color="auto" w:sz="4" w:space="0"/>
              <w:left w:val="single" w:color="auto" w:sz="4" w:space="0"/>
              <w:bottom w:val="single" w:color="auto" w:sz="4" w:space="0"/>
              <w:right w:val="single" w:color="auto" w:sz="4" w:space="0"/>
            </w:tcBorders>
            <w:vAlign w:val="center"/>
          </w:tcPr>
          <w:p w14:paraId="3DFFC6AD">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得分</w:t>
            </w:r>
          </w:p>
        </w:tc>
      </w:tr>
      <w:tr w14:paraId="20626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677" w:type="dxa"/>
            <w:tcBorders>
              <w:top w:val="single" w:color="auto" w:sz="4" w:space="0"/>
              <w:left w:val="single" w:color="auto" w:sz="4" w:space="0"/>
              <w:bottom w:val="single" w:color="auto" w:sz="4" w:space="0"/>
              <w:right w:val="single" w:color="auto" w:sz="4" w:space="0"/>
            </w:tcBorders>
            <w:vAlign w:val="center"/>
          </w:tcPr>
          <w:p w14:paraId="52AF9CF8">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w:t>
            </w:r>
          </w:p>
        </w:tc>
        <w:tc>
          <w:tcPr>
            <w:tcW w:w="5549" w:type="dxa"/>
            <w:tcBorders>
              <w:top w:val="single" w:color="auto" w:sz="4" w:space="0"/>
              <w:left w:val="single" w:color="auto" w:sz="4" w:space="0"/>
              <w:bottom w:val="single" w:color="auto" w:sz="4" w:space="0"/>
              <w:right w:val="single" w:color="auto" w:sz="4" w:space="0"/>
            </w:tcBorders>
            <w:vAlign w:val="center"/>
          </w:tcPr>
          <w:p w14:paraId="06180C58">
            <w:pPr>
              <w:pStyle w:val="70"/>
              <w:shd w:val="clear"/>
              <w:rPr>
                <w:color w:val="auto"/>
                <w:spacing w:val="6"/>
                <w:sz w:val="21"/>
                <w:szCs w:val="21"/>
                <w:highlight w:val="none"/>
                <w:lang w:eastAsia="zh-CN"/>
              </w:rPr>
            </w:pPr>
            <w:r>
              <w:rPr>
                <w:rFonts w:hint="eastAsia"/>
                <w:color w:val="auto"/>
                <w:spacing w:val="6"/>
                <w:sz w:val="21"/>
                <w:szCs w:val="21"/>
                <w:highlight w:val="none"/>
                <w:lang w:eastAsia="zh-CN"/>
              </w:rPr>
              <w:t>建立规范的管理制度，上墙公示接受监督。</w:t>
            </w:r>
          </w:p>
        </w:tc>
        <w:tc>
          <w:tcPr>
            <w:tcW w:w="777" w:type="dxa"/>
            <w:tcBorders>
              <w:top w:val="single" w:color="auto" w:sz="4" w:space="0"/>
              <w:left w:val="single" w:color="auto" w:sz="4" w:space="0"/>
              <w:bottom w:val="single" w:color="auto" w:sz="4" w:space="0"/>
              <w:right w:val="single" w:color="auto" w:sz="4" w:space="0"/>
            </w:tcBorders>
            <w:vAlign w:val="center"/>
          </w:tcPr>
          <w:p w14:paraId="77520C8D">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2319" w:type="dxa"/>
            <w:tcBorders>
              <w:top w:val="single" w:color="auto" w:sz="4" w:space="0"/>
              <w:left w:val="single" w:color="auto" w:sz="4" w:space="0"/>
              <w:bottom w:val="single" w:color="auto" w:sz="4" w:space="0"/>
              <w:right w:val="single" w:color="auto" w:sz="4" w:space="0"/>
            </w:tcBorders>
            <w:vAlign w:val="center"/>
          </w:tcPr>
          <w:p w14:paraId="7E88CD30">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缺少一项，扣 0.5 分</w:t>
            </w:r>
          </w:p>
        </w:tc>
        <w:tc>
          <w:tcPr>
            <w:tcW w:w="938" w:type="dxa"/>
            <w:tcBorders>
              <w:top w:val="single" w:color="auto" w:sz="4" w:space="0"/>
              <w:left w:val="single" w:color="auto" w:sz="4" w:space="0"/>
              <w:bottom w:val="single" w:color="auto" w:sz="4" w:space="0"/>
              <w:right w:val="single" w:color="auto" w:sz="4" w:space="0"/>
            </w:tcBorders>
            <w:vAlign w:val="center"/>
          </w:tcPr>
          <w:p w14:paraId="7E0779BA">
            <w:pPr>
              <w:pStyle w:val="70"/>
              <w:shd w:val="clear"/>
              <w:jc w:val="center"/>
              <w:rPr>
                <w:color w:val="auto"/>
                <w:spacing w:val="6"/>
                <w:sz w:val="21"/>
                <w:szCs w:val="21"/>
                <w:highlight w:val="none"/>
                <w:lang w:eastAsia="zh-CN"/>
              </w:rPr>
            </w:pPr>
          </w:p>
        </w:tc>
      </w:tr>
      <w:tr w14:paraId="218D4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677" w:type="dxa"/>
            <w:tcBorders>
              <w:top w:val="single" w:color="auto" w:sz="4" w:space="0"/>
              <w:left w:val="single" w:color="auto" w:sz="4" w:space="0"/>
              <w:bottom w:val="single" w:color="auto" w:sz="4" w:space="0"/>
              <w:right w:val="single" w:color="auto" w:sz="4" w:space="0"/>
            </w:tcBorders>
            <w:vAlign w:val="center"/>
          </w:tcPr>
          <w:p w14:paraId="391B43E9">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2</w:t>
            </w:r>
          </w:p>
        </w:tc>
        <w:tc>
          <w:tcPr>
            <w:tcW w:w="5549" w:type="dxa"/>
            <w:tcBorders>
              <w:top w:val="single" w:color="auto" w:sz="4" w:space="0"/>
              <w:left w:val="single" w:color="auto" w:sz="4" w:space="0"/>
              <w:bottom w:val="single" w:color="auto" w:sz="4" w:space="0"/>
              <w:right w:val="single" w:color="auto" w:sz="4" w:space="0"/>
            </w:tcBorders>
            <w:vAlign w:val="center"/>
          </w:tcPr>
          <w:p w14:paraId="283DC5AA">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建立有效的安保、消防、防台防汛等各类突发事件的应急预案。</w:t>
            </w:r>
          </w:p>
        </w:tc>
        <w:tc>
          <w:tcPr>
            <w:tcW w:w="777" w:type="dxa"/>
            <w:tcBorders>
              <w:top w:val="single" w:color="auto" w:sz="4" w:space="0"/>
              <w:left w:val="single" w:color="auto" w:sz="4" w:space="0"/>
              <w:bottom w:val="single" w:color="auto" w:sz="4" w:space="0"/>
              <w:right w:val="single" w:color="auto" w:sz="4" w:space="0"/>
            </w:tcBorders>
            <w:vAlign w:val="center"/>
          </w:tcPr>
          <w:p w14:paraId="3FD7492F">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2319" w:type="dxa"/>
            <w:tcBorders>
              <w:top w:val="single" w:color="auto" w:sz="4" w:space="0"/>
              <w:left w:val="single" w:color="auto" w:sz="4" w:space="0"/>
              <w:bottom w:val="single" w:color="auto" w:sz="4" w:space="0"/>
              <w:right w:val="single" w:color="auto" w:sz="4" w:space="0"/>
            </w:tcBorders>
            <w:vAlign w:val="center"/>
          </w:tcPr>
          <w:p w14:paraId="002A54CC">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缺少一项，扣 0.5 分</w:t>
            </w:r>
          </w:p>
        </w:tc>
        <w:tc>
          <w:tcPr>
            <w:tcW w:w="938" w:type="dxa"/>
            <w:tcBorders>
              <w:top w:val="single" w:color="auto" w:sz="4" w:space="0"/>
              <w:left w:val="single" w:color="auto" w:sz="4" w:space="0"/>
              <w:bottom w:val="single" w:color="auto" w:sz="4" w:space="0"/>
              <w:right w:val="single" w:color="auto" w:sz="4" w:space="0"/>
            </w:tcBorders>
            <w:vAlign w:val="center"/>
          </w:tcPr>
          <w:p w14:paraId="54536B85">
            <w:pPr>
              <w:pStyle w:val="70"/>
              <w:shd w:val="clear"/>
              <w:jc w:val="center"/>
              <w:rPr>
                <w:color w:val="auto"/>
                <w:spacing w:val="6"/>
                <w:sz w:val="21"/>
                <w:szCs w:val="21"/>
                <w:highlight w:val="none"/>
                <w:lang w:eastAsia="zh-CN"/>
              </w:rPr>
            </w:pPr>
          </w:p>
        </w:tc>
      </w:tr>
      <w:tr w14:paraId="0687E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677" w:type="dxa"/>
            <w:tcBorders>
              <w:top w:val="single" w:color="auto" w:sz="4" w:space="0"/>
              <w:left w:val="single" w:color="auto" w:sz="4" w:space="0"/>
              <w:bottom w:val="single" w:color="auto" w:sz="4" w:space="0"/>
              <w:right w:val="single" w:color="auto" w:sz="4" w:space="0"/>
            </w:tcBorders>
            <w:vAlign w:val="center"/>
          </w:tcPr>
          <w:p w14:paraId="3A2C5760">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3</w:t>
            </w:r>
          </w:p>
        </w:tc>
        <w:tc>
          <w:tcPr>
            <w:tcW w:w="5549" w:type="dxa"/>
            <w:tcBorders>
              <w:top w:val="single" w:color="auto" w:sz="4" w:space="0"/>
              <w:left w:val="single" w:color="auto" w:sz="4" w:space="0"/>
              <w:bottom w:val="single" w:color="auto" w:sz="4" w:space="0"/>
              <w:right w:val="single" w:color="auto" w:sz="4" w:space="0"/>
            </w:tcBorders>
            <w:vAlign w:val="center"/>
          </w:tcPr>
          <w:p w14:paraId="50507DBF">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建立24小时值班巡查制度，对房屋、公用设施进行巡查及值班进行记录。</w:t>
            </w:r>
          </w:p>
        </w:tc>
        <w:tc>
          <w:tcPr>
            <w:tcW w:w="777" w:type="dxa"/>
            <w:tcBorders>
              <w:top w:val="single" w:color="auto" w:sz="4" w:space="0"/>
              <w:left w:val="single" w:color="auto" w:sz="4" w:space="0"/>
              <w:bottom w:val="single" w:color="auto" w:sz="4" w:space="0"/>
              <w:right w:val="single" w:color="auto" w:sz="4" w:space="0"/>
            </w:tcBorders>
            <w:vAlign w:val="center"/>
          </w:tcPr>
          <w:p w14:paraId="5C97ABD1">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2319" w:type="dxa"/>
            <w:tcBorders>
              <w:top w:val="single" w:color="auto" w:sz="4" w:space="0"/>
              <w:left w:val="single" w:color="auto" w:sz="4" w:space="0"/>
              <w:bottom w:val="single" w:color="auto" w:sz="4" w:space="0"/>
              <w:right w:val="single" w:color="auto" w:sz="4" w:space="0"/>
            </w:tcBorders>
            <w:vAlign w:val="center"/>
          </w:tcPr>
          <w:p w14:paraId="05A88610">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938" w:type="dxa"/>
            <w:tcBorders>
              <w:top w:val="single" w:color="auto" w:sz="4" w:space="0"/>
              <w:left w:val="single" w:color="auto" w:sz="4" w:space="0"/>
              <w:bottom w:val="single" w:color="auto" w:sz="4" w:space="0"/>
              <w:right w:val="single" w:color="auto" w:sz="4" w:space="0"/>
            </w:tcBorders>
            <w:vAlign w:val="center"/>
          </w:tcPr>
          <w:p w14:paraId="429F2958">
            <w:pPr>
              <w:pStyle w:val="70"/>
              <w:shd w:val="clear"/>
              <w:jc w:val="center"/>
              <w:rPr>
                <w:color w:val="auto"/>
                <w:spacing w:val="6"/>
                <w:sz w:val="21"/>
                <w:szCs w:val="21"/>
                <w:highlight w:val="none"/>
                <w:lang w:eastAsia="zh-CN"/>
              </w:rPr>
            </w:pPr>
          </w:p>
        </w:tc>
      </w:tr>
      <w:tr w14:paraId="6AD56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677" w:type="dxa"/>
            <w:tcBorders>
              <w:top w:val="single" w:color="auto" w:sz="4" w:space="0"/>
              <w:left w:val="single" w:color="auto" w:sz="4" w:space="0"/>
              <w:bottom w:val="single" w:color="auto" w:sz="4" w:space="0"/>
              <w:right w:val="single" w:color="auto" w:sz="4" w:space="0"/>
            </w:tcBorders>
            <w:vAlign w:val="center"/>
          </w:tcPr>
          <w:p w14:paraId="477E6B12">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4</w:t>
            </w:r>
          </w:p>
        </w:tc>
        <w:tc>
          <w:tcPr>
            <w:tcW w:w="5549" w:type="dxa"/>
            <w:tcBorders>
              <w:top w:val="single" w:color="auto" w:sz="4" w:space="0"/>
              <w:left w:val="single" w:color="auto" w:sz="4" w:space="0"/>
              <w:bottom w:val="single" w:color="auto" w:sz="4" w:space="0"/>
              <w:right w:val="single" w:color="auto" w:sz="4" w:space="0"/>
            </w:tcBorders>
            <w:vAlign w:val="center"/>
          </w:tcPr>
          <w:p w14:paraId="2D1AE516">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建立生活垃圾分类投放责任制和日常管理制度，保证园区清洁。</w:t>
            </w:r>
          </w:p>
        </w:tc>
        <w:tc>
          <w:tcPr>
            <w:tcW w:w="777" w:type="dxa"/>
            <w:tcBorders>
              <w:top w:val="single" w:color="auto" w:sz="4" w:space="0"/>
              <w:left w:val="single" w:color="auto" w:sz="4" w:space="0"/>
              <w:bottom w:val="single" w:color="auto" w:sz="4" w:space="0"/>
              <w:right w:val="single" w:color="auto" w:sz="4" w:space="0"/>
            </w:tcBorders>
            <w:vAlign w:val="center"/>
          </w:tcPr>
          <w:p w14:paraId="72AFE2BF">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2319" w:type="dxa"/>
            <w:tcBorders>
              <w:top w:val="single" w:color="auto" w:sz="4" w:space="0"/>
              <w:left w:val="single" w:color="auto" w:sz="4" w:space="0"/>
              <w:bottom w:val="single" w:color="auto" w:sz="4" w:space="0"/>
              <w:right w:val="single" w:color="auto" w:sz="4" w:space="0"/>
            </w:tcBorders>
            <w:vAlign w:val="center"/>
          </w:tcPr>
          <w:p w14:paraId="28C276F6">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938" w:type="dxa"/>
            <w:tcBorders>
              <w:top w:val="single" w:color="auto" w:sz="4" w:space="0"/>
              <w:left w:val="single" w:color="auto" w:sz="4" w:space="0"/>
              <w:bottom w:val="single" w:color="auto" w:sz="4" w:space="0"/>
              <w:right w:val="single" w:color="auto" w:sz="4" w:space="0"/>
            </w:tcBorders>
            <w:vAlign w:val="center"/>
          </w:tcPr>
          <w:p w14:paraId="05D26716">
            <w:pPr>
              <w:pStyle w:val="70"/>
              <w:shd w:val="clear"/>
              <w:jc w:val="center"/>
              <w:rPr>
                <w:color w:val="auto"/>
                <w:spacing w:val="6"/>
                <w:sz w:val="21"/>
                <w:szCs w:val="21"/>
                <w:highlight w:val="none"/>
                <w:lang w:eastAsia="zh-CN"/>
              </w:rPr>
            </w:pPr>
          </w:p>
        </w:tc>
      </w:tr>
      <w:tr w14:paraId="3C8A7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645" w:hRule="atLeast"/>
        </w:trPr>
        <w:tc>
          <w:tcPr>
            <w:tcW w:w="677" w:type="dxa"/>
            <w:tcBorders>
              <w:top w:val="single" w:color="auto" w:sz="4" w:space="0"/>
              <w:left w:val="single" w:color="auto" w:sz="4" w:space="0"/>
              <w:bottom w:val="single" w:color="auto" w:sz="4" w:space="0"/>
              <w:right w:val="single" w:color="auto" w:sz="4" w:space="0"/>
            </w:tcBorders>
            <w:vAlign w:val="center"/>
          </w:tcPr>
          <w:p w14:paraId="2AA40ADF">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5549" w:type="dxa"/>
            <w:tcBorders>
              <w:top w:val="single" w:color="auto" w:sz="4" w:space="0"/>
              <w:left w:val="single" w:color="auto" w:sz="4" w:space="0"/>
              <w:bottom w:val="single" w:color="auto" w:sz="4" w:space="0"/>
              <w:right w:val="single" w:color="auto" w:sz="4" w:space="0"/>
            </w:tcBorders>
            <w:vAlign w:val="center"/>
          </w:tcPr>
          <w:p w14:paraId="2958B933">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设立服务电话并上墙公示，接受招标人和承租户对物业管理服务保修、求助、建议、问询、投诉等信息的收集、处理和反馈，并进行记录。</w:t>
            </w:r>
          </w:p>
        </w:tc>
        <w:tc>
          <w:tcPr>
            <w:tcW w:w="777" w:type="dxa"/>
            <w:tcBorders>
              <w:top w:val="single" w:color="auto" w:sz="4" w:space="0"/>
              <w:left w:val="single" w:color="auto" w:sz="4" w:space="0"/>
              <w:bottom w:val="single" w:color="auto" w:sz="4" w:space="0"/>
              <w:right w:val="single" w:color="auto" w:sz="4" w:space="0"/>
            </w:tcBorders>
            <w:vAlign w:val="center"/>
          </w:tcPr>
          <w:p w14:paraId="1F75D429">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2319" w:type="dxa"/>
            <w:tcBorders>
              <w:top w:val="single" w:color="auto" w:sz="4" w:space="0"/>
              <w:left w:val="single" w:color="auto" w:sz="4" w:space="0"/>
              <w:bottom w:val="single" w:color="auto" w:sz="4" w:space="0"/>
              <w:right w:val="single" w:color="auto" w:sz="4" w:space="0"/>
            </w:tcBorders>
            <w:vAlign w:val="center"/>
          </w:tcPr>
          <w:p w14:paraId="6FFBB00D">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938" w:type="dxa"/>
            <w:tcBorders>
              <w:top w:val="single" w:color="auto" w:sz="4" w:space="0"/>
              <w:left w:val="single" w:color="auto" w:sz="4" w:space="0"/>
              <w:bottom w:val="single" w:color="auto" w:sz="4" w:space="0"/>
              <w:right w:val="single" w:color="auto" w:sz="4" w:space="0"/>
            </w:tcBorders>
            <w:vAlign w:val="center"/>
          </w:tcPr>
          <w:p w14:paraId="4D9DCB97">
            <w:pPr>
              <w:pStyle w:val="70"/>
              <w:shd w:val="clear"/>
              <w:jc w:val="center"/>
              <w:rPr>
                <w:color w:val="auto"/>
                <w:spacing w:val="6"/>
                <w:sz w:val="21"/>
                <w:szCs w:val="21"/>
                <w:highlight w:val="none"/>
                <w:lang w:eastAsia="zh-CN"/>
              </w:rPr>
            </w:pPr>
          </w:p>
        </w:tc>
      </w:tr>
      <w:tr w14:paraId="52EE98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677" w:type="dxa"/>
            <w:tcBorders>
              <w:top w:val="single" w:color="auto" w:sz="4" w:space="0"/>
              <w:left w:val="single" w:color="auto" w:sz="4" w:space="0"/>
              <w:bottom w:val="single" w:color="auto" w:sz="4" w:space="0"/>
              <w:right w:val="single" w:color="auto" w:sz="4" w:space="0"/>
            </w:tcBorders>
            <w:vAlign w:val="center"/>
          </w:tcPr>
          <w:p w14:paraId="0376A469">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6</w:t>
            </w:r>
          </w:p>
        </w:tc>
        <w:tc>
          <w:tcPr>
            <w:tcW w:w="5549" w:type="dxa"/>
            <w:tcBorders>
              <w:top w:val="single" w:color="auto" w:sz="4" w:space="0"/>
              <w:left w:val="single" w:color="auto" w:sz="4" w:space="0"/>
              <w:bottom w:val="single" w:color="auto" w:sz="4" w:space="0"/>
              <w:right w:val="single" w:color="auto" w:sz="4" w:space="0"/>
            </w:tcBorders>
            <w:vAlign w:val="center"/>
          </w:tcPr>
          <w:p w14:paraId="5B09B912">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工作人员着装规范、工作严谨，安保配备对讲机等工具。</w:t>
            </w:r>
          </w:p>
        </w:tc>
        <w:tc>
          <w:tcPr>
            <w:tcW w:w="777" w:type="dxa"/>
            <w:tcBorders>
              <w:top w:val="single" w:color="auto" w:sz="4" w:space="0"/>
              <w:left w:val="single" w:color="auto" w:sz="4" w:space="0"/>
              <w:bottom w:val="single" w:color="auto" w:sz="4" w:space="0"/>
              <w:right w:val="single" w:color="auto" w:sz="4" w:space="0"/>
            </w:tcBorders>
            <w:vAlign w:val="center"/>
          </w:tcPr>
          <w:p w14:paraId="4FF9DA5B">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2319" w:type="dxa"/>
            <w:tcBorders>
              <w:top w:val="single" w:color="auto" w:sz="4" w:space="0"/>
              <w:left w:val="single" w:color="auto" w:sz="4" w:space="0"/>
              <w:bottom w:val="single" w:color="auto" w:sz="4" w:space="0"/>
              <w:right w:val="single" w:color="auto" w:sz="4" w:space="0"/>
            </w:tcBorders>
            <w:vAlign w:val="center"/>
          </w:tcPr>
          <w:p w14:paraId="405B71F0">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938" w:type="dxa"/>
            <w:tcBorders>
              <w:top w:val="single" w:color="auto" w:sz="4" w:space="0"/>
              <w:left w:val="single" w:color="auto" w:sz="4" w:space="0"/>
              <w:bottom w:val="single" w:color="auto" w:sz="4" w:space="0"/>
              <w:right w:val="single" w:color="auto" w:sz="4" w:space="0"/>
            </w:tcBorders>
            <w:vAlign w:val="center"/>
          </w:tcPr>
          <w:p w14:paraId="00DB3F38">
            <w:pPr>
              <w:pStyle w:val="70"/>
              <w:shd w:val="clear"/>
              <w:jc w:val="center"/>
              <w:rPr>
                <w:color w:val="auto"/>
                <w:spacing w:val="6"/>
                <w:sz w:val="21"/>
                <w:szCs w:val="21"/>
                <w:highlight w:val="none"/>
                <w:lang w:eastAsia="zh-CN"/>
              </w:rPr>
            </w:pPr>
          </w:p>
        </w:tc>
      </w:tr>
      <w:tr w14:paraId="1C203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645" w:hRule="atLeast"/>
        </w:trPr>
        <w:tc>
          <w:tcPr>
            <w:tcW w:w="677" w:type="dxa"/>
            <w:tcBorders>
              <w:top w:val="single" w:color="auto" w:sz="4" w:space="0"/>
              <w:left w:val="single" w:color="auto" w:sz="4" w:space="0"/>
              <w:bottom w:val="single" w:color="auto" w:sz="4" w:space="0"/>
              <w:right w:val="single" w:color="auto" w:sz="4" w:space="0"/>
            </w:tcBorders>
            <w:vAlign w:val="center"/>
          </w:tcPr>
          <w:p w14:paraId="29A012B9">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7</w:t>
            </w:r>
          </w:p>
        </w:tc>
        <w:tc>
          <w:tcPr>
            <w:tcW w:w="5549" w:type="dxa"/>
            <w:tcBorders>
              <w:top w:val="single" w:color="auto" w:sz="4" w:space="0"/>
              <w:left w:val="single" w:color="auto" w:sz="4" w:space="0"/>
              <w:bottom w:val="single" w:color="auto" w:sz="4" w:space="0"/>
              <w:right w:val="single" w:color="auto" w:sz="4" w:space="0"/>
            </w:tcBorders>
            <w:vAlign w:val="center"/>
          </w:tcPr>
          <w:p w14:paraId="2C8C3E9F">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发生突发事件的，能第一时间内妥善采取应急措施，如有需要应向有关部门报案，并依法协助公安等部门履行公务。</w:t>
            </w:r>
          </w:p>
        </w:tc>
        <w:tc>
          <w:tcPr>
            <w:tcW w:w="777" w:type="dxa"/>
            <w:tcBorders>
              <w:top w:val="single" w:color="auto" w:sz="4" w:space="0"/>
              <w:left w:val="single" w:color="auto" w:sz="4" w:space="0"/>
              <w:bottom w:val="single" w:color="auto" w:sz="4" w:space="0"/>
              <w:right w:val="single" w:color="auto" w:sz="4" w:space="0"/>
            </w:tcBorders>
            <w:vAlign w:val="center"/>
          </w:tcPr>
          <w:p w14:paraId="2D640A25">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6</w:t>
            </w:r>
          </w:p>
        </w:tc>
        <w:tc>
          <w:tcPr>
            <w:tcW w:w="2319" w:type="dxa"/>
            <w:tcBorders>
              <w:top w:val="single" w:color="auto" w:sz="4" w:space="0"/>
              <w:left w:val="single" w:color="auto" w:sz="4" w:space="0"/>
              <w:bottom w:val="single" w:color="auto" w:sz="4" w:space="0"/>
              <w:right w:val="single" w:color="auto" w:sz="4" w:space="0"/>
            </w:tcBorders>
            <w:vAlign w:val="center"/>
          </w:tcPr>
          <w:p w14:paraId="41CAFF43">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938" w:type="dxa"/>
            <w:tcBorders>
              <w:top w:val="single" w:color="auto" w:sz="4" w:space="0"/>
              <w:left w:val="single" w:color="auto" w:sz="4" w:space="0"/>
              <w:bottom w:val="single" w:color="auto" w:sz="4" w:space="0"/>
              <w:right w:val="single" w:color="auto" w:sz="4" w:space="0"/>
            </w:tcBorders>
            <w:vAlign w:val="center"/>
          </w:tcPr>
          <w:p w14:paraId="74575B42">
            <w:pPr>
              <w:pStyle w:val="70"/>
              <w:shd w:val="clear"/>
              <w:jc w:val="center"/>
              <w:rPr>
                <w:color w:val="auto"/>
                <w:spacing w:val="6"/>
                <w:sz w:val="21"/>
                <w:szCs w:val="21"/>
                <w:highlight w:val="none"/>
                <w:lang w:eastAsia="zh-CN"/>
              </w:rPr>
            </w:pPr>
          </w:p>
        </w:tc>
      </w:tr>
      <w:tr w14:paraId="1E276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645" w:hRule="atLeast"/>
        </w:trPr>
        <w:tc>
          <w:tcPr>
            <w:tcW w:w="677" w:type="dxa"/>
            <w:tcBorders>
              <w:top w:val="single" w:color="auto" w:sz="4" w:space="0"/>
              <w:left w:val="single" w:color="auto" w:sz="4" w:space="0"/>
              <w:bottom w:val="single" w:color="auto" w:sz="4" w:space="0"/>
              <w:right w:val="single" w:color="auto" w:sz="4" w:space="0"/>
            </w:tcBorders>
            <w:vAlign w:val="center"/>
          </w:tcPr>
          <w:p w14:paraId="5AB300F6">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8</w:t>
            </w:r>
          </w:p>
        </w:tc>
        <w:tc>
          <w:tcPr>
            <w:tcW w:w="5549" w:type="dxa"/>
            <w:tcBorders>
              <w:top w:val="single" w:color="auto" w:sz="4" w:space="0"/>
              <w:left w:val="single" w:color="auto" w:sz="4" w:space="0"/>
              <w:bottom w:val="single" w:color="auto" w:sz="4" w:space="0"/>
              <w:right w:val="single" w:color="auto" w:sz="4" w:space="0"/>
            </w:tcBorders>
            <w:vAlign w:val="center"/>
          </w:tcPr>
          <w:p w14:paraId="438B2ED4">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加强对进出车辆（含非机动车）的管理，保持车辆出入畅通，停放有序。对大宗物品运离园区的进行登记、检查。</w:t>
            </w:r>
          </w:p>
        </w:tc>
        <w:tc>
          <w:tcPr>
            <w:tcW w:w="777" w:type="dxa"/>
            <w:tcBorders>
              <w:top w:val="single" w:color="auto" w:sz="4" w:space="0"/>
              <w:left w:val="single" w:color="auto" w:sz="4" w:space="0"/>
              <w:bottom w:val="single" w:color="auto" w:sz="4" w:space="0"/>
              <w:right w:val="single" w:color="auto" w:sz="4" w:space="0"/>
            </w:tcBorders>
            <w:vAlign w:val="center"/>
          </w:tcPr>
          <w:p w14:paraId="584F7AC8">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6</w:t>
            </w:r>
          </w:p>
        </w:tc>
        <w:tc>
          <w:tcPr>
            <w:tcW w:w="2319" w:type="dxa"/>
            <w:tcBorders>
              <w:top w:val="single" w:color="auto" w:sz="4" w:space="0"/>
              <w:left w:val="single" w:color="auto" w:sz="4" w:space="0"/>
              <w:bottom w:val="single" w:color="auto" w:sz="4" w:space="0"/>
              <w:right w:val="single" w:color="auto" w:sz="4" w:space="0"/>
            </w:tcBorders>
            <w:vAlign w:val="center"/>
          </w:tcPr>
          <w:p w14:paraId="10831923">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938" w:type="dxa"/>
            <w:tcBorders>
              <w:top w:val="single" w:color="auto" w:sz="4" w:space="0"/>
              <w:left w:val="single" w:color="auto" w:sz="4" w:space="0"/>
              <w:bottom w:val="single" w:color="auto" w:sz="4" w:space="0"/>
              <w:right w:val="single" w:color="auto" w:sz="4" w:space="0"/>
            </w:tcBorders>
            <w:vAlign w:val="center"/>
          </w:tcPr>
          <w:p w14:paraId="7DA2309E">
            <w:pPr>
              <w:pStyle w:val="70"/>
              <w:shd w:val="clear"/>
              <w:jc w:val="center"/>
              <w:rPr>
                <w:color w:val="auto"/>
                <w:spacing w:val="6"/>
                <w:sz w:val="21"/>
                <w:szCs w:val="21"/>
                <w:highlight w:val="none"/>
                <w:lang w:eastAsia="zh-CN"/>
              </w:rPr>
            </w:pPr>
          </w:p>
        </w:tc>
      </w:tr>
      <w:tr w14:paraId="46F98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645" w:hRule="atLeast"/>
        </w:trPr>
        <w:tc>
          <w:tcPr>
            <w:tcW w:w="677" w:type="dxa"/>
            <w:tcBorders>
              <w:top w:val="single" w:color="auto" w:sz="4" w:space="0"/>
              <w:left w:val="single" w:color="auto" w:sz="4" w:space="0"/>
              <w:bottom w:val="single" w:color="auto" w:sz="4" w:space="0"/>
              <w:right w:val="single" w:color="auto" w:sz="4" w:space="0"/>
            </w:tcBorders>
            <w:vAlign w:val="center"/>
          </w:tcPr>
          <w:p w14:paraId="521093B0">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9</w:t>
            </w:r>
          </w:p>
        </w:tc>
        <w:tc>
          <w:tcPr>
            <w:tcW w:w="5549" w:type="dxa"/>
            <w:tcBorders>
              <w:top w:val="single" w:color="auto" w:sz="4" w:space="0"/>
              <w:left w:val="single" w:color="auto" w:sz="4" w:space="0"/>
              <w:bottom w:val="single" w:color="auto" w:sz="4" w:space="0"/>
              <w:right w:val="single" w:color="auto" w:sz="4" w:space="0"/>
            </w:tcBorders>
            <w:vAlign w:val="center"/>
          </w:tcPr>
          <w:p w14:paraId="0F2706AA">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每年对各类应急预案安排不少于一次的演练，演练活动报备招标人。每楼道必须安装一只以上的灭火器（必须在合格期内）。</w:t>
            </w:r>
          </w:p>
        </w:tc>
        <w:tc>
          <w:tcPr>
            <w:tcW w:w="777" w:type="dxa"/>
            <w:tcBorders>
              <w:top w:val="single" w:color="auto" w:sz="4" w:space="0"/>
              <w:left w:val="single" w:color="auto" w:sz="4" w:space="0"/>
              <w:bottom w:val="single" w:color="auto" w:sz="4" w:space="0"/>
              <w:right w:val="single" w:color="auto" w:sz="4" w:space="0"/>
            </w:tcBorders>
            <w:vAlign w:val="center"/>
          </w:tcPr>
          <w:p w14:paraId="321A21DD">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10</w:t>
            </w:r>
          </w:p>
        </w:tc>
        <w:tc>
          <w:tcPr>
            <w:tcW w:w="2319" w:type="dxa"/>
            <w:tcBorders>
              <w:top w:val="single" w:color="auto" w:sz="4" w:space="0"/>
              <w:left w:val="single" w:color="auto" w:sz="4" w:space="0"/>
              <w:bottom w:val="single" w:color="auto" w:sz="4" w:space="0"/>
              <w:right w:val="single" w:color="auto" w:sz="4" w:space="0"/>
            </w:tcBorders>
            <w:vAlign w:val="center"/>
          </w:tcPr>
          <w:p w14:paraId="0DC56280">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 xml:space="preserve">缺少一项，扣 1 分 </w:t>
            </w:r>
          </w:p>
          <w:p w14:paraId="09D2DE58">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少一个灭火器扣 0.5 分</w:t>
            </w:r>
          </w:p>
        </w:tc>
        <w:tc>
          <w:tcPr>
            <w:tcW w:w="938" w:type="dxa"/>
            <w:tcBorders>
              <w:top w:val="single" w:color="auto" w:sz="4" w:space="0"/>
              <w:left w:val="single" w:color="auto" w:sz="4" w:space="0"/>
              <w:bottom w:val="single" w:color="auto" w:sz="4" w:space="0"/>
              <w:right w:val="single" w:color="auto" w:sz="4" w:space="0"/>
            </w:tcBorders>
            <w:vAlign w:val="center"/>
          </w:tcPr>
          <w:p w14:paraId="28D8A83B">
            <w:pPr>
              <w:pStyle w:val="70"/>
              <w:shd w:val="clear"/>
              <w:jc w:val="center"/>
              <w:rPr>
                <w:color w:val="auto"/>
                <w:spacing w:val="6"/>
                <w:sz w:val="21"/>
                <w:szCs w:val="21"/>
                <w:highlight w:val="none"/>
                <w:lang w:eastAsia="zh-CN"/>
              </w:rPr>
            </w:pPr>
          </w:p>
        </w:tc>
      </w:tr>
      <w:tr w14:paraId="51F9B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871" w:hRule="atLeast"/>
        </w:trPr>
        <w:tc>
          <w:tcPr>
            <w:tcW w:w="677" w:type="dxa"/>
            <w:tcBorders>
              <w:top w:val="single" w:color="auto" w:sz="4" w:space="0"/>
              <w:left w:val="single" w:color="auto" w:sz="4" w:space="0"/>
              <w:bottom w:val="single" w:color="auto" w:sz="4" w:space="0"/>
              <w:right w:val="single" w:color="auto" w:sz="4" w:space="0"/>
            </w:tcBorders>
            <w:vAlign w:val="center"/>
          </w:tcPr>
          <w:p w14:paraId="1AA8095C">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10</w:t>
            </w:r>
          </w:p>
        </w:tc>
        <w:tc>
          <w:tcPr>
            <w:tcW w:w="5549" w:type="dxa"/>
            <w:tcBorders>
              <w:top w:val="single" w:color="auto" w:sz="4" w:space="0"/>
              <w:left w:val="single" w:color="auto" w:sz="4" w:space="0"/>
              <w:bottom w:val="single" w:color="auto" w:sz="4" w:space="0"/>
              <w:right w:val="single" w:color="auto" w:sz="4" w:space="0"/>
            </w:tcBorders>
            <w:vAlign w:val="center"/>
          </w:tcPr>
          <w:p w14:paraId="119A16C4">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保障园区内整洁干净，协助承租户进行垃圾分类并正确投放垃圾，垃圾统一堆放并能够及时清理。定时巡查，建立档案，确保垃圾日产日清，无环境污染，保洁设施完好。</w:t>
            </w:r>
          </w:p>
        </w:tc>
        <w:tc>
          <w:tcPr>
            <w:tcW w:w="777" w:type="dxa"/>
            <w:tcBorders>
              <w:top w:val="single" w:color="auto" w:sz="4" w:space="0"/>
              <w:left w:val="single" w:color="auto" w:sz="4" w:space="0"/>
              <w:bottom w:val="single" w:color="auto" w:sz="4" w:space="0"/>
              <w:right w:val="single" w:color="auto" w:sz="4" w:space="0"/>
            </w:tcBorders>
            <w:vAlign w:val="center"/>
          </w:tcPr>
          <w:p w14:paraId="2EA5E1F6">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2319" w:type="dxa"/>
            <w:tcBorders>
              <w:top w:val="single" w:color="auto" w:sz="4" w:space="0"/>
              <w:left w:val="single" w:color="auto" w:sz="4" w:space="0"/>
              <w:bottom w:val="single" w:color="auto" w:sz="4" w:space="0"/>
              <w:right w:val="single" w:color="auto" w:sz="4" w:space="0"/>
            </w:tcBorders>
            <w:vAlign w:val="center"/>
          </w:tcPr>
          <w:p w14:paraId="1FA0486C">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938" w:type="dxa"/>
            <w:tcBorders>
              <w:top w:val="single" w:color="auto" w:sz="4" w:space="0"/>
              <w:left w:val="single" w:color="auto" w:sz="4" w:space="0"/>
              <w:bottom w:val="single" w:color="auto" w:sz="4" w:space="0"/>
              <w:right w:val="single" w:color="auto" w:sz="4" w:space="0"/>
            </w:tcBorders>
            <w:vAlign w:val="center"/>
          </w:tcPr>
          <w:p w14:paraId="05D916AC">
            <w:pPr>
              <w:pStyle w:val="70"/>
              <w:shd w:val="clear"/>
              <w:jc w:val="center"/>
              <w:rPr>
                <w:color w:val="auto"/>
                <w:spacing w:val="6"/>
                <w:sz w:val="21"/>
                <w:szCs w:val="21"/>
                <w:highlight w:val="none"/>
                <w:lang w:eastAsia="zh-CN"/>
              </w:rPr>
            </w:pPr>
          </w:p>
        </w:tc>
      </w:tr>
      <w:tr w14:paraId="0AFB5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645" w:hRule="atLeast"/>
        </w:trPr>
        <w:tc>
          <w:tcPr>
            <w:tcW w:w="677" w:type="dxa"/>
            <w:tcBorders>
              <w:top w:val="single" w:color="auto" w:sz="4" w:space="0"/>
              <w:left w:val="single" w:color="auto" w:sz="4" w:space="0"/>
              <w:bottom w:val="single" w:color="auto" w:sz="4" w:space="0"/>
              <w:right w:val="single" w:color="auto" w:sz="4" w:space="0"/>
            </w:tcBorders>
            <w:vAlign w:val="center"/>
          </w:tcPr>
          <w:p w14:paraId="4E4C5366">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11</w:t>
            </w:r>
          </w:p>
        </w:tc>
        <w:tc>
          <w:tcPr>
            <w:tcW w:w="5549" w:type="dxa"/>
            <w:tcBorders>
              <w:top w:val="single" w:color="auto" w:sz="4" w:space="0"/>
              <w:left w:val="single" w:color="auto" w:sz="4" w:space="0"/>
              <w:bottom w:val="single" w:color="auto" w:sz="4" w:space="0"/>
              <w:right w:val="single" w:color="auto" w:sz="4" w:space="0"/>
            </w:tcBorders>
            <w:vAlign w:val="center"/>
          </w:tcPr>
          <w:p w14:paraId="07279544">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房屋维修及时率达99%以上，零星维修合格率100%。建立维修服务回访制度，有回访记录。</w:t>
            </w:r>
          </w:p>
        </w:tc>
        <w:tc>
          <w:tcPr>
            <w:tcW w:w="777" w:type="dxa"/>
            <w:tcBorders>
              <w:top w:val="single" w:color="auto" w:sz="4" w:space="0"/>
              <w:left w:val="single" w:color="auto" w:sz="4" w:space="0"/>
              <w:bottom w:val="single" w:color="auto" w:sz="4" w:space="0"/>
              <w:right w:val="single" w:color="auto" w:sz="4" w:space="0"/>
            </w:tcBorders>
            <w:vAlign w:val="center"/>
          </w:tcPr>
          <w:p w14:paraId="59291B0A">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6</w:t>
            </w:r>
          </w:p>
        </w:tc>
        <w:tc>
          <w:tcPr>
            <w:tcW w:w="2319" w:type="dxa"/>
            <w:tcBorders>
              <w:top w:val="single" w:color="auto" w:sz="4" w:space="0"/>
              <w:left w:val="single" w:color="auto" w:sz="4" w:space="0"/>
              <w:bottom w:val="single" w:color="auto" w:sz="4" w:space="0"/>
              <w:right w:val="single" w:color="auto" w:sz="4" w:space="0"/>
            </w:tcBorders>
            <w:vAlign w:val="center"/>
          </w:tcPr>
          <w:p w14:paraId="624327E4">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938" w:type="dxa"/>
            <w:tcBorders>
              <w:top w:val="single" w:color="auto" w:sz="4" w:space="0"/>
              <w:left w:val="single" w:color="auto" w:sz="4" w:space="0"/>
              <w:bottom w:val="single" w:color="auto" w:sz="4" w:space="0"/>
              <w:right w:val="single" w:color="auto" w:sz="4" w:space="0"/>
            </w:tcBorders>
            <w:vAlign w:val="center"/>
          </w:tcPr>
          <w:p w14:paraId="2EB56377">
            <w:pPr>
              <w:pStyle w:val="70"/>
              <w:shd w:val="clear"/>
              <w:jc w:val="center"/>
              <w:rPr>
                <w:color w:val="auto"/>
                <w:spacing w:val="6"/>
                <w:sz w:val="21"/>
                <w:szCs w:val="21"/>
                <w:highlight w:val="none"/>
                <w:lang w:eastAsia="zh-CN"/>
              </w:rPr>
            </w:pPr>
          </w:p>
        </w:tc>
      </w:tr>
      <w:tr w14:paraId="6DED7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871" w:hRule="atLeast"/>
        </w:trPr>
        <w:tc>
          <w:tcPr>
            <w:tcW w:w="677" w:type="dxa"/>
            <w:tcBorders>
              <w:top w:val="single" w:color="auto" w:sz="4" w:space="0"/>
              <w:left w:val="single" w:color="auto" w:sz="4" w:space="0"/>
              <w:bottom w:val="single" w:color="auto" w:sz="4" w:space="0"/>
              <w:right w:val="single" w:color="auto" w:sz="4" w:space="0"/>
            </w:tcBorders>
            <w:vAlign w:val="center"/>
          </w:tcPr>
          <w:p w14:paraId="7EF58A70">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12</w:t>
            </w:r>
          </w:p>
        </w:tc>
        <w:tc>
          <w:tcPr>
            <w:tcW w:w="5549" w:type="dxa"/>
            <w:tcBorders>
              <w:top w:val="single" w:color="auto" w:sz="4" w:space="0"/>
              <w:left w:val="single" w:color="auto" w:sz="4" w:space="0"/>
              <w:bottom w:val="single" w:color="auto" w:sz="4" w:space="0"/>
              <w:right w:val="single" w:color="auto" w:sz="4" w:space="0"/>
            </w:tcBorders>
            <w:vAlign w:val="center"/>
          </w:tcPr>
          <w:p w14:paraId="3FAB59EE">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维护和保障园区内公共配套设备、设施状态良好，运作正常、无事故隐患；高配设备保证24小时有人值班；房屋建筑完好率达到99%，道路、停车场完好率达到99%以上。</w:t>
            </w:r>
          </w:p>
        </w:tc>
        <w:tc>
          <w:tcPr>
            <w:tcW w:w="777" w:type="dxa"/>
            <w:tcBorders>
              <w:top w:val="single" w:color="auto" w:sz="4" w:space="0"/>
              <w:left w:val="single" w:color="auto" w:sz="4" w:space="0"/>
              <w:bottom w:val="single" w:color="auto" w:sz="4" w:space="0"/>
              <w:right w:val="single" w:color="auto" w:sz="4" w:space="0"/>
            </w:tcBorders>
            <w:vAlign w:val="center"/>
          </w:tcPr>
          <w:p w14:paraId="24F96B95">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2319" w:type="dxa"/>
            <w:tcBorders>
              <w:top w:val="single" w:color="auto" w:sz="4" w:space="0"/>
              <w:left w:val="single" w:color="auto" w:sz="4" w:space="0"/>
              <w:bottom w:val="single" w:color="auto" w:sz="4" w:space="0"/>
              <w:right w:val="single" w:color="auto" w:sz="4" w:space="0"/>
            </w:tcBorders>
            <w:vAlign w:val="center"/>
          </w:tcPr>
          <w:p w14:paraId="34D27EEF">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938" w:type="dxa"/>
            <w:tcBorders>
              <w:top w:val="single" w:color="auto" w:sz="4" w:space="0"/>
              <w:left w:val="single" w:color="auto" w:sz="4" w:space="0"/>
              <w:bottom w:val="single" w:color="auto" w:sz="4" w:space="0"/>
              <w:right w:val="single" w:color="auto" w:sz="4" w:space="0"/>
            </w:tcBorders>
            <w:vAlign w:val="center"/>
          </w:tcPr>
          <w:p w14:paraId="10C79DF1">
            <w:pPr>
              <w:pStyle w:val="70"/>
              <w:shd w:val="clear"/>
              <w:jc w:val="center"/>
              <w:rPr>
                <w:color w:val="auto"/>
                <w:spacing w:val="6"/>
                <w:sz w:val="21"/>
                <w:szCs w:val="21"/>
                <w:highlight w:val="none"/>
                <w:lang w:eastAsia="zh-CN"/>
              </w:rPr>
            </w:pPr>
          </w:p>
        </w:tc>
      </w:tr>
      <w:tr w14:paraId="6509A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871" w:hRule="atLeast"/>
        </w:trPr>
        <w:tc>
          <w:tcPr>
            <w:tcW w:w="677" w:type="dxa"/>
            <w:tcBorders>
              <w:top w:val="single" w:color="auto" w:sz="4" w:space="0"/>
              <w:left w:val="single" w:color="auto" w:sz="4" w:space="0"/>
              <w:bottom w:val="single" w:color="auto" w:sz="4" w:space="0"/>
              <w:right w:val="single" w:color="auto" w:sz="4" w:space="0"/>
            </w:tcBorders>
            <w:vAlign w:val="center"/>
          </w:tcPr>
          <w:p w14:paraId="19B38876">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13</w:t>
            </w:r>
          </w:p>
        </w:tc>
        <w:tc>
          <w:tcPr>
            <w:tcW w:w="5549" w:type="dxa"/>
            <w:tcBorders>
              <w:top w:val="single" w:color="auto" w:sz="4" w:space="0"/>
              <w:left w:val="single" w:color="auto" w:sz="4" w:space="0"/>
              <w:bottom w:val="single" w:color="auto" w:sz="4" w:space="0"/>
              <w:right w:val="single" w:color="auto" w:sz="4" w:space="0"/>
            </w:tcBorders>
            <w:vAlign w:val="center"/>
          </w:tcPr>
          <w:p w14:paraId="40B1AEA2">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做好消防安全工作，实行24小时消防及防盗监控值班；消防器材、设施定期维护检查，检查后应张贴或挂上检查标志，并做好检查记录，保证消防设备设施正常使用。</w:t>
            </w:r>
          </w:p>
        </w:tc>
        <w:tc>
          <w:tcPr>
            <w:tcW w:w="777" w:type="dxa"/>
            <w:tcBorders>
              <w:top w:val="single" w:color="auto" w:sz="4" w:space="0"/>
              <w:left w:val="single" w:color="auto" w:sz="4" w:space="0"/>
              <w:bottom w:val="single" w:color="auto" w:sz="4" w:space="0"/>
              <w:right w:val="single" w:color="auto" w:sz="4" w:space="0"/>
            </w:tcBorders>
            <w:vAlign w:val="center"/>
          </w:tcPr>
          <w:p w14:paraId="138975C7">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4</w:t>
            </w:r>
          </w:p>
        </w:tc>
        <w:tc>
          <w:tcPr>
            <w:tcW w:w="2319" w:type="dxa"/>
            <w:tcBorders>
              <w:top w:val="single" w:color="auto" w:sz="4" w:space="0"/>
              <w:left w:val="single" w:color="auto" w:sz="4" w:space="0"/>
              <w:bottom w:val="single" w:color="auto" w:sz="4" w:space="0"/>
              <w:right w:val="single" w:color="auto" w:sz="4" w:space="0"/>
            </w:tcBorders>
            <w:vAlign w:val="center"/>
          </w:tcPr>
          <w:p w14:paraId="051BC130">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938" w:type="dxa"/>
            <w:tcBorders>
              <w:top w:val="single" w:color="auto" w:sz="4" w:space="0"/>
              <w:left w:val="single" w:color="auto" w:sz="4" w:space="0"/>
              <w:bottom w:val="single" w:color="auto" w:sz="4" w:space="0"/>
              <w:right w:val="single" w:color="auto" w:sz="4" w:space="0"/>
            </w:tcBorders>
            <w:vAlign w:val="center"/>
          </w:tcPr>
          <w:p w14:paraId="10A67678">
            <w:pPr>
              <w:pStyle w:val="70"/>
              <w:shd w:val="clear"/>
              <w:jc w:val="center"/>
              <w:rPr>
                <w:color w:val="auto"/>
                <w:spacing w:val="6"/>
                <w:sz w:val="21"/>
                <w:szCs w:val="21"/>
                <w:highlight w:val="none"/>
                <w:lang w:eastAsia="zh-CN"/>
              </w:rPr>
            </w:pPr>
          </w:p>
        </w:tc>
      </w:tr>
      <w:tr w14:paraId="01491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677" w:type="dxa"/>
            <w:tcBorders>
              <w:top w:val="single" w:color="auto" w:sz="4" w:space="0"/>
              <w:left w:val="single" w:color="auto" w:sz="4" w:space="0"/>
              <w:bottom w:val="single" w:color="auto" w:sz="4" w:space="0"/>
              <w:right w:val="single" w:color="auto" w:sz="4" w:space="0"/>
            </w:tcBorders>
            <w:vAlign w:val="center"/>
          </w:tcPr>
          <w:p w14:paraId="51BBAEF2">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14</w:t>
            </w:r>
          </w:p>
        </w:tc>
        <w:tc>
          <w:tcPr>
            <w:tcW w:w="5549" w:type="dxa"/>
            <w:tcBorders>
              <w:top w:val="single" w:color="auto" w:sz="4" w:space="0"/>
              <w:left w:val="single" w:color="auto" w:sz="4" w:space="0"/>
              <w:bottom w:val="single" w:color="auto" w:sz="4" w:space="0"/>
              <w:right w:val="single" w:color="auto" w:sz="4" w:space="0"/>
            </w:tcBorders>
            <w:vAlign w:val="center"/>
          </w:tcPr>
          <w:p w14:paraId="1E702C54">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对占用、破坏市政设施的行为进行劝阻，并及时反映。</w:t>
            </w:r>
          </w:p>
        </w:tc>
        <w:tc>
          <w:tcPr>
            <w:tcW w:w="777" w:type="dxa"/>
            <w:tcBorders>
              <w:top w:val="single" w:color="auto" w:sz="4" w:space="0"/>
              <w:left w:val="single" w:color="auto" w:sz="4" w:space="0"/>
              <w:bottom w:val="single" w:color="auto" w:sz="4" w:space="0"/>
              <w:right w:val="single" w:color="auto" w:sz="4" w:space="0"/>
            </w:tcBorders>
            <w:vAlign w:val="center"/>
          </w:tcPr>
          <w:p w14:paraId="4A44F237">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2319" w:type="dxa"/>
            <w:tcBorders>
              <w:top w:val="single" w:color="auto" w:sz="4" w:space="0"/>
              <w:left w:val="single" w:color="auto" w:sz="4" w:space="0"/>
              <w:bottom w:val="single" w:color="auto" w:sz="4" w:space="0"/>
              <w:right w:val="single" w:color="auto" w:sz="4" w:space="0"/>
            </w:tcBorders>
            <w:vAlign w:val="center"/>
          </w:tcPr>
          <w:p w14:paraId="1C16C5F2">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938" w:type="dxa"/>
            <w:tcBorders>
              <w:top w:val="single" w:color="auto" w:sz="4" w:space="0"/>
              <w:left w:val="single" w:color="auto" w:sz="4" w:space="0"/>
              <w:bottom w:val="single" w:color="auto" w:sz="4" w:space="0"/>
              <w:right w:val="single" w:color="auto" w:sz="4" w:space="0"/>
            </w:tcBorders>
            <w:vAlign w:val="center"/>
          </w:tcPr>
          <w:p w14:paraId="1D0A96FC">
            <w:pPr>
              <w:pStyle w:val="70"/>
              <w:shd w:val="clear"/>
              <w:jc w:val="center"/>
              <w:rPr>
                <w:color w:val="auto"/>
                <w:spacing w:val="6"/>
                <w:sz w:val="21"/>
                <w:szCs w:val="21"/>
                <w:highlight w:val="none"/>
                <w:lang w:eastAsia="zh-CN"/>
              </w:rPr>
            </w:pPr>
          </w:p>
        </w:tc>
      </w:tr>
      <w:tr w14:paraId="6D98C7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677" w:type="dxa"/>
            <w:tcBorders>
              <w:top w:val="single" w:color="auto" w:sz="4" w:space="0"/>
              <w:left w:val="single" w:color="auto" w:sz="4" w:space="0"/>
              <w:bottom w:val="single" w:color="auto" w:sz="4" w:space="0"/>
              <w:right w:val="single" w:color="auto" w:sz="4" w:space="0"/>
            </w:tcBorders>
            <w:vAlign w:val="center"/>
          </w:tcPr>
          <w:p w14:paraId="567EE2A5">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15</w:t>
            </w:r>
          </w:p>
        </w:tc>
        <w:tc>
          <w:tcPr>
            <w:tcW w:w="5549" w:type="dxa"/>
            <w:tcBorders>
              <w:top w:val="single" w:color="auto" w:sz="4" w:space="0"/>
              <w:left w:val="single" w:color="auto" w:sz="4" w:space="0"/>
              <w:bottom w:val="single" w:color="auto" w:sz="4" w:space="0"/>
              <w:right w:val="single" w:color="auto" w:sz="4" w:space="0"/>
            </w:tcBorders>
            <w:vAlign w:val="center"/>
          </w:tcPr>
          <w:p w14:paraId="44598F78">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保障园区内绿化整齐美观、无病虫害、折损现象。</w:t>
            </w:r>
          </w:p>
        </w:tc>
        <w:tc>
          <w:tcPr>
            <w:tcW w:w="777" w:type="dxa"/>
            <w:tcBorders>
              <w:top w:val="single" w:color="auto" w:sz="4" w:space="0"/>
              <w:left w:val="single" w:color="auto" w:sz="4" w:space="0"/>
              <w:bottom w:val="single" w:color="auto" w:sz="4" w:space="0"/>
              <w:right w:val="single" w:color="auto" w:sz="4" w:space="0"/>
            </w:tcBorders>
            <w:vAlign w:val="center"/>
          </w:tcPr>
          <w:p w14:paraId="030E6438">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2319" w:type="dxa"/>
            <w:tcBorders>
              <w:top w:val="single" w:color="auto" w:sz="4" w:space="0"/>
              <w:left w:val="single" w:color="auto" w:sz="4" w:space="0"/>
              <w:bottom w:val="single" w:color="auto" w:sz="4" w:space="0"/>
              <w:right w:val="single" w:color="auto" w:sz="4" w:space="0"/>
            </w:tcBorders>
            <w:vAlign w:val="center"/>
          </w:tcPr>
          <w:p w14:paraId="19509F8B">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938" w:type="dxa"/>
            <w:tcBorders>
              <w:top w:val="single" w:color="auto" w:sz="4" w:space="0"/>
              <w:left w:val="single" w:color="auto" w:sz="4" w:space="0"/>
              <w:bottom w:val="single" w:color="auto" w:sz="4" w:space="0"/>
              <w:right w:val="single" w:color="auto" w:sz="4" w:space="0"/>
            </w:tcBorders>
            <w:vAlign w:val="center"/>
          </w:tcPr>
          <w:p w14:paraId="1D2261D7">
            <w:pPr>
              <w:pStyle w:val="70"/>
              <w:shd w:val="clear"/>
              <w:jc w:val="center"/>
              <w:rPr>
                <w:color w:val="auto"/>
                <w:spacing w:val="6"/>
                <w:sz w:val="21"/>
                <w:szCs w:val="21"/>
                <w:highlight w:val="none"/>
                <w:lang w:eastAsia="zh-CN"/>
              </w:rPr>
            </w:pPr>
          </w:p>
        </w:tc>
      </w:tr>
      <w:tr w14:paraId="30A0A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677" w:type="dxa"/>
            <w:tcBorders>
              <w:top w:val="single" w:color="auto" w:sz="4" w:space="0"/>
              <w:left w:val="single" w:color="auto" w:sz="4" w:space="0"/>
              <w:bottom w:val="single" w:color="auto" w:sz="4" w:space="0"/>
              <w:right w:val="single" w:color="auto" w:sz="4" w:space="0"/>
            </w:tcBorders>
            <w:vAlign w:val="center"/>
          </w:tcPr>
          <w:p w14:paraId="49EE3991">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16</w:t>
            </w:r>
          </w:p>
        </w:tc>
        <w:tc>
          <w:tcPr>
            <w:tcW w:w="5549" w:type="dxa"/>
            <w:tcBorders>
              <w:top w:val="single" w:color="auto" w:sz="4" w:space="0"/>
              <w:left w:val="single" w:color="auto" w:sz="4" w:space="0"/>
              <w:bottom w:val="single" w:color="auto" w:sz="4" w:space="0"/>
              <w:right w:val="single" w:color="auto" w:sz="4" w:space="0"/>
            </w:tcBorders>
            <w:vAlign w:val="center"/>
          </w:tcPr>
          <w:p w14:paraId="73965B73">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协助做好物业管理费的催缴工作，收缴率达90%以上。</w:t>
            </w:r>
          </w:p>
        </w:tc>
        <w:tc>
          <w:tcPr>
            <w:tcW w:w="777" w:type="dxa"/>
            <w:tcBorders>
              <w:top w:val="single" w:color="auto" w:sz="4" w:space="0"/>
              <w:left w:val="single" w:color="auto" w:sz="4" w:space="0"/>
              <w:bottom w:val="single" w:color="auto" w:sz="4" w:space="0"/>
              <w:right w:val="single" w:color="auto" w:sz="4" w:space="0"/>
            </w:tcBorders>
            <w:vAlign w:val="center"/>
          </w:tcPr>
          <w:p w14:paraId="572E501D">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2319" w:type="dxa"/>
            <w:tcBorders>
              <w:top w:val="single" w:color="auto" w:sz="4" w:space="0"/>
              <w:left w:val="single" w:color="auto" w:sz="4" w:space="0"/>
              <w:bottom w:val="single" w:color="auto" w:sz="4" w:space="0"/>
              <w:right w:val="single" w:color="auto" w:sz="4" w:space="0"/>
            </w:tcBorders>
            <w:vAlign w:val="center"/>
          </w:tcPr>
          <w:p w14:paraId="35209033">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938" w:type="dxa"/>
            <w:tcBorders>
              <w:top w:val="single" w:color="auto" w:sz="4" w:space="0"/>
              <w:left w:val="single" w:color="auto" w:sz="4" w:space="0"/>
              <w:bottom w:val="single" w:color="auto" w:sz="4" w:space="0"/>
              <w:right w:val="single" w:color="auto" w:sz="4" w:space="0"/>
            </w:tcBorders>
            <w:vAlign w:val="center"/>
          </w:tcPr>
          <w:p w14:paraId="3824A4CD">
            <w:pPr>
              <w:pStyle w:val="70"/>
              <w:shd w:val="clear"/>
              <w:jc w:val="center"/>
              <w:rPr>
                <w:color w:val="auto"/>
                <w:spacing w:val="6"/>
                <w:sz w:val="21"/>
                <w:szCs w:val="21"/>
                <w:highlight w:val="none"/>
                <w:lang w:eastAsia="zh-CN"/>
              </w:rPr>
            </w:pPr>
          </w:p>
        </w:tc>
      </w:tr>
      <w:tr w14:paraId="52B87F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645" w:hRule="atLeast"/>
        </w:trPr>
        <w:tc>
          <w:tcPr>
            <w:tcW w:w="677" w:type="dxa"/>
            <w:tcBorders>
              <w:top w:val="single" w:color="auto" w:sz="4" w:space="0"/>
              <w:left w:val="single" w:color="auto" w:sz="4" w:space="0"/>
              <w:bottom w:val="single" w:color="auto" w:sz="4" w:space="0"/>
              <w:right w:val="single" w:color="auto" w:sz="4" w:space="0"/>
            </w:tcBorders>
            <w:vAlign w:val="center"/>
          </w:tcPr>
          <w:p w14:paraId="3E5D72CF">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17</w:t>
            </w:r>
          </w:p>
        </w:tc>
        <w:tc>
          <w:tcPr>
            <w:tcW w:w="5549" w:type="dxa"/>
            <w:tcBorders>
              <w:top w:val="single" w:color="auto" w:sz="4" w:space="0"/>
              <w:left w:val="single" w:color="auto" w:sz="4" w:space="0"/>
              <w:bottom w:val="single" w:color="auto" w:sz="4" w:space="0"/>
              <w:right w:val="single" w:color="auto" w:sz="4" w:space="0"/>
            </w:tcBorders>
            <w:vAlign w:val="center"/>
          </w:tcPr>
          <w:p w14:paraId="72DE6B84">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及时催缴租户的水电费和公共能耗费，收缴率达90%（以物业提供的清单及实际代收金额为准）。</w:t>
            </w:r>
          </w:p>
        </w:tc>
        <w:tc>
          <w:tcPr>
            <w:tcW w:w="777" w:type="dxa"/>
            <w:tcBorders>
              <w:top w:val="single" w:color="auto" w:sz="4" w:space="0"/>
              <w:left w:val="single" w:color="auto" w:sz="4" w:space="0"/>
              <w:bottom w:val="single" w:color="auto" w:sz="4" w:space="0"/>
              <w:right w:val="single" w:color="auto" w:sz="4" w:space="0"/>
            </w:tcBorders>
            <w:vAlign w:val="center"/>
          </w:tcPr>
          <w:p w14:paraId="54B038D5">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2319" w:type="dxa"/>
            <w:tcBorders>
              <w:top w:val="single" w:color="auto" w:sz="4" w:space="0"/>
              <w:left w:val="single" w:color="auto" w:sz="4" w:space="0"/>
              <w:bottom w:val="single" w:color="auto" w:sz="4" w:space="0"/>
              <w:right w:val="single" w:color="auto" w:sz="4" w:space="0"/>
            </w:tcBorders>
            <w:vAlign w:val="center"/>
          </w:tcPr>
          <w:p w14:paraId="494C62E4">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938" w:type="dxa"/>
            <w:tcBorders>
              <w:top w:val="single" w:color="auto" w:sz="4" w:space="0"/>
              <w:left w:val="single" w:color="auto" w:sz="4" w:space="0"/>
              <w:bottom w:val="single" w:color="auto" w:sz="4" w:space="0"/>
              <w:right w:val="single" w:color="auto" w:sz="4" w:space="0"/>
            </w:tcBorders>
            <w:vAlign w:val="center"/>
          </w:tcPr>
          <w:p w14:paraId="3E36C989">
            <w:pPr>
              <w:pStyle w:val="70"/>
              <w:shd w:val="clear"/>
              <w:jc w:val="center"/>
              <w:rPr>
                <w:color w:val="auto"/>
                <w:spacing w:val="6"/>
                <w:sz w:val="21"/>
                <w:szCs w:val="21"/>
                <w:highlight w:val="none"/>
                <w:lang w:eastAsia="zh-CN"/>
              </w:rPr>
            </w:pPr>
          </w:p>
        </w:tc>
      </w:tr>
      <w:tr w14:paraId="2D8B2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645" w:hRule="atLeast"/>
        </w:trPr>
        <w:tc>
          <w:tcPr>
            <w:tcW w:w="677" w:type="dxa"/>
            <w:tcBorders>
              <w:top w:val="single" w:color="auto" w:sz="4" w:space="0"/>
              <w:left w:val="single" w:color="auto" w:sz="4" w:space="0"/>
              <w:bottom w:val="single" w:color="auto" w:sz="4" w:space="0"/>
              <w:right w:val="single" w:color="auto" w:sz="4" w:space="0"/>
            </w:tcBorders>
            <w:vAlign w:val="center"/>
          </w:tcPr>
          <w:p w14:paraId="39BAF8DC">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18</w:t>
            </w:r>
          </w:p>
        </w:tc>
        <w:tc>
          <w:tcPr>
            <w:tcW w:w="5549" w:type="dxa"/>
            <w:tcBorders>
              <w:top w:val="single" w:color="auto" w:sz="4" w:space="0"/>
              <w:left w:val="single" w:color="auto" w:sz="4" w:space="0"/>
              <w:bottom w:val="single" w:color="auto" w:sz="4" w:space="0"/>
              <w:right w:val="single" w:color="auto" w:sz="4" w:space="0"/>
            </w:tcBorders>
            <w:vAlign w:val="center"/>
          </w:tcPr>
          <w:p w14:paraId="06E0D216">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做好员工上岗培训，在态度、知识、技能三方面加强和提高，改进员工的行为和表现，培养高素质的从业人员，员工上岗培训率100%。</w:t>
            </w:r>
          </w:p>
        </w:tc>
        <w:tc>
          <w:tcPr>
            <w:tcW w:w="777" w:type="dxa"/>
            <w:tcBorders>
              <w:top w:val="single" w:color="auto" w:sz="4" w:space="0"/>
              <w:left w:val="single" w:color="auto" w:sz="4" w:space="0"/>
              <w:bottom w:val="single" w:color="auto" w:sz="4" w:space="0"/>
              <w:right w:val="single" w:color="auto" w:sz="4" w:space="0"/>
            </w:tcBorders>
            <w:vAlign w:val="center"/>
          </w:tcPr>
          <w:p w14:paraId="4DB6E4FF">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4</w:t>
            </w:r>
          </w:p>
        </w:tc>
        <w:tc>
          <w:tcPr>
            <w:tcW w:w="2319" w:type="dxa"/>
            <w:tcBorders>
              <w:top w:val="single" w:color="auto" w:sz="4" w:space="0"/>
              <w:left w:val="single" w:color="auto" w:sz="4" w:space="0"/>
              <w:bottom w:val="single" w:color="auto" w:sz="4" w:space="0"/>
              <w:right w:val="single" w:color="auto" w:sz="4" w:space="0"/>
            </w:tcBorders>
            <w:vAlign w:val="center"/>
          </w:tcPr>
          <w:p w14:paraId="4E7B06F8">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938" w:type="dxa"/>
            <w:tcBorders>
              <w:top w:val="single" w:color="auto" w:sz="4" w:space="0"/>
              <w:left w:val="single" w:color="auto" w:sz="4" w:space="0"/>
              <w:bottom w:val="single" w:color="auto" w:sz="4" w:space="0"/>
              <w:right w:val="single" w:color="auto" w:sz="4" w:space="0"/>
            </w:tcBorders>
            <w:vAlign w:val="center"/>
          </w:tcPr>
          <w:p w14:paraId="1F9BEC0A">
            <w:pPr>
              <w:pStyle w:val="70"/>
              <w:shd w:val="clear"/>
              <w:jc w:val="center"/>
              <w:rPr>
                <w:color w:val="auto"/>
                <w:spacing w:val="6"/>
                <w:sz w:val="21"/>
                <w:szCs w:val="21"/>
                <w:highlight w:val="none"/>
                <w:lang w:eastAsia="zh-CN"/>
              </w:rPr>
            </w:pPr>
          </w:p>
        </w:tc>
      </w:tr>
      <w:tr w14:paraId="508D0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645" w:hRule="atLeast"/>
        </w:trPr>
        <w:tc>
          <w:tcPr>
            <w:tcW w:w="677" w:type="dxa"/>
            <w:tcBorders>
              <w:top w:val="single" w:color="auto" w:sz="4" w:space="0"/>
              <w:left w:val="single" w:color="auto" w:sz="4" w:space="0"/>
              <w:bottom w:val="single" w:color="auto" w:sz="4" w:space="0"/>
              <w:right w:val="single" w:color="auto" w:sz="4" w:space="0"/>
            </w:tcBorders>
            <w:vAlign w:val="center"/>
          </w:tcPr>
          <w:p w14:paraId="108EAD0E">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19</w:t>
            </w:r>
          </w:p>
        </w:tc>
        <w:tc>
          <w:tcPr>
            <w:tcW w:w="5549" w:type="dxa"/>
            <w:tcBorders>
              <w:top w:val="single" w:color="auto" w:sz="4" w:space="0"/>
              <w:left w:val="single" w:color="auto" w:sz="4" w:space="0"/>
              <w:bottom w:val="single" w:color="auto" w:sz="4" w:space="0"/>
              <w:right w:val="single" w:color="auto" w:sz="4" w:space="0"/>
            </w:tcBorders>
            <w:vAlign w:val="center"/>
          </w:tcPr>
          <w:p w14:paraId="4DB77E59">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专人管理客户有效投诉，区别情况，分类处理，做好思想工作，建立档案，客户有效投诉率与处理率100%。</w:t>
            </w:r>
          </w:p>
        </w:tc>
        <w:tc>
          <w:tcPr>
            <w:tcW w:w="777" w:type="dxa"/>
            <w:tcBorders>
              <w:top w:val="single" w:color="auto" w:sz="4" w:space="0"/>
              <w:left w:val="single" w:color="auto" w:sz="4" w:space="0"/>
              <w:bottom w:val="single" w:color="auto" w:sz="4" w:space="0"/>
              <w:right w:val="single" w:color="auto" w:sz="4" w:space="0"/>
            </w:tcBorders>
            <w:vAlign w:val="center"/>
          </w:tcPr>
          <w:p w14:paraId="647CF789">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4</w:t>
            </w:r>
          </w:p>
        </w:tc>
        <w:tc>
          <w:tcPr>
            <w:tcW w:w="2319" w:type="dxa"/>
            <w:tcBorders>
              <w:top w:val="single" w:color="auto" w:sz="4" w:space="0"/>
              <w:left w:val="single" w:color="auto" w:sz="4" w:space="0"/>
              <w:bottom w:val="single" w:color="auto" w:sz="4" w:space="0"/>
              <w:right w:val="single" w:color="auto" w:sz="4" w:space="0"/>
            </w:tcBorders>
            <w:vAlign w:val="center"/>
          </w:tcPr>
          <w:p w14:paraId="399F0385">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938" w:type="dxa"/>
            <w:tcBorders>
              <w:top w:val="single" w:color="auto" w:sz="4" w:space="0"/>
              <w:left w:val="single" w:color="auto" w:sz="4" w:space="0"/>
              <w:bottom w:val="single" w:color="auto" w:sz="4" w:space="0"/>
              <w:right w:val="single" w:color="auto" w:sz="4" w:space="0"/>
            </w:tcBorders>
            <w:vAlign w:val="center"/>
          </w:tcPr>
          <w:p w14:paraId="5C326F1F">
            <w:pPr>
              <w:pStyle w:val="70"/>
              <w:shd w:val="clear"/>
              <w:jc w:val="center"/>
              <w:rPr>
                <w:color w:val="auto"/>
                <w:spacing w:val="6"/>
                <w:sz w:val="21"/>
                <w:szCs w:val="21"/>
                <w:highlight w:val="none"/>
                <w:lang w:eastAsia="zh-CN"/>
              </w:rPr>
            </w:pPr>
          </w:p>
        </w:tc>
      </w:tr>
      <w:tr w14:paraId="5439B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645" w:hRule="atLeast"/>
        </w:trPr>
        <w:tc>
          <w:tcPr>
            <w:tcW w:w="677" w:type="dxa"/>
            <w:tcBorders>
              <w:top w:val="single" w:color="auto" w:sz="4" w:space="0"/>
              <w:left w:val="single" w:color="auto" w:sz="4" w:space="0"/>
              <w:bottom w:val="single" w:color="auto" w:sz="4" w:space="0"/>
              <w:right w:val="single" w:color="auto" w:sz="4" w:space="0"/>
            </w:tcBorders>
            <w:vAlign w:val="center"/>
          </w:tcPr>
          <w:p w14:paraId="12F2C4C7">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附加分项</w:t>
            </w:r>
          </w:p>
        </w:tc>
        <w:tc>
          <w:tcPr>
            <w:tcW w:w="5549" w:type="dxa"/>
            <w:tcBorders>
              <w:top w:val="single" w:color="auto" w:sz="4" w:space="0"/>
              <w:left w:val="single" w:color="auto" w:sz="4" w:space="0"/>
              <w:bottom w:val="single" w:color="auto" w:sz="4" w:space="0"/>
              <w:right w:val="single" w:color="auto" w:sz="4" w:space="0"/>
            </w:tcBorders>
            <w:vAlign w:val="center"/>
          </w:tcPr>
          <w:p w14:paraId="20D0AE5F">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1、在招标人交付的临时性工作或在突发事件中有出色表现的。</w:t>
            </w:r>
          </w:p>
        </w:tc>
        <w:tc>
          <w:tcPr>
            <w:tcW w:w="777" w:type="dxa"/>
            <w:tcBorders>
              <w:top w:val="single" w:color="auto" w:sz="4" w:space="0"/>
              <w:left w:val="single" w:color="auto" w:sz="4" w:space="0"/>
              <w:bottom w:val="single" w:color="auto" w:sz="4" w:space="0"/>
              <w:right w:val="single" w:color="auto" w:sz="4" w:space="0"/>
            </w:tcBorders>
            <w:vAlign w:val="center"/>
          </w:tcPr>
          <w:p w14:paraId="5B924952">
            <w:pPr>
              <w:pStyle w:val="70"/>
              <w:shd w:val="clear"/>
              <w:jc w:val="center"/>
              <w:rPr>
                <w:color w:val="auto"/>
                <w:spacing w:val="6"/>
                <w:sz w:val="21"/>
                <w:szCs w:val="21"/>
                <w:highlight w:val="none"/>
                <w:lang w:eastAsia="zh-CN"/>
              </w:rPr>
            </w:pPr>
          </w:p>
        </w:tc>
        <w:tc>
          <w:tcPr>
            <w:tcW w:w="2319" w:type="dxa"/>
            <w:tcBorders>
              <w:top w:val="single" w:color="auto" w:sz="4" w:space="0"/>
              <w:left w:val="single" w:color="auto" w:sz="4" w:space="0"/>
              <w:bottom w:val="single" w:color="auto" w:sz="4" w:space="0"/>
              <w:right w:val="single" w:color="auto" w:sz="4" w:space="0"/>
            </w:tcBorders>
            <w:vAlign w:val="center"/>
          </w:tcPr>
          <w:p w14:paraId="25CAE56C">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发挥较大作用的加 5 分，</w:t>
            </w:r>
          </w:p>
          <w:p w14:paraId="4DDB70D9">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发挥重大作用的加 10 分。</w:t>
            </w:r>
          </w:p>
        </w:tc>
        <w:tc>
          <w:tcPr>
            <w:tcW w:w="938" w:type="dxa"/>
            <w:tcBorders>
              <w:top w:val="single" w:color="auto" w:sz="4" w:space="0"/>
              <w:left w:val="single" w:color="auto" w:sz="4" w:space="0"/>
              <w:bottom w:val="single" w:color="auto" w:sz="4" w:space="0"/>
              <w:right w:val="single" w:color="auto" w:sz="4" w:space="0"/>
            </w:tcBorders>
            <w:vAlign w:val="center"/>
          </w:tcPr>
          <w:p w14:paraId="15C6422C">
            <w:pPr>
              <w:pStyle w:val="70"/>
              <w:shd w:val="clear"/>
              <w:jc w:val="center"/>
              <w:rPr>
                <w:color w:val="auto"/>
                <w:spacing w:val="6"/>
                <w:sz w:val="21"/>
                <w:szCs w:val="21"/>
                <w:highlight w:val="none"/>
                <w:lang w:eastAsia="zh-CN"/>
              </w:rPr>
            </w:pPr>
          </w:p>
        </w:tc>
      </w:tr>
      <w:tr w14:paraId="24D16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677" w:type="dxa"/>
            <w:vMerge w:val="restart"/>
            <w:tcBorders>
              <w:top w:val="single" w:color="auto" w:sz="4" w:space="0"/>
              <w:left w:val="single" w:color="auto" w:sz="4" w:space="0"/>
              <w:bottom w:val="single" w:color="auto" w:sz="4" w:space="0"/>
              <w:right w:val="single" w:color="auto" w:sz="4" w:space="0"/>
            </w:tcBorders>
            <w:vAlign w:val="center"/>
          </w:tcPr>
          <w:p w14:paraId="0BB6A739">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额外扣分项</w:t>
            </w:r>
          </w:p>
        </w:tc>
        <w:tc>
          <w:tcPr>
            <w:tcW w:w="5549" w:type="dxa"/>
            <w:tcBorders>
              <w:top w:val="single" w:color="auto" w:sz="4" w:space="0"/>
              <w:left w:val="single" w:color="auto" w:sz="4" w:space="0"/>
              <w:bottom w:val="single" w:color="auto" w:sz="4" w:space="0"/>
              <w:right w:val="single" w:color="auto" w:sz="4" w:space="0"/>
            </w:tcBorders>
            <w:vAlign w:val="center"/>
          </w:tcPr>
          <w:p w14:paraId="01603BF8">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1、因管理原因，造成有效投诉2次及以上。</w:t>
            </w:r>
          </w:p>
        </w:tc>
        <w:tc>
          <w:tcPr>
            <w:tcW w:w="777" w:type="dxa"/>
            <w:tcBorders>
              <w:top w:val="single" w:color="auto" w:sz="4" w:space="0"/>
              <w:left w:val="single" w:color="auto" w:sz="4" w:space="0"/>
              <w:bottom w:val="single" w:color="auto" w:sz="4" w:space="0"/>
              <w:right w:val="single" w:color="auto" w:sz="4" w:space="0"/>
            </w:tcBorders>
            <w:vAlign w:val="center"/>
          </w:tcPr>
          <w:p w14:paraId="47213A78">
            <w:pPr>
              <w:pStyle w:val="70"/>
              <w:shd w:val="clear"/>
              <w:jc w:val="center"/>
              <w:rPr>
                <w:color w:val="auto"/>
                <w:spacing w:val="6"/>
                <w:sz w:val="21"/>
                <w:szCs w:val="21"/>
                <w:highlight w:val="none"/>
                <w:lang w:eastAsia="zh-CN"/>
              </w:rPr>
            </w:pPr>
          </w:p>
        </w:tc>
        <w:tc>
          <w:tcPr>
            <w:tcW w:w="2319" w:type="dxa"/>
            <w:tcBorders>
              <w:top w:val="single" w:color="auto" w:sz="4" w:space="0"/>
              <w:left w:val="single" w:color="auto" w:sz="4" w:space="0"/>
              <w:bottom w:val="single" w:color="auto" w:sz="4" w:space="0"/>
              <w:right w:val="single" w:color="auto" w:sz="4" w:space="0"/>
            </w:tcBorders>
            <w:vAlign w:val="center"/>
          </w:tcPr>
          <w:p w14:paraId="6F64C1EA">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2 次扣2分，2 次以上扣5分。</w:t>
            </w:r>
          </w:p>
        </w:tc>
        <w:tc>
          <w:tcPr>
            <w:tcW w:w="938" w:type="dxa"/>
            <w:tcBorders>
              <w:top w:val="single" w:color="auto" w:sz="4" w:space="0"/>
              <w:left w:val="single" w:color="auto" w:sz="4" w:space="0"/>
              <w:bottom w:val="single" w:color="auto" w:sz="4" w:space="0"/>
              <w:right w:val="single" w:color="auto" w:sz="4" w:space="0"/>
            </w:tcBorders>
            <w:vAlign w:val="center"/>
          </w:tcPr>
          <w:p w14:paraId="3426B860">
            <w:pPr>
              <w:pStyle w:val="70"/>
              <w:shd w:val="clear"/>
              <w:jc w:val="center"/>
              <w:rPr>
                <w:color w:val="auto"/>
                <w:spacing w:val="6"/>
                <w:sz w:val="21"/>
                <w:szCs w:val="21"/>
                <w:highlight w:val="none"/>
                <w:lang w:eastAsia="zh-CN"/>
              </w:rPr>
            </w:pPr>
          </w:p>
        </w:tc>
      </w:tr>
      <w:tr w14:paraId="1A078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645" w:hRule="atLeast"/>
        </w:trPr>
        <w:tc>
          <w:tcPr>
            <w:tcW w:w="677" w:type="dxa"/>
            <w:vMerge w:val="continue"/>
            <w:tcBorders>
              <w:top w:val="single" w:color="auto" w:sz="4" w:space="0"/>
              <w:left w:val="single" w:color="auto" w:sz="4" w:space="0"/>
              <w:bottom w:val="single" w:color="auto" w:sz="4" w:space="0"/>
              <w:right w:val="single" w:color="auto" w:sz="4" w:space="0"/>
            </w:tcBorders>
            <w:vAlign w:val="center"/>
          </w:tcPr>
          <w:p w14:paraId="487D8227">
            <w:pPr>
              <w:widowControl/>
              <w:shd w:val="clear"/>
              <w:jc w:val="left"/>
              <w:rPr>
                <w:rFonts w:ascii="宋体" w:hAnsi="宋体" w:cs="宋体"/>
                <w:color w:val="auto"/>
                <w:spacing w:val="6"/>
                <w:szCs w:val="21"/>
                <w:highlight w:val="none"/>
              </w:rPr>
            </w:pPr>
          </w:p>
        </w:tc>
        <w:tc>
          <w:tcPr>
            <w:tcW w:w="5549" w:type="dxa"/>
            <w:tcBorders>
              <w:top w:val="single" w:color="auto" w:sz="4" w:space="0"/>
              <w:left w:val="single" w:color="auto" w:sz="4" w:space="0"/>
              <w:bottom w:val="single" w:color="auto" w:sz="4" w:space="0"/>
              <w:right w:val="single" w:color="auto" w:sz="4" w:space="0"/>
            </w:tcBorders>
            <w:vAlign w:val="center"/>
          </w:tcPr>
          <w:p w14:paraId="4AB57D2A">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2、因管理原因，被媒体曝光、造成不良社会影响等事项。</w:t>
            </w:r>
          </w:p>
        </w:tc>
        <w:tc>
          <w:tcPr>
            <w:tcW w:w="777" w:type="dxa"/>
            <w:tcBorders>
              <w:top w:val="single" w:color="auto" w:sz="4" w:space="0"/>
              <w:left w:val="single" w:color="auto" w:sz="4" w:space="0"/>
              <w:bottom w:val="single" w:color="auto" w:sz="4" w:space="0"/>
              <w:right w:val="single" w:color="auto" w:sz="4" w:space="0"/>
            </w:tcBorders>
            <w:vAlign w:val="center"/>
          </w:tcPr>
          <w:p w14:paraId="77B9281A">
            <w:pPr>
              <w:pStyle w:val="70"/>
              <w:shd w:val="clear"/>
              <w:jc w:val="center"/>
              <w:rPr>
                <w:color w:val="auto"/>
                <w:spacing w:val="6"/>
                <w:sz w:val="21"/>
                <w:szCs w:val="21"/>
                <w:highlight w:val="none"/>
                <w:lang w:eastAsia="zh-CN"/>
              </w:rPr>
            </w:pPr>
          </w:p>
        </w:tc>
        <w:tc>
          <w:tcPr>
            <w:tcW w:w="2319" w:type="dxa"/>
            <w:tcBorders>
              <w:top w:val="single" w:color="auto" w:sz="4" w:space="0"/>
              <w:left w:val="single" w:color="auto" w:sz="4" w:space="0"/>
              <w:bottom w:val="single" w:color="auto" w:sz="4" w:space="0"/>
              <w:right w:val="single" w:color="auto" w:sz="4" w:space="0"/>
            </w:tcBorders>
            <w:vAlign w:val="center"/>
          </w:tcPr>
          <w:p w14:paraId="1407C82D">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发生2次及以下或情节较轻的扣2分，发生2次以上或情节较重5分。</w:t>
            </w:r>
          </w:p>
        </w:tc>
        <w:tc>
          <w:tcPr>
            <w:tcW w:w="938" w:type="dxa"/>
            <w:tcBorders>
              <w:top w:val="single" w:color="auto" w:sz="4" w:space="0"/>
              <w:left w:val="single" w:color="auto" w:sz="4" w:space="0"/>
              <w:bottom w:val="single" w:color="auto" w:sz="4" w:space="0"/>
              <w:right w:val="single" w:color="auto" w:sz="4" w:space="0"/>
            </w:tcBorders>
            <w:vAlign w:val="center"/>
          </w:tcPr>
          <w:p w14:paraId="4A32822C">
            <w:pPr>
              <w:pStyle w:val="70"/>
              <w:shd w:val="clear"/>
              <w:jc w:val="center"/>
              <w:rPr>
                <w:color w:val="auto"/>
                <w:spacing w:val="6"/>
                <w:sz w:val="21"/>
                <w:szCs w:val="21"/>
                <w:highlight w:val="none"/>
                <w:lang w:eastAsia="zh-CN"/>
              </w:rPr>
            </w:pPr>
          </w:p>
        </w:tc>
      </w:tr>
      <w:tr w14:paraId="5293D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9" w:hRule="atLeast"/>
        </w:trPr>
        <w:tc>
          <w:tcPr>
            <w:tcW w:w="9322" w:type="dxa"/>
            <w:gridSpan w:val="4"/>
            <w:tcBorders>
              <w:top w:val="single" w:color="auto" w:sz="4" w:space="0"/>
              <w:left w:val="single" w:color="auto" w:sz="4" w:space="0"/>
              <w:bottom w:val="single" w:color="auto" w:sz="4" w:space="0"/>
              <w:right w:val="single" w:color="auto" w:sz="4" w:space="0"/>
            </w:tcBorders>
            <w:vAlign w:val="center"/>
          </w:tcPr>
          <w:p w14:paraId="4B2F34AD">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合计得分</w:t>
            </w:r>
          </w:p>
        </w:tc>
        <w:tc>
          <w:tcPr>
            <w:tcW w:w="938" w:type="dxa"/>
            <w:tcBorders>
              <w:top w:val="single" w:color="auto" w:sz="4" w:space="0"/>
              <w:left w:val="single" w:color="auto" w:sz="4" w:space="0"/>
              <w:bottom w:val="single" w:color="auto" w:sz="4" w:space="0"/>
              <w:right w:val="single" w:color="auto" w:sz="4" w:space="0"/>
            </w:tcBorders>
            <w:vAlign w:val="center"/>
          </w:tcPr>
          <w:p w14:paraId="0F26AABE">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w:t>
            </w:r>
          </w:p>
        </w:tc>
      </w:tr>
    </w:tbl>
    <w:p w14:paraId="5A2B099F">
      <w:pPr>
        <w:pStyle w:val="43"/>
        <w:shd w:val="clear"/>
        <w:snapToGrid w:val="0"/>
        <w:spacing w:before="0"/>
        <w:ind w:firstLine="480"/>
        <w:rPr>
          <w:rFonts w:ascii="宋体" w:hAnsi="宋体" w:cs="宋体"/>
          <w:color w:val="auto"/>
          <w:szCs w:val="24"/>
          <w:highlight w:val="none"/>
        </w:rPr>
      </w:pPr>
      <w:r>
        <w:rPr>
          <w:rFonts w:hint="eastAsia" w:ascii="宋体" w:hAnsi="宋体" w:cs="宋体"/>
          <w:color w:val="auto"/>
          <w:szCs w:val="24"/>
          <w:highlight w:val="none"/>
        </w:rPr>
        <w:t>本考核细则按每季度进行打分考核，满分为100分。考核得分90分（含）以上为优秀，全额支付季度</w:t>
      </w:r>
      <w:r>
        <w:rPr>
          <w:rFonts w:hint="eastAsia" w:cs="仿宋" w:asciiTheme="majorEastAsia" w:hAnsiTheme="majorEastAsia" w:eastAsiaTheme="majorEastAsia"/>
          <w:color w:val="auto"/>
          <w:highlight w:val="none"/>
        </w:rPr>
        <w:t>安全管理和环境管理服务费</w:t>
      </w:r>
      <w:r>
        <w:rPr>
          <w:rFonts w:hint="eastAsia" w:ascii="宋体" w:hAnsi="宋体" w:cs="宋体"/>
          <w:color w:val="auto"/>
          <w:szCs w:val="24"/>
          <w:highlight w:val="none"/>
        </w:rPr>
        <w:t>；80分-90分为良好，扣季度</w:t>
      </w:r>
      <w:r>
        <w:rPr>
          <w:rFonts w:hint="eastAsia" w:cs="仿宋" w:asciiTheme="majorEastAsia" w:hAnsiTheme="majorEastAsia" w:eastAsiaTheme="majorEastAsia"/>
          <w:color w:val="auto"/>
          <w:highlight w:val="none"/>
        </w:rPr>
        <w:t>安全管理和环境管理服务费</w:t>
      </w:r>
      <w:r>
        <w:rPr>
          <w:rFonts w:hint="eastAsia" w:ascii="宋体" w:hAnsi="宋体" w:cs="宋体"/>
          <w:color w:val="auto"/>
          <w:szCs w:val="24"/>
          <w:highlight w:val="none"/>
        </w:rPr>
        <w:t>的3%；70分-80分为合格，扣季度</w:t>
      </w:r>
      <w:r>
        <w:rPr>
          <w:rFonts w:hint="eastAsia" w:cs="仿宋" w:asciiTheme="majorEastAsia" w:hAnsiTheme="majorEastAsia" w:eastAsiaTheme="majorEastAsia"/>
          <w:color w:val="auto"/>
          <w:highlight w:val="none"/>
        </w:rPr>
        <w:t>安全管理和环境管理服务费</w:t>
      </w:r>
      <w:r>
        <w:rPr>
          <w:rFonts w:hint="eastAsia" w:ascii="宋体" w:hAnsi="宋体" w:cs="宋体"/>
          <w:color w:val="auto"/>
          <w:szCs w:val="24"/>
          <w:highlight w:val="none"/>
        </w:rPr>
        <w:t>的5%；70分以下为不合格，扣季度</w:t>
      </w:r>
      <w:r>
        <w:rPr>
          <w:rFonts w:hint="eastAsia" w:cs="仿宋" w:asciiTheme="majorEastAsia" w:hAnsiTheme="majorEastAsia" w:eastAsiaTheme="majorEastAsia"/>
          <w:color w:val="auto"/>
          <w:highlight w:val="none"/>
        </w:rPr>
        <w:t>安全管理和环境管理服务费</w:t>
      </w:r>
      <w:r>
        <w:rPr>
          <w:rFonts w:hint="eastAsia" w:ascii="宋体" w:hAnsi="宋体" w:cs="宋体"/>
          <w:color w:val="auto"/>
          <w:szCs w:val="24"/>
          <w:highlight w:val="none"/>
        </w:rPr>
        <w:t>的10%。</w:t>
      </w:r>
    </w:p>
    <w:p w14:paraId="727BA3FF">
      <w:pPr>
        <w:pStyle w:val="43"/>
        <w:shd w:val="clear"/>
        <w:snapToGrid w:val="0"/>
        <w:spacing w:before="0"/>
        <w:ind w:firstLine="480"/>
        <w:rPr>
          <w:rFonts w:ascii="宋体" w:hAnsi="宋体" w:cs="宋体"/>
          <w:color w:val="auto"/>
          <w:szCs w:val="24"/>
          <w:highlight w:val="none"/>
        </w:rPr>
      </w:pPr>
      <w:r>
        <w:rPr>
          <w:rFonts w:hint="eastAsia" w:ascii="宋体" w:hAnsi="宋体" w:cs="宋体"/>
          <w:color w:val="auto"/>
          <w:szCs w:val="24"/>
          <w:highlight w:val="none"/>
        </w:rPr>
        <w:t>如果中标人管理混乱，经招标人督促后未改进累计两次考核不合格的，招标人有权解除合同，并要求乙方按合同价款总额的20%承担违约金。</w:t>
      </w:r>
    </w:p>
    <w:p w14:paraId="22C5CEE8">
      <w:pPr>
        <w:pStyle w:val="27"/>
        <w:shd w:val="clear"/>
        <w:ind w:firstLine="482"/>
        <w:rPr>
          <w:rFonts w:ascii="宋体" w:hAnsi="宋体" w:eastAsia="宋体" w:cs="宋体"/>
          <w:b/>
          <w:bCs/>
          <w:color w:val="auto"/>
          <w:sz w:val="24"/>
          <w:szCs w:val="20"/>
          <w:highlight w:val="none"/>
        </w:rPr>
      </w:pPr>
      <w:bookmarkStart w:id="68" w:name="OLE_LINK22"/>
      <w:bookmarkStart w:id="69" w:name="OLE_LINK18"/>
      <w:bookmarkStart w:id="70" w:name="OLE_LINK49"/>
      <w:r>
        <w:rPr>
          <w:rFonts w:hint="eastAsia" w:ascii="宋体" w:hAnsi="宋体" w:eastAsia="宋体" w:cs="宋体"/>
          <w:b/>
          <w:bCs/>
          <w:color w:val="auto"/>
          <w:sz w:val="24"/>
          <w:szCs w:val="20"/>
          <w:highlight w:val="none"/>
        </w:rPr>
        <w:t>▲</w:t>
      </w:r>
      <w:bookmarkEnd w:id="68"/>
      <w:bookmarkEnd w:id="69"/>
      <w:r>
        <w:rPr>
          <w:rFonts w:hint="eastAsia" w:ascii="宋体" w:hAnsi="宋体" w:eastAsia="宋体" w:cs="宋体"/>
          <w:b/>
          <w:bCs/>
          <w:color w:val="auto"/>
          <w:sz w:val="24"/>
          <w:szCs w:val="20"/>
          <w:highlight w:val="none"/>
        </w:rPr>
        <w:t>七、特别说明</w:t>
      </w:r>
    </w:p>
    <w:p w14:paraId="50F88464">
      <w:pPr>
        <w:shd w:val="clear"/>
        <w:spacing w:line="520" w:lineRule="exact"/>
        <w:ind w:firstLine="482" w:firstLineChars="200"/>
        <w:rPr>
          <w:rFonts w:ascii="宋体" w:hAnsi="宋体" w:cs="宋体"/>
          <w:b/>
          <w:color w:val="auto"/>
          <w:kern w:val="0"/>
          <w:sz w:val="24"/>
          <w:szCs w:val="22"/>
          <w:highlight w:val="none"/>
        </w:rPr>
      </w:pPr>
      <w:r>
        <w:rPr>
          <w:rFonts w:hint="eastAsia" w:ascii="宋体" w:hAnsi="宋体" w:cs="宋体"/>
          <w:b/>
          <w:color w:val="auto"/>
          <w:kern w:val="0"/>
          <w:sz w:val="24"/>
          <w:szCs w:val="22"/>
          <w:highlight w:val="none"/>
        </w:rPr>
        <w:t>供应商需对以上采购需求完全响应，不得有负偏离，否则作无效投标处理。</w:t>
      </w:r>
      <w:bookmarkEnd w:id="70"/>
    </w:p>
    <w:p w14:paraId="5368EE43">
      <w:pPr>
        <w:shd w:val="clear"/>
        <w:spacing w:line="360" w:lineRule="auto"/>
        <w:ind w:firstLine="723" w:firstLineChars="300"/>
        <w:rPr>
          <w:rFonts w:hint="eastAsia"/>
          <w:b/>
          <w:bCs/>
          <w:color w:val="auto"/>
          <w:sz w:val="24"/>
          <w:highlight w:val="none"/>
        </w:rPr>
      </w:pPr>
    </w:p>
    <w:p w14:paraId="23264E87">
      <w:pPr>
        <w:shd w:val="clear"/>
        <w:spacing w:line="360" w:lineRule="auto"/>
        <w:ind w:firstLine="723" w:firstLineChars="300"/>
        <w:rPr>
          <w:rFonts w:hint="eastAsia"/>
          <w:b/>
          <w:bCs/>
          <w:color w:val="auto"/>
          <w:sz w:val="24"/>
          <w:highlight w:val="none"/>
        </w:rPr>
      </w:pPr>
    </w:p>
    <w:p w14:paraId="3054355E">
      <w:pPr>
        <w:shd w:val="clear"/>
        <w:spacing w:line="360" w:lineRule="auto"/>
        <w:ind w:firstLine="723" w:firstLineChars="300"/>
        <w:rPr>
          <w:rFonts w:hint="eastAsia"/>
          <w:b/>
          <w:bCs/>
          <w:color w:val="auto"/>
          <w:sz w:val="24"/>
          <w:highlight w:val="none"/>
        </w:rPr>
      </w:pPr>
    </w:p>
    <w:p w14:paraId="383A9222">
      <w:pPr>
        <w:shd w:val="clear"/>
        <w:spacing w:line="360" w:lineRule="auto"/>
        <w:ind w:firstLine="723" w:firstLineChars="300"/>
        <w:rPr>
          <w:b/>
          <w:bCs/>
          <w:color w:val="auto"/>
          <w:sz w:val="24"/>
          <w:highlight w:val="none"/>
        </w:rPr>
      </w:pPr>
      <w:r>
        <w:rPr>
          <w:rFonts w:hint="eastAsia" w:ascii="宋体" w:hAnsi="宋体" w:cs="宋体"/>
          <w:b/>
          <w:bCs/>
          <w:color w:val="auto"/>
          <w:sz w:val="24"/>
          <w:szCs w:val="20"/>
          <w:highlight w:val="none"/>
        </w:rPr>
        <w:t>▲</w:t>
      </w:r>
      <w:r>
        <w:rPr>
          <w:rFonts w:hint="eastAsia"/>
          <w:b/>
          <w:bCs/>
          <w:color w:val="auto"/>
          <w:sz w:val="24"/>
          <w:highlight w:val="none"/>
        </w:rPr>
        <w:t>八、商务要求</w:t>
      </w:r>
    </w:p>
    <w:tbl>
      <w:tblPr>
        <w:tblStyle w:val="2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14"/>
        <w:gridCol w:w="7916"/>
      </w:tblGrid>
      <w:tr w14:paraId="1D2E5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803" w:type="pct"/>
            <w:tcBorders>
              <w:top w:val="single" w:color="auto" w:sz="4" w:space="0"/>
              <w:left w:val="single" w:color="auto" w:sz="4" w:space="0"/>
              <w:bottom w:val="single" w:color="auto" w:sz="4" w:space="0"/>
              <w:right w:val="single" w:color="auto" w:sz="4" w:space="0"/>
            </w:tcBorders>
            <w:vAlign w:val="center"/>
          </w:tcPr>
          <w:p w14:paraId="1BE08BC9">
            <w:pPr>
              <w:shd w:val="clear"/>
              <w:adjustRightInd w:val="0"/>
              <w:snapToGrid w:val="0"/>
              <w:spacing w:line="440" w:lineRule="exact"/>
              <w:jc w:val="center"/>
              <w:rPr>
                <w:rFonts w:ascii="宋体" w:cs="宋体"/>
                <w:bCs/>
                <w:color w:val="auto"/>
                <w:sz w:val="24"/>
                <w:highlight w:val="none"/>
              </w:rPr>
            </w:pPr>
            <w:r>
              <w:rPr>
                <w:rFonts w:hint="eastAsia" w:ascii="宋体" w:cs="宋体"/>
                <w:bCs/>
                <w:color w:val="auto"/>
                <w:sz w:val="24"/>
                <w:highlight w:val="none"/>
              </w:rPr>
              <w:t>内容</w:t>
            </w:r>
          </w:p>
        </w:tc>
        <w:tc>
          <w:tcPr>
            <w:tcW w:w="4197" w:type="pct"/>
            <w:tcBorders>
              <w:top w:val="single" w:color="auto" w:sz="4" w:space="0"/>
              <w:left w:val="single" w:color="auto" w:sz="4" w:space="0"/>
              <w:bottom w:val="single" w:color="auto" w:sz="4" w:space="0"/>
              <w:right w:val="single" w:color="auto" w:sz="4" w:space="0"/>
            </w:tcBorders>
            <w:vAlign w:val="center"/>
          </w:tcPr>
          <w:p w14:paraId="62D69F2C">
            <w:pPr>
              <w:shd w:val="clear"/>
              <w:adjustRightInd w:val="0"/>
              <w:snapToGrid w:val="0"/>
              <w:spacing w:line="440" w:lineRule="exact"/>
              <w:jc w:val="center"/>
              <w:rPr>
                <w:rFonts w:ascii="宋体" w:cs="宋体"/>
                <w:color w:val="auto"/>
                <w:kern w:val="0"/>
                <w:sz w:val="24"/>
                <w:highlight w:val="none"/>
              </w:rPr>
            </w:pPr>
            <w:r>
              <w:rPr>
                <w:rFonts w:hint="eastAsia" w:ascii="宋体" w:cs="宋体"/>
                <w:color w:val="auto"/>
                <w:kern w:val="0"/>
                <w:sz w:val="24"/>
                <w:highlight w:val="none"/>
              </w:rPr>
              <w:t>要       求</w:t>
            </w:r>
          </w:p>
        </w:tc>
      </w:tr>
      <w:tr w14:paraId="4E9ED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8" w:hRule="atLeast"/>
          <w:jc w:val="center"/>
        </w:trPr>
        <w:tc>
          <w:tcPr>
            <w:tcW w:w="803" w:type="pct"/>
            <w:tcBorders>
              <w:top w:val="single" w:color="auto" w:sz="4" w:space="0"/>
              <w:left w:val="single" w:color="auto" w:sz="4" w:space="0"/>
              <w:bottom w:val="single" w:color="auto" w:sz="4" w:space="0"/>
              <w:right w:val="single" w:color="auto" w:sz="4" w:space="0"/>
            </w:tcBorders>
            <w:vAlign w:val="center"/>
          </w:tcPr>
          <w:p w14:paraId="4067041A">
            <w:pPr>
              <w:shd w:val="clear"/>
              <w:adjustRightInd w:val="0"/>
              <w:snapToGrid w:val="0"/>
              <w:spacing w:line="440" w:lineRule="exact"/>
              <w:jc w:val="center"/>
              <w:rPr>
                <w:rFonts w:ascii="宋体" w:cs="宋体"/>
                <w:bCs/>
                <w:color w:val="auto"/>
                <w:sz w:val="24"/>
                <w:highlight w:val="none"/>
              </w:rPr>
            </w:pPr>
            <w:r>
              <w:rPr>
                <w:rFonts w:hint="eastAsia" w:ascii="宋体" w:cs="宋体"/>
                <w:bCs/>
                <w:color w:val="auto"/>
                <w:sz w:val="24"/>
                <w:highlight w:val="none"/>
              </w:rPr>
              <w:t>投标报价</w:t>
            </w:r>
          </w:p>
        </w:tc>
        <w:tc>
          <w:tcPr>
            <w:tcW w:w="4197" w:type="pct"/>
            <w:tcBorders>
              <w:top w:val="single" w:color="auto" w:sz="4" w:space="0"/>
              <w:left w:val="single" w:color="auto" w:sz="4" w:space="0"/>
              <w:bottom w:val="single" w:color="auto" w:sz="4" w:space="0"/>
              <w:right w:val="single" w:color="auto" w:sz="4" w:space="0"/>
            </w:tcBorders>
            <w:vAlign w:val="center"/>
          </w:tcPr>
          <w:p w14:paraId="40E04DFB">
            <w:pPr>
              <w:shd w:val="clear"/>
              <w:adjustRightInd w:val="0"/>
              <w:snapToGrid w:val="0"/>
              <w:spacing w:line="440" w:lineRule="exact"/>
              <w:rPr>
                <w:rFonts w:ascii="宋体" w:hAnsi="宋体" w:cs="宋体"/>
                <w:color w:val="auto"/>
                <w:sz w:val="24"/>
                <w:highlight w:val="none"/>
              </w:rPr>
            </w:pPr>
            <w:r>
              <w:rPr>
                <w:rFonts w:hint="eastAsia" w:ascii="宋体" w:hAnsi="宋体" w:cs="宋体"/>
                <w:color w:val="auto"/>
                <w:sz w:val="24"/>
                <w:highlight w:val="none"/>
              </w:rPr>
              <w:t>1、投标报价是履行合同的最终价格，包含购买服务需交纳的所有税费及其他一切相关费用，投标人少报或漏报的工作量，采购人将视为已包含在投标总价中，并不予调整。</w:t>
            </w:r>
          </w:p>
          <w:p w14:paraId="0E60637A">
            <w:pPr>
              <w:shd w:val="clear"/>
              <w:adjustRightInd w:val="0"/>
              <w:snapToGrid w:val="0"/>
              <w:spacing w:line="440" w:lineRule="exact"/>
              <w:rPr>
                <w:rFonts w:ascii="宋体" w:hAnsi="宋体" w:cs="宋体"/>
                <w:color w:val="auto"/>
                <w:sz w:val="24"/>
                <w:highlight w:val="none"/>
              </w:rPr>
            </w:pPr>
            <w:r>
              <w:rPr>
                <w:rFonts w:hint="eastAsia" w:ascii="宋体" w:hAnsi="宋体" w:cs="宋体"/>
                <w:color w:val="auto"/>
                <w:sz w:val="24"/>
                <w:highlight w:val="none"/>
              </w:rPr>
              <w:t>2、投标文件只允许有一个报价，有选择的或有条件的报价将不予接受。</w:t>
            </w:r>
          </w:p>
          <w:p w14:paraId="2BBCB57D">
            <w:pPr>
              <w:shd w:val="clear"/>
              <w:adjustRightInd w:val="0"/>
              <w:snapToGrid w:val="0"/>
              <w:spacing w:line="440" w:lineRule="exact"/>
              <w:rPr>
                <w:rFonts w:ascii="宋体" w:hAnsi="宋体" w:cs="宋体"/>
                <w:color w:val="auto"/>
                <w:sz w:val="24"/>
                <w:highlight w:val="none"/>
              </w:rPr>
            </w:pPr>
            <w:r>
              <w:rPr>
                <w:rFonts w:hint="eastAsia" w:ascii="宋体" w:hAnsi="宋体" w:cs="宋体"/>
                <w:color w:val="auto"/>
                <w:sz w:val="24"/>
                <w:highlight w:val="none"/>
              </w:rPr>
              <w:t>3、电子交易平台客户端里开标一览表录入的投标报价和优惠率与扫描上传的报价文件不一致的，以扫描上传的报价文件为准。</w:t>
            </w:r>
          </w:p>
        </w:tc>
      </w:tr>
      <w:tr w14:paraId="5447C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803" w:type="pct"/>
            <w:tcBorders>
              <w:top w:val="single" w:color="auto" w:sz="4" w:space="0"/>
              <w:left w:val="single" w:color="auto" w:sz="4" w:space="0"/>
              <w:bottom w:val="single" w:color="auto" w:sz="4" w:space="0"/>
              <w:right w:val="single" w:color="auto" w:sz="4" w:space="0"/>
            </w:tcBorders>
            <w:vAlign w:val="center"/>
          </w:tcPr>
          <w:p w14:paraId="2A50EF09">
            <w:pPr>
              <w:shd w:val="clear"/>
              <w:adjustRightInd w:val="0"/>
              <w:snapToGrid w:val="0"/>
              <w:spacing w:line="440" w:lineRule="exact"/>
              <w:jc w:val="center"/>
              <w:rPr>
                <w:rFonts w:ascii="宋体" w:cs="宋体"/>
                <w:bCs/>
                <w:color w:val="auto"/>
                <w:sz w:val="24"/>
                <w:highlight w:val="none"/>
              </w:rPr>
            </w:pPr>
            <w:r>
              <w:rPr>
                <w:rFonts w:hint="eastAsia" w:ascii="宋体" w:cs="宋体"/>
                <w:bCs/>
                <w:color w:val="auto"/>
                <w:sz w:val="24"/>
                <w:highlight w:val="none"/>
              </w:rPr>
              <w:t>服务期限</w:t>
            </w:r>
          </w:p>
        </w:tc>
        <w:tc>
          <w:tcPr>
            <w:tcW w:w="4197" w:type="pct"/>
            <w:tcBorders>
              <w:top w:val="single" w:color="auto" w:sz="4" w:space="0"/>
              <w:left w:val="single" w:color="auto" w:sz="4" w:space="0"/>
              <w:bottom w:val="single" w:color="auto" w:sz="4" w:space="0"/>
              <w:right w:val="single" w:color="auto" w:sz="4" w:space="0"/>
            </w:tcBorders>
            <w:vAlign w:val="center"/>
          </w:tcPr>
          <w:p w14:paraId="4E4CDECA">
            <w:pPr>
              <w:shd w:val="clear"/>
              <w:spacing w:line="360" w:lineRule="auto"/>
              <w:rPr>
                <w:color w:val="auto"/>
                <w:sz w:val="24"/>
                <w:highlight w:val="none"/>
              </w:rPr>
            </w:pPr>
            <w:r>
              <w:rPr>
                <w:rFonts w:hint="eastAsia"/>
                <w:color w:val="auto"/>
                <w:sz w:val="24"/>
                <w:highlight w:val="none"/>
              </w:rPr>
              <w:t>三年，合同为一年一签，采购人根据中标单位上一年度的履约考核情况决定是否续签。</w:t>
            </w:r>
          </w:p>
        </w:tc>
      </w:tr>
      <w:tr w14:paraId="1B070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8" w:hRule="atLeast"/>
          <w:jc w:val="center"/>
        </w:trPr>
        <w:tc>
          <w:tcPr>
            <w:tcW w:w="803" w:type="pct"/>
            <w:tcBorders>
              <w:top w:val="single" w:color="auto" w:sz="4" w:space="0"/>
              <w:left w:val="single" w:color="auto" w:sz="4" w:space="0"/>
              <w:bottom w:val="single" w:color="auto" w:sz="4" w:space="0"/>
              <w:right w:val="single" w:color="auto" w:sz="4" w:space="0"/>
            </w:tcBorders>
            <w:vAlign w:val="center"/>
          </w:tcPr>
          <w:p w14:paraId="66586364">
            <w:pPr>
              <w:widowControl/>
              <w:shd w:val="clear"/>
              <w:spacing w:line="0" w:lineRule="atLeast"/>
              <w:ind w:left="-108" w:right="-120"/>
              <w:jc w:val="center"/>
              <w:rPr>
                <w:rFonts w:ascii="宋体" w:hAnsi="宋体" w:cs="宋体"/>
                <w:color w:val="auto"/>
                <w:sz w:val="24"/>
                <w:highlight w:val="none"/>
              </w:rPr>
            </w:pPr>
            <w:r>
              <w:rPr>
                <w:rFonts w:hint="eastAsia" w:ascii="宋体" w:hAnsi="宋体" w:cs="宋体"/>
                <w:color w:val="auto"/>
                <w:sz w:val="24"/>
                <w:highlight w:val="none"/>
              </w:rPr>
              <w:t>履约保证金</w:t>
            </w:r>
          </w:p>
        </w:tc>
        <w:tc>
          <w:tcPr>
            <w:tcW w:w="4197" w:type="pct"/>
            <w:tcBorders>
              <w:top w:val="single" w:color="auto" w:sz="4" w:space="0"/>
              <w:left w:val="single" w:color="auto" w:sz="4" w:space="0"/>
              <w:bottom w:val="single" w:color="auto" w:sz="4" w:space="0"/>
              <w:right w:val="single" w:color="auto" w:sz="4" w:space="0"/>
            </w:tcBorders>
            <w:vAlign w:val="center"/>
          </w:tcPr>
          <w:p w14:paraId="6A23E77A">
            <w:pPr>
              <w:widowControl/>
              <w:shd w:val="clear"/>
              <w:spacing w:line="0" w:lineRule="atLeast"/>
              <w:ind w:left="-108" w:right="-120"/>
              <w:jc w:val="left"/>
              <w:rPr>
                <w:rFonts w:ascii="宋体" w:hAnsi="宋体" w:cs="宋体"/>
                <w:color w:val="auto"/>
                <w:sz w:val="24"/>
                <w:highlight w:val="none"/>
              </w:rPr>
            </w:pPr>
            <w:bookmarkStart w:id="71" w:name="OLE_LINK146"/>
            <w:bookmarkStart w:id="72" w:name="OLE_LINK147"/>
            <w:r>
              <w:rPr>
                <w:rFonts w:hint="eastAsia" w:ascii="宋体" w:hAnsi="宋体" w:cs="宋体"/>
                <w:color w:val="auto"/>
                <w:sz w:val="24"/>
                <w:highlight w:val="none"/>
              </w:rPr>
              <w:t>履约保证金形式：电汇、银行保函、保险公司保函。</w:t>
            </w:r>
          </w:p>
          <w:p w14:paraId="5B855746">
            <w:pPr>
              <w:widowControl/>
              <w:shd w:val="clear"/>
              <w:spacing w:line="0" w:lineRule="atLeast"/>
              <w:ind w:left="-108" w:right="-120"/>
              <w:jc w:val="left"/>
              <w:rPr>
                <w:rFonts w:ascii="宋体" w:hAnsi="宋体" w:cs="宋体"/>
                <w:color w:val="auto"/>
                <w:sz w:val="24"/>
                <w:highlight w:val="none"/>
              </w:rPr>
            </w:pPr>
            <w:r>
              <w:rPr>
                <w:rFonts w:hint="eastAsia" w:ascii="宋体" w:hAnsi="宋体" w:cs="宋体"/>
                <w:color w:val="auto"/>
                <w:sz w:val="24"/>
                <w:highlight w:val="none"/>
              </w:rPr>
              <w:t>履约保证金的收取及退还：按合同总金额的2.5%计收，</w:t>
            </w:r>
            <w:bookmarkStart w:id="73" w:name="OLE_LINK153"/>
            <w:bookmarkStart w:id="74" w:name="OLE_LINK152"/>
            <w:r>
              <w:rPr>
                <w:rFonts w:hint="eastAsia" w:ascii="宋体" w:hAnsi="宋体" w:cs="宋体"/>
                <w:color w:val="auto"/>
                <w:sz w:val="24"/>
                <w:highlight w:val="none"/>
              </w:rPr>
              <w:t>合同履行完毕（验收合格并交付使用）后10日内无息退还。</w:t>
            </w:r>
            <w:bookmarkEnd w:id="71"/>
            <w:bookmarkEnd w:id="72"/>
            <w:bookmarkEnd w:id="73"/>
            <w:bookmarkEnd w:id="74"/>
          </w:p>
        </w:tc>
      </w:tr>
      <w:tr w14:paraId="1A7B4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4" w:hRule="atLeast"/>
          <w:jc w:val="center"/>
        </w:trPr>
        <w:tc>
          <w:tcPr>
            <w:tcW w:w="803" w:type="pct"/>
            <w:tcBorders>
              <w:top w:val="single" w:color="auto" w:sz="4" w:space="0"/>
              <w:left w:val="single" w:color="auto" w:sz="4" w:space="0"/>
              <w:bottom w:val="single" w:color="auto" w:sz="4" w:space="0"/>
              <w:right w:val="single" w:color="auto" w:sz="4" w:space="0"/>
            </w:tcBorders>
            <w:vAlign w:val="center"/>
          </w:tcPr>
          <w:p w14:paraId="22CF5B55">
            <w:pPr>
              <w:shd w:val="clear"/>
              <w:adjustRightInd w:val="0"/>
              <w:snapToGrid w:val="0"/>
              <w:spacing w:line="440" w:lineRule="exact"/>
              <w:jc w:val="center"/>
              <w:rPr>
                <w:rFonts w:ascii="宋体" w:cs="宋体"/>
                <w:bCs/>
                <w:color w:val="auto"/>
                <w:sz w:val="24"/>
                <w:highlight w:val="none"/>
              </w:rPr>
            </w:pPr>
            <w:r>
              <w:rPr>
                <w:rFonts w:hint="eastAsia" w:ascii="宋体" w:cs="宋体"/>
                <w:bCs/>
                <w:color w:val="auto"/>
                <w:sz w:val="24"/>
                <w:highlight w:val="none"/>
              </w:rPr>
              <w:t>付款方式</w:t>
            </w:r>
          </w:p>
        </w:tc>
        <w:tc>
          <w:tcPr>
            <w:tcW w:w="4197" w:type="pct"/>
            <w:tcBorders>
              <w:top w:val="single" w:color="auto" w:sz="4" w:space="0"/>
              <w:left w:val="single" w:color="auto" w:sz="4" w:space="0"/>
              <w:bottom w:val="single" w:color="auto" w:sz="4" w:space="0"/>
              <w:right w:val="single" w:color="auto" w:sz="4" w:space="0"/>
            </w:tcBorders>
            <w:vAlign w:val="center"/>
          </w:tcPr>
          <w:p w14:paraId="0CAC0FB4">
            <w:pPr>
              <w:shd w:val="clear"/>
              <w:spacing w:line="360" w:lineRule="auto"/>
              <w:rPr>
                <w:color w:val="auto"/>
                <w:sz w:val="24"/>
                <w:highlight w:val="none"/>
              </w:rPr>
            </w:pPr>
            <w:r>
              <w:rPr>
                <w:rFonts w:hint="eastAsia"/>
                <w:color w:val="auto"/>
                <w:sz w:val="24"/>
                <w:highlight w:val="none"/>
              </w:rPr>
              <w:t>1、运营管理服务费：根据考核得分按季度同比例支付。</w:t>
            </w:r>
          </w:p>
          <w:p w14:paraId="586875FA">
            <w:pPr>
              <w:shd w:val="clear"/>
              <w:spacing w:line="360" w:lineRule="auto"/>
              <w:rPr>
                <w:color w:val="auto"/>
                <w:sz w:val="24"/>
                <w:highlight w:val="none"/>
              </w:rPr>
            </w:pPr>
            <w:r>
              <w:rPr>
                <w:rFonts w:hint="eastAsia"/>
                <w:color w:val="auto"/>
                <w:sz w:val="24"/>
                <w:highlight w:val="none"/>
              </w:rPr>
              <w:t>2、安全管理及环境管理服务费：根据考核得分按季度同比例支付。</w:t>
            </w:r>
          </w:p>
          <w:p w14:paraId="4D89987B">
            <w:pPr>
              <w:shd w:val="clear"/>
              <w:spacing w:line="360" w:lineRule="auto"/>
              <w:rPr>
                <w:color w:val="auto"/>
                <w:sz w:val="24"/>
                <w:highlight w:val="none"/>
              </w:rPr>
            </w:pPr>
            <w:r>
              <w:rPr>
                <w:rFonts w:hint="eastAsia"/>
                <w:color w:val="auto"/>
                <w:sz w:val="24"/>
                <w:highlight w:val="none"/>
              </w:rPr>
              <w:t>3、运营管理服务考核分≥60分为合格，当有1次不合格时，项目当季度安全管理及环境管理服务费减半；</w:t>
            </w:r>
            <w:r>
              <w:rPr>
                <w:rFonts w:hint="eastAsia"/>
                <w:color w:val="auto"/>
                <w:sz w:val="24"/>
                <w:highlight w:val="none"/>
              </w:rPr>
              <w:t>合同履行期间若中标人累计2次季度运营管理服务考核不合格，招标人有权终止合同，并要求乙方按合同价款总额的20%承担违约金。</w:t>
            </w:r>
          </w:p>
        </w:tc>
      </w:tr>
      <w:tr w14:paraId="0799E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3" w:hRule="atLeast"/>
          <w:jc w:val="center"/>
        </w:trPr>
        <w:tc>
          <w:tcPr>
            <w:tcW w:w="803" w:type="pct"/>
            <w:tcBorders>
              <w:top w:val="single" w:color="auto" w:sz="4" w:space="0"/>
              <w:left w:val="single" w:color="auto" w:sz="4" w:space="0"/>
              <w:bottom w:val="single" w:color="auto" w:sz="4" w:space="0"/>
              <w:right w:val="single" w:color="auto" w:sz="4" w:space="0"/>
            </w:tcBorders>
            <w:vAlign w:val="center"/>
          </w:tcPr>
          <w:p w14:paraId="1CF3DF2D">
            <w:pPr>
              <w:shd w:val="clear"/>
              <w:adjustRightInd w:val="0"/>
              <w:snapToGrid w:val="0"/>
              <w:spacing w:line="440" w:lineRule="exact"/>
              <w:jc w:val="center"/>
              <w:rPr>
                <w:rFonts w:ascii="宋体" w:cs="宋体"/>
                <w:bCs/>
                <w:color w:val="auto"/>
                <w:sz w:val="24"/>
                <w:highlight w:val="none"/>
              </w:rPr>
            </w:pPr>
            <w:r>
              <w:rPr>
                <w:rFonts w:hint="eastAsia" w:ascii="宋体" w:cs="宋体"/>
                <w:bCs/>
                <w:color w:val="auto"/>
                <w:sz w:val="24"/>
                <w:highlight w:val="none"/>
              </w:rPr>
              <w:t>合同终止</w:t>
            </w:r>
          </w:p>
        </w:tc>
        <w:tc>
          <w:tcPr>
            <w:tcW w:w="4197" w:type="pct"/>
            <w:tcBorders>
              <w:top w:val="single" w:color="auto" w:sz="4" w:space="0"/>
              <w:left w:val="single" w:color="auto" w:sz="4" w:space="0"/>
              <w:bottom w:val="single" w:color="auto" w:sz="4" w:space="0"/>
              <w:right w:val="single" w:color="auto" w:sz="4" w:space="0"/>
            </w:tcBorders>
          </w:tcPr>
          <w:p w14:paraId="5C7A2AFB">
            <w:pPr>
              <w:shd w:val="clear"/>
              <w:adjustRightInd w:val="0"/>
              <w:snapToGrid w:val="0"/>
              <w:spacing w:line="440" w:lineRule="exact"/>
              <w:rPr>
                <w:rFonts w:ascii="宋体" w:hAnsi="宋体" w:cs="宋体"/>
                <w:color w:val="auto"/>
                <w:sz w:val="24"/>
                <w:highlight w:val="none"/>
              </w:rPr>
            </w:pPr>
            <w:r>
              <w:rPr>
                <w:rFonts w:hint="eastAsia" w:ascii="宋体" w:hAnsi="宋体" w:cs="宋体"/>
                <w:color w:val="auto"/>
                <w:sz w:val="24"/>
                <w:highlight w:val="none"/>
              </w:rPr>
              <w:t>中标人在合同有效期内，不得以任何理由终止合同，确有特殊情况的，须提前2个月向采购人提出书面申请，经采购人同意后，方可终止合同。因中标人不能保证工作质量，或发生重大差错事故的，采购人有权终止协议，中标人承担全部责任。</w:t>
            </w:r>
          </w:p>
        </w:tc>
      </w:tr>
    </w:tbl>
    <w:p w14:paraId="0DF3262F">
      <w:pPr>
        <w:pStyle w:val="27"/>
        <w:shd w:val="clear"/>
        <w:ind w:firstLine="560"/>
        <w:rPr>
          <w:color w:val="auto"/>
          <w:highlight w:val="none"/>
        </w:rPr>
      </w:pPr>
    </w:p>
    <w:p w14:paraId="6EE78EC1">
      <w:pPr>
        <w:shd w:val="clear"/>
        <w:rPr>
          <w:color w:val="auto"/>
          <w:highlight w:val="none"/>
        </w:rPr>
      </w:pPr>
    </w:p>
    <w:p w14:paraId="1554245D">
      <w:pPr>
        <w:shd w:val="clear"/>
        <w:rPr>
          <w:color w:val="auto"/>
          <w:highlight w:val="none"/>
        </w:rPr>
      </w:pPr>
    </w:p>
    <w:p w14:paraId="523B8169">
      <w:pPr>
        <w:shd w:val="clear"/>
        <w:rPr>
          <w:color w:val="auto"/>
          <w:highlight w:val="none"/>
        </w:rPr>
      </w:pPr>
    </w:p>
    <w:p w14:paraId="1A473B24">
      <w:pPr>
        <w:widowControl/>
        <w:shd w:val="clear"/>
        <w:jc w:val="left"/>
        <w:rPr>
          <w:color w:val="auto"/>
          <w:highlight w:val="none"/>
        </w:rPr>
        <w:sectPr>
          <w:pgSz w:w="11906" w:h="16838"/>
          <w:pgMar w:top="1276" w:right="1274" w:bottom="1247" w:left="1418" w:header="851" w:footer="992" w:gutter="0"/>
          <w:cols w:space="720" w:num="1"/>
        </w:sectPr>
      </w:pPr>
    </w:p>
    <w:p w14:paraId="4FA1748A">
      <w:pPr>
        <w:shd w:val="clear"/>
        <w:snapToGrid w:val="0"/>
        <w:spacing w:line="360" w:lineRule="auto"/>
        <w:jc w:val="center"/>
        <w:rPr>
          <w:rFonts w:cs="仿宋" w:asciiTheme="majorEastAsia" w:hAnsiTheme="majorEastAsia" w:eastAsiaTheme="majorEastAsia"/>
          <w:b/>
          <w:color w:val="auto"/>
          <w:sz w:val="36"/>
          <w:szCs w:val="36"/>
          <w:highlight w:val="none"/>
        </w:rPr>
      </w:pPr>
      <w:r>
        <w:rPr>
          <w:rFonts w:hint="eastAsia" w:cs="仿宋" w:asciiTheme="majorEastAsia" w:hAnsiTheme="majorEastAsia" w:eastAsiaTheme="majorEastAsia"/>
          <w:b/>
          <w:color w:val="auto"/>
          <w:sz w:val="36"/>
          <w:szCs w:val="36"/>
          <w:highlight w:val="none"/>
        </w:rPr>
        <w:t xml:space="preserve">第四部分   </w:t>
      </w:r>
      <w:bookmarkStart w:id="75" w:name="_Toc184314425"/>
      <w:bookmarkEnd w:id="75"/>
      <w:bookmarkStart w:id="76" w:name="_Toc184312081"/>
      <w:bookmarkEnd w:id="76"/>
      <w:bookmarkStart w:id="77" w:name="_Toc184312136"/>
      <w:bookmarkEnd w:id="77"/>
      <w:bookmarkStart w:id="78" w:name="_Toc184308053"/>
      <w:bookmarkEnd w:id="78"/>
      <w:bookmarkStart w:id="79" w:name="_Toc184313275"/>
      <w:bookmarkEnd w:id="79"/>
      <w:bookmarkStart w:id="80" w:name="_Toc184313295"/>
      <w:bookmarkEnd w:id="80"/>
      <w:bookmarkStart w:id="81" w:name="_Toc184308037"/>
      <w:bookmarkEnd w:id="81"/>
      <w:bookmarkStart w:id="82" w:name="_Toc184313240"/>
      <w:bookmarkEnd w:id="82"/>
      <w:bookmarkStart w:id="83" w:name="_Toc184313273"/>
      <w:bookmarkEnd w:id="83"/>
      <w:bookmarkStart w:id="84" w:name="_Toc184312106"/>
      <w:bookmarkEnd w:id="84"/>
      <w:bookmarkStart w:id="85" w:name="_Toc184310290"/>
      <w:bookmarkEnd w:id="85"/>
      <w:bookmarkStart w:id="86" w:name="_Toc184314470"/>
      <w:bookmarkEnd w:id="86"/>
      <w:bookmarkStart w:id="87" w:name="_Toc184313280"/>
      <w:bookmarkEnd w:id="87"/>
      <w:bookmarkStart w:id="88" w:name="_Toc184312125"/>
      <w:bookmarkEnd w:id="88"/>
      <w:bookmarkStart w:id="89" w:name="_Toc184314455"/>
      <w:bookmarkEnd w:id="89"/>
      <w:bookmarkStart w:id="90" w:name="_Toc184312113"/>
      <w:bookmarkEnd w:id="90"/>
      <w:bookmarkStart w:id="91" w:name="_Toc184310294"/>
      <w:bookmarkEnd w:id="91"/>
      <w:bookmarkStart w:id="92" w:name="_Toc184308062"/>
      <w:bookmarkEnd w:id="92"/>
      <w:bookmarkStart w:id="93" w:name="_Toc184308101"/>
      <w:bookmarkEnd w:id="93"/>
      <w:bookmarkStart w:id="94" w:name="_Toc184310276"/>
      <w:bookmarkEnd w:id="94"/>
      <w:bookmarkStart w:id="95" w:name="_Toc184312073"/>
      <w:bookmarkEnd w:id="95"/>
      <w:bookmarkStart w:id="96" w:name="_Toc184313261"/>
      <w:bookmarkEnd w:id="96"/>
      <w:bookmarkStart w:id="97" w:name="_Toc184308095"/>
      <w:bookmarkEnd w:id="97"/>
      <w:bookmarkStart w:id="98" w:name="_Toc184308052"/>
      <w:bookmarkEnd w:id="98"/>
      <w:bookmarkStart w:id="99" w:name="_Toc184310311"/>
      <w:bookmarkEnd w:id="99"/>
      <w:bookmarkStart w:id="100" w:name="_Toc184314462"/>
      <w:bookmarkEnd w:id="100"/>
      <w:bookmarkStart w:id="101" w:name="_Toc184308038"/>
      <w:bookmarkEnd w:id="101"/>
      <w:bookmarkStart w:id="102" w:name="_Toc184310293"/>
      <w:bookmarkEnd w:id="102"/>
      <w:bookmarkStart w:id="103" w:name="_Toc184308044"/>
      <w:bookmarkEnd w:id="103"/>
      <w:bookmarkStart w:id="104" w:name="_Toc184313289"/>
      <w:bookmarkEnd w:id="104"/>
      <w:bookmarkStart w:id="105" w:name="_Toc184310273"/>
      <w:bookmarkEnd w:id="105"/>
      <w:bookmarkStart w:id="106" w:name="_Toc184308064"/>
      <w:bookmarkEnd w:id="106"/>
      <w:bookmarkStart w:id="107" w:name="_Toc184314442"/>
      <w:bookmarkEnd w:id="107"/>
      <w:bookmarkStart w:id="108" w:name="_Toc184314445"/>
      <w:bookmarkEnd w:id="108"/>
      <w:bookmarkStart w:id="109" w:name="_Toc184312133"/>
      <w:bookmarkEnd w:id="109"/>
      <w:bookmarkStart w:id="110" w:name="_Toc184312114"/>
      <w:bookmarkEnd w:id="110"/>
      <w:bookmarkStart w:id="111" w:name="_Toc184313274"/>
      <w:bookmarkEnd w:id="111"/>
      <w:bookmarkStart w:id="112" w:name="_Toc184313310"/>
      <w:bookmarkEnd w:id="112"/>
      <w:bookmarkStart w:id="113" w:name="_Toc184314419"/>
      <w:bookmarkEnd w:id="113"/>
      <w:bookmarkStart w:id="114" w:name="_Toc184314454"/>
      <w:bookmarkEnd w:id="114"/>
      <w:bookmarkStart w:id="115" w:name="_Toc184313290"/>
      <w:bookmarkEnd w:id="115"/>
      <w:bookmarkStart w:id="116" w:name="_Toc184308106"/>
      <w:bookmarkEnd w:id="116"/>
      <w:bookmarkStart w:id="117" w:name="_Toc184312137"/>
      <w:bookmarkEnd w:id="117"/>
      <w:bookmarkStart w:id="118" w:name="_Toc184313254"/>
      <w:bookmarkEnd w:id="118"/>
      <w:bookmarkStart w:id="119" w:name="_Toc184312088"/>
      <w:bookmarkEnd w:id="119"/>
      <w:bookmarkStart w:id="120" w:name="_Toc184310286"/>
      <w:bookmarkEnd w:id="120"/>
      <w:bookmarkStart w:id="121" w:name="_Toc184314430"/>
      <w:bookmarkEnd w:id="121"/>
      <w:bookmarkStart w:id="122" w:name="_Toc184314467"/>
      <w:bookmarkEnd w:id="122"/>
      <w:bookmarkStart w:id="123" w:name="_Toc184310306"/>
      <w:bookmarkEnd w:id="123"/>
      <w:bookmarkStart w:id="124" w:name="_Toc184308055"/>
      <w:bookmarkEnd w:id="124"/>
      <w:bookmarkStart w:id="125" w:name="_Toc184313259"/>
      <w:bookmarkEnd w:id="125"/>
      <w:bookmarkStart w:id="126" w:name="_Toc184314443"/>
      <w:bookmarkEnd w:id="126"/>
      <w:bookmarkStart w:id="127" w:name="_Toc184308105"/>
      <w:bookmarkEnd w:id="127"/>
      <w:bookmarkStart w:id="128" w:name="_Toc184310279"/>
      <w:bookmarkEnd w:id="128"/>
      <w:bookmarkStart w:id="129" w:name="_Toc184312092"/>
      <w:bookmarkEnd w:id="129"/>
      <w:bookmarkStart w:id="130" w:name="_Toc184314444"/>
      <w:bookmarkEnd w:id="130"/>
      <w:bookmarkStart w:id="131" w:name="_Toc184312116"/>
      <w:bookmarkEnd w:id="131"/>
      <w:bookmarkStart w:id="132" w:name="_Toc184308078"/>
      <w:bookmarkEnd w:id="132"/>
      <w:bookmarkStart w:id="133" w:name="_Toc184313265"/>
      <w:bookmarkEnd w:id="133"/>
      <w:bookmarkStart w:id="134" w:name="_Toc184310275"/>
      <w:bookmarkEnd w:id="134"/>
      <w:bookmarkStart w:id="135" w:name="_Toc184310331"/>
      <w:bookmarkEnd w:id="135"/>
      <w:bookmarkStart w:id="136" w:name="_Toc184312102"/>
      <w:bookmarkEnd w:id="136"/>
      <w:bookmarkStart w:id="137" w:name="_Toc184308086"/>
      <w:bookmarkEnd w:id="137"/>
      <w:bookmarkStart w:id="138" w:name="_Toc184310319"/>
      <w:bookmarkEnd w:id="138"/>
      <w:bookmarkStart w:id="139" w:name="_Toc184313300"/>
      <w:bookmarkEnd w:id="139"/>
      <w:bookmarkStart w:id="140" w:name="_Toc184313281"/>
      <w:bookmarkEnd w:id="140"/>
      <w:bookmarkStart w:id="141" w:name="_Toc184312131"/>
      <w:bookmarkEnd w:id="141"/>
      <w:bookmarkStart w:id="142" w:name="_Toc184313241"/>
      <w:bookmarkEnd w:id="142"/>
      <w:bookmarkStart w:id="143" w:name="_Toc184308067"/>
      <w:bookmarkEnd w:id="143"/>
      <w:bookmarkStart w:id="144" w:name="_Toc184314451"/>
      <w:bookmarkEnd w:id="144"/>
      <w:bookmarkStart w:id="145" w:name="_Toc184314418"/>
      <w:bookmarkEnd w:id="145"/>
      <w:bookmarkStart w:id="146" w:name="_Toc184308091"/>
      <w:bookmarkEnd w:id="146"/>
      <w:bookmarkStart w:id="147" w:name="_Toc184314464"/>
      <w:bookmarkEnd w:id="147"/>
      <w:bookmarkStart w:id="148" w:name="_Toc184308090"/>
      <w:bookmarkEnd w:id="148"/>
      <w:bookmarkStart w:id="149" w:name="_Toc184308097"/>
      <w:bookmarkEnd w:id="149"/>
      <w:bookmarkStart w:id="150" w:name="_Toc184310305"/>
      <w:bookmarkEnd w:id="150"/>
      <w:bookmarkStart w:id="151" w:name="_Toc184313258"/>
      <w:bookmarkEnd w:id="151"/>
      <w:bookmarkStart w:id="152" w:name="_Toc184308068"/>
      <w:bookmarkEnd w:id="152"/>
      <w:bookmarkStart w:id="153" w:name="_Toc184313246"/>
      <w:bookmarkEnd w:id="153"/>
      <w:bookmarkStart w:id="154" w:name="_Toc184312074"/>
      <w:bookmarkEnd w:id="154"/>
      <w:bookmarkStart w:id="155" w:name="_Toc184314434"/>
      <w:bookmarkEnd w:id="155"/>
      <w:bookmarkStart w:id="156" w:name="_Toc184308098"/>
      <w:bookmarkEnd w:id="156"/>
      <w:bookmarkStart w:id="157" w:name="_Toc184313279"/>
      <w:bookmarkEnd w:id="157"/>
      <w:bookmarkStart w:id="158" w:name="_Toc184308085"/>
      <w:bookmarkEnd w:id="158"/>
      <w:bookmarkStart w:id="159" w:name="_Toc184313250"/>
      <w:bookmarkEnd w:id="159"/>
      <w:bookmarkStart w:id="160" w:name="_Toc184314479"/>
      <w:bookmarkEnd w:id="160"/>
      <w:bookmarkStart w:id="161" w:name="_Toc184310334"/>
      <w:bookmarkEnd w:id="161"/>
      <w:bookmarkStart w:id="162" w:name="_Toc184314432"/>
      <w:bookmarkEnd w:id="162"/>
      <w:bookmarkStart w:id="163" w:name="_Toc184308048"/>
      <w:bookmarkEnd w:id="163"/>
      <w:bookmarkStart w:id="164" w:name="_Toc184312099"/>
      <w:bookmarkEnd w:id="164"/>
      <w:bookmarkStart w:id="165" w:name="_Toc184313298"/>
      <w:bookmarkEnd w:id="165"/>
      <w:bookmarkStart w:id="166" w:name="_Toc184308039"/>
      <w:bookmarkEnd w:id="166"/>
      <w:bookmarkStart w:id="167" w:name="_Toc184313286"/>
      <w:bookmarkEnd w:id="167"/>
      <w:bookmarkStart w:id="168" w:name="_Toc184314439"/>
      <w:bookmarkEnd w:id="168"/>
      <w:bookmarkStart w:id="169" w:name="_Toc184310299"/>
      <w:bookmarkEnd w:id="169"/>
      <w:bookmarkStart w:id="170" w:name="_Toc184312108"/>
      <w:bookmarkEnd w:id="170"/>
      <w:bookmarkStart w:id="171" w:name="_Toc184310322"/>
      <w:bookmarkEnd w:id="171"/>
      <w:bookmarkStart w:id="172" w:name="_Toc184314440"/>
      <w:bookmarkEnd w:id="172"/>
      <w:bookmarkStart w:id="173" w:name="_Toc184313238"/>
      <w:bookmarkEnd w:id="173"/>
      <w:bookmarkStart w:id="174" w:name="_Toc184312083"/>
      <w:bookmarkEnd w:id="174"/>
      <w:bookmarkStart w:id="175" w:name="_Toc184308099"/>
      <w:bookmarkEnd w:id="175"/>
      <w:bookmarkStart w:id="176" w:name="_Toc184310328"/>
      <w:bookmarkEnd w:id="176"/>
      <w:bookmarkStart w:id="177" w:name="_Toc184312098"/>
      <w:bookmarkEnd w:id="177"/>
      <w:bookmarkStart w:id="178" w:name="_Toc184312118"/>
      <w:bookmarkEnd w:id="178"/>
      <w:bookmarkStart w:id="179" w:name="_Toc184310281"/>
      <w:bookmarkEnd w:id="179"/>
      <w:bookmarkStart w:id="180" w:name="_Toc184310321"/>
      <w:bookmarkEnd w:id="180"/>
      <w:bookmarkStart w:id="181" w:name="_Toc184314475"/>
      <w:bookmarkEnd w:id="181"/>
      <w:bookmarkStart w:id="182" w:name="_Toc184313266"/>
      <w:bookmarkEnd w:id="182"/>
      <w:bookmarkStart w:id="183" w:name="_Toc184314469"/>
      <w:bookmarkEnd w:id="183"/>
      <w:bookmarkStart w:id="184" w:name="_Toc184310309"/>
      <w:bookmarkEnd w:id="184"/>
      <w:bookmarkStart w:id="185" w:name="_Toc184312123"/>
      <w:bookmarkEnd w:id="185"/>
      <w:bookmarkStart w:id="186" w:name="_Toc184310330"/>
      <w:bookmarkEnd w:id="186"/>
      <w:bookmarkStart w:id="187" w:name="_Toc184308057"/>
      <w:bookmarkEnd w:id="187"/>
      <w:bookmarkStart w:id="188" w:name="_Toc184314453"/>
      <w:bookmarkEnd w:id="188"/>
      <w:bookmarkStart w:id="189" w:name="_Toc184310326"/>
      <w:bookmarkEnd w:id="189"/>
      <w:bookmarkStart w:id="190" w:name="_Toc184308059"/>
      <w:bookmarkEnd w:id="190"/>
      <w:bookmarkStart w:id="191" w:name="_Toc184308092"/>
      <w:bookmarkEnd w:id="191"/>
      <w:bookmarkStart w:id="192" w:name="_Toc184314448"/>
      <w:bookmarkEnd w:id="192"/>
      <w:bookmarkStart w:id="193" w:name="_Toc184310291"/>
      <w:bookmarkEnd w:id="193"/>
      <w:bookmarkStart w:id="194" w:name="_Toc184310292"/>
      <w:bookmarkEnd w:id="194"/>
      <w:bookmarkStart w:id="195" w:name="_Toc184313260"/>
      <w:bookmarkEnd w:id="195"/>
      <w:bookmarkStart w:id="196" w:name="_Toc184310340"/>
      <w:bookmarkEnd w:id="196"/>
      <w:bookmarkStart w:id="197" w:name="_Toc184312070"/>
      <w:bookmarkEnd w:id="197"/>
      <w:bookmarkStart w:id="198" w:name="_Toc184308054"/>
      <w:bookmarkEnd w:id="198"/>
      <w:bookmarkStart w:id="199" w:name="_Toc184312115"/>
      <w:bookmarkEnd w:id="199"/>
      <w:bookmarkStart w:id="200" w:name="_Toc184308096"/>
      <w:bookmarkEnd w:id="200"/>
      <w:bookmarkStart w:id="201" w:name="_Toc184310307"/>
      <w:bookmarkEnd w:id="201"/>
      <w:bookmarkStart w:id="202" w:name="_Toc184312105"/>
      <w:bookmarkEnd w:id="202"/>
      <w:bookmarkStart w:id="203" w:name="_Toc184310285"/>
      <w:bookmarkEnd w:id="203"/>
      <w:bookmarkStart w:id="204" w:name="_Toc184314473"/>
      <w:bookmarkEnd w:id="204"/>
      <w:bookmarkStart w:id="205" w:name="_Toc184310280"/>
      <w:bookmarkEnd w:id="205"/>
      <w:bookmarkStart w:id="206" w:name="_Toc184314426"/>
      <w:bookmarkEnd w:id="206"/>
      <w:bookmarkStart w:id="207" w:name="_Toc184310277"/>
      <w:bookmarkEnd w:id="207"/>
      <w:bookmarkStart w:id="208" w:name="_Toc184313252"/>
      <w:bookmarkEnd w:id="208"/>
      <w:bookmarkStart w:id="209" w:name="_Toc184314447"/>
      <w:bookmarkEnd w:id="209"/>
      <w:bookmarkStart w:id="210" w:name="_Toc184308065"/>
      <w:bookmarkEnd w:id="210"/>
      <w:bookmarkStart w:id="211" w:name="_Toc184313242"/>
      <w:bookmarkEnd w:id="211"/>
      <w:bookmarkStart w:id="212" w:name="_Toc184313305"/>
      <w:bookmarkEnd w:id="212"/>
      <w:bookmarkStart w:id="213" w:name="_Toc184314482"/>
      <w:bookmarkEnd w:id="213"/>
      <w:bookmarkStart w:id="214" w:name="_Toc184314457"/>
      <w:bookmarkEnd w:id="214"/>
      <w:bookmarkStart w:id="215" w:name="_Toc184314438"/>
      <w:bookmarkEnd w:id="215"/>
      <w:bookmarkStart w:id="216" w:name="_Toc184310287"/>
      <w:bookmarkEnd w:id="216"/>
      <w:bookmarkStart w:id="217" w:name="_Toc184312089"/>
      <w:bookmarkEnd w:id="217"/>
      <w:bookmarkStart w:id="218" w:name="_Toc184312104"/>
      <w:bookmarkEnd w:id="218"/>
      <w:bookmarkStart w:id="219" w:name="_Toc184310316"/>
      <w:bookmarkEnd w:id="219"/>
      <w:bookmarkStart w:id="220" w:name="_Toc184310312"/>
      <w:bookmarkEnd w:id="220"/>
      <w:bookmarkStart w:id="221" w:name="_Toc184314459"/>
      <w:bookmarkEnd w:id="221"/>
      <w:bookmarkStart w:id="222" w:name="_Toc184310344"/>
      <w:bookmarkEnd w:id="222"/>
      <w:bookmarkStart w:id="223" w:name="_Toc184308069"/>
      <w:bookmarkEnd w:id="223"/>
      <w:bookmarkStart w:id="224" w:name="_Toc184312119"/>
      <w:bookmarkEnd w:id="224"/>
      <w:bookmarkStart w:id="225" w:name="_Toc184310323"/>
      <w:bookmarkEnd w:id="225"/>
      <w:bookmarkStart w:id="226" w:name="_Toc184313272"/>
      <w:bookmarkEnd w:id="226"/>
      <w:bookmarkStart w:id="227" w:name="_Toc184308082"/>
      <w:bookmarkEnd w:id="227"/>
      <w:bookmarkStart w:id="228" w:name="_Toc184313304"/>
      <w:bookmarkEnd w:id="228"/>
      <w:bookmarkStart w:id="229" w:name="_Toc184308094"/>
      <w:bookmarkEnd w:id="229"/>
      <w:bookmarkStart w:id="230" w:name="_Toc184313296"/>
      <w:bookmarkEnd w:id="230"/>
      <w:bookmarkStart w:id="231" w:name="_Toc184308074"/>
      <w:bookmarkEnd w:id="231"/>
      <w:bookmarkStart w:id="232" w:name="_Toc184312090"/>
      <w:bookmarkEnd w:id="232"/>
      <w:bookmarkStart w:id="233" w:name="_Toc184312122"/>
      <w:bookmarkEnd w:id="233"/>
      <w:bookmarkStart w:id="234" w:name="_Toc184312103"/>
      <w:bookmarkEnd w:id="234"/>
      <w:bookmarkStart w:id="235" w:name="_Toc184313276"/>
      <w:bookmarkEnd w:id="235"/>
      <w:bookmarkStart w:id="236" w:name="_Toc184312120"/>
      <w:bookmarkEnd w:id="236"/>
      <w:bookmarkStart w:id="237" w:name="_Toc184310327"/>
      <w:bookmarkEnd w:id="237"/>
      <w:bookmarkStart w:id="238" w:name="_Toc184314415"/>
      <w:bookmarkEnd w:id="238"/>
      <w:bookmarkStart w:id="239" w:name="_Toc184310320"/>
      <w:bookmarkEnd w:id="239"/>
      <w:bookmarkStart w:id="240" w:name="_Toc184308093"/>
      <w:bookmarkEnd w:id="240"/>
      <w:bookmarkStart w:id="241" w:name="_Toc184308047"/>
      <w:bookmarkEnd w:id="241"/>
      <w:bookmarkStart w:id="242" w:name="_Toc184313294"/>
      <w:bookmarkEnd w:id="242"/>
      <w:bookmarkStart w:id="243" w:name="_Toc184313257"/>
      <w:bookmarkEnd w:id="243"/>
      <w:bookmarkStart w:id="244" w:name="_Toc184312082"/>
      <w:bookmarkEnd w:id="244"/>
      <w:bookmarkStart w:id="245" w:name="_Toc184308042"/>
      <w:bookmarkEnd w:id="245"/>
      <w:bookmarkStart w:id="246" w:name="_Toc184312124"/>
      <w:bookmarkEnd w:id="246"/>
      <w:bookmarkStart w:id="247" w:name="_Toc184312077"/>
      <w:bookmarkEnd w:id="247"/>
      <w:bookmarkStart w:id="248" w:name="_Toc184313287"/>
      <w:bookmarkEnd w:id="248"/>
      <w:bookmarkStart w:id="249" w:name="_Toc184310303"/>
      <w:bookmarkEnd w:id="249"/>
      <w:bookmarkStart w:id="250" w:name="_Toc184308061"/>
      <w:bookmarkEnd w:id="250"/>
      <w:bookmarkStart w:id="251" w:name="_Toc184308070"/>
      <w:bookmarkEnd w:id="251"/>
      <w:bookmarkStart w:id="252" w:name="_Toc184313288"/>
      <w:bookmarkEnd w:id="252"/>
      <w:bookmarkStart w:id="253" w:name="_Toc184314437"/>
      <w:bookmarkEnd w:id="253"/>
      <w:bookmarkStart w:id="254" w:name="_Toc184310317"/>
      <w:bookmarkEnd w:id="254"/>
      <w:bookmarkStart w:id="255" w:name="_Toc184312128"/>
      <w:bookmarkEnd w:id="255"/>
      <w:bookmarkStart w:id="256" w:name="_Toc184313284"/>
      <w:bookmarkEnd w:id="256"/>
      <w:bookmarkStart w:id="257" w:name="_Toc184312069"/>
      <w:bookmarkEnd w:id="257"/>
      <w:bookmarkStart w:id="258" w:name="_Toc184312117"/>
      <w:bookmarkEnd w:id="258"/>
      <w:bookmarkStart w:id="259" w:name="_Toc184312084"/>
      <w:bookmarkEnd w:id="259"/>
      <w:bookmarkStart w:id="260" w:name="_Toc184308100"/>
      <w:bookmarkEnd w:id="260"/>
      <w:bookmarkStart w:id="261" w:name="_Toc184312093"/>
      <w:bookmarkEnd w:id="261"/>
      <w:bookmarkStart w:id="262" w:name="_Toc184314468"/>
      <w:bookmarkEnd w:id="262"/>
      <w:bookmarkStart w:id="263" w:name="_Toc184310272"/>
      <w:bookmarkEnd w:id="263"/>
      <w:bookmarkStart w:id="264" w:name="_Toc184310278"/>
      <w:bookmarkEnd w:id="264"/>
      <w:bookmarkStart w:id="265" w:name="_Toc184313270"/>
      <w:bookmarkEnd w:id="265"/>
      <w:bookmarkStart w:id="266" w:name="_Toc184312107"/>
      <w:bookmarkEnd w:id="266"/>
      <w:bookmarkStart w:id="267" w:name="_Toc184310314"/>
      <w:bookmarkEnd w:id="267"/>
      <w:bookmarkStart w:id="268" w:name="_Toc184308058"/>
      <w:bookmarkEnd w:id="268"/>
      <w:bookmarkStart w:id="269" w:name="_Toc184310300"/>
      <w:bookmarkEnd w:id="269"/>
      <w:bookmarkStart w:id="270" w:name="_Toc184310284"/>
      <w:bookmarkEnd w:id="270"/>
      <w:bookmarkStart w:id="271" w:name="_Toc184314435"/>
      <w:bookmarkEnd w:id="271"/>
      <w:bookmarkStart w:id="272" w:name="_Toc184313248"/>
      <w:bookmarkEnd w:id="272"/>
      <w:bookmarkStart w:id="273" w:name="_Toc184310295"/>
      <w:bookmarkEnd w:id="273"/>
      <w:bookmarkStart w:id="274" w:name="_Toc184308107"/>
      <w:bookmarkEnd w:id="274"/>
      <w:bookmarkStart w:id="275" w:name="_Toc184312138"/>
      <w:bookmarkEnd w:id="275"/>
      <w:bookmarkStart w:id="276" w:name="_Toc184310296"/>
      <w:bookmarkEnd w:id="276"/>
      <w:bookmarkStart w:id="277" w:name="_Toc184312130"/>
      <w:bookmarkEnd w:id="277"/>
      <w:bookmarkStart w:id="278" w:name="_Toc184313283"/>
      <w:bookmarkEnd w:id="278"/>
      <w:bookmarkStart w:id="279" w:name="_Toc184310324"/>
      <w:bookmarkEnd w:id="279"/>
      <w:bookmarkStart w:id="280" w:name="_Toc184314417"/>
      <w:bookmarkEnd w:id="280"/>
      <w:bookmarkStart w:id="281" w:name="_Toc184314410"/>
      <w:bookmarkEnd w:id="281"/>
      <w:bookmarkStart w:id="282" w:name="_Toc184312072"/>
      <w:bookmarkEnd w:id="282"/>
      <w:bookmarkStart w:id="283" w:name="_Toc184310325"/>
      <w:bookmarkEnd w:id="283"/>
      <w:bookmarkStart w:id="284" w:name="_Toc184308063"/>
      <w:bookmarkEnd w:id="284"/>
      <w:bookmarkStart w:id="285" w:name="_Toc184310339"/>
      <w:bookmarkEnd w:id="285"/>
      <w:bookmarkStart w:id="286" w:name="_Toc184314427"/>
      <w:bookmarkEnd w:id="286"/>
      <w:bookmarkStart w:id="287" w:name="_Toc184314474"/>
      <w:bookmarkEnd w:id="287"/>
      <w:bookmarkStart w:id="288" w:name="_Toc184314424"/>
      <w:bookmarkEnd w:id="288"/>
      <w:bookmarkStart w:id="289" w:name="_Toc184313247"/>
      <w:bookmarkEnd w:id="289"/>
      <w:bookmarkStart w:id="290" w:name="_Toc184314476"/>
      <w:bookmarkEnd w:id="290"/>
      <w:bookmarkStart w:id="291" w:name="_Toc184313299"/>
      <w:bookmarkEnd w:id="291"/>
      <w:bookmarkStart w:id="292" w:name="_Toc184308103"/>
      <w:bookmarkEnd w:id="292"/>
      <w:bookmarkStart w:id="293" w:name="_Toc184310343"/>
      <w:bookmarkEnd w:id="293"/>
      <w:bookmarkStart w:id="294" w:name="_Toc184312067"/>
      <w:bookmarkEnd w:id="294"/>
      <w:bookmarkStart w:id="295" w:name="_Toc184313309"/>
      <w:bookmarkEnd w:id="295"/>
      <w:bookmarkStart w:id="296" w:name="_Toc184312097"/>
      <w:bookmarkEnd w:id="296"/>
      <w:bookmarkStart w:id="297" w:name="_Toc184313297"/>
      <w:bookmarkEnd w:id="297"/>
      <w:bookmarkStart w:id="298" w:name="_Toc184310302"/>
      <w:bookmarkEnd w:id="298"/>
      <w:bookmarkStart w:id="299" w:name="_Toc184312126"/>
      <w:bookmarkEnd w:id="299"/>
      <w:bookmarkStart w:id="300" w:name="_Toc184313251"/>
      <w:bookmarkEnd w:id="300"/>
      <w:bookmarkStart w:id="301" w:name="_Toc184308040"/>
      <w:bookmarkEnd w:id="301"/>
      <w:bookmarkStart w:id="302" w:name="_Toc184314411"/>
      <w:bookmarkEnd w:id="302"/>
      <w:bookmarkStart w:id="303" w:name="_Toc184314450"/>
      <w:bookmarkEnd w:id="303"/>
      <w:bookmarkStart w:id="304" w:name="_Toc184312112"/>
      <w:bookmarkEnd w:id="304"/>
      <w:bookmarkStart w:id="305" w:name="_Toc184314465"/>
      <w:bookmarkEnd w:id="305"/>
      <w:bookmarkStart w:id="306" w:name="_Toc184314477"/>
      <w:bookmarkEnd w:id="306"/>
      <w:bookmarkStart w:id="307" w:name="_Toc184310337"/>
      <w:bookmarkEnd w:id="307"/>
      <w:bookmarkStart w:id="308" w:name="_Toc184312095"/>
      <w:bookmarkEnd w:id="308"/>
      <w:bookmarkStart w:id="309" w:name="_Toc184314471"/>
      <w:bookmarkEnd w:id="309"/>
      <w:bookmarkStart w:id="310" w:name="_Toc184313308"/>
      <w:bookmarkEnd w:id="310"/>
      <w:bookmarkStart w:id="311" w:name="_Toc184308108"/>
      <w:bookmarkEnd w:id="311"/>
      <w:bookmarkStart w:id="312" w:name="_Toc184313239"/>
      <w:bookmarkEnd w:id="312"/>
      <w:bookmarkStart w:id="313" w:name="_Toc184314481"/>
      <w:bookmarkEnd w:id="313"/>
      <w:bookmarkStart w:id="314" w:name="_Toc184308060"/>
      <w:bookmarkEnd w:id="314"/>
      <w:bookmarkStart w:id="315" w:name="_Toc184314421"/>
      <w:bookmarkEnd w:id="315"/>
      <w:bookmarkStart w:id="316" w:name="_Toc184312134"/>
      <w:bookmarkEnd w:id="316"/>
      <w:bookmarkStart w:id="317" w:name="_Toc184312079"/>
      <w:bookmarkEnd w:id="317"/>
      <w:bookmarkStart w:id="318" w:name="_Toc184308045"/>
      <w:bookmarkEnd w:id="318"/>
      <w:bookmarkStart w:id="319" w:name="_Toc184308050"/>
      <w:bookmarkEnd w:id="319"/>
      <w:bookmarkStart w:id="320" w:name="_Toc184310342"/>
      <w:bookmarkEnd w:id="320"/>
      <w:bookmarkStart w:id="321" w:name="_Toc184308087"/>
      <w:bookmarkEnd w:id="321"/>
      <w:bookmarkStart w:id="322" w:name="_Toc184313302"/>
      <w:bookmarkEnd w:id="322"/>
      <w:bookmarkStart w:id="323" w:name="_Toc184314416"/>
      <w:bookmarkEnd w:id="323"/>
      <w:bookmarkStart w:id="324" w:name="_Toc184308036"/>
      <w:bookmarkEnd w:id="324"/>
      <w:bookmarkStart w:id="325" w:name="_Toc184314433"/>
      <w:bookmarkEnd w:id="325"/>
      <w:bookmarkStart w:id="326" w:name="_Toc184312096"/>
      <w:bookmarkEnd w:id="326"/>
      <w:bookmarkStart w:id="327" w:name="_Toc184308056"/>
      <w:bookmarkEnd w:id="327"/>
      <w:bookmarkStart w:id="328" w:name="_Toc184308080"/>
      <w:bookmarkEnd w:id="328"/>
      <w:bookmarkStart w:id="329" w:name="_Toc184308077"/>
      <w:bookmarkEnd w:id="329"/>
      <w:bookmarkStart w:id="330" w:name="_Toc184312139"/>
      <w:bookmarkEnd w:id="330"/>
      <w:bookmarkStart w:id="331" w:name="_Toc184310315"/>
      <w:bookmarkEnd w:id="331"/>
      <w:bookmarkStart w:id="332" w:name="_Toc184312086"/>
      <w:bookmarkEnd w:id="332"/>
      <w:bookmarkStart w:id="333" w:name="_Toc184313243"/>
      <w:bookmarkEnd w:id="333"/>
      <w:bookmarkStart w:id="334" w:name="_Toc184314412"/>
      <w:bookmarkEnd w:id="334"/>
      <w:bookmarkStart w:id="335" w:name="_Toc184310274"/>
      <w:bookmarkEnd w:id="335"/>
      <w:bookmarkStart w:id="336" w:name="_Toc184313293"/>
      <w:bookmarkEnd w:id="336"/>
      <w:bookmarkStart w:id="337" w:name="_Toc184314480"/>
      <w:bookmarkEnd w:id="337"/>
      <w:bookmarkStart w:id="338" w:name="_Toc184313291"/>
      <w:bookmarkEnd w:id="338"/>
      <w:bookmarkStart w:id="339" w:name="_Toc184310288"/>
      <w:bookmarkEnd w:id="339"/>
      <w:bookmarkStart w:id="340" w:name="_Toc184308041"/>
      <w:bookmarkEnd w:id="340"/>
      <w:bookmarkStart w:id="341" w:name="_Toc184312135"/>
      <w:bookmarkEnd w:id="341"/>
      <w:bookmarkStart w:id="342" w:name="_Toc184312068"/>
      <w:bookmarkEnd w:id="342"/>
      <w:bookmarkStart w:id="343" w:name="_Toc184308073"/>
      <w:bookmarkEnd w:id="343"/>
      <w:bookmarkStart w:id="344" w:name="_Toc184314436"/>
      <w:bookmarkEnd w:id="344"/>
      <w:bookmarkStart w:id="345" w:name="_Toc184314452"/>
      <w:bookmarkEnd w:id="345"/>
      <w:bookmarkStart w:id="346" w:name="_Toc184308104"/>
      <w:bookmarkEnd w:id="346"/>
      <w:bookmarkStart w:id="347" w:name="_Toc184312129"/>
      <w:bookmarkEnd w:id="347"/>
      <w:bookmarkStart w:id="348" w:name="_Toc184313256"/>
      <w:bookmarkEnd w:id="348"/>
      <w:bookmarkStart w:id="349" w:name="_Toc184312075"/>
      <w:bookmarkEnd w:id="349"/>
      <w:bookmarkStart w:id="350" w:name="_Toc184310308"/>
      <w:bookmarkEnd w:id="350"/>
      <w:bookmarkStart w:id="351" w:name="_Toc184310282"/>
      <w:bookmarkEnd w:id="351"/>
      <w:bookmarkStart w:id="352" w:name="_Toc184314456"/>
      <w:bookmarkEnd w:id="352"/>
      <w:bookmarkStart w:id="353" w:name="_Toc184314431"/>
      <w:bookmarkEnd w:id="353"/>
      <w:bookmarkStart w:id="354" w:name="_Toc184314466"/>
      <w:bookmarkEnd w:id="354"/>
      <w:bookmarkStart w:id="355" w:name="_Toc184310318"/>
      <w:bookmarkEnd w:id="355"/>
      <w:bookmarkStart w:id="356" w:name="_Toc184313282"/>
      <w:bookmarkEnd w:id="356"/>
      <w:bookmarkStart w:id="357" w:name="_Toc184314478"/>
      <w:bookmarkEnd w:id="357"/>
      <w:bookmarkStart w:id="358" w:name="_Toc184312110"/>
      <w:bookmarkEnd w:id="358"/>
      <w:bookmarkStart w:id="359" w:name="_Toc184314422"/>
      <w:bookmarkEnd w:id="359"/>
      <w:bookmarkStart w:id="360" w:name="_Toc184310301"/>
      <w:bookmarkEnd w:id="360"/>
      <w:bookmarkStart w:id="361" w:name="_Toc184310304"/>
      <w:bookmarkEnd w:id="361"/>
      <w:bookmarkStart w:id="362" w:name="_Toc184313277"/>
      <w:bookmarkEnd w:id="362"/>
      <w:bookmarkStart w:id="363" w:name="_Toc184312127"/>
      <w:bookmarkEnd w:id="363"/>
      <w:bookmarkStart w:id="364" w:name="_Toc184313306"/>
      <w:bookmarkEnd w:id="364"/>
      <w:bookmarkStart w:id="365" w:name="_Toc184310298"/>
      <w:bookmarkEnd w:id="365"/>
      <w:bookmarkStart w:id="366" w:name="_Toc184314441"/>
      <w:bookmarkEnd w:id="366"/>
      <w:bookmarkStart w:id="367" w:name="_Toc184312109"/>
      <w:bookmarkEnd w:id="367"/>
      <w:bookmarkStart w:id="368" w:name="_Toc184310336"/>
      <w:bookmarkEnd w:id="368"/>
      <w:bookmarkStart w:id="369" w:name="_Toc184313262"/>
      <w:bookmarkEnd w:id="369"/>
      <w:bookmarkStart w:id="370" w:name="_Toc184308102"/>
      <w:bookmarkEnd w:id="370"/>
      <w:bookmarkStart w:id="371" w:name="_Toc184310341"/>
      <w:bookmarkEnd w:id="371"/>
      <w:bookmarkStart w:id="372" w:name="_Toc184308046"/>
      <w:bookmarkEnd w:id="372"/>
      <w:bookmarkStart w:id="373" w:name="_Toc184308066"/>
      <w:bookmarkEnd w:id="373"/>
      <w:bookmarkStart w:id="374" w:name="_Toc184310289"/>
      <w:bookmarkEnd w:id="374"/>
      <w:bookmarkStart w:id="375" w:name="_Toc184312080"/>
      <w:bookmarkEnd w:id="375"/>
      <w:bookmarkStart w:id="376" w:name="_Toc184310332"/>
      <w:bookmarkEnd w:id="376"/>
      <w:bookmarkStart w:id="377" w:name="_Toc184312111"/>
      <w:bookmarkEnd w:id="377"/>
      <w:bookmarkStart w:id="378" w:name="_Toc184313271"/>
      <w:bookmarkEnd w:id="378"/>
      <w:bookmarkStart w:id="379" w:name="_Toc184312071"/>
      <w:bookmarkEnd w:id="379"/>
      <w:bookmarkStart w:id="380" w:name="_Toc184313255"/>
      <w:bookmarkEnd w:id="380"/>
      <w:bookmarkStart w:id="381" w:name="_Toc184313292"/>
      <w:bookmarkEnd w:id="381"/>
      <w:bookmarkStart w:id="382" w:name="_Toc184314463"/>
      <w:bookmarkEnd w:id="382"/>
      <w:bookmarkStart w:id="383" w:name="_Toc184310329"/>
      <w:bookmarkEnd w:id="383"/>
      <w:bookmarkStart w:id="384" w:name="_Toc184312076"/>
      <w:bookmarkEnd w:id="384"/>
      <w:bookmarkStart w:id="385" w:name="_Toc184310297"/>
      <w:bookmarkEnd w:id="385"/>
      <w:bookmarkStart w:id="386" w:name="_Toc184314472"/>
      <w:bookmarkEnd w:id="386"/>
      <w:bookmarkStart w:id="387" w:name="_Toc184314423"/>
      <w:bookmarkEnd w:id="387"/>
      <w:bookmarkStart w:id="388" w:name="_Toc184312121"/>
      <w:bookmarkEnd w:id="388"/>
      <w:bookmarkStart w:id="389" w:name="_Toc184313264"/>
      <w:bookmarkEnd w:id="389"/>
      <w:bookmarkStart w:id="390" w:name="_Toc184313268"/>
      <w:bookmarkEnd w:id="390"/>
      <w:bookmarkStart w:id="391" w:name="_Toc184313269"/>
      <w:bookmarkEnd w:id="391"/>
      <w:bookmarkStart w:id="392" w:name="_Toc184308079"/>
      <w:bookmarkEnd w:id="392"/>
      <w:bookmarkStart w:id="393" w:name="_Toc184313244"/>
      <w:bookmarkEnd w:id="393"/>
      <w:bookmarkStart w:id="394" w:name="_Toc184313307"/>
      <w:bookmarkEnd w:id="394"/>
      <w:bookmarkStart w:id="395" w:name="_Toc184313263"/>
      <w:bookmarkEnd w:id="395"/>
      <w:bookmarkStart w:id="396" w:name="_Toc184310333"/>
      <w:bookmarkEnd w:id="396"/>
      <w:bookmarkStart w:id="397" w:name="_Toc184308071"/>
      <w:bookmarkEnd w:id="397"/>
      <w:bookmarkStart w:id="398" w:name="_Toc184313245"/>
      <w:bookmarkEnd w:id="398"/>
      <w:bookmarkStart w:id="399" w:name="_Toc184314446"/>
      <w:bookmarkEnd w:id="399"/>
      <w:bookmarkStart w:id="400" w:name="_Toc184310313"/>
      <w:bookmarkEnd w:id="400"/>
      <w:bookmarkStart w:id="401" w:name="_Toc184308072"/>
      <w:bookmarkEnd w:id="401"/>
      <w:bookmarkStart w:id="402" w:name="_Toc184314429"/>
      <w:bookmarkEnd w:id="402"/>
      <w:bookmarkStart w:id="403" w:name="_Toc184308081"/>
      <w:bookmarkEnd w:id="403"/>
      <w:bookmarkStart w:id="404" w:name="_Toc184314449"/>
      <w:bookmarkEnd w:id="404"/>
      <w:bookmarkStart w:id="405" w:name="_Toc184314414"/>
      <w:bookmarkEnd w:id="405"/>
      <w:bookmarkStart w:id="406" w:name="_Toc184313278"/>
      <w:bookmarkEnd w:id="406"/>
      <w:bookmarkStart w:id="407" w:name="_Toc184313249"/>
      <w:bookmarkEnd w:id="407"/>
      <w:bookmarkStart w:id="408" w:name="_Toc184313253"/>
      <w:bookmarkEnd w:id="408"/>
      <w:bookmarkStart w:id="409" w:name="_Toc184313285"/>
      <w:bookmarkEnd w:id="409"/>
      <w:bookmarkStart w:id="410" w:name="_Toc184308043"/>
      <w:bookmarkEnd w:id="410"/>
      <w:bookmarkStart w:id="411" w:name="_Toc184313267"/>
      <w:bookmarkEnd w:id="411"/>
      <w:bookmarkStart w:id="412" w:name="_Toc184312094"/>
      <w:bookmarkEnd w:id="412"/>
      <w:bookmarkStart w:id="413" w:name="_Toc184308051"/>
      <w:bookmarkEnd w:id="413"/>
      <w:bookmarkStart w:id="414" w:name="_Toc184308084"/>
      <w:bookmarkEnd w:id="414"/>
      <w:bookmarkStart w:id="415" w:name="_Toc184314413"/>
      <w:bookmarkEnd w:id="415"/>
      <w:bookmarkStart w:id="416" w:name="_Toc184308088"/>
      <w:bookmarkEnd w:id="416"/>
      <w:bookmarkStart w:id="417" w:name="_Toc184312100"/>
      <w:bookmarkEnd w:id="417"/>
      <w:bookmarkStart w:id="418" w:name="_Toc184314460"/>
      <w:bookmarkEnd w:id="418"/>
      <w:bookmarkStart w:id="419" w:name="_Toc184308076"/>
      <w:bookmarkEnd w:id="419"/>
      <w:bookmarkStart w:id="420" w:name="_Toc184314428"/>
      <w:bookmarkEnd w:id="420"/>
      <w:bookmarkStart w:id="421" w:name="_Toc184310335"/>
      <w:bookmarkEnd w:id="421"/>
      <w:bookmarkStart w:id="422" w:name="_Toc184313301"/>
      <w:bookmarkEnd w:id="422"/>
      <w:bookmarkStart w:id="423" w:name="_Toc184312101"/>
      <w:bookmarkEnd w:id="423"/>
      <w:bookmarkStart w:id="424" w:name="_Toc184312087"/>
      <w:bookmarkEnd w:id="424"/>
      <w:bookmarkStart w:id="425" w:name="_Toc184308049"/>
      <w:bookmarkEnd w:id="425"/>
      <w:bookmarkStart w:id="426" w:name="_Toc184314458"/>
      <w:bookmarkEnd w:id="426"/>
      <w:bookmarkStart w:id="427" w:name="_Toc184308089"/>
      <w:bookmarkEnd w:id="427"/>
      <w:bookmarkStart w:id="428" w:name="_Toc184312085"/>
      <w:bookmarkEnd w:id="428"/>
      <w:bookmarkStart w:id="429" w:name="_Toc184310283"/>
      <w:bookmarkEnd w:id="429"/>
      <w:bookmarkStart w:id="430" w:name="_Toc184313303"/>
      <w:bookmarkEnd w:id="430"/>
      <w:bookmarkStart w:id="431" w:name="_Toc184312091"/>
      <w:bookmarkEnd w:id="431"/>
      <w:bookmarkStart w:id="432" w:name="_Toc184310338"/>
      <w:bookmarkEnd w:id="432"/>
      <w:bookmarkStart w:id="433" w:name="_Toc184308075"/>
      <w:bookmarkEnd w:id="433"/>
      <w:bookmarkStart w:id="434" w:name="_Toc184314420"/>
      <w:bookmarkEnd w:id="434"/>
      <w:bookmarkStart w:id="435" w:name="_Toc184312078"/>
      <w:bookmarkEnd w:id="435"/>
      <w:bookmarkStart w:id="436" w:name="_Toc184312132"/>
      <w:bookmarkEnd w:id="436"/>
      <w:bookmarkStart w:id="437" w:name="_Toc184308083"/>
      <w:bookmarkEnd w:id="437"/>
      <w:bookmarkStart w:id="438" w:name="_Toc184310310"/>
      <w:bookmarkEnd w:id="438"/>
      <w:bookmarkStart w:id="439" w:name="_Toc184314461"/>
      <w:bookmarkEnd w:id="439"/>
      <w:r>
        <w:rPr>
          <w:rFonts w:hint="eastAsia" w:cs="仿宋" w:asciiTheme="majorEastAsia" w:hAnsiTheme="majorEastAsia" w:eastAsiaTheme="majorEastAsia"/>
          <w:b/>
          <w:color w:val="auto"/>
          <w:sz w:val="36"/>
          <w:szCs w:val="36"/>
          <w:highlight w:val="none"/>
        </w:rPr>
        <w:t>评标办法</w:t>
      </w:r>
    </w:p>
    <w:p w14:paraId="18FF1A75">
      <w:pPr>
        <w:shd w:val="clear"/>
        <w:snapToGrid w:val="0"/>
        <w:spacing w:line="360" w:lineRule="auto"/>
        <w:jc w:val="center"/>
        <w:rPr>
          <w:rFonts w:cs="仿宋" w:asciiTheme="majorEastAsia" w:hAnsiTheme="majorEastAsia" w:eastAsiaTheme="majorEastAsia"/>
          <w:b/>
          <w:color w:val="auto"/>
          <w:sz w:val="36"/>
          <w:szCs w:val="36"/>
          <w:highlight w:val="none"/>
        </w:rPr>
      </w:pPr>
      <w:r>
        <w:rPr>
          <w:rFonts w:hint="eastAsia" w:cs="仿宋" w:asciiTheme="majorEastAsia" w:hAnsiTheme="majorEastAsia" w:eastAsiaTheme="majorEastAsia"/>
          <w:b/>
          <w:color w:val="auto"/>
          <w:sz w:val="32"/>
          <w:szCs w:val="20"/>
          <w:highlight w:val="none"/>
        </w:rPr>
        <w:t>评标办法前附表</w:t>
      </w:r>
    </w:p>
    <w:tbl>
      <w:tblPr>
        <w:tblStyle w:val="21"/>
        <w:tblW w:w="98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596"/>
        <w:gridCol w:w="1274"/>
        <w:gridCol w:w="7970"/>
      </w:tblGrid>
      <w:tr w14:paraId="47FD7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64" w:hRule="atLeast"/>
          <w:jc w:val="center"/>
        </w:trPr>
        <w:tc>
          <w:tcPr>
            <w:tcW w:w="984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0487B285">
            <w:pPr>
              <w:shd w:val="clear"/>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评分标准</w:t>
            </w:r>
          </w:p>
        </w:tc>
      </w:tr>
      <w:tr w14:paraId="0ABC49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PrEx>
        <w:trPr>
          <w:trHeight w:val="944" w:hRule="atLeast"/>
          <w:jc w:val="center"/>
        </w:trPr>
        <w:tc>
          <w:tcPr>
            <w:tcW w:w="59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6D0832F">
            <w:pPr>
              <w:widowControl/>
              <w:shd w:val="clear"/>
              <w:jc w:val="left"/>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商务技术分80分</w:t>
            </w:r>
          </w:p>
        </w:tc>
        <w:tc>
          <w:tcPr>
            <w:tcW w:w="127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FC5411C">
            <w:pPr>
              <w:shd w:val="clear"/>
              <w:rPr>
                <w:color w:val="auto"/>
                <w:spacing w:val="-7"/>
                <w:szCs w:val="21"/>
                <w:highlight w:val="none"/>
              </w:rPr>
            </w:pPr>
            <w:r>
              <w:rPr>
                <w:rFonts w:hint="eastAsia"/>
                <w:color w:val="auto"/>
                <w:spacing w:val="-5"/>
                <w:szCs w:val="21"/>
                <w:highlight w:val="none"/>
              </w:rPr>
              <w:t>一、运营服务</w:t>
            </w:r>
            <w:r>
              <w:rPr>
                <w:rFonts w:hint="eastAsia"/>
                <w:color w:val="auto"/>
                <w:spacing w:val="-7"/>
                <w:szCs w:val="21"/>
                <w:highlight w:val="none"/>
              </w:rPr>
              <w:t>方案</w:t>
            </w:r>
          </w:p>
          <w:p w14:paraId="2A910D40">
            <w:pPr>
              <w:shd w:val="clear"/>
              <w:rPr>
                <w:rFonts w:cs="仿宋" w:asciiTheme="minorEastAsia" w:hAnsiTheme="minorEastAsia" w:eastAsiaTheme="minorEastAsia"/>
                <w:color w:val="auto"/>
                <w:szCs w:val="21"/>
                <w:highlight w:val="none"/>
              </w:rPr>
            </w:pPr>
            <w:r>
              <w:rPr>
                <w:rFonts w:hint="eastAsia"/>
                <w:color w:val="auto"/>
                <w:spacing w:val="-7"/>
                <w:szCs w:val="21"/>
                <w:highlight w:val="none"/>
              </w:rPr>
              <w:t>（</w:t>
            </w:r>
            <w:r>
              <w:rPr>
                <w:color w:val="auto"/>
                <w:spacing w:val="-7"/>
                <w:szCs w:val="21"/>
                <w:highlight w:val="none"/>
              </w:rPr>
              <w:t>30</w:t>
            </w:r>
            <w:r>
              <w:rPr>
                <w:rFonts w:hint="eastAsia"/>
                <w:color w:val="auto"/>
                <w:spacing w:val="-7"/>
                <w:szCs w:val="21"/>
                <w:highlight w:val="none"/>
              </w:rPr>
              <w:t>分）</w:t>
            </w:r>
          </w:p>
        </w:tc>
        <w:tc>
          <w:tcPr>
            <w:tcW w:w="7970" w:type="dxa"/>
            <w:tcBorders>
              <w:top w:val="single" w:color="auto" w:sz="4" w:space="0"/>
              <w:left w:val="single" w:color="auto" w:sz="4" w:space="0"/>
              <w:bottom w:val="single" w:color="auto" w:sz="4" w:space="0"/>
              <w:right w:val="single" w:color="auto" w:sz="4" w:space="0"/>
            </w:tcBorders>
            <w:shd w:val="clear" w:color="auto" w:fill="auto"/>
            <w:vAlign w:val="center"/>
          </w:tcPr>
          <w:p w14:paraId="5E9D37DD">
            <w:pPr>
              <w:shd w:val="clear"/>
              <w:rPr>
                <w:rFonts w:cs="仿宋" w:asciiTheme="minorEastAsia" w:hAnsiTheme="minorEastAsia" w:eastAsiaTheme="minorEastAsia"/>
                <w:color w:val="auto"/>
                <w:szCs w:val="21"/>
                <w:highlight w:val="none"/>
              </w:rPr>
            </w:pPr>
            <w:bookmarkStart w:id="440" w:name="OLE_LINK10"/>
            <w:r>
              <w:rPr>
                <w:rFonts w:hint="eastAsia" w:cs="仿宋" w:asciiTheme="minorEastAsia" w:hAnsiTheme="minorEastAsia" w:eastAsiaTheme="minorEastAsia"/>
                <w:color w:val="auto"/>
                <w:szCs w:val="21"/>
                <w:highlight w:val="none"/>
              </w:rPr>
              <w:t>1、</w:t>
            </w:r>
            <w:bookmarkEnd w:id="440"/>
            <w:r>
              <w:rPr>
                <w:rFonts w:hint="eastAsia" w:cs="仿宋" w:asciiTheme="minorEastAsia" w:hAnsiTheme="minorEastAsia" w:eastAsiaTheme="minorEastAsia"/>
                <w:color w:val="auto"/>
                <w:szCs w:val="21"/>
                <w:highlight w:val="none"/>
              </w:rPr>
              <w:t>根据投标人</w:t>
            </w:r>
            <w:r>
              <w:rPr>
                <w:rFonts w:hint="eastAsia" w:cs="仿宋" w:asciiTheme="minorEastAsia" w:hAnsiTheme="minorEastAsia" w:eastAsiaTheme="minorEastAsia"/>
                <w:bCs/>
                <w:color w:val="auto"/>
                <w:szCs w:val="21"/>
                <w:highlight w:val="none"/>
              </w:rPr>
              <w:t>针对本项目的运营目标与需求的理解程度进行评议</w:t>
            </w:r>
            <w:r>
              <w:rPr>
                <w:rFonts w:hint="eastAsia" w:cs="仿宋" w:asciiTheme="minorEastAsia" w:hAnsiTheme="minorEastAsia" w:eastAsiaTheme="minorEastAsia"/>
                <w:color w:val="auto"/>
                <w:szCs w:val="21"/>
                <w:highlight w:val="none"/>
              </w:rPr>
              <w:t>：包括对园区前期调研、项目特点、企业引进规划方向等。</w:t>
            </w:r>
            <w:bookmarkStart w:id="441" w:name="OLE_LINK106"/>
            <w:bookmarkStart w:id="442" w:name="OLE_LINK107"/>
            <w:r>
              <w:rPr>
                <w:rFonts w:hint="eastAsia" w:cs="仿宋" w:asciiTheme="minorEastAsia" w:hAnsiTheme="minorEastAsia" w:eastAsiaTheme="minorEastAsia"/>
                <w:color w:val="auto"/>
                <w:szCs w:val="21"/>
                <w:highlight w:val="none"/>
              </w:rPr>
              <w:t>①</w:t>
            </w:r>
            <w:bookmarkEnd w:id="441"/>
            <w:bookmarkEnd w:id="442"/>
            <w:r>
              <w:rPr>
                <w:rFonts w:hint="eastAsia" w:cs="仿宋" w:asciiTheme="minorEastAsia" w:hAnsiTheme="minorEastAsia" w:eastAsiaTheme="minorEastAsia"/>
                <w:color w:val="auto"/>
                <w:szCs w:val="21"/>
                <w:highlight w:val="none"/>
              </w:rPr>
              <w:t>运营目标明确的得2分；</w:t>
            </w:r>
            <w:bookmarkStart w:id="443" w:name="OLE_LINK109"/>
            <w:bookmarkStart w:id="444" w:name="OLE_LINK108"/>
            <w:r>
              <w:rPr>
                <w:rFonts w:hint="eastAsia" w:cs="仿宋" w:asciiTheme="minorEastAsia" w:hAnsiTheme="minorEastAsia" w:eastAsiaTheme="minorEastAsia"/>
                <w:color w:val="auto"/>
                <w:szCs w:val="21"/>
                <w:highlight w:val="none"/>
              </w:rPr>
              <w:t>②</w:t>
            </w:r>
            <w:bookmarkEnd w:id="443"/>
            <w:bookmarkEnd w:id="444"/>
            <w:r>
              <w:rPr>
                <w:rFonts w:hint="eastAsia" w:cs="仿宋" w:asciiTheme="minorEastAsia" w:hAnsiTheme="minorEastAsia" w:eastAsiaTheme="minorEastAsia"/>
                <w:color w:val="auto"/>
                <w:szCs w:val="21"/>
                <w:highlight w:val="none"/>
              </w:rPr>
              <w:t>项目需求理解</w:t>
            </w:r>
            <w:r>
              <w:rPr>
                <w:rFonts w:hint="eastAsia" w:ascii="宋体" w:hAnsi="宋体"/>
                <w:color w:val="auto"/>
                <w:szCs w:val="21"/>
                <w:highlight w:val="none"/>
              </w:rPr>
              <w:t>透彻能把握重点、理解思路清晰的得2分；</w:t>
            </w:r>
            <w:bookmarkStart w:id="445" w:name="OLE_LINK111"/>
            <w:bookmarkStart w:id="446" w:name="OLE_LINK110"/>
            <w:r>
              <w:rPr>
                <w:rFonts w:hint="eastAsia" w:ascii="宋体" w:hAnsi="宋体"/>
                <w:color w:val="auto"/>
                <w:szCs w:val="21"/>
                <w:highlight w:val="none"/>
              </w:rPr>
              <w:t>③</w:t>
            </w:r>
            <w:bookmarkEnd w:id="445"/>
            <w:bookmarkEnd w:id="446"/>
            <w:r>
              <w:rPr>
                <w:rFonts w:hint="eastAsia" w:ascii="宋体" w:hAnsi="宋体"/>
                <w:color w:val="auto"/>
                <w:szCs w:val="21"/>
                <w:highlight w:val="none"/>
              </w:rPr>
              <w:t>贴合项目实际针对性强</w:t>
            </w:r>
            <w:bookmarkStart w:id="447" w:name="OLE_LINK35"/>
            <w:bookmarkStart w:id="448" w:name="OLE_LINK32"/>
            <w:r>
              <w:rPr>
                <w:rFonts w:hint="eastAsia" w:ascii="宋体" w:hAnsi="宋体"/>
                <w:color w:val="auto"/>
                <w:szCs w:val="21"/>
                <w:highlight w:val="none"/>
              </w:rPr>
              <w:t>的得2分；</w:t>
            </w:r>
            <w:bookmarkEnd w:id="447"/>
            <w:bookmarkEnd w:id="448"/>
            <w:bookmarkStart w:id="449" w:name="OLE_LINK29"/>
            <w:bookmarkStart w:id="450" w:name="OLE_LINK28"/>
            <w:r>
              <w:rPr>
                <w:rFonts w:hint="eastAsia" w:ascii="宋体" w:hAnsi="宋体"/>
                <w:color w:val="auto"/>
                <w:szCs w:val="21"/>
                <w:highlight w:val="none"/>
              </w:rPr>
              <w:t>以上各项存在不足有待改进的对应项得1分；最多得6分，未提供相关内容不得分。</w:t>
            </w:r>
            <w:bookmarkEnd w:id="449"/>
            <w:bookmarkEnd w:id="450"/>
          </w:p>
        </w:tc>
      </w:tr>
      <w:tr w14:paraId="50B0D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5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1AD260D">
            <w:pPr>
              <w:widowControl/>
              <w:shd w:val="clear"/>
              <w:jc w:val="left"/>
              <w:rPr>
                <w:rFonts w:cs="仿宋" w:asciiTheme="minorEastAsia" w:hAnsiTheme="minorEastAsia" w:eastAsiaTheme="minorEastAsia"/>
                <w:color w:val="auto"/>
                <w:szCs w:val="21"/>
                <w:highlight w:val="none"/>
              </w:rPr>
            </w:pPr>
          </w:p>
        </w:tc>
        <w:tc>
          <w:tcPr>
            <w:tcW w:w="12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EB49602">
            <w:pPr>
              <w:widowControl/>
              <w:shd w:val="clear"/>
              <w:jc w:val="left"/>
              <w:rPr>
                <w:rFonts w:cs="仿宋" w:asciiTheme="minorEastAsia" w:hAnsiTheme="minorEastAsia" w:eastAsiaTheme="minorEastAsia"/>
                <w:color w:val="auto"/>
                <w:szCs w:val="21"/>
                <w:highlight w:val="none"/>
              </w:rPr>
            </w:pPr>
          </w:p>
        </w:tc>
        <w:tc>
          <w:tcPr>
            <w:tcW w:w="7970" w:type="dxa"/>
            <w:tcBorders>
              <w:top w:val="single" w:color="auto" w:sz="4" w:space="0"/>
              <w:left w:val="single" w:color="auto" w:sz="4" w:space="0"/>
              <w:bottom w:val="single" w:color="auto" w:sz="4" w:space="0"/>
              <w:right w:val="single" w:color="auto" w:sz="4" w:space="0"/>
            </w:tcBorders>
            <w:shd w:val="clear" w:color="auto" w:fill="auto"/>
            <w:vAlign w:val="center"/>
          </w:tcPr>
          <w:p w14:paraId="0E3B072F">
            <w:pPr>
              <w:shd w:val="clear"/>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2、</w:t>
            </w:r>
            <w:bookmarkStart w:id="451" w:name="OLE_LINK60"/>
            <w:r>
              <w:rPr>
                <w:rFonts w:hint="eastAsia" w:cs="仿宋" w:asciiTheme="minorEastAsia" w:hAnsiTheme="minorEastAsia" w:eastAsiaTheme="minorEastAsia"/>
                <w:color w:val="auto"/>
                <w:szCs w:val="21"/>
                <w:highlight w:val="none"/>
              </w:rPr>
              <w:t>根据投标人</w:t>
            </w:r>
            <w:r>
              <w:rPr>
                <w:rFonts w:hint="eastAsia" w:cs="仿宋" w:asciiTheme="minorEastAsia" w:hAnsiTheme="minorEastAsia" w:eastAsiaTheme="minorEastAsia"/>
                <w:bCs/>
                <w:color w:val="auto"/>
                <w:szCs w:val="21"/>
                <w:highlight w:val="none"/>
              </w:rPr>
              <w:t>针对本项目的运营服务方案</w:t>
            </w:r>
            <w:bookmarkStart w:id="452" w:name="OLE_LINK182"/>
            <w:r>
              <w:rPr>
                <w:rFonts w:hint="eastAsia" w:cs="仿宋" w:asciiTheme="minorEastAsia" w:hAnsiTheme="minorEastAsia" w:eastAsiaTheme="minorEastAsia"/>
                <w:bCs/>
                <w:color w:val="auto"/>
                <w:szCs w:val="21"/>
                <w:highlight w:val="none"/>
              </w:rPr>
              <w:t>进行评议</w:t>
            </w:r>
            <w:r>
              <w:rPr>
                <w:rFonts w:hint="eastAsia" w:cs="仿宋" w:asciiTheme="minorEastAsia" w:hAnsiTheme="minorEastAsia" w:eastAsiaTheme="minorEastAsia"/>
                <w:color w:val="auto"/>
                <w:szCs w:val="21"/>
                <w:highlight w:val="none"/>
              </w:rPr>
              <w:t>：</w:t>
            </w:r>
            <w:bookmarkEnd w:id="452"/>
            <w:r>
              <w:rPr>
                <w:rFonts w:hint="eastAsia" w:cs="仿宋" w:asciiTheme="minorEastAsia" w:hAnsiTheme="minorEastAsia" w:eastAsiaTheme="minorEastAsia"/>
                <w:color w:val="auto"/>
                <w:szCs w:val="21"/>
                <w:highlight w:val="none"/>
              </w:rPr>
              <w:t>包括</w:t>
            </w:r>
            <w:bookmarkStart w:id="453" w:name="OLE_LINK13"/>
            <w:r>
              <w:rPr>
                <w:rFonts w:hint="eastAsia" w:cs="仿宋" w:asciiTheme="minorEastAsia" w:hAnsiTheme="minorEastAsia" w:eastAsiaTheme="minorEastAsia"/>
                <w:color w:val="auto"/>
                <w:szCs w:val="21"/>
                <w:highlight w:val="none"/>
              </w:rPr>
              <w:t>企业入驻引导服务、清退考核服务、企业管理服务、企业招引服务、企业培育服务、政策辅导服务、接待服务</w:t>
            </w:r>
            <w:bookmarkEnd w:id="453"/>
            <w:r>
              <w:rPr>
                <w:rFonts w:hint="eastAsia" w:cs="仿宋" w:asciiTheme="minorEastAsia" w:hAnsiTheme="minorEastAsia" w:eastAsiaTheme="minorEastAsia"/>
                <w:color w:val="auto"/>
                <w:szCs w:val="21"/>
                <w:highlight w:val="none"/>
              </w:rPr>
              <w:t>等内容</w:t>
            </w:r>
            <w:bookmarkStart w:id="454" w:name="OLE_LINK112"/>
            <w:bookmarkStart w:id="455" w:name="OLE_LINK113"/>
            <w:r>
              <w:rPr>
                <w:rFonts w:hint="eastAsia" w:cs="仿宋" w:asciiTheme="minorEastAsia" w:hAnsiTheme="minorEastAsia" w:eastAsiaTheme="minorEastAsia"/>
                <w:color w:val="auto"/>
                <w:szCs w:val="21"/>
                <w:highlight w:val="none"/>
              </w:rPr>
              <w:t>，①</w:t>
            </w:r>
            <w:bookmarkEnd w:id="454"/>
            <w:bookmarkEnd w:id="455"/>
            <w:r>
              <w:rPr>
                <w:rFonts w:hint="eastAsia" w:cs="仿宋" w:asciiTheme="minorEastAsia" w:hAnsiTheme="minorEastAsia" w:eastAsiaTheme="minorEastAsia"/>
                <w:color w:val="auto"/>
                <w:szCs w:val="21"/>
                <w:highlight w:val="none"/>
              </w:rPr>
              <w:t>内容全面详细方案制定合理的得2分；</w:t>
            </w:r>
            <w:bookmarkStart w:id="456" w:name="OLE_LINK115"/>
            <w:bookmarkStart w:id="457" w:name="OLE_LINK114"/>
            <w:r>
              <w:rPr>
                <w:rFonts w:hint="eastAsia" w:cs="仿宋" w:asciiTheme="minorEastAsia" w:hAnsiTheme="minorEastAsia" w:eastAsiaTheme="minorEastAsia"/>
                <w:color w:val="auto"/>
                <w:szCs w:val="21"/>
                <w:highlight w:val="none"/>
              </w:rPr>
              <w:t>②</w:t>
            </w:r>
            <w:bookmarkEnd w:id="456"/>
            <w:bookmarkEnd w:id="457"/>
            <w:r>
              <w:rPr>
                <w:rFonts w:hint="eastAsia" w:cs="仿宋" w:asciiTheme="minorEastAsia" w:hAnsiTheme="minorEastAsia" w:eastAsiaTheme="minorEastAsia"/>
                <w:color w:val="auto"/>
                <w:szCs w:val="21"/>
                <w:highlight w:val="none"/>
              </w:rPr>
              <w:t>方案针对性强的得 2分；</w:t>
            </w:r>
            <w:bookmarkStart w:id="458" w:name="OLE_LINK116"/>
            <w:bookmarkStart w:id="459" w:name="OLE_LINK117"/>
            <w:r>
              <w:rPr>
                <w:rFonts w:hint="eastAsia" w:ascii="宋体" w:hAnsi="宋体"/>
                <w:color w:val="auto"/>
                <w:szCs w:val="21"/>
                <w:highlight w:val="none"/>
              </w:rPr>
              <w:t>③</w:t>
            </w:r>
            <w:bookmarkEnd w:id="458"/>
            <w:bookmarkEnd w:id="459"/>
            <w:r>
              <w:rPr>
                <w:rFonts w:hint="eastAsia" w:cs="仿宋" w:asciiTheme="minorEastAsia" w:hAnsiTheme="minorEastAsia" w:eastAsiaTheme="minorEastAsia"/>
                <w:color w:val="auto"/>
                <w:szCs w:val="21"/>
                <w:highlight w:val="none"/>
              </w:rPr>
              <w:t>有利于项目实施</w:t>
            </w:r>
            <w:bookmarkStart w:id="460" w:name="OLE_LINK72"/>
            <w:r>
              <w:rPr>
                <w:rFonts w:hint="eastAsia" w:cs="仿宋" w:asciiTheme="minorEastAsia" w:hAnsiTheme="minorEastAsia" w:eastAsiaTheme="minorEastAsia"/>
                <w:color w:val="auto"/>
                <w:szCs w:val="21"/>
                <w:highlight w:val="none"/>
              </w:rPr>
              <w:t>的得 2分</w:t>
            </w:r>
            <w:bookmarkEnd w:id="460"/>
            <w:r>
              <w:rPr>
                <w:rFonts w:hint="eastAsia" w:cs="仿宋" w:asciiTheme="minorEastAsia" w:hAnsiTheme="minorEastAsia" w:eastAsiaTheme="minorEastAsia"/>
                <w:color w:val="auto"/>
                <w:szCs w:val="21"/>
                <w:highlight w:val="none"/>
              </w:rPr>
              <w:t>；以上各项存在不足有待改进的对应项得1分；最多得6分，</w:t>
            </w:r>
            <w:bookmarkStart w:id="461" w:name="OLE_LINK52"/>
            <w:bookmarkStart w:id="462" w:name="OLE_LINK57"/>
            <w:r>
              <w:rPr>
                <w:rFonts w:hint="eastAsia" w:cs="仿宋" w:asciiTheme="minorEastAsia" w:hAnsiTheme="minorEastAsia" w:eastAsiaTheme="minorEastAsia"/>
                <w:color w:val="auto"/>
                <w:szCs w:val="21"/>
                <w:highlight w:val="none"/>
              </w:rPr>
              <w:t>未提供相关内容不得分。</w:t>
            </w:r>
            <w:bookmarkEnd w:id="451"/>
            <w:bookmarkEnd w:id="461"/>
            <w:bookmarkEnd w:id="462"/>
          </w:p>
        </w:tc>
      </w:tr>
      <w:tr w14:paraId="2E3A6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5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C51C079">
            <w:pPr>
              <w:widowControl/>
              <w:shd w:val="clear"/>
              <w:jc w:val="left"/>
              <w:rPr>
                <w:rFonts w:cs="仿宋" w:asciiTheme="minorEastAsia" w:hAnsiTheme="minorEastAsia" w:eastAsiaTheme="minorEastAsia"/>
                <w:color w:val="auto"/>
                <w:szCs w:val="21"/>
                <w:highlight w:val="none"/>
              </w:rPr>
            </w:pPr>
          </w:p>
        </w:tc>
        <w:tc>
          <w:tcPr>
            <w:tcW w:w="12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50B5871">
            <w:pPr>
              <w:widowControl/>
              <w:shd w:val="clear"/>
              <w:jc w:val="left"/>
              <w:rPr>
                <w:rFonts w:cs="仿宋" w:asciiTheme="minorEastAsia" w:hAnsiTheme="minorEastAsia" w:eastAsiaTheme="minorEastAsia"/>
                <w:color w:val="auto"/>
                <w:szCs w:val="21"/>
                <w:highlight w:val="none"/>
              </w:rPr>
            </w:pPr>
          </w:p>
        </w:tc>
        <w:tc>
          <w:tcPr>
            <w:tcW w:w="7970" w:type="dxa"/>
            <w:tcBorders>
              <w:top w:val="single" w:color="auto" w:sz="4" w:space="0"/>
              <w:left w:val="single" w:color="auto" w:sz="4" w:space="0"/>
              <w:bottom w:val="single" w:color="auto" w:sz="4" w:space="0"/>
              <w:right w:val="single" w:color="auto" w:sz="4" w:space="0"/>
            </w:tcBorders>
            <w:shd w:val="clear" w:color="auto" w:fill="auto"/>
            <w:vAlign w:val="center"/>
          </w:tcPr>
          <w:p w14:paraId="6E6CB888">
            <w:pPr>
              <w:shd w:val="clear"/>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3、根据投标人</w:t>
            </w:r>
            <w:r>
              <w:rPr>
                <w:rFonts w:hint="eastAsia" w:cs="仿宋" w:asciiTheme="minorEastAsia" w:hAnsiTheme="minorEastAsia" w:eastAsiaTheme="minorEastAsia"/>
                <w:bCs/>
                <w:color w:val="auto"/>
                <w:szCs w:val="21"/>
                <w:highlight w:val="none"/>
              </w:rPr>
              <w:t>针对本项目的推广和宣传策划方案进行评议</w:t>
            </w:r>
            <w:r>
              <w:rPr>
                <w:rFonts w:hint="eastAsia" w:cs="仿宋" w:asciiTheme="minorEastAsia" w:hAnsiTheme="minorEastAsia" w:eastAsiaTheme="minorEastAsia"/>
                <w:color w:val="auto"/>
                <w:szCs w:val="21"/>
                <w:highlight w:val="none"/>
              </w:rPr>
              <w:t>：包括品牌塑造方案、新媒体运营、活动组织与策划等内容，</w:t>
            </w:r>
            <w:bookmarkStart w:id="463" w:name="OLE_LINK118"/>
            <w:bookmarkStart w:id="464" w:name="OLE_LINK119"/>
            <w:r>
              <w:rPr>
                <w:rFonts w:hint="eastAsia" w:cs="仿宋" w:asciiTheme="minorEastAsia" w:hAnsiTheme="minorEastAsia" w:eastAsiaTheme="minorEastAsia"/>
                <w:color w:val="auto"/>
                <w:szCs w:val="21"/>
                <w:highlight w:val="none"/>
              </w:rPr>
              <w:t>①</w:t>
            </w:r>
            <w:bookmarkEnd w:id="463"/>
            <w:bookmarkEnd w:id="464"/>
            <w:r>
              <w:rPr>
                <w:rFonts w:hint="eastAsia" w:cs="仿宋" w:asciiTheme="minorEastAsia" w:hAnsiTheme="minorEastAsia" w:eastAsiaTheme="minorEastAsia"/>
                <w:color w:val="auto"/>
                <w:szCs w:val="21"/>
                <w:highlight w:val="none"/>
              </w:rPr>
              <w:t>内容全面详细的得2分；</w:t>
            </w:r>
            <w:bookmarkStart w:id="465" w:name="OLE_LINK121"/>
            <w:bookmarkStart w:id="466" w:name="OLE_LINK120"/>
            <w:r>
              <w:rPr>
                <w:rFonts w:hint="eastAsia" w:cs="仿宋" w:asciiTheme="minorEastAsia" w:hAnsiTheme="minorEastAsia" w:eastAsiaTheme="minorEastAsia"/>
                <w:color w:val="auto"/>
                <w:szCs w:val="21"/>
                <w:highlight w:val="none"/>
              </w:rPr>
              <w:t>②</w:t>
            </w:r>
            <w:bookmarkEnd w:id="465"/>
            <w:bookmarkEnd w:id="466"/>
            <w:r>
              <w:rPr>
                <w:rFonts w:hint="eastAsia" w:cs="仿宋" w:asciiTheme="minorEastAsia" w:hAnsiTheme="minorEastAsia" w:eastAsiaTheme="minorEastAsia"/>
                <w:color w:val="auto"/>
                <w:szCs w:val="21"/>
                <w:highlight w:val="none"/>
              </w:rPr>
              <w:t>方案制定合理的得2分；</w:t>
            </w:r>
            <w:bookmarkStart w:id="467" w:name="OLE_LINK122"/>
            <w:r>
              <w:rPr>
                <w:rFonts w:hint="eastAsia" w:ascii="宋体" w:hAnsi="宋体"/>
                <w:color w:val="auto"/>
                <w:szCs w:val="21"/>
                <w:highlight w:val="none"/>
              </w:rPr>
              <w:t>③</w:t>
            </w:r>
            <w:bookmarkEnd w:id="467"/>
            <w:r>
              <w:rPr>
                <w:rFonts w:hint="eastAsia" w:cs="仿宋" w:asciiTheme="minorEastAsia" w:hAnsiTheme="minorEastAsia" w:eastAsiaTheme="minorEastAsia"/>
                <w:color w:val="auto"/>
                <w:szCs w:val="21"/>
                <w:highlight w:val="none"/>
              </w:rPr>
              <w:t>方案针对性强的得 2分；以上各项存在不足有待改进的对应项得1分；最多得6分，未提供相关内容不得分。</w:t>
            </w:r>
          </w:p>
        </w:tc>
      </w:tr>
      <w:tr w14:paraId="3B336B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5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750A0DD">
            <w:pPr>
              <w:widowControl/>
              <w:shd w:val="clear"/>
              <w:jc w:val="left"/>
              <w:rPr>
                <w:rFonts w:cs="仿宋" w:asciiTheme="minorEastAsia" w:hAnsiTheme="minorEastAsia" w:eastAsiaTheme="minorEastAsia"/>
                <w:color w:val="auto"/>
                <w:szCs w:val="21"/>
                <w:highlight w:val="none"/>
              </w:rPr>
            </w:pPr>
          </w:p>
        </w:tc>
        <w:tc>
          <w:tcPr>
            <w:tcW w:w="12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E19ED48">
            <w:pPr>
              <w:widowControl/>
              <w:shd w:val="clear"/>
              <w:jc w:val="left"/>
              <w:rPr>
                <w:rFonts w:cs="仿宋" w:asciiTheme="minorEastAsia" w:hAnsiTheme="minorEastAsia" w:eastAsiaTheme="minorEastAsia"/>
                <w:color w:val="auto"/>
                <w:szCs w:val="21"/>
                <w:highlight w:val="none"/>
              </w:rPr>
            </w:pPr>
          </w:p>
        </w:tc>
        <w:tc>
          <w:tcPr>
            <w:tcW w:w="7970" w:type="dxa"/>
            <w:tcBorders>
              <w:top w:val="single" w:color="auto" w:sz="4" w:space="0"/>
              <w:left w:val="single" w:color="auto" w:sz="4" w:space="0"/>
              <w:bottom w:val="single" w:color="auto" w:sz="4" w:space="0"/>
              <w:right w:val="single" w:color="auto" w:sz="4" w:space="0"/>
            </w:tcBorders>
            <w:shd w:val="clear" w:color="auto" w:fill="auto"/>
            <w:vAlign w:val="center"/>
          </w:tcPr>
          <w:p w14:paraId="2DE4A504">
            <w:pPr>
              <w:shd w:val="clear"/>
              <w:rPr>
                <w:rFonts w:cs="仿宋" w:asciiTheme="minorEastAsia" w:hAnsiTheme="minorEastAsia" w:eastAsiaTheme="minorEastAsia"/>
                <w:color w:val="auto"/>
                <w:szCs w:val="21"/>
                <w:highlight w:val="none"/>
              </w:rPr>
            </w:pPr>
            <w:bookmarkStart w:id="468" w:name="OLE_LINK65"/>
            <w:bookmarkStart w:id="469" w:name="OLE_LINK66"/>
            <w:r>
              <w:rPr>
                <w:rFonts w:hint="eastAsia" w:cs="仿宋" w:asciiTheme="minorEastAsia" w:hAnsiTheme="minorEastAsia" w:eastAsiaTheme="minorEastAsia"/>
                <w:color w:val="auto"/>
                <w:szCs w:val="21"/>
                <w:highlight w:val="none"/>
              </w:rPr>
              <w:t>4、根据投标人</w:t>
            </w:r>
            <w:r>
              <w:rPr>
                <w:rFonts w:hint="eastAsia" w:cs="仿宋" w:asciiTheme="minorEastAsia" w:hAnsiTheme="minorEastAsia" w:eastAsiaTheme="minorEastAsia"/>
                <w:bCs/>
                <w:color w:val="auto"/>
                <w:szCs w:val="21"/>
                <w:highlight w:val="none"/>
              </w:rPr>
              <w:t>针对本项目的智慧园区运营服务方案进行评议</w:t>
            </w:r>
            <w:r>
              <w:rPr>
                <w:rFonts w:hint="eastAsia" w:cs="仿宋" w:asciiTheme="minorEastAsia" w:hAnsiTheme="minorEastAsia" w:eastAsiaTheme="minorEastAsia"/>
                <w:color w:val="auto"/>
                <w:szCs w:val="21"/>
                <w:highlight w:val="none"/>
              </w:rPr>
              <w:t>：包括建设方案的统筹协调、施工过程的监督管理、数字化设备系统应用等内容，</w:t>
            </w:r>
            <w:bookmarkStart w:id="470" w:name="OLE_LINK123"/>
            <w:r>
              <w:rPr>
                <w:rFonts w:hint="eastAsia" w:cs="仿宋" w:asciiTheme="minorEastAsia" w:hAnsiTheme="minorEastAsia" w:eastAsiaTheme="minorEastAsia"/>
                <w:color w:val="auto"/>
                <w:szCs w:val="21"/>
                <w:highlight w:val="none"/>
              </w:rPr>
              <w:t>①</w:t>
            </w:r>
            <w:bookmarkEnd w:id="470"/>
            <w:r>
              <w:rPr>
                <w:rFonts w:hint="eastAsia" w:cs="仿宋" w:asciiTheme="minorEastAsia" w:hAnsiTheme="minorEastAsia" w:eastAsiaTheme="minorEastAsia"/>
                <w:color w:val="auto"/>
                <w:szCs w:val="21"/>
                <w:highlight w:val="none"/>
              </w:rPr>
              <w:t>内容全面详细的得2分；</w:t>
            </w:r>
            <w:bookmarkStart w:id="471" w:name="OLE_LINK124"/>
            <w:r>
              <w:rPr>
                <w:rFonts w:hint="eastAsia" w:cs="仿宋" w:asciiTheme="minorEastAsia" w:hAnsiTheme="minorEastAsia" w:eastAsiaTheme="minorEastAsia"/>
                <w:color w:val="auto"/>
                <w:szCs w:val="21"/>
                <w:highlight w:val="none"/>
              </w:rPr>
              <w:t>②</w:t>
            </w:r>
            <w:bookmarkEnd w:id="471"/>
            <w:r>
              <w:rPr>
                <w:rFonts w:hint="eastAsia" w:cs="仿宋" w:asciiTheme="minorEastAsia" w:hAnsiTheme="minorEastAsia" w:eastAsiaTheme="minorEastAsia"/>
                <w:color w:val="auto"/>
                <w:szCs w:val="21"/>
                <w:highlight w:val="none"/>
              </w:rPr>
              <w:t>方案制定合理的得2分；</w:t>
            </w:r>
            <w:bookmarkStart w:id="472" w:name="OLE_LINK125"/>
            <w:bookmarkStart w:id="473" w:name="OLE_LINK126"/>
            <w:r>
              <w:rPr>
                <w:rFonts w:hint="eastAsia" w:ascii="宋体" w:hAnsi="宋体"/>
                <w:color w:val="auto"/>
                <w:szCs w:val="21"/>
                <w:highlight w:val="none"/>
              </w:rPr>
              <w:t>③</w:t>
            </w:r>
            <w:bookmarkEnd w:id="472"/>
            <w:bookmarkEnd w:id="473"/>
            <w:r>
              <w:rPr>
                <w:rFonts w:hint="eastAsia" w:cs="仿宋" w:asciiTheme="minorEastAsia" w:hAnsiTheme="minorEastAsia" w:eastAsiaTheme="minorEastAsia"/>
                <w:color w:val="auto"/>
                <w:szCs w:val="21"/>
                <w:highlight w:val="none"/>
              </w:rPr>
              <w:t>方案针对性强的得2分；</w:t>
            </w:r>
            <w:bookmarkStart w:id="474" w:name="OLE_LINK15"/>
            <w:bookmarkStart w:id="475" w:name="OLE_LINK16"/>
            <w:r>
              <w:rPr>
                <w:rFonts w:hint="eastAsia" w:cs="仿宋" w:asciiTheme="minorEastAsia" w:hAnsiTheme="minorEastAsia" w:eastAsiaTheme="minorEastAsia"/>
                <w:color w:val="auto"/>
                <w:szCs w:val="21"/>
                <w:highlight w:val="none"/>
              </w:rPr>
              <w:t>以上各项存在不足有待改进的</w:t>
            </w:r>
            <w:bookmarkEnd w:id="474"/>
            <w:bookmarkEnd w:id="475"/>
            <w:r>
              <w:rPr>
                <w:rFonts w:hint="eastAsia" w:cs="仿宋" w:asciiTheme="minorEastAsia" w:hAnsiTheme="minorEastAsia" w:eastAsiaTheme="minorEastAsia"/>
                <w:color w:val="auto"/>
                <w:szCs w:val="21"/>
                <w:highlight w:val="none"/>
              </w:rPr>
              <w:t>对应项得1分；最多得6分，未提供相关内容不得分。</w:t>
            </w:r>
            <w:bookmarkEnd w:id="468"/>
            <w:bookmarkEnd w:id="469"/>
          </w:p>
        </w:tc>
      </w:tr>
      <w:tr w14:paraId="097274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499" w:hRule="atLeast"/>
          <w:jc w:val="center"/>
        </w:trPr>
        <w:tc>
          <w:tcPr>
            <w:tcW w:w="5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3D5D95C">
            <w:pPr>
              <w:widowControl/>
              <w:shd w:val="clear"/>
              <w:jc w:val="left"/>
              <w:rPr>
                <w:rFonts w:cs="仿宋" w:asciiTheme="minorEastAsia" w:hAnsiTheme="minorEastAsia" w:eastAsiaTheme="minorEastAsia"/>
                <w:color w:val="auto"/>
                <w:szCs w:val="21"/>
                <w:highlight w:val="none"/>
              </w:rPr>
            </w:pPr>
          </w:p>
        </w:tc>
        <w:tc>
          <w:tcPr>
            <w:tcW w:w="12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29758A91">
            <w:pPr>
              <w:widowControl/>
              <w:shd w:val="clear"/>
              <w:jc w:val="left"/>
              <w:rPr>
                <w:rFonts w:cs="仿宋" w:asciiTheme="minorEastAsia" w:hAnsiTheme="minorEastAsia" w:eastAsiaTheme="minorEastAsia"/>
                <w:color w:val="auto"/>
                <w:szCs w:val="21"/>
                <w:highlight w:val="none"/>
              </w:rPr>
            </w:pPr>
          </w:p>
        </w:tc>
        <w:tc>
          <w:tcPr>
            <w:tcW w:w="7970" w:type="dxa"/>
            <w:tcBorders>
              <w:top w:val="single" w:color="auto" w:sz="4" w:space="0"/>
              <w:left w:val="single" w:color="auto" w:sz="4" w:space="0"/>
              <w:bottom w:val="single" w:color="auto" w:sz="4" w:space="0"/>
              <w:right w:val="single" w:color="auto" w:sz="4" w:space="0"/>
            </w:tcBorders>
            <w:shd w:val="clear" w:color="auto" w:fill="auto"/>
            <w:vAlign w:val="center"/>
          </w:tcPr>
          <w:p w14:paraId="70D461A3">
            <w:pPr>
              <w:shd w:val="clear"/>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5、活动策划及实施方案（6分）</w:t>
            </w:r>
          </w:p>
          <w:p w14:paraId="11B2AA42">
            <w:pPr>
              <w:shd w:val="clear"/>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根据投标人</w:t>
            </w:r>
            <w:r>
              <w:rPr>
                <w:rFonts w:hint="eastAsia" w:cs="仿宋" w:asciiTheme="minorEastAsia" w:hAnsiTheme="minorEastAsia" w:eastAsiaTheme="minorEastAsia"/>
                <w:bCs/>
                <w:color w:val="auto"/>
                <w:szCs w:val="21"/>
                <w:highlight w:val="none"/>
              </w:rPr>
              <w:t>针对本项目活动策划方案</w:t>
            </w:r>
            <w:r>
              <w:rPr>
                <w:rFonts w:hint="eastAsia" w:cs="仿宋" w:asciiTheme="minorEastAsia" w:hAnsiTheme="minorEastAsia" w:eastAsiaTheme="minorEastAsia"/>
                <w:color w:val="auto"/>
                <w:szCs w:val="21"/>
                <w:highlight w:val="none"/>
              </w:rPr>
              <w:t>（投标文件中提供不少于4场）具体详细，</w:t>
            </w:r>
            <w:bookmarkStart w:id="476" w:name="OLE_LINK128"/>
            <w:bookmarkStart w:id="477" w:name="OLE_LINK127"/>
            <w:r>
              <w:rPr>
                <w:rFonts w:hint="eastAsia" w:cs="仿宋" w:asciiTheme="minorEastAsia" w:hAnsiTheme="minorEastAsia" w:eastAsiaTheme="minorEastAsia"/>
                <w:color w:val="auto"/>
                <w:szCs w:val="21"/>
                <w:highlight w:val="none"/>
              </w:rPr>
              <w:t>①</w:t>
            </w:r>
            <w:bookmarkEnd w:id="476"/>
            <w:bookmarkEnd w:id="477"/>
            <w:r>
              <w:rPr>
                <w:rFonts w:hint="eastAsia" w:cs="仿宋" w:asciiTheme="minorEastAsia" w:hAnsiTheme="minorEastAsia" w:eastAsiaTheme="minorEastAsia"/>
                <w:color w:val="auto"/>
                <w:szCs w:val="21"/>
                <w:highlight w:val="none"/>
              </w:rPr>
              <w:t>活动策划方案有利于宣传及推广园区整体形象，提升影响力的得2分；</w:t>
            </w:r>
            <w:bookmarkStart w:id="478" w:name="OLE_LINK130"/>
            <w:bookmarkStart w:id="479" w:name="OLE_LINK129"/>
            <w:r>
              <w:rPr>
                <w:rFonts w:hint="eastAsia" w:cs="仿宋" w:asciiTheme="minorEastAsia" w:hAnsiTheme="minorEastAsia" w:eastAsiaTheme="minorEastAsia"/>
                <w:color w:val="auto"/>
                <w:szCs w:val="21"/>
                <w:highlight w:val="none"/>
              </w:rPr>
              <w:t>②</w:t>
            </w:r>
            <w:bookmarkEnd w:id="478"/>
            <w:bookmarkEnd w:id="479"/>
            <w:r>
              <w:rPr>
                <w:rFonts w:hint="eastAsia" w:cs="仿宋" w:asciiTheme="minorEastAsia" w:hAnsiTheme="minorEastAsia" w:eastAsiaTheme="minorEastAsia"/>
                <w:color w:val="auto"/>
                <w:szCs w:val="21"/>
                <w:highlight w:val="none"/>
              </w:rPr>
              <w:t>活动策划方案效果图全面且布置美观，园区内场地位置设置科学合理的得2分；</w:t>
            </w:r>
            <w:bookmarkStart w:id="480" w:name="OLE_LINK132"/>
            <w:bookmarkStart w:id="481" w:name="OLE_LINK131"/>
            <w:r>
              <w:rPr>
                <w:rFonts w:hint="eastAsia" w:ascii="宋体" w:hAnsi="宋体"/>
                <w:color w:val="auto"/>
                <w:szCs w:val="21"/>
                <w:highlight w:val="none"/>
              </w:rPr>
              <w:t>③</w:t>
            </w:r>
            <w:bookmarkEnd w:id="480"/>
            <w:bookmarkEnd w:id="481"/>
            <w:r>
              <w:rPr>
                <w:rFonts w:hint="eastAsia" w:cs="仿宋" w:asciiTheme="minorEastAsia" w:hAnsiTheme="minorEastAsia" w:eastAsiaTheme="minorEastAsia"/>
                <w:color w:val="auto"/>
                <w:szCs w:val="21"/>
                <w:highlight w:val="none"/>
              </w:rPr>
              <w:t>活动保障方案（人员保障、安全保障等）具有针对性，有利于活动实施的得2分；以上各项存在不足有待改进的对应项得1分；最多得6分，未提供相关内容不得分。</w:t>
            </w:r>
          </w:p>
        </w:tc>
      </w:tr>
      <w:tr w14:paraId="023C0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1" w:hRule="atLeast"/>
          <w:jc w:val="center"/>
        </w:trPr>
        <w:tc>
          <w:tcPr>
            <w:tcW w:w="5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28FA5CE">
            <w:pPr>
              <w:widowControl/>
              <w:shd w:val="clear"/>
              <w:jc w:val="left"/>
              <w:rPr>
                <w:rFonts w:cs="仿宋" w:asciiTheme="minorEastAsia" w:hAnsiTheme="minorEastAsia" w:eastAsiaTheme="minorEastAsia"/>
                <w:color w:val="auto"/>
                <w:szCs w:val="21"/>
                <w:highlight w:val="none"/>
              </w:rPr>
            </w:pPr>
          </w:p>
        </w:tc>
        <w:tc>
          <w:tcPr>
            <w:tcW w:w="127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C5815CD">
            <w:pPr>
              <w:shd w:val="clear"/>
              <w:jc w:val="left"/>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二、</w:t>
            </w:r>
            <w:bookmarkStart w:id="482" w:name="OLE_LINK3"/>
            <w:r>
              <w:rPr>
                <w:rFonts w:hint="eastAsia"/>
                <w:color w:val="auto"/>
                <w:spacing w:val="-5"/>
                <w:szCs w:val="21"/>
                <w:highlight w:val="none"/>
              </w:rPr>
              <w:t>安全管理</w:t>
            </w:r>
            <w:r>
              <w:rPr>
                <w:rFonts w:hint="eastAsia"/>
                <w:color w:val="auto"/>
                <w:spacing w:val="2"/>
                <w:szCs w:val="21"/>
                <w:highlight w:val="none"/>
              </w:rPr>
              <w:t>和环境管理</w:t>
            </w:r>
            <w:bookmarkEnd w:id="482"/>
            <w:r>
              <w:rPr>
                <w:rFonts w:hint="eastAsia"/>
                <w:color w:val="auto"/>
                <w:spacing w:val="-4"/>
                <w:szCs w:val="21"/>
                <w:highlight w:val="none"/>
              </w:rPr>
              <w:t>服务方案（32</w:t>
            </w:r>
            <w:r>
              <w:rPr>
                <w:rFonts w:hint="eastAsia"/>
                <w:color w:val="auto"/>
                <w:spacing w:val="-5"/>
                <w:szCs w:val="21"/>
                <w:highlight w:val="none"/>
              </w:rPr>
              <w:t>分）</w:t>
            </w:r>
          </w:p>
        </w:tc>
        <w:tc>
          <w:tcPr>
            <w:tcW w:w="7970" w:type="dxa"/>
            <w:tcBorders>
              <w:top w:val="single" w:color="auto" w:sz="4" w:space="0"/>
              <w:left w:val="single" w:color="auto" w:sz="4" w:space="0"/>
              <w:bottom w:val="single" w:color="auto" w:sz="4" w:space="0"/>
              <w:right w:val="single" w:color="auto" w:sz="4" w:space="0"/>
            </w:tcBorders>
            <w:shd w:val="clear" w:color="auto" w:fill="auto"/>
          </w:tcPr>
          <w:p w14:paraId="1EDBAFA8">
            <w:pPr>
              <w:shd w:val="clear"/>
              <w:rPr>
                <w:color w:val="auto"/>
                <w:szCs w:val="21"/>
                <w:highlight w:val="none"/>
              </w:rPr>
            </w:pPr>
            <w:r>
              <w:rPr>
                <w:color w:val="auto"/>
                <w:szCs w:val="21"/>
                <w:highlight w:val="none"/>
              </w:rPr>
              <w:t>1</w:t>
            </w:r>
            <w:r>
              <w:rPr>
                <w:rFonts w:hint="eastAsia"/>
                <w:color w:val="auto"/>
                <w:szCs w:val="21"/>
                <w:highlight w:val="none"/>
              </w:rPr>
              <w:t>、根据投标人提供的针对本项目的</w:t>
            </w:r>
            <w:r>
              <w:rPr>
                <w:rFonts w:hint="eastAsia"/>
                <w:bCs/>
                <w:color w:val="auto"/>
                <w:szCs w:val="21"/>
                <w:highlight w:val="none"/>
              </w:rPr>
              <w:t>综合服务方案</w:t>
            </w:r>
            <w:r>
              <w:rPr>
                <w:rFonts w:hint="eastAsia"/>
                <w:color w:val="auto"/>
                <w:szCs w:val="21"/>
                <w:highlight w:val="none"/>
              </w:rPr>
              <w:t>进行评议</w:t>
            </w:r>
            <w:r>
              <w:rPr>
                <w:color w:val="auto"/>
                <w:szCs w:val="21"/>
                <w:highlight w:val="none"/>
              </w:rPr>
              <w:t>:</w:t>
            </w:r>
            <w:bookmarkStart w:id="483" w:name="OLE_LINK133"/>
            <w:bookmarkStart w:id="484" w:name="OLE_LINK134"/>
            <w:r>
              <w:rPr>
                <w:rFonts w:hint="eastAsia" w:cs="仿宋" w:asciiTheme="minorEastAsia" w:hAnsiTheme="minorEastAsia" w:eastAsiaTheme="minorEastAsia"/>
                <w:color w:val="auto"/>
                <w:szCs w:val="21"/>
                <w:highlight w:val="none"/>
              </w:rPr>
              <w:t>①</w:t>
            </w:r>
            <w:bookmarkEnd w:id="483"/>
            <w:bookmarkEnd w:id="484"/>
            <w:r>
              <w:rPr>
                <w:rFonts w:hint="eastAsia"/>
                <w:color w:val="auto"/>
                <w:szCs w:val="21"/>
                <w:highlight w:val="none"/>
              </w:rPr>
              <w:t>内容全面详细</w:t>
            </w:r>
            <w:r>
              <w:rPr>
                <w:rFonts w:hint="eastAsia" w:ascii="宋体" w:hAnsi="宋体"/>
                <w:color w:val="auto"/>
                <w:szCs w:val="21"/>
                <w:highlight w:val="none"/>
              </w:rPr>
              <w:t>、</w:t>
            </w:r>
            <w:r>
              <w:rPr>
                <w:rFonts w:hint="eastAsia"/>
                <w:color w:val="auto"/>
                <w:szCs w:val="21"/>
                <w:highlight w:val="none"/>
              </w:rPr>
              <w:t>制定合理</w:t>
            </w:r>
            <w:r>
              <w:rPr>
                <w:rFonts w:hint="eastAsia" w:ascii="宋体" w:hAnsi="宋体"/>
                <w:color w:val="auto"/>
                <w:szCs w:val="21"/>
                <w:highlight w:val="none"/>
              </w:rPr>
              <w:t>的得2分；</w:t>
            </w:r>
            <w:r>
              <w:rPr>
                <w:rFonts w:hint="eastAsia" w:cs="仿宋" w:asciiTheme="minorEastAsia" w:hAnsiTheme="minorEastAsia" w:eastAsiaTheme="minorEastAsia"/>
                <w:color w:val="auto"/>
                <w:szCs w:val="21"/>
                <w:highlight w:val="none"/>
              </w:rPr>
              <w:t>②</w:t>
            </w:r>
            <w:r>
              <w:rPr>
                <w:rFonts w:hint="eastAsia"/>
                <w:color w:val="auto"/>
                <w:szCs w:val="21"/>
                <w:highlight w:val="none"/>
              </w:rPr>
              <w:t>方案针对性强</w:t>
            </w:r>
            <w:r>
              <w:rPr>
                <w:rFonts w:hint="eastAsia" w:ascii="宋体" w:hAnsi="宋体"/>
                <w:color w:val="auto"/>
                <w:szCs w:val="21"/>
                <w:highlight w:val="none"/>
              </w:rPr>
              <w:t>的得2分</w:t>
            </w:r>
            <w:bookmarkStart w:id="485" w:name="OLE_LINK17"/>
            <w:r>
              <w:rPr>
                <w:rFonts w:hint="eastAsia" w:ascii="宋体" w:hAnsi="宋体"/>
                <w:color w:val="auto"/>
                <w:szCs w:val="21"/>
                <w:highlight w:val="none"/>
              </w:rPr>
              <w:t>；</w:t>
            </w:r>
            <w:bookmarkEnd w:id="485"/>
            <w:r>
              <w:rPr>
                <w:rFonts w:hint="eastAsia" w:ascii="宋体" w:hAnsi="宋体"/>
                <w:color w:val="auto"/>
                <w:szCs w:val="21"/>
                <w:highlight w:val="none"/>
              </w:rPr>
              <w:t>以上各项存在不足有待改进的</w:t>
            </w:r>
            <w:r>
              <w:rPr>
                <w:rFonts w:hint="eastAsia"/>
                <w:color w:val="auto"/>
                <w:szCs w:val="21"/>
                <w:highlight w:val="none"/>
              </w:rPr>
              <w:t>对应项得1分；</w:t>
            </w:r>
            <w:bookmarkStart w:id="486" w:name="OLE_LINK61"/>
            <w:bookmarkStart w:id="487" w:name="OLE_LINK62"/>
            <w:r>
              <w:rPr>
                <w:rFonts w:hint="eastAsia"/>
                <w:color w:val="auto"/>
                <w:szCs w:val="21"/>
                <w:highlight w:val="none"/>
              </w:rPr>
              <w:t>最多得4分，</w:t>
            </w:r>
            <w:r>
              <w:rPr>
                <w:rFonts w:hint="eastAsia" w:cs="仿宋" w:asciiTheme="minorEastAsia" w:hAnsiTheme="minorEastAsia" w:eastAsiaTheme="minorEastAsia"/>
                <w:color w:val="auto"/>
                <w:szCs w:val="21"/>
                <w:highlight w:val="none"/>
              </w:rPr>
              <w:t>未提供相关内容不得分。</w:t>
            </w:r>
            <w:bookmarkEnd w:id="486"/>
            <w:bookmarkEnd w:id="487"/>
          </w:p>
        </w:tc>
      </w:tr>
      <w:tr w14:paraId="6977C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DF3431B">
            <w:pPr>
              <w:widowControl/>
              <w:shd w:val="clear"/>
              <w:jc w:val="left"/>
              <w:rPr>
                <w:rFonts w:cs="仿宋" w:asciiTheme="minorEastAsia" w:hAnsiTheme="minorEastAsia" w:eastAsiaTheme="minorEastAsia"/>
                <w:color w:val="auto"/>
                <w:szCs w:val="21"/>
                <w:highlight w:val="none"/>
              </w:rPr>
            </w:pPr>
          </w:p>
        </w:tc>
        <w:tc>
          <w:tcPr>
            <w:tcW w:w="12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2412C3E">
            <w:pPr>
              <w:widowControl/>
              <w:shd w:val="clear"/>
              <w:jc w:val="left"/>
              <w:rPr>
                <w:rFonts w:cs="仿宋" w:asciiTheme="minorEastAsia" w:hAnsiTheme="minorEastAsia" w:eastAsiaTheme="minorEastAsia"/>
                <w:color w:val="auto"/>
                <w:szCs w:val="21"/>
                <w:highlight w:val="none"/>
              </w:rPr>
            </w:pPr>
          </w:p>
        </w:tc>
        <w:tc>
          <w:tcPr>
            <w:tcW w:w="7970" w:type="dxa"/>
            <w:tcBorders>
              <w:top w:val="single" w:color="auto" w:sz="4" w:space="0"/>
              <w:left w:val="single" w:color="auto" w:sz="4" w:space="0"/>
              <w:bottom w:val="single" w:color="auto" w:sz="4" w:space="0"/>
              <w:right w:val="single" w:color="auto" w:sz="4" w:space="0"/>
            </w:tcBorders>
            <w:shd w:val="clear" w:color="auto" w:fill="auto"/>
          </w:tcPr>
          <w:p w14:paraId="61A47D55">
            <w:pPr>
              <w:shd w:val="clear"/>
              <w:rPr>
                <w:color w:val="auto"/>
                <w:szCs w:val="21"/>
                <w:highlight w:val="none"/>
              </w:rPr>
            </w:pPr>
            <w:r>
              <w:rPr>
                <w:color w:val="auto"/>
                <w:szCs w:val="21"/>
                <w:highlight w:val="none"/>
              </w:rPr>
              <w:t>2</w:t>
            </w:r>
            <w:r>
              <w:rPr>
                <w:rFonts w:hint="eastAsia"/>
                <w:color w:val="auto"/>
                <w:szCs w:val="21"/>
                <w:highlight w:val="none"/>
              </w:rPr>
              <w:t>、根据投标人提供的针对本项目的</w:t>
            </w:r>
            <w:r>
              <w:rPr>
                <w:rFonts w:hint="eastAsia"/>
                <w:bCs/>
                <w:color w:val="auto"/>
                <w:szCs w:val="21"/>
                <w:highlight w:val="none"/>
              </w:rPr>
              <w:t>公共设施设备管理</w:t>
            </w:r>
            <w:r>
              <w:rPr>
                <w:rFonts w:hint="eastAsia"/>
                <w:color w:val="auto"/>
                <w:szCs w:val="21"/>
                <w:highlight w:val="none"/>
              </w:rPr>
              <w:t>方案进行评议</w:t>
            </w:r>
            <w:r>
              <w:rPr>
                <w:color w:val="auto"/>
                <w:szCs w:val="21"/>
                <w:highlight w:val="none"/>
              </w:rPr>
              <w:t>:</w:t>
            </w:r>
            <w:r>
              <w:rPr>
                <w:rFonts w:hint="eastAsia"/>
                <w:color w:val="auto"/>
                <w:szCs w:val="21"/>
                <w:highlight w:val="none"/>
              </w:rPr>
              <w:t>①内容全面详细、制定合理的得2分；②方案针对性强的得2分；</w:t>
            </w:r>
            <w:bookmarkStart w:id="488" w:name="OLE_LINK141"/>
            <w:bookmarkStart w:id="489" w:name="OLE_LINK140"/>
            <w:r>
              <w:rPr>
                <w:rFonts w:hint="eastAsia"/>
                <w:color w:val="auto"/>
                <w:szCs w:val="21"/>
                <w:highlight w:val="none"/>
              </w:rPr>
              <w:t>以上各项存在不足有待改进的对应项得1分；最多得4分，未提供相关内容不得分。</w:t>
            </w:r>
            <w:bookmarkEnd w:id="488"/>
            <w:bookmarkEnd w:id="489"/>
          </w:p>
        </w:tc>
      </w:tr>
      <w:tr w14:paraId="7A822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2" w:hRule="atLeast"/>
          <w:jc w:val="center"/>
        </w:trPr>
        <w:tc>
          <w:tcPr>
            <w:tcW w:w="5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B6B8DA4">
            <w:pPr>
              <w:widowControl/>
              <w:shd w:val="clear"/>
              <w:jc w:val="left"/>
              <w:rPr>
                <w:rFonts w:cs="仿宋" w:asciiTheme="minorEastAsia" w:hAnsiTheme="minorEastAsia" w:eastAsiaTheme="minorEastAsia"/>
                <w:color w:val="auto"/>
                <w:szCs w:val="21"/>
                <w:highlight w:val="none"/>
              </w:rPr>
            </w:pPr>
          </w:p>
        </w:tc>
        <w:tc>
          <w:tcPr>
            <w:tcW w:w="12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599D137">
            <w:pPr>
              <w:widowControl/>
              <w:shd w:val="clear"/>
              <w:jc w:val="left"/>
              <w:rPr>
                <w:rFonts w:cs="仿宋" w:asciiTheme="minorEastAsia" w:hAnsiTheme="minorEastAsia" w:eastAsiaTheme="minorEastAsia"/>
                <w:color w:val="auto"/>
                <w:szCs w:val="21"/>
                <w:highlight w:val="none"/>
              </w:rPr>
            </w:pPr>
          </w:p>
        </w:tc>
        <w:tc>
          <w:tcPr>
            <w:tcW w:w="7970" w:type="dxa"/>
            <w:tcBorders>
              <w:top w:val="single" w:color="auto" w:sz="4" w:space="0"/>
              <w:left w:val="single" w:color="auto" w:sz="4" w:space="0"/>
              <w:bottom w:val="single" w:color="auto" w:sz="4" w:space="0"/>
              <w:right w:val="single" w:color="auto" w:sz="4" w:space="0"/>
            </w:tcBorders>
            <w:shd w:val="clear" w:color="auto" w:fill="auto"/>
          </w:tcPr>
          <w:p w14:paraId="6C657E41">
            <w:pPr>
              <w:shd w:val="clear"/>
              <w:rPr>
                <w:color w:val="auto"/>
                <w:szCs w:val="21"/>
                <w:highlight w:val="none"/>
              </w:rPr>
            </w:pPr>
            <w:r>
              <w:rPr>
                <w:color w:val="auto"/>
                <w:szCs w:val="21"/>
                <w:highlight w:val="none"/>
              </w:rPr>
              <w:t>3</w:t>
            </w:r>
            <w:r>
              <w:rPr>
                <w:rFonts w:hint="eastAsia"/>
                <w:color w:val="auto"/>
                <w:szCs w:val="21"/>
                <w:highlight w:val="none"/>
              </w:rPr>
              <w:t>、根据投标人提供的针对本项目的</w:t>
            </w:r>
            <w:r>
              <w:rPr>
                <w:rFonts w:hint="eastAsia"/>
                <w:bCs/>
                <w:color w:val="auto"/>
                <w:szCs w:val="21"/>
                <w:highlight w:val="none"/>
              </w:rPr>
              <w:t>清洁卫生管理</w:t>
            </w:r>
            <w:r>
              <w:rPr>
                <w:rFonts w:hint="eastAsia"/>
                <w:color w:val="auto"/>
                <w:szCs w:val="21"/>
                <w:highlight w:val="none"/>
              </w:rPr>
              <w:t>方案进行评议</w:t>
            </w:r>
            <w:r>
              <w:rPr>
                <w:color w:val="auto"/>
                <w:szCs w:val="21"/>
                <w:highlight w:val="none"/>
              </w:rPr>
              <w:t>:</w:t>
            </w:r>
            <w:r>
              <w:rPr>
                <w:rFonts w:hint="eastAsia"/>
                <w:color w:val="auto"/>
                <w:szCs w:val="21"/>
                <w:highlight w:val="none"/>
              </w:rPr>
              <w:t>①内容全面详细、制定合理的得2分；②方案针对性强的得2分；以上各项存在不足有待改进的对应项得1分；最多得4分，未提供相关内容不得分。</w:t>
            </w:r>
          </w:p>
        </w:tc>
      </w:tr>
      <w:tr w14:paraId="34599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2" w:hRule="atLeast"/>
          <w:jc w:val="center"/>
        </w:trPr>
        <w:tc>
          <w:tcPr>
            <w:tcW w:w="5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9C9910F">
            <w:pPr>
              <w:widowControl/>
              <w:shd w:val="clear"/>
              <w:jc w:val="left"/>
              <w:rPr>
                <w:rFonts w:cs="仿宋" w:asciiTheme="minorEastAsia" w:hAnsiTheme="minorEastAsia" w:eastAsiaTheme="minorEastAsia"/>
                <w:color w:val="auto"/>
                <w:szCs w:val="21"/>
                <w:highlight w:val="none"/>
              </w:rPr>
            </w:pPr>
          </w:p>
        </w:tc>
        <w:tc>
          <w:tcPr>
            <w:tcW w:w="12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FF332BE">
            <w:pPr>
              <w:widowControl/>
              <w:shd w:val="clear"/>
              <w:jc w:val="left"/>
              <w:rPr>
                <w:rFonts w:cs="仿宋" w:asciiTheme="minorEastAsia" w:hAnsiTheme="minorEastAsia" w:eastAsiaTheme="minorEastAsia"/>
                <w:color w:val="auto"/>
                <w:szCs w:val="21"/>
                <w:highlight w:val="none"/>
              </w:rPr>
            </w:pPr>
          </w:p>
        </w:tc>
        <w:tc>
          <w:tcPr>
            <w:tcW w:w="7970" w:type="dxa"/>
            <w:tcBorders>
              <w:top w:val="single" w:color="auto" w:sz="4" w:space="0"/>
              <w:left w:val="single" w:color="auto" w:sz="4" w:space="0"/>
              <w:bottom w:val="single" w:color="auto" w:sz="4" w:space="0"/>
              <w:right w:val="single" w:color="auto" w:sz="4" w:space="0"/>
            </w:tcBorders>
            <w:shd w:val="clear" w:color="auto" w:fill="auto"/>
          </w:tcPr>
          <w:p w14:paraId="07FAEF76">
            <w:pPr>
              <w:shd w:val="clear"/>
              <w:rPr>
                <w:rFonts w:cs="仿宋" w:asciiTheme="minorEastAsia" w:hAnsiTheme="minorEastAsia" w:eastAsiaTheme="minorEastAsia"/>
                <w:color w:val="auto"/>
                <w:szCs w:val="21"/>
                <w:highlight w:val="none"/>
              </w:rPr>
            </w:pPr>
            <w:r>
              <w:rPr>
                <w:rFonts w:cs="仿宋" w:asciiTheme="minorEastAsia" w:hAnsiTheme="minorEastAsia" w:eastAsiaTheme="minorEastAsia"/>
                <w:color w:val="auto"/>
                <w:szCs w:val="21"/>
                <w:highlight w:val="none"/>
              </w:rPr>
              <w:t>4</w:t>
            </w:r>
            <w:r>
              <w:rPr>
                <w:rFonts w:hint="eastAsia" w:cs="仿宋" w:asciiTheme="minorEastAsia" w:hAnsiTheme="minorEastAsia" w:eastAsiaTheme="minorEastAsia"/>
                <w:color w:val="auto"/>
                <w:szCs w:val="21"/>
                <w:highlight w:val="none"/>
              </w:rPr>
              <w:t>、根据投标人提供的针对本项目的公共绿化的养护和管理方案进行评议</w:t>
            </w:r>
            <w:r>
              <w:rPr>
                <w:rFonts w:cs="仿宋" w:asciiTheme="minorEastAsia" w:hAnsiTheme="minorEastAsia" w:eastAsiaTheme="minorEastAsia"/>
                <w:color w:val="auto"/>
                <w:szCs w:val="21"/>
                <w:highlight w:val="none"/>
              </w:rPr>
              <w:t>:</w:t>
            </w:r>
            <w:r>
              <w:rPr>
                <w:rFonts w:hint="eastAsia" w:cs="仿宋" w:asciiTheme="minorEastAsia" w:hAnsiTheme="minorEastAsia" w:eastAsiaTheme="minorEastAsia"/>
                <w:color w:val="auto"/>
                <w:szCs w:val="21"/>
                <w:highlight w:val="none"/>
              </w:rPr>
              <w:t>①内容全面详细、制定合理的得2分；②方案针对性强的得2分；</w:t>
            </w:r>
            <w:bookmarkStart w:id="490" w:name="OLE_LINK143"/>
            <w:bookmarkStart w:id="491" w:name="OLE_LINK142"/>
            <w:r>
              <w:rPr>
                <w:rFonts w:hint="eastAsia" w:cs="仿宋" w:asciiTheme="minorEastAsia" w:hAnsiTheme="minorEastAsia" w:eastAsiaTheme="minorEastAsia"/>
                <w:color w:val="auto"/>
                <w:szCs w:val="21"/>
                <w:highlight w:val="none"/>
              </w:rPr>
              <w:t>以上各项存在不足有待改进的对应项得1分；最多得4分，未提供相关内容不得分。</w:t>
            </w:r>
            <w:bookmarkEnd w:id="490"/>
            <w:bookmarkEnd w:id="491"/>
          </w:p>
        </w:tc>
      </w:tr>
      <w:tr w14:paraId="6B5FD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2" w:hRule="atLeast"/>
          <w:jc w:val="center"/>
        </w:trPr>
        <w:tc>
          <w:tcPr>
            <w:tcW w:w="5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BDA695F">
            <w:pPr>
              <w:widowControl/>
              <w:shd w:val="clear"/>
              <w:jc w:val="left"/>
              <w:rPr>
                <w:rFonts w:cs="仿宋" w:asciiTheme="minorEastAsia" w:hAnsiTheme="minorEastAsia" w:eastAsiaTheme="minorEastAsia"/>
                <w:color w:val="auto"/>
                <w:szCs w:val="21"/>
                <w:highlight w:val="none"/>
              </w:rPr>
            </w:pPr>
          </w:p>
        </w:tc>
        <w:tc>
          <w:tcPr>
            <w:tcW w:w="12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78BCDDD">
            <w:pPr>
              <w:widowControl/>
              <w:shd w:val="clear"/>
              <w:jc w:val="left"/>
              <w:rPr>
                <w:rFonts w:cs="仿宋" w:asciiTheme="minorEastAsia" w:hAnsiTheme="minorEastAsia" w:eastAsiaTheme="minorEastAsia"/>
                <w:color w:val="auto"/>
                <w:szCs w:val="21"/>
                <w:highlight w:val="none"/>
              </w:rPr>
            </w:pPr>
          </w:p>
        </w:tc>
        <w:tc>
          <w:tcPr>
            <w:tcW w:w="7970" w:type="dxa"/>
            <w:tcBorders>
              <w:top w:val="single" w:color="auto" w:sz="4" w:space="0"/>
              <w:left w:val="single" w:color="auto" w:sz="4" w:space="0"/>
              <w:bottom w:val="single" w:color="auto" w:sz="4" w:space="0"/>
              <w:right w:val="single" w:color="auto" w:sz="4" w:space="0"/>
            </w:tcBorders>
            <w:shd w:val="clear" w:color="auto" w:fill="auto"/>
          </w:tcPr>
          <w:p w14:paraId="27C2729C">
            <w:pPr>
              <w:shd w:val="clear"/>
              <w:rPr>
                <w:rFonts w:cs="仿宋" w:asciiTheme="minorEastAsia" w:hAnsiTheme="minorEastAsia" w:eastAsiaTheme="minorEastAsia"/>
                <w:color w:val="auto"/>
                <w:szCs w:val="21"/>
                <w:highlight w:val="none"/>
              </w:rPr>
            </w:pPr>
            <w:r>
              <w:rPr>
                <w:rFonts w:cs="仿宋" w:asciiTheme="minorEastAsia" w:hAnsiTheme="minorEastAsia" w:eastAsiaTheme="minorEastAsia"/>
                <w:color w:val="auto"/>
                <w:szCs w:val="21"/>
                <w:highlight w:val="none"/>
              </w:rPr>
              <w:t>5</w:t>
            </w:r>
            <w:r>
              <w:rPr>
                <w:rFonts w:hint="eastAsia" w:cs="仿宋" w:asciiTheme="minorEastAsia" w:hAnsiTheme="minorEastAsia" w:eastAsiaTheme="minorEastAsia"/>
                <w:color w:val="auto"/>
                <w:szCs w:val="21"/>
                <w:highlight w:val="none"/>
              </w:rPr>
              <w:t>、根据投标人提供的针对本项目的停车场运营和车辆停放管理方案进行评议</w:t>
            </w:r>
            <w:r>
              <w:rPr>
                <w:rFonts w:cs="仿宋" w:asciiTheme="minorEastAsia" w:hAnsiTheme="minorEastAsia" w:eastAsiaTheme="minorEastAsia"/>
                <w:color w:val="auto"/>
                <w:szCs w:val="21"/>
                <w:highlight w:val="none"/>
              </w:rPr>
              <w:t>:</w:t>
            </w:r>
            <w:r>
              <w:rPr>
                <w:rFonts w:hint="eastAsia" w:cs="仿宋" w:asciiTheme="minorEastAsia" w:hAnsiTheme="minorEastAsia" w:eastAsiaTheme="minorEastAsia"/>
                <w:color w:val="auto"/>
                <w:szCs w:val="21"/>
                <w:highlight w:val="none"/>
              </w:rPr>
              <w:t>①内容全面详细、制定合理的得2分；②方案针对性强的得2分；以上各项存在不足有待改进的对应项得1分；最多得4分，未提供相关内容不得分。</w:t>
            </w:r>
          </w:p>
        </w:tc>
      </w:tr>
      <w:tr w14:paraId="69113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2" w:hRule="atLeast"/>
          <w:jc w:val="center"/>
        </w:trPr>
        <w:tc>
          <w:tcPr>
            <w:tcW w:w="5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6AB5E72">
            <w:pPr>
              <w:widowControl/>
              <w:shd w:val="clear"/>
              <w:jc w:val="left"/>
              <w:rPr>
                <w:rFonts w:cs="仿宋" w:asciiTheme="minorEastAsia" w:hAnsiTheme="minorEastAsia" w:eastAsiaTheme="minorEastAsia"/>
                <w:color w:val="auto"/>
                <w:szCs w:val="21"/>
                <w:highlight w:val="none"/>
              </w:rPr>
            </w:pPr>
          </w:p>
        </w:tc>
        <w:tc>
          <w:tcPr>
            <w:tcW w:w="12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26903CB4">
            <w:pPr>
              <w:widowControl/>
              <w:shd w:val="clear"/>
              <w:jc w:val="left"/>
              <w:rPr>
                <w:rFonts w:cs="仿宋" w:asciiTheme="minorEastAsia" w:hAnsiTheme="minorEastAsia" w:eastAsiaTheme="minorEastAsia"/>
                <w:color w:val="auto"/>
                <w:szCs w:val="21"/>
                <w:highlight w:val="none"/>
              </w:rPr>
            </w:pPr>
          </w:p>
        </w:tc>
        <w:tc>
          <w:tcPr>
            <w:tcW w:w="7970" w:type="dxa"/>
            <w:tcBorders>
              <w:top w:val="single" w:color="auto" w:sz="4" w:space="0"/>
              <w:left w:val="single" w:color="auto" w:sz="4" w:space="0"/>
              <w:bottom w:val="single" w:color="auto" w:sz="4" w:space="0"/>
              <w:right w:val="single" w:color="auto" w:sz="4" w:space="0"/>
            </w:tcBorders>
            <w:shd w:val="clear" w:color="auto" w:fill="auto"/>
          </w:tcPr>
          <w:p w14:paraId="38DC9B6C">
            <w:pPr>
              <w:shd w:val="clear"/>
              <w:rPr>
                <w:rFonts w:cs="仿宋" w:asciiTheme="minorEastAsia" w:hAnsiTheme="minorEastAsia" w:eastAsiaTheme="minorEastAsia"/>
                <w:color w:val="auto"/>
                <w:szCs w:val="21"/>
                <w:highlight w:val="none"/>
              </w:rPr>
            </w:pPr>
            <w:r>
              <w:rPr>
                <w:rFonts w:cs="仿宋" w:asciiTheme="minorEastAsia" w:hAnsiTheme="minorEastAsia" w:eastAsiaTheme="minorEastAsia"/>
                <w:color w:val="auto"/>
                <w:szCs w:val="21"/>
                <w:highlight w:val="none"/>
              </w:rPr>
              <w:t>6</w:t>
            </w:r>
            <w:r>
              <w:rPr>
                <w:rFonts w:hint="eastAsia" w:cs="仿宋" w:asciiTheme="minorEastAsia" w:hAnsiTheme="minorEastAsia" w:eastAsiaTheme="minorEastAsia"/>
                <w:color w:val="auto"/>
                <w:szCs w:val="21"/>
                <w:highlight w:val="none"/>
              </w:rPr>
              <w:t>、根据投标人提供的针对本项目的公共秩序维护、消防、安全防范等事项的管理方案进行评议</w:t>
            </w:r>
            <w:r>
              <w:rPr>
                <w:rFonts w:cs="仿宋" w:asciiTheme="minorEastAsia" w:hAnsiTheme="minorEastAsia" w:eastAsiaTheme="minorEastAsia"/>
                <w:color w:val="auto"/>
                <w:szCs w:val="21"/>
                <w:highlight w:val="none"/>
              </w:rPr>
              <w:t>:</w:t>
            </w:r>
            <w:r>
              <w:rPr>
                <w:rFonts w:hint="eastAsia" w:cs="仿宋" w:asciiTheme="minorEastAsia" w:hAnsiTheme="minorEastAsia" w:eastAsiaTheme="minorEastAsia"/>
                <w:color w:val="auto"/>
                <w:szCs w:val="21"/>
                <w:highlight w:val="none"/>
              </w:rPr>
              <w:t>①内容全面详细、制定合理的得2分；②方案针对性强的得2分；以上各项存在不足有待改进的对应项得1分；最多得4分，未提供相关内容不得分。</w:t>
            </w:r>
          </w:p>
        </w:tc>
      </w:tr>
      <w:tr w14:paraId="14F9F9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2" w:hRule="atLeast"/>
          <w:jc w:val="center"/>
        </w:trPr>
        <w:tc>
          <w:tcPr>
            <w:tcW w:w="5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1D1D121">
            <w:pPr>
              <w:widowControl/>
              <w:shd w:val="clear"/>
              <w:jc w:val="left"/>
              <w:rPr>
                <w:rFonts w:cs="仿宋" w:asciiTheme="minorEastAsia" w:hAnsiTheme="minorEastAsia" w:eastAsiaTheme="minorEastAsia"/>
                <w:color w:val="auto"/>
                <w:szCs w:val="21"/>
                <w:highlight w:val="none"/>
              </w:rPr>
            </w:pPr>
          </w:p>
        </w:tc>
        <w:tc>
          <w:tcPr>
            <w:tcW w:w="12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BFC821D">
            <w:pPr>
              <w:widowControl/>
              <w:shd w:val="clear"/>
              <w:jc w:val="left"/>
              <w:rPr>
                <w:rFonts w:cs="仿宋" w:asciiTheme="minorEastAsia" w:hAnsiTheme="minorEastAsia" w:eastAsiaTheme="minorEastAsia"/>
                <w:color w:val="auto"/>
                <w:szCs w:val="21"/>
                <w:highlight w:val="none"/>
              </w:rPr>
            </w:pPr>
          </w:p>
        </w:tc>
        <w:tc>
          <w:tcPr>
            <w:tcW w:w="7970" w:type="dxa"/>
            <w:tcBorders>
              <w:top w:val="single" w:color="auto" w:sz="4" w:space="0"/>
              <w:left w:val="single" w:color="auto" w:sz="4" w:space="0"/>
              <w:bottom w:val="single" w:color="auto" w:sz="4" w:space="0"/>
              <w:right w:val="single" w:color="auto" w:sz="4" w:space="0"/>
            </w:tcBorders>
            <w:shd w:val="clear" w:color="auto" w:fill="auto"/>
          </w:tcPr>
          <w:p w14:paraId="50D6B6D8">
            <w:pPr>
              <w:shd w:val="clear"/>
              <w:rPr>
                <w:rFonts w:cs="仿宋" w:asciiTheme="minorEastAsia" w:hAnsiTheme="minorEastAsia" w:eastAsiaTheme="minorEastAsia"/>
                <w:color w:val="auto"/>
                <w:szCs w:val="21"/>
                <w:highlight w:val="none"/>
              </w:rPr>
            </w:pPr>
            <w:r>
              <w:rPr>
                <w:rFonts w:cs="仿宋" w:asciiTheme="minorEastAsia" w:hAnsiTheme="minorEastAsia" w:eastAsiaTheme="minorEastAsia"/>
                <w:color w:val="auto"/>
                <w:szCs w:val="21"/>
                <w:highlight w:val="none"/>
              </w:rPr>
              <w:t>7</w:t>
            </w:r>
            <w:r>
              <w:rPr>
                <w:rFonts w:hint="eastAsia" w:cs="仿宋" w:asciiTheme="minorEastAsia" w:hAnsiTheme="minorEastAsia" w:eastAsiaTheme="minorEastAsia"/>
                <w:color w:val="auto"/>
                <w:szCs w:val="21"/>
                <w:highlight w:val="none"/>
              </w:rPr>
              <w:t>、根据投标人提供的针对本项目的装修管理服务方案进行评议</w:t>
            </w:r>
            <w:r>
              <w:rPr>
                <w:rFonts w:cs="仿宋" w:asciiTheme="minorEastAsia" w:hAnsiTheme="minorEastAsia" w:eastAsiaTheme="minorEastAsia"/>
                <w:color w:val="auto"/>
                <w:szCs w:val="21"/>
                <w:highlight w:val="none"/>
              </w:rPr>
              <w:t>:</w:t>
            </w:r>
            <w:r>
              <w:rPr>
                <w:rFonts w:hint="eastAsia" w:cs="仿宋" w:asciiTheme="minorEastAsia" w:hAnsiTheme="minorEastAsia" w:eastAsiaTheme="minorEastAsia"/>
                <w:color w:val="auto"/>
                <w:szCs w:val="21"/>
                <w:highlight w:val="none"/>
              </w:rPr>
              <w:t>①内容全面详细、制定合理的得2分；②方案针对性强的得2分；以上各项存在不足有待改进的对应项得1分；最多得4分，未提供相关内容不得分。</w:t>
            </w:r>
          </w:p>
        </w:tc>
      </w:tr>
      <w:tr w14:paraId="7C2EF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2" w:hRule="atLeast"/>
          <w:jc w:val="center"/>
        </w:trPr>
        <w:tc>
          <w:tcPr>
            <w:tcW w:w="5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61AFDE6">
            <w:pPr>
              <w:widowControl/>
              <w:shd w:val="clear"/>
              <w:jc w:val="left"/>
              <w:rPr>
                <w:rFonts w:cs="仿宋" w:asciiTheme="minorEastAsia" w:hAnsiTheme="minorEastAsia" w:eastAsiaTheme="minorEastAsia"/>
                <w:color w:val="auto"/>
                <w:szCs w:val="21"/>
                <w:highlight w:val="none"/>
              </w:rPr>
            </w:pPr>
          </w:p>
        </w:tc>
        <w:tc>
          <w:tcPr>
            <w:tcW w:w="12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BE0BF87">
            <w:pPr>
              <w:widowControl/>
              <w:shd w:val="clear"/>
              <w:jc w:val="left"/>
              <w:rPr>
                <w:rFonts w:cs="仿宋" w:asciiTheme="minorEastAsia" w:hAnsiTheme="minorEastAsia" w:eastAsiaTheme="minorEastAsia"/>
                <w:color w:val="auto"/>
                <w:szCs w:val="21"/>
                <w:highlight w:val="none"/>
              </w:rPr>
            </w:pPr>
          </w:p>
        </w:tc>
        <w:tc>
          <w:tcPr>
            <w:tcW w:w="7970" w:type="dxa"/>
            <w:tcBorders>
              <w:top w:val="single" w:color="auto" w:sz="4" w:space="0"/>
              <w:left w:val="single" w:color="auto" w:sz="4" w:space="0"/>
              <w:bottom w:val="single" w:color="auto" w:sz="4" w:space="0"/>
              <w:right w:val="single" w:color="auto" w:sz="4" w:space="0"/>
            </w:tcBorders>
            <w:shd w:val="clear" w:color="auto" w:fill="auto"/>
          </w:tcPr>
          <w:p w14:paraId="27075B69">
            <w:pPr>
              <w:shd w:val="clear"/>
              <w:rPr>
                <w:rFonts w:cs="仿宋" w:asciiTheme="minorEastAsia" w:hAnsiTheme="minorEastAsia" w:eastAsiaTheme="minorEastAsia"/>
                <w:color w:val="auto"/>
                <w:szCs w:val="21"/>
                <w:highlight w:val="none"/>
              </w:rPr>
            </w:pPr>
            <w:r>
              <w:rPr>
                <w:rFonts w:cs="仿宋" w:asciiTheme="minorEastAsia" w:hAnsiTheme="minorEastAsia" w:eastAsiaTheme="minorEastAsia"/>
                <w:color w:val="auto"/>
                <w:szCs w:val="21"/>
                <w:highlight w:val="none"/>
              </w:rPr>
              <w:t>8</w:t>
            </w:r>
            <w:r>
              <w:rPr>
                <w:rFonts w:hint="eastAsia" w:cs="仿宋" w:asciiTheme="minorEastAsia" w:hAnsiTheme="minorEastAsia" w:eastAsiaTheme="minorEastAsia"/>
                <w:color w:val="auto"/>
                <w:szCs w:val="21"/>
                <w:highlight w:val="none"/>
              </w:rPr>
              <w:t>、根据投标人提供的针对本项目的辅助服务进行评议</w:t>
            </w:r>
            <w:r>
              <w:rPr>
                <w:rFonts w:cs="仿宋" w:asciiTheme="minorEastAsia" w:hAnsiTheme="minorEastAsia" w:eastAsiaTheme="minorEastAsia"/>
                <w:color w:val="auto"/>
                <w:szCs w:val="21"/>
                <w:highlight w:val="none"/>
              </w:rPr>
              <w:t>:</w:t>
            </w:r>
            <w:r>
              <w:rPr>
                <w:rFonts w:hint="eastAsia" w:cs="仿宋" w:asciiTheme="minorEastAsia" w:hAnsiTheme="minorEastAsia" w:eastAsiaTheme="minorEastAsia"/>
                <w:color w:val="auto"/>
                <w:szCs w:val="21"/>
                <w:highlight w:val="none"/>
              </w:rPr>
              <w:t>①内容全面详细、制定合理的得2分；②方案针对性强的得2分；以上各项存在不足有待改进的对应项得1分；最多得4分，未提供相关内容不得分。</w:t>
            </w:r>
          </w:p>
        </w:tc>
      </w:tr>
      <w:tr w14:paraId="035A8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91" w:hRule="atLeast"/>
          <w:jc w:val="center"/>
        </w:trPr>
        <w:tc>
          <w:tcPr>
            <w:tcW w:w="5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564C884">
            <w:pPr>
              <w:widowControl/>
              <w:shd w:val="clear"/>
              <w:jc w:val="left"/>
              <w:rPr>
                <w:rFonts w:cs="仿宋" w:asciiTheme="minorEastAsia" w:hAnsiTheme="minorEastAsia" w:eastAsiaTheme="minorEastAsia"/>
                <w:color w:val="auto"/>
                <w:szCs w:val="21"/>
                <w:highlight w:val="none"/>
              </w:rPr>
            </w:pP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14:paraId="2AB9A016">
            <w:pPr>
              <w:widowControl/>
              <w:shd w:val="clear"/>
              <w:jc w:val="left"/>
              <w:rPr>
                <w:rFonts w:cs="仿宋" w:asciiTheme="minorEastAsia" w:hAnsiTheme="minorEastAsia" w:eastAsiaTheme="minorEastAsia"/>
                <w:color w:val="auto"/>
                <w:szCs w:val="21"/>
                <w:highlight w:val="none"/>
              </w:rPr>
            </w:pPr>
            <w:r>
              <w:rPr>
                <w:rFonts w:cs="仿宋" w:asciiTheme="minorEastAsia" w:hAnsiTheme="minorEastAsia" w:eastAsiaTheme="minorEastAsia"/>
                <w:color w:val="auto"/>
                <w:szCs w:val="21"/>
                <w:highlight w:val="none"/>
              </w:rPr>
              <w:t>三、</w:t>
            </w:r>
            <w:r>
              <w:rPr>
                <w:rFonts w:hint="eastAsia" w:cs="仿宋" w:asciiTheme="minorEastAsia" w:hAnsiTheme="minorEastAsia" w:eastAsiaTheme="minorEastAsia"/>
                <w:color w:val="auto"/>
                <w:szCs w:val="21"/>
                <w:highlight w:val="none"/>
              </w:rPr>
              <w:t>安全保障方案（2分）</w:t>
            </w:r>
          </w:p>
        </w:tc>
        <w:tc>
          <w:tcPr>
            <w:tcW w:w="7970" w:type="dxa"/>
            <w:tcBorders>
              <w:top w:val="single" w:color="auto" w:sz="4" w:space="0"/>
              <w:left w:val="single" w:color="auto" w:sz="4" w:space="0"/>
              <w:bottom w:val="single" w:color="auto" w:sz="4" w:space="0"/>
              <w:right w:val="single" w:color="auto" w:sz="4" w:space="0"/>
            </w:tcBorders>
            <w:shd w:val="clear" w:color="auto" w:fill="auto"/>
          </w:tcPr>
          <w:p w14:paraId="0D223CEE">
            <w:pPr>
              <w:shd w:val="clear"/>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根据投标人提供的针对本项目的</w:t>
            </w:r>
            <w:bookmarkStart w:id="492" w:name="OLE_LINK47"/>
            <w:bookmarkStart w:id="493" w:name="OLE_LINK50"/>
            <w:r>
              <w:rPr>
                <w:rFonts w:hint="eastAsia" w:cs="仿宋" w:asciiTheme="minorEastAsia" w:hAnsiTheme="minorEastAsia" w:eastAsiaTheme="minorEastAsia"/>
                <w:color w:val="auto"/>
                <w:szCs w:val="21"/>
                <w:highlight w:val="none"/>
              </w:rPr>
              <w:t>安全保障方案</w:t>
            </w:r>
            <w:bookmarkEnd w:id="492"/>
            <w:bookmarkEnd w:id="493"/>
            <w:r>
              <w:rPr>
                <w:rFonts w:hint="eastAsia" w:cs="仿宋" w:asciiTheme="minorEastAsia" w:hAnsiTheme="minorEastAsia" w:eastAsiaTheme="minorEastAsia"/>
                <w:color w:val="auto"/>
                <w:szCs w:val="21"/>
                <w:highlight w:val="none"/>
              </w:rPr>
              <w:t>进行评议：安全经营管理方案全面措施完善的得2分；以上各项存在不足有待改进的对应项得</w:t>
            </w:r>
            <w:r>
              <w:rPr>
                <w:rFonts w:cs="仿宋" w:asciiTheme="minorEastAsia" w:hAnsiTheme="minorEastAsia" w:eastAsiaTheme="minorEastAsia"/>
                <w:color w:val="auto"/>
                <w:szCs w:val="21"/>
                <w:highlight w:val="none"/>
              </w:rPr>
              <w:t>1</w:t>
            </w:r>
            <w:r>
              <w:rPr>
                <w:rFonts w:hint="eastAsia" w:cs="仿宋" w:asciiTheme="minorEastAsia" w:hAnsiTheme="minorEastAsia" w:eastAsiaTheme="minorEastAsia"/>
                <w:color w:val="auto"/>
                <w:szCs w:val="21"/>
                <w:highlight w:val="none"/>
              </w:rPr>
              <w:t>分；最多得2分，未提供相关内容不得分。</w:t>
            </w:r>
          </w:p>
        </w:tc>
      </w:tr>
      <w:tr w14:paraId="5C5C0F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64" w:hRule="atLeast"/>
          <w:jc w:val="center"/>
        </w:trPr>
        <w:tc>
          <w:tcPr>
            <w:tcW w:w="5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F66AB8B">
            <w:pPr>
              <w:widowControl/>
              <w:shd w:val="clear"/>
              <w:jc w:val="left"/>
              <w:rPr>
                <w:rFonts w:cs="仿宋" w:asciiTheme="minorEastAsia" w:hAnsiTheme="minorEastAsia" w:eastAsiaTheme="minorEastAsia"/>
                <w:color w:val="auto"/>
                <w:szCs w:val="21"/>
                <w:highlight w:val="none"/>
              </w:rPr>
            </w:pP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14:paraId="747D1765">
            <w:pPr>
              <w:widowControl/>
              <w:shd w:val="clear"/>
              <w:jc w:val="left"/>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四、应急保障方案（4分）</w:t>
            </w:r>
          </w:p>
        </w:tc>
        <w:tc>
          <w:tcPr>
            <w:tcW w:w="7970" w:type="dxa"/>
            <w:tcBorders>
              <w:top w:val="single" w:color="auto" w:sz="4" w:space="0"/>
              <w:left w:val="single" w:color="auto" w:sz="4" w:space="0"/>
              <w:bottom w:val="single" w:color="auto" w:sz="4" w:space="0"/>
              <w:right w:val="single" w:color="auto" w:sz="4" w:space="0"/>
            </w:tcBorders>
            <w:shd w:val="clear" w:color="auto" w:fill="auto"/>
          </w:tcPr>
          <w:p w14:paraId="4690A7AB">
            <w:pPr>
              <w:shd w:val="clear"/>
              <w:rPr>
                <w:rFonts w:cs="仿宋" w:asciiTheme="minorEastAsia" w:hAnsiTheme="minorEastAsia" w:eastAsiaTheme="minorEastAsia"/>
                <w:color w:val="auto"/>
                <w:szCs w:val="21"/>
                <w:highlight w:val="none"/>
              </w:rPr>
            </w:pPr>
            <w:bookmarkStart w:id="494" w:name="OLE_LINK20"/>
            <w:bookmarkStart w:id="495" w:name="OLE_LINK19"/>
            <w:bookmarkStart w:id="496" w:name="OLE_LINK21"/>
            <w:r>
              <w:rPr>
                <w:rFonts w:hint="eastAsia" w:cs="仿宋" w:asciiTheme="minorEastAsia" w:hAnsiTheme="minorEastAsia" w:eastAsiaTheme="minorEastAsia"/>
                <w:color w:val="auto"/>
                <w:szCs w:val="21"/>
                <w:highlight w:val="none"/>
              </w:rPr>
              <w:t>根据投标人提供的针对本项目的</w:t>
            </w:r>
            <w:bookmarkStart w:id="497" w:name="OLE_LINK40"/>
            <w:bookmarkStart w:id="498" w:name="OLE_LINK44"/>
            <w:r>
              <w:rPr>
                <w:rFonts w:hint="eastAsia" w:cs="仿宋" w:asciiTheme="minorEastAsia" w:hAnsiTheme="minorEastAsia" w:eastAsiaTheme="minorEastAsia"/>
                <w:color w:val="auto"/>
                <w:szCs w:val="21"/>
                <w:highlight w:val="none"/>
              </w:rPr>
              <w:t>应急保障方案</w:t>
            </w:r>
            <w:bookmarkEnd w:id="497"/>
            <w:bookmarkEnd w:id="498"/>
            <w:r>
              <w:rPr>
                <w:rFonts w:hint="eastAsia" w:cs="仿宋" w:asciiTheme="minorEastAsia" w:hAnsiTheme="minorEastAsia" w:eastAsiaTheme="minorEastAsia"/>
                <w:color w:val="auto"/>
                <w:szCs w:val="21"/>
                <w:highlight w:val="none"/>
              </w:rPr>
              <w:t>进行评议：①应急响应方案响应及时；②应急响应措施完善的得2分；以上各项存在不足有待改进的对应项得</w:t>
            </w:r>
            <w:r>
              <w:rPr>
                <w:rFonts w:cs="仿宋" w:asciiTheme="minorEastAsia" w:hAnsiTheme="minorEastAsia" w:eastAsiaTheme="minorEastAsia"/>
                <w:color w:val="auto"/>
                <w:szCs w:val="21"/>
                <w:highlight w:val="none"/>
              </w:rPr>
              <w:t>1</w:t>
            </w:r>
            <w:r>
              <w:rPr>
                <w:rFonts w:hint="eastAsia" w:cs="仿宋" w:asciiTheme="minorEastAsia" w:hAnsiTheme="minorEastAsia" w:eastAsiaTheme="minorEastAsia"/>
                <w:color w:val="auto"/>
                <w:szCs w:val="21"/>
                <w:highlight w:val="none"/>
              </w:rPr>
              <w:t>分；</w:t>
            </w:r>
            <w:bookmarkStart w:id="499" w:name="OLE_LINK145"/>
            <w:bookmarkStart w:id="500" w:name="OLE_LINK144"/>
            <w:r>
              <w:rPr>
                <w:rFonts w:hint="eastAsia" w:cs="仿宋" w:asciiTheme="minorEastAsia" w:hAnsiTheme="minorEastAsia" w:eastAsiaTheme="minorEastAsia"/>
                <w:color w:val="auto"/>
                <w:szCs w:val="21"/>
                <w:highlight w:val="none"/>
              </w:rPr>
              <w:t>最多得</w:t>
            </w:r>
            <w:r>
              <w:rPr>
                <w:rFonts w:cs="仿宋" w:asciiTheme="minorEastAsia" w:hAnsiTheme="minorEastAsia" w:eastAsiaTheme="minorEastAsia"/>
                <w:color w:val="auto"/>
                <w:szCs w:val="21"/>
                <w:highlight w:val="none"/>
              </w:rPr>
              <w:t>4</w:t>
            </w:r>
            <w:r>
              <w:rPr>
                <w:rFonts w:hint="eastAsia" w:cs="仿宋" w:asciiTheme="minorEastAsia" w:hAnsiTheme="minorEastAsia" w:eastAsiaTheme="minorEastAsia"/>
                <w:color w:val="auto"/>
                <w:szCs w:val="21"/>
                <w:highlight w:val="none"/>
              </w:rPr>
              <w:t>分，未提供相关内容不得分。</w:t>
            </w:r>
            <w:bookmarkEnd w:id="494"/>
            <w:bookmarkEnd w:id="495"/>
            <w:bookmarkEnd w:id="496"/>
            <w:bookmarkEnd w:id="499"/>
            <w:bookmarkEnd w:id="500"/>
          </w:p>
        </w:tc>
      </w:tr>
      <w:tr w14:paraId="41E7B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2" w:hRule="atLeast"/>
          <w:jc w:val="center"/>
        </w:trPr>
        <w:tc>
          <w:tcPr>
            <w:tcW w:w="5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2AC5724B">
            <w:pPr>
              <w:widowControl/>
              <w:shd w:val="clear"/>
              <w:jc w:val="left"/>
              <w:rPr>
                <w:rFonts w:cs="仿宋" w:asciiTheme="minorEastAsia" w:hAnsiTheme="minorEastAsia" w:eastAsiaTheme="minorEastAsia"/>
                <w:color w:val="auto"/>
                <w:szCs w:val="21"/>
                <w:highlight w:val="none"/>
              </w:rPr>
            </w:pPr>
          </w:p>
        </w:tc>
        <w:tc>
          <w:tcPr>
            <w:tcW w:w="127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7185AFC">
            <w:pPr>
              <w:shd w:val="clear"/>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五、人员配置</w:t>
            </w:r>
          </w:p>
          <w:p w14:paraId="6B7C12FF">
            <w:pPr>
              <w:shd w:val="clear"/>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（6分）</w:t>
            </w:r>
          </w:p>
        </w:tc>
        <w:tc>
          <w:tcPr>
            <w:tcW w:w="7970" w:type="dxa"/>
            <w:tcBorders>
              <w:top w:val="single" w:color="auto" w:sz="4" w:space="0"/>
              <w:left w:val="single" w:color="auto" w:sz="4" w:space="0"/>
              <w:bottom w:val="single" w:color="auto" w:sz="4" w:space="0"/>
              <w:right w:val="single" w:color="auto" w:sz="4" w:space="0"/>
            </w:tcBorders>
            <w:shd w:val="clear" w:color="auto" w:fill="auto"/>
            <w:vAlign w:val="center"/>
          </w:tcPr>
          <w:p w14:paraId="05696DF8">
            <w:pPr>
              <w:shd w:val="clear"/>
              <w:snapToGrid w:val="0"/>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1、根据投标人拟派本项目运营管理团队人员配备进行评议：</w:t>
            </w:r>
            <w:bookmarkStart w:id="501" w:name="OLE_LINK86"/>
            <w:bookmarkStart w:id="502" w:name="OLE_LINK85"/>
            <w:r>
              <w:rPr>
                <w:rFonts w:hint="eastAsia" w:cs="仿宋" w:asciiTheme="minorEastAsia" w:hAnsiTheme="minorEastAsia" w:eastAsiaTheme="minorEastAsia"/>
                <w:color w:val="auto"/>
                <w:szCs w:val="21"/>
                <w:highlight w:val="none"/>
              </w:rPr>
              <w:t>①拟派</w:t>
            </w:r>
            <w:bookmarkStart w:id="503" w:name="OLE_LINK79"/>
            <w:bookmarkStart w:id="504" w:name="OLE_LINK80"/>
            <w:bookmarkStart w:id="505" w:name="OLE_LINK84"/>
            <w:bookmarkStart w:id="506" w:name="OLE_LINK83"/>
            <w:r>
              <w:rPr>
                <w:rFonts w:hint="eastAsia" w:cs="仿宋" w:asciiTheme="minorEastAsia" w:hAnsiTheme="minorEastAsia" w:eastAsiaTheme="minorEastAsia"/>
                <w:color w:val="auto"/>
                <w:szCs w:val="21"/>
                <w:highlight w:val="none"/>
              </w:rPr>
              <w:t>团队人员</w:t>
            </w:r>
            <w:bookmarkEnd w:id="503"/>
            <w:bookmarkEnd w:id="504"/>
            <w:bookmarkEnd w:id="505"/>
            <w:bookmarkEnd w:id="506"/>
            <w:r>
              <w:rPr>
                <w:rFonts w:hint="eastAsia" w:cs="仿宋" w:asciiTheme="minorEastAsia" w:hAnsiTheme="minorEastAsia" w:eastAsiaTheme="minorEastAsia"/>
                <w:color w:val="auto"/>
                <w:szCs w:val="21"/>
                <w:highlight w:val="none"/>
              </w:rPr>
              <w:t>分工明确的得1分；②职责清晰的得1分；③工作经验丰富的得1分；工作内容分配合理的得1分；以上内容有所欠缺的对应项得0.5分；最多得3分，未提供相关内容不得分。</w:t>
            </w:r>
            <w:bookmarkEnd w:id="501"/>
            <w:bookmarkEnd w:id="502"/>
          </w:p>
        </w:tc>
      </w:tr>
      <w:tr w14:paraId="2F24D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0" w:hRule="atLeast"/>
          <w:jc w:val="center"/>
        </w:trPr>
        <w:tc>
          <w:tcPr>
            <w:tcW w:w="5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A7E39A1">
            <w:pPr>
              <w:widowControl/>
              <w:shd w:val="clear"/>
              <w:jc w:val="left"/>
              <w:rPr>
                <w:rFonts w:cs="仿宋" w:asciiTheme="minorEastAsia" w:hAnsiTheme="minorEastAsia" w:eastAsiaTheme="minorEastAsia"/>
                <w:color w:val="auto"/>
                <w:szCs w:val="21"/>
                <w:highlight w:val="none"/>
              </w:rPr>
            </w:pPr>
            <w:bookmarkStart w:id="507" w:name="_Hlk191392881" w:colFirst="2" w:colLast="2"/>
          </w:p>
        </w:tc>
        <w:tc>
          <w:tcPr>
            <w:tcW w:w="127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42CA34B">
            <w:pPr>
              <w:widowControl/>
              <w:shd w:val="clear"/>
              <w:jc w:val="left"/>
              <w:rPr>
                <w:rFonts w:cs="仿宋" w:asciiTheme="minorEastAsia" w:hAnsiTheme="minorEastAsia" w:eastAsiaTheme="minorEastAsia"/>
                <w:color w:val="auto"/>
                <w:szCs w:val="21"/>
                <w:highlight w:val="none"/>
              </w:rPr>
            </w:pPr>
          </w:p>
        </w:tc>
        <w:tc>
          <w:tcPr>
            <w:tcW w:w="7970" w:type="dxa"/>
            <w:tcBorders>
              <w:top w:val="single" w:color="auto" w:sz="4" w:space="0"/>
              <w:left w:val="single" w:color="auto" w:sz="4" w:space="0"/>
              <w:bottom w:val="single" w:color="auto" w:sz="4" w:space="0"/>
              <w:right w:val="single" w:color="auto" w:sz="4" w:space="0"/>
            </w:tcBorders>
            <w:shd w:val="clear" w:color="auto" w:fill="auto"/>
            <w:vAlign w:val="center"/>
          </w:tcPr>
          <w:p w14:paraId="7ED68C12">
            <w:pPr>
              <w:shd w:val="clear"/>
              <w:adjustRightInd w:val="0"/>
              <w:spacing w:beforeLines="20" w:afterLines="20"/>
              <w:rPr>
                <w:rFonts w:cs="仿宋" w:asciiTheme="minorEastAsia" w:hAnsiTheme="minorEastAsia" w:eastAsiaTheme="minorEastAsia"/>
                <w:color w:val="auto"/>
                <w:szCs w:val="21"/>
                <w:highlight w:val="none"/>
              </w:rPr>
            </w:pPr>
            <w:bookmarkStart w:id="508" w:name="OLE_LINK5"/>
            <w:bookmarkStart w:id="509" w:name="OLE_LINK180"/>
            <w:bookmarkStart w:id="510" w:name="OLE_LINK181"/>
            <w:r>
              <w:rPr>
                <w:rFonts w:hint="eastAsia" w:cs="仿宋" w:asciiTheme="minorEastAsia" w:hAnsiTheme="minorEastAsia" w:eastAsiaTheme="minorEastAsia"/>
                <w:color w:val="auto"/>
                <w:szCs w:val="21"/>
                <w:highlight w:val="none"/>
              </w:rPr>
              <w:t>2、根据投标人拟派本项目</w:t>
            </w:r>
            <w:bookmarkEnd w:id="508"/>
            <w:r>
              <w:rPr>
                <w:rFonts w:hint="eastAsia" w:cs="仿宋" w:asciiTheme="minorEastAsia" w:hAnsiTheme="minorEastAsia" w:eastAsiaTheme="minorEastAsia"/>
                <w:color w:val="auto"/>
                <w:szCs w:val="21"/>
                <w:highlight w:val="none"/>
              </w:rPr>
              <w:t>安全管理和环境管理团队人员配备进行评议：①拟派团队人员分工明确的得1分；②职责清晰的得1分；③工作经验丰富的得1分；工作内容分配合理的得1分；以上内容有所欠缺的对应项得0.5分；最多得3分，未提供相关内容不得分。</w:t>
            </w:r>
            <w:bookmarkEnd w:id="509"/>
            <w:bookmarkEnd w:id="510"/>
          </w:p>
        </w:tc>
      </w:tr>
      <w:bookmarkEnd w:id="507"/>
      <w:tr w14:paraId="08597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05" w:hRule="atLeast"/>
          <w:jc w:val="center"/>
        </w:trPr>
        <w:tc>
          <w:tcPr>
            <w:tcW w:w="5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660FD52">
            <w:pPr>
              <w:widowControl/>
              <w:shd w:val="clear"/>
              <w:jc w:val="left"/>
              <w:rPr>
                <w:rFonts w:cs="仿宋" w:asciiTheme="minorEastAsia" w:hAnsiTheme="minorEastAsia" w:eastAsiaTheme="minorEastAsia"/>
                <w:color w:val="auto"/>
                <w:szCs w:val="21"/>
                <w:highlight w:val="none"/>
              </w:rPr>
            </w:pP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14:paraId="5B4965EA">
            <w:pPr>
              <w:shd w:val="clear"/>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六、证书</w:t>
            </w:r>
          </w:p>
          <w:p w14:paraId="2389BE42">
            <w:pPr>
              <w:shd w:val="clear"/>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（3分）</w:t>
            </w:r>
          </w:p>
        </w:tc>
        <w:tc>
          <w:tcPr>
            <w:tcW w:w="7970" w:type="dxa"/>
            <w:tcBorders>
              <w:top w:val="single" w:color="auto" w:sz="4" w:space="0"/>
              <w:left w:val="single" w:color="auto" w:sz="4" w:space="0"/>
              <w:bottom w:val="single" w:color="auto" w:sz="4" w:space="0"/>
              <w:right w:val="single" w:color="auto" w:sz="4" w:space="0"/>
            </w:tcBorders>
            <w:shd w:val="clear" w:color="auto" w:fill="auto"/>
            <w:vAlign w:val="center"/>
          </w:tcPr>
          <w:p w14:paraId="6ED4ADD2">
            <w:pPr>
              <w:shd w:val="clear"/>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投标人具有质量管理体系、环境管理体系、职业健康安全管理体系每提供一个证书得1分，最多得3分。</w:t>
            </w:r>
          </w:p>
          <w:p w14:paraId="2C3F36EF">
            <w:pPr>
              <w:shd w:val="clear"/>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注：投标文件中提供中国国家认证认可监督管理委员会网上查询截图和证书扫描件，</w:t>
            </w:r>
            <w:bookmarkStart w:id="511" w:name="OLE_LINK6"/>
            <w:bookmarkStart w:id="512" w:name="OLE_LINK7"/>
            <w:r>
              <w:rPr>
                <w:rFonts w:hint="eastAsia" w:cs="仿宋" w:asciiTheme="minorEastAsia" w:hAnsiTheme="minorEastAsia" w:eastAsiaTheme="minorEastAsia"/>
                <w:color w:val="auto"/>
                <w:szCs w:val="21"/>
                <w:highlight w:val="none"/>
              </w:rPr>
              <w:t>未提供或提供不全的不得分。</w:t>
            </w:r>
            <w:bookmarkEnd w:id="511"/>
            <w:bookmarkEnd w:id="512"/>
          </w:p>
        </w:tc>
      </w:tr>
      <w:tr w14:paraId="4247B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18" w:hRule="atLeast"/>
          <w:jc w:val="center"/>
        </w:trPr>
        <w:tc>
          <w:tcPr>
            <w:tcW w:w="5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ED8EED0">
            <w:pPr>
              <w:widowControl/>
              <w:shd w:val="clear"/>
              <w:jc w:val="left"/>
              <w:rPr>
                <w:rFonts w:cs="仿宋" w:asciiTheme="minorEastAsia" w:hAnsiTheme="minorEastAsia" w:eastAsiaTheme="minorEastAsia"/>
                <w:color w:val="auto"/>
                <w:szCs w:val="21"/>
                <w:highlight w:val="none"/>
              </w:rPr>
            </w:pP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14:paraId="087AA3AA">
            <w:pPr>
              <w:shd w:val="clear"/>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七、业绩</w:t>
            </w:r>
          </w:p>
          <w:p w14:paraId="438A4483">
            <w:pPr>
              <w:shd w:val="clear"/>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（2分）</w:t>
            </w:r>
          </w:p>
        </w:tc>
        <w:tc>
          <w:tcPr>
            <w:tcW w:w="7970" w:type="dxa"/>
            <w:tcBorders>
              <w:top w:val="single" w:color="auto" w:sz="4" w:space="0"/>
              <w:left w:val="single" w:color="auto" w:sz="4" w:space="0"/>
              <w:bottom w:val="single" w:color="auto" w:sz="4" w:space="0"/>
              <w:right w:val="single" w:color="auto" w:sz="4" w:space="0"/>
            </w:tcBorders>
            <w:shd w:val="clear" w:color="auto" w:fill="auto"/>
            <w:vAlign w:val="center"/>
          </w:tcPr>
          <w:p w14:paraId="4525A16A">
            <w:pPr>
              <w:shd w:val="clear"/>
              <w:snapToGrid w:val="0"/>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投标人具有同类产业园区运营项目或办公运营项目业绩的得2分。</w:t>
            </w:r>
          </w:p>
          <w:p w14:paraId="1922A450">
            <w:pPr>
              <w:shd w:val="clear"/>
              <w:snapToGrid w:val="0"/>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（投标文件中提供合同及财务流水/发票复印件证明材料，未提供或提供不全的不得分。）</w:t>
            </w:r>
          </w:p>
        </w:tc>
      </w:tr>
      <w:tr w14:paraId="4911D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 w:hRule="atLeast"/>
          <w:jc w:val="center"/>
        </w:trPr>
        <w:tc>
          <w:tcPr>
            <w:tcW w:w="5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FA64399">
            <w:pPr>
              <w:widowControl/>
              <w:shd w:val="clear"/>
              <w:jc w:val="left"/>
              <w:rPr>
                <w:rFonts w:cs="仿宋" w:asciiTheme="minorEastAsia" w:hAnsiTheme="minorEastAsia" w:eastAsiaTheme="minorEastAsia"/>
                <w:color w:val="auto"/>
                <w:szCs w:val="21"/>
                <w:highlight w:val="none"/>
              </w:rPr>
            </w:pPr>
          </w:p>
        </w:tc>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14:paraId="467E4330">
            <w:pPr>
              <w:shd w:val="clear"/>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八、政策加分（1分）</w:t>
            </w:r>
          </w:p>
        </w:tc>
        <w:tc>
          <w:tcPr>
            <w:tcW w:w="7970" w:type="dxa"/>
            <w:tcBorders>
              <w:top w:val="single" w:color="auto" w:sz="4" w:space="0"/>
              <w:left w:val="single" w:color="auto" w:sz="4" w:space="0"/>
              <w:bottom w:val="single" w:color="auto" w:sz="4" w:space="0"/>
              <w:right w:val="single" w:color="auto" w:sz="4" w:space="0"/>
            </w:tcBorders>
            <w:shd w:val="clear" w:color="auto" w:fill="auto"/>
            <w:vAlign w:val="center"/>
          </w:tcPr>
          <w:p w14:paraId="61E5B270">
            <w:pPr>
              <w:shd w:val="clear"/>
              <w:snapToGrid w:val="0"/>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投标人是国家认定的少数民族地区企业的加1分。</w:t>
            </w:r>
          </w:p>
        </w:tc>
      </w:tr>
      <w:tr w14:paraId="57D57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186" w:hRule="atLeast"/>
          <w:jc w:val="center"/>
        </w:trPr>
        <w:tc>
          <w:tcPr>
            <w:tcW w:w="187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70E69DD">
            <w:pPr>
              <w:shd w:val="clear"/>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报价20分</w:t>
            </w:r>
          </w:p>
          <w:p w14:paraId="708A4344">
            <w:pPr>
              <w:shd w:val="clear"/>
              <w:rPr>
                <w:rFonts w:cs="仿宋" w:asciiTheme="minorEastAsia" w:hAnsiTheme="minorEastAsia" w:eastAsiaTheme="minorEastAsia"/>
                <w:color w:val="auto"/>
                <w:szCs w:val="21"/>
                <w:highlight w:val="none"/>
              </w:rPr>
            </w:pPr>
          </w:p>
        </w:tc>
        <w:tc>
          <w:tcPr>
            <w:tcW w:w="7970" w:type="dxa"/>
            <w:tcBorders>
              <w:top w:val="single" w:color="auto" w:sz="4" w:space="0"/>
              <w:left w:val="single" w:color="auto" w:sz="4" w:space="0"/>
              <w:bottom w:val="single" w:color="auto" w:sz="4" w:space="0"/>
              <w:right w:val="single" w:color="auto" w:sz="4" w:space="0"/>
            </w:tcBorders>
            <w:shd w:val="clear" w:color="auto" w:fill="auto"/>
            <w:vAlign w:val="center"/>
          </w:tcPr>
          <w:p w14:paraId="29C5EA18">
            <w:pPr>
              <w:shd w:val="clear"/>
              <w:rPr>
                <w:rFonts w:cs="仿宋" w:asciiTheme="minorEastAsia" w:hAnsiTheme="minorEastAsia" w:eastAsiaTheme="minorEastAsia"/>
                <w:color w:val="auto"/>
                <w:szCs w:val="21"/>
                <w:highlight w:val="none"/>
              </w:rPr>
            </w:pPr>
            <w:bookmarkStart w:id="513" w:name="OLE_LINK43"/>
            <w:bookmarkStart w:id="514" w:name="OLE_LINK42"/>
            <w:bookmarkStart w:id="515" w:name="OLE_LINK46"/>
            <w:bookmarkStart w:id="516" w:name="OLE_LINK45"/>
            <w:r>
              <w:rPr>
                <w:rFonts w:hint="eastAsia" w:cs="仿宋" w:asciiTheme="minorEastAsia" w:hAnsiTheme="minorEastAsia" w:eastAsiaTheme="minorEastAsia"/>
                <w:color w:val="auto"/>
                <w:szCs w:val="21"/>
                <w:highlight w:val="none"/>
              </w:rPr>
              <w:t>1、</w:t>
            </w:r>
            <w:bookmarkStart w:id="517" w:name="OLE_LINK67"/>
            <w:bookmarkStart w:id="518" w:name="OLE_LINK68"/>
            <w:r>
              <w:rPr>
                <w:rFonts w:hint="eastAsia" w:cs="仿宋" w:asciiTheme="minorEastAsia" w:hAnsiTheme="minorEastAsia" w:eastAsiaTheme="minorEastAsia"/>
                <w:color w:val="auto"/>
                <w:szCs w:val="21"/>
                <w:highlight w:val="none"/>
              </w:rPr>
              <w:t>年度运营管理服务</w:t>
            </w:r>
            <w:bookmarkEnd w:id="517"/>
            <w:bookmarkEnd w:id="518"/>
            <w:r>
              <w:rPr>
                <w:rFonts w:hint="eastAsia" w:cs="仿宋" w:asciiTheme="minorEastAsia" w:hAnsiTheme="minorEastAsia" w:eastAsiaTheme="minorEastAsia"/>
                <w:color w:val="auto"/>
                <w:szCs w:val="21"/>
                <w:highlight w:val="none"/>
              </w:rPr>
              <w:t>（10 分）</w:t>
            </w:r>
            <w:bookmarkEnd w:id="513"/>
            <w:bookmarkEnd w:id="514"/>
          </w:p>
          <w:p w14:paraId="6AD364CA">
            <w:pPr>
              <w:shd w:val="clear"/>
              <w:snapToGrid w:val="0"/>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满足采购文件要求且参与评审价格最低为评标基准价，其价格分为满分，其余供应商的价格分以下列公式计算：</w:t>
            </w:r>
          </w:p>
          <w:p w14:paraId="64CF89E4">
            <w:pPr>
              <w:shd w:val="clear"/>
              <w:snapToGrid w:val="0"/>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投标报价得分=（评标基准价/参与评审的价格）×价格权值×100</w:t>
            </w:r>
          </w:p>
          <w:p w14:paraId="2F4C73D5">
            <w:pPr>
              <w:shd w:val="clear"/>
              <w:snapToGrid w:val="0"/>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参与评审价格=投标价格×（1-价格折扣率）</w:t>
            </w:r>
          </w:p>
          <w:p w14:paraId="7BD3449E">
            <w:pPr>
              <w:shd w:val="clear"/>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2、</w:t>
            </w:r>
            <w:bookmarkStart w:id="519" w:name="OLE_LINK71"/>
            <w:bookmarkStart w:id="520" w:name="OLE_LINK73"/>
            <w:r>
              <w:rPr>
                <w:rFonts w:hint="eastAsia" w:cs="仿宋" w:asciiTheme="minorEastAsia" w:hAnsiTheme="minorEastAsia" w:eastAsiaTheme="minorEastAsia"/>
                <w:color w:val="auto"/>
                <w:szCs w:val="21"/>
                <w:highlight w:val="none"/>
              </w:rPr>
              <w:t>年度安全管理及环境管理服务</w:t>
            </w:r>
            <w:bookmarkEnd w:id="519"/>
            <w:bookmarkEnd w:id="520"/>
            <w:r>
              <w:rPr>
                <w:rFonts w:hint="eastAsia" w:cs="仿宋" w:asciiTheme="minorEastAsia" w:hAnsiTheme="minorEastAsia" w:eastAsiaTheme="minorEastAsia"/>
                <w:color w:val="auto"/>
                <w:szCs w:val="21"/>
                <w:highlight w:val="none"/>
              </w:rPr>
              <w:t>（10 分）</w:t>
            </w:r>
            <w:bookmarkEnd w:id="515"/>
            <w:bookmarkEnd w:id="516"/>
          </w:p>
          <w:p w14:paraId="2103C5D3">
            <w:pPr>
              <w:shd w:val="clear"/>
              <w:snapToGrid w:val="0"/>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满足采购文件要求且参与评审价格最低为评标基准价，其价格分为满分，其余供应商的价格分以下列公式计算：</w:t>
            </w:r>
          </w:p>
          <w:p w14:paraId="32E594B1">
            <w:pPr>
              <w:shd w:val="clear"/>
              <w:snapToGrid w:val="0"/>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投标报价得分=（评标基准价/参与评审的价格）×价格权值×100</w:t>
            </w:r>
          </w:p>
          <w:p w14:paraId="53A6EDA7">
            <w:pPr>
              <w:shd w:val="clear"/>
              <w:snapToGrid w:val="0"/>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参与评审价格=投标价格×（1-价格折扣率）</w:t>
            </w:r>
          </w:p>
          <w:p w14:paraId="1E08B5A4">
            <w:pPr>
              <w:shd w:val="clear"/>
              <w:snapToGrid w:val="0"/>
              <w:rPr>
                <w:rFonts w:cs="仿宋" w:asciiTheme="minorEastAsia" w:hAnsiTheme="minorEastAsia" w:eastAsiaTheme="minorEastAsia"/>
                <w:color w:val="auto"/>
                <w:szCs w:val="21"/>
                <w:highlight w:val="none"/>
              </w:rPr>
            </w:pPr>
            <w:r>
              <w:rPr>
                <w:rFonts w:hint="eastAsia" w:asciiTheme="majorEastAsia" w:hAnsiTheme="majorEastAsia" w:eastAsiaTheme="majorEastAsia" w:cstheme="majorEastAsia"/>
                <w:bCs/>
                <w:color w:val="auto"/>
                <w:szCs w:val="21"/>
                <w:highlight w:val="none"/>
              </w:rPr>
              <w:t>报价总得分=</w:t>
            </w:r>
            <w:r>
              <w:rPr>
                <w:rFonts w:hint="eastAsia" w:cs="仿宋" w:asciiTheme="minorEastAsia" w:hAnsiTheme="minorEastAsia" w:eastAsiaTheme="minorEastAsia"/>
                <w:color w:val="auto"/>
                <w:szCs w:val="21"/>
                <w:highlight w:val="none"/>
              </w:rPr>
              <w:t>年度运营管理服务报价得分+年度安全管理及环境管理服务得分</w:t>
            </w:r>
          </w:p>
        </w:tc>
      </w:tr>
    </w:tbl>
    <w:p w14:paraId="6DD06ADF">
      <w:pPr>
        <w:widowControl/>
        <w:shd w:val="clear"/>
        <w:jc w:val="left"/>
        <w:rPr>
          <w:rFonts w:eastAsia="仿宋_GB2312"/>
          <w:color w:val="auto"/>
          <w:sz w:val="28"/>
          <w:highlight w:val="none"/>
        </w:rPr>
      </w:pPr>
    </w:p>
    <w:p w14:paraId="0DD139B7">
      <w:pPr>
        <w:shd w:val="clear"/>
        <w:snapToGrid w:val="0"/>
        <w:spacing w:line="360" w:lineRule="auto"/>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color w:val="auto"/>
          <w:sz w:val="20"/>
          <w:szCs w:val="20"/>
          <w:highlight w:val="none"/>
        </w:rPr>
        <w:t> </w:t>
      </w:r>
      <w:r>
        <w:rPr>
          <w:rFonts w:hint="eastAsia" w:cs="仿宋" w:asciiTheme="majorEastAsia" w:hAnsiTheme="majorEastAsia" w:eastAsiaTheme="majorEastAsia"/>
          <w:b/>
          <w:color w:val="auto"/>
          <w:sz w:val="24"/>
          <w:highlight w:val="none"/>
        </w:rPr>
        <w:t>备注：</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sz w:val="24"/>
          <w:highlight w:val="none"/>
        </w:rPr>
        <w:t>编制投标文件（商务技术文件部分）时，建议按此目录（序号和内容）提供评标标准相应的商务技术资料。 </w:t>
      </w:r>
    </w:p>
    <w:p w14:paraId="70EC06DC">
      <w:pPr>
        <w:shd w:val="clear"/>
        <w:snapToGrid w:val="0"/>
        <w:spacing w:line="360" w:lineRule="auto"/>
        <w:ind w:left="120" w:leftChars="57" w:firstLine="482" w:firstLineChars="150"/>
        <w:jc w:val="center"/>
        <w:rPr>
          <w:rFonts w:cs="仿宋" w:asciiTheme="majorEastAsia" w:hAnsiTheme="majorEastAsia" w:eastAsiaTheme="majorEastAsia"/>
          <w:b/>
          <w:color w:val="auto"/>
          <w:sz w:val="32"/>
          <w:highlight w:val="none"/>
        </w:rPr>
      </w:pPr>
      <w:r>
        <w:rPr>
          <w:rFonts w:hint="eastAsia" w:cs="仿宋" w:asciiTheme="majorEastAsia" w:hAnsiTheme="majorEastAsia" w:eastAsiaTheme="majorEastAsia"/>
          <w:b/>
          <w:color w:val="auto"/>
          <w:sz w:val="32"/>
          <w:highlight w:val="none"/>
        </w:rPr>
        <w:t>一、评标方法</w:t>
      </w:r>
    </w:p>
    <w:p w14:paraId="3F18502B">
      <w:pPr>
        <w:shd w:val="clear"/>
        <w:spacing w:line="360" w:lineRule="auto"/>
        <w:ind w:firstLine="472" w:firstLineChars="196"/>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b/>
          <w:color w:val="auto"/>
          <w:kern w:val="0"/>
          <w:sz w:val="24"/>
          <w:highlight w:val="none"/>
        </w:rPr>
        <w:t>1.本项目采用综合评分法。</w:t>
      </w:r>
      <w:r>
        <w:rPr>
          <w:rFonts w:hint="eastAsia" w:cs="仿宋" w:asciiTheme="majorEastAsia" w:hAnsiTheme="majorEastAsia" w:eastAsiaTheme="majorEastAsia"/>
          <w:color w:val="auto"/>
          <w:kern w:val="0"/>
          <w:sz w:val="24"/>
          <w:highlight w:val="none"/>
        </w:rPr>
        <w:t>综合评分法，是指投标文件满足招标文件全部实质性要求，且按照评审因素的量化指标评审得分最高的</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kern w:val="0"/>
          <w:sz w:val="24"/>
          <w:highlight w:val="none"/>
        </w:rPr>
        <w:t>为中标候选人的评标方法。</w:t>
      </w:r>
    </w:p>
    <w:p w14:paraId="7233F084">
      <w:pPr>
        <w:shd w:val="clear"/>
        <w:snapToGrid w:val="0"/>
        <w:spacing w:line="360" w:lineRule="auto"/>
        <w:ind w:left="120" w:leftChars="57" w:firstLine="482" w:firstLineChars="150"/>
        <w:jc w:val="center"/>
        <w:rPr>
          <w:rFonts w:cs="仿宋" w:asciiTheme="majorEastAsia" w:hAnsiTheme="majorEastAsia" w:eastAsiaTheme="majorEastAsia"/>
          <w:b/>
          <w:color w:val="auto"/>
          <w:sz w:val="32"/>
          <w:highlight w:val="none"/>
        </w:rPr>
      </w:pPr>
      <w:r>
        <w:rPr>
          <w:rFonts w:hint="eastAsia" w:cs="仿宋" w:asciiTheme="majorEastAsia" w:hAnsiTheme="majorEastAsia" w:eastAsiaTheme="majorEastAsia"/>
          <w:b/>
          <w:color w:val="auto"/>
          <w:sz w:val="32"/>
          <w:highlight w:val="none"/>
        </w:rPr>
        <w:t>二、评标标准</w:t>
      </w:r>
    </w:p>
    <w:p w14:paraId="49C872DA">
      <w:pPr>
        <w:shd w:val="clear"/>
        <w:spacing w:line="360" w:lineRule="auto"/>
        <w:ind w:firstLine="472" w:firstLineChars="196"/>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2.评标标准：</w:t>
      </w:r>
      <w:r>
        <w:rPr>
          <w:rFonts w:hint="eastAsia" w:cs="仿宋" w:asciiTheme="majorEastAsia" w:hAnsiTheme="majorEastAsia" w:eastAsiaTheme="majorEastAsia"/>
          <w:color w:val="auto"/>
          <w:kern w:val="0"/>
          <w:sz w:val="24"/>
          <w:highlight w:val="none"/>
        </w:rPr>
        <w:t>见评标办法前附表。</w:t>
      </w:r>
    </w:p>
    <w:p w14:paraId="162C75FD">
      <w:pPr>
        <w:shd w:val="clear"/>
        <w:snapToGrid w:val="0"/>
        <w:spacing w:line="360" w:lineRule="auto"/>
        <w:ind w:left="120" w:leftChars="57" w:firstLine="482" w:firstLineChars="150"/>
        <w:jc w:val="center"/>
        <w:rPr>
          <w:rFonts w:cs="仿宋" w:asciiTheme="majorEastAsia" w:hAnsiTheme="majorEastAsia" w:eastAsiaTheme="majorEastAsia"/>
          <w:b/>
          <w:color w:val="auto"/>
          <w:sz w:val="32"/>
          <w:highlight w:val="none"/>
        </w:rPr>
      </w:pPr>
      <w:r>
        <w:rPr>
          <w:rFonts w:hint="eastAsia" w:cs="仿宋" w:asciiTheme="majorEastAsia" w:hAnsiTheme="majorEastAsia" w:eastAsiaTheme="majorEastAsia"/>
          <w:b/>
          <w:color w:val="auto"/>
          <w:sz w:val="32"/>
          <w:highlight w:val="none"/>
        </w:rPr>
        <w:t>三、评标程序</w:t>
      </w:r>
    </w:p>
    <w:p w14:paraId="6609C247">
      <w:pPr>
        <w:shd w:val="clear"/>
        <w:spacing w:line="360" w:lineRule="auto"/>
        <w:ind w:firstLine="482"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b/>
          <w:color w:val="auto"/>
          <w:kern w:val="0"/>
          <w:sz w:val="24"/>
          <w:highlight w:val="none"/>
        </w:rPr>
        <w:t>3.1 符合性审查。</w:t>
      </w:r>
      <w:r>
        <w:rPr>
          <w:rFonts w:hint="eastAsia" w:cs="仿宋" w:asciiTheme="majorEastAsia" w:hAnsiTheme="majorEastAsia" w:eastAsiaTheme="majorEastAsia"/>
          <w:color w:val="auto"/>
          <w:kern w:val="0"/>
          <w:sz w:val="24"/>
          <w:highlight w:val="none"/>
        </w:rPr>
        <w:t>评标委员会应当对符合资格的</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kern w:val="0"/>
          <w:sz w:val="24"/>
          <w:highlight w:val="none"/>
        </w:rPr>
        <w:t>的投标文件进行符合性审查，以确定其是否满足招标文件的实质性要求。不满足招标文件的实质性要求的，投标无效。</w:t>
      </w:r>
    </w:p>
    <w:p w14:paraId="5FB53DF1">
      <w:pPr>
        <w:shd w:val="clear"/>
        <w:spacing w:line="360" w:lineRule="auto"/>
        <w:ind w:firstLine="482"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b/>
          <w:color w:val="auto"/>
          <w:kern w:val="0"/>
          <w:sz w:val="24"/>
          <w:highlight w:val="none"/>
        </w:rPr>
        <w:t>3.2 商务技术评审。</w:t>
      </w:r>
      <w:r>
        <w:rPr>
          <w:rFonts w:hint="eastAsia" w:cs="仿宋" w:asciiTheme="majorEastAsia" w:hAnsiTheme="majorEastAsia" w:eastAsiaTheme="majorEastAsia"/>
          <w:color w:val="auto"/>
          <w:kern w:val="0"/>
          <w:sz w:val="24"/>
          <w:highlight w:val="none"/>
        </w:rPr>
        <w:t>评标委员会应当按照招标文件中规定的评标方法和标准，对符合性审查合格的投标文件进行商务和技术评估。</w:t>
      </w:r>
    </w:p>
    <w:p w14:paraId="56F7E232">
      <w:pPr>
        <w:shd w:val="clear"/>
        <w:spacing w:line="360" w:lineRule="auto"/>
        <w:ind w:firstLine="482"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b/>
          <w:color w:val="auto"/>
          <w:kern w:val="0"/>
          <w:sz w:val="24"/>
          <w:highlight w:val="none"/>
        </w:rPr>
        <w:t>3.3 汇总商务技术得分。</w:t>
      </w:r>
      <w:r>
        <w:rPr>
          <w:rFonts w:hint="eastAsia" w:cs="仿宋" w:asciiTheme="majorEastAsia" w:hAnsiTheme="majorEastAsia" w:eastAsiaTheme="majorEastAsia"/>
          <w:color w:val="auto"/>
          <w:kern w:val="0"/>
          <w:sz w:val="24"/>
          <w:highlight w:val="none"/>
        </w:rPr>
        <w:t>评标委员会各成员应当独立对每个</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kern w:val="0"/>
          <w:sz w:val="24"/>
          <w:highlight w:val="none"/>
        </w:rPr>
        <w:t>的商务和技术文件进行评价，并汇总商务技术得分情况。</w:t>
      </w:r>
    </w:p>
    <w:p w14:paraId="5E72C197">
      <w:pPr>
        <w:shd w:val="clear"/>
        <w:spacing w:line="360" w:lineRule="auto"/>
        <w:ind w:firstLine="482" w:firstLineChars="200"/>
        <w:rPr>
          <w:rFonts w:cs="仿宋" w:asciiTheme="majorEastAsia" w:hAnsiTheme="majorEastAsia" w:eastAsiaTheme="majorEastAsia"/>
          <w:b/>
          <w:color w:val="auto"/>
          <w:kern w:val="0"/>
          <w:sz w:val="24"/>
          <w:highlight w:val="none"/>
        </w:rPr>
      </w:pPr>
      <w:r>
        <w:rPr>
          <w:rFonts w:hint="eastAsia" w:cs="仿宋" w:asciiTheme="majorEastAsia" w:hAnsiTheme="majorEastAsia" w:eastAsiaTheme="majorEastAsia"/>
          <w:b/>
          <w:color w:val="auto"/>
          <w:kern w:val="0"/>
          <w:sz w:val="24"/>
          <w:highlight w:val="none"/>
        </w:rPr>
        <w:t>3.4 报价评审。</w:t>
      </w:r>
    </w:p>
    <w:p w14:paraId="5BC058E0">
      <w:pPr>
        <w:pStyle w:val="43"/>
        <w:shd w:val="clear"/>
        <w:spacing w:before="0"/>
        <w:ind w:firstLine="480"/>
        <w:rPr>
          <w:rFonts w:cs="仿宋" w:asciiTheme="majorEastAsia" w:hAnsiTheme="majorEastAsia" w:eastAsiaTheme="majorEastAsia"/>
          <w:color w:val="auto"/>
          <w:kern w:val="0"/>
          <w:highlight w:val="none"/>
        </w:rPr>
      </w:pPr>
      <w:r>
        <w:rPr>
          <w:rFonts w:hint="eastAsia" w:cs="仿宋" w:asciiTheme="majorEastAsia" w:hAnsiTheme="majorEastAsia" w:eastAsiaTheme="majorEastAsia"/>
          <w:color w:val="auto"/>
          <w:kern w:val="0"/>
          <w:highlight w:val="none"/>
        </w:rPr>
        <w:t>3.4.1投标文件报价出现前后不一致的，按照下列规定修正：</w:t>
      </w:r>
    </w:p>
    <w:p w14:paraId="0B7B02CB">
      <w:pPr>
        <w:pStyle w:val="43"/>
        <w:shd w:val="clear"/>
        <w:spacing w:before="0"/>
        <w:ind w:firstLine="480"/>
        <w:rPr>
          <w:rFonts w:cs="仿宋" w:asciiTheme="majorEastAsia" w:hAnsiTheme="majorEastAsia" w:eastAsiaTheme="majorEastAsia"/>
          <w:color w:val="auto"/>
          <w:kern w:val="0"/>
          <w:highlight w:val="none"/>
        </w:rPr>
      </w:pPr>
      <w:r>
        <w:rPr>
          <w:rFonts w:hint="eastAsia" w:cs="仿宋" w:asciiTheme="majorEastAsia" w:hAnsiTheme="majorEastAsia" w:eastAsiaTheme="majorEastAsia"/>
          <w:color w:val="auto"/>
          <w:kern w:val="0"/>
          <w:highlight w:val="none"/>
        </w:rPr>
        <w:t>3.4.1.1电子交易平台生成的开标记录表(报价表)内容与投标文件中开标一览表(报价表)不一致的，以投标文件中开标一览表(报价表)为准；</w:t>
      </w:r>
    </w:p>
    <w:p w14:paraId="1F66ECD5">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3.4.1.2</w:t>
      </w:r>
      <w:r>
        <w:rPr>
          <w:rFonts w:hint="eastAsia" w:cs="仿宋" w:asciiTheme="majorEastAsia" w:hAnsiTheme="majorEastAsia" w:eastAsiaTheme="majorEastAsia"/>
          <w:color w:val="auto"/>
          <w:kern w:val="0"/>
          <w:highlight w:val="none"/>
        </w:rPr>
        <w:t>投标文件中开标一览表(报价表)内容与投标文件中相应内容不一致的，以开标一览表(报价表)为准；</w:t>
      </w:r>
    </w:p>
    <w:p w14:paraId="15419F50">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3.4.1.3 大写金额和小写金额不一致的，以大写金额为准;</w:t>
      </w:r>
    </w:p>
    <w:p w14:paraId="144C5048">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3.4.1.4 单价金额小数点或者百分比有明显错位的，以开标一览表的总价为准，并修改单价;</w:t>
      </w:r>
    </w:p>
    <w:p w14:paraId="12BDB09C">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3.4.1.5 总价金额与按单价汇总金额不一致的，以单价金额计算结果为准；</w:t>
      </w:r>
    </w:p>
    <w:p w14:paraId="5432EF49">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3.4.1.6同时出现两种以上不一致的，按照3.4.1规定的顺序修正。修正后的报价按照财政部第87号令 《政府采购货物和服务招标投标管理办法》第五十一条第二款的规定经</w:t>
      </w:r>
      <w:r>
        <w:rPr>
          <w:rFonts w:hint="eastAsia" w:cs="仿宋" w:asciiTheme="majorEastAsia" w:hAnsiTheme="majorEastAsia" w:eastAsiaTheme="majorEastAsia"/>
          <w:color w:val="auto"/>
          <w:kern w:val="0"/>
          <w:highlight w:val="none"/>
          <w:lang w:val="zh-CN"/>
        </w:rPr>
        <w:t>供应商</w:t>
      </w:r>
      <w:r>
        <w:rPr>
          <w:rFonts w:hint="eastAsia" w:cs="仿宋" w:asciiTheme="majorEastAsia" w:hAnsiTheme="majorEastAsia" w:eastAsiaTheme="majorEastAsia"/>
          <w:color w:val="auto"/>
          <w:kern w:val="0"/>
          <w:szCs w:val="24"/>
          <w:highlight w:val="none"/>
        </w:rPr>
        <w:t>确认后产生约束力。</w:t>
      </w:r>
    </w:p>
    <w:p w14:paraId="4E9C3812">
      <w:pPr>
        <w:shd w:val="clear"/>
        <w:snapToGrid w:val="0"/>
        <w:spacing w:line="360" w:lineRule="auto"/>
        <w:ind w:firstLine="480" w:firstLineChars="200"/>
        <w:jc w:val="left"/>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3.4.2投标文件出现不是唯一的、有选择性投标报价的，投标无效。</w:t>
      </w:r>
    </w:p>
    <w:p w14:paraId="529A2B2F">
      <w:pPr>
        <w:shd w:val="clear"/>
        <w:snapToGrid w:val="0"/>
        <w:spacing w:line="360" w:lineRule="auto"/>
        <w:ind w:firstLine="480" w:firstLineChars="200"/>
        <w:jc w:val="left"/>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3.4.3投标报价超过招标文件中规定的预算金额或者最高限价的，投标无效。</w:t>
      </w:r>
    </w:p>
    <w:p w14:paraId="12EAEAF9">
      <w:pPr>
        <w:pStyle w:val="43"/>
        <w:shd w:val="clear"/>
        <w:spacing w:before="0"/>
        <w:ind w:firstLine="480"/>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color w:val="auto"/>
          <w:kern w:val="0"/>
          <w:szCs w:val="24"/>
          <w:highlight w:val="none"/>
        </w:rPr>
        <w:t>3.4.4评标委员会认为</w:t>
      </w:r>
      <w:r>
        <w:rPr>
          <w:rFonts w:hint="eastAsia" w:cs="仿宋" w:asciiTheme="majorEastAsia" w:hAnsiTheme="majorEastAsia" w:eastAsiaTheme="majorEastAsia"/>
          <w:color w:val="auto"/>
          <w:kern w:val="0"/>
          <w:highlight w:val="none"/>
          <w:lang w:val="zh-CN"/>
        </w:rPr>
        <w:t>供应商</w:t>
      </w:r>
      <w:r>
        <w:rPr>
          <w:rFonts w:hint="eastAsia" w:cs="仿宋" w:asciiTheme="majorEastAsia" w:hAnsiTheme="majorEastAsia" w:eastAsiaTheme="majorEastAsia"/>
          <w:color w:val="auto"/>
          <w:kern w:val="0"/>
          <w:szCs w:val="24"/>
          <w:highlight w:val="none"/>
        </w:rPr>
        <w:t>的报价明显低于其他通过符合性审查</w:t>
      </w:r>
      <w:r>
        <w:rPr>
          <w:rFonts w:hint="eastAsia" w:cs="仿宋" w:asciiTheme="majorEastAsia" w:hAnsiTheme="majorEastAsia" w:eastAsiaTheme="majorEastAsia"/>
          <w:color w:val="auto"/>
          <w:kern w:val="0"/>
          <w:highlight w:val="none"/>
          <w:lang w:val="zh-CN"/>
        </w:rPr>
        <w:t>供应商</w:t>
      </w:r>
      <w:r>
        <w:rPr>
          <w:rFonts w:hint="eastAsia" w:cs="仿宋" w:asciiTheme="majorEastAsia" w:hAnsiTheme="majorEastAsia" w:eastAsiaTheme="majorEastAsia"/>
          <w:color w:val="auto"/>
          <w:kern w:val="0"/>
          <w:szCs w:val="24"/>
          <w:highlight w:val="none"/>
        </w:rPr>
        <w:t>的报价，有可能影响产品质量或者不能诚信履约的，应当要求其在30分钟内提供书面说明，必要时提交相关证明材料;</w:t>
      </w:r>
      <w:r>
        <w:rPr>
          <w:rFonts w:hint="eastAsia" w:cs="仿宋" w:asciiTheme="majorEastAsia" w:hAnsiTheme="majorEastAsia" w:eastAsiaTheme="majorEastAsia"/>
          <w:color w:val="auto"/>
          <w:kern w:val="0"/>
          <w:highlight w:val="none"/>
          <w:lang w:val="zh-CN"/>
        </w:rPr>
        <w:t>供应商</w:t>
      </w:r>
      <w:r>
        <w:rPr>
          <w:rFonts w:hint="eastAsia" w:cs="仿宋" w:asciiTheme="majorEastAsia" w:hAnsiTheme="majorEastAsia" w:eastAsiaTheme="majorEastAsia"/>
          <w:color w:val="auto"/>
          <w:kern w:val="0"/>
          <w:szCs w:val="24"/>
          <w:highlight w:val="none"/>
        </w:rPr>
        <w:t>不能证明其报价合理性的，评标委员会应当将其作为无效投标处理。</w:t>
      </w:r>
    </w:p>
    <w:p w14:paraId="67AAF68C">
      <w:pPr>
        <w:shd w:val="clear"/>
        <w:spacing w:line="360" w:lineRule="auto"/>
        <w:ind w:firstLine="482"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b/>
          <w:color w:val="auto"/>
          <w:kern w:val="0"/>
          <w:sz w:val="24"/>
          <w:highlight w:val="none"/>
        </w:rPr>
        <w:t>3.5编写评标报告。</w:t>
      </w:r>
      <w:r>
        <w:rPr>
          <w:rFonts w:hint="eastAsia" w:cs="仿宋" w:asciiTheme="majorEastAsia" w:hAnsiTheme="majorEastAsia" w:eastAsiaTheme="majorEastAsia"/>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3BD3460">
      <w:pPr>
        <w:shd w:val="clear"/>
        <w:snapToGrid w:val="0"/>
        <w:spacing w:line="360" w:lineRule="auto"/>
        <w:ind w:left="120" w:leftChars="57" w:firstLine="482" w:firstLineChars="150"/>
        <w:jc w:val="center"/>
        <w:rPr>
          <w:rFonts w:cs="仿宋" w:asciiTheme="majorEastAsia" w:hAnsiTheme="majorEastAsia" w:eastAsiaTheme="majorEastAsia"/>
          <w:b/>
          <w:color w:val="auto"/>
          <w:sz w:val="32"/>
          <w:highlight w:val="none"/>
        </w:rPr>
      </w:pPr>
      <w:r>
        <w:rPr>
          <w:rFonts w:hint="eastAsia" w:cs="仿宋" w:asciiTheme="majorEastAsia" w:hAnsiTheme="majorEastAsia" w:eastAsiaTheme="majorEastAsia"/>
          <w:b/>
          <w:color w:val="auto"/>
          <w:sz w:val="32"/>
          <w:highlight w:val="none"/>
        </w:rPr>
        <w:t>四、评标中的其他事项</w:t>
      </w:r>
    </w:p>
    <w:p w14:paraId="23A79975">
      <w:pPr>
        <w:pStyle w:val="43"/>
        <w:shd w:val="clear"/>
        <w:spacing w:before="0"/>
        <w:ind w:firstLine="482"/>
        <w:rPr>
          <w:rFonts w:cs="仿宋" w:asciiTheme="majorEastAsia" w:hAnsiTheme="majorEastAsia" w:eastAsiaTheme="majorEastAsia"/>
          <w:color w:val="auto"/>
          <w:kern w:val="0"/>
          <w:szCs w:val="24"/>
          <w:highlight w:val="none"/>
        </w:rPr>
      </w:pPr>
      <w:r>
        <w:rPr>
          <w:rFonts w:hint="eastAsia" w:cs="仿宋" w:asciiTheme="majorEastAsia" w:hAnsiTheme="majorEastAsia" w:eastAsiaTheme="majorEastAsia"/>
          <w:b/>
          <w:color w:val="auto"/>
          <w:kern w:val="0"/>
          <w:szCs w:val="24"/>
          <w:highlight w:val="none"/>
        </w:rPr>
        <w:t>4.1投标澄清、说明或者补正。</w:t>
      </w:r>
      <w:r>
        <w:rPr>
          <w:rFonts w:hint="eastAsia" w:cs="仿宋" w:asciiTheme="majorEastAsia" w:hAnsiTheme="majorEastAsia" w:eastAsiaTheme="majorEastAsia"/>
          <w:color w:val="auto"/>
          <w:kern w:val="0"/>
          <w:szCs w:val="24"/>
          <w:highlight w:val="none"/>
        </w:rPr>
        <w:t>对于投标文件中含义不明确、同类问题表述不一致或者有明显文字和计算错误的内容需要</w:t>
      </w:r>
      <w:r>
        <w:rPr>
          <w:rFonts w:hint="eastAsia" w:cs="仿宋" w:asciiTheme="majorEastAsia" w:hAnsiTheme="majorEastAsia" w:eastAsiaTheme="majorEastAsia"/>
          <w:color w:val="auto"/>
          <w:kern w:val="0"/>
          <w:highlight w:val="none"/>
          <w:lang w:val="zh-CN"/>
        </w:rPr>
        <w:t>供应商</w:t>
      </w:r>
      <w:r>
        <w:rPr>
          <w:rFonts w:hint="eastAsia" w:cs="仿宋" w:asciiTheme="majorEastAsia" w:hAnsiTheme="majorEastAsia" w:eastAsiaTheme="majorEastAsia"/>
          <w:color w:val="auto"/>
          <w:kern w:val="0"/>
          <w:szCs w:val="24"/>
          <w:highlight w:val="none"/>
        </w:rPr>
        <w:t>作出必要的澄清、说明或者补正的，评标委员会和</w:t>
      </w:r>
      <w:r>
        <w:rPr>
          <w:rFonts w:hint="eastAsia" w:cs="仿宋" w:asciiTheme="majorEastAsia" w:hAnsiTheme="majorEastAsia" w:eastAsiaTheme="majorEastAsia"/>
          <w:color w:val="auto"/>
          <w:kern w:val="0"/>
          <w:highlight w:val="none"/>
          <w:lang w:val="zh-CN"/>
        </w:rPr>
        <w:t>供应商</w:t>
      </w:r>
      <w:r>
        <w:rPr>
          <w:rFonts w:hint="eastAsia" w:cs="仿宋" w:asciiTheme="majorEastAsia" w:hAnsiTheme="majorEastAsia" w:eastAsiaTheme="majorEastAsia"/>
          <w:color w:val="auto"/>
          <w:kern w:val="0"/>
          <w:szCs w:val="24"/>
          <w:highlight w:val="none"/>
        </w:rPr>
        <w:t>通过电子交易平台交换数据电文，</w:t>
      </w:r>
      <w:r>
        <w:rPr>
          <w:rFonts w:hint="eastAsia" w:cs="仿宋" w:asciiTheme="majorEastAsia" w:hAnsiTheme="majorEastAsia" w:eastAsiaTheme="majorEastAsia"/>
          <w:color w:val="auto"/>
          <w:kern w:val="0"/>
          <w:highlight w:val="none"/>
          <w:lang w:val="zh-CN"/>
        </w:rPr>
        <w:t>供应商</w:t>
      </w:r>
      <w:r>
        <w:rPr>
          <w:rFonts w:hint="eastAsia" w:cs="仿宋" w:asciiTheme="majorEastAsia" w:hAnsiTheme="majorEastAsia" w:eastAsiaTheme="majorEastAsia"/>
          <w:color w:val="auto"/>
          <w:kern w:val="0"/>
          <w:szCs w:val="24"/>
          <w:highlight w:val="none"/>
        </w:rPr>
        <w:t>提交使用电子签名的相关数据电文或通过平台上传加盖公章的扫描件。给予</w:t>
      </w:r>
      <w:r>
        <w:rPr>
          <w:rFonts w:hint="eastAsia" w:cs="仿宋" w:asciiTheme="majorEastAsia" w:hAnsiTheme="majorEastAsia" w:eastAsiaTheme="majorEastAsia"/>
          <w:color w:val="auto"/>
          <w:kern w:val="0"/>
          <w:highlight w:val="none"/>
          <w:lang w:val="zh-CN"/>
        </w:rPr>
        <w:t>供应商</w:t>
      </w:r>
      <w:r>
        <w:rPr>
          <w:rFonts w:hint="eastAsia" w:cs="仿宋" w:asciiTheme="majorEastAsia" w:hAnsiTheme="majorEastAsia" w:eastAsiaTheme="majorEastAsia"/>
          <w:color w:val="auto"/>
          <w:kern w:val="0"/>
          <w:szCs w:val="24"/>
          <w:highlight w:val="none"/>
        </w:rPr>
        <w:t>提交澄清、说明或补正的时间不得少于半小时，</w:t>
      </w:r>
      <w:r>
        <w:rPr>
          <w:rFonts w:hint="eastAsia" w:cs="仿宋" w:asciiTheme="majorEastAsia" w:hAnsiTheme="majorEastAsia" w:eastAsiaTheme="majorEastAsia"/>
          <w:color w:val="auto"/>
          <w:kern w:val="0"/>
          <w:highlight w:val="none"/>
          <w:lang w:val="zh-CN"/>
        </w:rPr>
        <w:t>供应商</w:t>
      </w:r>
      <w:r>
        <w:rPr>
          <w:rFonts w:hint="eastAsia" w:cs="仿宋" w:asciiTheme="majorEastAsia" w:hAnsiTheme="majorEastAsia" w:eastAsiaTheme="majorEastAsia"/>
          <w:color w:val="auto"/>
          <w:kern w:val="0"/>
          <w:szCs w:val="24"/>
          <w:highlight w:val="none"/>
        </w:rPr>
        <w:t>已经明确表示澄清说明或补正完毕的除外。</w:t>
      </w:r>
      <w:r>
        <w:rPr>
          <w:rFonts w:hint="eastAsia" w:cs="仿宋" w:asciiTheme="majorEastAsia" w:hAnsiTheme="majorEastAsia" w:eastAsiaTheme="majorEastAsia"/>
          <w:color w:val="auto"/>
          <w:kern w:val="0"/>
          <w:highlight w:val="none"/>
          <w:lang w:val="zh-CN"/>
        </w:rPr>
        <w:t>供应商</w:t>
      </w:r>
      <w:r>
        <w:rPr>
          <w:rFonts w:hint="eastAsia" w:cs="仿宋" w:asciiTheme="majorEastAsia" w:hAnsiTheme="majorEastAsia" w:eastAsiaTheme="majorEastAsia"/>
          <w:color w:val="auto"/>
          <w:kern w:val="0"/>
          <w:szCs w:val="24"/>
          <w:highlight w:val="none"/>
        </w:rPr>
        <w:t>的澄清、说明或者补正不得超出投标文件的范围或者改变投标文件的实质性内容。</w:t>
      </w:r>
    </w:p>
    <w:p w14:paraId="0A52B71E">
      <w:pPr>
        <w:pStyle w:val="9"/>
        <w:shd w:val="clear"/>
        <w:spacing w:line="360" w:lineRule="auto"/>
        <w:ind w:firstLine="482"/>
        <w:rPr>
          <w:rFonts w:cs="仿宋" w:asciiTheme="majorEastAsia" w:hAnsiTheme="majorEastAsia" w:eastAsiaTheme="majorEastAsia"/>
          <w:color w:val="auto"/>
          <w:szCs w:val="21"/>
          <w:highlight w:val="none"/>
        </w:rPr>
      </w:pPr>
      <w:r>
        <w:rPr>
          <w:rFonts w:hint="eastAsia" w:cs="仿宋" w:asciiTheme="majorEastAsia" w:hAnsiTheme="majorEastAsia" w:eastAsiaTheme="majorEastAsia"/>
          <w:b/>
          <w:color w:val="auto"/>
          <w:kern w:val="0"/>
          <w:highlight w:val="none"/>
        </w:rPr>
        <w:t>4.2投标无效的情形。</w:t>
      </w:r>
    </w:p>
    <w:p w14:paraId="0D27DC7F">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4.2.1 没有响应招标文件实质性要求的投标将被视为无效投标。</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kern w:val="0"/>
          <w:sz w:val="24"/>
          <w:highlight w:val="none"/>
        </w:rPr>
        <w:t>不得通过修正或撤消不符合要求的偏离或保留从而使其投标成为实质上响应的投标，但经评标委员会认定属于</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kern w:val="0"/>
          <w:sz w:val="24"/>
          <w:highlight w:val="none"/>
        </w:rPr>
        <w:t>疏忽、笔误所造成的差错，可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kern w:val="0"/>
          <w:sz w:val="24"/>
          <w:highlight w:val="none"/>
        </w:rPr>
        <w:t>修改、补正投标文件后，不影响评标委员会对其投标文件所作的评价和评分结果。</w:t>
      </w:r>
    </w:p>
    <w:p w14:paraId="01FF7B35">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4.2.2 在电子开评标时，如发现下列情形之一的，将被视为无效投标文件：</w:t>
      </w:r>
    </w:p>
    <w:p w14:paraId="65807155">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4.2.2.1电子投标文件解密失败的；</w:t>
      </w:r>
    </w:p>
    <w:p w14:paraId="2A2FC25F">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4.2.2.2投标文件未按招标文件要求加密、签字、盖章的；（投标文件中加盖</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kern w:val="0"/>
          <w:sz w:val="24"/>
          <w:highlight w:val="none"/>
        </w:rPr>
        <w:t>公章部分均须CA签章。）</w:t>
      </w:r>
    </w:p>
    <w:p w14:paraId="6C2CBAC2">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4.2.3 在资格审查、符合性审查和商务评审时，如发现下列情形之一的，将被视为无效投标文件：</w:t>
      </w:r>
    </w:p>
    <w:p w14:paraId="07EBC44B">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4.2.3.1 资格证明文件不全的或者不符合招标文件标明的资格要求的；</w:t>
      </w:r>
    </w:p>
    <w:p w14:paraId="283199E7">
      <w:pPr>
        <w:shd w:val="clear"/>
        <w:spacing w:line="360" w:lineRule="auto"/>
        <w:ind w:firstLine="480" w:firstLineChars="200"/>
        <w:rPr>
          <w:rFonts w:cs="仿宋" w:asciiTheme="majorEastAsia" w:hAnsiTheme="majorEastAsia" w:eastAsiaTheme="majorEastAsia"/>
          <w:color w:val="auto"/>
          <w:kern w:val="0"/>
          <w:sz w:val="24"/>
          <w:highlight w:val="none"/>
        </w:rPr>
      </w:pPr>
      <w:r>
        <w:rPr>
          <w:rFonts w:cs="仿宋" w:asciiTheme="majorEastAsia" w:hAnsiTheme="majorEastAsia" w:eastAsiaTheme="majorEastAsia"/>
          <w:color w:val="auto"/>
          <w:kern w:val="0"/>
          <w:sz w:val="24"/>
          <w:highlight w:val="none"/>
        </w:rPr>
        <w:t>4.2.3.</w:t>
      </w:r>
      <w:r>
        <w:rPr>
          <w:rFonts w:hint="eastAsia" w:cs="仿宋" w:asciiTheme="majorEastAsia" w:hAnsiTheme="majorEastAsia" w:eastAsiaTheme="majorEastAsia"/>
          <w:color w:val="auto"/>
          <w:kern w:val="0"/>
          <w:sz w:val="24"/>
          <w:highlight w:val="none"/>
        </w:rPr>
        <w:t>2 允许联合体的项目联合体参加未提供联合协议；</w:t>
      </w:r>
    </w:p>
    <w:p w14:paraId="776E9253">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4.2.3.3 投标文件未按招标文件要求签署、盖章的；</w:t>
      </w:r>
    </w:p>
    <w:p w14:paraId="4DCBAD13">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4.2.3.4投标代表人未能出具身份证明或与法定代表人授权委托人身份不符的；</w:t>
      </w:r>
    </w:p>
    <w:p w14:paraId="1FD192B1">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4.2.3.5 投标文件格式不规范、项目不齐全或者内容虚假的；</w:t>
      </w:r>
    </w:p>
    <w:p w14:paraId="6B1CFF3B">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4.2.3.6投标文件的实质性内容未使用中文表述、意思表述不明确、前后矛盾或者使用计量单位不符合招标文件要求的（经评标委员会认定并允许其当场更正的笔误除外）；</w:t>
      </w:r>
    </w:p>
    <w:p w14:paraId="400FC188">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4.2.3.7 投标有效期、交货时间、质保期等商务条款不能满足招标文件要求的；</w:t>
      </w:r>
    </w:p>
    <w:p w14:paraId="0BF80DAA">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4.2.3.8 带“▲”的条款不能满足招标文件要求、未实质性响应招标文件要求或者投标文件有采购人不能接受的附加条件的；</w:t>
      </w:r>
    </w:p>
    <w:p w14:paraId="520F1EB6">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4.2.3.9单位负责人为同一人或者存在直接控股、管理关系的不同供应商参加同一合同项下的政府采购活动的；</w:t>
      </w:r>
    </w:p>
    <w:p w14:paraId="22453306">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4.2.3.10 为采购项目提供整体设计、规范编制或者项目管理、监理、检测等服务的供应商参加该采购项目的其他采购活动的；</w:t>
      </w:r>
    </w:p>
    <w:p w14:paraId="6DC65D1B">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4.2.3.11报价文件以外的投标文件中出现本项目投标报价或单价的。</w:t>
      </w:r>
    </w:p>
    <w:p w14:paraId="7065A9CC">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4.3.在技术评审时，如发现下列情形之一的，将被视为无效投标文件：</w:t>
      </w:r>
    </w:p>
    <w:p w14:paraId="62871E39">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4.3.1未提供或未如实提供投标货物的技术参数，或者投标文件标明的响应或偏离与事实不符或虚假投标的；</w:t>
      </w:r>
    </w:p>
    <w:p w14:paraId="5DC40C82">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4.3.2 明显不符合招标文件要求的规格型号、质量标准，或者与招标文件中标“▲”的技术指标、主要功能项目发生实质性偏离的；</w:t>
      </w:r>
    </w:p>
    <w:p w14:paraId="1F795C95">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4.3.3 允许偏离的技术、性能指标或辅助功能项目发生负偏离达</w:t>
      </w:r>
      <w:r>
        <w:rPr>
          <w:rFonts w:hint="eastAsia" w:cs="仿宋" w:asciiTheme="majorEastAsia" w:hAnsiTheme="majorEastAsia" w:eastAsiaTheme="majorEastAsia"/>
          <w:color w:val="auto"/>
          <w:kern w:val="0"/>
          <w:sz w:val="24"/>
          <w:highlight w:val="none"/>
          <w:u w:val="single"/>
        </w:rPr>
        <w:t>/</w:t>
      </w:r>
      <w:r>
        <w:rPr>
          <w:rFonts w:hint="eastAsia" w:cs="仿宋" w:asciiTheme="majorEastAsia" w:hAnsiTheme="majorEastAsia" w:eastAsiaTheme="majorEastAsia"/>
          <w:color w:val="auto"/>
          <w:kern w:val="0"/>
          <w:sz w:val="24"/>
          <w:highlight w:val="none"/>
        </w:rPr>
        <w:t>项（含）以上的；</w:t>
      </w:r>
    </w:p>
    <w:p w14:paraId="5995F93B">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4.3.4 投标技术方案不明确，存在一个或一个以上备选（替代）投标方案的；</w:t>
      </w:r>
    </w:p>
    <w:p w14:paraId="036F6E76">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4.3.5 与其他参加本次投标</w:t>
      </w:r>
      <w:r>
        <w:rPr>
          <w:rFonts w:hint="eastAsia" w:cs="仿宋" w:asciiTheme="majorEastAsia" w:hAnsiTheme="majorEastAsia" w:eastAsiaTheme="majorEastAsia"/>
          <w:color w:val="auto"/>
          <w:kern w:val="0"/>
          <w:sz w:val="24"/>
          <w:highlight w:val="none"/>
          <w:lang w:val="zh-CN"/>
        </w:rPr>
        <w:t>供应商</w:t>
      </w:r>
      <w:r>
        <w:rPr>
          <w:rFonts w:hint="eastAsia" w:cs="仿宋" w:asciiTheme="majorEastAsia" w:hAnsiTheme="majorEastAsia" w:eastAsiaTheme="majorEastAsia"/>
          <w:color w:val="auto"/>
          <w:kern w:val="0"/>
          <w:sz w:val="24"/>
          <w:highlight w:val="none"/>
        </w:rPr>
        <w:t>的投标文件（技术文件）的文字表述内容差错相同2处以上的；</w:t>
      </w:r>
    </w:p>
    <w:p w14:paraId="3A39D7D3">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4.4 在报价评审时，如发现下列情形之一的，投标文件将被视为无效：</w:t>
      </w:r>
    </w:p>
    <w:p w14:paraId="690C038A">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4.4.1 未采用人民币报价或者未按照招标文件标明的币种报价的；</w:t>
      </w:r>
    </w:p>
    <w:p w14:paraId="42812CA1">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4.4.2 报价超出最高限价，或者超出采购预算金额的；</w:t>
      </w:r>
    </w:p>
    <w:p w14:paraId="7C5DB4F9">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4.4.3 投标报价具有选择性的；</w:t>
      </w:r>
    </w:p>
    <w:p w14:paraId="30E8BB8B">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4.4.4 投标报价中出现缺项、漏项或被评标委员会认定为有可能影响产品质量或者不能诚信履约的且不能在合理的时间内证明其报价合理性的；</w:t>
      </w:r>
    </w:p>
    <w:p w14:paraId="3A097D0F">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4.4.5供应商对根据修正原则修正后的报价不确认的。</w:t>
      </w:r>
    </w:p>
    <w:p w14:paraId="19061085">
      <w:pPr>
        <w:shd w:val="clear"/>
        <w:spacing w:line="360" w:lineRule="auto"/>
        <w:ind w:firstLine="480" w:firstLineChars="200"/>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4.5其他无效情形：</w:t>
      </w:r>
    </w:p>
    <w:p w14:paraId="0FEAB167">
      <w:pPr>
        <w:shd w:val="clear"/>
        <w:spacing w:line="360" w:lineRule="auto"/>
        <w:ind w:firstLine="480" w:firstLineChars="200"/>
        <w:rPr>
          <w:rFonts w:ascii="宋体" w:hAnsi="宋体" w:cs="宋体"/>
          <w:color w:val="auto"/>
          <w:kern w:val="0"/>
          <w:sz w:val="24"/>
          <w:highlight w:val="none"/>
        </w:rPr>
      </w:pPr>
      <w:bookmarkStart w:id="521" w:name="OLE_LINK95"/>
      <w:r>
        <w:rPr>
          <w:rFonts w:hint="eastAsia" w:ascii="宋体" w:hAnsi="宋体" w:cs="宋体"/>
          <w:color w:val="auto"/>
          <w:kern w:val="0"/>
          <w:sz w:val="24"/>
          <w:highlight w:val="none"/>
        </w:rPr>
        <w:t>4.5.1 不同供应商的投标文件出自同一终端设备或在相同Internet主机分配地址（相同IP地址）进行网上报名、投标的；不同供应商的电子投标（响应）文件上传计算机的网卡MAC地址或硬盘序列号等硬件信息相同的；</w:t>
      </w:r>
    </w:p>
    <w:p w14:paraId="7534FFE0">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4.5.2 上传的电子投标（响应）文件若出现使用本项目其他投标（响应）供应商的数字证书加密的，或者加盖本项目其他投标（响应）供应商的电子印章的；</w:t>
      </w:r>
    </w:p>
    <w:p w14:paraId="25A6680F">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4.5.3 不同供应商的投标（响应）文件的内容存在3处（含）以上错误一致的；</w:t>
      </w:r>
    </w:p>
    <w:p w14:paraId="0F70A44A">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4.5.4 不同供应商联系人为同一人或不同联系人的联系电话一致的；</w:t>
      </w:r>
    </w:p>
    <w:p w14:paraId="5A1C8041">
      <w:pPr>
        <w:shd w:val="clear"/>
        <w:spacing w:line="360" w:lineRule="auto"/>
        <w:ind w:firstLine="480" w:firstLineChars="200"/>
        <w:rPr>
          <w:rFonts w:cs="仿宋" w:asciiTheme="majorEastAsia" w:hAnsiTheme="majorEastAsia" w:eastAsiaTheme="majorEastAsia"/>
          <w:b/>
          <w:color w:val="auto"/>
          <w:highlight w:val="none"/>
        </w:rPr>
      </w:pPr>
      <w:r>
        <w:rPr>
          <w:rFonts w:hint="eastAsia" w:ascii="宋体" w:hAnsi="宋体" w:cs="仿宋"/>
          <w:color w:val="auto"/>
          <w:kern w:val="0"/>
          <w:sz w:val="24"/>
          <w:highlight w:val="none"/>
        </w:rPr>
        <w:t>4.5.5 法律、法规、规章（适用本市的）及省级以上规范性文件（适用本市的）规定的其他无效情形。</w:t>
      </w:r>
      <w:bookmarkEnd w:id="521"/>
    </w:p>
    <w:p w14:paraId="3F7F0236">
      <w:pPr>
        <w:pStyle w:val="9"/>
        <w:shd w:val="clear"/>
        <w:snapToGrid w:val="0"/>
        <w:spacing w:line="360" w:lineRule="auto"/>
        <w:ind w:firstLine="482"/>
        <w:rPr>
          <w:rFonts w:cs="仿宋" w:asciiTheme="majorEastAsia" w:hAnsiTheme="majorEastAsia" w:eastAsiaTheme="majorEastAsia"/>
          <w:color w:val="auto"/>
          <w:highlight w:val="none"/>
        </w:rPr>
      </w:pPr>
      <w:r>
        <w:rPr>
          <w:rFonts w:hint="eastAsia" w:cs="仿宋" w:asciiTheme="majorEastAsia" w:hAnsiTheme="majorEastAsia" w:eastAsiaTheme="majorEastAsia"/>
          <w:b/>
          <w:color w:val="auto"/>
          <w:highlight w:val="none"/>
        </w:rPr>
        <w:t>5.废标。</w:t>
      </w:r>
      <w:r>
        <w:rPr>
          <w:rFonts w:hint="eastAsia" w:cs="仿宋" w:asciiTheme="majorEastAsia" w:hAnsiTheme="majorEastAsia" w:eastAsiaTheme="majorEastAsia"/>
          <w:color w:val="auto"/>
          <w:highlight w:val="none"/>
        </w:rPr>
        <w:t>根据《中华人民共和国政府采购法》第三十六条之规定，在采购中，出现下列情形之一的，应予废标：</w:t>
      </w:r>
    </w:p>
    <w:p w14:paraId="7324D7C9">
      <w:pPr>
        <w:pStyle w:val="9"/>
        <w:shd w:val="clear"/>
        <w:snapToGrid w:val="0"/>
        <w:spacing w:line="360" w:lineRule="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5.1符合专业条件的供应商或者对招标文件作实质响应的供应商不足3家的；</w:t>
      </w:r>
    </w:p>
    <w:p w14:paraId="620826F7">
      <w:pPr>
        <w:pStyle w:val="9"/>
        <w:shd w:val="clear"/>
        <w:snapToGrid w:val="0"/>
        <w:spacing w:line="360" w:lineRule="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5.2出现影响采购公正的违法、违规行为的；</w:t>
      </w:r>
    </w:p>
    <w:p w14:paraId="30CCC803">
      <w:pPr>
        <w:pStyle w:val="9"/>
        <w:shd w:val="clear"/>
        <w:snapToGrid w:val="0"/>
        <w:spacing w:line="360" w:lineRule="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5.3</w:t>
      </w:r>
      <w:r>
        <w:rPr>
          <w:rFonts w:hint="eastAsia" w:cs="仿宋" w:asciiTheme="majorEastAsia" w:hAnsiTheme="majorEastAsia" w:eastAsiaTheme="majorEastAsia"/>
          <w:color w:val="auto"/>
          <w:kern w:val="0"/>
          <w:highlight w:val="none"/>
          <w:lang w:val="zh-CN"/>
        </w:rPr>
        <w:t>供应商</w:t>
      </w:r>
      <w:r>
        <w:rPr>
          <w:rFonts w:hint="eastAsia" w:cs="仿宋" w:asciiTheme="majorEastAsia" w:hAnsiTheme="majorEastAsia" w:eastAsiaTheme="majorEastAsia"/>
          <w:color w:val="auto"/>
          <w:highlight w:val="none"/>
        </w:rPr>
        <w:t>的报价均超过了采购预算，采购人不能支付的；</w:t>
      </w:r>
    </w:p>
    <w:p w14:paraId="3401A405">
      <w:pPr>
        <w:pStyle w:val="9"/>
        <w:shd w:val="clear"/>
        <w:snapToGrid w:val="0"/>
        <w:spacing w:line="360" w:lineRule="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5.4因重大变故，采购任务取消的。</w:t>
      </w:r>
    </w:p>
    <w:p w14:paraId="093C4C0A">
      <w:pPr>
        <w:pStyle w:val="9"/>
        <w:shd w:val="clear"/>
        <w:snapToGrid w:val="0"/>
        <w:spacing w:line="360" w:lineRule="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废标后，采购代理机构应当将废标理由通知所有</w:t>
      </w:r>
      <w:r>
        <w:rPr>
          <w:rFonts w:hint="eastAsia" w:cs="仿宋" w:asciiTheme="majorEastAsia" w:hAnsiTheme="majorEastAsia" w:eastAsiaTheme="majorEastAsia"/>
          <w:color w:val="auto"/>
          <w:kern w:val="0"/>
          <w:highlight w:val="none"/>
          <w:lang w:val="zh-CN"/>
        </w:rPr>
        <w:t>供应商</w:t>
      </w:r>
      <w:r>
        <w:rPr>
          <w:rFonts w:hint="eastAsia" w:cs="仿宋" w:asciiTheme="majorEastAsia" w:hAnsiTheme="majorEastAsia" w:eastAsiaTheme="majorEastAsia"/>
          <w:color w:val="auto"/>
          <w:highlight w:val="none"/>
        </w:rPr>
        <w:t>。</w:t>
      </w:r>
    </w:p>
    <w:p w14:paraId="494E2722">
      <w:pPr>
        <w:pStyle w:val="9"/>
        <w:shd w:val="clear"/>
        <w:snapToGrid w:val="0"/>
        <w:spacing w:line="360" w:lineRule="auto"/>
        <w:ind w:firstLine="482"/>
        <w:rPr>
          <w:rFonts w:cs="仿宋" w:asciiTheme="majorEastAsia" w:hAnsiTheme="majorEastAsia" w:eastAsiaTheme="majorEastAsia"/>
          <w:color w:val="auto"/>
          <w:highlight w:val="none"/>
        </w:rPr>
      </w:pPr>
      <w:r>
        <w:rPr>
          <w:rFonts w:hint="eastAsia" w:cs="仿宋" w:asciiTheme="majorEastAsia" w:hAnsiTheme="majorEastAsia" w:eastAsiaTheme="majorEastAsia"/>
          <w:b/>
          <w:color w:val="auto"/>
          <w:highlight w:val="none"/>
        </w:rPr>
        <w:t>6.修改招标文件，重新组织采购活动。</w:t>
      </w:r>
      <w:r>
        <w:rPr>
          <w:rFonts w:hint="eastAsia" w:cs="仿宋" w:asciiTheme="majorEastAsia" w:hAnsiTheme="majorEastAsia" w:eastAsiaTheme="majorEastAsia"/>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7D61DA60">
      <w:pPr>
        <w:pStyle w:val="9"/>
        <w:shd w:val="clear"/>
        <w:adjustRightInd w:val="0"/>
        <w:snapToGrid w:val="0"/>
        <w:spacing w:line="360" w:lineRule="auto"/>
        <w:ind w:firstLine="482"/>
        <w:rPr>
          <w:rFonts w:cs="仿宋" w:asciiTheme="majorEastAsia" w:hAnsiTheme="majorEastAsia" w:eastAsiaTheme="majorEastAsia"/>
          <w:color w:val="auto"/>
          <w:highlight w:val="none"/>
        </w:rPr>
      </w:pPr>
      <w:r>
        <w:rPr>
          <w:rFonts w:hint="eastAsia" w:cs="仿宋" w:asciiTheme="majorEastAsia" w:hAnsiTheme="majorEastAsia" w:eastAsiaTheme="majorEastAsia"/>
          <w:b/>
          <w:color w:val="auto"/>
          <w:kern w:val="0"/>
          <w:highlight w:val="none"/>
        </w:rPr>
        <w:t>7.重新开展采购。</w:t>
      </w:r>
      <w:r>
        <w:rPr>
          <w:rFonts w:hint="eastAsia" w:cs="仿宋" w:asciiTheme="majorEastAsia" w:hAnsiTheme="majorEastAsia" w:eastAsiaTheme="majorEastAsia"/>
          <w:color w:val="auto"/>
          <w:highlight w:val="none"/>
        </w:rPr>
        <w:t>有政府采购法第七十一条、第七十二条规定的违法行为之一，影响或者可能影响中标、成交结果的，依照下列规定处理：</w:t>
      </w:r>
    </w:p>
    <w:p w14:paraId="5FFC1982">
      <w:pPr>
        <w:pStyle w:val="9"/>
        <w:shd w:val="clear"/>
        <w:adjustRightInd w:val="0"/>
        <w:snapToGrid w:val="0"/>
        <w:spacing w:line="360" w:lineRule="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7.1未确定中标或者中标人的，终止本次政府采购活动，重新开展政府采购活动。</w:t>
      </w:r>
    </w:p>
    <w:p w14:paraId="1F89F084">
      <w:pPr>
        <w:pStyle w:val="9"/>
        <w:shd w:val="clear"/>
        <w:adjustRightInd w:val="0"/>
        <w:snapToGrid w:val="0"/>
        <w:spacing w:line="360" w:lineRule="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7.2已确定中标或者中标人但尚未签订政府采购合同的，中标或者成交结果无效，重新开展政府采购活动。</w:t>
      </w:r>
    </w:p>
    <w:p w14:paraId="42768382">
      <w:pPr>
        <w:pStyle w:val="9"/>
        <w:shd w:val="clear"/>
        <w:adjustRightInd w:val="0"/>
        <w:snapToGrid w:val="0"/>
        <w:spacing w:line="360" w:lineRule="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7.3政府采购合同已签订但尚未履行的，撤销合同，重新开展政府采购活动。</w:t>
      </w:r>
    </w:p>
    <w:p w14:paraId="7CA40C93">
      <w:pPr>
        <w:pStyle w:val="9"/>
        <w:shd w:val="clear"/>
        <w:adjustRightInd w:val="0"/>
        <w:snapToGrid w:val="0"/>
        <w:spacing w:line="360" w:lineRule="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7.4政府采购合同已经履行，给采购人、供应商造成损失的，由责任人承担赔偿责任。</w:t>
      </w:r>
    </w:p>
    <w:p w14:paraId="2FE68AD0">
      <w:pPr>
        <w:pStyle w:val="9"/>
        <w:shd w:val="clear"/>
        <w:adjustRightInd w:val="0"/>
        <w:snapToGrid w:val="0"/>
        <w:spacing w:line="360" w:lineRule="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highlight w:val="none"/>
        </w:rPr>
        <w:t>7.5政府采购当事人有其他违反政府采购法</w:t>
      </w:r>
      <w:r>
        <w:rPr>
          <w:rFonts w:hint="eastAsia" w:cs="仿宋" w:asciiTheme="majorEastAsia" w:hAnsiTheme="majorEastAsia" w:eastAsiaTheme="majorEastAsia"/>
          <w:color w:val="auto"/>
          <w:kern w:val="0"/>
          <w:highlight w:val="none"/>
        </w:rPr>
        <w:t>或者政府采购法实施条例等法律法规规定</w:t>
      </w:r>
      <w:r>
        <w:rPr>
          <w:rFonts w:hint="eastAsia" w:cs="仿宋" w:asciiTheme="majorEastAsia" w:hAnsiTheme="majorEastAsia" w:eastAsiaTheme="majorEastAsia"/>
          <w:color w:val="auto"/>
          <w:highlight w:val="none"/>
        </w:rPr>
        <w:t>的行为，经改正后仍然影响或者可能影响中标、成交结果或者依法被认定为中标、成交无效的，依照7.1-7.4规定处理。</w:t>
      </w:r>
      <w:bookmarkEnd w:id="54"/>
      <w:bookmarkStart w:id="522" w:name="_Toc86217003"/>
      <w:bookmarkStart w:id="523" w:name="第五部分"/>
    </w:p>
    <w:p w14:paraId="63ADEE50">
      <w:pPr>
        <w:pStyle w:val="9"/>
        <w:numPr>
          <w:ilvl w:val="0"/>
          <w:numId w:val="2"/>
        </w:numPr>
        <w:shd w:val="clear"/>
        <w:adjustRightInd w:val="0"/>
        <w:snapToGrid w:val="0"/>
        <w:spacing w:line="360" w:lineRule="auto"/>
        <w:ind w:firstLine="0" w:firstLineChars="0"/>
        <w:jc w:val="center"/>
        <w:rPr>
          <w:rFonts w:cs="仿宋" w:asciiTheme="majorEastAsia" w:hAnsiTheme="majorEastAsia" w:eastAsiaTheme="majorEastAsia"/>
          <w:b/>
          <w:color w:val="auto"/>
          <w:sz w:val="36"/>
          <w:szCs w:val="36"/>
          <w:highlight w:val="none"/>
        </w:rPr>
      </w:pPr>
      <w:r>
        <w:rPr>
          <w:rFonts w:hint="eastAsia" w:cs="仿宋" w:asciiTheme="majorEastAsia" w:hAnsiTheme="majorEastAsia" w:eastAsiaTheme="majorEastAsia"/>
          <w:b/>
          <w:color w:val="auto"/>
          <w:sz w:val="36"/>
          <w:szCs w:val="36"/>
          <w:highlight w:val="none"/>
        </w:rPr>
        <w:br w:type="page"/>
      </w:r>
      <w:r>
        <w:rPr>
          <w:rFonts w:hint="eastAsia" w:cs="仿宋" w:asciiTheme="majorEastAsia" w:hAnsiTheme="majorEastAsia" w:eastAsiaTheme="majorEastAsia"/>
          <w:b/>
          <w:color w:val="auto"/>
          <w:sz w:val="36"/>
          <w:szCs w:val="36"/>
          <w:highlight w:val="none"/>
        </w:rPr>
        <w:t>拟签订的合同文本</w:t>
      </w:r>
    </w:p>
    <w:p w14:paraId="4C044604">
      <w:pPr>
        <w:shd w:val="clear"/>
        <w:spacing w:line="360" w:lineRule="auto"/>
        <w:rPr>
          <w:rFonts w:cs="仿宋" w:asciiTheme="majorEastAsia" w:hAnsiTheme="majorEastAsia" w:eastAsiaTheme="majorEastAsia"/>
          <w:color w:val="auto"/>
          <w:sz w:val="24"/>
          <w:highlight w:val="none"/>
        </w:rPr>
      </w:pPr>
    </w:p>
    <w:p w14:paraId="6AC2202E">
      <w:pPr>
        <w:pStyle w:val="9"/>
        <w:shd w:val="clear"/>
        <w:adjustRightInd w:val="0"/>
        <w:snapToGrid w:val="0"/>
        <w:spacing w:line="360" w:lineRule="auto"/>
        <w:ind w:firstLine="0" w:firstLineChars="0"/>
        <w:rPr>
          <w:rFonts w:cs="仿宋" w:asciiTheme="majorEastAsia" w:hAnsiTheme="majorEastAsia" w:eastAsiaTheme="majorEastAsia"/>
          <w:b/>
          <w:color w:val="auto"/>
          <w:sz w:val="36"/>
          <w:szCs w:val="36"/>
          <w:highlight w:val="none"/>
        </w:rPr>
      </w:pPr>
    </w:p>
    <w:p w14:paraId="03CA22A5">
      <w:pPr>
        <w:shd w:val="clear"/>
        <w:spacing w:line="360" w:lineRule="auto"/>
        <w:jc w:val="center"/>
        <w:rPr>
          <w:rFonts w:cs="仿宋" w:asciiTheme="minorEastAsia" w:hAnsiTheme="minorEastAsia" w:eastAsiaTheme="minorEastAsia"/>
          <w:b/>
          <w:color w:val="auto"/>
          <w:sz w:val="36"/>
          <w:szCs w:val="36"/>
          <w:highlight w:val="none"/>
        </w:rPr>
      </w:pPr>
      <w:r>
        <w:rPr>
          <w:rFonts w:hint="eastAsia" w:cs="仿宋" w:asciiTheme="minorEastAsia" w:hAnsiTheme="minorEastAsia" w:eastAsiaTheme="minorEastAsia"/>
          <w:b/>
          <w:color w:val="auto"/>
          <w:sz w:val="36"/>
          <w:szCs w:val="36"/>
          <w:highlight w:val="none"/>
        </w:rPr>
        <w:t>（服务类）</w:t>
      </w:r>
    </w:p>
    <w:p w14:paraId="60AA1B5F">
      <w:pPr>
        <w:pStyle w:val="44"/>
        <w:shd w:val="clear"/>
        <w:ind w:left="0" w:leftChars="0" w:firstLine="0" w:firstLineChars="0"/>
        <w:rPr>
          <w:rFonts w:cs="仿宋" w:asciiTheme="minorEastAsia" w:hAnsiTheme="minorEastAsia" w:eastAsiaTheme="minorEastAsia"/>
          <w:color w:val="auto"/>
          <w:szCs w:val="24"/>
          <w:highlight w:val="none"/>
        </w:rPr>
      </w:pPr>
    </w:p>
    <w:p w14:paraId="6327D0A1">
      <w:pPr>
        <w:pStyle w:val="44"/>
        <w:shd w:val="clear"/>
        <w:rPr>
          <w:rFonts w:cs="仿宋" w:asciiTheme="minorEastAsia" w:hAnsiTheme="minorEastAsia" w:eastAsiaTheme="minorEastAsia"/>
          <w:color w:val="auto"/>
          <w:szCs w:val="24"/>
          <w:highlight w:val="none"/>
        </w:rPr>
      </w:pPr>
    </w:p>
    <w:p w14:paraId="212C5358">
      <w:pPr>
        <w:pStyle w:val="44"/>
        <w:shd w:val="clear"/>
        <w:ind w:left="0" w:leftChars="0" w:firstLine="0" w:firstLineChars="0"/>
        <w:rPr>
          <w:rFonts w:cs="仿宋" w:asciiTheme="minorEastAsia" w:hAnsiTheme="minorEastAsia" w:eastAsiaTheme="minorEastAsia"/>
          <w:color w:val="auto"/>
          <w:szCs w:val="24"/>
          <w:highlight w:val="none"/>
        </w:rPr>
      </w:pPr>
    </w:p>
    <w:p w14:paraId="092EEC2B">
      <w:pPr>
        <w:shd w:val="clear"/>
        <w:spacing w:before="120" w:line="360" w:lineRule="auto"/>
        <w:rPr>
          <w:rFonts w:cs="仿宋" w:asciiTheme="minorEastAsia" w:hAnsiTheme="minorEastAsia" w:eastAsiaTheme="minorEastAsia"/>
          <w:color w:val="auto"/>
          <w:sz w:val="24"/>
          <w:highlight w:val="none"/>
        </w:rPr>
      </w:pPr>
    </w:p>
    <w:p w14:paraId="083307E9">
      <w:pPr>
        <w:shd w:val="clear"/>
        <w:spacing w:before="120" w:line="360" w:lineRule="auto"/>
        <w:ind w:left="960" w:firstLine="720" w:firstLineChars="3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项目名称：</w:t>
      </w:r>
      <w:r>
        <w:rPr>
          <w:rFonts w:hint="eastAsia" w:cs="仿宋" w:asciiTheme="minorEastAsia" w:hAnsiTheme="minorEastAsia" w:eastAsiaTheme="minorEastAsia"/>
          <w:color w:val="auto"/>
          <w:sz w:val="24"/>
          <w:highlight w:val="none"/>
          <w:u w:val="single"/>
        </w:rPr>
        <w:t xml:space="preserve">    宁南工业孵化基地园区综合运营管理服务项目     </w:t>
      </w:r>
    </w:p>
    <w:p w14:paraId="231DE804">
      <w:pPr>
        <w:pStyle w:val="36"/>
        <w:shd w:val="clear"/>
        <w:spacing w:before="120"/>
        <w:rPr>
          <w:rFonts w:cs="仿宋" w:asciiTheme="minorEastAsia" w:hAnsiTheme="minorEastAsia" w:eastAsiaTheme="minorEastAsia"/>
          <w:color w:val="auto"/>
          <w:szCs w:val="24"/>
          <w:highlight w:val="none"/>
        </w:rPr>
      </w:pPr>
    </w:p>
    <w:p w14:paraId="43D30E6E">
      <w:pPr>
        <w:pStyle w:val="36"/>
        <w:shd w:val="clear"/>
        <w:spacing w:before="120"/>
        <w:rPr>
          <w:rFonts w:cs="仿宋" w:asciiTheme="minorEastAsia" w:hAnsiTheme="minorEastAsia" w:eastAsiaTheme="minorEastAsia"/>
          <w:color w:val="auto"/>
          <w:szCs w:val="24"/>
          <w:highlight w:val="none"/>
        </w:rPr>
      </w:pPr>
    </w:p>
    <w:p w14:paraId="40A77846">
      <w:pPr>
        <w:shd w:val="clear"/>
        <w:spacing w:line="360" w:lineRule="auto"/>
        <w:rPr>
          <w:rFonts w:cs="仿宋" w:asciiTheme="minorEastAsia" w:hAnsiTheme="minorEastAsia" w:eastAsiaTheme="minorEastAsia"/>
          <w:color w:val="auto"/>
          <w:sz w:val="24"/>
          <w:highlight w:val="none"/>
        </w:rPr>
      </w:pPr>
    </w:p>
    <w:p w14:paraId="26792BF1">
      <w:pPr>
        <w:shd w:val="clear"/>
        <w:spacing w:before="120" w:line="600" w:lineRule="auto"/>
        <w:ind w:left="960" w:firstLine="720" w:firstLineChars="3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甲方：</w:t>
      </w:r>
    </w:p>
    <w:p w14:paraId="77824902">
      <w:pPr>
        <w:shd w:val="clear"/>
        <w:spacing w:before="120" w:line="600" w:lineRule="auto"/>
        <w:ind w:left="960" w:firstLine="720" w:firstLineChars="3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乙方：</w:t>
      </w:r>
    </w:p>
    <w:p w14:paraId="13AE81AF">
      <w:pPr>
        <w:shd w:val="clear"/>
        <w:spacing w:before="120" w:line="600" w:lineRule="auto"/>
        <w:ind w:firstLine="1680" w:firstLineChars="7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签订地：</w:t>
      </w:r>
    </w:p>
    <w:p w14:paraId="08AA151B">
      <w:pPr>
        <w:shd w:val="clear"/>
        <w:spacing w:before="120" w:line="600" w:lineRule="auto"/>
        <w:ind w:firstLine="1680" w:firstLineChars="7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签订日期：   年   月   日</w:t>
      </w:r>
    </w:p>
    <w:p w14:paraId="3CD38404">
      <w:pPr>
        <w:shd w:val="clear"/>
        <w:spacing w:line="360" w:lineRule="auto"/>
        <w:ind w:firstLine="480" w:firstLineChars="200"/>
        <w:rPr>
          <w:rFonts w:cs="仿宋" w:asciiTheme="minorEastAsia" w:hAnsiTheme="minorEastAsia" w:eastAsiaTheme="minorEastAsia"/>
          <w:color w:val="auto"/>
          <w:sz w:val="24"/>
          <w:highlight w:val="none"/>
          <w:lang w:val="zh-CN"/>
        </w:rPr>
      </w:pPr>
      <w:r>
        <w:rPr>
          <w:rFonts w:hint="eastAsia" w:cs="仿宋" w:asciiTheme="minorEastAsia" w:hAnsiTheme="minorEastAsia" w:eastAsiaTheme="minorEastAsia"/>
          <w:color w:val="auto"/>
          <w:sz w:val="24"/>
          <w:highlight w:val="none"/>
          <w:u w:val="single"/>
          <w:lang w:val="zh-CN"/>
        </w:rPr>
        <w:br w:type="page"/>
      </w:r>
      <w:r>
        <w:rPr>
          <w:rFonts w:hint="eastAsia" w:cs="仿宋" w:asciiTheme="minorEastAsia" w:hAnsiTheme="minorEastAsia" w:eastAsiaTheme="minorEastAsia"/>
          <w:color w:val="auto"/>
          <w:sz w:val="24"/>
          <w:highlight w:val="none"/>
          <w:lang w:val="zh-CN"/>
        </w:rPr>
        <w:t>年月日，</w:t>
      </w:r>
      <w:r>
        <w:rPr>
          <w:rFonts w:hint="eastAsia" w:cs="仿宋" w:asciiTheme="minorEastAsia" w:hAnsiTheme="minorEastAsia" w:eastAsiaTheme="minorEastAsia"/>
          <w:color w:val="auto"/>
          <w:sz w:val="24"/>
          <w:highlight w:val="none"/>
          <w:u w:val="single"/>
          <w:lang w:val="zh-CN"/>
        </w:rPr>
        <w:t xml:space="preserve">  宁波宁南汇诚科技发展有限公司  </w:t>
      </w:r>
      <w:r>
        <w:rPr>
          <w:rFonts w:hint="eastAsia" w:cs="仿宋" w:asciiTheme="minorEastAsia" w:hAnsiTheme="minorEastAsia" w:eastAsiaTheme="minorEastAsia"/>
          <w:color w:val="auto"/>
          <w:sz w:val="24"/>
          <w:highlight w:val="none"/>
          <w:lang w:val="zh-CN"/>
        </w:rPr>
        <w:t>以</w:t>
      </w:r>
      <w:r>
        <w:rPr>
          <w:rFonts w:hint="eastAsia" w:cs="仿宋" w:asciiTheme="minorEastAsia" w:hAnsiTheme="minorEastAsia" w:eastAsiaTheme="minorEastAsia"/>
          <w:color w:val="auto"/>
          <w:sz w:val="24"/>
          <w:highlight w:val="none"/>
          <w:u w:val="single"/>
          <w:lang w:val="zh-CN"/>
        </w:rPr>
        <w:t xml:space="preserve">  公开招标方式  </w:t>
      </w:r>
      <w:r>
        <w:rPr>
          <w:rFonts w:hint="eastAsia" w:cs="仿宋" w:asciiTheme="minorEastAsia" w:hAnsiTheme="minorEastAsia" w:eastAsiaTheme="minorEastAsia"/>
          <w:color w:val="auto"/>
          <w:sz w:val="24"/>
          <w:highlight w:val="none"/>
          <w:lang w:val="zh-CN"/>
        </w:rPr>
        <w:t>对</w:t>
      </w:r>
      <w:r>
        <w:rPr>
          <w:rFonts w:hint="eastAsia" w:cs="仿宋" w:asciiTheme="minorEastAsia" w:hAnsiTheme="minorEastAsia" w:eastAsiaTheme="minorEastAsia"/>
          <w:color w:val="auto"/>
          <w:sz w:val="24"/>
          <w:highlight w:val="none"/>
          <w:u w:val="single"/>
        </w:rPr>
        <w:t xml:space="preserve"> 宁南工业孵化基地园区综合运营管理服务项目</w:t>
      </w:r>
      <w:r>
        <w:rPr>
          <w:rFonts w:hint="eastAsia" w:cs="仿宋" w:asciiTheme="minorEastAsia" w:hAnsiTheme="minorEastAsia" w:eastAsiaTheme="minorEastAsia"/>
          <w:color w:val="auto"/>
          <w:sz w:val="24"/>
          <w:highlight w:val="none"/>
          <w:lang w:val="zh-CN"/>
        </w:rPr>
        <w:t>项目进行了采购。经</w:t>
      </w:r>
      <w:r>
        <w:rPr>
          <w:rFonts w:hint="eastAsia" w:cs="仿宋" w:asciiTheme="minorEastAsia" w:hAnsiTheme="minorEastAsia" w:eastAsiaTheme="minorEastAsia"/>
          <w:color w:val="auto"/>
          <w:sz w:val="24"/>
          <w:highlight w:val="none"/>
          <w:u w:val="single"/>
          <w:lang w:val="zh-CN"/>
        </w:rPr>
        <w:t xml:space="preserve">   （相关评定主体名称）   </w:t>
      </w:r>
      <w:r>
        <w:rPr>
          <w:rFonts w:hint="eastAsia" w:cs="仿宋" w:asciiTheme="minorEastAsia" w:hAnsiTheme="minorEastAsia" w:eastAsiaTheme="minorEastAsia"/>
          <w:color w:val="auto"/>
          <w:sz w:val="24"/>
          <w:highlight w:val="none"/>
          <w:lang w:val="zh-CN"/>
        </w:rPr>
        <w:t>评定，</w:t>
      </w:r>
      <w:r>
        <w:rPr>
          <w:rFonts w:hint="eastAsia" w:cs="仿宋" w:asciiTheme="minorEastAsia" w:hAnsiTheme="minorEastAsia" w:eastAsiaTheme="minorEastAsia"/>
          <w:color w:val="auto"/>
          <w:sz w:val="24"/>
          <w:highlight w:val="none"/>
          <w:u w:val="single"/>
          <w:lang w:val="zh-CN"/>
        </w:rPr>
        <w:t xml:space="preserve">   （中标供应商名称）</w:t>
      </w:r>
      <w:r>
        <w:rPr>
          <w:rFonts w:hint="eastAsia" w:cs="仿宋" w:asciiTheme="minorEastAsia" w:hAnsiTheme="minorEastAsia" w:eastAsiaTheme="minorEastAsia"/>
          <w:color w:val="auto"/>
          <w:sz w:val="24"/>
          <w:highlight w:val="none"/>
          <w:lang w:val="zh-CN"/>
        </w:rPr>
        <w:t>为该项目中标供应商。现于中标通知书发出之日起三十日内，按照采购文件确定的事项签订本合同。</w:t>
      </w:r>
    </w:p>
    <w:p w14:paraId="33570801">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lang w:val="zh-CN"/>
        </w:rPr>
        <w:t>根据《中华人民共和国民法典》、《中华人民共和国政府采购法》等相关法律法规之规定，按照平等、自愿、公平、诚实信用和绿色的原则，经</w:t>
      </w:r>
      <w:r>
        <w:rPr>
          <w:rFonts w:hint="eastAsia" w:cs="仿宋" w:asciiTheme="minorEastAsia" w:hAnsiTheme="minorEastAsia" w:eastAsiaTheme="minorEastAsia"/>
          <w:color w:val="auto"/>
          <w:sz w:val="24"/>
          <w:highlight w:val="none"/>
          <w:u w:val="single"/>
          <w:lang w:val="zh-CN"/>
        </w:rPr>
        <w:t>宁波宁南汇诚科技发展有限公司</w:t>
      </w:r>
      <w:r>
        <w:rPr>
          <w:rFonts w:hint="eastAsia" w:cs="仿宋" w:asciiTheme="minorEastAsia" w:hAnsiTheme="minorEastAsia" w:eastAsiaTheme="minorEastAsia"/>
          <w:color w:val="auto"/>
          <w:sz w:val="24"/>
          <w:highlight w:val="none"/>
          <w:lang w:val="zh-CN"/>
        </w:rPr>
        <w:t>(以下简称：甲方)和</w:t>
      </w:r>
      <w:r>
        <w:rPr>
          <w:rFonts w:hint="eastAsia" w:cs="仿宋" w:asciiTheme="minorEastAsia" w:hAnsiTheme="minorEastAsia" w:eastAsiaTheme="minorEastAsia"/>
          <w:color w:val="auto"/>
          <w:sz w:val="24"/>
          <w:highlight w:val="none"/>
          <w:u w:val="single"/>
        </w:rPr>
        <w:t xml:space="preserve">   （中标供应商名称）   </w:t>
      </w:r>
      <w:r>
        <w:rPr>
          <w:rFonts w:hint="eastAsia" w:cs="仿宋" w:asciiTheme="minorEastAsia" w:hAnsiTheme="minorEastAsia" w:eastAsiaTheme="minorEastAsia"/>
          <w:color w:val="auto"/>
          <w:sz w:val="24"/>
          <w:highlight w:val="none"/>
          <w:lang w:val="zh-CN"/>
        </w:rPr>
        <w:t>(以下简称：乙方)协商一致，约定以下合同</w:t>
      </w:r>
      <w:r>
        <w:rPr>
          <w:rFonts w:hint="eastAsia" w:cs="仿宋" w:asciiTheme="minorEastAsia" w:hAnsiTheme="minorEastAsia" w:eastAsiaTheme="minorEastAsia"/>
          <w:color w:val="auto"/>
          <w:sz w:val="24"/>
          <w:highlight w:val="none"/>
        </w:rPr>
        <w:t>条款，以兹共同遵守、全面履行。</w:t>
      </w:r>
    </w:p>
    <w:p w14:paraId="6359B0EB">
      <w:pPr>
        <w:shd w:val="clear"/>
        <w:adjustRightInd w:val="0"/>
        <w:spacing w:line="360" w:lineRule="auto"/>
        <w:ind w:firstLine="482" w:firstLineChars="200"/>
        <w:outlineLvl w:val="0"/>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b/>
          <w:color w:val="auto"/>
          <w:sz w:val="24"/>
          <w:highlight w:val="none"/>
        </w:rPr>
        <w:t>1 定义</w:t>
      </w:r>
    </w:p>
    <w:p w14:paraId="5385FD64">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本合同中的下列词语应按以下内容进行解释：</w:t>
      </w:r>
    </w:p>
    <w:p w14:paraId="04ACA3C6">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1.1 “合同”系指采购人和中标供应商签订的载明双方当事人所达成的协议，并包括所有的附件、附录和构成合同的其他文件。</w:t>
      </w:r>
    </w:p>
    <w:p w14:paraId="631730E9">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1.2 “合同价”系指根据合同约定，中标供应商在完全履行合同义务后，采购人应支付给中标供应商的价格。</w:t>
      </w:r>
    </w:p>
    <w:p w14:paraId="5F0A9CB3">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1.3 “服务”系指中标供应商根据合同约定应为采购人提供的一切服务。</w:t>
      </w:r>
    </w:p>
    <w:p w14:paraId="5A1A462B">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1.4 “甲方”系指与中标供应商签署合同的采购人；采购人委托采购代理机构代表其与乙方签订合同的，采购人的授权委托书作为合同附件。</w:t>
      </w:r>
    </w:p>
    <w:p w14:paraId="73C94ED7">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1.5 “乙方”系指根据合同约定提供服务的中标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39211BE4">
      <w:pPr>
        <w:shd w:val="clear"/>
        <w:spacing w:line="360" w:lineRule="auto"/>
        <w:ind w:firstLine="480" w:firstLineChars="200"/>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color w:val="auto"/>
          <w:sz w:val="24"/>
          <w:highlight w:val="none"/>
        </w:rPr>
        <w:t>1.6 “现场”系指合同约定中标供应商为采购人提供服务的地点。</w:t>
      </w:r>
    </w:p>
    <w:p w14:paraId="158A9DD8">
      <w:pPr>
        <w:shd w:val="clear"/>
        <w:adjustRightInd w:val="0"/>
        <w:spacing w:line="360" w:lineRule="auto"/>
        <w:ind w:firstLine="482" w:firstLineChars="200"/>
        <w:outlineLvl w:val="0"/>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b/>
          <w:color w:val="auto"/>
          <w:sz w:val="24"/>
          <w:highlight w:val="none"/>
        </w:rPr>
        <w:t>2 合同组成部分</w:t>
      </w:r>
    </w:p>
    <w:p w14:paraId="1DB4E668">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616138B">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2.1 本合同及其附件、补充合同、变更协议；</w:t>
      </w:r>
    </w:p>
    <w:p w14:paraId="7C3F333E">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2.2 中标通知书；</w:t>
      </w:r>
    </w:p>
    <w:p w14:paraId="2EECD5DF">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2.3 投标文件（含澄清或者说明文件）；</w:t>
      </w:r>
    </w:p>
    <w:p w14:paraId="395E12C3">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2.4 招标文件（含澄清或者修改文件）；</w:t>
      </w:r>
    </w:p>
    <w:p w14:paraId="2F865292">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2.5 其他相关采购文件。</w:t>
      </w:r>
    </w:p>
    <w:p w14:paraId="1225A896">
      <w:pPr>
        <w:shd w:val="clear"/>
        <w:adjustRightInd w:val="0"/>
        <w:spacing w:line="360" w:lineRule="auto"/>
        <w:ind w:firstLine="482" w:firstLineChars="200"/>
        <w:outlineLvl w:val="0"/>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b/>
          <w:color w:val="auto"/>
          <w:sz w:val="24"/>
          <w:highlight w:val="none"/>
        </w:rPr>
        <w:t>3 服务内容（与招标文件一致）</w:t>
      </w:r>
    </w:p>
    <w:p w14:paraId="0283CFE2">
      <w:pPr>
        <w:shd w:val="clear"/>
        <w:spacing w:line="360" w:lineRule="auto"/>
        <w:ind w:firstLine="480" w:firstLineChars="200"/>
        <w:rPr>
          <w:rFonts w:cs="仿宋" w:asciiTheme="minorEastAsia" w:hAnsiTheme="minorEastAsia" w:eastAsiaTheme="minorEastAsia"/>
          <w:color w:val="auto"/>
          <w:sz w:val="24"/>
          <w:highlight w:val="none"/>
          <w:u w:val="single"/>
        </w:rPr>
      </w:pPr>
      <w:r>
        <w:rPr>
          <w:rFonts w:hint="eastAsia" w:cs="仿宋" w:asciiTheme="minorEastAsia" w:hAnsiTheme="minorEastAsia" w:eastAsiaTheme="minorEastAsia"/>
          <w:color w:val="auto"/>
          <w:sz w:val="24"/>
          <w:highlight w:val="none"/>
        </w:rPr>
        <w:t>3.1 服务内容：</w:t>
      </w:r>
      <w:r>
        <w:rPr>
          <w:rFonts w:hint="eastAsia" w:cs="仿宋" w:asciiTheme="minorEastAsia" w:hAnsiTheme="minorEastAsia" w:eastAsiaTheme="minorEastAsia"/>
          <w:color w:val="auto"/>
          <w:sz w:val="24"/>
          <w:highlight w:val="none"/>
          <w:u w:val="single"/>
        </w:rPr>
        <w:t xml:space="preserve">  宁南工业孵化基地园区的企业运营服务、安全管理和环境管理服务等内容  </w:t>
      </w:r>
      <w:r>
        <w:rPr>
          <w:rFonts w:hint="eastAsia" w:cs="仿宋" w:asciiTheme="minorEastAsia" w:hAnsiTheme="minorEastAsia" w:eastAsiaTheme="minorEastAsia"/>
          <w:color w:val="auto"/>
          <w:sz w:val="24"/>
          <w:highlight w:val="none"/>
        </w:rPr>
        <w:t>；</w:t>
      </w:r>
    </w:p>
    <w:p w14:paraId="212CD94A">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3.2 服务要求与标准：</w:t>
      </w:r>
    </w:p>
    <w:p w14:paraId="3F20F948">
      <w:pPr>
        <w:shd w:val="clear"/>
        <w:spacing w:line="360" w:lineRule="auto"/>
        <w:ind w:firstLine="480" w:firstLineChars="200"/>
        <w:rPr>
          <w:color w:val="auto"/>
          <w:sz w:val="24"/>
          <w:highlight w:val="none"/>
        </w:rPr>
      </w:pPr>
      <w:r>
        <w:rPr>
          <w:rFonts w:hint="eastAsia"/>
          <w:color w:val="auto"/>
          <w:sz w:val="24"/>
          <w:highlight w:val="none"/>
        </w:rPr>
        <w:t>（一）运营管理服务</w:t>
      </w:r>
    </w:p>
    <w:p w14:paraId="4F36C406">
      <w:pPr>
        <w:shd w:val="clear"/>
        <w:spacing w:line="360" w:lineRule="auto"/>
        <w:ind w:firstLine="480" w:firstLineChars="200"/>
        <w:rPr>
          <w:color w:val="auto"/>
          <w:sz w:val="24"/>
          <w:highlight w:val="none"/>
        </w:rPr>
      </w:pPr>
      <w:r>
        <w:rPr>
          <w:color w:val="auto"/>
          <w:sz w:val="24"/>
          <w:highlight w:val="none"/>
        </w:rPr>
        <w:t>1</w:t>
      </w:r>
      <w:r>
        <w:rPr>
          <w:rFonts w:hint="eastAsia"/>
          <w:color w:val="auto"/>
          <w:sz w:val="24"/>
          <w:highlight w:val="none"/>
        </w:rPr>
        <w:t>、为项目引进优质企业。</w:t>
      </w:r>
    </w:p>
    <w:p w14:paraId="6B935F53">
      <w:pPr>
        <w:shd w:val="clear"/>
        <w:spacing w:line="360" w:lineRule="auto"/>
        <w:ind w:firstLine="480" w:firstLineChars="200"/>
        <w:rPr>
          <w:color w:val="auto"/>
          <w:sz w:val="24"/>
          <w:highlight w:val="none"/>
        </w:rPr>
      </w:pPr>
      <w:r>
        <w:rPr>
          <w:color w:val="auto"/>
          <w:sz w:val="24"/>
          <w:highlight w:val="none"/>
        </w:rPr>
        <w:t>2</w:t>
      </w:r>
      <w:r>
        <w:rPr>
          <w:rFonts w:hint="eastAsia"/>
          <w:color w:val="auto"/>
          <w:sz w:val="24"/>
          <w:highlight w:val="none"/>
        </w:rPr>
        <w:t>、严格控制入驻企业产业属性，严格控制入驻企业发展质量。</w:t>
      </w:r>
    </w:p>
    <w:p w14:paraId="6122F20B">
      <w:pPr>
        <w:shd w:val="clear"/>
        <w:spacing w:line="360" w:lineRule="auto"/>
        <w:ind w:firstLine="480" w:firstLineChars="200"/>
        <w:rPr>
          <w:color w:val="auto"/>
          <w:sz w:val="24"/>
          <w:highlight w:val="none"/>
        </w:rPr>
      </w:pPr>
      <w:r>
        <w:rPr>
          <w:color w:val="auto"/>
          <w:sz w:val="24"/>
          <w:highlight w:val="none"/>
        </w:rPr>
        <w:t>3</w:t>
      </w:r>
      <w:r>
        <w:rPr>
          <w:rFonts w:hint="eastAsia"/>
          <w:color w:val="auto"/>
          <w:sz w:val="24"/>
          <w:highlight w:val="none"/>
        </w:rPr>
        <w:t>、提供高新技术企业培育咨询与服务。</w:t>
      </w:r>
    </w:p>
    <w:p w14:paraId="781E5C32">
      <w:pPr>
        <w:shd w:val="clear"/>
        <w:spacing w:line="360" w:lineRule="auto"/>
        <w:ind w:firstLine="480" w:firstLineChars="200"/>
        <w:rPr>
          <w:color w:val="auto"/>
          <w:sz w:val="24"/>
          <w:highlight w:val="none"/>
        </w:rPr>
      </w:pPr>
      <w:r>
        <w:rPr>
          <w:color w:val="auto"/>
          <w:sz w:val="24"/>
          <w:highlight w:val="none"/>
        </w:rPr>
        <w:t>4</w:t>
      </w:r>
      <w:r>
        <w:rPr>
          <w:rFonts w:hint="eastAsia"/>
          <w:color w:val="auto"/>
          <w:sz w:val="24"/>
          <w:highlight w:val="none"/>
        </w:rPr>
        <w:t>、积极配合招标人做好重大项目招引谈判的跟踪协助工作及后续的落地签约对接。</w:t>
      </w:r>
    </w:p>
    <w:p w14:paraId="63471982">
      <w:pPr>
        <w:shd w:val="clear"/>
        <w:spacing w:line="360" w:lineRule="auto"/>
        <w:ind w:firstLine="480" w:firstLineChars="200"/>
        <w:rPr>
          <w:color w:val="auto"/>
          <w:sz w:val="24"/>
          <w:highlight w:val="none"/>
        </w:rPr>
      </w:pPr>
      <w:r>
        <w:rPr>
          <w:color w:val="auto"/>
          <w:sz w:val="24"/>
          <w:highlight w:val="none"/>
        </w:rPr>
        <w:t>5</w:t>
      </w:r>
      <w:r>
        <w:rPr>
          <w:rFonts w:hint="eastAsia"/>
          <w:color w:val="auto"/>
          <w:sz w:val="24"/>
          <w:highlight w:val="none"/>
        </w:rPr>
        <w:t>、负责租金的催缴工作，保证入驻企业租金及时缴纳。</w:t>
      </w:r>
    </w:p>
    <w:p w14:paraId="3706526A">
      <w:pPr>
        <w:shd w:val="clear"/>
        <w:spacing w:line="360" w:lineRule="auto"/>
        <w:ind w:firstLine="480" w:firstLineChars="200"/>
        <w:rPr>
          <w:color w:val="auto"/>
          <w:sz w:val="24"/>
          <w:highlight w:val="none"/>
        </w:rPr>
      </w:pPr>
      <w:r>
        <w:rPr>
          <w:color w:val="auto"/>
          <w:sz w:val="24"/>
          <w:highlight w:val="none"/>
        </w:rPr>
        <w:t>6</w:t>
      </w:r>
      <w:r>
        <w:rPr>
          <w:rFonts w:hint="eastAsia"/>
          <w:color w:val="auto"/>
          <w:sz w:val="24"/>
          <w:highlight w:val="none"/>
        </w:rPr>
        <w:t>、组建运营团队做好园区日常接待工作，制定工作流程并组织实施，协助招标人完成出租合同的签署。</w:t>
      </w:r>
    </w:p>
    <w:p w14:paraId="1FD5367A">
      <w:pPr>
        <w:shd w:val="clear"/>
        <w:spacing w:line="360" w:lineRule="auto"/>
        <w:ind w:firstLine="480" w:firstLineChars="200"/>
        <w:rPr>
          <w:color w:val="auto"/>
          <w:sz w:val="24"/>
          <w:highlight w:val="none"/>
        </w:rPr>
      </w:pPr>
      <w:r>
        <w:rPr>
          <w:color w:val="auto"/>
          <w:sz w:val="24"/>
          <w:highlight w:val="none"/>
        </w:rPr>
        <w:t>7</w:t>
      </w:r>
      <w:r>
        <w:rPr>
          <w:rFonts w:hint="eastAsia"/>
          <w:color w:val="auto"/>
          <w:sz w:val="24"/>
          <w:highlight w:val="none"/>
        </w:rPr>
        <w:t>、承担客户接待工作，无论客户来源，投标人均应向客户提供跟进、带看、成交全生命周期运营服务（含招标人及政府相关部门推荐的客户）。</w:t>
      </w:r>
    </w:p>
    <w:p w14:paraId="177D9512">
      <w:pPr>
        <w:shd w:val="clear"/>
        <w:spacing w:line="360" w:lineRule="auto"/>
        <w:ind w:firstLine="480" w:firstLineChars="200"/>
        <w:rPr>
          <w:color w:val="auto"/>
          <w:sz w:val="24"/>
          <w:highlight w:val="none"/>
        </w:rPr>
      </w:pPr>
      <w:r>
        <w:rPr>
          <w:rFonts w:hint="eastAsia"/>
          <w:color w:val="auto"/>
          <w:sz w:val="24"/>
          <w:highlight w:val="none"/>
        </w:rPr>
        <w:t>8、做好政府重大活动接待工作。</w:t>
      </w:r>
    </w:p>
    <w:p w14:paraId="53F2F5F6">
      <w:pPr>
        <w:shd w:val="clear"/>
        <w:spacing w:line="360" w:lineRule="auto"/>
        <w:ind w:firstLine="480" w:firstLineChars="200"/>
        <w:rPr>
          <w:color w:val="auto"/>
          <w:sz w:val="24"/>
          <w:highlight w:val="none"/>
        </w:rPr>
      </w:pPr>
      <w:r>
        <w:rPr>
          <w:rFonts w:hint="eastAsia"/>
          <w:color w:val="auto"/>
          <w:sz w:val="24"/>
          <w:highlight w:val="none"/>
        </w:rPr>
        <w:t>9、每年结合招标人需求组织培训、金融对接、活动、技术论坛等活动，建设园区企业公共赋能平台，相关成本经招标人确认后由招标人自行承担。</w:t>
      </w:r>
    </w:p>
    <w:p w14:paraId="69B684F0">
      <w:pPr>
        <w:shd w:val="clear"/>
        <w:spacing w:line="360" w:lineRule="auto"/>
        <w:ind w:firstLine="480" w:firstLineChars="200"/>
        <w:rPr>
          <w:color w:val="auto"/>
          <w:sz w:val="24"/>
          <w:highlight w:val="none"/>
        </w:rPr>
      </w:pPr>
      <w:r>
        <w:rPr>
          <w:rFonts w:hint="eastAsia"/>
          <w:color w:val="auto"/>
          <w:sz w:val="24"/>
          <w:highlight w:val="none"/>
        </w:rPr>
        <w:t>10、不定期提供政策交底，开展各类企业辅导服务（包含但不限于政策辅导、政务代办、创业辅导、安全生产管理服务辅导、人力资源辅导等）。</w:t>
      </w:r>
    </w:p>
    <w:p w14:paraId="339F5B58">
      <w:pPr>
        <w:shd w:val="clear"/>
        <w:spacing w:line="360" w:lineRule="auto"/>
        <w:ind w:firstLine="480" w:firstLineChars="200"/>
        <w:rPr>
          <w:color w:val="auto"/>
          <w:sz w:val="24"/>
          <w:highlight w:val="none"/>
        </w:rPr>
      </w:pPr>
      <w:r>
        <w:rPr>
          <w:rFonts w:hint="eastAsia"/>
          <w:color w:val="auto"/>
          <w:sz w:val="24"/>
          <w:highlight w:val="none"/>
        </w:rPr>
        <w:t>11、做好园区项目入驻企业统计与管理工作，进行企业有关登记、数据统计、企业管理等工作，做好企业资料归档管理及台账管理。</w:t>
      </w:r>
    </w:p>
    <w:p w14:paraId="7C25D15B">
      <w:pPr>
        <w:shd w:val="clear"/>
        <w:spacing w:line="360" w:lineRule="auto"/>
        <w:ind w:firstLine="480" w:firstLineChars="200"/>
        <w:rPr>
          <w:color w:val="auto"/>
          <w:sz w:val="24"/>
          <w:highlight w:val="none"/>
        </w:rPr>
      </w:pPr>
      <w:r>
        <w:rPr>
          <w:rFonts w:hint="eastAsia"/>
          <w:color w:val="auto"/>
          <w:sz w:val="24"/>
          <w:highlight w:val="none"/>
        </w:rPr>
        <w:t>12、招标人与承租户签署租赁合同时，投标人应及时催促承租户完成租赁合同盖章等工作。</w:t>
      </w:r>
    </w:p>
    <w:p w14:paraId="5B740246">
      <w:pPr>
        <w:shd w:val="clear"/>
        <w:spacing w:line="360" w:lineRule="auto"/>
        <w:ind w:firstLine="480" w:firstLineChars="200"/>
        <w:rPr>
          <w:color w:val="auto"/>
          <w:sz w:val="24"/>
          <w:highlight w:val="none"/>
        </w:rPr>
      </w:pPr>
      <w:r>
        <w:rPr>
          <w:rFonts w:hint="eastAsia"/>
          <w:color w:val="auto"/>
          <w:sz w:val="24"/>
          <w:highlight w:val="none"/>
        </w:rPr>
        <w:t>13、协助招标人完成制定企业准入、退出的管理制度。</w:t>
      </w:r>
    </w:p>
    <w:p w14:paraId="28499F33">
      <w:pPr>
        <w:shd w:val="clear"/>
        <w:spacing w:line="360" w:lineRule="auto"/>
        <w:ind w:firstLine="480" w:firstLineChars="200"/>
        <w:rPr>
          <w:color w:val="auto"/>
          <w:sz w:val="24"/>
          <w:highlight w:val="none"/>
        </w:rPr>
      </w:pPr>
      <w:r>
        <w:rPr>
          <w:rFonts w:hint="eastAsia"/>
          <w:color w:val="auto"/>
          <w:sz w:val="24"/>
          <w:highlight w:val="none"/>
        </w:rPr>
        <w:t>14、协助企业考核，按时提供企业运营数据报表。</w:t>
      </w:r>
    </w:p>
    <w:p w14:paraId="0768F6E5">
      <w:pPr>
        <w:shd w:val="clear"/>
        <w:spacing w:line="360" w:lineRule="auto"/>
        <w:ind w:firstLine="480" w:firstLineChars="200"/>
        <w:rPr>
          <w:color w:val="auto"/>
          <w:sz w:val="24"/>
          <w:highlight w:val="none"/>
        </w:rPr>
      </w:pPr>
      <w:r>
        <w:rPr>
          <w:rFonts w:hint="eastAsia"/>
          <w:color w:val="auto"/>
          <w:sz w:val="24"/>
          <w:highlight w:val="none"/>
        </w:rPr>
        <w:t>15、维护企业关系，定期走访企业，建立重点企业联系人制度。</w:t>
      </w:r>
    </w:p>
    <w:p w14:paraId="52037308">
      <w:pPr>
        <w:shd w:val="clear"/>
        <w:spacing w:line="360" w:lineRule="auto"/>
        <w:ind w:firstLine="480" w:firstLineChars="200"/>
        <w:rPr>
          <w:color w:val="auto"/>
          <w:sz w:val="24"/>
          <w:highlight w:val="none"/>
        </w:rPr>
      </w:pPr>
      <w:r>
        <w:rPr>
          <w:color w:val="auto"/>
          <w:sz w:val="24"/>
          <w:highlight w:val="none"/>
        </w:rPr>
        <w:t>1</w:t>
      </w:r>
      <w:r>
        <w:rPr>
          <w:rFonts w:hint="eastAsia"/>
          <w:color w:val="auto"/>
          <w:sz w:val="24"/>
          <w:highlight w:val="none"/>
        </w:rPr>
        <w:t>6、负责园区企业的日常联络，在服务期间必须遵纪守法，承担服务期间对商户的治安管理、安全生产管理，房屋防火、防盗及门前三包等服务，服从当地有关部门的规定，不得进行违法违规活动，若发生违法违规事件由投标人承担相应后果。</w:t>
      </w:r>
    </w:p>
    <w:p w14:paraId="7AD480C1">
      <w:pPr>
        <w:shd w:val="clear"/>
        <w:spacing w:line="360" w:lineRule="auto"/>
        <w:ind w:firstLine="480" w:firstLineChars="200"/>
        <w:rPr>
          <w:color w:val="auto"/>
          <w:sz w:val="24"/>
          <w:highlight w:val="none"/>
        </w:rPr>
      </w:pPr>
      <w:r>
        <w:rPr>
          <w:color w:val="auto"/>
          <w:sz w:val="24"/>
          <w:highlight w:val="none"/>
        </w:rPr>
        <w:t>1</w:t>
      </w:r>
      <w:r>
        <w:rPr>
          <w:rFonts w:hint="eastAsia"/>
          <w:color w:val="auto"/>
          <w:sz w:val="24"/>
          <w:highlight w:val="none"/>
        </w:rPr>
        <w:t>7、投标人不得招入给对城市管理、安全生产、居民生活带来影响或隐患的单位或个人。出现跨门经营、占道经营以及乱堆放、乱吊挂等各类问题，投标人负连带责任，必须及时配合社区、城管、公安等部门督促承租人完成整改。</w:t>
      </w:r>
    </w:p>
    <w:p w14:paraId="57E475A4">
      <w:pPr>
        <w:shd w:val="clear"/>
        <w:spacing w:line="360" w:lineRule="auto"/>
        <w:ind w:firstLine="480" w:firstLineChars="200"/>
        <w:rPr>
          <w:color w:val="auto"/>
          <w:sz w:val="24"/>
          <w:highlight w:val="none"/>
        </w:rPr>
      </w:pPr>
      <w:r>
        <w:rPr>
          <w:color w:val="auto"/>
          <w:sz w:val="24"/>
          <w:highlight w:val="none"/>
        </w:rPr>
        <w:t>1</w:t>
      </w:r>
      <w:r>
        <w:rPr>
          <w:rFonts w:hint="eastAsia"/>
          <w:color w:val="auto"/>
          <w:sz w:val="24"/>
          <w:highlight w:val="none"/>
        </w:rPr>
        <w:t>8、结合招标人实际招商引资需求配合提供相应的推广和宣传策划方案，相关成本经招标人确认后由招标人自行承担。</w:t>
      </w:r>
    </w:p>
    <w:p w14:paraId="304249FB">
      <w:pPr>
        <w:shd w:val="clear"/>
        <w:spacing w:line="360" w:lineRule="auto"/>
        <w:ind w:firstLine="480" w:firstLineChars="200"/>
        <w:rPr>
          <w:color w:val="auto"/>
          <w:sz w:val="24"/>
          <w:highlight w:val="none"/>
        </w:rPr>
      </w:pPr>
      <w:r>
        <w:rPr>
          <w:rFonts w:hint="eastAsia"/>
          <w:color w:val="auto"/>
          <w:sz w:val="24"/>
          <w:highlight w:val="none"/>
        </w:rPr>
        <w:t>19、结合招标人实际运营需求提供大数据服务，通过短信平台投放、网站投放等多渠道方式进行推广，相关成本经招标人确认后由招标人自行承担。</w:t>
      </w:r>
    </w:p>
    <w:p w14:paraId="689AD3C6">
      <w:pPr>
        <w:shd w:val="clear"/>
        <w:spacing w:line="360" w:lineRule="auto"/>
        <w:ind w:firstLine="480" w:firstLineChars="200"/>
        <w:rPr>
          <w:color w:val="auto"/>
          <w:sz w:val="24"/>
          <w:highlight w:val="none"/>
        </w:rPr>
      </w:pPr>
      <w:r>
        <w:rPr>
          <w:rFonts w:hint="eastAsia"/>
          <w:color w:val="auto"/>
          <w:sz w:val="24"/>
          <w:highlight w:val="none"/>
        </w:rPr>
        <w:t>20、完成招标人要求的与本项目营销策划有关的其他工作。</w:t>
      </w:r>
    </w:p>
    <w:p w14:paraId="1A7104ED">
      <w:pPr>
        <w:shd w:val="clear"/>
        <w:spacing w:line="360" w:lineRule="auto"/>
        <w:ind w:firstLine="480" w:firstLineChars="200"/>
        <w:rPr>
          <w:color w:val="auto"/>
          <w:sz w:val="24"/>
          <w:highlight w:val="none"/>
        </w:rPr>
      </w:pPr>
      <w:r>
        <w:rPr>
          <w:rFonts w:hint="eastAsia"/>
          <w:color w:val="auto"/>
          <w:sz w:val="24"/>
          <w:highlight w:val="none"/>
        </w:rPr>
        <w:t>21、结合招标人实际运营需求，建设数字园区运营系统，提供智慧园区运营服务，赋能园区管理、运行、运营和服务，相关成本经招标人确认后由招标人另行承担。</w:t>
      </w:r>
    </w:p>
    <w:p w14:paraId="128B1BF4">
      <w:pPr>
        <w:shd w:val="clear"/>
        <w:spacing w:line="360" w:lineRule="auto"/>
        <w:ind w:firstLine="480" w:firstLineChars="200"/>
        <w:rPr>
          <w:color w:val="auto"/>
          <w:sz w:val="24"/>
          <w:highlight w:val="none"/>
        </w:rPr>
      </w:pPr>
      <w:r>
        <w:rPr>
          <w:rFonts w:hint="eastAsia"/>
          <w:color w:val="auto"/>
          <w:sz w:val="24"/>
          <w:highlight w:val="none"/>
        </w:rPr>
        <w:t>22、做好员工上岗培训，培养高素质的从业人员。</w:t>
      </w:r>
    </w:p>
    <w:p w14:paraId="29B4EB22">
      <w:pPr>
        <w:shd w:val="clear"/>
        <w:spacing w:line="360" w:lineRule="auto"/>
        <w:ind w:firstLine="480" w:firstLineChars="200"/>
        <w:rPr>
          <w:color w:val="auto"/>
          <w:sz w:val="24"/>
          <w:highlight w:val="none"/>
        </w:rPr>
      </w:pPr>
      <w:r>
        <w:rPr>
          <w:rFonts w:hint="eastAsia"/>
          <w:color w:val="auto"/>
          <w:sz w:val="24"/>
          <w:highlight w:val="none"/>
        </w:rPr>
        <w:t>23、运营服务人员需统一着装、言行文明，遵守招标人的各项规章制度及工作规范，维护园区整体服务形象。</w:t>
      </w:r>
    </w:p>
    <w:p w14:paraId="47581505">
      <w:pPr>
        <w:shd w:val="clear"/>
        <w:spacing w:line="360" w:lineRule="auto"/>
        <w:ind w:firstLine="480" w:firstLineChars="200"/>
        <w:rPr>
          <w:color w:val="auto"/>
          <w:sz w:val="24"/>
          <w:highlight w:val="none"/>
        </w:rPr>
      </w:pPr>
      <w:r>
        <w:rPr>
          <w:rFonts w:hint="eastAsia"/>
          <w:color w:val="auto"/>
          <w:sz w:val="24"/>
          <w:highlight w:val="none"/>
        </w:rPr>
        <w:t>24、其他日常运营管理工作。</w:t>
      </w:r>
    </w:p>
    <w:p w14:paraId="7350D3D1">
      <w:pPr>
        <w:shd w:val="clear"/>
        <w:spacing w:line="360" w:lineRule="auto"/>
        <w:ind w:firstLine="480" w:firstLineChars="200"/>
        <w:rPr>
          <w:color w:val="auto"/>
          <w:sz w:val="24"/>
          <w:highlight w:val="none"/>
        </w:rPr>
      </w:pPr>
      <w:r>
        <w:rPr>
          <w:rFonts w:hint="eastAsia"/>
          <w:color w:val="auto"/>
          <w:sz w:val="24"/>
          <w:highlight w:val="none"/>
        </w:rPr>
        <w:t>（二）安全管理和环境管理服务</w:t>
      </w:r>
    </w:p>
    <w:p w14:paraId="7C28B16A">
      <w:pPr>
        <w:shd w:val="clear"/>
        <w:spacing w:line="360" w:lineRule="auto"/>
        <w:ind w:firstLine="480" w:firstLineChars="200"/>
        <w:rPr>
          <w:color w:val="auto"/>
          <w:sz w:val="24"/>
          <w:highlight w:val="none"/>
        </w:rPr>
      </w:pPr>
      <w:r>
        <w:rPr>
          <w:rFonts w:hint="eastAsia"/>
          <w:color w:val="auto"/>
          <w:sz w:val="24"/>
          <w:highlight w:val="none"/>
        </w:rPr>
        <w:t>负责园区的安全管理和环境管理服务。服务范围包括但不限于：公共设施的管理、公共秩序和公共环境卫生的维护、日常安全巡查、绿化养护和管理、车辆管理、提供行政后勤管理辅助服务、招标人要求的其他及临时性服务等相关内容。</w:t>
      </w:r>
    </w:p>
    <w:p w14:paraId="412E82FC">
      <w:pPr>
        <w:shd w:val="clear"/>
        <w:spacing w:line="360" w:lineRule="auto"/>
        <w:ind w:firstLine="480" w:firstLineChars="200"/>
        <w:rPr>
          <w:color w:val="auto"/>
          <w:sz w:val="24"/>
          <w:highlight w:val="none"/>
        </w:rPr>
      </w:pPr>
      <w:r>
        <w:rPr>
          <w:color w:val="auto"/>
          <w:sz w:val="24"/>
          <w:highlight w:val="none"/>
        </w:rPr>
        <w:t>1</w:t>
      </w:r>
      <w:r>
        <w:rPr>
          <w:rFonts w:hint="eastAsia"/>
          <w:color w:val="auto"/>
          <w:sz w:val="24"/>
          <w:highlight w:val="none"/>
        </w:rPr>
        <w:t>、综合服务</w:t>
      </w:r>
    </w:p>
    <w:p w14:paraId="08519051">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1</w:t>
      </w:r>
      <w:r>
        <w:rPr>
          <w:rFonts w:hint="eastAsia"/>
          <w:color w:val="auto"/>
          <w:sz w:val="24"/>
          <w:highlight w:val="none"/>
        </w:rPr>
        <w:t>）负责催缴物业费、水电费和公共能耗费等。</w:t>
      </w:r>
    </w:p>
    <w:p w14:paraId="0207D6C5">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2</w:t>
      </w:r>
      <w:r>
        <w:rPr>
          <w:rFonts w:hint="eastAsia"/>
          <w:color w:val="auto"/>
          <w:sz w:val="24"/>
          <w:highlight w:val="none"/>
        </w:rPr>
        <w:t>）设置管理人员负责接待工作，外出时应留有联系方式或安排他人临时负责接待。</w:t>
      </w:r>
    </w:p>
    <w:p w14:paraId="785640F4">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3</w:t>
      </w:r>
      <w:r>
        <w:rPr>
          <w:rFonts w:hint="eastAsia"/>
          <w:color w:val="auto"/>
          <w:sz w:val="24"/>
          <w:highlight w:val="none"/>
        </w:rPr>
        <w:t>）负责制定年度服务工作计划、各项应急预案，并组织实施。</w:t>
      </w:r>
    </w:p>
    <w:p w14:paraId="35984CEA">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4</w:t>
      </w:r>
      <w:r>
        <w:rPr>
          <w:rFonts w:hint="eastAsia"/>
          <w:color w:val="auto"/>
          <w:sz w:val="24"/>
          <w:highlight w:val="none"/>
        </w:rPr>
        <w:t>）健全管理规章制度、服务质量标准，管理档案及相关移交资料。</w:t>
      </w:r>
    </w:p>
    <w:p w14:paraId="3062D86E">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5</w:t>
      </w:r>
      <w:r>
        <w:rPr>
          <w:rFonts w:hint="eastAsia"/>
          <w:color w:val="auto"/>
          <w:sz w:val="24"/>
          <w:highlight w:val="none"/>
        </w:rPr>
        <w:t>）严格执行各项保密制度，防止不宜公开的资料、文件和信息的泄露。</w:t>
      </w:r>
    </w:p>
    <w:p w14:paraId="69826A7E">
      <w:pPr>
        <w:shd w:val="clear"/>
        <w:adjustRightInd w:val="0"/>
        <w:snapToGrid w:val="0"/>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6</w:t>
      </w:r>
      <w:r>
        <w:rPr>
          <w:rFonts w:hint="eastAsia"/>
          <w:color w:val="auto"/>
          <w:sz w:val="24"/>
          <w:highlight w:val="none"/>
        </w:rPr>
        <w:t>）要求安全管理及环境管理人员有较强事业心与责任感，具备较高的业务水准、较强的组织协调与管理能力。根据服务单位要求，做好日常工作安排和管理事务，同时负责整个项目协调管理工作、与业主的沟通等。</w:t>
      </w:r>
    </w:p>
    <w:p w14:paraId="25770E0C">
      <w:pPr>
        <w:shd w:val="clear"/>
        <w:spacing w:line="360" w:lineRule="auto"/>
        <w:ind w:firstLine="480" w:firstLineChars="200"/>
        <w:rPr>
          <w:color w:val="auto"/>
          <w:sz w:val="24"/>
          <w:highlight w:val="none"/>
        </w:rPr>
      </w:pPr>
      <w:r>
        <w:rPr>
          <w:color w:val="auto"/>
          <w:sz w:val="24"/>
          <w:highlight w:val="none"/>
        </w:rPr>
        <w:t>2</w:t>
      </w:r>
      <w:r>
        <w:rPr>
          <w:rFonts w:hint="eastAsia"/>
          <w:color w:val="auto"/>
          <w:sz w:val="24"/>
          <w:highlight w:val="none"/>
        </w:rPr>
        <w:t>、公共设施设备管理</w:t>
      </w:r>
    </w:p>
    <w:p w14:paraId="755A1639">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1</w:t>
      </w:r>
      <w:r>
        <w:rPr>
          <w:rFonts w:hint="eastAsia"/>
          <w:color w:val="auto"/>
          <w:sz w:val="24"/>
          <w:highlight w:val="none"/>
        </w:rPr>
        <w:t>）严格遵守有关安全法规及操作规程制度，严禁违章操作。</w:t>
      </w:r>
    </w:p>
    <w:p w14:paraId="240C324C">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2</w:t>
      </w:r>
      <w:r>
        <w:rPr>
          <w:rFonts w:hint="eastAsia"/>
          <w:color w:val="auto"/>
          <w:sz w:val="24"/>
          <w:highlight w:val="none"/>
        </w:rPr>
        <w:t>）做好设施设备的日常巡查，做好相关公用部位、设备机房的警示提醒等相关工作。</w:t>
      </w:r>
    </w:p>
    <w:p w14:paraId="0457B260">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3</w:t>
      </w:r>
      <w:r>
        <w:rPr>
          <w:rFonts w:hint="eastAsia"/>
          <w:color w:val="auto"/>
          <w:sz w:val="24"/>
          <w:highlight w:val="none"/>
        </w:rPr>
        <w:t>）建立相对应设备台账，做好日常保养、维修等记录和存档。</w:t>
      </w:r>
    </w:p>
    <w:p w14:paraId="32313BFA">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4</w:t>
      </w:r>
      <w:r>
        <w:rPr>
          <w:rFonts w:hint="eastAsia"/>
          <w:color w:val="auto"/>
          <w:sz w:val="24"/>
          <w:highlight w:val="none"/>
        </w:rPr>
        <w:t>）特种设备设施取得安全使用证和合格的检验报告后方可运行，操作人员严格执行持证上岗制度。</w:t>
      </w:r>
    </w:p>
    <w:p w14:paraId="4D84A9A1">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5</w:t>
      </w:r>
      <w:r>
        <w:rPr>
          <w:rFonts w:hint="eastAsia"/>
          <w:color w:val="auto"/>
          <w:sz w:val="24"/>
          <w:highlight w:val="none"/>
        </w:rPr>
        <w:t>）保证设备机房的环境整洁，无杂物、灰尘、鼠害等现象。</w:t>
      </w:r>
    </w:p>
    <w:p w14:paraId="6714093D">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6</w:t>
      </w:r>
      <w:r>
        <w:rPr>
          <w:rFonts w:hint="eastAsia"/>
          <w:color w:val="auto"/>
          <w:sz w:val="24"/>
          <w:highlight w:val="none"/>
        </w:rPr>
        <w:t>）制定各类突发事件应急预案，确保无重大管理责任事故。</w:t>
      </w:r>
    </w:p>
    <w:p w14:paraId="2FCF8822">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7</w:t>
      </w:r>
      <w:r>
        <w:rPr>
          <w:rFonts w:hint="eastAsia"/>
          <w:color w:val="auto"/>
          <w:sz w:val="24"/>
          <w:highlight w:val="none"/>
        </w:rPr>
        <w:t>）每月巡视空置房，建立巡视台账，定期更新。</w:t>
      </w:r>
    </w:p>
    <w:p w14:paraId="116A7252">
      <w:pPr>
        <w:shd w:val="clear"/>
        <w:spacing w:line="360" w:lineRule="auto"/>
        <w:ind w:firstLine="480" w:firstLineChars="200"/>
        <w:rPr>
          <w:color w:val="auto"/>
          <w:sz w:val="24"/>
          <w:highlight w:val="none"/>
        </w:rPr>
      </w:pPr>
      <w:r>
        <w:rPr>
          <w:color w:val="auto"/>
          <w:sz w:val="24"/>
          <w:highlight w:val="none"/>
        </w:rPr>
        <w:t>3</w:t>
      </w:r>
      <w:r>
        <w:rPr>
          <w:rFonts w:hint="eastAsia"/>
          <w:color w:val="auto"/>
          <w:sz w:val="24"/>
          <w:highlight w:val="none"/>
        </w:rPr>
        <w:t>、清洁卫生管理</w:t>
      </w:r>
    </w:p>
    <w:p w14:paraId="13D53C87">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1</w:t>
      </w:r>
      <w:r>
        <w:rPr>
          <w:rFonts w:hint="eastAsia"/>
          <w:color w:val="auto"/>
          <w:sz w:val="24"/>
          <w:highlight w:val="none"/>
        </w:rPr>
        <w:t>）要求清洁卫生管理人员品貌端正，政治思想好，身体健康，无不良记录和嗜好，工作认真负责。</w:t>
      </w:r>
    </w:p>
    <w:p w14:paraId="15197F89">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2</w:t>
      </w:r>
      <w:r>
        <w:rPr>
          <w:rFonts w:hint="eastAsia"/>
          <w:color w:val="auto"/>
          <w:sz w:val="24"/>
          <w:highlight w:val="none"/>
        </w:rPr>
        <w:t>）负责公共区域卫生的清洁，包括公共场合入口、展厅、大厅、走廊、电梯、消防楼梯、卫生间、地下车库、道路等。</w:t>
      </w:r>
    </w:p>
    <w:p w14:paraId="7E5A937D">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3</w:t>
      </w:r>
      <w:r>
        <w:rPr>
          <w:rFonts w:hint="eastAsia"/>
          <w:color w:val="auto"/>
          <w:sz w:val="24"/>
          <w:highlight w:val="none"/>
        </w:rPr>
        <w:t>）负责日常绿化保洁，保持绿地无杂物、垃圾、果皮、纸屑。</w:t>
      </w:r>
    </w:p>
    <w:p w14:paraId="5F746698">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4</w:t>
      </w:r>
      <w:r>
        <w:rPr>
          <w:rFonts w:hint="eastAsia"/>
          <w:color w:val="auto"/>
          <w:sz w:val="24"/>
          <w:highlight w:val="none"/>
        </w:rPr>
        <w:t>）做到垃圾日产日清，做到垃圾桶、果皮箱整洁。垃圾收集清运不包括承租户另行堆放的工业垃圾。</w:t>
      </w:r>
    </w:p>
    <w:p w14:paraId="0824E4D4">
      <w:pPr>
        <w:shd w:val="clear"/>
        <w:spacing w:line="360" w:lineRule="auto"/>
        <w:ind w:firstLine="480" w:firstLineChars="200"/>
        <w:rPr>
          <w:color w:val="auto"/>
          <w:sz w:val="24"/>
          <w:highlight w:val="none"/>
        </w:rPr>
      </w:pPr>
      <w:r>
        <w:rPr>
          <w:rFonts w:hint="eastAsia"/>
          <w:color w:val="auto"/>
          <w:sz w:val="24"/>
          <w:highlight w:val="none"/>
        </w:rPr>
        <w:t>（5）保持地下车库换气通风、无杂物、垃圾、积水。</w:t>
      </w:r>
    </w:p>
    <w:p w14:paraId="6D9ED781">
      <w:pPr>
        <w:shd w:val="clear"/>
        <w:spacing w:line="360" w:lineRule="auto"/>
        <w:ind w:firstLine="480" w:firstLineChars="200"/>
        <w:rPr>
          <w:color w:val="auto"/>
          <w:sz w:val="24"/>
          <w:highlight w:val="none"/>
        </w:rPr>
      </w:pPr>
      <w:r>
        <w:rPr>
          <w:rFonts w:hint="eastAsia"/>
          <w:color w:val="auto"/>
          <w:sz w:val="24"/>
          <w:highlight w:val="none"/>
        </w:rPr>
        <w:t>（6）加强垃圾分类点位周边卫生清理，每日对垃圾桶进行清洗，做好相关维护工作。</w:t>
      </w:r>
    </w:p>
    <w:p w14:paraId="138C07AE">
      <w:pPr>
        <w:shd w:val="clear"/>
        <w:spacing w:line="360" w:lineRule="auto"/>
        <w:ind w:firstLine="480" w:firstLineChars="200"/>
        <w:rPr>
          <w:color w:val="auto"/>
          <w:sz w:val="24"/>
          <w:highlight w:val="none"/>
        </w:rPr>
      </w:pPr>
      <w:r>
        <w:rPr>
          <w:rFonts w:hint="eastAsia"/>
          <w:color w:val="auto"/>
          <w:sz w:val="24"/>
          <w:highlight w:val="none"/>
        </w:rPr>
        <w:t>（7）卫生间每天定时滚动保洁、消毒，做到无异味、无大片水污渍。</w:t>
      </w:r>
    </w:p>
    <w:p w14:paraId="5E85807F">
      <w:pPr>
        <w:shd w:val="clear"/>
        <w:spacing w:line="360" w:lineRule="auto"/>
        <w:ind w:firstLine="480" w:firstLineChars="200"/>
        <w:rPr>
          <w:color w:val="auto"/>
          <w:sz w:val="24"/>
          <w:highlight w:val="none"/>
        </w:rPr>
      </w:pPr>
      <w:r>
        <w:rPr>
          <w:rFonts w:hint="eastAsia"/>
          <w:color w:val="auto"/>
          <w:sz w:val="24"/>
          <w:highlight w:val="none"/>
        </w:rPr>
        <w:t>（8）各种设备房地面保持整洁，无杂物堆放，保持各设施设备无锈蚀、污垢、灰尘。</w:t>
      </w:r>
    </w:p>
    <w:p w14:paraId="16959304">
      <w:pPr>
        <w:shd w:val="clear"/>
        <w:spacing w:line="360" w:lineRule="auto"/>
        <w:ind w:firstLine="480" w:firstLineChars="200"/>
        <w:rPr>
          <w:color w:val="auto"/>
          <w:sz w:val="24"/>
          <w:highlight w:val="none"/>
        </w:rPr>
      </w:pPr>
      <w:r>
        <w:rPr>
          <w:rFonts w:hint="eastAsia"/>
          <w:color w:val="auto"/>
          <w:sz w:val="24"/>
          <w:highlight w:val="none"/>
        </w:rPr>
        <w:t>（9）加强鼠、蟑、蝇、蚊、白蚁消杀及其他虫害预防。</w:t>
      </w:r>
    </w:p>
    <w:p w14:paraId="2DAB958F">
      <w:pPr>
        <w:shd w:val="clear"/>
        <w:spacing w:line="360" w:lineRule="auto"/>
        <w:ind w:firstLine="480" w:firstLineChars="200"/>
        <w:rPr>
          <w:color w:val="auto"/>
          <w:sz w:val="24"/>
          <w:highlight w:val="none"/>
        </w:rPr>
      </w:pPr>
      <w:r>
        <w:rPr>
          <w:rFonts w:hint="eastAsia"/>
          <w:color w:val="auto"/>
          <w:sz w:val="24"/>
          <w:highlight w:val="none"/>
        </w:rPr>
        <w:t>（10）统一着装、服务规范、言行文明，遵守采购单位的各项规章制度，注意保密。</w:t>
      </w:r>
    </w:p>
    <w:p w14:paraId="792F1A59">
      <w:pPr>
        <w:shd w:val="clear"/>
        <w:spacing w:line="360" w:lineRule="auto"/>
        <w:ind w:firstLine="480" w:firstLineChars="200"/>
        <w:rPr>
          <w:color w:val="auto"/>
          <w:sz w:val="24"/>
          <w:highlight w:val="none"/>
        </w:rPr>
      </w:pPr>
      <w:r>
        <w:rPr>
          <w:color w:val="auto"/>
          <w:sz w:val="24"/>
          <w:highlight w:val="none"/>
        </w:rPr>
        <w:t>4</w:t>
      </w:r>
      <w:r>
        <w:rPr>
          <w:rFonts w:hint="eastAsia"/>
          <w:color w:val="auto"/>
          <w:sz w:val="24"/>
          <w:highlight w:val="none"/>
        </w:rPr>
        <w:t>、公共绿化的养护和管理</w:t>
      </w:r>
    </w:p>
    <w:p w14:paraId="02D50697">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1</w:t>
      </w:r>
      <w:r>
        <w:rPr>
          <w:rFonts w:hint="eastAsia"/>
          <w:color w:val="auto"/>
          <w:sz w:val="24"/>
          <w:highlight w:val="none"/>
        </w:rPr>
        <w:t>）负责园区公共区域的绿化养护、不定期洒水等。</w:t>
      </w:r>
    </w:p>
    <w:p w14:paraId="234D548A">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2</w:t>
      </w:r>
      <w:r>
        <w:rPr>
          <w:rFonts w:hint="eastAsia"/>
          <w:color w:val="auto"/>
          <w:sz w:val="24"/>
          <w:highlight w:val="none"/>
        </w:rPr>
        <w:t>）对园区绿化带中的花卉、灌木、树木进行定期的修剪和养护，保证公共区域的绿化环境得到良好的呈现。</w:t>
      </w:r>
    </w:p>
    <w:p w14:paraId="2CA0080E">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3</w:t>
      </w:r>
      <w:r>
        <w:rPr>
          <w:rFonts w:hint="eastAsia"/>
          <w:color w:val="auto"/>
          <w:sz w:val="24"/>
          <w:highlight w:val="none"/>
        </w:rPr>
        <w:t>）设置爱护绿化等提示牌。</w:t>
      </w:r>
    </w:p>
    <w:p w14:paraId="5441B3D0">
      <w:pPr>
        <w:shd w:val="clear"/>
        <w:spacing w:line="360" w:lineRule="auto"/>
        <w:ind w:firstLine="480" w:firstLineChars="200"/>
        <w:rPr>
          <w:color w:val="auto"/>
          <w:sz w:val="24"/>
          <w:highlight w:val="none"/>
        </w:rPr>
      </w:pPr>
      <w:r>
        <w:rPr>
          <w:color w:val="auto"/>
          <w:sz w:val="24"/>
          <w:highlight w:val="none"/>
        </w:rPr>
        <w:t>5</w:t>
      </w:r>
      <w:r>
        <w:rPr>
          <w:rFonts w:hint="eastAsia"/>
          <w:color w:val="auto"/>
          <w:sz w:val="24"/>
          <w:highlight w:val="none"/>
        </w:rPr>
        <w:t>、停车场运营和车辆停放管理</w:t>
      </w:r>
    </w:p>
    <w:p w14:paraId="54B74E8B">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1</w:t>
      </w:r>
      <w:r>
        <w:rPr>
          <w:rFonts w:hint="eastAsia"/>
          <w:color w:val="auto"/>
          <w:sz w:val="24"/>
          <w:highlight w:val="none"/>
        </w:rPr>
        <w:t>）统一负责停车场的管理维护，提供停车场引导、环境保洁和安全防范服务。</w:t>
      </w:r>
    </w:p>
    <w:p w14:paraId="2C766109">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2</w:t>
      </w:r>
      <w:r>
        <w:rPr>
          <w:rFonts w:hint="eastAsia"/>
          <w:color w:val="auto"/>
          <w:sz w:val="24"/>
          <w:highlight w:val="none"/>
        </w:rPr>
        <w:t>）建立与园区相匹配的停车管理制度，做好车辆出入登记并存档，为出入服务区域的车辆提供引导服务，保持车辆出入畅通、停放有序。</w:t>
      </w:r>
    </w:p>
    <w:p w14:paraId="2614E441">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3</w:t>
      </w:r>
      <w:r>
        <w:rPr>
          <w:rFonts w:hint="eastAsia"/>
          <w:color w:val="auto"/>
          <w:sz w:val="24"/>
          <w:highlight w:val="none"/>
        </w:rPr>
        <w:t>）在服务区域的通道、车库进出口处设置车辆行驶警示牌及标志。</w:t>
      </w:r>
    </w:p>
    <w:p w14:paraId="01E1BFB7">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4</w:t>
      </w:r>
      <w:r>
        <w:rPr>
          <w:rFonts w:hint="eastAsia"/>
          <w:color w:val="auto"/>
          <w:sz w:val="24"/>
          <w:highlight w:val="none"/>
        </w:rPr>
        <w:t>）严格管理载有有毒、有害、易爆物品的车辆进入服务区域内。</w:t>
      </w:r>
    </w:p>
    <w:p w14:paraId="6757A6FB">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5</w:t>
      </w:r>
      <w:r>
        <w:rPr>
          <w:rFonts w:hint="eastAsia"/>
          <w:color w:val="auto"/>
          <w:sz w:val="24"/>
          <w:highlight w:val="none"/>
        </w:rPr>
        <w:t>）不得擅自改变停车位使用用途。</w:t>
      </w:r>
    </w:p>
    <w:p w14:paraId="3CAACB79">
      <w:pPr>
        <w:shd w:val="clear"/>
        <w:spacing w:line="360" w:lineRule="auto"/>
        <w:ind w:firstLine="480" w:firstLineChars="200"/>
        <w:rPr>
          <w:color w:val="auto"/>
          <w:sz w:val="24"/>
          <w:highlight w:val="none"/>
        </w:rPr>
      </w:pPr>
      <w:r>
        <w:rPr>
          <w:color w:val="auto"/>
          <w:sz w:val="24"/>
          <w:highlight w:val="none"/>
        </w:rPr>
        <w:t>6</w:t>
      </w:r>
      <w:r>
        <w:rPr>
          <w:rFonts w:hint="eastAsia"/>
          <w:color w:val="auto"/>
          <w:sz w:val="24"/>
          <w:highlight w:val="none"/>
        </w:rPr>
        <w:t>、公共秩序维护、消防、安全防范等事项的管理</w:t>
      </w:r>
    </w:p>
    <w:p w14:paraId="294D2E16">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1</w:t>
      </w:r>
      <w:r>
        <w:rPr>
          <w:rFonts w:hint="eastAsia"/>
          <w:color w:val="auto"/>
          <w:sz w:val="24"/>
          <w:highlight w:val="none"/>
        </w:rPr>
        <w:t>）建立门卫、安全监控</w:t>
      </w:r>
      <w:r>
        <w:rPr>
          <w:color w:val="auto"/>
          <w:sz w:val="24"/>
          <w:highlight w:val="none"/>
        </w:rPr>
        <w:t>24</w:t>
      </w:r>
      <w:r>
        <w:rPr>
          <w:rFonts w:hint="eastAsia"/>
          <w:color w:val="auto"/>
          <w:sz w:val="24"/>
          <w:highlight w:val="none"/>
        </w:rPr>
        <w:t>小时值班制度，明确安全防范的各自责任范围，做好服务区域内的安全防范工作。</w:t>
      </w:r>
    </w:p>
    <w:p w14:paraId="1CF3C1A4">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2</w:t>
      </w:r>
      <w:r>
        <w:rPr>
          <w:rFonts w:hint="eastAsia"/>
          <w:color w:val="auto"/>
          <w:sz w:val="24"/>
          <w:highlight w:val="none"/>
        </w:rPr>
        <w:t>）实行</w:t>
      </w:r>
      <w:r>
        <w:rPr>
          <w:color w:val="auto"/>
          <w:sz w:val="24"/>
          <w:highlight w:val="none"/>
        </w:rPr>
        <w:t>24</w:t>
      </w:r>
      <w:r>
        <w:rPr>
          <w:rFonts w:hint="eastAsia"/>
          <w:color w:val="auto"/>
          <w:sz w:val="24"/>
          <w:highlight w:val="none"/>
        </w:rPr>
        <w:t>小时消防及防盗监控值班，做好消防器材、设施的维护检查，并做好检查记录。重大节日配合招标人进行节日消防安全大检查，并按招标人要求及时进行整改。</w:t>
      </w:r>
    </w:p>
    <w:p w14:paraId="04CA6BDF">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3</w:t>
      </w:r>
      <w:r>
        <w:rPr>
          <w:rFonts w:hint="eastAsia"/>
          <w:color w:val="auto"/>
          <w:sz w:val="24"/>
          <w:highlight w:val="none"/>
        </w:rPr>
        <w:t>）实行</w:t>
      </w:r>
      <w:r>
        <w:rPr>
          <w:color w:val="auto"/>
          <w:sz w:val="24"/>
          <w:highlight w:val="none"/>
        </w:rPr>
        <w:t>24</w:t>
      </w:r>
      <w:r>
        <w:rPr>
          <w:rFonts w:hint="eastAsia"/>
          <w:color w:val="auto"/>
          <w:sz w:val="24"/>
          <w:highlight w:val="none"/>
        </w:rPr>
        <w:t>小时全天候保安巡视服务，巡视服务区域内人员、车辆活动等情况，维护服务区域内秩序。</w:t>
      </w:r>
    </w:p>
    <w:p w14:paraId="541AB5AE">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4</w:t>
      </w:r>
      <w:r>
        <w:rPr>
          <w:rFonts w:hint="eastAsia"/>
          <w:color w:val="auto"/>
          <w:sz w:val="24"/>
          <w:highlight w:val="none"/>
        </w:rPr>
        <w:t>）制作服务区域紧急逃生图，明确逃生路线。消防通道不准堆放物品，消除不安全隐患，保持疏通，并确保疏通指示灯、安全出口指标灯能正常使用。</w:t>
      </w:r>
    </w:p>
    <w:p w14:paraId="657444D0">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5</w:t>
      </w:r>
      <w:r>
        <w:rPr>
          <w:rFonts w:hint="eastAsia"/>
          <w:color w:val="auto"/>
          <w:sz w:val="24"/>
          <w:highlight w:val="none"/>
        </w:rPr>
        <w:t>）劝止在服务区域内燃放烟花爆竹和焚烧垃圾及废纸等现场用火现象，处理好违反规定存放在管区内的易燃、易爆、剧毒、放射性等物和排放有害、有毒、危险物质等。</w:t>
      </w:r>
    </w:p>
    <w:p w14:paraId="53F5427C">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6</w:t>
      </w:r>
      <w:r>
        <w:rPr>
          <w:rFonts w:hint="eastAsia"/>
          <w:color w:val="auto"/>
          <w:sz w:val="24"/>
          <w:highlight w:val="none"/>
        </w:rPr>
        <w:t>）遇有突发事件，值班人员应立即按规定报告相关部门，所有保安人员必须无条件服从园区管理单位或政府有关部门的指挥和调遣。</w:t>
      </w:r>
    </w:p>
    <w:p w14:paraId="4253F3FD">
      <w:pPr>
        <w:shd w:val="clear"/>
        <w:spacing w:line="360" w:lineRule="auto"/>
        <w:ind w:firstLine="480" w:firstLineChars="200"/>
        <w:rPr>
          <w:color w:val="auto"/>
          <w:sz w:val="24"/>
          <w:highlight w:val="none"/>
        </w:rPr>
      </w:pPr>
      <w:r>
        <w:rPr>
          <w:color w:val="auto"/>
          <w:sz w:val="24"/>
          <w:highlight w:val="none"/>
        </w:rPr>
        <w:t>7</w:t>
      </w:r>
      <w:r>
        <w:rPr>
          <w:rFonts w:hint="eastAsia"/>
          <w:color w:val="auto"/>
          <w:sz w:val="24"/>
          <w:highlight w:val="none"/>
        </w:rPr>
        <w:t>、装修管理服务</w:t>
      </w:r>
    </w:p>
    <w:p w14:paraId="43D4DADA">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1</w:t>
      </w:r>
      <w:r>
        <w:rPr>
          <w:rFonts w:hint="eastAsia"/>
          <w:color w:val="auto"/>
          <w:sz w:val="24"/>
          <w:highlight w:val="none"/>
        </w:rPr>
        <w:t>）与承租户或使用人、装饰装修企业签订装饰装修管理服务协议，约定责任和义务，告知禁止事项和注意行为。</w:t>
      </w:r>
    </w:p>
    <w:p w14:paraId="02AE067F">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2</w:t>
      </w:r>
      <w:r>
        <w:rPr>
          <w:rFonts w:hint="eastAsia"/>
          <w:color w:val="auto"/>
          <w:sz w:val="24"/>
          <w:highlight w:val="none"/>
        </w:rPr>
        <w:t>）每日巡查装修现场，发现承租户或使用人有违规装修行为的，应予以劝阻，并做好劝阻记录，必要时应当予以取证。</w:t>
      </w:r>
    </w:p>
    <w:p w14:paraId="1D58E084">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3</w:t>
      </w:r>
      <w:r>
        <w:rPr>
          <w:rFonts w:hint="eastAsia"/>
          <w:color w:val="auto"/>
          <w:sz w:val="24"/>
          <w:highlight w:val="none"/>
        </w:rPr>
        <w:t>）中标人指定地点用于临时堆放，采取围挡、遮盖等措施。承租户自行清运装修垃圾的，应采用户内堆放和袋装运输或密闭运输的方式，避免二次污染。</w:t>
      </w:r>
    </w:p>
    <w:p w14:paraId="2803E4F9">
      <w:pPr>
        <w:shd w:val="clear"/>
        <w:spacing w:line="360" w:lineRule="auto"/>
        <w:ind w:firstLine="480" w:firstLineChars="200"/>
        <w:rPr>
          <w:color w:val="auto"/>
          <w:sz w:val="24"/>
          <w:highlight w:val="none"/>
        </w:rPr>
      </w:pPr>
      <w:r>
        <w:rPr>
          <w:color w:val="auto"/>
          <w:sz w:val="24"/>
          <w:highlight w:val="none"/>
        </w:rPr>
        <w:t>8</w:t>
      </w:r>
      <w:r>
        <w:rPr>
          <w:rFonts w:hint="eastAsia"/>
          <w:color w:val="auto"/>
          <w:sz w:val="24"/>
          <w:highlight w:val="none"/>
        </w:rPr>
        <w:t>、辅助服务</w:t>
      </w:r>
    </w:p>
    <w:p w14:paraId="4DF4693C">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1</w:t>
      </w:r>
      <w:r>
        <w:rPr>
          <w:rFonts w:hint="eastAsia"/>
          <w:color w:val="auto"/>
          <w:sz w:val="24"/>
          <w:highlight w:val="none"/>
        </w:rPr>
        <w:t>）做好外来访客引导服务，建立企业员工闹事应急预案，有序引导、安抚等候接访，确保闹事人员不进入管理区域。</w:t>
      </w:r>
    </w:p>
    <w:p w14:paraId="18B8BF01">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2</w:t>
      </w:r>
      <w:r>
        <w:rPr>
          <w:rFonts w:hint="eastAsia"/>
          <w:color w:val="auto"/>
          <w:sz w:val="24"/>
          <w:highlight w:val="none"/>
        </w:rPr>
        <w:t>）对限电、限水、停电、停水、电梯故障及相应的设备故障及时通知，并告知招标人做好相应的准备。</w:t>
      </w:r>
    </w:p>
    <w:p w14:paraId="2FF595B8">
      <w:pPr>
        <w:shd w:val="clear"/>
        <w:spacing w:line="360" w:lineRule="auto"/>
        <w:ind w:firstLine="480" w:firstLineChars="200"/>
        <w:rPr>
          <w:color w:val="auto"/>
          <w:sz w:val="24"/>
          <w:highlight w:val="none"/>
        </w:rPr>
      </w:pPr>
      <w:r>
        <w:rPr>
          <w:rFonts w:hint="eastAsia"/>
          <w:color w:val="auto"/>
          <w:sz w:val="24"/>
          <w:highlight w:val="none"/>
        </w:rPr>
        <w:t>（</w:t>
      </w:r>
      <w:r>
        <w:rPr>
          <w:color w:val="auto"/>
          <w:sz w:val="24"/>
          <w:highlight w:val="none"/>
        </w:rPr>
        <w:t>3</w:t>
      </w:r>
      <w:r>
        <w:rPr>
          <w:rFonts w:hint="eastAsia"/>
          <w:color w:val="auto"/>
          <w:sz w:val="24"/>
          <w:highlight w:val="none"/>
        </w:rPr>
        <w:t>）按要求做好园区范围内防范各类传染病的各项防疫及应急工作。</w:t>
      </w:r>
    </w:p>
    <w:p w14:paraId="0473FDB3">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olor w:val="auto"/>
          <w:sz w:val="24"/>
          <w:highlight w:val="none"/>
        </w:rPr>
        <w:t>（</w:t>
      </w:r>
      <w:r>
        <w:rPr>
          <w:color w:val="auto"/>
          <w:sz w:val="24"/>
          <w:highlight w:val="none"/>
        </w:rPr>
        <w:t>4</w:t>
      </w:r>
      <w:r>
        <w:rPr>
          <w:rFonts w:hint="eastAsia"/>
          <w:color w:val="auto"/>
          <w:sz w:val="24"/>
          <w:highlight w:val="none"/>
        </w:rPr>
        <w:t>）负责园区范围内防范各类突发性灾害（台风、洪水、危险品泄漏）等及应急工作，制定各类的应急预案，并定期组织物管人员进行应急预案演练。</w:t>
      </w:r>
    </w:p>
    <w:p w14:paraId="739CE119">
      <w:pPr>
        <w:shd w:val="clear"/>
        <w:adjustRightInd w:val="0"/>
        <w:spacing w:line="360" w:lineRule="auto"/>
        <w:ind w:firstLine="482" w:firstLineChars="200"/>
        <w:outlineLvl w:val="0"/>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b/>
          <w:color w:val="auto"/>
          <w:sz w:val="24"/>
          <w:highlight w:val="none"/>
        </w:rPr>
        <w:t>4 价款</w:t>
      </w:r>
    </w:p>
    <w:p w14:paraId="21129BE4">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本合同总价为：￥元（大写</w:t>
      </w:r>
      <w:r>
        <w:rPr>
          <w:rFonts w:hint="eastAsia" w:cs="仿宋" w:asciiTheme="minorEastAsia" w:hAnsiTheme="minorEastAsia" w:eastAsiaTheme="minorEastAsia"/>
          <w:color w:val="auto"/>
          <w:sz w:val="24"/>
          <w:highlight w:val="none"/>
          <w:u w:val="single"/>
        </w:rPr>
        <w:t>：</w:t>
      </w:r>
      <w:r>
        <w:rPr>
          <w:rFonts w:hint="eastAsia" w:cs="仿宋" w:asciiTheme="minorEastAsia" w:hAnsiTheme="minorEastAsia" w:eastAsiaTheme="minorEastAsia"/>
          <w:color w:val="auto"/>
          <w:sz w:val="24"/>
          <w:highlight w:val="none"/>
        </w:rPr>
        <w:t>元人民币）。</w:t>
      </w:r>
    </w:p>
    <w:p w14:paraId="574C7A7D">
      <w:pPr>
        <w:shd w:val="clear"/>
        <w:spacing w:line="360" w:lineRule="auto"/>
        <w:ind w:firstLine="480" w:firstLineChars="200"/>
        <w:rPr>
          <w:rFonts w:cs="仿宋" w:asciiTheme="minorEastAsia" w:hAnsiTheme="minorEastAsia" w:eastAsiaTheme="minorEastAsia"/>
          <w:color w:val="auto"/>
          <w:sz w:val="24"/>
          <w:highlight w:val="none"/>
          <w:u w:val="single"/>
        </w:rPr>
      </w:pPr>
      <w:r>
        <w:rPr>
          <w:rFonts w:hint="eastAsia" w:cs="仿宋" w:asciiTheme="minorEastAsia" w:hAnsiTheme="minorEastAsia" w:eastAsiaTheme="minorEastAsia"/>
          <w:color w:val="auto"/>
          <w:sz w:val="24"/>
          <w:highlight w:val="none"/>
        </w:rPr>
        <w:t>分项价格：</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35221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7D06C185">
            <w:pPr>
              <w:pStyle w:val="40"/>
              <w:shd w:val="clear"/>
              <w:jc w:val="center"/>
              <w:rPr>
                <w:rFonts w:cs="仿宋" w:asciiTheme="minorEastAsia" w:hAnsiTheme="minorEastAsia" w:eastAsiaTheme="minorEastAsia"/>
                <w:color w:val="auto"/>
                <w:sz w:val="24"/>
                <w:szCs w:val="24"/>
                <w:highlight w:val="none"/>
              </w:rPr>
            </w:pPr>
            <w:r>
              <w:rPr>
                <w:rFonts w:hint="eastAsia" w:cs="仿宋" w:asciiTheme="minorEastAsia" w:hAnsiTheme="minorEastAsia" w:eastAsiaTheme="minorEastAsia"/>
                <w:color w:val="auto"/>
                <w:sz w:val="24"/>
                <w:szCs w:val="24"/>
                <w:highlight w:val="none"/>
              </w:rPr>
              <w:t>序号</w:t>
            </w:r>
          </w:p>
        </w:tc>
        <w:tc>
          <w:tcPr>
            <w:tcW w:w="3402" w:type="dxa"/>
            <w:tcBorders>
              <w:top w:val="single" w:color="auto" w:sz="4" w:space="0"/>
              <w:left w:val="single" w:color="auto" w:sz="4" w:space="0"/>
              <w:bottom w:val="single" w:color="auto" w:sz="4" w:space="0"/>
              <w:right w:val="single" w:color="auto" w:sz="4" w:space="0"/>
            </w:tcBorders>
            <w:vAlign w:val="center"/>
          </w:tcPr>
          <w:p w14:paraId="5E70AE59">
            <w:pPr>
              <w:pStyle w:val="40"/>
              <w:shd w:val="clear"/>
              <w:ind w:firstLine="200"/>
              <w:jc w:val="center"/>
              <w:rPr>
                <w:rFonts w:cs="仿宋" w:asciiTheme="minorEastAsia" w:hAnsiTheme="minorEastAsia" w:eastAsiaTheme="minorEastAsia"/>
                <w:color w:val="auto"/>
                <w:sz w:val="24"/>
                <w:szCs w:val="24"/>
                <w:highlight w:val="none"/>
              </w:rPr>
            </w:pPr>
            <w:r>
              <w:rPr>
                <w:rFonts w:hint="eastAsia" w:cs="仿宋" w:asciiTheme="minorEastAsia" w:hAnsiTheme="minorEastAsia" w:eastAsiaTheme="minorEastAsia"/>
                <w:color w:val="auto"/>
                <w:sz w:val="24"/>
                <w:szCs w:val="24"/>
                <w:highlight w:val="none"/>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14:paraId="2B28592D">
            <w:pPr>
              <w:pStyle w:val="40"/>
              <w:shd w:val="clear"/>
              <w:jc w:val="center"/>
              <w:rPr>
                <w:rFonts w:cs="仿宋" w:asciiTheme="minorEastAsia" w:hAnsiTheme="minorEastAsia" w:eastAsiaTheme="minorEastAsia"/>
                <w:color w:val="auto"/>
                <w:sz w:val="24"/>
                <w:szCs w:val="24"/>
                <w:highlight w:val="none"/>
              </w:rPr>
            </w:pPr>
            <w:r>
              <w:rPr>
                <w:rFonts w:hint="eastAsia" w:cs="仿宋" w:asciiTheme="minorEastAsia" w:hAnsiTheme="minorEastAsia" w:eastAsiaTheme="minorEastAsia"/>
                <w:color w:val="auto"/>
                <w:sz w:val="24"/>
                <w:szCs w:val="24"/>
                <w:highlight w:val="none"/>
              </w:rPr>
              <w:t>分项价格</w:t>
            </w:r>
          </w:p>
        </w:tc>
      </w:tr>
      <w:tr w14:paraId="79F02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6AC6DE13">
            <w:pPr>
              <w:pStyle w:val="40"/>
              <w:shd w:val="clear"/>
              <w:ind w:firstLine="200"/>
              <w:jc w:val="center"/>
              <w:rPr>
                <w:rFonts w:cs="仿宋" w:asciiTheme="minorEastAsia" w:hAnsiTheme="minorEastAsia" w:eastAsiaTheme="minorEastAsia"/>
                <w:color w:val="auto"/>
                <w:sz w:val="24"/>
                <w:szCs w:val="24"/>
                <w:highlight w:val="none"/>
              </w:rPr>
            </w:pPr>
            <w:r>
              <w:rPr>
                <w:rFonts w:hint="eastAsia" w:cs="仿宋" w:asciiTheme="minorEastAsia" w:hAnsiTheme="minorEastAsia" w:eastAsiaTheme="minorEastAsia"/>
                <w:color w:val="auto"/>
                <w:sz w:val="24"/>
                <w:szCs w:val="24"/>
                <w:highlight w:val="none"/>
              </w:rPr>
              <w:t>1</w:t>
            </w:r>
          </w:p>
        </w:tc>
        <w:tc>
          <w:tcPr>
            <w:tcW w:w="3402" w:type="dxa"/>
            <w:tcBorders>
              <w:top w:val="single" w:color="auto" w:sz="4" w:space="0"/>
              <w:left w:val="single" w:color="auto" w:sz="4" w:space="0"/>
              <w:bottom w:val="single" w:color="auto" w:sz="4" w:space="0"/>
              <w:right w:val="single" w:color="auto" w:sz="4" w:space="0"/>
            </w:tcBorders>
            <w:vAlign w:val="center"/>
          </w:tcPr>
          <w:p w14:paraId="2DFEF418">
            <w:pPr>
              <w:pStyle w:val="40"/>
              <w:shd w:val="clear"/>
              <w:ind w:firstLine="200"/>
              <w:jc w:val="center"/>
              <w:rPr>
                <w:rFonts w:cs="仿宋" w:asciiTheme="minorEastAsia" w:hAnsiTheme="minorEastAsia" w:eastAsiaTheme="minorEastAsia"/>
                <w:color w:val="auto"/>
                <w:sz w:val="24"/>
                <w:szCs w:val="24"/>
                <w:highlight w:val="none"/>
              </w:rPr>
            </w:pPr>
            <w:r>
              <w:rPr>
                <w:rFonts w:hint="eastAsia" w:cs="仿宋" w:asciiTheme="majorEastAsia" w:hAnsiTheme="majorEastAsia" w:eastAsiaTheme="majorEastAsia"/>
                <w:color w:val="auto"/>
                <w:sz w:val="24"/>
                <w:highlight w:val="none"/>
              </w:rPr>
              <w:t>运营管理服务费</w:t>
            </w:r>
          </w:p>
        </w:tc>
        <w:tc>
          <w:tcPr>
            <w:tcW w:w="2552" w:type="dxa"/>
            <w:tcBorders>
              <w:top w:val="single" w:color="auto" w:sz="4" w:space="0"/>
              <w:left w:val="single" w:color="auto" w:sz="4" w:space="0"/>
              <w:bottom w:val="single" w:color="auto" w:sz="4" w:space="0"/>
              <w:right w:val="single" w:color="auto" w:sz="4" w:space="0"/>
            </w:tcBorders>
            <w:vAlign w:val="center"/>
          </w:tcPr>
          <w:p w14:paraId="382A459E">
            <w:pPr>
              <w:pStyle w:val="40"/>
              <w:shd w:val="clear"/>
              <w:ind w:firstLine="200"/>
              <w:jc w:val="center"/>
              <w:rPr>
                <w:rFonts w:cs="仿宋" w:asciiTheme="minorEastAsia" w:hAnsiTheme="minorEastAsia" w:eastAsiaTheme="minorEastAsia"/>
                <w:color w:val="auto"/>
                <w:sz w:val="24"/>
                <w:szCs w:val="24"/>
                <w:highlight w:val="none"/>
              </w:rPr>
            </w:pPr>
          </w:p>
        </w:tc>
      </w:tr>
      <w:tr w14:paraId="56159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0A27C9D6">
            <w:pPr>
              <w:pStyle w:val="40"/>
              <w:shd w:val="clear"/>
              <w:ind w:firstLine="200"/>
              <w:jc w:val="center"/>
              <w:rPr>
                <w:rFonts w:cs="仿宋" w:asciiTheme="minorEastAsia" w:hAnsiTheme="minorEastAsia" w:eastAsiaTheme="minorEastAsia"/>
                <w:color w:val="auto"/>
                <w:sz w:val="24"/>
                <w:szCs w:val="24"/>
                <w:highlight w:val="none"/>
              </w:rPr>
            </w:pPr>
            <w:r>
              <w:rPr>
                <w:rFonts w:hint="eastAsia" w:cs="仿宋" w:asciiTheme="minorEastAsia" w:hAnsiTheme="minorEastAsia" w:eastAsiaTheme="minorEastAsia"/>
                <w:color w:val="auto"/>
                <w:sz w:val="24"/>
                <w:szCs w:val="24"/>
                <w:highlight w:val="none"/>
              </w:rPr>
              <w:t>2</w:t>
            </w:r>
          </w:p>
        </w:tc>
        <w:tc>
          <w:tcPr>
            <w:tcW w:w="3402" w:type="dxa"/>
            <w:tcBorders>
              <w:top w:val="single" w:color="auto" w:sz="4" w:space="0"/>
              <w:left w:val="single" w:color="auto" w:sz="4" w:space="0"/>
              <w:bottom w:val="single" w:color="auto" w:sz="4" w:space="0"/>
              <w:right w:val="single" w:color="auto" w:sz="4" w:space="0"/>
            </w:tcBorders>
            <w:vAlign w:val="center"/>
          </w:tcPr>
          <w:p w14:paraId="278E8839">
            <w:pPr>
              <w:pStyle w:val="40"/>
              <w:shd w:val="clear"/>
              <w:ind w:firstLine="200"/>
              <w:jc w:val="center"/>
              <w:rPr>
                <w:rFonts w:cs="仿宋" w:asciiTheme="minorEastAsia" w:hAnsiTheme="minorEastAsia" w:eastAsiaTheme="minorEastAsia"/>
                <w:color w:val="auto"/>
                <w:sz w:val="24"/>
                <w:szCs w:val="24"/>
                <w:highlight w:val="none"/>
              </w:rPr>
            </w:pPr>
            <w:r>
              <w:rPr>
                <w:rFonts w:hint="eastAsia" w:cs="仿宋" w:asciiTheme="majorEastAsia" w:hAnsiTheme="majorEastAsia" w:eastAsiaTheme="majorEastAsia"/>
                <w:color w:val="auto"/>
                <w:sz w:val="24"/>
                <w:highlight w:val="none"/>
              </w:rPr>
              <w:t>安全管理和环境管理服务费</w:t>
            </w:r>
          </w:p>
        </w:tc>
        <w:tc>
          <w:tcPr>
            <w:tcW w:w="2552" w:type="dxa"/>
            <w:tcBorders>
              <w:top w:val="single" w:color="auto" w:sz="4" w:space="0"/>
              <w:left w:val="single" w:color="auto" w:sz="4" w:space="0"/>
              <w:bottom w:val="single" w:color="auto" w:sz="4" w:space="0"/>
              <w:right w:val="single" w:color="auto" w:sz="4" w:space="0"/>
            </w:tcBorders>
            <w:vAlign w:val="center"/>
          </w:tcPr>
          <w:p w14:paraId="248B6F5B">
            <w:pPr>
              <w:pStyle w:val="40"/>
              <w:shd w:val="clear"/>
              <w:ind w:firstLine="200"/>
              <w:jc w:val="center"/>
              <w:rPr>
                <w:rFonts w:cs="仿宋" w:asciiTheme="minorEastAsia" w:hAnsiTheme="minorEastAsia" w:eastAsiaTheme="minorEastAsia"/>
                <w:color w:val="auto"/>
                <w:sz w:val="24"/>
                <w:szCs w:val="24"/>
                <w:highlight w:val="none"/>
              </w:rPr>
            </w:pPr>
          </w:p>
        </w:tc>
      </w:tr>
      <w:tr w14:paraId="1F750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023C2E32">
            <w:pPr>
              <w:pStyle w:val="40"/>
              <w:shd w:val="clear"/>
              <w:ind w:firstLine="200"/>
              <w:jc w:val="center"/>
              <w:rPr>
                <w:rFonts w:cs="仿宋" w:asciiTheme="minorEastAsia" w:hAnsiTheme="minorEastAsia" w:eastAsiaTheme="minorEastAsia"/>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198AE03B">
            <w:pPr>
              <w:pStyle w:val="40"/>
              <w:shd w:val="clear"/>
              <w:ind w:firstLine="200"/>
              <w:jc w:val="center"/>
              <w:rPr>
                <w:rFonts w:cs="仿宋" w:asciiTheme="minorEastAsia" w:hAnsiTheme="minorEastAsia" w:eastAsiaTheme="minorEastAsia"/>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69E9F1C1">
            <w:pPr>
              <w:pStyle w:val="40"/>
              <w:shd w:val="clear"/>
              <w:ind w:firstLine="200"/>
              <w:jc w:val="center"/>
              <w:rPr>
                <w:rFonts w:cs="仿宋" w:asciiTheme="minorEastAsia" w:hAnsiTheme="minorEastAsia" w:eastAsiaTheme="minorEastAsia"/>
                <w:color w:val="auto"/>
                <w:sz w:val="24"/>
                <w:szCs w:val="24"/>
                <w:highlight w:val="none"/>
              </w:rPr>
            </w:pPr>
          </w:p>
        </w:tc>
      </w:tr>
      <w:tr w14:paraId="2C38C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132057DB">
            <w:pPr>
              <w:pStyle w:val="40"/>
              <w:shd w:val="clear"/>
              <w:ind w:firstLine="200"/>
              <w:jc w:val="center"/>
              <w:rPr>
                <w:rFonts w:cs="仿宋" w:asciiTheme="minorEastAsia" w:hAnsiTheme="minorEastAsia" w:eastAsiaTheme="minorEastAsia"/>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57425721">
            <w:pPr>
              <w:pStyle w:val="40"/>
              <w:shd w:val="clear"/>
              <w:ind w:firstLine="200"/>
              <w:jc w:val="center"/>
              <w:rPr>
                <w:rFonts w:cs="仿宋" w:asciiTheme="minorEastAsia" w:hAnsiTheme="minorEastAsia" w:eastAsiaTheme="minorEastAsia"/>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206FE2D3">
            <w:pPr>
              <w:pStyle w:val="40"/>
              <w:shd w:val="clear"/>
              <w:ind w:firstLine="200"/>
              <w:jc w:val="center"/>
              <w:rPr>
                <w:rFonts w:cs="仿宋" w:asciiTheme="minorEastAsia" w:hAnsiTheme="minorEastAsia" w:eastAsiaTheme="minorEastAsia"/>
                <w:color w:val="auto"/>
                <w:sz w:val="24"/>
                <w:szCs w:val="24"/>
                <w:highlight w:val="none"/>
              </w:rPr>
            </w:pPr>
          </w:p>
        </w:tc>
      </w:tr>
      <w:tr w14:paraId="24590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14:paraId="6008A19A">
            <w:pPr>
              <w:pStyle w:val="40"/>
              <w:shd w:val="clear"/>
              <w:ind w:firstLine="200"/>
              <w:jc w:val="center"/>
              <w:rPr>
                <w:rFonts w:cs="仿宋" w:asciiTheme="minorEastAsia" w:hAnsiTheme="minorEastAsia" w:eastAsiaTheme="minorEastAsia"/>
                <w:color w:val="auto"/>
                <w:sz w:val="24"/>
                <w:szCs w:val="24"/>
                <w:highlight w:val="none"/>
              </w:rPr>
            </w:pPr>
            <w:r>
              <w:rPr>
                <w:rFonts w:hint="eastAsia" w:cs="仿宋" w:asciiTheme="minorEastAsia" w:hAnsiTheme="minorEastAsia" w:eastAsiaTheme="minorEastAsia"/>
                <w:color w:val="auto"/>
                <w:sz w:val="24"/>
                <w:szCs w:val="24"/>
                <w:highlight w:val="none"/>
              </w:rPr>
              <w:t>总价</w:t>
            </w:r>
          </w:p>
        </w:tc>
        <w:tc>
          <w:tcPr>
            <w:tcW w:w="2552" w:type="dxa"/>
            <w:tcBorders>
              <w:top w:val="single" w:color="auto" w:sz="4" w:space="0"/>
              <w:left w:val="single" w:color="auto" w:sz="4" w:space="0"/>
              <w:bottom w:val="single" w:color="auto" w:sz="4" w:space="0"/>
              <w:right w:val="single" w:color="auto" w:sz="4" w:space="0"/>
            </w:tcBorders>
            <w:vAlign w:val="center"/>
          </w:tcPr>
          <w:p w14:paraId="57A3C334">
            <w:pPr>
              <w:pStyle w:val="40"/>
              <w:shd w:val="clear"/>
              <w:ind w:firstLine="200"/>
              <w:jc w:val="center"/>
              <w:rPr>
                <w:rFonts w:cs="仿宋" w:asciiTheme="minorEastAsia" w:hAnsiTheme="minorEastAsia" w:eastAsiaTheme="minorEastAsia"/>
                <w:color w:val="auto"/>
                <w:sz w:val="24"/>
                <w:szCs w:val="24"/>
                <w:highlight w:val="none"/>
              </w:rPr>
            </w:pPr>
          </w:p>
        </w:tc>
      </w:tr>
    </w:tbl>
    <w:p w14:paraId="3530401A">
      <w:pPr>
        <w:shd w:val="clear"/>
        <w:adjustRightInd w:val="0"/>
        <w:spacing w:line="360" w:lineRule="auto"/>
        <w:ind w:firstLine="482" w:firstLineChars="200"/>
        <w:outlineLvl w:val="0"/>
        <w:rPr>
          <w:rFonts w:cs="仿宋" w:asciiTheme="minorEastAsia" w:hAnsiTheme="minorEastAsia" w:eastAsiaTheme="minorEastAsia"/>
          <w:b/>
          <w:color w:val="auto"/>
          <w:sz w:val="24"/>
          <w:highlight w:val="none"/>
        </w:rPr>
      </w:pPr>
    </w:p>
    <w:p w14:paraId="150946DE">
      <w:pPr>
        <w:shd w:val="clear"/>
        <w:adjustRightInd w:val="0"/>
        <w:spacing w:line="360" w:lineRule="auto"/>
        <w:ind w:firstLine="482" w:firstLineChars="200"/>
        <w:outlineLvl w:val="0"/>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b/>
          <w:color w:val="auto"/>
          <w:sz w:val="24"/>
          <w:highlight w:val="none"/>
        </w:rPr>
        <w:t>5 付款方式、时间和条件</w:t>
      </w:r>
    </w:p>
    <w:p w14:paraId="621C8141">
      <w:pPr>
        <w:pStyle w:val="39"/>
        <w:shd w:val="clear"/>
        <w:spacing w:before="0" w:beforeAutospacing="0" w:after="0" w:afterAutospacing="0" w:line="360" w:lineRule="auto"/>
        <w:ind w:firstLine="480"/>
        <w:rPr>
          <w:rFonts w:cs="仿宋" w:asciiTheme="minorEastAsia" w:hAnsiTheme="minorEastAsia" w:eastAsiaTheme="minorEastAsia"/>
          <w:b/>
          <w:bCs/>
          <w:i/>
          <w:iCs/>
          <w:color w:val="auto"/>
          <w:kern w:val="2"/>
          <w:highlight w:val="none"/>
          <w:u w:val="single"/>
        </w:rPr>
      </w:pPr>
      <w:r>
        <w:rPr>
          <w:rFonts w:hint="eastAsia" w:cs="仿宋" w:asciiTheme="minorEastAsia" w:hAnsiTheme="minorEastAsia" w:eastAsiaTheme="minorEastAsia"/>
          <w:color w:val="auto"/>
          <w:kern w:val="2"/>
          <w:highlight w:val="none"/>
        </w:rPr>
        <w:t>5.1 资金支付的方式、时间和条件：</w:t>
      </w:r>
    </w:p>
    <w:p w14:paraId="02DA7BD0">
      <w:pPr>
        <w:pStyle w:val="39"/>
        <w:shd w:val="clear"/>
        <w:spacing w:before="0" w:beforeAutospacing="0" w:after="0" w:afterAutospacing="0" w:line="360" w:lineRule="auto"/>
        <w:ind w:firstLine="480"/>
        <w:rPr>
          <w:rFonts w:cs="仿宋" w:asciiTheme="minorEastAsia" w:hAnsiTheme="minorEastAsia" w:eastAsiaTheme="minorEastAsia"/>
          <w:color w:val="auto"/>
          <w:kern w:val="2"/>
          <w:highlight w:val="none"/>
        </w:rPr>
      </w:pPr>
      <w:r>
        <w:rPr>
          <w:rFonts w:hint="eastAsia" w:cs="仿宋" w:asciiTheme="minorEastAsia" w:hAnsiTheme="minorEastAsia" w:eastAsiaTheme="minorEastAsia"/>
          <w:color w:val="auto"/>
          <w:kern w:val="2"/>
          <w:highlight w:val="none"/>
        </w:rPr>
        <w:t>5.2 乙方收款账户：</w:t>
      </w:r>
    </w:p>
    <w:p w14:paraId="704641C8">
      <w:pPr>
        <w:shd w:val="clear"/>
        <w:autoSpaceDE w:val="0"/>
        <w:autoSpaceDN w:val="0"/>
        <w:spacing w:line="360" w:lineRule="auto"/>
        <w:ind w:left="1470" w:leftChars="7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开户银行：</w:t>
      </w:r>
    </w:p>
    <w:p w14:paraId="51C79A13">
      <w:pPr>
        <w:shd w:val="clear"/>
        <w:autoSpaceDE w:val="0"/>
        <w:autoSpaceDN w:val="0"/>
        <w:spacing w:line="360" w:lineRule="auto"/>
        <w:ind w:left="1470" w:leftChars="7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开户名称：</w:t>
      </w:r>
    </w:p>
    <w:p w14:paraId="5F5F33A0">
      <w:pPr>
        <w:shd w:val="clear"/>
        <w:autoSpaceDE w:val="0"/>
        <w:autoSpaceDN w:val="0"/>
        <w:spacing w:line="360" w:lineRule="auto"/>
        <w:ind w:left="1470" w:leftChars="7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开户账号：</w:t>
      </w:r>
    </w:p>
    <w:p w14:paraId="3FA2BE47">
      <w:pPr>
        <w:shd w:val="clear"/>
        <w:adjustRightInd w:val="0"/>
        <w:spacing w:line="360" w:lineRule="auto"/>
        <w:ind w:firstLine="482" w:firstLineChars="200"/>
        <w:outlineLvl w:val="0"/>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b/>
          <w:color w:val="auto"/>
          <w:sz w:val="24"/>
          <w:highlight w:val="none"/>
        </w:rPr>
        <w:t>6 服务期限、地点和服务人员要求</w:t>
      </w:r>
    </w:p>
    <w:p w14:paraId="7E2810D8">
      <w:pPr>
        <w:shd w:val="clear"/>
        <w:adjustRightInd w:val="0"/>
        <w:spacing w:line="360" w:lineRule="auto"/>
        <w:ind w:firstLine="480" w:firstLineChars="200"/>
        <w:rPr>
          <w:rFonts w:cs="仿宋" w:asciiTheme="minorEastAsia" w:hAnsiTheme="minorEastAsia" w:eastAsiaTheme="minorEastAsia"/>
          <w:color w:val="auto"/>
          <w:sz w:val="24"/>
          <w:highlight w:val="none"/>
          <w:u w:val="single"/>
        </w:rPr>
      </w:pPr>
      <w:r>
        <w:rPr>
          <w:rFonts w:hint="eastAsia" w:cs="仿宋" w:asciiTheme="minorEastAsia" w:hAnsiTheme="minorEastAsia" w:eastAsiaTheme="minorEastAsia"/>
          <w:color w:val="auto"/>
          <w:sz w:val="24"/>
          <w:highlight w:val="none"/>
        </w:rPr>
        <w:t>6.1 服务期限：</w:t>
      </w:r>
    </w:p>
    <w:p w14:paraId="1397BF90">
      <w:pPr>
        <w:shd w:val="clear"/>
        <w:adjustRightInd w:val="0"/>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6.2 服务地点：</w:t>
      </w:r>
      <w:r>
        <w:rPr>
          <w:rFonts w:hint="eastAsia" w:cs="仿宋" w:asciiTheme="minorEastAsia" w:hAnsiTheme="minorEastAsia" w:eastAsiaTheme="minorEastAsia"/>
          <w:color w:val="auto"/>
          <w:sz w:val="24"/>
          <w:highlight w:val="none"/>
          <w:u w:val="single"/>
        </w:rPr>
        <w:t xml:space="preserve"> 宁南工业孵化基地园区</w:t>
      </w:r>
    </w:p>
    <w:p w14:paraId="79D23058">
      <w:pPr>
        <w:shd w:val="clear"/>
        <w:adjustRightInd w:val="0"/>
        <w:spacing w:line="360" w:lineRule="auto"/>
        <w:ind w:firstLine="482" w:firstLineChars="200"/>
        <w:outlineLvl w:val="0"/>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b/>
          <w:color w:val="auto"/>
          <w:sz w:val="24"/>
          <w:highlight w:val="none"/>
        </w:rPr>
        <w:t>7 技术规范</w:t>
      </w:r>
    </w:p>
    <w:p w14:paraId="795AEDE5">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服务所应遵守的技术规范应与招标文件规定的技术规范和技术规范附件(如果有的话)及其技术规范偏差表(如果被甲方接受的话)相一致；如果招标文件中没有技术规范的相应说明，那么应以国家有关部门最新颁布的相应标准和规范为准。</w:t>
      </w:r>
    </w:p>
    <w:p w14:paraId="2936ED01">
      <w:pPr>
        <w:shd w:val="clear"/>
        <w:adjustRightInd w:val="0"/>
        <w:spacing w:line="360" w:lineRule="auto"/>
        <w:ind w:firstLine="482" w:firstLineChars="200"/>
        <w:outlineLvl w:val="0"/>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b/>
          <w:color w:val="auto"/>
          <w:sz w:val="24"/>
          <w:highlight w:val="none"/>
        </w:rPr>
        <w:t>8 知识产权</w:t>
      </w:r>
    </w:p>
    <w:p w14:paraId="061B570C">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8.1 乙方应保证甲方在使用服务成果或其任何一部分时不受任何第三方提出的侵犯其著作权、商标权、专利权等知识产权方面的起诉；如果任何第三方提出侵权指控，那么乙方须与该第三方交涉并承担由此发生的一切责任、费用和赔偿；</w:t>
      </w:r>
    </w:p>
    <w:p w14:paraId="278933DF">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8.2具有知识产权的计算机软件等服务的知识产权归属，除合同另有规定外，归甲方所有。</w:t>
      </w:r>
    </w:p>
    <w:p w14:paraId="4D60E1F4">
      <w:pPr>
        <w:shd w:val="clear"/>
        <w:adjustRightInd w:val="0"/>
        <w:spacing w:line="360" w:lineRule="auto"/>
        <w:ind w:firstLine="482" w:firstLineChars="200"/>
        <w:outlineLvl w:val="0"/>
        <w:rPr>
          <w:rFonts w:cs="仿宋" w:asciiTheme="minorEastAsia" w:hAnsiTheme="minorEastAsia" w:eastAsiaTheme="minorEastAsia"/>
          <w:b/>
          <w:color w:val="auto"/>
          <w:sz w:val="24"/>
          <w:highlight w:val="none"/>
        </w:rPr>
      </w:pPr>
      <w:bookmarkStart w:id="524" w:name="OLE_LINK150"/>
      <w:bookmarkStart w:id="525" w:name="OLE_LINK151"/>
      <w:r>
        <w:rPr>
          <w:rFonts w:hint="eastAsia" w:cs="仿宋" w:asciiTheme="minorEastAsia" w:hAnsiTheme="minorEastAsia" w:eastAsiaTheme="minorEastAsia"/>
          <w:b/>
          <w:color w:val="auto"/>
          <w:sz w:val="24"/>
          <w:highlight w:val="none"/>
        </w:rPr>
        <w:t>9履约保证金</w:t>
      </w:r>
    </w:p>
    <w:p w14:paraId="223A321E">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9.1 招标文件要求乙方提交履约保证金的，乙方应按方式（电汇、银行保函、保险公司保函。），在合同签订并生效后</w:t>
      </w:r>
      <w:r>
        <w:rPr>
          <w:rFonts w:hint="eastAsia" w:cs="仿宋" w:asciiTheme="minorEastAsia" w:hAnsiTheme="minorEastAsia" w:eastAsiaTheme="minorEastAsia"/>
          <w:color w:val="auto"/>
          <w:sz w:val="24"/>
          <w:highlight w:val="none"/>
          <w:u w:val="single"/>
        </w:rPr>
        <w:t xml:space="preserve">  7  </w:t>
      </w:r>
      <w:r>
        <w:rPr>
          <w:rFonts w:hint="eastAsia" w:cs="仿宋" w:asciiTheme="minorEastAsia" w:hAnsiTheme="minorEastAsia" w:eastAsiaTheme="minorEastAsia"/>
          <w:color w:val="auto"/>
          <w:sz w:val="24"/>
          <w:highlight w:val="none"/>
        </w:rPr>
        <w:t>日内提交合同金额2.5%的履约保证金。</w:t>
      </w:r>
    </w:p>
    <w:p w14:paraId="3632FF7C">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9.2  履约保证金在（合同规定的履约时间）内不予退还。乙方在前述约定期间届满前能履行完合同约定义务事项的，甲方在前述约定期间届满之日起10日内，将履约保证金无息退还乙方。</w:t>
      </w:r>
    </w:p>
    <w:p w14:paraId="3508CE05">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9.3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524"/>
    <w:bookmarkEnd w:id="525"/>
    <w:p w14:paraId="08F1FA06">
      <w:pPr>
        <w:shd w:val="clear"/>
        <w:adjustRightInd w:val="0"/>
        <w:spacing w:line="360" w:lineRule="auto"/>
        <w:ind w:firstLine="482" w:firstLineChars="200"/>
        <w:outlineLvl w:val="0"/>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b/>
          <w:color w:val="auto"/>
          <w:sz w:val="24"/>
          <w:highlight w:val="none"/>
        </w:rPr>
        <w:t>10定期考核和问题反馈</w:t>
      </w:r>
    </w:p>
    <w:p w14:paraId="70DF7C04">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10.1甲方有权定期对乙方提供的服务履约情况进行检查与考核（考核办法详见附件一、附件二），以确保乙方所提供的服务能够依约满足甲方之项目需求，但不得因履约检查妨碍乙方的正常工作，乙方应予积极配合；</w:t>
      </w:r>
    </w:p>
    <w:p w14:paraId="7E106FB9">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10.2 合同履行期间，甲方有权将履行过程中出现的问题反馈给乙方，双方当事人应以书面形式约定需要完善和改进的内容。</w:t>
      </w:r>
    </w:p>
    <w:p w14:paraId="070BECE6">
      <w:pPr>
        <w:shd w:val="clear"/>
        <w:spacing w:line="360" w:lineRule="auto"/>
        <w:ind w:firstLine="482" w:firstLineChars="200"/>
        <w:outlineLvl w:val="0"/>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b/>
          <w:color w:val="auto"/>
          <w:sz w:val="24"/>
          <w:highlight w:val="none"/>
        </w:rPr>
        <w:t>11 项目验收</w:t>
      </w:r>
    </w:p>
    <w:p w14:paraId="395AF91C">
      <w:pPr>
        <w:shd w:val="clear"/>
        <w:tabs>
          <w:tab w:val="left" w:pos="360"/>
          <w:tab w:val="left" w:pos="540"/>
          <w:tab w:val="left" w:pos="1080"/>
        </w:tabs>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合同期满或者履行完毕后，甲方应当组织（包括依法邀请国家认可的质量检测机构参加）对乙方履约的验收，即：按照合同约定的技术、服务、安全标准，组织对每一项技术、服务、安全标准的履约情况的验收，并出具验收书。</w:t>
      </w:r>
    </w:p>
    <w:p w14:paraId="2EE3608B">
      <w:pPr>
        <w:shd w:val="clear"/>
        <w:spacing w:line="360" w:lineRule="auto"/>
        <w:ind w:firstLine="482" w:firstLineChars="200"/>
        <w:outlineLvl w:val="0"/>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b/>
          <w:color w:val="auto"/>
          <w:sz w:val="24"/>
          <w:highlight w:val="none"/>
        </w:rPr>
        <w:t>12 技术资料和保密义务</w:t>
      </w:r>
    </w:p>
    <w:p w14:paraId="367F5C27">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12.1 乙方有权依据合同约定和项目需要，向甲方了解有关情况，调阅有关资料等，甲方应予积极配合；</w:t>
      </w:r>
    </w:p>
    <w:p w14:paraId="20C2AD5A">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12.2 乙方有义务妥善保管和保护由甲方提供的前款信息和资料等；</w:t>
      </w:r>
    </w:p>
    <w:p w14:paraId="3133AA17">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12.3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6D558572">
      <w:pPr>
        <w:shd w:val="clear"/>
        <w:spacing w:line="360" w:lineRule="auto"/>
        <w:ind w:firstLine="482" w:firstLineChars="200"/>
        <w:outlineLvl w:val="0"/>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b/>
          <w:color w:val="auto"/>
          <w:sz w:val="24"/>
          <w:highlight w:val="none"/>
        </w:rPr>
        <w:t>13 质量保证</w:t>
      </w:r>
    </w:p>
    <w:p w14:paraId="33416C8E">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13.1 乙方应建立和完善履行合同的内部质量保证体系，并提供相关内部规章制度给甲方，以便甲方进行监督检查；</w:t>
      </w:r>
    </w:p>
    <w:p w14:paraId="62C3BC44">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13.2 乙方应保证履行合同的人员数量和素质、软件和硬件设备的配置、场地、环境和设施等满足全面履行合同的要求，并应接受甲方的监督检查。</w:t>
      </w:r>
    </w:p>
    <w:p w14:paraId="0F20A8BA">
      <w:pPr>
        <w:shd w:val="clear"/>
        <w:spacing w:line="360" w:lineRule="auto"/>
        <w:ind w:firstLine="482" w:firstLineChars="200"/>
        <w:outlineLvl w:val="0"/>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b/>
          <w:color w:val="auto"/>
          <w:sz w:val="24"/>
          <w:highlight w:val="none"/>
        </w:rPr>
        <w:t>14 履约的风险负担</w:t>
      </w:r>
    </w:p>
    <w:p w14:paraId="3DD01FF0">
      <w:pPr>
        <w:shd w:val="clear"/>
        <w:spacing w:line="360" w:lineRule="auto"/>
        <w:ind w:firstLine="480" w:firstLineChars="200"/>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color w:val="auto"/>
          <w:sz w:val="24"/>
          <w:highlight w:val="none"/>
        </w:rPr>
        <w:t>在履行合同时，乙方服务人员及设备的相关风险均由乙方自行承担。</w:t>
      </w:r>
    </w:p>
    <w:p w14:paraId="64D63CD8">
      <w:pPr>
        <w:shd w:val="clear"/>
        <w:spacing w:line="360" w:lineRule="auto"/>
        <w:ind w:firstLine="482" w:firstLineChars="200"/>
        <w:outlineLvl w:val="0"/>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b/>
          <w:color w:val="auto"/>
          <w:sz w:val="24"/>
          <w:highlight w:val="none"/>
        </w:rPr>
        <w:t>15延迟服务</w:t>
      </w:r>
    </w:p>
    <w:p w14:paraId="1BC63A39">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在合同履行过程中，如果乙方遇到不能按时完成服务的情况，应及时以书面形式将不能按时完成的理由、预期延误时间通知甲方；甲方收到乙方通知后，认为其理由正当的，可以书面形式酌情同意乙方可以延长服务的具体时间。</w:t>
      </w:r>
    </w:p>
    <w:p w14:paraId="2BE98224">
      <w:pPr>
        <w:shd w:val="clear"/>
        <w:spacing w:line="360" w:lineRule="auto"/>
        <w:ind w:firstLine="482" w:firstLineChars="200"/>
        <w:outlineLvl w:val="0"/>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b/>
          <w:color w:val="auto"/>
          <w:sz w:val="24"/>
          <w:highlight w:val="none"/>
        </w:rPr>
        <w:t>16合同变更</w:t>
      </w:r>
    </w:p>
    <w:p w14:paraId="3E21F8B2">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040EE279">
      <w:pPr>
        <w:shd w:val="clear"/>
        <w:spacing w:line="360" w:lineRule="auto"/>
        <w:ind w:firstLine="482" w:firstLineChars="200"/>
        <w:outlineLvl w:val="0"/>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b/>
          <w:color w:val="auto"/>
          <w:sz w:val="24"/>
          <w:highlight w:val="none"/>
        </w:rPr>
        <w:t>17合同转让和分包</w:t>
      </w:r>
    </w:p>
    <w:p w14:paraId="53D4160A">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合同的权利义务依法不得转让。</w:t>
      </w:r>
    </w:p>
    <w:p w14:paraId="4D8C4598">
      <w:pPr>
        <w:shd w:val="clear"/>
        <w:spacing w:line="360" w:lineRule="auto"/>
        <w:ind w:firstLine="482" w:firstLineChars="200"/>
        <w:outlineLvl w:val="0"/>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b/>
          <w:color w:val="auto"/>
          <w:sz w:val="24"/>
          <w:highlight w:val="none"/>
        </w:rPr>
        <w:t>18 违约责任</w:t>
      </w:r>
    </w:p>
    <w:p w14:paraId="2DF1CE45">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18.1 除不可抗力外，如果乙方拒绝履行合同，或没有按照本合同约定的期限、标准和成果展现方式完成服务，那么甲方可要求乙方支付违约金，违约金按每日计合同总价的</w:t>
      </w:r>
      <w:r>
        <w:rPr>
          <w:rFonts w:hint="eastAsia" w:cs="仿宋" w:asciiTheme="minorEastAsia" w:hAnsiTheme="minorEastAsia" w:eastAsiaTheme="minorEastAsia"/>
          <w:color w:val="auto"/>
          <w:sz w:val="24"/>
          <w:highlight w:val="none"/>
          <w:u w:val="single"/>
        </w:rPr>
        <w:t xml:space="preserve">  0.05  </w:t>
      </w:r>
      <w:r>
        <w:rPr>
          <w:rFonts w:hint="eastAsia" w:cs="仿宋" w:asciiTheme="minorEastAsia" w:hAnsiTheme="minorEastAsia" w:eastAsiaTheme="minorEastAsia"/>
          <w:color w:val="auto"/>
          <w:sz w:val="24"/>
          <w:highlight w:val="none"/>
        </w:rPr>
        <w:t>%，乙方逾期履行超过30天的，甲方有权单方解除合同，并要求乙方按合同价款总额的20%承担违约金；</w:t>
      </w:r>
    </w:p>
    <w:p w14:paraId="5CEC821B">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18.2 除不可抗力外，如果甲方没有按照本合同约定的付款方式付款，那么乙方可要求甲方支付违约金，违约金按每迟延付款一日的应付而未付款的</w:t>
      </w:r>
      <w:r>
        <w:rPr>
          <w:rFonts w:hint="eastAsia" w:cs="仿宋" w:asciiTheme="minorEastAsia" w:hAnsiTheme="minorEastAsia" w:eastAsiaTheme="minorEastAsia"/>
          <w:color w:val="auto"/>
          <w:sz w:val="24"/>
          <w:highlight w:val="none"/>
          <w:u w:val="single"/>
        </w:rPr>
        <w:t xml:space="preserve">  0.05  </w:t>
      </w:r>
      <w:r>
        <w:rPr>
          <w:rFonts w:hint="eastAsia" w:cs="仿宋" w:asciiTheme="minorEastAsia" w:hAnsiTheme="minorEastAsia" w:eastAsiaTheme="minorEastAsia"/>
          <w:color w:val="auto"/>
          <w:sz w:val="24"/>
          <w:highlight w:val="none"/>
        </w:rPr>
        <w:t>%计算，最高限额为本合同总价的</w:t>
      </w:r>
      <w:r>
        <w:rPr>
          <w:rFonts w:hint="eastAsia" w:cs="仿宋" w:asciiTheme="minorEastAsia" w:hAnsiTheme="minorEastAsia" w:eastAsiaTheme="minorEastAsia"/>
          <w:color w:val="auto"/>
          <w:sz w:val="24"/>
          <w:highlight w:val="none"/>
          <w:u w:val="single"/>
        </w:rPr>
        <w:t xml:space="preserve">  10   </w:t>
      </w:r>
      <w:r>
        <w:rPr>
          <w:rFonts w:hint="eastAsia" w:cs="仿宋" w:asciiTheme="minorEastAsia" w:hAnsiTheme="minorEastAsia" w:eastAsiaTheme="minorEastAsia"/>
          <w:color w:val="auto"/>
          <w:sz w:val="24"/>
          <w:highlight w:val="none"/>
        </w:rPr>
        <w:t>%；迟延付款的违约金计算数额达到前述最高限额之日起，乙方有权在要求甲方支付违约金的同时，书面通知甲方并解除本合同；</w:t>
      </w:r>
    </w:p>
    <w:p w14:paraId="6AF210B3">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并解除本合同，守约方有权要求违约方按合同价款总额的20%承担违约金。</w:t>
      </w:r>
    </w:p>
    <w:p w14:paraId="1D6A5929">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18.4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726DC690">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18.5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1EADF22B">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18.6 如果出现政府采购监督管理部门在处理投诉事项期间，书面通知甲方暂停采购活动的情形，或者询问或质疑事项可能影响中标结果的，导致甲方中止履行合同的情形，均不视为甲方违约。</w:t>
      </w:r>
    </w:p>
    <w:p w14:paraId="6B2CBAEB">
      <w:pPr>
        <w:shd w:val="clear"/>
        <w:spacing w:line="360" w:lineRule="auto"/>
        <w:ind w:firstLine="482" w:firstLineChars="200"/>
        <w:outlineLvl w:val="0"/>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b/>
          <w:color w:val="auto"/>
          <w:sz w:val="24"/>
          <w:highlight w:val="none"/>
        </w:rPr>
        <w:t>19 不可抗力</w:t>
      </w:r>
    </w:p>
    <w:p w14:paraId="150FAF50">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19.1如果任何一方遭遇法律规定的不可抗力，致使合同履行受阻时，履行合同的期限应予延长，延长的期限应相当于不可抗力所影响的时间；</w:t>
      </w:r>
    </w:p>
    <w:p w14:paraId="6395A303">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19.2 因不可抗力致使不能实现合同目的的，当事人可以解除合同；</w:t>
      </w:r>
    </w:p>
    <w:p w14:paraId="270EEFCF">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19.3 因不可抗力致使合同有变更必要的，双方当事人应在不可抗力发生后</w:t>
      </w:r>
      <w:r>
        <w:rPr>
          <w:rFonts w:hint="eastAsia" w:cs="仿宋" w:asciiTheme="minorEastAsia" w:hAnsiTheme="minorEastAsia" w:eastAsiaTheme="minorEastAsia"/>
          <w:color w:val="auto"/>
          <w:sz w:val="24"/>
          <w:highlight w:val="none"/>
          <w:u w:val="single"/>
        </w:rPr>
        <w:t xml:space="preserve"> 10 </w:t>
      </w:r>
      <w:r>
        <w:rPr>
          <w:rFonts w:hint="eastAsia" w:cs="仿宋" w:asciiTheme="minorEastAsia" w:hAnsiTheme="minorEastAsia" w:eastAsiaTheme="minorEastAsia"/>
          <w:color w:val="auto"/>
          <w:sz w:val="24"/>
          <w:highlight w:val="none"/>
        </w:rPr>
        <w:t>日内以书面形式变更合同；</w:t>
      </w:r>
    </w:p>
    <w:p w14:paraId="03330AE7">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19.4受不可抗力影响的一方在不可抗力发生后，应在</w:t>
      </w:r>
      <w:r>
        <w:rPr>
          <w:rFonts w:hint="eastAsia" w:cs="仿宋" w:asciiTheme="minorEastAsia" w:hAnsiTheme="minorEastAsia" w:eastAsiaTheme="minorEastAsia"/>
          <w:color w:val="auto"/>
          <w:sz w:val="24"/>
          <w:highlight w:val="none"/>
          <w:u w:val="single"/>
        </w:rPr>
        <w:t xml:space="preserve">  5  </w:t>
      </w:r>
      <w:r>
        <w:rPr>
          <w:rFonts w:hint="eastAsia" w:cs="仿宋" w:asciiTheme="minorEastAsia" w:hAnsiTheme="minorEastAsia" w:eastAsiaTheme="minorEastAsia"/>
          <w:color w:val="auto"/>
          <w:sz w:val="24"/>
          <w:highlight w:val="none"/>
        </w:rPr>
        <w:t>日内以书面形式通知对方当事人，并在</w:t>
      </w:r>
      <w:r>
        <w:rPr>
          <w:rFonts w:hint="eastAsia" w:cs="仿宋" w:asciiTheme="minorEastAsia" w:hAnsiTheme="minorEastAsia" w:eastAsiaTheme="minorEastAsia"/>
          <w:color w:val="auto"/>
          <w:sz w:val="24"/>
          <w:highlight w:val="none"/>
          <w:u w:val="single"/>
        </w:rPr>
        <w:t xml:space="preserve">  15  </w:t>
      </w:r>
      <w:r>
        <w:rPr>
          <w:rFonts w:hint="eastAsia" w:cs="仿宋" w:asciiTheme="minorEastAsia" w:hAnsiTheme="minorEastAsia" w:eastAsiaTheme="minorEastAsia"/>
          <w:color w:val="auto"/>
          <w:sz w:val="24"/>
          <w:highlight w:val="none"/>
        </w:rPr>
        <w:t>日内，将有关部门出具的证明文件送达对方当事人。</w:t>
      </w:r>
    </w:p>
    <w:p w14:paraId="26C26654">
      <w:pPr>
        <w:shd w:val="clear"/>
        <w:spacing w:line="360" w:lineRule="auto"/>
        <w:ind w:firstLine="482" w:firstLineChars="200"/>
        <w:outlineLvl w:val="0"/>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b/>
          <w:color w:val="auto"/>
          <w:sz w:val="24"/>
          <w:highlight w:val="none"/>
        </w:rPr>
        <w:t>20税费</w:t>
      </w:r>
    </w:p>
    <w:p w14:paraId="31BCF92C">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与合同有关的一切税费，均按照中华人民共和国法律的相关规定。</w:t>
      </w:r>
    </w:p>
    <w:p w14:paraId="49538D9B">
      <w:pPr>
        <w:shd w:val="clear"/>
        <w:spacing w:line="360" w:lineRule="auto"/>
        <w:ind w:firstLine="482" w:firstLineChars="200"/>
        <w:outlineLvl w:val="0"/>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b/>
          <w:color w:val="auto"/>
          <w:sz w:val="24"/>
          <w:highlight w:val="none"/>
        </w:rPr>
        <w:t>21乙方破产</w:t>
      </w:r>
    </w:p>
    <w:p w14:paraId="53F01C2A">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5568B4C6">
      <w:pPr>
        <w:shd w:val="clear"/>
        <w:spacing w:line="360" w:lineRule="auto"/>
        <w:ind w:firstLine="482" w:firstLineChars="200"/>
        <w:outlineLvl w:val="0"/>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b/>
          <w:color w:val="auto"/>
          <w:sz w:val="24"/>
          <w:highlight w:val="none"/>
        </w:rPr>
        <w:t>22 合同争议的解决</w:t>
      </w:r>
    </w:p>
    <w:p w14:paraId="28E718FA">
      <w:pPr>
        <w:shd w:val="clear"/>
        <w:adjustRightInd w:val="0"/>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本合同履行过程中发生的任何争议，双方当事人均可通过和解或者调解解决；不愿和解、调解或者和解、调解不成的，可以向宁波市奉化区人民法院提起诉讼。若一方存在违约或侵权行为，违约方应承担守约方因此发生的诉讼费、保全费、保全担保或保全保险费、调查取证费、评估鉴定费、律师费、执行费用等合理费用。</w:t>
      </w:r>
    </w:p>
    <w:p w14:paraId="7CD8E7CD">
      <w:pPr>
        <w:shd w:val="clear"/>
        <w:spacing w:line="360" w:lineRule="auto"/>
        <w:ind w:firstLine="482" w:firstLineChars="200"/>
        <w:outlineLvl w:val="0"/>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b/>
          <w:color w:val="auto"/>
          <w:sz w:val="24"/>
          <w:highlight w:val="none"/>
        </w:rPr>
        <w:t>23合同中止、终止</w:t>
      </w:r>
    </w:p>
    <w:p w14:paraId="64D94A5C">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23.1 双方当事人不得擅自中止或者终止合同；</w:t>
      </w:r>
    </w:p>
    <w:p w14:paraId="50A92989">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23.2合同继续履行将损害国家利益和社会公共利益的，双方当事人应当中止或者终止合同。有过错的一方应当承担赔偿责任，双方当事人都有过错的，各自承担相应的责任。</w:t>
      </w:r>
    </w:p>
    <w:p w14:paraId="5751445B">
      <w:pPr>
        <w:shd w:val="clear"/>
        <w:spacing w:line="360" w:lineRule="auto"/>
        <w:ind w:firstLine="482" w:firstLineChars="200"/>
        <w:outlineLvl w:val="0"/>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b/>
          <w:color w:val="auto"/>
          <w:sz w:val="24"/>
          <w:highlight w:val="none"/>
        </w:rPr>
        <w:t>24 通知和送达</w:t>
      </w:r>
    </w:p>
    <w:p w14:paraId="6A126614">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24.1任何一方因履行合同而以合同尾部所列明的传真或电子邮件发出的所有通知、文件、材料，均视为已向对方当事人送达；任何一方变更上述送达方式或者地址的，应于</w:t>
      </w:r>
      <w:r>
        <w:rPr>
          <w:rFonts w:hint="eastAsia" w:cs="仿宋" w:asciiTheme="minorEastAsia" w:hAnsiTheme="minorEastAsia" w:eastAsiaTheme="minorEastAsia"/>
          <w:color w:val="auto"/>
          <w:sz w:val="24"/>
          <w:highlight w:val="none"/>
          <w:u w:val="single"/>
        </w:rPr>
        <w:t>3</w:t>
      </w:r>
      <w:r>
        <w:rPr>
          <w:rFonts w:hint="eastAsia" w:cs="仿宋" w:asciiTheme="minorEastAsia" w:hAnsiTheme="minorEastAsia" w:eastAsiaTheme="minorEastAsia"/>
          <w:color w:val="auto"/>
          <w:sz w:val="24"/>
          <w:highlight w:val="none"/>
        </w:rPr>
        <w:t>个工作日内书面通知对方当事人，在对方当事人收到有关变更通知之前，变更前的约定送达方式或者地址仍视为有效。</w:t>
      </w:r>
    </w:p>
    <w:p w14:paraId="42D2BDAA">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24.2以当面交付方式送达的，交付之时视为送达；以电子邮件方式送达的，发出电子邮件之时视为送达；以传真方式送达的，发出传真之时视为送达；以邮寄方式送达的，邮件挂号寄出或者交邮之日之次日视为送达。</w:t>
      </w:r>
    </w:p>
    <w:p w14:paraId="76346FD2">
      <w:pPr>
        <w:shd w:val="clear"/>
        <w:spacing w:line="360" w:lineRule="auto"/>
        <w:ind w:firstLine="482" w:firstLineChars="200"/>
        <w:outlineLvl w:val="0"/>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b/>
          <w:color w:val="auto"/>
          <w:sz w:val="24"/>
          <w:highlight w:val="none"/>
        </w:rPr>
        <w:t>25 计量单位</w:t>
      </w:r>
    </w:p>
    <w:p w14:paraId="015D1AB1">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除技术规范中另有规定外,合同的计量单位均使用国家法定计量单位。</w:t>
      </w:r>
    </w:p>
    <w:p w14:paraId="59772625">
      <w:pPr>
        <w:shd w:val="clear"/>
        <w:spacing w:line="360" w:lineRule="auto"/>
        <w:ind w:firstLine="482" w:firstLineChars="200"/>
        <w:outlineLvl w:val="0"/>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b/>
          <w:color w:val="auto"/>
          <w:sz w:val="24"/>
          <w:highlight w:val="none"/>
        </w:rPr>
        <w:t>26合同使用的文字和适用的法律</w:t>
      </w:r>
    </w:p>
    <w:p w14:paraId="3B269FEA">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26.1 合同使用汉语书就、变更和解释；</w:t>
      </w:r>
    </w:p>
    <w:p w14:paraId="09F5ADA8">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26.2 合同适用中华人民共和国法律。</w:t>
      </w:r>
    </w:p>
    <w:p w14:paraId="404E24AD">
      <w:pPr>
        <w:shd w:val="clear"/>
        <w:spacing w:line="360" w:lineRule="auto"/>
        <w:ind w:firstLine="482" w:firstLineChars="200"/>
        <w:outlineLvl w:val="0"/>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b/>
          <w:color w:val="auto"/>
          <w:sz w:val="24"/>
          <w:highlight w:val="none"/>
        </w:rPr>
        <w:t>27合同效力</w:t>
      </w:r>
    </w:p>
    <w:p w14:paraId="62054322">
      <w:pPr>
        <w:shd w:val="clear"/>
        <w:spacing w:line="360" w:lineRule="auto"/>
        <w:ind w:firstLine="480" w:firstLineChars="200"/>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本合同一式四份，甲乙双方各两份，每份均具有同等法律效力。本合同自双方盖章并且法定代表人或授权代表签字时生效。</w:t>
      </w:r>
    </w:p>
    <w:p w14:paraId="6D3E6944">
      <w:pPr>
        <w:shd w:val="clear"/>
        <w:autoSpaceDE w:val="0"/>
        <w:autoSpaceDN w:val="0"/>
        <w:spacing w:line="360" w:lineRule="auto"/>
        <w:rPr>
          <w:rFonts w:cs="仿宋" w:asciiTheme="minorEastAsia" w:hAnsiTheme="minorEastAsia" w:eastAsiaTheme="minorEastAsia"/>
          <w:color w:val="auto"/>
          <w:sz w:val="24"/>
          <w:highlight w:val="none"/>
          <w:lang w:val="zh-CN"/>
        </w:rPr>
      </w:pPr>
    </w:p>
    <w:p w14:paraId="7CAF5FEC">
      <w:pPr>
        <w:shd w:val="clear"/>
        <w:autoSpaceDE w:val="0"/>
        <w:autoSpaceDN w:val="0"/>
        <w:spacing w:line="360" w:lineRule="auto"/>
        <w:rPr>
          <w:rFonts w:cs="仿宋" w:asciiTheme="minorEastAsia" w:hAnsiTheme="minorEastAsia" w:eastAsiaTheme="minorEastAsia"/>
          <w:b/>
          <w:color w:val="auto"/>
          <w:sz w:val="24"/>
          <w:highlight w:val="none"/>
          <w:lang w:val="zh-CN"/>
        </w:rPr>
      </w:pPr>
    </w:p>
    <w:p w14:paraId="567B0CAD">
      <w:pPr>
        <w:shd w:val="clear"/>
        <w:autoSpaceDE w:val="0"/>
        <w:autoSpaceDN w:val="0"/>
        <w:spacing w:line="360" w:lineRule="auto"/>
        <w:rPr>
          <w:rFonts w:cs="仿宋" w:asciiTheme="minorEastAsia" w:hAnsiTheme="minorEastAsia" w:eastAsiaTheme="minorEastAsia"/>
          <w:color w:val="auto"/>
          <w:sz w:val="24"/>
          <w:highlight w:val="none"/>
          <w:lang w:val="zh-CN"/>
        </w:rPr>
      </w:pPr>
      <w:r>
        <w:rPr>
          <w:rFonts w:hint="eastAsia" w:cs="仿宋" w:asciiTheme="minorEastAsia" w:hAnsiTheme="minorEastAsia" w:eastAsiaTheme="minorEastAsia"/>
          <w:b/>
          <w:color w:val="auto"/>
          <w:sz w:val="24"/>
          <w:highlight w:val="none"/>
          <w:lang w:val="zh-CN"/>
        </w:rPr>
        <w:t>甲方名称（公章）</w:t>
      </w:r>
      <w:r>
        <w:rPr>
          <w:rFonts w:hint="eastAsia" w:cs="仿宋" w:asciiTheme="minorEastAsia" w:hAnsiTheme="minorEastAsia" w:eastAsiaTheme="minorEastAsia"/>
          <w:color w:val="auto"/>
          <w:sz w:val="24"/>
          <w:highlight w:val="none"/>
          <w:lang w:val="zh-CN"/>
        </w:rPr>
        <w:t xml:space="preserve">：                       </w:t>
      </w:r>
      <w:r>
        <w:rPr>
          <w:rFonts w:hint="eastAsia" w:cs="仿宋" w:asciiTheme="minorEastAsia" w:hAnsiTheme="minorEastAsia" w:eastAsiaTheme="minorEastAsia"/>
          <w:b/>
          <w:color w:val="auto"/>
          <w:sz w:val="24"/>
          <w:highlight w:val="none"/>
          <w:lang w:val="zh-CN"/>
        </w:rPr>
        <w:t>乙方名称（公章）</w:t>
      </w:r>
      <w:r>
        <w:rPr>
          <w:rFonts w:hint="eastAsia" w:cs="仿宋" w:asciiTheme="minorEastAsia" w:hAnsiTheme="minorEastAsia" w:eastAsiaTheme="minorEastAsia"/>
          <w:color w:val="auto"/>
          <w:sz w:val="24"/>
          <w:highlight w:val="none"/>
          <w:lang w:val="zh-CN"/>
        </w:rPr>
        <w:t>：</w:t>
      </w:r>
    </w:p>
    <w:p w14:paraId="52DA6ADA">
      <w:pPr>
        <w:shd w:val="clear"/>
        <w:autoSpaceDE w:val="0"/>
        <w:autoSpaceDN w:val="0"/>
        <w:spacing w:line="360" w:lineRule="auto"/>
        <w:rPr>
          <w:rFonts w:cs="仿宋" w:asciiTheme="minorEastAsia" w:hAnsiTheme="minorEastAsia" w:eastAsiaTheme="minorEastAsia"/>
          <w:color w:val="auto"/>
          <w:sz w:val="24"/>
          <w:highlight w:val="none"/>
          <w:lang w:val="zh-CN"/>
        </w:rPr>
      </w:pPr>
    </w:p>
    <w:p w14:paraId="69A7B01D">
      <w:pPr>
        <w:shd w:val="clear"/>
        <w:autoSpaceDE w:val="0"/>
        <w:autoSpaceDN w:val="0"/>
        <w:spacing w:line="360" w:lineRule="auto"/>
        <w:rPr>
          <w:rFonts w:cs="仿宋" w:asciiTheme="minorEastAsia" w:hAnsiTheme="minorEastAsia" w:eastAsiaTheme="minorEastAsia"/>
          <w:color w:val="auto"/>
          <w:sz w:val="24"/>
          <w:highlight w:val="none"/>
          <w:lang w:val="zh-CN"/>
        </w:rPr>
      </w:pPr>
      <w:r>
        <w:rPr>
          <w:rFonts w:hint="eastAsia" w:cs="仿宋" w:asciiTheme="minorEastAsia" w:hAnsiTheme="minorEastAsia" w:eastAsiaTheme="minorEastAsia"/>
          <w:color w:val="auto"/>
          <w:sz w:val="24"/>
          <w:highlight w:val="none"/>
          <w:lang w:val="zh-CN"/>
        </w:rPr>
        <w:t>统一社会信用代码：                       统一社会信用代码或身份证号码：</w:t>
      </w:r>
    </w:p>
    <w:p w14:paraId="2D16FAB6">
      <w:pPr>
        <w:shd w:val="clear"/>
        <w:autoSpaceDE w:val="0"/>
        <w:autoSpaceDN w:val="0"/>
        <w:spacing w:line="360" w:lineRule="auto"/>
        <w:rPr>
          <w:rFonts w:cs="仿宋" w:asciiTheme="minorEastAsia" w:hAnsiTheme="minorEastAsia" w:eastAsiaTheme="minorEastAsia"/>
          <w:color w:val="auto"/>
          <w:sz w:val="24"/>
          <w:highlight w:val="none"/>
          <w:lang w:val="zh-CN"/>
        </w:rPr>
      </w:pPr>
      <w:r>
        <w:rPr>
          <w:rFonts w:hint="eastAsia" w:cs="仿宋" w:asciiTheme="minorEastAsia" w:hAnsiTheme="minorEastAsia" w:eastAsiaTheme="minorEastAsia"/>
          <w:color w:val="auto"/>
          <w:sz w:val="24"/>
          <w:highlight w:val="none"/>
          <w:lang w:val="zh-CN"/>
        </w:rPr>
        <w:t>住所：                                   住所：</w:t>
      </w:r>
    </w:p>
    <w:p w14:paraId="57F56D10">
      <w:pPr>
        <w:shd w:val="clear"/>
        <w:autoSpaceDE w:val="0"/>
        <w:autoSpaceDN w:val="0"/>
        <w:spacing w:line="360" w:lineRule="auto"/>
        <w:rPr>
          <w:rFonts w:cs="仿宋" w:asciiTheme="minorEastAsia" w:hAnsiTheme="minorEastAsia" w:eastAsiaTheme="minorEastAsia"/>
          <w:color w:val="auto"/>
          <w:sz w:val="24"/>
          <w:highlight w:val="none"/>
          <w:lang w:val="zh-CN"/>
        </w:rPr>
      </w:pPr>
      <w:r>
        <w:rPr>
          <w:rFonts w:hint="eastAsia" w:cs="仿宋" w:asciiTheme="minorEastAsia" w:hAnsiTheme="minorEastAsia" w:eastAsiaTheme="minorEastAsia"/>
          <w:color w:val="auto"/>
          <w:sz w:val="24"/>
          <w:highlight w:val="none"/>
          <w:lang w:val="zh-CN"/>
        </w:rPr>
        <w:t xml:space="preserve">法定代表人或授权代表（签字）：        法定代表人或授权代表（签字）: </w:t>
      </w:r>
    </w:p>
    <w:p w14:paraId="0D3921E5">
      <w:pPr>
        <w:shd w:val="clear"/>
        <w:autoSpaceDE w:val="0"/>
        <w:autoSpaceDN w:val="0"/>
        <w:spacing w:line="360" w:lineRule="auto"/>
        <w:rPr>
          <w:rFonts w:cs="仿宋" w:asciiTheme="minorEastAsia" w:hAnsiTheme="minorEastAsia" w:eastAsiaTheme="minorEastAsia"/>
          <w:color w:val="auto"/>
          <w:sz w:val="24"/>
          <w:highlight w:val="none"/>
          <w:lang w:val="zh-CN"/>
        </w:rPr>
      </w:pPr>
      <w:r>
        <w:rPr>
          <w:rFonts w:hint="eastAsia" w:cs="仿宋" w:asciiTheme="minorEastAsia" w:hAnsiTheme="minorEastAsia" w:eastAsiaTheme="minorEastAsia"/>
          <w:color w:val="auto"/>
          <w:sz w:val="24"/>
          <w:highlight w:val="none"/>
          <w:lang w:val="zh-CN"/>
        </w:rPr>
        <w:t>联系人：                                 联系人：</w:t>
      </w:r>
    </w:p>
    <w:p w14:paraId="6A6C6544">
      <w:pPr>
        <w:shd w:val="clear"/>
        <w:autoSpaceDE w:val="0"/>
        <w:autoSpaceDN w:val="0"/>
        <w:spacing w:line="360" w:lineRule="auto"/>
        <w:rPr>
          <w:rFonts w:cs="仿宋" w:asciiTheme="minorEastAsia" w:hAnsiTheme="minorEastAsia" w:eastAsiaTheme="minorEastAsia"/>
          <w:color w:val="auto"/>
          <w:sz w:val="24"/>
          <w:highlight w:val="none"/>
          <w:lang w:val="zh-CN"/>
        </w:rPr>
      </w:pPr>
      <w:r>
        <w:rPr>
          <w:rFonts w:hint="eastAsia" w:cs="仿宋" w:asciiTheme="minorEastAsia" w:hAnsiTheme="minorEastAsia" w:eastAsiaTheme="minorEastAsia"/>
          <w:color w:val="auto"/>
          <w:sz w:val="24"/>
          <w:highlight w:val="none"/>
          <w:lang w:val="zh-CN"/>
        </w:rPr>
        <w:t>约定送达地址：                           约定送达地址：</w:t>
      </w:r>
    </w:p>
    <w:p w14:paraId="038F8EF6">
      <w:pPr>
        <w:shd w:val="clear"/>
        <w:autoSpaceDE w:val="0"/>
        <w:autoSpaceDN w:val="0"/>
        <w:spacing w:line="360" w:lineRule="auto"/>
        <w:rPr>
          <w:rFonts w:cs="仿宋" w:asciiTheme="minorEastAsia" w:hAnsiTheme="minorEastAsia" w:eastAsiaTheme="minorEastAsia"/>
          <w:color w:val="auto"/>
          <w:sz w:val="24"/>
          <w:highlight w:val="none"/>
          <w:lang w:val="zh-CN"/>
        </w:rPr>
      </w:pPr>
      <w:r>
        <w:rPr>
          <w:rFonts w:hint="eastAsia" w:cs="仿宋" w:asciiTheme="minorEastAsia" w:hAnsiTheme="minorEastAsia" w:eastAsiaTheme="minorEastAsia"/>
          <w:color w:val="auto"/>
          <w:sz w:val="24"/>
          <w:highlight w:val="none"/>
          <w:lang w:val="zh-CN"/>
        </w:rPr>
        <w:t>邮政编码：                               邮政编码：</w:t>
      </w:r>
    </w:p>
    <w:p w14:paraId="083E45C8">
      <w:pPr>
        <w:shd w:val="clear"/>
        <w:autoSpaceDE w:val="0"/>
        <w:autoSpaceDN w:val="0"/>
        <w:spacing w:line="360" w:lineRule="auto"/>
        <w:rPr>
          <w:rFonts w:cs="仿宋" w:asciiTheme="minorEastAsia" w:hAnsiTheme="minorEastAsia" w:eastAsiaTheme="minorEastAsia"/>
          <w:color w:val="auto"/>
          <w:sz w:val="24"/>
          <w:highlight w:val="none"/>
          <w:lang w:val="zh-CN"/>
        </w:rPr>
      </w:pPr>
      <w:r>
        <w:rPr>
          <w:rFonts w:hint="eastAsia" w:cs="仿宋" w:asciiTheme="minorEastAsia" w:hAnsiTheme="minorEastAsia" w:eastAsiaTheme="minorEastAsia"/>
          <w:color w:val="auto"/>
          <w:sz w:val="24"/>
          <w:highlight w:val="none"/>
          <w:lang w:val="zh-CN"/>
        </w:rPr>
        <w:t xml:space="preserve">电话:                                    电话: </w:t>
      </w:r>
    </w:p>
    <w:p w14:paraId="2D8B673D">
      <w:pPr>
        <w:shd w:val="clear"/>
        <w:autoSpaceDE w:val="0"/>
        <w:autoSpaceDN w:val="0"/>
        <w:spacing w:line="360" w:lineRule="auto"/>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lang w:val="zh-CN"/>
        </w:rPr>
        <w:t>传真:                                    传真:</w:t>
      </w:r>
    </w:p>
    <w:p w14:paraId="64544BDE">
      <w:pPr>
        <w:pStyle w:val="27"/>
        <w:shd w:val="clear"/>
        <w:spacing w:line="360" w:lineRule="auto"/>
        <w:ind w:firstLine="480"/>
        <w:rPr>
          <w:rFonts w:cs="仿宋" w:asciiTheme="minorEastAsia" w:hAnsiTheme="minorEastAsia" w:eastAsiaTheme="minorEastAsia"/>
          <w:color w:val="auto"/>
          <w:sz w:val="24"/>
          <w:highlight w:val="none"/>
        </w:rPr>
      </w:pPr>
    </w:p>
    <w:p w14:paraId="288871FC">
      <w:pPr>
        <w:shd w:val="clear"/>
        <w:autoSpaceDE w:val="0"/>
        <w:autoSpaceDN w:val="0"/>
        <w:spacing w:line="360" w:lineRule="auto"/>
        <w:rPr>
          <w:rFonts w:asciiTheme="minorEastAsia" w:hAnsiTheme="minorEastAsia" w:eastAsiaTheme="minorEastAsia"/>
          <w:color w:val="auto"/>
          <w:highlight w:val="none"/>
        </w:rPr>
      </w:pPr>
    </w:p>
    <w:p w14:paraId="7BAA1DDC">
      <w:pPr>
        <w:widowControl/>
        <w:shd w:val="clear"/>
        <w:jc w:val="left"/>
        <w:rPr>
          <w:rFonts w:cs="仿宋" w:asciiTheme="minorEastAsia" w:hAnsiTheme="minorEastAsia" w:eastAsiaTheme="minorEastAsia"/>
          <w:b/>
          <w:color w:val="auto"/>
          <w:sz w:val="24"/>
          <w:highlight w:val="none"/>
        </w:rPr>
        <w:sectPr>
          <w:headerReference r:id="rId5" w:type="first"/>
          <w:footerReference r:id="rId7" w:type="first"/>
          <w:headerReference r:id="rId4" w:type="default"/>
          <w:footerReference r:id="rId6" w:type="default"/>
          <w:pgSz w:w="11906" w:h="16838"/>
          <w:pgMar w:top="1276" w:right="1276" w:bottom="1247" w:left="1418" w:header="851" w:footer="992" w:gutter="0"/>
          <w:pgNumType w:start="33"/>
          <w:cols w:space="720" w:num="1"/>
          <w:titlePg/>
          <w:docGrid w:linePitch="312" w:charSpace="0"/>
        </w:sectPr>
      </w:pPr>
    </w:p>
    <w:p w14:paraId="0486B74A">
      <w:pPr>
        <w:pStyle w:val="2"/>
        <w:shd w:val="clear"/>
        <w:spacing w:before="0" w:after="0" w:line="240" w:lineRule="auto"/>
        <w:ind w:firstLine="482" w:firstLineChars="200"/>
        <w:jc w:val="left"/>
        <w:rPr>
          <w:rFonts w:ascii="宋体" w:hAnsi="宋体" w:cs="宋体"/>
          <w:snapToGrid w:val="0"/>
          <w:color w:val="auto"/>
          <w:sz w:val="24"/>
          <w:szCs w:val="20"/>
          <w:highlight w:val="none"/>
        </w:rPr>
      </w:pPr>
      <w:r>
        <w:rPr>
          <w:rFonts w:hint="eastAsia" w:ascii="宋体" w:hAnsi="宋体" w:cs="宋体"/>
          <w:snapToGrid w:val="0"/>
          <w:color w:val="auto"/>
          <w:sz w:val="24"/>
          <w:szCs w:val="20"/>
          <w:highlight w:val="none"/>
        </w:rPr>
        <w:t>附件一：运营管理季度考核办法</w:t>
      </w:r>
    </w:p>
    <w:tbl>
      <w:tblPr>
        <w:tblStyle w:val="22"/>
        <w:tblpPr w:leftFromText="180" w:rightFromText="180" w:vertAnchor="text" w:horzAnchor="page" w:tblpXSpec="center" w:tblpY="277"/>
        <w:tblOverlap w:val="never"/>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13" w:type="dxa"/>
          <w:left w:w="108" w:type="dxa"/>
          <w:bottom w:w="113" w:type="dxa"/>
          <w:right w:w="108" w:type="dxa"/>
        </w:tblCellMar>
      </w:tblPr>
      <w:tblGrid>
        <w:gridCol w:w="592"/>
        <w:gridCol w:w="1357"/>
        <w:gridCol w:w="1096"/>
        <w:gridCol w:w="6336"/>
        <w:gridCol w:w="773"/>
        <w:gridCol w:w="3775"/>
        <w:gridCol w:w="602"/>
      </w:tblGrid>
      <w:tr w14:paraId="306DD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313" w:hRule="atLeast"/>
        </w:trPr>
        <w:tc>
          <w:tcPr>
            <w:tcW w:w="204" w:type="pct"/>
            <w:tcBorders>
              <w:top w:val="single" w:color="auto" w:sz="4" w:space="0"/>
              <w:left w:val="single" w:color="auto" w:sz="4" w:space="0"/>
              <w:bottom w:val="single" w:color="auto" w:sz="4" w:space="0"/>
              <w:right w:val="single" w:color="auto" w:sz="4" w:space="0"/>
            </w:tcBorders>
            <w:vAlign w:val="center"/>
          </w:tcPr>
          <w:p w14:paraId="21AA0BD2">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序号</w:t>
            </w:r>
          </w:p>
        </w:tc>
        <w:tc>
          <w:tcPr>
            <w:tcW w:w="844" w:type="pct"/>
            <w:gridSpan w:val="2"/>
            <w:tcBorders>
              <w:top w:val="single" w:color="auto" w:sz="4" w:space="0"/>
              <w:left w:val="single" w:color="auto" w:sz="4" w:space="0"/>
              <w:bottom w:val="single" w:color="auto" w:sz="4" w:space="0"/>
              <w:right w:val="single" w:color="auto" w:sz="4" w:space="0"/>
            </w:tcBorders>
            <w:vAlign w:val="center"/>
          </w:tcPr>
          <w:p w14:paraId="05F873C0">
            <w:pPr>
              <w:pStyle w:val="70"/>
              <w:shd w:val="clear"/>
              <w:jc w:val="center"/>
              <w:rPr>
                <w:color w:val="auto"/>
                <w:spacing w:val="6"/>
                <w:sz w:val="21"/>
                <w:szCs w:val="21"/>
                <w:highlight w:val="none"/>
                <w:lang w:eastAsia="zh-CN"/>
              </w:rPr>
            </w:pPr>
          </w:p>
        </w:tc>
        <w:tc>
          <w:tcPr>
            <w:tcW w:w="2180" w:type="pct"/>
            <w:tcBorders>
              <w:top w:val="single" w:color="auto" w:sz="4" w:space="0"/>
              <w:left w:val="single" w:color="auto" w:sz="4" w:space="0"/>
              <w:bottom w:val="single" w:color="auto" w:sz="4" w:space="0"/>
              <w:right w:val="single" w:color="auto" w:sz="4" w:space="0"/>
            </w:tcBorders>
            <w:vAlign w:val="center"/>
          </w:tcPr>
          <w:p w14:paraId="45380229">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评分标准</w:t>
            </w:r>
          </w:p>
        </w:tc>
        <w:tc>
          <w:tcPr>
            <w:tcW w:w="266" w:type="pct"/>
            <w:tcBorders>
              <w:top w:val="single" w:color="auto" w:sz="4" w:space="0"/>
              <w:left w:val="single" w:color="auto" w:sz="4" w:space="0"/>
              <w:bottom w:val="single" w:color="auto" w:sz="4" w:space="0"/>
              <w:right w:val="single" w:color="auto" w:sz="4" w:space="0"/>
            </w:tcBorders>
            <w:vAlign w:val="center"/>
          </w:tcPr>
          <w:p w14:paraId="60D8B24F">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分值</w:t>
            </w:r>
          </w:p>
        </w:tc>
        <w:tc>
          <w:tcPr>
            <w:tcW w:w="1299" w:type="pct"/>
            <w:tcBorders>
              <w:top w:val="single" w:color="auto" w:sz="4" w:space="0"/>
              <w:left w:val="single" w:color="auto" w:sz="4" w:space="0"/>
              <w:bottom w:val="single" w:color="auto" w:sz="4" w:space="0"/>
              <w:right w:val="single" w:color="auto" w:sz="4" w:space="0"/>
            </w:tcBorders>
            <w:vAlign w:val="center"/>
          </w:tcPr>
          <w:p w14:paraId="3E31FAFF">
            <w:pPr>
              <w:widowControl/>
              <w:shd w:val="clear"/>
              <w:jc w:val="center"/>
              <w:rPr>
                <w:rFonts w:ascii="宋体" w:hAnsi="宋体" w:cs="宋体"/>
                <w:color w:val="auto"/>
                <w:spacing w:val="6"/>
                <w:szCs w:val="21"/>
                <w:highlight w:val="none"/>
              </w:rPr>
            </w:pPr>
            <w:r>
              <w:rPr>
                <w:rFonts w:hint="eastAsia" w:ascii="宋体" w:hAnsi="宋体" w:cs="宋体"/>
                <w:color w:val="auto"/>
                <w:spacing w:val="6"/>
                <w:szCs w:val="21"/>
                <w:highlight w:val="none"/>
              </w:rPr>
              <w:t>评分验收办法及评分</w:t>
            </w:r>
          </w:p>
        </w:tc>
        <w:tc>
          <w:tcPr>
            <w:tcW w:w="207" w:type="pct"/>
            <w:tcBorders>
              <w:top w:val="single" w:color="auto" w:sz="4" w:space="0"/>
              <w:left w:val="single" w:color="auto" w:sz="4" w:space="0"/>
              <w:bottom w:val="single" w:color="auto" w:sz="4" w:space="0"/>
              <w:right w:val="single" w:color="auto" w:sz="4" w:space="0"/>
            </w:tcBorders>
            <w:vAlign w:val="center"/>
          </w:tcPr>
          <w:p w14:paraId="7A965C1A">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得分</w:t>
            </w:r>
          </w:p>
        </w:tc>
      </w:tr>
      <w:tr w14:paraId="164D71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204" w:type="pct"/>
            <w:tcBorders>
              <w:top w:val="single" w:color="auto" w:sz="4" w:space="0"/>
              <w:left w:val="single" w:color="auto" w:sz="4" w:space="0"/>
              <w:bottom w:val="single" w:color="auto" w:sz="4" w:space="0"/>
              <w:right w:val="single" w:color="auto" w:sz="4" w:space="0"/>
            </w:tcBorders>
            <w:shd w:val="clear" w:color="auto" w:fill="auto"/>
            <w:vAlign w:val="center"/>
          </w:tcPr>
          <w:p w14:paraId="2C3502EB">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w:t>
            </w:r>
          </w:p>
        </w:tc>
        <w:tc>
          <w:tcPr>
            <w:tcW w:w="844" w:type="pct"/>
            <w:gridSpan w:val="2"/>
            <w:tcBorders>
              <w:top w:val="single" w:color="auto" w:sz="4" w:space="0"/>
              <w:left w:val="single" w:color="auto" w:sz="4" w:space="0"/>
              <w:bottom w:val="single" w:color="auto" w:sz="4" w:space="0"/>
              <w:right w:val="single" w:color="auto" w:sz="4" w:space="0"/>
            </w:tcBorders>
            <w:shd w:val="clear" w:color="auto" w:fill="auto"/>
            <w:vAlign w:val="center"/>
          </w:tcPr>
          <w:p w14:paraId="6B8BECC8">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企业推介对接</w:t>
            </w:r>
          </w:p>
        </w:tc>
        <w:tc>
          <w:tcPr>
            <w:tcW w:w="2180" w:type="pct"/>
            <w:tcBorders>
              <w:top w:val="single" w:color="auto" w:sz="4" w:space="0"/>
              <w:left w:val="single" w:color="auto" w:sz="4" w:space="0"/>
              <w:bottom w:val="single" w:color="auto" w:sz="4" w:space="0"/>
              <w:right w:val="single" w:color="auto" w:sz="4" w:space="0"/>
            </w:tcBorders>
            <w:shd w:val="clear" w:color="auto" w:fill="auto"/>
            <w:vAlign w:val="center"/>
          </w:tcPr>
          <w:p w14:paraId="35A68F47">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企业推介对接</w:t>
            </w:r>
          </w:p>
        </w:tc>
        <w:tc>
          <w:tcPr>
            <w:tcW w:w="266" w:type="pct"/>
            <w:tcBorders>
              <w:top w:val="single" w:color="auto" w:sz="4" w:space="0"/>
              <w:left w:val="single" w:color="auto" w:sz="4" w:space="0"/>
              <w:bottom w:val="single" w:color="auto" w:sz="4" w:space="0"/>
              <w:right w:val="single" w:color="auto" w:sz="4" w:space="0"/>
            </w:tcBorders>
            <w:shd w:val="clear" w:color="auto" w:fill="auto"/>
            <w:vAlign w:val="center"/>
          </w:tcPr>
          <w:p w14:paraId="226BD7FF">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30</w:t>
            </w:r>
          </w:p>
        </w:tc>
        <w:tc>
          <w:tcPr>
            <w:tcW w:w="1299" w:type="pct"/>
            <w:tcBorders>
              <w:top w:val="single" w:color="auto" w:sz="4" w:space="0"/>
              <w:left w:val="single" w:color="auto" w:sz="4" w:space="0"/>
              <w:bottom w:val="single" w:color="auto" w:sz="4" w:space="0"/>
              <w:right w:val="single" w:color="auto" w:sz="4" w:space="0"/>
            </w:tcBorders>
            <w:shd w:val="clear" w:color="auto" w:fill="auto"/>
            <w:vAlign w:val="center"/>
          </w:tcPr>
          <w:p w14:paraId="7CF3C64F">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每季度3场，每少1场扣10分</w:t>
            </w:r>
          </w:p>
        </w:tc>
        <w:tc>
          <w:tcPr>
            <w:tcW w:w="207" w:type="pct"/>
            <w:tcBorders>
              <w:top w:val="single" w:color="auto" w:sz="4" w:space="0"/>
              <w:left w:val="single" w:color="auto" w:sz="4" w:space="0"/>
              <w:bottom w:val="single" w:color="auto" w:sz="4" w:space="0"/>
              <w:right w:val="single" w:color="auto" w:sz="4" w:space="0"/>
            </w:tcBorders>
            <w:vAlign w:val="center"/>
          </w:tcPr>
          <w:p w14:paraId="17E5FBC1">
            <w:pPr>
              <w:pStyle w:val="70"/>
              <w:shd w:val="clear"/>
              <w:jc w:val="center"/>
              <w:rPr>
                <w:color w:val="auto"/>
                <w:spacing w:val="6"/>
                <w:sz w:val="21"/>
                <w:szCs w:val="21"/>
                <w:highlight w:val="none"/>
                <w:lang w:eastAsia="zh-CN"/>
              </w:rPr>
            </w:pPr>
          </w:p>
        </w:tc>
      </w:tr>
      <w:tr w14:paraId="2C0A47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204" w:type="pct"/>
            <w:tcBorders>
              <w:top w:val="single" w:color="auto" w:sz="4" w:space="0"/>
              <w:left w:val="single" w:color="auto" w:sz="4" w:space="0"/>
              <w:bottom w:val="single" w:color="auto" w:sz="4" w:space="0"/>
              <w:right w:val="single" w:color="auto" w:sz="4" w:space="0"/>
            </w:tcBorders>
            <w:shd w:val="clear" w:color="auto" w:fill="auto"/>
            <w:vAlign w:val="center"/>
          </w:tcPr>
          <w:p w14:paraId="536FBC40">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2</w:t>
            </w:r>
          </w:p>
        </w:tc>
        <w:tc>
          <w:tcPr>
            <w:tcW w:w="844" w:type="pct"/>
            <w:gridSpan w:val="2"/>
            <w:tcBorders>
              <w:top w:val="single" w:color="auto" w:sz="4" w:space="0"/>
              <w:left w:val="single" w:color="auto" w:sz="4" w:space="0"/>
              <w:bottom w:val="single" w:color="auto" w:sz="4" w:space="0"/>
              <w:right w:val="single" w:color="auto" w:sz="4" w:space="0"/>
            </w:tcBorders>
            <w:shd w:val="clear" w:color="auto" w:fill="auto"/>
            <w:vAlign w:val="center"/>
          </w:tcPr>
          <w:p w14:paraId="1FAD8B82">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企业档案管理</w:t>
            </w:r>
          </w:p>
        </w:tc>
        <w:tc>
          <w:tcPr>
            <w:tcW w:w="2180" w:type="pct"/>
            <w:tcBorders>
              <w:top w:val="single" w:color="auto" w:sz="4" w:space="0"/>
              <w:left w:val="single" w:color="auto" w:sz="4" w:space="0"/>
              <w:bottom w:val="single" w:color="auto" w:sz="4" w:space="0"/>
              <w:right w:val="single" w:color="auto" w:sz="4" w:space="0"/>
            </w:tcBorders>
            <w:shd w:val="clear" w:color="auto" w:fill="auto"/>
            <w:vAlign w:val="center"/>
          </w:tcPr>
          <w:p w14:paraId="069837E6">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建立企业档案（含企业基本信息、来访信息等），保证档案完整及准确性</w:t>
            </w:r>
          </w:p>
        </w:tc>
        <w:tc>
          <w:tcPr>
            <w:tcW w:w="266" w:type="pct"/>
            <w:tcBorders>
              <w:top w:val="single" w:color="auto" w:sz="4" w:space="0"/>
              <w:left w:val="single" w:color="auto" w:sz="4" w:space="0"/>
              <w:bottom w:val="single" w:color="auto" w:sz="4" w:space="0"/>
              <w:right w:val="single" w:color="auto" w:sz="4" w:space="0"/>
            </w:tcBorders>
            <w:shd w:val="clear" w:color="auto" w:fill="auto"/>
            <w:vAlign w:val="center"/>
          </w:tcPr>
          <w:p w14:paraId="4D78FBC8">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10</w:t>
            </w:r>
          </w:p>
        </w:tc>
        <w:tc>
          <w:tcPr>
            <w:tcW w:w="1299" w:type="pct"/>
            <w:tcBorders>
              <w:top w:val="single" w:color="auto" w:sz="4" w:space="0"/>
              <w:left w:val="single" w:color="auto" w:sz="4" w:space="0"/>
              <w:bottom w:val="single" w:color="auto" w:sz="4" w:space="0"/>
              <w:right w:val="single" w:color="auto" w:sz="4" w:space="0"/>
            </w:tcBorders>
            <w:shd w:val="clear" w:color="auto" w:fill="auto"/>
            <w:vAlign w:val="center"/>
          </w:tcPr>
          <w:p w14:paraId="0C3C2D04">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w:t>
            </w:r>
          </w:p>
          <w:p w14:paraId="10C81689">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每次扣0.5分</w:t>
            </w:r>
          </w:p>
        </w:tc>
        <w:tc>
          <w:tcPr>
            <w:tcW w:w="207" w:type="pct"/>
            <w:tcBorders>
              <w:top w:val="single" w:color="auto" w:sz="4" w:space="0"/>
              <w:left w:val="single" w:color="auto" w:sz="4" w:space="0"/>
              <w:bottom w:val="single" w:color="auto" w:sz="4" w:space="0"/>
              <w:right w:val="single" w:color="auto" w:sz="4" w:space="0"/>
            </w:tcBorders>
            <w:vAlign w:val="center"/>
          </w:tcPr>
          <w:p w14:paraId="673E8920">
            <w:pPr>
              <w:pStyle w:val="70"/>
              <w:shd w:val="clear"/>
              <w:jc w:val="center"/>
              <w:rPr>
                <w:color w:val="auto"/>
                <w:spacing w:val="6"/>
                <w:sz w:val="21"/>
                <w:szCs w:val="21"/>
                <w:highlight w:val="none"/>
                <w:lang w:eastAsia="zh-CN"/>
              </w:rPr>
            </w:pPr>
          </w:p>
        </w:tc>
      </w:tr>
      <w:tr w14:paraId="091B2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204" w:type="pct"/>
            <w:tcBorders>
              <w:top w:val="single" w:color="auto" w:sz="4" w:space="0"/>
              <w:left w:val="single" w:color="auto" w:sz="4" w:space="0"/>
              <w:bottom w:val="single" w:color="auto" w:sz="4" w:space="0"/>
              <w:right w:val="single" w:color="auto" w:sz="4" w:space="0"/>
            </w:tcBorders>
            <w:shd w:val="clear" w:color="auto" w:fill="auto"/>
            <w:vAlign w:val="center"/>
          </w:tcPr>
          <w:p w14:paraId="05F60B9B">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3</w:t>
            </w:r>
          </w:p>
        </w:tc>
        <w:tc>
          <w:tcPr>
            <w:tcW w:w="467" w:type="pct"/>
            <w:vMerge w:val="restart"/>
            <w:tcBorders>
              <w:top w:val="single" w:color="auto" w:sz="4" w:space="0"/>
              <w:left w:val="single" w:color="auto" w:sz="4" w:space="0"/>
              <w:right w:val="single" w:color="auto" w:sz="4" w:space="0"/>
            </w:tcBorders>
            <w:shd w:val="clear" w:color="auto" w:fill="auto"/>
            <w:vAlign w:val="center"/>
          </w:tcPr>
          <w:p w14:paraId="1081EAD7">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企业管理服务</w:t>
            </w:r>
          </w:p>
        </w:tc>
        <w:tc>
          <w:tcPr>
            <w:tcW w:w="377" w:type="pct"/>
            <w:vMerge w:val="restart"/>
            <w:tcBorders>
              <w:top w:val="single" w:color="auto" w:sz="4" w:space="0"/>
              <w:left w:val="single" w:color="auto" w:sz="4" w:space="0"/>
              <w:right w:val="single" w:color="auto" w:sz="4" w:space="0"/>
            </w:tcBorders>
            <w:shd w:val="clear" w:color="auto" w:fill="auto"/>
            <w:vAlign w:val="center"/>
          </w:tcPr>
          <w:p w14:paraId="624D2816">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服务质量</w:t>
            </w:r>
          </w:p>
        </w:tc>
        <w:tc>
          <w:tcPr>
            <w:tcW w:w="2180" w:type="pct"/>
            <w:tcBorders>
              <w:top w:val="single" w:color="auto" w:sz="4" w:space="0"/>
              <w:left w:val="single" w:color="auto" w:sz="4" w:space="0"/>
              <w:bottom w:val="single" w:color="auto" w:sz="4" w:space="0"/>
              <w:right w:val="single" w:color="auto" w:sz="4" w:space="0"/>
            </w:tcBorders>
            <w:shd w:val="clear" w:color="auto" w:fill="auto"/>
            <w:vAlign w:val="center"/>
          </w:tcPr>
          <w:p w14:paraId="754FC04D">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企业综合满意度达90%及以上</w:t>
            </w:r>
          </w:p>
        </w:tc>
        <w:tc>
          <w:tcPr>
            <w:tcW w:w="266" w:type="pct"/>
            <w:tcBorders>
              <w:top w:val="single" w:color="auto" w:sz="4" w:space="0"/>
              <w:left w:val="single" w:color="auto" w:sz="4" w:space="0"/>
              <w:bottom w:val="single" w:color="auto" w:sz="4" w:space="0"/>
              <w:right w:val="single" w:color="auto" w:sz="4" w:space="0"/>
            </w:tcBorders>
            <w:shd w:val="clear" w:color="auto" w:fill="auto"/>
            <w:vAlign w:val="center"/>
          </w:tcPr>
          <w:p w14:paraId="7B3D9305">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1299" w:type="pct"/>
            <w:tcBorders>
              <w:top w:val="single" w:color="auto" w:sz="4" w:space="0"/>
              <w:left w:val="single" w:color="auto" w:sz="4" w:space="0"/>
              <w:bottom w:val="single" w:color="auto" w:sz="4" w:space="0"/>
              <w:right w:val="single" w:color="auto" w:sz="4" w:space="0"/>
            </w:tcBorders>
            <w:shd w:val="clear" w:color="auto" w:fill="auto"/>
            <w:vAlign w:val="center"/>
          </w:tcPr>
          <w:p w14:paraId="1893E2FE">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每少5%扣1分</w:t>
            </w:r>
          </w:p>
        </w:tc>
        <w:tc>
          <w:tcPr>
            <w:tcW w:w="207" w:type="pct"/>
            <w:tcBorders>
              <w:top w:val="single" w:color="auto" w:sz="4" w:space="0"/>
              <w:left w:val="single" w:color="auto" w:sz="4" w:space="0"/>
              <w:bottom w:val="single" w:color="auto" w:sz="4" w:space="0"/>
              <w:right w:val="single" w:color="auto" w:sz="4" w:space="0"/>
            </w:tcBorders>
            <w:vAlign w:val="center"/>
          </w:tcPr>
          <w:p w14:paraId="0B2D4744">
            <w:pPr>
              <w:pStyle w:val="70"/>
              <w:shd w:val="clear"/>
              <w:jc w:val="center"/>
              <w:rPr>
                <w:color w:val="auto"/>
                <w:spacing w:val="6"/>
                <w:sz w:val="21"/>
                <w:szCs w:val="21"/>
                <w:highlight w:val="none"/>
                <w:lang w:eastAsia="zh-CN"/>
              </w:rPr>
            </w:pPr>
          </w:p>
        </w:tc>
      </w:tr>
      <w:tr w14:paraId="47AF0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204" w:type="pct"/>
            <w:tcBorders>
              <w:top w:val="single" w:color="auto" w:sz="4" w:space="0"/>
              <w:left w:val="single" w:color="auto" w:sz="4" w:space="0"/>
              <w:bottom w:val="single" w:color="auto" w:sz="4" w:space="0"/>
              <w:right w:val="single" w:color="auto" w:sz="4" w:space="0"/>
            </w:tcBorders>
            <w:shd w:val="clear" w:color="auto" w:fill="auto"/>
            <w:vAlign w:val="center"/>
          </w:tcPr>
          <w:p w14:paraId="490328DD">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4</w:t>
            </w:r>
          </w:p>
        </w:tc>
        <w:tc>
          <w:tcPr>
            <w:tcW w:w="467" w:type="pct"/>
            <w:vMerge w:val="continue"/>
            <w:tcBorders>
              <w:left w:val="single" w:color="auto" w:sz="4" w:space="0"/>
              <w:right w:val="single" w:color="auto" w:sz="4" w:space="0"/>
            </w:tcBorders>
            <w:shd w:val="clear" w:color="auto" w:fill="auto"/>
            <w:vAlign w:val="center"/>
          </w:tcPr>
          <w:p w14:paraId="6156A192">
            <w:pPr>
              <w:pStyle w:val="70"/>
              <w:shd w:val="clear"/>
              <w:jc w:val="center"/>
              <w:rPr>
                <w:color w:val="auto"/>
                <w:spacing w:val="6"/>
                <w:sz w:val="21"/>
                <w:szCs w:val="21"/>
                <w:highlight w:val="none"/>
                <w:lang w:eastAsia="zh-CN"/>
              </w:rPr>
            </w:pPr>
          </w:p>
        </w:tc>
        <w:tc>
          <w:tcPr>
            <w:tcW w:w="377" w:type="pct"/>
            <w:vMerge w:val="continue"/>
            <w:tcBorders>
              <w:left w:val="single" w:color="auto" w:sz="4" w:space="0"/>
              <w:right w:val="single" w:color="auto" w:sz="4" w:space="0"/>
            </w:tcBorders>
            <w:shd w:val="clear" w:color="auto" w:fill="auto"/>
            <w:vAlign w:val="center"/>
          </w:tcPr>
          <w:p w14:paraId="4465A912">
            <w:pPr>
              <w:pStyle w:val="70"/>
              <w:shd w:val="clear"/>
              <w:jc w:val="center"/>
              <w:rPr>
                <w:color w:val="auto"/>
                <w:spacing w:val="6"/>
                <w:sz w:val="21"/>
                <w:szCs w:val="21"/>
                <w:highlight w:val="none"/>
                <w:lang w:eastAsia="zh-CN"/>
              </w:rPr>
            </w:pPr>
          </w:p>
        </w:tc>
        <w:tc>
          <w:tcPr>
            <w:tcW w:w="2180" w:type="pct"/>
            <w:tcBorders>
              <w:top w:val="single" w:color="auto" w:sz="4" w:space="0"/>
              <w:left w:val="single" w:color="auto" w:sz="4" w:space="0"/>
              <w:bottom w:val="single" w:color="auto" w:sz="4" w:space="0"/>
              <w:right w:val="single" w:color="auto" w:sz="4" w:space="0"/>
            </w:tcBorders>
            <w:shd w:val="clear" w:color="auto" w:fill="auto"/>
            <w:vAlign w:val="center"/>
          </w:tcPr>
          <w:p w14:paraId="374183DA">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协助招标人做好招商接待调研工作，负责场地带看、合同签约等</w:t>
            </w:r>
          </w:p>
        </w:tc>
        <w:tc>
          <w:tcPr>
            <w:tcW w:w="266" w:type="pct"/>
            <w:tcBorders>
              <w:top w:val="single" w:color="auto" w:sz="4" w:space="0"/>
              <w:left w:val="single" w:color="auto" w:sz="4" w:space="0"/>
              <w:bottom w:val="single" w:color="auto" w:sz="4" w:space="0"/>
              <w:right w:val="single" w:color="auto" w:sz="4" w:space="0"/>
            </w:tcBorders>
            <w:shd w:val="clear" w:color="auto" w:fill="auto"/>
            <w:vAlign w:val="center"/>
          </w:tcPr>
          <w:p w14:paraId="0871824F">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1299" w:type="pct"/>
            <w:tcBorders>
              <w:top w:val="single" w:color="auto" w:sz="4" w:space="0"/>
              <w:left w:val="single" w:color="auto" w:sz="4" w:space="0"/>
              <w:bottom w:val="single" w:color="auto" w:sz="4" w:space="0"/>
              <w:right w:val="single" w:color="auto" w:sz="4" w:space="0"/>
            </w:tcBorders>
            <w:shd w:val="clear" w:color="auto" w:fill="auto"/>
            <w:vAlign w:val="center"/>
          </w:tcPr>
          <w:p w14:paraId="6FFDA2CD">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w:t>
            </w:r>
          </w:p>
          <w:p w14:paraId="17178385">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每次扣0.5分</w:t>
            </w:r>
          </w:p>
        </w:tc>
        <w:tc>
          <w:tcPr>
            <w:tcW w:w="207" w:type="pct"/>
            <w:tcBorders>
              <w:top w:val="single" w:color="auto" w:sz="4" w:space="0"/>
              <w:left w:val="single" w:color="auto" w:sz="4" w:space="0"/>
              <w:bottom w:val="single" w:color="auto" w:sz="4" w:space="0"/>
              <w:right w:val="single" w:color="auto" w:sz="4" w:space="0"/>
            </w:tcBorders>
            <w:vAlign w:val="center"/>
          </w:tcPr>
          <w:p w14:paraId="6BF8C49F">
            <w:pPr>
              <w:pStyle w:val="70"/>
              <w:shd w:val="clear"/>
              <w:jc w:val="center"/>
              <w:rPr>
                <w:color w:val="auto"/>
                <w:spacing w:val="6"/>
                <w:sz w:val="21"/>
                <w:szCs w:val="21"/>
                <w:highlight w:val="none"/>
                <w:lang w:eastAsia="zh-CN"/>
              </w:rPr>
            </w:pPr>
          </w:p>
        </w:tc>
      </w:tr>
      <w:tr w14:paraId="1B29B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204" w:type="pct"/>
            <w:tcBorders>
              <w:top w:val="single" w:color="auto" w:sz="4" w:space="0"/>
              <w:left w:val="single" w:color="auto" w:sz="4" w:space="0"/>
              <w:bottom w:val="single" w:color="auto" w:sz="4" w:space="0"/>
              <w:right w:val="single" w:color="auto" w:sz="4" w:space="0"/>
            </w:tcBorders>
            <w:shd w:val="clear" w:color="auto" w:fill="auto"/>
            <w:vAlign w:val="center"/>
          </w:tcPr>
          <w:p w14:paraId="104C43FA">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467" w:type="pct"/>
            <w:vMerge w:val="continue"/>
            <w:tcBorders>
              <w:left w:val="single" w:color="auto" w:sz="4" w:space="0"/>
              <w:right w:val="single" w:color="auto" w:sz="4" w:space="0"/>
            </w:tcBorders>
            <w:shd w:val="clear" w:color="auto" w:fill="auto"/>
            <w:vAlign w:val="center"/>
          </w:tcPr>
          <w:p w14:paraId="760EBFD1">
            <w:pPr>
              <w:pStyle w:val="70"/>
              <w:shd w:val="clear"/>
              <w:jc w:val="center"/>
              <w:rPr>
                <w:color w:val="auto"/>
                <w:spacing w:val="6"/>
                <w:sz w:val="21"/>
                <w:szCs w:val="21"/>
                <w:highlight w:val="none"/>
                <w:lang w:eastAsia="zh-CN"/>
              </w:rPr>
            </w:pPr>
          </w:p>
        </w:tc>
        <w:tc>
          <w:tcPr>
            <w:tcW w:w="377" w:type="pct"/>
            <w:vMerge w:val="continue"/>
            <w:tcBorders>
              <w:left w:val="single" w:color="auto" w:sz="4" w:space="0"/>
              <w:right w:val="single" w:color="auto" w:sz="4" w:space="0"/>
            </w:tcBorders>
            <w:shd w:val="clear" w:color="auto" w:fill="auto"/>
            <w:vAlign w:val="center"/>
          </w:tcPr>
          <w:p w14:paraId="7F911B26">
            <w:pPr>
              <w:pStyle w:val="70"/>
              <w:shd w:val="clear"/>
              <w:jc w:val="center"/>
              <w:rPr>
                <w:color w:val="auto"/>
                <w:spacing w:val="6"/>
                <w:sz w:val="21"/>
                <w:szCs w:val="21"/>
                <w:highlight w:val="none"/>
                <w:lang w:eastAsia="zh-CN"/>
              </w:rPr>
            </w:pPr>
          </w:p>
        </w:tc>
        <w:tc>
          <w:tcPr>
            <w:tcW w:w="2180" w:type="pct"/>
            <w:tcBorders>
              <w:top w:val="single" w:color="auto" w:sz="4" w:space="0"/>
              <w:left w:val="single" w:color="auto" w:sz="4" w:space="0"/>
              <w:bottom w:val="single" w:color="auto" w:sz="4" w:space="0"/>
              <w:right w:val="single" w:color="auto" w:sz="4" w:space="0"/>
            </w:tcBorders>
            <w:shd w:val="clear" w:color="auto" w:fill="auto"/>
            <w:vAlign w:val="center"/>
          </w:tcPr>
          <w:p w14:paraId="621B749D">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企业关系维护，定期走访企业，建立重点企业联系人制度</w:t>
            </w:r>
          </w:p>
        </w:tc>
        <w:tc>
          <w:tcPr>
            <w:tcW w:w="266" w:type="pct"/>
            <w:tcBorders>
              <w:top w:val="single" w:color="auto" w:sz="4" w:space="0"/>
              <w:left w:val="single" w:color="auto" w:sz="4" w:space="0"/>
              <w:bottom w:val="single" w:color="auto" w:sz="4" w:space="0"/>
              <w:right w:val="single" w:color="auto" w:sz="4" w:space="0"/>
            </w:tcBorders>
            <w:shd w:val="clear" w:color="auto" w:fill="auto"/>
            <w:vAlign w:val="center"/>
          </w:tcPr>
          <w:p w14:paraId="4191BA6A">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1299" w:type="pct"/>
            <w:tcBorders>
              <w:top w:val="single" w:color="auto" w:sz="4" w:space="0"/>
              <w:left w:val="single" w:color="auto" w:sz="4" w:space="0"/>
              <w:bottom w:val="single" w:color="auto" w:sz="4" w:space="0"/>
              <w:right w:val="single" w:color="auto" w:sz="4" w:space="0"/>
            </w:tcBorders>
            <w:shd w:val="clear" w:color="auto" w:fill="auto"/>
            <w:vAlign w:val="center"/>
          </w:tcPr>
          <w:p w14:paraId="06FE57CD">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w:t>
            </w:r>
          </w:p>
          <w:p w14:paraId="0AA538FF">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每次扣0.5分</w:t>
            </w:r>
          </w:p>
        </w:tc>
        <w:tc>
          <w:tcPr>
            <w:tcW w:w="207" w:type="pct"/>
            <w:tcBorders>
              <w:top w:val="single" w:color="auto" w:sz="4" w:space="0"/>
              <w:left w:val="single" w:color="auto" w:sz="4" w:space="0"/>
              <w:bottom w:val="single" w:color="auto" w:sz="4" w:space="0"/>
              <w:right w:val="single" w:color="auto" w:sz="4" w:space="0"/>
            </w:tcBorders>
            <w:vAlign w:val="center"/>
          </w:tcPr>
          <w:p w14:paraId="7D4CFC43">
            <w:pPr>
              <w:pStyle w:val="70"/>
              <w:shd w:val="clear"/>
              <w:jc w:val="center"/>
              <w:rPr>
                <w:color w:val="auto"/>
                <w:spacing w:val="6"/>
                <w:sz w:val="21"/>
                <w:szCs w:val="21"/>
                <w:highlight w:val="none"/>
                <w:lang w:eastAsia="zh-CN"/>
              </w:rPr>
            </w:pPr>
          </w:p>
        </w:tc>
      </w:tr>
      <w:tr w14:paraId="7BAB4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204" w:type="pct"/>
            <w:tcBorders>
              <w:top w:val="single" w:color="auto" w:sz="4" w:space="0"/>
              <w:left w:val="single" w:color="auto" w:sz="4" w:space="0"/>
              <w:bottom w:val="single" w:color="auto" w:sz="4" w:space="0"/>
              <w:right w:val="single" w:color="auto" w:sz="4" w:space="0"/>
            </w:tcBorders>
            <w:shd w:val="clear" w:color="auto" w:fill="auto"/>
            <w:vAlign w:val="center"/>
          </w:tcPr>
          <w:p w14:paraId="067C6660">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6</w:t>
            </w:r>
          </w:p>
        </w:tc>
        <w:tc>
          <w:tcPr>
            <w:tcW w:w="467" w:type="pct"/>
            <w:vMerge w:val="continue"/>
            <w:tcBorders>
              <w:left w:val="single" w:color="auto" w:sz="4" w:space="0"/>
              <w:right w:val="single" w:color="auto" w:sz="4" w:space="0"/>
            </w:tcBorders>
            <w:shd w:val="clear" w:color="auto" w:fill="auto"/>
            <w:vAlign w:val="center"/>
          </w:tcPr>
          <w:p w14:paraId="64EA7AE7">
            <w:pPr>
              <w:pStyle w:val="70"/>
              <w:shd w:val="clear"/>
              <w:jc w:val="center"/>
              <w:rPr>
                <w:color w:val="auto"/>
                <w:spacing w:val="6"/>
                <w:sz w:val="21"/>
                <w:szCs w:val="21"/>
                <w:highlight w:val="none"/>
                <w:lang w:eastAsia="zh-CN"/>
              </w:rPr>
            </w:pPr>
          </w:p>
        </w:tc>
        <w:tc>
          <w:tcPr>
            <w:tcW w:w="377" w:type="pct"/>
            <w:vMerge w:val="continue"/>
            <w:tcBorders>
              <w:left w:val="single" w:color="auto" w:sz="4" w:space="0"/>
              <w:bottom w:val="single" w:color="auto" w:sz="4" w:space="0"/>
              <w:right w:val="single" w:color="auto" w:sz="4" w:space="0"/>
            </w:tcBorders>
            <w:shd w:val="clear" w:color="auto" w:fill="auto"/>
            <w:vAlign w:val="center"/>
          </w:tcPr>
          <w:p w14:paraId="5CA57DE6">
            <w:pPr>
              <w:pStyle w:val="70"/>
              <w:shd w:val="clear"/>
              <w:jc w:val="center"/>
              <w:rPr>
                <w:color w:val="auto"/>
                <w:spacing w:val="6"/>
                <w:sz w:val="21"/>
                <w:szCs w:val="21"/>
                <w:highlight w:val="none"/>
                <w:lang w:eastAsia="zh-CN"/>
              </w:rPr>
            </w:pPr>
          </w:p>
        </w:tc>
        <w:tc>
          <w:tcPr>
            <w:tcW w:w="2180" w:type="pct"/>
            <w:tcBorders>
              <w:top w:val="single" w:color="auto" w:sz="4" w:space="0"/>
              <w:left w:val="single" w:color="auto" w:sz="4" w:space="0"/>
              <w:bottom w:val="single" w:color="auto" w:sz="4" w:space="0"/>
              <w:right w:val="single" w:color="auto" w:sz="4" w:space="0"/>
            </w:tcBorders>
            <w:shd w:val="clear" w:color="auto" w:fill="auto"/>
            <w:vAlign w:val="center"/>
          </w:tcPr>
          <w:p w14:paraId="0A54DB59">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做好常态化服务（如政策推送、财税申报、工商财税支持等）</w:t>
            </w:r>
          </w:p>
        </w:tc>
        <w:tc>
          <w:tcPr>
            <w:tcW w:w="266" w:type="pct"/>
            <w:tcBorders>
              <w:top w:val="single" w:color="auto" w:sz="4" w:space="0"/>
              <w:left w:val="single" w:color="auto" w:sz="4" w:space="0"/>
              <w:bottom w:val="single" w:color="auto" w:sz="4" w:space="0"/>
              <w:right w:val="single" w:color="auto" w:sz="4" w:space="0"/>
            </w:tcBorders>
            <w:shd w:val="clear" w:color="auto" w:fill="auto"/>
            <w:vAlign w:val="center"/>
          </w:tcPr>
          <w:p w14:paraId="49E41AB8">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1299" w:type="pct"/>
            <w:tcBorders>
              <w:top w:val="single" w:color="auto" w:sz="4" w:space="0"/>
              <w:left w:val="single" w:color="auto" w:sz="4" w:space="0"/>
              <w:bottom w:val="single" w:color="auto" w:sz="4" w:space="0"/>
              <w:right w:val="single" w:color="auto" w:sz="4" w:space="0"/>
            </w:tcBorders>
            <w:shd w:val="clear" w:color="auto" w:fill="auto"/>
            <w:vAlign w:val="center"/>
          </w:tcPr>
          <w:p w14:paraId="318FA61C">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w:t>
            </w:r>
          </w:p>
          <w:p w14:paraId="50459C6C">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每次扣0.5分</w:t>
            </w:r>
          </w:p>
        </w:tc>
        <w:tc>
          <w:tcPr>
            <w:tcW w:w="207" w:type="pct"/>
            <w:tcBorders>
              <w:top w:val="single" w:color="auto" w:sz="4" w:space="0"/>
              <w:left w:val="single" w:color="auto" w:sz="4" w:space="0"/>
              <w:bottom w:val="single" w:color="auto" w:sz="4" w:space="0"/>
              <w:right w:val="single" w:color="auto" w:sz="4" w:space="0"/>
            </w:tcBorders>
            <w:vAlign w:val="center"/>
          </w:tcPr>
          <w:p w14:paraId="216D022C">
            <w:pPr>
              <w:pStyle w:val="70"/>
              <w:shd w:val="clear"/>
              <w:jc w:val="center"/>
              <w:rPr>
                <w:color w:val="auto"/>
                <w:spacing w:val="6"/>
                <w:sz w:val="21"/>
                <w:szCs w:val="21"/>
                <w:highlight w:val="none"/>
                <w:lang w:eastAsia="zh-CN"/>
              </w:rPr>
            </w:pPr>
          </w:p>
        </w:tc>
      </w:tr>
      <w:tr w14:paraId="56B8C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204" w:type="pct"/>
            <w:tcBorders>
              <w:top w:val="single" w:color="auto" w:sz="4" w:space="0"/>
              <w:left w:val="single" w:color="auto" w:sz="4" w:space="0"/>
              <w:bottom w:val="single" w:color="auto" w:sz="4" w:space="0"/>
              <w:right w:val="single" w:color="auto" w:sz="4" w:space="0"/>
            </w:tcBorders>
            <w:shd w:val="clear" w:color="auto" w:fill="auto"/>
            <w:vAlign w:val="center"/>
          </w:tcPr>
          <w:p w14:paraId="4CA7263B">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7</w:t>
            </w:r>
          </w:p>
        </w:tc>
        <w:tc>
          <w:tcPr>
            <w:tcW w:w="467" w:type="pct"/>
            <w:vMerge w:val="continue"/>
            <w:tcBorders>
              <w:left w:val="single" w:color="auto" w:sz="4" w:space="0"/>
              <w:bottom w:val="single" w:color="auto" w:sz="4" w:space="0"/>
              <w:right w:val="single" w:color="auto" w:sz="4" w:space="0"/>
            </w:tcBorders>
            <w:shd w:val="clear" w:color="auto" w:fill="auto"/>
            <w:vAlign w:val="center"/>
          </w:tcPr>
          <w:p w14:paraId="5F37BAEF">
            <w:pPr>
              <w:pStyle w:val="70"/>
              <w:shd w:val="clear"/>
              <w:jc w:val="center"/>
              <w:rPr>
                <w:color w:val="auto"/>
                <w:spacing w:val="6"/>
                <w:sz w:val="21"/>
                <w:szCs w:val="21"/>
                <w:highlight w:val="none"/>
                <w:lang w:eastAsia="zh-CN"/>
              </w:rPr>
            </w:pPr>
          </w:p>
        </w:tc>
        <w:tc>
          <w:tcPr>
            <w:tcW w:w="377" w:type="pct"/>
            <w:tcBorders>
              <w:top w:val="single" w:color="auto" w:sz="4" w:space="0"/>
              <w:left w:val="single" w:color="auto" w:sz="4" w:space="0"/>
              <w:bottom w:val="single" w:color="auto" w:sz="4" w:space="0"/>
              <w:right w:val="single" w:color="auto" w:sz="4" w:space="0"/>
            </w:tcBorders>
            <w:shd w:val="clear" w:color="auto" w:fill="auto"/>
            <w:vAlign w:val="center"/>
          </w:tcPr>
          <w:p w14:paraId="35642687">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服务体量</w:t>
            </w:r>
          </w:p>
        </w:tc>
        <w:tc>
          <w:tcPr>
            <w:tcW w:w="2180" w:type="pct"/>
            <w:tcBorders>
              <w:top w:val="single" w:color="auto" w:sz="4" w:space="0"/>
              <w:left w:val="single" w:color="auto" w:sz="4" w:space="0"/>
              <w:bottom w:val="single" w:color="auto" w:sz="4" w:space="0"/>
              <w:right w:val="single" w:color="auto" w:sz="4" w:space="0"/>
            </w:tcBorders>
            <w:shd w:val="clear" w:color="auto" w:fill="auto"/>
            <w:vAlign w:val="center"/>
          </w:tcPr>
          <w:p w14:paraId="7D2038FA">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实际服务企业体量</w:t>
            </w:r>
          </w:p>
        </w:tc>
        <w:tc>
          <w:tcPr>
            <w:tcW w:w="266" w:type="pct"/>
            <w:tcBorders>
              <w:top w:val="single" w:color="auto" w:sz="4" w:space="0"/>
              <w:left w:val="single" w:color="auto" w:sz="4" w:space="0"/>
              <w:bottom w:val="single" w:color="auto" w:sz="4" w:space="0"/>
              <w:right w:val="single" w:color="auto" w:sz="4" w:space="0"/>
            </w:tcBorders>
            <w:shd w:val="clear" w:color="auto" w:fill="auto"/>
            <w:vAlign w:val="center"/>
          </w:tcPr>
          <w:p w14:paraId="07C9F27B">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40</w:t>
            </w:r>
          </w:p>
        </w:tc>
        <w:tc>
          <w:tcPr>
            <w:tcW w:w="1299" w:type="pct"/>
            <w:tcBorders>
              <w:top w:val="single" w:color="auto" w:sz="4" w:space="0"/>
              <w:left w:val="single" w:color="auto" w:sz="4" w:space="0"/>
              <w:bottom w:val="single" w:color="auto" w:sz="4" w:space="0"/>
              <w:right w:val="single" w:color="auto" w:sz="4" w:space="0"/>
            </w:tcBorders>
            <w:shd w:val="clear" w:color="auto" w:fill="auto"/>
            <w:vAlign w:val="center"/>
          </w:tcPr>
          <w:p w14:paraId="1483EC93">
            <w:pPr>
              <w:pStyle w:val="70"/>
              <w:shd w:val="clear"/>
              <w:rPr>
                <w:color w:val="auto"/>
                <w:spacing w:val="6"/>
                <w:sz w:val="21"/>
                <w:szCs w:val="21"/>
                <w:highlight w:val="none"/>
                <w:lang w:eastAsia="zh-CN"/>
              </w:rPr>
            </w:pPr>
            <w:r>
              <w:rPr>
                <w:rFonts w:hint="eastAsia"/>
                <w:color w:val="auto"/>
                <w:spacing w:val="6"/>
                <w:sz w:val="21"/>
                <w:szCs w:val="21"/>
                <w:highlight w:val="none"/>
                <w:lang w:eastAsia="zh-CN"/>
              </w:rPr>
              <w:t>以当季度末园区的实际服务企业体量的占比同比例得分</w:t>
            </w:r>
          </w:p>
          <w:p w14:paraId="665919E6">
            <w:pPr>
              <w:pStyle w:val="70"/>
              <w:shd w:val="clear"/>
              <w:rPr>
                <w:color w:val="auto"/>
                <w:spacing w:val="6"/>
                <w:sz w:val="21"/>
                <w:szCs w:val="21"/>
                <w:highlight w:val="none"/>
                <w:lang w:eastAsia="zh-CN"/>
              </w:rPr>
            </w:pPr>
            <w:r>
              <w:rPr>
                <w:rFonts w:hint="eastAsia"/>
                <w:color w:val="auto"/>
                <w:spacing w:val="6"/>
                <w:sz w:val="21"/>
                <w:szCs w:val="21"/>
                <w:highlight w:val="none"/>
                <w:lang w:eastAsia="zh-CN"/>
              </w:rPr>
              <w:t>（①服务企业体量的计算以入驻企业合同签约之日起计；②当园区实际服务企业体量占比≥80%时，按100%得分）</w:t>
            </w:r>
          </w:p>
        </w:tc>
        <w:tc>
          <w:tcPr>
            <w:tcW w:w="207" w:type="pct"/>
            <w:tcBorders>
              <w:top w:val="single" w:color="auto" w:sz="4" w:space="0"/>
              <w:left w:val="single" w:color="auto" w:sz="4" w:space="0"/>
              <w:bottom w:val="single" w:color="auto" w:sz="4" w:space="0"/>
              <w:right w:val="single" w:color="auto" w:sz="4" w:space="0"/>
            </w:tcBorders>
            <w:vAlign w:val="center"/>
          </w:tcPr>
          <w:p w14:paraId="00A89AC4">
            <w:pPr>
              <w:pStyle w:val="70"/>
              <w:shd w:val="clear"/>
              <w:jc w:val="center"/>
              <w:rPr>
                <w:color w:val="auto"/>
                <w:spacing w:val="6"/>
                <w:sz w:val="21"/>
                <w:szCs w:val="21"/>
                <w:highlight w:val="none"/>
                <w:lang w:eastAsia="zh-CN"/>
              </w:rPr>
            </w:pPr>
          </w:p>
        </w:tc>
      </w:tr>
      <w:tr w14:paraId="04BA5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359" w:hRule="atLeast"/>
        </w:trPr>
        <w:tc>
          <w:tcPr>
            <w:tcW w:w="4793" w:type="pct"/>
            <w:gridSpan w:val="6"/>
            <w:tcBorders>
              <w:top w:val="single" w:color="auto" w:sz="4" w:space="0"/>
              <w:left w:val="single" w:color="auto" w:sz="4" w:space="0"/>
              <w:bottom w:val="single" w:color="auto" w:sz="4" w:space="0"/>
              <w:right w:val="single" w:color="auto" w:sz="4" w:space="0"/>
            </w:tcBorders>
            <w:vAlign w:val="center"/>
          </w:tcPr>
          <w:p w14:paraId="4C8C6787">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合计得分</w:t>
            </w:r>
          </w:p>
        </w:tc>
        <w:tc>
          <w:tcPr>
            <w:tcW w:w="207" w:type="pct"/>
            <w:tcBorders>
              <w:top w:val="single" w:color="auto" w:sz="4" w:space="0"/>
              <w:left w:val="single" w:color="auto" w:sz="4" w:space="0"/>
              <w:bottom w:val="single" w:color="auto" w:sz="4" w:space="0"/>
              <w:right w:val="single" w:color="auto" w:sz="4" w:space="0"/>
            </w:tcBorders>
            <w:vAlign w:val="center"/>
          </w:tcPr>
          <w:p w14:paraId="7D8F937F">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w:t>
            </w:r>
          </w:p>
        </w:tc>
      </w:tr>
      <w:tr w14:paraId="0B903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359" w:hRule="atLeast"/>
        </w:trPr>
        <w:tc>
          <w:tcPr>
            <w:tcW w:w="4793" w:type="pct"/>
            <w:gridSpan w:val="6"/>
            <w:tcBorders>
              <w:top w:val="single" w:color="auto" w:sz="4" w:space="0"/>
              <w:left w:val="single" w:color="auto" w:sz="4" w:space="0"/>
              <w:bottom w:val="single" w:color="auto" w:sz="4" w:space="0"/>
              <w:right w:val="single" w:color="auto" w:sz="4" w:space="0"/>
            </w:tcBorders>
            <w:vAlign w:val="center"/>
          </w:tcPr>
          <w:p w14:paraId="0A341B0E">
            <w:pPr>
              <w:pStyle w:val="70"/>
              <w:shd w:val="clear"/>
              <w:jc w:val="left"/>
              <w:rPr>
                <w:color w:val="auto"/>
                <w:spacing w:val="6"/>
                <w:sz w:val="21"/>
                <w:szCs w:val="21"/>
                <w:highlight w:val="none"/>
                <w:lang w:eastAsia="zh-CN"/>
              </w:rPr>
            </w:pPr>
            <w:r>
              <w:rPr>
                <w:rFonts w:hint="eastAsia"/>
                <w:color w:val="auto"/>
                <w:spacing w:val="6"/>
                <w:sz w:val="21"/>
                <w:szCs w:val="21"/>
                <w:highlight w:val="none"/>
                <w:lang w:eastAsia="zh-CN"/>
              </w:rPr>
              <w:t>本考核细则按季度进行打分考核，满分为100分，按考核得分同比例支付季度运营管理服务费。</w:t>
            </w:r>
          </w:p>
        </w:tc>
        <w:tc>
          <w:tcPr>
            <w:tcW w:w="207" w:type="pct"/>
            <w:tcBorders>
              <w:top w:val="single" w:color="auto" w:sz="4" w:space="0"/>
              <w:left w:val="single" w:color="auto" w:sz="4" w:space="0"/>
              <w:bottom w:val="single" w:color="auto" w:sz="4" w:space="0"/>
              <w:right w:val="single" w:color="auto" w:sz="4" w:space="0"/>
            </w:tcBorders>
            <w:vAlign w:val="center"/>
          </w:tcPr>
          <w:p w14:paraId="62472CF6">
            <w:pPr>
              <w:pStyle w:val="70"/>
              <w:shd w:val="clear"/>
              <w:jc w:val="center"/>
              <w:rPr>
                <w:color w:val="auto"/>
                <w:spacing w:val="6"/>
                <w:sz w:val="21"/>
                <w:szCs w:val="21"/>
                <w:highlight w:val="none"/>
                <w:lang w:eastAsia="zh-CN"/>
              </w:rPr>
            </w:pPr>
          </w:p>
        </w:tc>
      </w:tr>
    </w:tbl>
    <w:p w14:paraId="24E462F6">
      <w:pPr>
        <w:widowControl/>
        <w:shd w:val="clear"/>
        <w:jc w:val="left"/>
        <w:rPr>
          <w:rFonts w:cs="仿宋" w:asciiTheme="minorEastAsia" w:hAnsiTheme="minorEastAsia" w:eastAsiaTheme="minorEastAsia"/>
          <w:b/>
          <w:color w:val="auto"/>
          <w:sz w:val="24"/>
          <w:highlight w:val="none"/>
        </w:rPr>
      </w:pPr>
      <w:r>
        <w:rPr>
          <w:rFonts w:hint="eastAsia" w:ascii="宋体" w:hAnsi="宋体" w:cs="宋体"/>
          <w:color w:val="auto"/>
          <w:highlight w:val="none"/>
        </w:rPr>
        <w:t>本考核细则按季度进行打分考核，满分为100分，按考核得分同比例支付季度运营管理服务费。</w:t>
      </w:r>
    </w:p>
    <w:p w14:paraId="03DB8E68">
      <w:pPr>
        <w:pStyle w:val="9"/>
        <w:shd w:val="clear"/>
        <w:adjustRightInd w:val="0"/>
        <w:snapToGrid w:val="0"/>
        <w:spacing w:line="360" w:lineRule="auto"/>
        <w:ind w:firstLine="0" w:firstLineChars="0"/>
        <w:rPr>
          <w:rFonts w:cs="仿宋" w:asciiTheme="majorEastAsia" w:hAnsiTheme="majorEastAsia" w:eastAsiaTheme="majorEastAsia"/>
          <w:b/>
          <w:color w:val="auto"/>
          <w:sz w:val="36"/>
          <w:szCs w:val="36"/>
          <w:highlight w:val="none"/>
        </w:rPr>
        <w:sectPr>
          <w:pgSz w:w="16838" w:h="11906" w:orient="landscape"/>
          <w:pgMar w:top="1418" w:right="1276" w:bottom="1276" w:left="1247" w:header="851" w:footer="992" w:gutter="0"/>
          <w:cols w:space="720" w:num="1"/>
          <w:titlePg/>
          <w:docGrid w:linePitch="312" w:charSpace="0"/>
        </w:sectPr>
      </w:pPr>
    </w:p>
    <w:p w14:paraId="29BF5BAF">
      <w:pPr>
        <w:pStyle w:val="2"/>
        <w:shd w:val="clear"/>
        <w:spacing w:before="0" w:after="0" w:line="240" w:lineRule="auto"/>
        <w:ind w:firstLine="482" w:firstLineChars="200"/>
        <w:jc w:val="left"/>
        <w:rPr>
          <w:rFonts w:ascii="宋体" w:hAnsi="宋体" w:cs="宋体"/>
          <w:snapToGrid w:val="0"/>
          <w:color w:val="auto"/>
          <w:sz w:val="24"/>
          <w:szCs w:val="20"/>
          <w:highlight w:val="none"/>
        </w:rPr>
      </w:pPr>
      <w:r>
        <w:rPr>
          <w:rFonts w:hint="eastAsia" w:ascii="宋体" w:hAnsi="宋体" w:cs="宋体"/>
          <w:snapToGrid w:val="0"/>
          <w:color w:val="auto"/>
          <w:sz w:val="24"/>
          <w:szCs w:val="20"/>
          <w:highlight w:val="none"/>
        </w:rPr>
        <w:t>附件二：安全管理及环境管理季度考核办法</w:t>
      </w:r>
    </w:p>
    <w:tbl>
      <w:tblPr>
        <w:tblStyle w:val="22"/>
        <w:tblpPr w:leftFromText="180" w:rightFromText="180" w:vertAnchor="text" w:horzAnchor="page" w:tblpXSpec="center" w:tblpY="277"/>
        <w:tblOverlap w:val="never"/>
        <w:tblW w:w="102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13" w:type="dxa"/>
          <w:left w:w="108" w:type="dxa"/>
          <w:bottom w:w="113" w:type="dxa"/>
          <w:right w:w="108" w:type="dxa"/>
        </w:tblCellMar>
      </w:tblPr>
      <w:tblGrid>
        <w:gridCol w:w="677"/>
        <w:gridCol w:w="5549"/>
        <w:gridCol w:w="777"/>
        <w:gridCol w:w="2545"/>
        <w:gridCol w:w="712"/>
      </w:tblGrid>
      <w:tr w14:paraId="576A1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313" w:hRule="atLeast"/>
        </w:trPr>
        <w:tc>
          <w:tcPr>
            <w:tcW w:w="677" w:type="dxa"/>
            <w:tcBorders>
              <w:top w:val="single" w:color="auto" w:sz="4" w:space="0"/>
              <w:left w:val="single" w:color="auto" w:sz="4" w:space="0"/>
              <w:bottom w:val="single" w:color="auto" w:sz="4" w:space="0"/>
              <w:right w:val="single" w:color="auto" w:sz="4" w:space="0"/>
            </w:tcBorders>
            <w:vAlign w:val="center"/>
          </w:tcPr>
          <w:p w14:paraId="0AF28C60">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序号</w:t>
            </w:r>
          </w:p>
        </w:tc>
        <w:tc>
          <w:tcPr>
            <w:tcW w:w="5549" w:type="dxa"/>
            <w:tcBorders>
              <w:top w:val="single" w:color="auto" w:sz="4" w:space="0"/>
              <w:left w:val="single" w:color="auto" w:sz="4" w:space="0"/>
              <w:bottom w:val="single" w:color="auto" w:sz="4" w:space="0"/>
              <w:right w:val="single" w:color="auto" w:sz="4" w:space="0"/>
            </w:tcBorders>
            <w:vAlign w:val="center"/>
          </w:tcPr>
          <w:p w14:paraId="46E5EB8D">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评分标准</w:t>
            </w:r>
          </w:p>
        </w:tc>
        <w:tc>
          <w:tcPr>
            <w:tcW w:w="777" w:type="dxa"/>
            <w:tcBorders>
              <w:top w:val="single" w:color="auto" w:sz="4" w:space="0"/>
              <w:left w:val="single" w:color="auto" w:sz="4" w:space="0"/>
              <w:bottom w:val="single" w:color="auto" w:sz="4" w:space="0"/>
              <w:right w:val="single" w:color="auto" w:sz="4" w:space="0"/>
            </w:tcBorders>
            <w:vAlign w:val="center"/>
          </w:tcPr>
          <w:p w14:paraId="7D26BA3F">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分值</w:t>
            </w:r>
          </w:p>
        </w:tc>
        <w:tc>
          <w:tcPr>
            <w:tcW w:w="2545" w:type="dxa"/>
            <w:tcBorders>
              <w:top w:val="single" w:color="auto" w:sz="4" w:space="0"/>
              <w:left w:val="single" w:color="auto" w:sz="4" w:space="0"/>
              <w:bottom w:val="single" w:color="auto" w:sz="4" w:space="0"/>
              <w:right w:val="single" w:color="auto" w:sz="4" w:space="0"/>
            </w:tcBorders>
            <w:vAlign w:val="center"/>
          </w:tcPr>
          <w:p w14:paraId="706E7280">
            <w:pPr>
              <w:widowControl/>
              <w:shd w:val="clear"/>
              <w:jc w:val="center"/>
              <w:rPr>
                <w:color w:val="auto"/>
                <w:spacing w:val="6"/>
                <w:szCs w:val="21"/>
                <w:highlight w:val="none"/>
              </w:rPr>
            </w:pPr>
            <w:r>
              <w:rPr>
                <w:rFonts w:hint="eastAsia" w:ascii="宋体" w:hAnsi="宋体" w:cs="宋体"/>
                <w:color w:val="auto"/>
                <w:kern w:val="0"/>
                <w:sz w:val="20"/>
                <w:szCs w:val="20"/>
                <w:highlight w:val="none"/>
              </w:rPr>
              <w:t>评分验收办法及评分</w:t>
            </w:r>
          </w:p>
        </w:tc>
        <w:tc>
          <w:tcPr>
            <w:tcW w:w="712" w:type="dxa"/>
            <w:tcBorders>
              <w:top w:val="single" w:color="auto" w:sz="4" w:space="0"/>
              <w:left w:val="single" w:color="auto" w:sz="4" w:space="0"/>
              <w:bottom w:val="single" w:color="auto" w:sz="4" w:space="0"/>
              <w:right w:val="single" w:color="auto" w:sz="4" w:space="0"/>
            </w:tcBorders>
            <w:vAlign w:val="center"/>
          </w:tcPr>
          <w:p w14:paraId="15D4422D">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得分</w:t>
            </w:r>
          </w:p>
        </w:tc>
      </w:tr>
      <w:tr w14:paraId="20142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677" w:type="dxa"/>
            <w:tcBorders>
              <w:top w:val="single" w:color="auto" w:sz="4" w:space="0"/>
              <w:left w:val="single" w:color="auto" w:sz="4" w:space="0"/>
              <w:bottom w:val="single" w:color="auto" w:sz="4" w:space="0"/>
              <w:right w:val="single" w:color="auto" w:sz="4" w:space="0"/>
            </w:tcBorders>
            <w:vAlign w:val="center"/>
          </w:tcPr>
          <w:p w14:paraId="3951FC69">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w:t>
            </w:r>
          </w:p>
        </w:tc>
        <w:tc>
          <w:tcPr>
            <w:tcW w:w="5549" w:type="dxa"/>
            <w:tcBorders>
              <w:top w:val="single" w:color="auto" w:sz="4" w:space="0"/>
              <w:left w:val="single" w:color="auto" w:sz="4" w:space="0"/>
              <w:bottom w:val="single" w:color="auto" w:sz="4" w:space="0"/>
              <w:right w:val="single" w:color="auto" w:sz="4" w:space="0"/>
            </w:tcBorders>
            <w:vAlign w:val="center"/>
          </w:tcPr>
          <w:p w14:paraId="4A459229">
            <w:pPr>
              <w:pStyle w:val="70"/>
              <w:shd w:val="clear"/>
              <w:rPr>
                <w:color w:val="auto"/>
                <w:spacing w:val="6"/>
                <w:sz w:val="21"/>
                <w:szCs w:val="21"/>
                <w:highlight w:val="none"/>
                <w:lang w:eastAsia="zh-CN"/>
              </w:rPr>
            </w:pPr>
            <w:r>
              <w:rPr>
                <w:rFonts w:hint="eastAsia"/>
                <w:color w:val="auto"/>
                <w:spacing w:val="6"/>
                <w:sz w:val="21"/>
                <w:szCs w:val="21"/>
                <w:highlight w:val="none"/>
                <w:lang w:eastAsia="zh-CN"/>
              </w:rPr>
              <w:t>建立规范的管理制度，上墙公示接受监督。</w:t>
            </w:r>
          </w:p>
        </w:tc>
        <w:tc>
          <w:tcPr>
            <w:tcW w:w="777" w:type="dxa"/>
            <w:tcBorders>
              <w:top w:val="single" w:color="auto" w:sz="4" w:space="0"/>
              <w:left w:val="single" w:color="auto" w:sz="4" w:space="0"/>
              <w:bottom w:val="single" w:color="auto" w:sz="4" w:space="0"/>
              <w:right w:val="single" w:color="auto" w:sz="4" w:space="0"/>
            </w:tcBorders>
            <w:vAlign w:val="center"/>
          </w:tcPr>
          <w:p w14:paraId="7E05B219">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2545" w:type="dxa"/>
            <w:tcBorders>
              <w:top w:val="single" w:color="auto" w:sz="4" w:space="0"/>
              <w:left w:val="single" w:color="auto" w:sz="4" w:space="0"/>
              <w:bottom w:val="single" w:color="auto" w:sz="4" w:space="0"/>
              <w:right w:val="single" w:color="auto" w:sz="4" w:space="0"/>
            </w:tcBorders>
            <w:vAlign w:val="center"/>
          </w:tcPr>
          <w:p w14:paraId="0B2ACF73">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缺少一项，扣 0.5 分</w:t>
            </w:r>
          </w:p>
        </w:tc>
        <w:tc>
          <w:tcPr>
            <w:tcW w:w="712" w:type="dxa"/>
            <w:tcBorders>
              <w:top w:val="single" w:color="auto" w:sz="4" w:space="0"/>
              <w:left w:val="single" w:color="auto" w:sz="4" w:space="0"/>
              <w:bottom w:val="single" w:color="auto" w:sz="4" w:space="0"/>
              <w:right w:val="single" w:color="auto" w:sz="4" w:space="0"/>
            </w:tcBorders>
            <w:vAlign w:val="center"/>
          </w:tcPr>
          <w:p w14:paraId="7938AEEF">
            <w:pPr>
              <w:pStyle w:val="70"/>
              <w:shd w:val="clear"/>
              <w:jc w:val="center"/>
              <w:rPr>
                <w:color w:val="auto"/>
                <w:spacing w:val="6"/>
                <w:sz w:val="21"/>
                <w:szCs w:val="21"/>
                <w:highlight w:val="none"/>
                <w:lang w:eastAsia="zh-CN"/>
              </w:rPr>
            </w:pPr>
          </w:p>
        </w:tc>
      </w:tr>
      <w:tr w14:paraId="23E64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677" w:type="dxa"/>
            <w:tcBorders>
              <w:top w:val="single" w:color="auto" w:sz="4" w:space="0"/>
              <w:left w:val="single" w:color="auto" w:sz="4" w:space="0"/>
              <w:bottom w:val="single" w:color="auto" w:sz="4" w:space="0"/>
              <w:right w:val="single" w:color="auto" w:sz="4" w:space="0"/>
            </w:tcBorders>
            <w:vAlign w:val="center"/>
          </w:tcPr>
          <w:p w14:paraId="5DF0E17C">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2</w:t>
            </w:r>
          </w:p>
        </w:tc>
        <w:tc>
          <w:tcPr>
            <w:tcW w:w="5549" w:type="dxa"/>
            <w:tcBorders>
              <w:top w:val="single" w:color="auto" w:sz="4" w:space="0"/>
              <w:left w:val="single" w:color="auto" w:sz="4" w:space="0"/>
              <w:bottom w:val="single" w:color="auto" w:sz="4" w:space="0"/>
              <w:right w:val="single" w:color="auto" w:sz="4" w:space="0"/>
            </w:tcBorders>
            <w:vAlign w:val="center"/>
          </w:tcPr>
          <w:p w14:paraId="73745DAA">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建立有效的安保、消防、防台防汛等各类突发事件的应急预案。</w:t>
            </w:r>
          </w:p>
        </w:tc>
        <w:tc>
          <w:tcPr>
            <w:tcW w:w="777" w:type="dxa"/>
            <w:tcBorders>
              <w:top w:val="single" w:color="auto" w:sz="4" w:space="0"/>
              <w:left w:val="single" w:color="auto" w:sz="4" w:space="0"/>
              <w:bottom w:val="single" w:color="auto" w:sz="4" w:space="0"/>
              <w:right w:val="single" w:color="auto" w:sz="4" w:space="0"/>
            </w:tcBorders>
            <w:vAlign w:val="center"/>
          </w:tcPr>
          <w:p w14:paraId="1F26E0DA">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2545" w:type="dxa"/>
            <w:tcBorders>
              <w:top w:val="single" w:color="auto" w:sz="4" w:space="0"/>
              <w:left w:val="single" w:color="auto" w:sz="4" w:space="0"/>
              <w:bottom w:val="single" w:color="auto" w:sz="4" w:space="0"/>
              <w:right w:val="single" w:color="auto" w:sz="4" w:space="0"/>
            </w:tcBorders>
            <w:vAlign w:val="center"/>
          </w:tcPr>
          <w:p w14:paraId="54F09D52">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缺少一项，扣 0.5 分</w:t>
            </w:r>
          </w:p>
        </w:tc>
        <w:tc>
          <w:tcPr>
            <w:tcW w:w="712" w:type="dxa"/>
            <w:tcBorders>
              <w:top w:val="single" w:color="auto" w:sz="4" w:space="0"/>
              <w:left w:val="single" w:color="auto" w:sz="4" w:space="0"/>
              <w:bottom w:val="single" w:color="auto" w:sz="4" w:space="0"/>
              <w:right w:val="single" w:color="auto" w:sz="4" w:space="0"/>
            </w:tcBorders>
            <w:vAlign w:val="center"/>
          </w:tcPr>
          <w:p w14:paraId="4FAE4432">
            <w:pPr>
              <w:pStyle w:val="70"/>
              <w:shd w:val="clear"/>
              <w:jc w:val="center"/>
              <w:rPr>
                <w:color w:val="auto"/>
                <w:spacing w:val="6"/>
                <w:sz w:val="21"/>
                <w:szCs w:val="21"/>
                <w:highlight w:val="none"/>
                <w:lang w:eastAsia="zh-CN"/>
              </w:rPr>
            </w:pPr>
          </w:p>
        </w:tc>
      </w:tr>
      <w:tr w14:paraId="21955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677" w:type="dxa"/>
            <w:tcBorders>
              <w:top w:val="single" w:color="auto" w:sz="4" w:space="0"/>
              <w:left w:val="single" w:color="auto" w:sz="4" w:space="0"/>
              <w:bottom w:val="single" w:color="auto" w:sz="4" w:space="0"/>
              <w:right w:val="single" w:color="auto" w:sz="4" w:space="0"/>
            </w:tcBorders>
            <w:vAlign w:val="center"/>
          </w:tcPr>
          <w:p w14:paraId="0E16A230">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3</w:t>
            </w:r>
          </w:p>
        </w:tc>
        <w:tc>
          <w:tcPr>
            <w:tcW w:w="5549" w:type="dxa"/>
            <w:tcBorders>
              <w:top w:val="single" w:color="auto" w:sz="4" w:space="0"/>
              <w:left w:val="single" w:color="auto" w:sz="4" w:space="0"/>
              <w:bottom w:val="single" w:color="auto" w:sz="4" w:space="0"/>
              <w:right w:val="single" w:color="auto" w:sz="4" w:space="0"/>
            </w:tcBorders>
            <w:vAlign w:val="center"/>
          </w:tcPr>
          <w:p w14:paraId="03CD46B9">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建立24小时值班巡查制度，对房屋、公用设施进行巡查及值班进行记录。</w:t>
            </w:r>
          </w:p>
        </w:tc>
        <w:tc>
          <w:tcPr>
            <w:tcW w:w="777" w:type="dxa"/>
            <w:tcBorders>
              <w:top w:val="single" w:color="auto" w:sz="4" w:space="0"/>
              <w:left w:val="single" w:color="auto" w:sz="4" w:space="0"/>
              <w:bottom w:val="single" w:color="auto" w:sz="4" w:space="0"/>
              <w:right w:val="single" w:color="auto" w:sz="4" w:space="0"/>
            </w:tcBorders>
            <w:vAlign w:val="center"/>
          </w:tcPr>
          <w:p w14:paraId="65220204">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2545" w:type="dxa"/>
            <w:tcBorders>
              <w:top w:val="single" w:color="auto" w:sz="4" w:space="0"/>
              <w:left w:val="single" w:color="auto" w:sz="4" w:space="0"/>
              <w:bottom w:val="single" w:color="auto" w:sz="4" w:space="0"/>
              <w:right w:val="single" w:color="auto" w:sz="4" w:space="0"/>
            </w:tcBorders>
            <w:vAlign w:val="center"/>
          </w:tcPr>
          <w:p w14:paraId="6D527BD2">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712" w:type="dxa"/>
            <w:tcBorders>
              <w:top w:val="single" w:color="auto" w:sz="4" w:space="0"/>
              <w:left w:val="single" w:color="auto" w:sz="4" w:space="0"/>
              <w:bottom w:val="single" w:color="auto" w:sz="4" w:space="0"/>
              <w:right w:val="single" w:color="auto" w:sz="4" w:space="0"/>
            </w:tcBorders>
            <w:vAlign w:val="center"/>
          </w:tcPr>
          <w:p w14:paraId="4C7A1582">
            <w:pPr>
              <w:pStyle w:val="70"/>
              <w:shd w:val="clear"/>
              <w:jc w:val="center"/>
              <w:rPr>
                <w:color w:val="auto"/>
                <w:spacing w:val="6"/>
                <w:sz w:val="21"/>
                <w:szCs w:val="21"/>
                <w:highlight w:val="none"/>
                <w:lang w:eastAsia="zh-CN"/>
              </w:rPr>
            </w:pPr>
          </w:p>
        </w:tc>
      </w:tr>
      <w:tr w14:paraId="330D3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21" w:hRule="atLeast"/>
        </w:trPr>
        <w:tc>
          <w:tcPr>
            <w:tcW w:w="677" w:type="dxa"/>
            <w:tcBorders>
              <w:top w:val="single" w:color="auto" w:sz="4" w:space="0"/>
              <w:left w:val="single" w:color="auto" w:sz="4" w:space="0"/>
              <w:bottom w:val="single" w:color="auto" w:sz="4" w:space="0"/>
              <w:right w:val="single" w:color="auto" w:sz="4" w:space="0"/>
            </w:tcBorders>
            <w:vAlign w:val="center"/>
          </w:tcPr>
          <w:p w14:paraId="6DFF90A8">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4</w:t>
            </w:r>
          </w:p>
        </w:tc>
        <w:tc>
          <w:tcPr>
            <w:tcW w:w="5549" w:type="dxa"/>
            <w:tcBorders>
              <w:top w:val="single" w:color="auto" w:sz="4" w:space="0"/>
              <w:left w:val="single" w:color="auto" w:sz="4" w:space="0"/>
              <w:bottom w:val="single" w:color="auto" w:sz="4" w:space="0"/>
              <w:right w:val="single" w:color="auto" w:sz="4" w:space="0"/>
            </w:tcBorders>
            <w:vAlign w:val="center"/>
          </w:tcPr>
          <w:p w14:paraId="7636F6C7">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建立生活垃圾分类投放责任制和日常管理制度，保证园区清洁。</w:t>
            </w:r>
          </w:p>
        </w:tc>
        <w:tc>
          <w:tcPr>
            <w:tcW w:w="777" w:type="dxa"/>
            <w:tcBorders>
              <w:top w:val="single" w:color="auto" w:sz="4" w:space="0"/>
              <w:left w:val="single" w:color="auto" w:sz="4" w:space="0"/>
              <w:bottom w:val="single" w:color="auto" w:sz="4" w:space="0"/>
              <w:right w:val="single" w:color="auto" w:sz="4" w:space="0"/>
            </w:tcBorders>
            <w:vAlign w:val="center"/>
          </w:tcPr>
          <w:p w14:paraId="4997455D">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2545" w:type="dxa"/>
            <w:tcBorders>
              <w:top w:val="single" w:color="auto" w:sz="4" w:space="0"/>
              <w:left w:val="single" w:color="auto" w:sz="4" w:space="0"/>
              <w:bottom w:val="single" w:color="auto" w:sz="4" w:space="0"/>
              <w:right w:val="single" w:color="auto" w:sz="4" w:space="0"/>
            </w:tcBorders>
            <w:vAlign w:val="center"/>
          </w:tcPr>
          <w:p w14:paraId="794E94F6">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712" w:type="dxa"/>
            <w:tcBorders>
              <w:top w:val="single" w:color="auto" w:sz="4" w:space="0"/>
              <w:left w:val="single" w:color="auto" w:sz="4" w:space="0"/>
              <w:bottom w:val="single" w:color="auto" w:sz="4" w:space="0"/>
              <w:right w:val="single" w:color="auto" w:sz="4" w:space="0"/>
            </w:tcBorders>
            <w:vAlign w:val="center"/>
          </w:tcPr>
          <w:p w14:paraId="7CCF04C5">
            <w:pPr>
              <w:pStyle w:val="70"/>
              <w:shd w:val="clear"/>
              <w:jc w:val="center"/>
              <w:rPr>
                <w:color w:val="auto"/>
                <w:spacing w:val="6"/>
                <w:sz w:val="21"/>
                <w:szCs w:val="21"/>
                <w:highlight w:val="none"/>
                <w:lang w:eastAsia="zh-CN"/>
              </w:rPr>
            </w:pPr>
          </w:p>
        </w:tc>
      </w:tr>
      <w:tr w14:paraId="61E25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645" w:hRule="atLeast"/>
        </w:trPr>
        <w:tc>
          <w:tcPr>
            <w:tcW w:w="677" w:type="dxa"/>
            <w:tcBorders>
              <w:top w:val="single" w:color="auto" w:sz="4" w:space="0"/>
              <w:left w:val="single" w:color="auto" w:sz="4" w:space="0"/>
              <w:bottom w:val="single" w:color="auto" w:sz="4" w:space="0"/>
              <w:right w:val="single" w:color="auto" w:sz="4" w:space="0"/>
            </w:tcBorders>
            <w:vAlign w:val="center"/>
          </w:tcPr>
          <w:p w14:paraId="3012E10D">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5549" w:type="dxa"/>
            <w:tcBorders>
              <w:top w:val="single" w:color="auto" w:sz="4" w:space="0"/>
              <w:left w:val="single" w:color="auto" w:sz="4" w:space="0"/>
              <w:bottom w:val="single" w:color="auto" w:sz="4" w:space="0"/>
              <w:right w:val="single" w:color="auto" w:sz="4" w:space="0"/>
            </w:tcBorders>
            <w:vAlign w:val="center"/>
          </w:tcPr>
          <w:p w14:paraId="492065E4">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设立服务电话并上墙公示，接受招标人和承租户对物业管理服务保修、求助、建议、问询、投诉等信息的收集、处理和反馈，并进行记录。</w:t>
            </w:r>
          </w:p>
        </w:tc>
        <w:tc>
          <w:tcPr>
            <w:tcW w:w="777" w:type="dxa"/>
            <w:tcBorders>
              <w:top w:val="single" w:color="auto" w:sz="4" w:space="0"/>
              <w:left w:val="single" w:color="auto" w:sz="4" w:space="0"/>
              <w:bottom w:val="single" w:color="auto" w:sz="4" w:space="0"/>
              <w:right w:val="single" w:color="auto" w:sz="4" w:space="0"/>
            </w:tcBorders>
            <w:vAlign w:val="center"/>
          </w:tcPr>
          <w:p w14:paraId="36785B13">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2545" w:type="dxa"/>
            <w:tcBorders>
              <w:top w:val="single" w:color="auto" w:sz="4" w:space="0"/>
              <w:left w:val="single" w:color="auto" w:sz="4" w:space="0"/>
              <w:bottom w:val="single" w:color="auto" w:sz="4" w:space="0"/>
              <w:right w:val="single" w:color="auto" w:sz="4" w:space="0"/>
            </w:tcBorders>
            <w:vAlign w:val="center"/>
          </w:tcPr>
          <w:p w14:paraId="5FDAA617">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712" w:type="dxa"/>
            <w:tcBorders>
              <w:top w:val="single" w:color="auto" w:sz="4" w:space="0"/>
              <w:left w:val="single" w:color="auto" w:sz="4" w:space="0"/>
              <w:bottom w:val="single" w:color="auto" w:sz="4" w:space="0"/>
              <w:right w:val="single" w:color="auto" w:sz="4" w:space="0"/>
            </w:tcBorders>
            <w:vAlign w:val="center"/>
          </w:tcPr>
          <w:p w14:paraId="5C5B43D4">
            <w:pPr>
              <w:pStyle w:val="70"/>
              <w:shd w:val="clear"/>
              <w:jc w:val="center"/>
              <w:rPr>
                <w:color w:val="auto"/>
                <w:spacing w:val="6"/>
                <w:sz w:val="21"/>
                <w:szCs w:val="21"/>
                <w:highlight w:val="none"/>
                <w:lang w:eastAsia="zh-CN"/>
              </w:rPr>
            </w:pPr>
          </w:p>
        </w:tc>
      </w:tr>
      <w:tr w14:paraId="35B790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677" w:type="dxa"/>
            <w:tcBorders>
              <w:top w:val="single" w:color="auto" w:sz="4" w:space="0"/>
              <w:left w:val="single" w:color="auto" w:sz="4" w:space="0"/>
              <w:bottom w:val="single" w:color="auto" w:sz="4" w:space="0"/>
              <w:right w:val="single" w:color="auto" w:sz="4" w:space="0"/>
            </w:tcBorders>
            <w:vAlign w:val="center"/>
          </w:tcPr>
          <w:p w14:paraId="30B8528A">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6</w:t>
            </w:r>
          </w:p>
        </w:tc>
        <w:tc>
          <w:tcPr>
            <w:tcW w:w="5549" w:type="dxa"/>
            <w:tcBorders>
              <w:top w:val="single" w:color="auto" w:sz="4" w:space="0"/>
              <w:left w:val="single" w:color="auto" w:sz="4" w:space="0"/>
              <w:bottom w:val="single" w:color="auto" w:sz="4" w:space="0"/>
              <w:right w:val="single" w:color="auto" w:sz="4" w:space="0"/>
            </w:tcBorders>
            <w:vAlign w:val="center"/>
          </w:tcPr>
          <w:p w14:paraId="699A9925">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工作人员着装规范、工作严谨，安保配备对讲机等工具。</w:t>
            </w:r>
          </w:p>
        </w:tc>
        <w:tc>
          <w:tcPr>
            <w:tcW w:w="777" w:type="dxa"/>
            <w:tcBorders>
              <w:top w:val="single" w:color="auto" w:sz="4" w:space="0"/>
              <w:left w:val="single" w:color="auto" w:sz="4" w:space="0"/>
              <w:bottom w:val="single" w:color="auto" w:sz="4" w:space="0"/>
              <w:right w:val="single" w:color="auto" w:sz="4" w:space="0"/>
            </w:tcBorders>
            <w:vAlign w:val="center"/>
          </w:tcPr>
          <w:p w14:paraId="29C4048A">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2545" w:type="dxa"/>
            <w:tcBorders>
              <w:top w:val="single" w:color="auto" w:sz="4" w:space="0"/>
              <w:left w:val="single" w:color="auto" w:sz="4" w:space="0"/>
              <w:bottom w:val="single" w:color="auto" w:sz="4" w:space="0"/>
              <w:right w:val="single" w:color="auto" w:sz="4" w:space="0"/>
            </w:tcBorders>
            <w:vAlign w:val="center"/>
          </w:tcPr>
          <w:p w14:paraId="660D1ACB">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712" w:type="dxa"/>
            <w:tcBorders>
              <w:top w:val="single" w:color="auto" w:sz="4" w:space="0"/>
              <w:left w:val="single" w:color="auto" w:sz="4" w:space="0"/>
              <w:bottom w:val="single" w:color="auto" w:sz="4" w:space="0"/>
              <w:right w:val="single" w:color="auto" w:sz="4" w:space="0"/>
            </w:tcBorders>
            <w:vAlign w:val="center"/>
          </w:tcPr>
          <w:p w14:paraId="6DD0DD5B">
            <w:pPr>
              <w:pStyle w:val="70"/>
              <w:shd w:val="clear"/>
              <w:jc w:val="center"/>
              <w:rPr>
                <w:color w:val="auto"/>
                <w:spacing w:val="6"/>
                <w:sz w:val="21"/>
                <w:szCs w:val="21"/>
                <w:highlight w:val="none"/>
                <w:lang w:eastAsia="zh-CN"/>
              </w:rPr>
            </w:pPr>
          </w:p>
        </w:tc>
      </w:tr>
      <w:tr w14:paraId="6EC313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645" w:hRule="atLeast"/>
        </w:trPr>
        <w:tc>
          <w:tcPr>
            <w:tcW w:w="677" w:type="dxa"/>
            <w:tcBorders>
              <w:top w:val="single" w:color="auto" w:sz="4" w:space="0"/>
              <w:left w:val="single" w:color="auto" w:sz="4" w:space="0"/>
              <w:bottom w:val="single" w:color="auto" w:sz="4" w:space="0"/>
              <w:right w:val="single" w:color="auto" w:sz="4" w:space="0"/>
            </w:tcBorders>
            <w:vAlign w:val="center"/>
          </w:tcPr>
          <w:p w14:paraId="27382475">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7</w:t>
            </w:r>
          </w:p>
        </w:tc>
        <w:tc>
          <w:tcPr>
            <w:tcW w:w="5549" w:type="dxa"/>
            <w:tcBorders>
              <w:top w:val="single" w:color="auto" w:sz="4" w:space="0"/>
              <w:left w:val="single" w:color="auto" w:sz="4" w:space="0"/>
              <w:bottom w:val="single" w:color="auto" w:sz="4" w:space="0"/>
              <w:right w:val="single" w:color="auto" w:sz="4" w:space="0"/>
            </w:tcBorders>
            <w:vAlign w:val="center"/>
          </w:tcPr>
          <w:p w14:paraId="0D7A3EF1">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发生突发事件的，能第一时间内妥善采取应急措施，如有需要应向有关部门报案，并依法协助公安等部门履行公务。</w:t>
            </w:r>
          </w:p>
        </w:tc>
        <w:tc>
          <w:tcPr>
            <w:tcW w:w="777" w:type="dxa"/>
            <w:tcBorders>
              <w:top w:val="single" w:color="auto" w:sz="4" w:space="0"/>
              <w:left w:val="single" w:color="auto" w:sz="4" w:space="0"/>
              <w:bottom w:val="single" w:color="auto" w:sz="4" w:space="0"/>
              <w:right w:val="single" w:color="auto" w:sz="4" w:space="0"/>
            </w:tcBorders>
            <w:vAlign w:val="center"/>
          </w:tcPr>
          <w:p w14:paraId="310F1269">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6</w:t>
            </w:r>
          </w:p>
        </w:tc>
        <w:tc>
          <w:tcPr>
            <w:tcW w:w="2545" w:type="dxa"/>
            <w:tcBorders>
              <w:top w:val="single" w:color="auto" w:sz="4" w:space="0"/>
              <w:left w:val="single" w:color="auto" w:sz="4" w:space="0"/>
              <w:bottom w:val="single" w:color="auto" w:sz="4" w:space="0"/>
              <w:right w:val="single" w:color="auto" w:sz="4" w:space="0"/>
            </w:tcBorders>
            <w:vAlign w:val="center"/>
          </w:tcPr>
          <w:p w14:paraId="5D458F34">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712" w:type="dxa"/>
            <w:tcBorders>
              <w:top w:val="single" w:color="auto" w:sz="4" w:space="0"/>
              <w:left w:val="single" w:color="auto" w:sz="4" w:space="0"/>
              <w:bottom w:val="single" w:color="auto" w:sz="4" w:space="0"/>
              <w:right w:val="single" w:color="auto" w:sz="4" w:space="0"/>
            </w:tcBorders>
            <w:vAlign w:val="center"/>
          </w:tcPr>
          <w:p w14:paraId="6D2C402E">
            <w:pPr>
              <w:pStyle w:val="70"/>
              <w:shd w:val="clear"/>
              <w:jc w:val="center"/>
              <w:rPr>
                <w:color w:val="auto"/>
                <w:spacing w:val="6"/>
                <w:sz w:val="21"/>
                <w:szCs w:val="21"/>
                <w:highlight w:val="none"/>
                <w:lang w:eastAsia="zh-CN"/>
              </w:rPr>
            </w:pPr>
          </w:p>
        </w:tc>
      </w:tr>
      <w:tr w14:paraId="36D97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645" w:hRule="atLeast"/>
        </w:trPr>
        <w:tc>
          <w:tcPr>
            <w:tcW w:w="677" w:type="dxa"/>
            <w:tcBorders>
              <w:top w:val="single" w:color="auto" w:sz="4" w:space="0"/>
              <w:left w:val="single" w:color="auto" w:sz="4" w:space="0"/>
              <w:bottom w:val="single" w:color="auto" w:sz="4" w:space="0"/>
              <w:right w:val="single" w:color="auto" w:sz="4" w:space="0"/>
            </w:tcBorders>
            <w:vAlign w:val="center"/>
          </w:tcPr>
          <w:p w14:paraId="0F9A29D3">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8</w:t>
            </w:r>
          </w:p>
        </w:tc>
        <w:tc>
          <w:tcPr>
            <w:tcW w:w="5549" w:type="dxa"/>
            <w:tcBorders>
              <w:top w:val="single" w:color="auto" w:sz="4" w:space="0"/>
              <w:left w:val="single" w:color="auto" w:sz="4" w:space="0"/>
              <w:bottom w:val="single" w:color="auto" w:sz="4" w:space="0"/>
              <w:right w:val="single" w:color="auto" w:sz="4" w:space="0"/>
            </w:tcBorders>
            <w:vAlign w:val="center"/>
          </w:tcPr>
          <w:p w14:paraId="12AB68FD">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加强对进出车辆（含非机动车）的管理，保持车辆出入畅通，停放有序。对大宗物品运离园区的进行登记、检查。</w:t>
            </w:r>
          </w:p>
        </w:tc>
        <w:tc>
          <w:tcPr>
            <w:tcW w:w="777" w:type="dxa"/>
            <w:tcBorders>
              <w:top w:val="single" w:color="auto" w:sz="4" w:space="0"/>
              <w:left w:val="single" w:color="auto" w:sz="4" w:space="0"/>
              <w:bottom w:val="single" w:color="auto" w:sz="4" w:space="0"/>
              <w:right w:val="single" w:color="auto" w:sz="4" w:space="0"/>
            </w:tcBorders>
            <w:vAlign w:val="center"/>
          </w:tcPr>
          <w:p w14:paraId="214BB286">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6</w:t>
            </w:r>
          </w:p>
        </w:tc>
        <w:tc>
          <w:tcPr>
            <w:tcW w:w="2545" w:type="dxa"/>
            <w:tcBorders>
              <w:top w:val="single" w:color="auto" w:sz="4" w:space="0"/>
              <w:left w:val="single" w:color="auto" w:sz="4" w:space="0"/>
              <w:bottom w:val="single" w:color="auto" w:sz="4" w:space="0"/>
              <w:right w:val="single" w:color="auto" w:sz="4" w:space="0"/>
            </w:tcBorders>
            <w:vAlign w:val="center"/>
          </w:tcPr>
          <w:p w14:paraId="6BBC861C">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712" w:type="dxa"/>
            <w:tcBorders>
              <w:top w:val="single" w:color="auto" w:sz="4" w:space="0"/>
              <w:left w:val="single" w:color="auto" w:sz="4" w:space="0"/>
              <w:bottom w:val="single" w:color="auto" w:sz="4" w:space="0"/>
              <w:right w:val="single" w:color="auto" w:sz="4" w:space="0"/>
            </w:tcBorders>
            <w:vAlign w:val="center"/>
          </w:tcPr>
          <w:p w14:paraId="6C79145E">
            <w:pPr>
              <w:pStyle w:val="70"/>
              <w:shd w:val="clear"/>
              <w:jc w:val="center"/>
              <w:rPr>
                <w:color w:val="auto"/>
                <w:spacing w:val="6"/>
                <w:sz w:val="21"/>
                <w:szCs w:val="21"/>
                <w:highlight w:val="none"/>
                <w:lang w:eastAsia="zh-CN"/>
              </w:rPr>
            </w:pPr>
          </w:p>
        </w:tc>
      </w:tr>
      <w:tr w14:paraId="1453FD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645" w:hRule="atLeast"/>
        </w:trPr>
        <w:tc>
          <w:tcPr>
            <w:tcW w:w="677" w:type="dxa"/>
            <w:tcBorders>
              <w:top w:val="single" w:color="auto" w:sz="4" w:space="0"/>
              <w:left w:val="single" w:color="auto" w:sz="4" w:space="0"/>
              <w:bottom w:val="single" w:color="auto" w:sz="4" w:space="0"/>
              <w:right w:val="single" w:color="auto" w:sz="4" w:space="0"/>
            </w:tcBorders>
            <w:vAlign w:val="center"/>
          </w:tcPr>
          <w:p w14:paraId="2E285606">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9</w:t>
            </w:r>
          </w:p>
        </w:tc>
        <w:tc>
          <w:tcPr>
            <w:tcW w:w="5549" w:type="dxa"/>
            <w:tcBorders>
              <w:top w:val="single" w:color="auto" w:sz="4" w:space="0"/>
              <w:left w:val="single" w:color="auto" w:sz="4" w:space="0"/>
              <w:bottom w:val="single" w:color="auto" w:sz="4" w:space="0"/>
              <w:right w:val="single" w:color="auto" w:sz="4" w:space="0"/>
            </w:tcBorders>
            <w:vAlign w:val="center"/>
          </w:tcPr>
          <w:p w14:paraId="2CC9B8F9">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每年对各类应急预案安排不少于一次的演练，演练活动报备招标人。每楼道必须安装一只以上的灭火器（必须在合格期内）。</w:t>
            </w:r>
          </w:p>
        </w:tc>
        <w:tc>
          <w:tcPr>
            <w:tcW w:w="777" w:type="dxa"/>
            <w:tcBorders>
              <w:top w:val="single" w:color="auto" w:sz="4" w:space="0"/>
              <w:left w:val="single" w:color="auto" w:sz="4" w:space="0"/>
              <w:bottom w:val="single" w:color="auto" w:sz="4" w:space="0"/>
              <w:right w:val="single" w:color="auto" w:sz="4" w:space="0"/>
            </w:tcBorders>
            <w:vAlign w:val="center"/>
          </w:tcPr>
          <w:p w14:paraId="1288DED9">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10</w:t>
            </w:r>
          </w:p>
        </w:tc>
        <w:tc>
          <w:tcPr>
            <w:tcW w:w="2545" w:type="dxa"/>
            <w:tcBorders>
              <w:top w:val="single" w:color="auto" w:sz="4" w:space="0"/>
              <w:left w:val="single" w:color="auto" w:sz="4" w:space="0"/>
              <w:bottom w:val="single" w:color="auto" w:sz="4" w:space="0"/>
              <w:right w:val="single" w:color="auto" w:sz="4" w:space="0"/>
            </w:tcBorders>
            <w:vAlign w:val="center"/>
          </w:tcPr>
          <w:p w14:paraId="26CBDBF4">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 xml:space="preserve">缺少一项，扣 1 分 </w:t>
            </w:r>
          </w:p>
          <w:p w14:paraId="18748B90">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少一个灭火器扣 0.5 分</w:t>
            </w:r>
          </w:p>
        </w:tc>
        <w:tc>
          <w:tcPr>
            <w:tcW w:w="712" w:type="dxa"/>
            <w:tcBorders>
              <w:top w:val="single" w:color="auto" w:sz="4" w:space="0"/>
              <w:left w:val="single" w:color="auto" w:sz="4" w:space="0"/>
              <w:bottom w:val="single" w:color="auto" w:sz="4" w:space="0"/>
              <w:right w:val="single" w:color="auto" w:sz="4" w:space="0"/>
            </w:tcBorders>
            <w:vAlign w:val="center"/>
          </w:tcPr>
          <w:p w14:paraId="1080D7CD">
            <w:pPr>
              <w:pStyle w:val="70"/>
              <w:shd w:val="clear"/>
              <w:jc w:val="center"/>
              <w:rPr>
                <w:color w:val="auto"/>
                <w:spacing w:val="6"/>
                <w:sz w:val="21"/>
                <w:szCs w:val="21"/>
                <w:highlight w:val="none"/>
                <w:lang w:eastAsia="zh-CN"/>
              </w:rPr>
            </w:pPr>
          </w:p>
        </w:tc>
      </w:tr>
      <w:tr w14:paraId="5D064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871" w:hRule="atLeast"/>
        </w:trPr>
        <w:tc>
          <w:tcPr>
            <w:tcW w:w="677" w:type="dxa"/>
            <w:tcBorders>
              <w:top w:val="single" w:color="auto" w:sz="4" w:space="0"/>
              <w:left w:val="single" w:color="auto" w:sz="4" w:space="0"/>
              <w:bottom w:val="single" w:color="auto" w:sz="4" w:space="0"/>
              <w:right w:val="single" w:color="auto" w:sz="4" w:space="0"/>
            </w:tcBorders>
            <w:vAlign w:val="center"/>
          </w:tcPr>
          <w:p w14:paraId="2F22785E">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10</w:t>
            </w:r>
          </w:p>
        </w:tc>
        <w:tc>
          <w:tcPr>
            <w:tcW w:w="5549" w:type="dxa"/>
            <w:tcBorders>
              <w:top w:val="single" w:color="auto" w:sz="4" w:space="0"/>
              <w:left w:val="single" w:color="auto" w:sz="4" w:space="0"/>
              <w:bottom w:val="single" w:color="auto" w:sz="4" w:space="0"/>
              <w:right w:val="single" w:color="auto" w:sz="4" w:space="0"/>
            </w:tcBorders>
            <w:vAlign w:val="center"/>
          </w:tcPr>
          <w:p w14:paraId="0DA0886B">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保障园区内整洁干净，协助承租户进行垃圾分类并正确投放垃圾，垃圾统一堆放并能够及时清理。定时巡查，建立档案，确保垃圾日产日清，无环境污染，保洁设施完好。</w:t>
            </w:r>
          </w:p>
        </w:tc>
        <w:tc>
          <w:tcPr>
            <w:tcW w:w="777" w:type="dxa"/>
            <w:tcBorders>
              <w:top w:val="single" w:color="auto" w:sz="4" w:space="0"/>
              <w:left w:val="single" w:color="auto" w:sz="4" w:space="0"/>
              <w:bottom w:val="single" w:color="auto" w:sz="4" w:space="0"/>
              <w:right w:val="single" w:color="auto" w:sz="4" w:space="0"/>
            </w:tcBorders>
            <w:vAlign w:val="center"/>
          </w:tcPr>
          <w:p w14:paraId="3212E18E">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2545" w:type="dxa"/>
            <w:tcBorders>
              <w:top w:val="single" w:color="auto" w:sz="4" w:space="0"/>
              <w:left w:val="single" w:color="auto" w:sz="4" w:space="0"/>
              <w:bottom w:val="single" w:color="auto" w:sz="4" w:space="0"/>
              <w:right w:val="single" w:color="auto" w:sz="4" w:space="0"/>
            </w:tcBorders>
            <w:vAlign w:val="center"/>
          </w:tcPr>
          <w:p w14:paraId="4FAF9FB3">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712" w:type="dxa"/>
            <w:tcBorders>
              <w:top w:val="single" w:color="auto" w:sz="4" w:space="0"/>
              <w:left w:val="single" w:color="auto" w:sz="4" w:space="0"/>
              <w:bottom w:val="single" w:color="auto" w:sz="4" w:space="0"/>
              <w:right w:val="single" w:color="auto" w:sz="4" w:space="0"/>
            </w:tcBorders>
            <w:vAlign w:val="center"/>
          </w:tcPr>
          <w:p w14:paraId="62078180">
            <w:pPr>
              <w:pStyle w:val="70"/>
              <w:shd w:val="clear"/>
              <w:jc w:val="center"/>
              <w:rPr>
                <w:color w:val="auto"/>
                <w:spacing w:val="6"/>
                <w:sz w:val="21"/>
                <w:szCs w:val="21"/>
                <w:highlight w:val="none"/>
                <w:lang w:eastAsia="zh-CN"/>
              </w:rPr>
            </w:pPr>
          </w:p>
        </w:tc>
      </w:tr>
      <w:tr w14:paraId="540D8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645" w:hRule="atLeast"/>
        </w:trPr>
        <w:tc>
          <w:tcPr>
            <w:tcW w:w="677" w:type="dxa"/>
            <w:tcBorders>
              <w:top w:val="single" w:color="auto" w:sz="4" w:space="0"/>
              <w:left w:val="single" w:color="auto" w:sz="4" w:space="0"/>
              <w:bottom w:val="single" w:color="auto" w:sz="4" w:space="0"/>
              <w:right w:val="single" w:color="auto" w:sz="4" w:space="0"/>
            </w:tcBorders>
            <w:vAlign w:val="center"/>
          </w:tcPr>
          <w:p w14:paraId="3AF68B67">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11</w:t>
            </w:r>
          </w:p>
        </w:tc>
        <w:tc>
          <w:tcPr>
            <w:tcW w:w="5549" w:type="dxa"/>
            <w:tcBorders>
              <w:top w:val="single" w:color="auto" w:sz="4" w:space="0"/>
              <w:left w:val="single" w:color="auto" w:sz="4" w:space="0"/>
              <w:bottom w:val="single" w:color="auto" w:sz="4" w:space="0"/>
              <w:right w:val="single" w:color="auto" w:sz="4" w:space="0"/>
            </w:tcBorders>
            <w:vAlign w:val="center"/>
          </w:tcPr>
          <w:p w14:paraId="7E1A9B19">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房屋维修及时率达99%以上，零星维修合格率100%。建立维修服务回访制度，有回访记录。</w:t>
            </w:r>
          </w:p>
        </w:tc>
        <w:tc>
          <w:tcPr>
            <w:tcW w:w="777" w:type="dxa"/>
            <w:tcBorders>
              <w:top w:val="single" w:color="auto" w:sz="4" w:space="0"/>
              <w:left w:val="single" w:color="auto" w:sz="4" w:space="0"/>
              <w:bottom w:val="single" w:color="auto" w:sz="4" w:space="0"/>
              <w:right w:val="single" w:color="auto" w:sz="4" w:space="0"/>
            </w:tcBorders>
            <w:vAlign w:val="center"/>
          </w:tcPr>
          <w:p w14:paraId="7DE06703">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6</w:t>
            </w:r>
          </w:p>
        </w:tc>
        <w:tc>
          <w:tcPr>
            <w:tcW w:w="2545" w:type="dxa"/>
            <w:tcBorders>
              <w:top w:val="single" w:color="auto" w:sz="4" w:space="0"/>
              <w:left w:val="single" w:color="auto" w:sz="4" w:space="0"/>
              <w:bottom w:val="single" w:color="auto" w:sz="4" w:space="0"/>
              <w:right w:val="single" w:color="auto" w:sz="4" w:space="0"/>
            </w:tcBorders>
            <w:vAlign w:val="center"/>
          </w:tcPr>
          <w:p w14:paraId="4C0A3CFB">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712" w:type="dxa"/>
            <w:tcBorders>
              <w:top w:val="single" w:color="auto" w:sz="4" w:space="0"/>
              <w:left w:val="single" w:color="auto" w:sz="4" w:space="0"/>
              <w:bottom w:val="single" w:color="auto" w:sz="4" w:space="0"/>
              <w:right w:val="single" w:color="auto" w:sz="4" w:space="0"/>
            </w:tcBorders>
            <w:vAlign w:val="center"/>
          </w:tcPr>
          <w:p w14:paraId="5C47089B">
            <w:pPr>
              <w:pStyle w:val="70"/>
              <w:shd w:val="clear"/>
              <w:jc w:val="center"/>
              <w:rPr>
                <w:color w:val="auto"/>
                <w:spacing w:val="6"/>
                <w:sz w:val="21"/>
                <w:szCs w:val="21"/>
                <w:highlight w:val="none"/>
                <w:lang w:eastAsia="zh-CN"/>
              </w:rPr>
            </w:pPr>
          </w:p>
        </w:tc>
      </w:tr>
      <w:tr w14:paraId="7A27DD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71" w:hRule="atLeast"/>
        </w:trPr>
        <w:tc>
          <w:tcPr>
            <w:tcW w:w="677" w:type="dxa"/>
            <w:tcBorders>
              <w:top w:val="single" w:color="auto" w:sz="4" w:space="0"/>
              <w:left w:val="single" w:color="auto" w:sz="4" w:space="0"/>
              <w:bottom w:val="single" w:color="auto" w:sz="4" w:space="0"/>
              <w:right w:val="single" w:color="auto" w:sz="4" w:space="0"/>
            </w:tcBorders>
            <w:vAlign w:val="center"/>
          </w:tcPr>
          <w:p w14:paraId="52AF6020">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12</w:t>
            </w:r>
          </w:p>
        </w:tc>
        <w:tc>
          <w:tcPr>
            <w:tcW w:w="5549" w:type="dxa"/>
            <w:tcBorders>
              <w:top w:val="single" w:color="auto" w:sz="4" w:space="0"/>
              <w:left w:val="single" w:color="auto" w:sz="4" w:space="0"/>
              <w:bottom w:val="single" w:color="auto" w:sz="4" w:space="0"/>
              <w:right w:val="single" w:color="auto" w:sz="4" w:space="0"/>
            </w:tcBorders>
            <w:vAlign w:val="center"/>
          </w:tcPr>
          <w:p w14:paraId="245CCC93">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维护和保障园区内公共配套设备、设施状态良好，运作正常、无事故隐患；高配设备保证24小时有人值班；房屋建筑完好率达到99%，道路、停车场完好率达到99%以上。</w:t>
            </w:r>
          </w:p>
        </w:tc>
        <w:tc>
          <w:tcPr>
            <w:tcW w:w="777" w:type="dxa"/>
            <w:tcBorders>
              <w:top w:val="single" w:color="auto" w:sz="4" w:space="0"/>
              <w:left w:val="single" w:color="auto" w:sz="4" w:space="0"/>
              <w:bottom w:val="single" w:color="auto" w:sz="4" w:space="0"/>
              <w:right w:val="single" w:color="auto" w:sz="4" w:space="0"/>
            </w:tcBorders>
            <w:vAlign w:val="center"/>
          </w:tcPr>
          <w:p w14:paraId="23736A38">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2545" w:type="dxa"/>
            <w:tcBorders>
              <w:top w:val="single" w:color="auto" w:sz="4" w:space="0"/>
              <w:left w:val="single" w:color="auto" w:sz="4" w:space="0"/>
              <w:bottom w:val="single" w:color="auto" w:sz="4" w:space="0"/>
              <w:right w:val="single" w:color="auto" w:sz="4" w:space="0"/>
            </w:tcBorders>
            <w:vAlign w:val="center"/>
          </w:tcPr>
          <w:p w14:paraId="7CF5D838">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712" w:type="dxa"/>
            <w:tcBorders>
              <w:top w:val="single" w:color="auto" w:sz="4" w:space="0"/>
              <w:left w:val="single" w:color="auto" w:sz="4" w:space="0"/>
              <w:bottom w:val="single" w:color="auto" w:sz="4" w:space="0"/>
              <w:right w:val="single" w:color="auto" w:sz="4" w:space="0"/>
            </w:tcBorders>
            <w:vAlign w:val="center"/>
          </w:tcPr>
          <w:p w14:paraId="1A0090E3">
            <w:pPr>
              <w:pStyle w:val="70"/>
              <w:shd w:val="clear"/>
              <w:jc w:val="center"/>
              <w:rPr>
                <w:color w:val="auto"/>
                <w:spacing w:val="6"/>
                <w:sz w:val="21"/>
                <w:szCs w:val="21"/>
                <w:highlight w:val="none"/>
                <w:lang w:eastAsia="zh-CN"/>
              </w:rPr>
            </w:pPr>
          </w:p>
        </w:tc>
      </w:tr>
      <w:tr w14:paraId="49DD9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871" w:hRule="atLeast"/>
        </w:trPr>
        <w:tc>
          <w:tcPr>
            <w:tcW w:w="677" w:type="dxa"/>
            <w:tcBorders>
              <w:top w:val="single" w:color="auto" w:sz="4" w:space="0"/>
              <w:left w:val="single" w:color="auto" w:sz="4" w:space="0"/>
              <w:bottom w:val="single" w:color="auto" w:sz="4" w:space="0"/>
              <w:right w:val="single" w:color="auto" w:sz="4" w:space="0"/>
            </w:tcBorders>
            <w:vAlign w:val="center"/>
          </w:tcPr>
          <w:p w14:paraId="41E6F8B4">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13</w:t>
            </w:r>
          </w:p>
        </w:tc>
        <w:tc>
          <w:tcPr>
            <w:tcW w:w="5549" w:type="dxa"/>
            <w:tcBorders>
              <w:top w:val="single" w:color="auto" w:sz="4" w:space="0"/>
              <w:left w:val="single" w:color="auto" w:sz="4" w:space="0"/>
              <w:bottom w:val="single" w:color="auto" w:sz="4" w:space="0"/>
              <w:right w:val="single" w:color="auto" w:sz="4" w:space="0"/>
            </w:tcBorders>
            <w:vAlign w:val="center"/>
          </w:tcPr>
          <w:p w14:paraId="7D8A983A">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做好消防安全工作，实行24小时消防及防盗监控值班；消防器材、设施定期维护检查，检查后应张贴或挂上检查标志，并做好检查记录，保证消防设备设施正常使用。</w:t>
            </w:r>
          </w:p>
        </w:tc>
        <w:tc>
          <w:tcPr>
            <w:tcW w:w="777" w:type="dxa"/>
            <w:tcBorders>
              <w:top w:val="single" w:color="auto" w:sz="4" w:space="0"/>
              <w:left w:val="single" w:color="auto" w:sz="4" w:space="0"/>
              <w:bottom w:val="single" w:color="auto" w:sz="4" w:space="0"/>
              <w:right w:val="single" w:color="auto" w:sz="4" w:space="0"/>
            </w:tcBorders>
            <w:vAlign w:val="center"/>
          </w:tcPr>
          <w:p w14:paraId="5A790636">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4</w:t>
            </w:r>
          </w:p>
        </w:tc>
        <w:tc>
          <w:tcPr>
            <w:tcW w:w="2545" w:type="dxa"/>
            <w:tcBorders>
              <w:top w:val="single" w:color="auto" w:sz="4" w:space="0"/>
              <w:left w:val="single" w:color="auto" w:sz="4" w:space="0"/>
              <w:bottom w:val="single" w:color="auto" w:sz="4" w:space="0"/>
              <w:right w:val="single" w:color="auto" w:sz="4" w:space="0"/>
            </w:tcBorders>
            <w:vAlign w:val="center"/>
          </w:tcPr>
          <w:p w14:paraId="30494585">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712" w:type="dxa"/>
            <w:tcBorders>
              <w:top w:val="single" w:color="auto" w:sz="4" w:space="0"/>
              <w:left w:val="single" w:color="auto" w:sz="4" w:space="0"/>
              <w:bottom w:val="single" w:color="auto" w:sz="4" w:space="0"/>
              <w:right w:val="single" w:color="auto" w:sz="4" w:space="0"/>
            </w:tcBorders>
            <w:vAlign w:val="center"/>
          </w:tcPr>
          <w:p w14:paraId="2B36A84D">
            <w:pPr>
              <w:pStyle w:val="70"/>
              <w:shd w:val="clear"/>
              <w:jc w:val="center"/>
              <w:rPr>
                <w:color w:val="auto"/>
                <w:spacing w:val="6"/>
                <w:sz w:val="21"/>
                <w:szCs w:val="21"/>
                <w:highlight w:val="none"/>
                <w:lang w:eastAsia="zh-CN"/>
              </w:rPr>
            </w:pPr>
          </w:p>
        </w:tc>
      </w:tr>
      <w:tr w14:paraId="46E80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677" w:type="dxa"/>
            <w:tcBorders>
              <w:top w:val="single" w:color="auto" w:sz="4" w:space="0"/>
              <w:left w:val="single" w:color="auto" w:sz="4" w:space="0"/>
              <w:bottom w:val="single" w:color="auto" w:sz="4" w:space="0"/>
              <w:right w:val="single" w:color="auto" w:sz="4" w:space="0"/>
            </w:tcBorders>
            <w:vAlign w:val="center"/>
          </w:tcPr>
          <w:p w14:paraId="6F2B418D">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14</w:t>
            </w:r>
          </w:p>
        </w:tc>
        <w:tc>
          <w:tcPr>
            <w:tcW w:w="5549" w:type="dxa"/>
            <w:tcBorders>
              <w:top w:val="single" w:color="auto" w:sz="4" w:space="0"/>
              <w:left w:val="single" w:color="auto" w:sz="4" w:space="0"/>
              <w:bottom w:val="single" w:color="auto" w:sz="4" w:space="0"/>
              <w:right w:val="single" w:color="auto" w:sz="4" w:space="0"/>
            </w:tcBorders>
            <w:vAlign w:val="center"/>
          </w:tcPr>
          <w:p w14:paraId="130F174B">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对占用、破坏市政设施的行为进行劝阻，并及时反映。</w:t>
            </w:r>
          </w:p>
        </w:tc>
        <w:tc>
          <w:tcPr>
            <w:tcW w:w="777" w:type="dxa"/>
            <w:tcBorders>
              <w:top w:val="single" w:color="auto" w:sz="4" w:space="0"/>
              <w:left w:val="single" w:color="auto" w:sz="4" w:space="0"/>
              <w:bottom w:val="single" w:color="auto" w:sz="4" w:space="0"/>
              <w:right w:val="single" w:color="auto" w:sz="4" w:space="0"/>
            </w:tcBorders>
            <w:vAlign w:val="center"/>
          </w:tcPr>
          <w:p w14:paraId="45695B1D">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2545" w:type="dxa"/>
            <w:tcBorders>
              <w:top w:val="single" w:color="auto" w:sz="4" w:space="0"/>
              <w:left w:val="single" w:color="auto" w:sz="4" w:space="0"/>
              <w:bottom w:val="single" w:color="auto" w:sz="4" w:space="0"/>
              <w:right w:val="single" w:color="auto" w:sz="4" w:space="0"/>
            </w:tcBorders>
            <w:vAlign w:val="center"/>
          </w:tcPr>
          <w:p w14:paraId="50E25A85">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712" w:type="dxa"/>
            <w:tcBorders>
              <w:top w:val="single" w:color="auto" w:sz="4" w:space="0"/>
              <w:left w:val="single" w:color="auto" w:sz="4" w:space="0"/>
              <w:bottom w:val="single" w:color="auto" w:sz="4" w:space="0"/>
              <w:right w:val="single" w:color="auto" w:sz="4" w:space="0"/>
            </w:tcBorders>
            <w:vAlign w:val="center"/>
          </w:tcPr>
          <w:p w14:paraId="16BC741D">
            <w:pPr>
              <w:pStyle w:val="70"/>
              <w:shd w:val="clear"/>
              <w:jc w:val="center"/>
              <w:rPr>
                <w:color w:val="auto"/>
                <w:spacing w:val="6"/>
                <w:sz w:val="21"/>
                <w:szCs w:val="21"/>
                <w:highlight w:val="none"/>
                <w:lang w:eastAsia="zh-CN"/>
              </w:rPr>
            </w:pPr>
          </w:p>
        </w:tc>
      </w:tr>
      <w:tr w14:paraId="0F626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677" w:type="dxa"/>
            <w:tcBorders>
              <w:top w:val="single" w:color="auto" w:sz="4" w:space="0"/>
              <w:left w:val="single" w:color="auto" w:sz="4" w:space="0"/>
              <w:bottom w:val="single" w:color="auto" w:sz="4" w:space="0"/>
              <w:right w:val="single" w:color="auto" w:sz="4" w:space="0"/>
            </w:tcBorders>
            <w:vAlign w:val="center"/>
          </w:tcPr>
          <w:p w14:paraId="588018A7">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15</w:t>
            </w:r>
          </w:p>
        </w:tc>
        <w:tc>
          <w:tcPr>
            <w:tcW w:w="5549" w:type="dxa"/>
            <w:tcBorders>
              <w:top w:val="single" w:color="auto" w:sz="4" w:space="0"/>
              <w:left w:val="single" w:color="auto" w:sz="4" w:space="0"/>
              <w:bottom w:val="single" w:color="auto" w:sz="4" w:space="0"/>
              <w:right w:val="single" w:color="auto" w:sz="4" w:space="0"/>
            </w:tcBorders>
            <w:vAlign w:val="center"/>
          </w:tcPr>
          <w:p w14:paraId="48C0DF51">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保障园区内绿化整齐美观、无病虫害、折损现象。</w:t>
            </w:r>
          </w:p>
        </w:tc>
        <w:tc>
          <w:tcPr>
            <w:tcW w:w="777" w:type="dxa"/>
            <w:tcBorders>
              <w:top w:val="single" w:color="auto" w:sz="4" w:space="0"/>
              <w:left w:val="single" w:color="auto" w:sz="4" w:space="0"/>
              <w:bottom w:val="single" w:color="auto" w:sz="4" w:space="0"/>
              <w:right w:val="single" w:color="auto" w:sz="4" w:space="0"/>
            </w:tcBorders>
            <w:vAlign w:val="center"/>
          </w:tcPr>
          <w:p w14:paraId="0B92EA00">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2545" w:type="dxa"/>
            <w:tcBorders>
              <w:top w:val="single" w:color="auto" w:sz="4" w:space="0"/>
              <w:left w:val="single" w:color="auto" w:sz="4" w:space="0"/>
              <w:bottom w:val="single" w:color="auto" w:sz="4" w:space="0"/>
              <w:right w:val="single" w:color="auto" w:sz="4" w:space="0"/>
            </w:tcBorders>
            <w:vAlign w:val="center"/>
          </w:tcPr>
          <w:p w14:paraId="3FB206D4">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712" w:type="dxa"/>
            <w:tcBorders>
              <w:top w:val="single" w:color="auto" w:sz="4" w:space="0"/>
              <w:left w:val="single" w:color="auto" w:sz="4" w:space="0"/>
              <w:bottom w:val="single" w:color="auto" w:sz="4" w:space="0"/>
              <w:right w:val="single" w:color="auto" w:sz="4" w:space="0"/>
            </w:tcBorders>
            <w:vAlign w:val="center"/>
          </w:tcPr>
          <w:p w14:paraId="3D5DD91F">
            <w:pPr>
              <w:pStyle w:val="70"/>
              <w:shd w:val="clear"/>
              <w:jc w:val="center"/>
              <w:rPr>
                <w:color w:val="auto"/>
                <w:spacing w:val="6"/>
                <w:sz w:val="21"/>
                <w:szCs w:val="21"/>
                <w:highlight w:val="none"/>
                <w:lang w:eastAsia="zh-CN"/>
              </w:rPr>
            </w:pPr>
          </w:p>
        </w:tc>
      </w:tr>
      <w:tr w14:paraId="2920B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677" w:type="dxa"/>
            <w:tcBorders>
              <w:top w:val="single" w:color="auto" w:sz="4" w:space="0"/>
              <w:left w:val="single" w:color="auto" w:sz="4" w:space="0"/>
              <w:bottom w:val="single" w:color="auto" w:sz="4" w:space="0"/>
              <w:right w:val="single" w:color="auto" w:sz="4" w:space="0"/>
            </w:tcBorders>
            <w:vAlign w:val="center"/>
          </w:tcPr>
          <w:p w14:paraId="7C510BBF">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16</w:t>
            </w:r>
          </w:p>
        </w:tc>
        <w:tc>
          <w:tcPr>
            <w:tcW w:w="5549" w:type="dxa"/>
            <w:tcBorders>
              <w:top w:val="single" w:color="auto" w:sz="4" w:space="0"/>
              <w:left w:val="single" w:color="auto" w:sz="4" w:space="0"/>
              <w:bottom w:val="single" w:color="auto" w:sz="4" w:space="0"/>
              <w:right w:val="single" w:color="auto" w:sz="4" w:space="0"/>
            </w:tcBorders>
            <w:vAlign w:val="center"/>
          </w:tcPr>
          <w:p w14:paraId="0E599C48">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协助做好物业管理费的催缴工作，收缴率达90%以上。</w:t>
            </w:r>
          </w:p>
        </w:tc>
        <w:tc>
          <w:tcPr>
            <w:tcW w:w="777" w:type="dxa"/>
            <w:tcBorders>
              <w:top w:val="single" w:color="auto" w:sz="4" w:space="0"/>
              <w:left w:val="single" w:color="auto" w:sz="4" w:space="0"/>
              <w:bottom w:val="single" w:color="auto" w:sz="4" w:space="0"/>
              <w:right w:val="single" w:color="auto" w:sz="4" w:space="0"/>
            </w:tcBorders>
            <w:vAlign w:val="center"/>
          </w:tcPr>
          <w:p w14:paraId="3528F5BE">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2545" w:type="dxa"/>
            <w:tcBorders>
              <w:top w:val="single" w:color="auto" w:sz="4" w:space="0"/>
              <w:left w:val="single" w:color="auto" w:sz="4" w:space="0"/>
              <w:bottom w:val="single" w:color="auto" w:sz="4" w:space="0"/>
              <w:right w:val="single" w:color="auto" w:sz="4" w:space="0"/>
            </w:tcBorders>
            <w:vAlign w:val="center"/>
          </w:tcPr>
          <w:p w14:paraId="67A551FC">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712" w:type="dxa"/>
            <w:tcBorders>
              <w:top w:val="single" w:color="auto" w:sz="4" w:space="0"/>
              <w:left w:val="single" w:color="auto" w:sz="4" w:space="0"/>
              <w:bottom w:val="single" w:color="auto" w:sz="4" w:space="0"/>
              <w:right w:val="single" w:color="auto" w:sz="4" w:space="0"/>
            </w:tcBorders>
            <w:vAlign w:val="center"/>
          </w:tcPr>
          <w:p w14:paraId="69A2B04E">
            <w:pPr>
              <w:pStyle w:val="70"/>
              <w:shd w:val="clear"/>
              <w:jc w:val="center"/>
              <w:rPr>
                <w:color w:val="auto"/>
                <w:spacing w:val="6"/>
                <w:sz w:val="21"/>
                <w:szCs w:val="21"/>
                <w:highlight w:val="none"/>
                <w:lang w:eastAsia="zh-CN"/>
              </w:rPr>
            </w:pPr>
          </w:p>
        </w:tc>
      </w:tr>
      <w:tr w14:paraId="382D1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645" w:hRule="atLeast"/>
        </w:trPr>
        <w:tc>
          <w:tcPr>
            <w:tcW w:w="677" w:type="dxa"/>
            <w:tcBorders>
              <w:top w:val="single" w:color="auto" w:sz="4" w:space="0"/>
              <w:left w:val="single" w:color="auto" w:sz="4" w:space="0"/>
              <w:bottom w:val="single" w:color="auto" w:sz="4" w:space="0"/>
              <w:right w:val="single" w:color="auto" w:sz="4" w:space="0"/>
            </w:tcBorders>
            <w:vAlign w:val="center"/>
          </w:tcPr>
          <w:p w14:paraId="1F6A9F68">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17</w:t>
            </w:r>
          </w:p>
        </w:tc>
        <w:tc>
          <w:tcPr>
            <w:tcW w:w="5549" w:type="dxa"/>
            <w:tcBorders>
              <w:top w:val="single" w:color="auto" w:sz="4" w:space="0"/>
              <w:left w:val="single" w:color="auto" w:sz="4" w:space="0"/>
              <w:bottom w:val="single" w:color="auto" w:sz="4" w:space="0"/>
              <w:right w:val="single" w:color="auto" w:sz="4" w:space="0"/>
            </w:tcBorders>
            <w:vAlign w:val="center"/>
          </w:tcPr>
          <w:p w14:paraId="11470C85">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及时催缴租户的水电费和公共能耗费，收缴率达90%（以物业提供的清单及实际代收金额为准）。</w:t>
            </w:r>
          </w:p>
        </w:tc>
        <w:tc>
          <w:tcPr>
            <w:tcW w:w="777" w:type="dxa"/>
            <w:tcBorders>
              <w:top w:val="single" w:color="auto" w:sz="4" w:space="0"/>
              <w:left w:val="single" w:color="auto" w:sz="4" w:space="0"/>
              <w:bottom w:val="single" w:color="auto" w:sz="4" w:space="0"/>
              <w:right w:val="single" w:color="auto" w:sz="4" w:space="0"/>
            </w:tcBorders>
            <w:vAlign w:val="center"/>
          </w:tcPr>
          <w:p w14:paraId="749382FF">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5</w:t>
            </w:r>
          </w:p>
        </w:tc>
        <w:tc>
          <w:tcPr>
            <w:tcW w:w="2545" w:type="dxa"/>
            <w:tcBorders>
              <w:top w:val="single" w:color="auto" w:sz="4" w:space="0"/>
              <w:left w:val="single" w:color="auto" w:sz="4" w:space="0"/>
              <w:bottom w:val="single" w:color="auto" w:sz="4" w:space="0"/>
              <w:right w:val="single" w:color="auto" w:sz="4" w:space="0"/>
            </w:tcBorders>
            <w:vAlign w:val="center"/>
          </w:tcPr>
          <w:p w14:paraId="4319FB0B">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712" w:type="dxa"/>
            <w:tcBorders>
              <w:top w:val="single" w:color="auto" w:sz="4" w:space="0"/>
              <w:left w:val="single" w:color="auto" w:sz="4" w:space="0"/>
              <w:bottom w:val="single" w:color="auto" w:sz="4" w:space="0"/>
              <w:right w:val="single" w:color="auto" w:sz="4" w:space="0"/>
            </w:tcBorders>
            <w:vAlign w:val="center"/>
          </w:tcPr>
          <w:p w14:paraId="132C7888">
            <w:pPr>
              <w:pStyle w:val="70"/>
              <w:shd w:val="clear"/>
              <w:jc w:val="center"/>
              <w:rPr>
                <w:color w:val="auto"/>
                <w:spacing w:val="6"/>
                <w:sz w:val="21"/>
                <w:szCs w:val="21"/>
                <w:highlight w:val="none"/>
                <w:lang w:eastAsia="zh-CN"/>
              </w:rPr>
            </w:pPr>
          </w:p>
        </w:tc>
      </w:tr>
      <w:tr w14:paraId="7AC97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645" w:hRule="atLeast"/>
        </w:trPr>
        <w:tc>
          <w:tcPr>
            <w:tcW w:w="677" w:type="dxa"/>
            <w:tcBorders>
              <w:top w:val="single" w:color="auto" w:sz="4" w:space="0"/>
              <w:left w:val="single" w:color="auto" w:sz="4" w:space="0"/>
              <w:bottom w:val="single" w:color="auto" w:sz="4" w:space="0"/>
              <w:right w:val="single" w:color="auto" w:sz="4" w:space="0"/>
            </w:tcBorders>
            <w:vAlign w:val="center"/>
          </w:tcPr>
          <w:p w14:paraId="1FDA0232">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18</w:t>
            </w:r>
          </w:p>
        </w:tc>
        <w:tc>
          <w:tcPr>
            <w:tcW w:w="5549" w:type="dxa"/>
            <w:tcBorders>
              <w:top w:val="single" w:color="auto" w:sz="4" w:space="0"/>
              <w:left w:val="single" w:color="auto" w:sz="4" w:space="0"/>
              <w:bottom w:val="single" w:color="auto" w:sz="4" w:space="0"/>
              <w:right w:val="single" w:color="auto" w:sz="4" w:space="0"/>
            </w:tcBorders>
            <w:vAlign w:val="center"/>
          </w:tcPr>
          <w:p w14:paraId="1A31D08B">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做好员工上岗培训，在态度、知识、技能三方面加强和提高，改进员工的行为和表现，培养高素质的从业人员，员工上岗培训率100%。</w:t>
            </w:r>
          </w:p>
        </w:tc>
        <w:tc>
          <w:tcPr>
            <w:tcW w:w="777" w:type="dxa"/>
            <w:tcBorders>
              <w:top w:val="single" w:color="auto" w:sz="4" w:space="0"/>
              <w:left w:val="single" w:color="auto" w:sz="4" w:space="0"/>
              <w:bottom w:val="single" w:color="auto" w:sz="4" w:space="0"/>
              <w:right w:val="single" w:color="auto" w:sz="4" w:space="0"/>
            </w:tcBorders>
            <w:vAlign w:val="center"/>
          </w:tcPr>
          <w:p w14:paraId="69E9783F">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4</w:t>
            </w:r>
          </w:p>
        </w:tc>
        <w:tc>
          <w:tcPr>
            <w:tcW w:w="2545" w:type="dxa"/>
            <w:tcBorders>
              <w:top w:val="single" w:color="auto" w:sz="4" w:space="0"/>
              <w:left w:val="single" w:color="auto" w:sz="4" w:space="0"/>
              <w:bottom w:val="single" w:color="auto" w:sz="4" w:space="0"/>
              <w:right w:val="single" w:color="auto" w:sz="4" w:space="0"/>
            </w:tcBorders>
            <w:vAlign w:val="center"/>
          </w:tcPr>
          <w:p w14:paraId="607D827F">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712" w:type="dxa"/>
            <w:tcBorders>
              <w:top w:val="single" w:color="auto" w:sz="4" w:space="0"/>
              <w:left w:val="single" w:color="auto" w:sz="4" w:space="0"/>
              <w:bottom w:val="single" w:color="auto" w:sz="4" w:space="0"/>
              <w:right w:val="single" w:color="auto" w:sz="4" w:space="0"/>
            </w:tcBorders>
            <w:vAlign w:val="center"/>
          </w:tcPr>
          <w:p w14:paraId="2FED5579">
            <w:pPr>
              <w:pStyle w:val="70"/>
              <w:shd w:val="clear"/>
              <w:jc w:val="center"/>
              <w:rPr>
                <w:color w:val="auto"/>
                <w:spacing w:val="6"/>
                <w:sz w:val="21"/>
                <w:szCs w:val="21"/>
                <w:highlight w:val="none"/>
                <w:lang w:eastAsia="zh-CN"/>
              </w:rPr>
            </w:pPr>
          </w:p>
        </w:tc>
      </w:tr>
      <w:tr w14:paraId="548A6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645" w:hRule="atLeast"/>
        </w:trPr>
        <w:tc>
          <w:tcPr>
            <w:tcW w:w="677" w:type="dxa"/>
            <w:tcBorders>
              <w:top w:val="single" w:color="auto" w:sz="4" w:space="0"/>
              <w:left w:val="single" w:color="auto" w:sz="4" w:space="0"/>
              <w:bottom w:val="single" w:color="auto" w:sz="4" w:space="0"/>
              <w:right w:val="single" w:color="auto" w:sz="4" w:space="0"/>
            </w:tcBorders>
            <w:vAlign w:val="center"/>
          </w:tcPr>
          <w:p w14:paraId="4D38C590">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19</w:t>
            </w:r>
          </w:p>
        </w:tc>
        <w:tc>
          <w:tcPr>
            <w:tcW w:w="5549" w:type="dxa"/>
            <w:tcBorders>
              <w:top w:val="single" w:color="auto" w:sz="4" w:space="0"/>
              <w:left w:val="single" w:color="auto" w:sz="4" w:space="0"/>
              <w:bottom w:val="single" w:color="auto" w:sz="4" w:space="0"/>
              <w:right w:val="single" w:color="auto" w:sz="4" w:space="0"/>
            </w:tcBorders>
            <w:vAlign w:val="center"/>
          </w:tcPr>
          <w:p w14:paraId="3422DD4B">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专人管理客户有效投诉，区别情况，分类处理，做好思想工作，建立档案，客户有效投诉率与处理率100%。</w:t>
            </w:r>
          </w:p>
        </w:tc>
        <w:tc>
          <w:tcPr>
            <w:tcW w:w="777" w:type="dxa"/>
            <w:tcBorders>
              <w:top w:val="single" w:color="auto" w:sz="4" w:space="0"/>
              <w:left w:val="single" w:color="auto" w:sz="4" w:space="0"/>
              <w:bottom w:val="single" w:color="auto" w:sz="4" w:space="0"/>
              <w:right w:val="single" w:color="auto" w:sz="4" w:space="0"/>
            </w:tcBorders>
            <w:vAlign w:val="center"/>
          </w:tcPr>
          <w:p w14:paraId="2AFE78B5">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4</w:t>
            </w:r>
          </w:p>
        </w:tc>
        <w:tc>
          <w:tcPr>
            <w:tcW w:w="2545" w:type="dxa"/>
            <w:tcBorders>
              <w:top w:val="single" w:color="auto" w:sz="4" w:space="0"/>
              <w:left w:val="single" w:color="auto" w:sz="4" w:space="0"/>
              <w:bottom w:val="single" w:color="auto" w:sz="4" w:space="0"/>
              <w:right w:val="single" w:color="auto" w:sz="4" w:space="0"/>
            </w:tcBorders>
            <w:vAlign w:val="center"/>
          </w:tcPr>
          <w:p w14:paraId="112351EF">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发现不符合要求的，每次扣0.5 分</w:t>
            </w:r>
          </w:p>
        </w:tc>
        <w:tc>
          <w:tcPr>
            <w:tcW w:w="712" w:type="dxa"/>
            <w:tcBorders>
              <w:top w:val="single" w:color="auto" w:sz="4" w:space="0"/>
              <w:left w:val="single" w:color="auto" w:sz="4" w:space="0"/>
              <w:bottom w:val="single" w:color="auto" w:sz="4" w:space="0"/>
              <w:right w:val="single" w:color="auto" w:sz="4" w:space="0"/>
            </w:tcBorders>
            <w:vAlign w:val="center"/>
          </w:tcPr>
          <w:p w14:paraId="75F6CC6D">
            <w:pPr>
              <w:pStyle w:val="70"/>
              <w:shd w:val="clear"/>
              <w:jc w:val="center"/>
              <w:rPr>
                <w:color w:val="auto"/>
                <w:spacing w:val="6"/>
                <w:sz w:val="21"/>
                <w:szCs w:val="21"/>
                <w:highlight w:val="none"/>
                <w:lang w:eastAsia="zh-CN"/>
              </w:rPr>
            </w:pPr>
          </w:p>
        </w:tc>
      </w:tr>
      <w:tr w14:paraId="1FA32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645" w:hRule="atLeast"/>
        </w:trPr>
        <w:tc>
          <w:tcPr>
            <w:tcW w:w="677" w:type="dxa"/>
            <w:tcBorders>
              <w:top w:val="single" w:color="auto" w:sz="4" w:space="0"/>
              <w:left w:val="single" w:color="auto" w:sz="4" w:space="0"/>
              <w:bottom w:val="single" w:color="auto" w:sz="4" w:space="0"/>
              <w:right w:val="single" w:color="auto" w:sz="4" w:space="0"/>
            </w:tcBorders>
            <w:vAlign w:val="center"/>
          </w:tcPr>
          <w:p w14:paraId="755DAAA2">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附加分项</w:t>
            </w:r>
          </w:p>
        </w:tc>
        <w:tc>
          <w:tcPr>
            <w:tcW w:w="5549" w:type="dxa"/>
            <w:tcBorders>
              <w:top w:val="single" w:color="auto" w:sz="4" w:space="0"/>
              <w:left w:val="single" w:color="auto" w:sz="4" w:space="0"/>
              <w:bottom w:val="single" w:color="auto" w:sz="4" w:space="0"/>
              <w:right w:val="single" w:color="auto" w:sz="4" w:space="0"/>
            </w:tcBorders>
            <w:vAlign w:val="center"/>
          </w:tcPr>
          <w:p w14:paraId="4E1E2030">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1、在招标人交付的临时性工作或在突发事件中有出色表现的。</w:t>
            </w:r>
          </w:p>
        </w:tc>
        <w:tc>
          <w:tcPr>
            <w:tcW w:w="777" w:type="dxa"/>
            <w:tcBorders>
              <w:top w:val="single" w:color="auto" w:sz="4" w:space="0"/>
              <w:left w:val="single" w:color="auto" w:sz="4" w:space="0"/>
              <w:bottom w:val="single" w:color="auto" w:sz="4" w:space="0"/>
              <w:right w:val="single" w:color="auto" w:sz="4" w:space="0"/>
            </w:tcBorders>
            <w:vAlign w:val="center"/>
          </w:tcPr>
          <w:p w14:paraId="6AF7DD4F">
            <w:pPr>
              <w:pStyle w:val="70"/>
              <w:shd w:val="clear"/>
              <w:jc w:val="center"/>
              <w:rPr>
                <w:color w:val="auto"/>
                <w:spacing w:val="6"/>
                <w:sz w:val="21"/>
                <w:szCs w:val="21"/>
                <w:highlight w:val="none"/>
                <w:lang w:eastAsia="zh-CN"/>
              </w:rPr>
            </w:pPr>
          </w:p>
        </w:tc>
        <w:tc>
          <w:tcPr>
            <w:tcW w:w="2545" w:type="dxa"/>
            <w:tcBorders>
              <w:top w:val="single" w:color="auto" w:sz="4" w:space="0"/>
              <w:left w:val="single" w:color="auto" w:sz="4" w:space="0"/>
              <w:bottom w:val="single" w:color="auto" w:sz="4" w:space="0"/>
              <w:right w:val="single" w:color="auto" w:sz="4" w:space="0"/>
            </w:tcBorders>
            <w:vAlign w:val="center"/>
          </w:tcPr>
          <w:p w14:paraId="70A59EF6">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发挥较大作用的加 5 分，</w:t>
            </w:r>
          </w:p>
          <w:p w14:paraId="32F084B5">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发挥重大作用的加 10 分。</w:t>
            </w:r>
          </w:p>
        </w:tc>
        <w:tc>
          <w:tcPr>
            <w:tcW w:w="712" w:type="dxa"/>
            <w:tcBorders>
              <w:top w:val="single" w:color="auto" w:sz="4" w:space="0"/>
              <w:left w:val="single" w:color="auto" w:sz="4" w:space="0"/>
              <w:bottom w:val="single" w:color="auto" w:sz="4" w:space="0"/>
              <w:right w:val="single" w:color="auto" w:sz="4" w:space="0"/>
            </w:tcBorders>
            <w:vAlign w:val="center"/>
          </w:tcPr>
          <w:p w14:paraId="0EB30F44">
            <w:pPr>
              <w:pStyle w:val="70"/>
              <w:shd w:val="clear"/>
              <w:jc w:val="center"/>
              <w:rPr>
                <w:color w:val="auto"/>
                <w:spacing w:val="6"/>
                <w:sz w:val="21"/>
                <w:szCs w:val="21"/>
                <w:highlight w:val="none"/>
                <w:lang w:eastAsia="zh-CN"/>
              </w:rPr>
            </w:pPr>
          </w:p>
        </w:tc>
      </w:tr>
      <w:tr w14:paraId="6F45A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1" w:hRule="atLeast"/>
        </w:trPr>
        <w:tc>
          <w:tcPr>
            <w:tcW w:w="677" w:type="dxa"/>
            <w:vMerge w:val="restart"/>
            <w:tcBorders>
              <w:top w:val="single" w:color="auto" w:sz="4" w:space="0"/>
              <w:left w:val="single" w:color="auto" w:sz="4" w:space="0"/>
              <w:bottom w:val="single" w:color="auto" w:sz="4" w:space="0"/>
              <w:right w:val="single" w:color="auto" w:sz="4" w:space="0"/>
            </w:tcBorders>
            <w:vAlign w:val="center"/>
          </w:tcPr>
          <w:p w14:paraId="0764297A">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额外扣分项</w:t>
            </w:r>
          </w:p>
        </w:tc>
        <w:tc>
          <w:tcPr>
            <w:tcW w:w="5549" w:type="dxa"/>
            <w:tcBorders>
              <w:top w:val="single" w:color="auto" w:sz="4" w:space="0"/>
              <w:left w:val="single" w:color="auto" w:sz="4" w:space="0"/>
              <w:bottom w:val="single" w:color="auto" w:sz="4" w:space="0"/>
              <w:right w:val="single" w:color="auto" w:sz="4" w:space="0"/>
            </w:tcBorders>
            <w:vAlign w:val="center"/>
          </w:tcPr>
          <w:p w14:paraId="04262E89">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1、因管理原因，造成有效投诉2次及以上。</w:t>
            </w:r>
          </w:p>
        </w:tc>
        <w:tc>
          <w:tcPr>
            <w:tcW w:w="777" w:type="dxa"/>
            <w:tcBorders>
              <w:top w:val="single" w:color="auto" w:sz="4" w:space="0"/>
              <w:left w:val="single" w:color="auto" w:sz="4" w:space="0"/>
              <w:bottom w:val="single" w:color="auto" w:sz="4" w:space="0"/>
              <w:right w:val="single" w:color="auto" w:sz="4" w:space="0"/>
            </w:tcBorders>
            <w:vAlign w:val="center"/>
          </w:tcPr>
          <w:p w14:paraId="60568880">
            <w:pPr>
              <w:pStyle w:val="70"/>
              <w:shd w:val="clear"/>
              <w:jc w:val="center"/>
              <w:rPr>
                <w:color w:val="auto"/>
                <w:spacing w:val="6"/>
                <w:sz w:val="21"/>
                <w:szCs w:val="21"/>
                <w:highlight w:val="none"/>
                <w:lang w:eastAsia="zh-CN"/>
              </w:rPr>
            </w:pPr>
          </w:p>
        </w:tc>
        <w:tc>
          <w:tcPr>
            <w:tcW w:w="2545" w:type="dxa"/>
            <w:tcBorders>
              <w:top w:val="single" w:color="auto" w:sz="4" w:space="0"/>
              <w:left w:val="single" w:color="auto" w:sz="4" w:space="0"/>
              <w:bottom w:val="single" w:color="auto" w:sz="4" w:space="0"/>
              <w:right w:val="single" w:color="auto" w:sz="4" w:space="0"/>
            </w:tcBorders>
            <w:vAlign w:val="center"/>
          </w:tcPr>
          <w:p w14:paraId="191E73B9">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2 次扣2分，2 次以上扣5分。</w:t>
            </w:r>
          </w:p>
        </w:tc>
        <w:tc>
          <w:tcPr>
            <w:tcW w:w="712" w:type="dxa"/>
            <w:tcBorders>
              <w:top w:val="single" w:color="auto" w:sz="4" w:space="0"/>
              <w:left w:val="single" w:color="auto" w:sz="4" w:space="0"/>
              <w:bottom w:val="single" w:color="auto" w:sz="4" w:space="0"/>
              <w:right w:val="single" w:color="auto" w:sz="4" w:space="0"/>
            </w:tcBorders>
            <w:vAlign w:val="center"/>
          </w:tcPr>
          <w:p w14:paraId="42FB802A">
            <w:pPr>
              <w:pStyle w:val="70"/>
              <w:shd w:val="clear"/>
              <w:jc w:val="center"/>
              <w:rPr>
                <w:color w:val="auto"/>
                <w:spacing w:val="6"/>
                <w:sz w:val="21"/>
                <w:szCs w:val="21"/>
                <w:highlight w:val="none"/>
                <w:lang w:eastAsia="zh-CN"/>
              </w:rPr>
            </w:pPr>
          </w:p>
        </w:tc>
      </w:tr>
      <w:tr w14:paraId="068254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645" w:hRule="atLeast"/>
        </w:trPr>
        <w:tc>
          <w:tcPr>
            <w:tcW w:w="677" w:type="dxa"/>
            <w:vMerge w:val="continue"/>
            <w:tcBorders>
              <w:top w:val="single" w:color="auto" w:sz="4" w:space="0"/>
              <w:left w:val="single" w:color="auto" w:sz="4" w:space="0"/>
              <w:bottom w:val="single" w:color="auto" w:sz="4" w:space="0"/>
              <w:right w:val="single" w:color="auto" w:sz="4" w:space="0"/>
            </w:tcBorders>
            <w:vAlign w:val="center"/>
          </w:tcPr>
          <w:p w14:paraId="5B85464D">
            <w:pPr>
              <w:widowControl/>
              <w:shd w:val="clear"/>
              <w:jc w:val="left"/>
              <w:rPr>
                <w:rFonts w:ascii="宋体" w:hAnsi="宋体" w:cs="宋体"/>
                <w:color w:val="auto"/>
                <w:spacing w:val="6"/>
                <w:szCs w:val="21"/>
                <w:highlight w:val="none"/>
              </w:rPr>
            </w:pPr>
          </w:p>
        </w:tc>
        <w:tc>
          <w:tcPr>
            <w:tcW w:w="5549" w:type="dxa"/>
            <w:tcBorders>
              <w:top w:val="single" w:color="auto" w:sz="4" w:space="0"/>
              <w:left w:val="single" w:color="auto" w:sz="4" w:space="0"/>
              <w:bottom w:val="single" w:color="auto" w:sz="4" w:space="0"/>
              <w:right w:val="single" w:color="auto" w:sz="4" w:space="0"/>
            </w:tcBorders>
            <w:vAlign w:val="center"/>
          </w:tcPr>
          <w:p w14:paraId="0530510F">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2、因管理原因，被媒体曝光、造成不良社会影响等事项。</w:t>
            </w:r>
          </w:p>
        </w:tc>
        <w:tc>
          <w:tcPr>
            <w:tcW w:w="777" w:type="dxa"/>
            <w:tcBorders>
              <w:top w:val="single" w:color="auto" w:sz="4" w:space="0"/>
              <w:left w:val="single" w:color="auto" w:sz="4" w:space="0"/>
              <w:bottom w:val="single" w:color="auto" w:sz="4" w:space="0"/>
              <w:right w:val="single" w:color="auto" w:sz="4" w:space="0"/>
            </w:tcBorders>
            <w:vAlign w:val="center"/>
          </w:tcPr>
          <w:p w14:paraId="46DC5BE1">
            <w:pPr>
              <w:pStyle w:val="70"/>
              <w:shd w:val="clear"/>
              <w:jc w:val="center"/>
              <w:rPr>
                <w:color w:val="auto"/>
                <w:spacing w:val="6"/>
                <w:sz w:val="21"/>
                <w:szCs w:val="21"/>
                <w:highlight w:val="none"/>
                <w:lang w:eastAsia="zh-CN"/>
              </w:rPr>
            </w:pPr>
          </w:p>
        </w:tc>
        <w:tc>
          <w:tcPr>
            <w:tcW w:w="2545" w:type="dxa"/>
            <w:tcBorders>
              <w:top w:val="single" w:color="auto" w:sz="4" w:space="0"/>
              <w:left w:val="single" w:color="auto" w:sz="4" w:space="0"/>
              <w:bottom w:val="single" w:color="auto" w:sz="4" w:space="0"/>
              <w:right w:val="single" w:color="auto" w:sz="4" w:space="0"/>
            </w:tcBorders>
            <w:vAlign w:val="center"/>
          </w:tcPr>
          <w:p w14:paraId="43D1A654">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发生2次及以下或情节较轻的扣2分，发生2次以上或情节较重5分。</w:t>
            </w:r>
          </w:p>
        </w:tc>
        <w:tc>
          <w:tcPr>
            <w:tcW w:w="712" w:type="dxa"/>
            <w:tcBorders>
              <w:top w:val="single" w:color="auto" w:sz="4" w:space="0"/>
              <w:left w:val="single" w:color="auto" w:sz="4" w:space="0"/>
              <w:bottom w:val="single" w:color="auto" w:sz="4" w:space="0"/>
              <w:right w:val="single" w:color="auto" w:sz="4" w:space="0"/>
            </w:tcBorders>
            <w:vAlign w:val="center"/>
          </w:tcPr>
          <w:p w14:paraId="561484B9">
            <w:pPr>
              <w:pStyle w:val="70"/>
              <w:shd w:val="clear"/>
              <w:jc w:val="center"/>
              <w:rPr>
                <w:color w:val="auto"/>
                <w:spacing w:val="6"/>
                <w:sz w:val="21"/>
                <w:szCs w:val="21"/>
                <w:highlight w:val="none"/>
                <w:lang w:eastAsia="zh-CN"/>
              </w:rPr>
            </w:pPr>
          </w:p>
        </w:tc>
      </w:tr>
      <w:tr w14:paraId="03EF0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29" w:hRule="atLeast"/>
        </w:trPr>
        <w:tc>
          <w:tcPr>
            <w:tcW w:w="9548" w:type="dxa"/>
            <w:gridSpan w:val="4"/>
            <w:tcBorders>
              <w:top w:val="single" w:color="auto" w:sz="4" w:space="0"/>
              <w:left w:val="single" w:color="auto" w:sz="4" w:space="0"/>
              <w:bottom w:val="single" w:color="auto" w:sz="4" w:space="0"/>
              <w:right w:val="single" w:color="auto" w:sz="4" w:space="0"/>
            </w:tcBorders>
            <w:vAlign w:val="center"/>
          </w:tcPr>
          <w:p w14:paraId="38B44933">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合计得分</w:t>
            </w:r>
          </w:p>
        </w:tc>
        <w:tc>
          <w:tcPr>
            <w:tcW w:w="712" w:type="dxa"/>
            <w:tcBorders>
              <w:top w:val="single" w:color="auto" w:sz="4" w:space="0"/>
              <w:left w:val="single" w:color="auto" w:sz="4" w:space="0"/>
              <w:bottom w:val="single" w:color="auto" w:sz="4" w:space="0"/>
              <w:right w:val="single" w:color="auto" w:sz="4" w:space="0"/>
            </w:tcBorders>
            <w:vAlign w:val="center"/>
          </w:tcPr>
          <w:p w14:paraId="33744B20">
            <w:pPr>
              <w:pStyle w:val="70"/>
              <w:shd w:val="clear"/>
              <w:jc w:val="center"/>
              <w:rPr>
                <w:color w:val="auto"/>
                <w:spacing w:val="6"/>
                <w:sz w:val="21"/>
                <w:szCs w:val="21"/>
                <w:highlight w:val="none"/>
                <w:lang w:eastAsia="zh-CN"/>
              </w:rPr>
            </w:pPr>
            <w:r>
              <w:rPr>
                <w:rFonts w:hint="eastAsia"/>
                <w:color w:val="auto"/>
                <w:spacing w:val="6"/>
                <w:sz w:val="21"/>
                <w:szCs w:val="21"/>
                <w:highlight w:val="none"/>
                <w:lang w:eastAsia="zh-CN"/>
              </w:rPr>
              <w:t>-</w:t>
            </w:r>
          </w:p>
        </w:tc>
      </w:tr>
    </w:tbl>
    <w:p w14:paraId="42AB3AD2">
      <w:pPr>
        <w:pStyle w:val="43"/>
        <w:shd w:val="clear"/>
        <w:snapToGrid w:val="0"/>
        <w:spacing w:before="0"/>
        <w:ind w:firstLine="480"/>
        <w:rPr>
          <w:rFonts w:ascii="宋体" w:hAnsi="宋体" w:cs="宋体"/>
          <w:color w:val="auto"/>
          <w:szCs w:val="24"/>
          <w:highlight w:val="none"/>
        </w:rPr>
      </w:pPr>
    </w:p>
    <w:p w14:paraId="16534EE9">
      <w:pPr>
        <w:pStyle w:val="43"/>
        <w:shd w:val="clear"/>
        <w:snapToGrid w:val="0"/>
        <w:spacing w:before="0"/>
        <w:ind w:firstLine="480"/>
        <w:rPr>
          <w:rFonts w:ascii="宋体" w:hAnsi="宋体" w:cs="宋体"/>
          <w:color w:val="auto"/>
          <w:szCs w:val="24"/>
          <w:highlight w:val="none"/>
        </w:rPr>
      </w:pPr>
      <w:r>
        <w:rPr>
          <w:rFonts w:hint="eastAsia" w:ascii="宋体" w:hAnsi="宋体" w:cs="宋体"/>
          <w:color w:val="auto"/>
          <w:szCs w:val="24"/>
          <w:highlight w:val="none"/>
        </w:rPr>
        <w:t>本考核细则按每季度进行打分考核，满分为100分。考核得分90分（含）以上为优秀，全额支付季度</w:t>
      </w:r>
      <w:r>
        <w:rPr>
          <w:rFonts w:hint="eastAsia" w:cs="仿宋" w:asciiTheme="majorEastAsia" w:hAnsiTheme="majorEastAsia" w:eastAsiaTheme="majorEastAsia"/>
          <w:color w:val="auto"/>
          <w:highlight w:val="none"/>
        </w:rPr>
        <w:t>安全管理和环境管理服务费</w:t>
      </w:r>
      <w:r>
        <w:rPr>
          <w:rFonts w:hint="eastAsia" w:ascii="宋体" w:hAnsi="宋体" w:cs="宋体"/>
          <w:color w:val="auto"/>
          <w:szCs w:val="24"/>
          <w:highlight w:val="none"/>
        </w:rPr>
        <w:t>；80分-90分为良好，扣季度</w:t>
      </w:r>
      <w:r>
        <w:rPr>
          <w:rFonts w:hint="eastAsia" w:cs="仿宋" w:asciiTheme="majorEastAsia" w:hAnsiTheme="majorEastAsia" w:eastAsiaTheme="majorEastAsia"/>
          <w:color w:val="auto"/>
          <w:highlight w:val="none"/>
        </w:rPr>
        <w:t>安全管理和环境管理服务费</w:t>
      </w:r>
      <w:r>
        <w:rPr>
          <w:rFonts w:hint="eastAsia" w:ascii="宋体" w:hAnsi="宋体" w:cs="宋体"/>
          <w:color w:val="auto"/>
          <w:szCs w:val="24"/>
          <w:highlight w:val="none"/>
        </w:rPr>
        <w:t>的3%；70分-80分为合格，扣季度</w:t>
      </w:r>
      <w:r>
        <w:rPr>
          <w:rFonts w:hint="eastAsia" w:cs="仿宋" w:asciiTheme="majorEastAsia" w:hAnsiTheme="majorEastAsia" w:eastAsiaTheme="majorEastAsia"/>
          <w:color w:val="auto"/>
          <w:highlight w:val="none"/>
        </w:rPr>
        <w:t>安全管理和环境管理服务费</w:t>
      </w:r>
      <w:r>
        <w:rPr>
          <w:rFonts w:hint="eastAsia" w:ascii="宋体" w:hAnsi="宋体" w:cs="宋体"/>
          <w:color w:val="auto"/>
          <w:szCs w:val="24"/>
          <w:highlight w:val="none"/>
        </w:rPr>
        <w:t>的5%；70分以下为不合格，扣季度</w:t>
      </w:r>
      <w:r>
        <w:rPr>
          <w:rFonts w:hint="eastAsia" w:cs="仿宋" w:asciiTheme="majorEastAsia" w:hAnsiTheme="majorEastAsia" w:eastAsiaTheme="majorEastAsia"/>
          <w:color w:val="auto"/>
          <w:highlight w:val="none"/>
        </w:rPr>
        <w:t>安全管理和环境管理服务费</w:t>
      </w:r>
      <w:r>
        <w:rPr>
          <w:rFonts w:hint="eastAsia" w:ascii="宋体" w:hAnsi="宋体" w:cs="宋体"/>
          <w:color w:val="auto"/>
          <w:szCs w:val="24"/>
          <w:highlight w:val="none"/>
        </w:rPr>
        <w:t>的10%。</w:t>
      </w:r>
    </w:p>
    <w:p w14:paraId="712C9C9B">
      <w:pPr>
        <w:pStyle w:val="43"/>
        <w:shd w:val="clear"/>
        <w:snapToGrid w:val="0"/>
        <w:spacing w:before="0"/>
        <w:ind w:firstLine="480"/>
        <w:rPr>
          <w:rFonts w:ascii="宋体" w:hAnsi="宋体" w:cs="宋体"/>
          <w:color w:val="auto"/>
          <w:szCs w:val="24"/>
          <w:highlight w:val="none"/>
        </w:rPr>
      </w:pPr>
      <w:r>
        <w:rPr>
          <w:rFonts w:hint="eastAsia" w:ascii="宋体" w:hAnsi="宋体" w:cs="宋体"/>
          <w:color w:val="auto"/>
          <w:szCs w:val="24"/>
          <w:highlight w:val="none"/>
        </w:rPr>
        <w:t>如果中标人管理混乱，经招标人督促后未改进累计两次考核不合格的，招标人有权解除合同，并要求乙方按合同价款总额的20%承担违约金。</w:t>
      </w:r>
    </w:p>
    <w:p w14:paraId="7E3D9D39">
      <w:pPr>
        <w:pStyle w:val="43"/>
        <w:shd w:val="clear"/>
        <w:snapToGrid w:val="0"/>
        <w:spacing w:before="0"/>
        <w:ind w:firstLine="480"/>
        <w:rPr>
          <w:rFonts w:ascii="宋体" w:hAnsi="宋体" w:cs="宋体"/>
          <w:color w:val="auto"/>
          <w:szCs w:val="24"/>
          <w:highlight w:val="none"/>
        </w:rPr>
      </w:pPr>
    </w:p>
    <w:p w14:paraId="0FA64A14">
      <w:pPr>
        <w:pStyle w:val="43"/>
        <w:shd w:val="clear"/>
        <w:snapToGrid w:val="0"/>
        <w:spacing w:before="0"/>
        <w:ind w:firstLine="482"/>
        <w:rPr>
          <w:rFonts w:cs="仿宋" w:asciiTheme="minorEastAsia" w:hAnsiTheme="minorEastAsia" w:eastAsiaTheme="minorEastAsia"/>
          <w:b/>
          <w:color w:val="auto"/>
          <w:highlight w:val="none"/>
        </w:rPr>
      </w:pPr>
    </w:p>
    <w:p w14:paraId="7FE1D472">
      <w:pPr>
        <w:shd w:val="clear"/>
        <w:spacing w:line="360" w:lineRule="auto"/>
        <w:jc w:val="center"/>
        <w:rPr>
          <w:rFonts w:cs="仿宋" w:asciiTheme="majorEastAsia" w:hAnsiTheme="majorEastAsia" w:eastAsiaTheme="majorEastAsia"/>
          <w:b/>
          <w:color w:val="auto"/>
          <w:sz w:val="24"/>
          <w:highlight w:val="none"/>
        </w:rPr>
      </w:pPr>
    </w:p>
    <w:p w14:paraId="64C62514">
      <w:pPr>
        <w:shd w:val="clear"/>
        <w:spacing w:line="360" w:lineRule="auto"/>
        <w:ind w:left="720" w:firstLine="723" w:firstLineChars="200"/>
        <w:outlineLvl w:val="0"/>
        <w:rPr>
          <w:rFonts w:cs="仿宋" w:asciiTheme="majorEastAsia" w:hAnsiTheme="majorEastAsia" w:eastAsiaTheme="majorEastAsia"/>
          <w:b/>
          <w:color w:val="auto"/>
          <w:sz w:val="36"/>
          <w:szCs w:val="20"/>
          <w:highlight w:val="none"/>
        </w:rPr>
      </w:pPr>
      <w:r>
        <w:rPr>
          <w:rFonts w:hint="eastAsia" w:cs="仿宋" w:asciiTheme="majorEastAsia" w:hAnsiTheme="majorEastAsia" w:eastAsiaTheme="majorEastAsia"/>
          <w:b/>
          <w:color w:val="auto"/>
          <w:sz w:val="36"/>
          <w:szCs w:val="20"/>
          <w:highlight w:val="none"/>
        </w:rPr>
        <w:t>第六部分</w:t>
      </w:r>
      <w:bookmarkEnd w:id="522"/>
      <w:bookmarkEnd w:id="523"/>
      <w:r>
        <w:rPr>
          <w:rFonts w:hint="eastAsia" w:cs="仿宋" w:asciiTheme="majorEastAsia" w:hAnsiTheme="majorEastAsia" w:eastAsiaTheme="majorEastAsia"/>
          <w:b/>
          <w:color w:val="auto"/>
          <w:sz w:val="36"/>
          <w:szCs w:val="20"/>
          <w:highlight w:val="none"/>
        </w:rPr>
        <w:t>应提交的有关格式范例</w:t>
      </w:r>
    </w:p>
    <w:p w14:paraId="772A9C35">
      <w:pPr>
        <w:shd w:val="clear"/>
        <w:spacing w:line="360" w:lineRule="auto"/>
        <w:jc w:val="center"/>
        <w:outlineLvl w:val="0"/>
        <w:rPr>
          <w:rFonts w:cs="仿宋" w:asciiTheme="majorEastAsia" w:hAnsiTheme="majorEastAsia" w:eastAsiaTheme="majorEastAsia"/>
          <w:b/>
          <w:color w:val="auto"/>
          <w:kern w:val="0"/>
          <w:sz w:val="36"/>
          <w:szCs w:val="36"/>
          <w:highlight w:val="none"/>
        </w:rPr>
      </w:pPr>
    </w:p>
    <w:p w14:paraId="7D0AEBC7">
      <w:pPr>
        <w:shd w:val="clear"/>
        <w:spacing w:line="360" w:lineRule="auto"/>
        <w:jc w:val="center"/>
        <w:outlineLvl w:val="0"/>
        <w:rPr>
          <w:rFonts w:cs="仿宋" w:asciiTheme="majorEastAsia" w:hAnsiTheme="majorEastAsia" w:eastAsiaTheme="majorEastAsia"/>
          <w:b/>
          <w:color w:val="auto"/>
          <w:kern w:val="0"/>
          <w:sz w:val="36"/>
          <w:szCs w:val="36"/>
          <w:highlight w:val="none"/>
        </w:rPr>
      </w:pPr>
      <w:r>
        <w:rPr>
          <w:rFonts w:hint="eastAsia" w:cs="仿宋" w:asciiTheme="majorEastAsia" w:hAnsiTheme="majorEastAsia" w:eastAsiaTheme="majorEastAsia"/>
          <w:b/>
          <w:color w:val="auto"/>
          <w:kern w:val="0"/>
          <w:sz w:val="36"/>
          <w:szCs w:val="36"/>
          <w:highlight w:val="none"/>
        </w:rPr>
        <w:t>资格文件部分</w:t>
      </w:r>
    </w:p>
    <w:p w14:paraId="282DF232">
      <w:pPr>
        <w:shd w:val="clear"/>
        <w:spacing w:line="360" w:lineRule="auto"/>
        <w:jc w:val="center"/>
        <w:outlineLvl w:val="0"/>
        <w:rPr>
          <w:rFonts w:cs="仿宋" w:asciiTheme="majorEastAsia" w:hAnsiTheme="majorEastAsia" w:eastAsiaTheme="majorEastAsia"/>
          <w:b/>
          <w:color w:val="auto"/>
          <w:kern w:val="0"/>
          <w:sz w:val="36"/>
          <w:szCs w:val="36"/>
          <w:highlight w:val="none"/>
        </w:rPr>
      </w:pPr>
      <w:r>
        <w:rPr>
          <w:rFonts w:hint="eastAsia" w:cs="仿宋" w:asciiTheme="majorEastAsia" w:hAnsiTheme="majorEastAsia" w:eastAsiaTheme="majorEastAsia"/>
          <w:b/>
          <w:color w:val="auto"/>
          <w:kern w:val="0"/>
          <w:sz w:val="36"/>
          <w:szCs w:val="36"/>
          <w:highlight w:val="none"/>
        </w:rPr>
        <w:t>目录</w:t>
      </w:r>
    </w:p>
    <w:p w14:paraId="455CF25C">
      <w:pPr>
        <w:shd w:val="clear"/>
        <w:spacing w:line="360" w:lineRule="auto"/>
        <w:jc w:val="center"/>
        <w:outlineLvl w:val="0"/>
        <w:rPr>
          <w:rFonts w:cs="仿宋" w:asciiTheme="majorEastAsia" w:hAnsiTheme="majorEastAsia" w:eastAsiaTheme="majorEastAsia"/>
          <w:b/>
          <w:color w:val="auto"/>
          <w:kern w:val="0"/>
          <w:sz w:val="36"/>
          <w:szCs w:val="36"/>
          <w:highlight w:val="none"/>
        </w:rPr>
      </w:pPr>
    </w:p>
    <w:p w14:paraId="6344F3BB">
      <w:pPr>
        <w:shd w:val="clear"/>
        <w:adjustRightInd w:val="0"/>
        <w:snapToGrid w:val="0"/>
        <w:spacing w:line="360" w:lineRule="auto"/>
        <w:ind w:left="420" w:leftChars="200" w:firstLine="560" w:firstLineChars="2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1 有效的企业法人营业执照（或事业法人登记证）、其他组织（个体工商户）的营业执照或者民办非企业单位登记证书；</w:t>
      </w:r>
    </w:p>
    <w:p w14:paraId="1C9710AD">
      <w:pPr>
        <w:shd w:val="clear"/>
        <w:adjustRightInd w:val="0"/>
        <w:snapToGrid w:val="0"/>
        <w:spacing w:line="360" w:lineRule="auto"/>
        <w:ind w:left="420" w:leftChars="200" w:firstLine="560" w:firstLineChars="2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2 符合参加政府采购活动应当具备的一般条件的承诺函；</w:t>
      </w:r>
    </w:p>
    <w:p w14:paraId="3139CD38">
      <w:pPr>
        <w:shd w:val="clear"/>
        <w:adjustRightInd w:val="0"/>
        <w:snapToGrid w:val="0"/>
        <w:spacing w:line="360" w:lineRule="auto"/>
        <w:ind w:left="420" w:leftChars="200" w:firstLine="560" w:firstLineChars="2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3 落实政府采购政策需满足的资格要求；</w:t>
      </w:r>
    </w:p>
    <w:p w14:paraId="770383F0">
      <w:pPr>
        <w:shd w:val="clear"/>
        <w:adjustRightInd w:val="0"/>
        <w:snapToGrid w:val="0"/>
        <w:spacing w:line="360" w:lineRule="auto"/>
        <w:ind w:left="420" w:leftChars="200" w:firstLine="560" w:firstLineChars="2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4 本项目的特定资格要求。</w:t>
      </w:r>
    </w:p>
    <w:p w14:paraId="01AEBBAB">
      <w:pPr>
        <w:pStyle w:val="27"/>
        <w:shd w:val="clear"/>
        <w:spacing w:line="360" w:lineRule="auto"/>
        <w:ind w:firstLine="480"/>
        <w:rPr>
          <w:rFonts w:cs="仿宋" w:asciiTheme="majorEastAsia" w:hAnsiTheme="majorEastAsia" w:eastAsiaTheme="majorEastAsia"/>
          <w:color w:val="auto"/>
          <w:sz w:val="24"/>
          <w:highlight w:val="none"/>
        </w:rPr>
      </w:pPr>
    </w:p>
    <w:p w14:paraId="7CD8408B">
      <w:pPr>
        <w:shd w:val="clear"/>
        <w:spacing w:line="360" w:lineRule="auto"/>
        <w:rPr>
          <w:rFonts w:cs="仿宋" w:asciiTheme="majorEastAsia" w:hAnsiTheme="majorEastAsia" w:eastAsiaTheme="majorEastAsia"/>
          <w:b/>
          <w:color w:val="auto"/>
          <w:kern w:val="0"/>
          <w:sz w:val="32"/>
          <w:szCs w:val="32"/>
          <w:highlight w:val="none"/>
        </w:rPr>
      </w:pPr>
      <w:r>
        <w:rPr>
          <w:rFonts w:hint="eastAsia" w:cs="仿宋" w:asciiTheme="majorEastAsia" w:hAnsiTheme="majorEastAsia" w:eastAsiaTheme="majorEastAsia"/>
          <w:b/>
          <w:color w:val="auto"/>
          <w:kern w:val="0"/>
          <w:sz w:val="32"/>
          <w:szCs w:val="32"/>
          <w:highlight w:val="none"/>
        </w:rPr>
        <w:br w:type="page"/>
      </w:r>
    </w:p>
    <w:p w14:paraId="7C0984BB">
      <w:pPr>
        <w:shd w:val="clear"/>
        <w:snapToGrid w:val="0"/>
        <w:spacing w:line="360" w:lineRule="auto"/>
        <w:ind w:right="480"/>
        <w:jc w:val="center"/>
        <w:rPr>
          <w:rFonts w:cs="仿宋" w:asciiTheme="majorEastAsia" w:hAnsiTheme="majorEastAsia" w:eastAsiaTheme="majorEastAsia"/>
          <w:b/>
          <w:color w:val="auto"/>
          <w:kern w:val="0"/>
          <w:sz w:val="32"/>
          <w:szCs w:val="32"/>
          <w:highlight w:val="none"/>
        </w:rPr>
      </w:pPr>
      <w:r>
        <w:rPr>
          <w:rFonts w:hint="eastAsia" w:cs="仿宋" w:asciiTheme="majorEastAsia" w:hAnsiTheme="majorEastAsia" w:eastAsiaTheme="majorEastAsia"/>
          <w:b/>
          <w:color w:val="auto"/>
          <w:kern w:val="0"/>
          <w:sz w:val="32"/>
          <w:szCs w:val="32"/>
          <w:highlight w:val="none"/>
        </w:rPr>
        <w:t>一、 符合参加政府采购活动应当具备的一般条件的承诺函</w:t>
      </w:r>
    </w:p>
    <w:p w14:paraId="50092670">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（宁波宁南汇诚科技发展有限公司）、（宁波敬信项目管理咨询有限公司）：</w:t>
      </w:r>
    </w:p>
    <w:p w14:paraId="778F49EE">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我方参与（项目名称）【项目编号：        】政府采购活动，郑重承诺：</w:t>
      </w:r>
    </w:p>
    <w:p w14:paraId="041EFA45">
      <w:pPr>
        <w:shd w:val="clear"/>
        <w:snapToGrid w:val="0"/>
        <w:spacing w:line="360" w:lineRule="auto"/>
        <w:ind w:firstLine="360" w:firstLineChars="15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（一）具备《中华人民共和国政府采购法》第二十二条第一款规定的条件：</w:t>
      </w:r>
    </w:p>
    <w:p w14:paraId="693923D9">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1、具有独立承担民事责任的能力；</w:t>
      </w:r>
    </w:p>
    <w:p w14:paraId="63D8E121">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2、具有良好的商业信誉和健全的财务会计制度； </w:t>
      </w:r>
    </w:p>
    <w:p w14:paraId="39CAAE11">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3、具有履行合同所必需的设备和专业技术能力；</w:t>
      </w:r>
    </w:p>
    <w:p w14:paraId="19F6AC44">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4、有依法缴纳税收和社会保障资金的良好记录；</w:t>
      </w:r>
    </w:p>
    <w:p w14:paraId="53A921C6">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5、参加政府采购活动前三年内，在经营活动中没有重大违法记录；</w:t>
      </w:r>
    </w:p>
    <w:p w14:paraId="243A9FE3">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6、具有法律、行政法规规定的其他条件。</w:t>
      </w:r>
    </w:p>
    <w:p w14:paraId="27F2FF9C">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（二）未被信用中国（www.creditchina.gov.cn)、中国政府采购网（www.ccgp.gov.cn）列入失信被执行人、重大税收违法失信主体、政府采购严重违法失信行为记录名单。</w:t>
      </w:r>
    </w:p>
    <w:p w14:paraId="5C7DC230">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（三）不存在以下情况：</w:t>
      </w:r>
    </w:p>
    <w:p w14:paraId="2CBD14C5">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1、单位负责人为同一人或者存在直接控股、管理关系的不同供应商参加同一合同项下的政府采购活动的；</w:t>
      </w:r>
    </w:p>
    <w:p w14:paraId="77866443">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2、为采购项目提供整体设计、规范编制或者项目管理、监理、检测等服务后再参加该采购项目的其他采购活动的。</w:t>
      </w:r>
    </w:p>
    <w:p w14:paraId="4A138B4A">
      <w:pPr>
        <w:shd w:val="clear"/>
        <w:snapToGrid w:val="0"/>
        <w:spacing w:line="360" w:lineRule="auto"/>
        <w:ind w:firstLine="5520" w:firstLineChars="2300"/>
        <w:rPr>
          <w:rFonts w:cs="仿宋" w:asciiTheme="majorEastAsia" w:hAnsiTheme="majorEastAsia" w:eastAsiaTheme="majorEastAsia"/>
          <w:color w:val="auto"/>
          <w:kern w:val="0"/>
          <w:sz w:val="24"/>
          <w:highlight w:val="none"/>
          <w:lang w:val="zh-CN"/>
        </w:rPr>
      </w:pPr>
    </w:p>
    <w:p w14:paraId="791B8A82">
      <w:pPr>
        <w:shd w:val="clear"/>
        <w:snapToGrid w:val="0"/>
        <w:spacing w:line="360" w:lineRule="auto"/>
        <w:ind w:firstLine="5520" w:firstLineChars="2300"/>
        <w:rPr>
          <w:rFonts w:cs="仿宋" w:asciiTheme="majorEastAsia" w:hAnsiTheme="majorEastAsia" w:eastAsiaTheme="majorEastAsia"/>
          <w:color w:val="auto"/>
          <w:kern w:val="0"/>
          <w:sz w:val="24"/>
          <w:highlight w:val="none"/>
          <w:lang w:val="zh-CN"/>
        </w:rPr>
      </w:pPr>
    </w:p>
    <w:p w14:paraId="4E506496">
      <w:pPr>
        <w:shd w:val="clear"/>
        <w:spacing w:line="360" w:lineRule="auto"/>
        <w:ind w:right="420" w:firstLine="5250" w:firstLineChars="2500"/>
        <w:rPr>
          <w:rFonts w:ascii="宋体" w:hAnsi="宋体" w:cs="宋体"/>
          <w:color w:val="auto"/>
          <w:highlight w:val="none"/>
        </w:rPr>
      </w:pPr>
      <w:r>
        <w:rPr>
          <w:rFonts w:hint="eastAsia" w:ascii="宋体" w:hAnsi="宋体" w:cs="宋体"/>
          <w:color w:val="auto"/>
          <w:highlight w:val="none"/>
        </w:rPr>
        <w:t xml:space="preserve">法定代表人（签名或印章）：     </w:t>
      </w:r>
    </w:p>
    <w:p w14:paraId="4923EF90">
      <w:pPr>
        <w:shd w:val="clear"/>
        <w:spacing w:line="360" w:lineRule="auto"/>
        <w:ind w:right="420" w:firstLine="5460" w:firstLineChars="2600"/>
        <w:rPr>
          <w:rFonts w:ascii="宋体" w:hAnsi="宋体" w:cs="宋体"/>
          <w:color w:val="auto"/>
          <w:highlight w:val="none"/>
        </w:rPr>
      </w:pPr>
      <w:r>
        <w:rPr>
          <w:rFonts w:hint="eastAsia" w:ascii="宋体" w:hAnsi="宋体" w:cs="宋体"/>
          <w:color w:val="auto"/>
          <w:highlight w:val="none"/>
        </w:rPr>
        <w:t xml:space="preserve">投标人（盖章）：   </w:t>
      </w:r>
    </w:p>
    <w:p w14:paraId="6F931282">
      <w:pPr>
        <w:shd w:val="clear"/>
        <w:spacing w:line="360" w:lineRule="auto"/>
        <w:ind w:right="420" w:firstLine="5355" w:firstLineChars="2550"/>
        <w:rPr>
          <w:rFonts w:ascii="宋体" w:hAnsi="宋体" w:cs="宋体"/>
          <w:color w:val="auto"/>
          <w:highlight w:val="none"/>
        </w:rPr>
      </w:pPr>
      <w:r>
        <w:rPr>
          <w:rFonts w:hint="eastAsia" w:ascii="宋体" w:hAnsi="宋体" w:cs="宋体"/>
          <w:color w:val="auto"/>
          <w:highlight w:val="none"/>
        </w:rPr>
        <w:t xml:space="preserve"> 年    月    日</w:t>
      </w:r>
    </w:p>
    <w:p w14:paraId="7D23C89C">
      <w:pPr>
        <w:shd w:val="clear"/>
        <w:snapToGrid w:val="0"/>
        <w:spacing w:line="360" w:lineRule="auto"/>
        <w:ind w:right="480"/>
        <w:jc w:val="center"/>
        <w:rPr>
          <w:rFonts w:cs="仿宋" w:asciiTheme="majorEastAsia" w:hAnsiTheme="majorEastAsia" w:eastAsiaTheme="majorEastAsia"/>
          <w:b/>
          <w:color w:val="auto"/>
          <w:kern w:val="0"/>
          <w:sz w:val="32"/>
          <w:szCs w:val="32"/>
          <w:highlight w:val="none"/>
        </w:rPr>
      </w:pPr>
    </w:p>
    <w:p w14:paraId="1FA3395F">
      <w:pPr>
        <w:shd w:val="clear"/>
        <w:spacing w:line="360" w:lineRule="auto"/>
        <w:rPr>
          <w:rFonts w:cs="仿宋" w:asciiTheme="majorEastAsia" w:hAnsiTheme="majorEastAsia" w:eastAsiaTheme="majorEastAsia"/>
          <w:b/>
          <w:color w:val="auto"/>
          <w:kern w:val="0"/>
          <w:sz w:val="32"/>
          <w:szCs w:val="32"/>
          <w:highlight w:val="none"/>
        </w:rPr>
      </w:pPr>
      <w:r>
        <w:rPr>
          <w:rFonts w:hint="eastAsia" w:cs="仿宋" w:asciiTheme="majorEastAsia" w:hAnsiTheme="majorEastAsia" w:eastAsiaTheme="majorEastAsia"/>
          <w:b/>
          <w:color w:val="auto"/>
          <w:kern w:val="0"/>
          <w:sz w:val="32"/>
          <w:szCs w:val="32"/>
          <w:highlight w:val="none"/>
        </w:rPr>
        <w:br w:type="page"/>
      </w:r>
    </w:p>
    <w:p w14:paraId="3A7514A3">
      <w:pPr>
        <w:shd w:val="clear"/>
        <w:snapToGrid w:val="0"/>
        <w:spacing w:line="360" w:lineRule="auto"/>
        <w:ind w:right="480"/>
        <w:jc w:val="center"/>
        <w:rPr>
          <w:rFonts w:cs="仿宋" w:asciiTheme="majorEastAsia" w:hAnsiTheme="majorEastAsia" w:eastAsiaTheme="majorEastAsia"/>
          <w:b/>
          <w:color w:val="auto"/>
          <w:kern w:val="0"/>
          <w:sz w:val="32"/>
          <w:szCs w:val="32"/>
          <w:highlight w:val="none"/>
        </w:rPr>
      </w:pPr>
      <w:r>
        <w:rPr>
          <w:rFonts w:hint="eastAsia" w:cs="仿宋" w:asciiTheme="majorEastAsia" w:hAnsiTheme="majorEastAsia" w:eastAsiaTheme="majorEastAsia"/>
          <w:b/>
          <w:color w:val="auto"/>
          <w:kern w:val="0"/>
          <w:sz w:val="32"/>
          <w:szCs w:val="32"/>
          <w:highlight w:val="none"/>
        </w:rPr>
        <w:t>二、落实政府采购政策需满足的资格要求</w:t>
      </w:r>
    </w:p>
    <w:p w14:paraId="1A787427">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（根据招标公告落实政府采购政策需满足的资格要求选择提供相应的材料；未要求的，无需提供）</w:t>
      </w:r>
    </w:p>
    <w:p w14:paraId="3997F3BB">
      <w:pPr>
        <w:shd w:val="clear"/>
        <w:snapToGrid w:val="0"/>
        <w:spacing w:before="50" w:after="50" w:line="360" w:lineRule="auto"/>
        <w:ind w:firstLine="472" w:firstLineChars="196"/>
        <w:jc w:val="left"/>
        <w:rPr>
          <w:rFonts w:cs="仿宋" w:asciiTheme="majorEastAsia" w:hAnsiTheme="majorEastAsia" w:eastAsiaTheme="majorEastAsia"/>
          <w:color w:val="auto"/>
          <w:sz w:val="24"/>
          <w:highlight w:val="none"/>
        </w:rPr>
      </w:pPr>
      <w:r>
        <w:rPr>
          <w:rFonts w:hint="eastAsia" w:cs="仿宋" w:asciiTheme="majorEastAsia" w:hAnsiTheme="majorEastAsia" w:eastAsiaTheme="majorEastAsia"/>
          <w:b/>
          <w:color w:val="auto"/>
          <w:sz w:val="24"/>
          <w:highlight w:val="none"/>
        </w:rPr>
        <w:t>A</w:t>
      </w:r>
      <w:r>
        <w:rPr>
          <w:rFonts w:hint="eastAsia" w:cs="仿宋" w:asciiTheme="majorEastAsia" w:hAnsiTheme="majorEastAsia" w:eastAsiaTheme="majorEastAsia"/>
          <w:color w:val="auto"/>
          <w:sz w:val="24"/>
          <w:highlight w:val="none"/>
        </w:rPr>
        <w:t xml:space="preserve">.专门面向中小企业，货物全部由符合政策要求的中小企业（或小微企业）制造或者服务全部由符合政策要求的中小企业（或小微企业）承接的，提供相应的中小企业声明函。 </w:t>
      </w:r>
    </w:p>
    <w:p w14:paraId="42085352">
      <w:pPr>
        <w:widowControl/>
        <w:shd w:val="clear"/>
        <w:spacing w:line="360" w:lineRule="auto"/>
        <w:ind w:firstLine="480"/>
        <w:jc w:val="left"/>
        <w:rPr>
          <w:rFonts w:cs="仿宋" w:asciiTheme="majorEastAsia" w:hAnsiTheme="majorEastAsia" w:eastAsiaTheme="majorEastAsia"/>
          <w:color w:val="auto"/>
          <w:sz w:val="24"/>
          <w:highlight w:val="none"/>
        </w:rPr>
      </w:pPr>
    </w:p>
    <w:p w14:paraId="0FE7AAAC">
      <w:pPr>
        <w:widowControl/>
        <w:shd w:val="clear"/>
        <w:spacing w:line="360" w:lineRule="auto"/>
        <w:ind w:firstLine="472" w:firstLineChars="196"/>
        <w:jc w:val="left"/>
        <w:rPr>
          <w:rFonts w:cs="仿宋" w:asciiTheme="majorEastAsia" w:hAnsiTheme="majorEastAsia" w:eastAsiaTheme="majorEastAsia"/>
          <w:color w:val="auto"/>
          <w:sz w:val="24"/>
          <w:highlight w:val="none"/>
        </w:rPr>
      </w:pPr>
      <w:r>
        <w:rPr>
          <w:rFonts w:hint="eastAsia" w:cs="仿宋" w:asciiTheme="majorEastAsia" w:hAnsiTheme="majorEastAsia" w:eastAsiaTheme="majorEastAsia"/>
          <w:b/>
          <w:color w:val="auto"/>
          <w:sz w:val="24"/>
          <w:highlight w:val="none"/>
        </w:rPr>
        <w:t>B.</w:t>
      </w:r>
      <w:r>
        <w:rPr>
          <w:rFonts w:hint="eastAsia" w:cs="仿宋" w:asciiTheme="majorEastAsia" w:hAnsiTheme="majorEastAsia" w:eastAsiaTheme="majorEastAsia"/>
          <w:color w:val="auto"/>
          <w:sz w:val="24"/>
          <w:highlight w:val="none"/>
        </w:rPr>
        <w:t>要求以联合体形式参加的，提供联合协议和中小企业声明函，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0CCD1A09">
      <w:pPr>
        <w:pStyle w:val="27"/>
        <w:shd w:val="clear"/>
        <w:ind w:firstLine="560"/>
        <w:rPr>
          <w:color w:val="auto"/>
          <w:highlight w:val="none"/>
        </w:rPr>
      </w:pPr>
      <w:r>
        <w:rPr>
          <w:color w:val="auto"/>
          <w:highlight w:val="none"/>
        </w:rPr>
        <w:br w:type="page"/>
      </w:r>
    </w:p>
    <w:p w14:paraId="2763CAD8">
      <w:pPr>
        <w:shd w:val="clear"/>
        <w:spacing w:line="360" w:lineRule="auto"/>
        <w:jc w:val="center"/>
        <w:rPr>
          <w:rFonts w:cs="仿宋" w:asciiTheme="majorEastAsia" w:hAnsiTheme="majorEastAsia" w:eastAsiaTheme="majorEastAsia"/>
          <w:b/>
          <w:color w:val="auto"/>
          <w:kern w:val="0"/>
          <w:sz w:val="32"/>
          <w:szCs w:val="32"/>
          <w:highlight w:val="none"/>
        </w:rPr>
      </w:pPr>
      <w:r>
        <w:rPr>
          <w:rFonts w:hint="eastAsia" w:cs="仿宋" w:asciiTheme="majorEastAsia" w:hAnsiTheme="majorEastAsia" w:eastAsiaTheme="majorEastAsia"/>
          <w:b/>
          <w:color w:val="auto"/>
          <w:kern w:val="0"/>
          <w:sz w:val="32"/>
          <w:szCs w:val="32"/>
          <w:highlight w:val="none"/>
        </w:rPr>
        <w:t>三、本项目的特定资格要求</w:t>
      </w:r>
    </w:p>
    <w:p w14:paraId="26E5E676">
      <w:pPr>
        <w:shd w:val="clear"/>
        <w:spacing w:line="360" w:lineRule="auto"/>
        <w:jc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（根据招标公告本项目的特定资格要求提供相应的材料；未要求的，无需提供）</w:t>
      </w:r>
    </w:p>
    <w:p w14:paraId="66486190">
      <w:pPr>
        <w:shd w:val="clear"/>
        <w:spacing w:line="360" w:lineRule="auto"/>
        <w:rPr>
          <w:rFonts w:cs="仿宋" w:asciiTheme="majorEastAsia" w:hAnsiTheme="majorEastAsia" w:eastAsiaTheme="majorEastAsia"/>
          <w:color w:val="auto"/>
          <w:highlight w:val="none"/>
        </w:rPr>
      </w:pPr>
    </w:p>
    <w:p w14:paraId="1A38032F">
      <w:pPr>
        <w:shd w:val="clear"/>
        <w:snapToGrid w:val="0"/>
        <w:spacing w:line="360" w:lineRule="auto"/>
        <w:ind w:right="480"/>
        <w:jc w:val="center"/>
        <w:rPr>
          <w:rFonts w:cs="仿宋" w:asciiTheme="majorEastAsia" w:hAnsiTheme="majorEastAsia" w:eastAsiaTheme="majorEastAsia"/>
          <w:b/>
          <w:color w:val="auto"/>
          <w:kern w:val="0"/>
          <w:sz w:val="32"/>
          <w:szCs w:val="32"/>
          <w:highlight w:val="none"/>
        </w:rPr>
      </w:pPr>
    </w:p>
    <w:p w14:paraId="0A590E8F">
      <w:pPr>
        <w:shd w:val="clear"/>
        <w:snapToGrid w:val="0"/>
        <w:spacing w:line="360" w:lineRule="auto"/>
        <w:ind w:right="480"/>
        <w:jc w:val="center"/>
        <w:rPr>
          <w:rFonts w:cs="仿宋" w:asciiTheme="majorEastAsia" w:hAnsiTheme="majorEastAsia" w:eastAsiaTheme="majorEastAsia"/>
          <w:b/>
          <w:color w:val="auto"/>
          <w:kern w:val="0"/>
          <w:sz w:val="32"/>
          <w:szCs w:val="32"/>
          <w:highlight w:val="none"/>
        </w:rPr>
      </w:pPr>
    </w:p>
    <w:p w14:paraId="7D597882">
      <w:pPr>
        <w:shd w:val="clear"/>
        <w:snapToGrid w:val="0"/>
        <w:spacing w:line="360" w:lineRule="auto"/>
        <w:ind w:right="480"/>
        <w:jc w:val="center"/>
        <w:rPr>
          <w:rFonts w:cs="仿宋" w:asciiTheme="majorEastAsia" w:hAnsiTheme="majorEastAsia" w:eastAsiaTheme="majorEastAsia"/>
          <w:b/>
          <w:color w:val="auto"/>
          <w:kern w:val="0"/>
          <w:sz w:val="32"/>
          <w:szCs w:val="32"/>
          <w:highlight w:val="none"/>
        </w:rPr>
      </w:pPr>
    </w:p>
    <w:p w14:paraId="23E1ADEC">
      <w:pPr>
        <w:shd w:val="clear"/>
        <w:snapToGrid w:val="0"/>
        <w:spacing w:line="360" w:lineRule="auto"/>
        <w:ind w:right="480"/>
        <w:jc w:val="center"/>
        <w:rPr>
          <w:rFonts w:cs="仿宋" w:asciiTheme="majorEastAsia" w:hAnsiTheme="majorEastAsia" w:eastAsiaTheme="majorEastAsia"/>
          <w:b/>
          <w:color w:val="auto"/>
          <w:kern w:val="0"/>
          <w:sz w:val="32"/>
          <w:szCs w:val="32"/>
          <w:highlight w:val="none"/>
        </w:rPr>
      </w:pPr>
    </w:p>
    <w:p w14:paraId="644AAAD5">
      <w:pPr>
        <w:shd w:val="clear"/>
        <w:snapToGrid w:val="0"/>
        <w:spacing w:line="360" w:lineRule="auto"/>
        <w:ind w:right="480"/>
        <w:jc w:val="center"/>
        <w:rPr>
          <w:rFonts w:cs="仿宋" w:asciiTheme="majorEastAsia" w:hAnsiTheme="majorEastAsia" w:eastAsiaTheme="majorEastAsia"/>
          <w:b/>
          <w:color w:val="auto"/>
          <w:kern w:val="0"/>
          <w:sz w:val="32"/>
          <w:szCs w:val="32"/>
          <w:highlight w:val="none"/>
        </w:rPr>
      </w:pPr>
    </w:p>
    <w:p w14:paraId="7B5E276F">
      <w:pPr>
        <w:shd w:val="clear"/>
        <w:snapToGrid w:val="0"/>
        <w:spacing w:line="360" w:lineRule="auto"/>
        <w:ind w:right="480"/>
        <w:jc w:val="center"/>
        <w:rPr>
          <w:rFonts w:cs="仿宋" w:asciiTheme="majorEastAsia" w:hAnsiTheme="majorEastAsia" w:eastAsiaTheme="majorEastAsia"/>
          <w:b/>
          <w:color w:val="auto"/>
          <w:kern w:val="0"/>
          <w:sz w:val="32"/>
          <w:szCs w:val="32"/>
          <w:highlight w:val="none"/>
        </w:rPr>
      </w:pPr>
    </w:p>
    <w:p w14:paraId="52BF172A">
      <w:pPr>
        <w:shd w:val="clear"/>
        <w:spacing w:line="360" w:lineRule="auto"/>
        <w:jc w:val="center"/>
        <w:outlineLvl w:val="0"/>
        <w:rPr>
          <w:rFonts w:cs="仿宋" w:asciiTheme="majorEastAsia" w:hAnsiTheme="majorEastAsia" w:eastAsiaTheme="majorEastAsia"/>
          <w:b/>
          <w:color w:val="auto"/>
          <w:kern w:val="0"/>
          <w:sz w:val="36"/>
          <w:szCs w:val="36"/>
          <w:highlight w:val="none"/>
        </w:rPr>
      </w:pPr>
    </w:p>
    <w:p w14:paraId="5536A652">
      <w:pPr>
        <w:shd w:val="clear"/>
        <w:snapToGrid w:val="0"/>
        <w:spacing w:line="360" w:lineRule="auto"/>
        <w:ind w:right="480"/>
        <w:jc w:val="center"/>
        <w:rPr>
          <w:rFonts w:cs="仿宋" w:asciiTheme="majorEastAsia" w:hAnsiTheme="majorEastAsia" w:eastAsiaTheme="majorEastAsia"/>
          <w:b/>
          <w:color w:val="auto"/>
          <w:kern w:val="0"/>
          <w:sz w:val="32"/>
          <w:szCs w:val="32"/>
          <w:highlight w:val="none"/>
        </w:rPr>
      </w:pPr>
    </w:p>
    <w:p w14:paraId="7B902435">
      <w:pPr>
        <w:shd w:val="clear"/>
        <w:spacing w:line="360" w:lineRule="auto"/>
        <w:jc w:val="center"/>
        <w:outlineLvl w:val="0"/>
        <w:rPr>
          <w:rFonts w:cs="仿宋" w:asciiTheme="majorEastAsia" w:hAnsiTheme="majorEastAsia" w:eastAsiaTheme="majorEastAsia"/>
          <w:b/>
          <w:color w:val="auto"/>
          <w:kern w:val="0"/>
          <w:sz w:val="36"/>
          <w:szCs w:val="36"/>
          <w:highlight w:val="none"/>
        </w:rPr>
      </w:pPr>
    </w:p>
    <w:p w14:paraId="14718B98">
      <w:pPr>
        <w:shd w:val="clear"/>
        <w:snapToGrid w:val="0"/>
        <w:spacing w:line="360" w:lineRule="auto"/>
        <w:ind w:right="480"/>
        <w:jc w:val="center"/>
        <w:rPr>
          <w:rFonts w:cs="仿宋" w:asciiTheme="majorEastAsia" w:hAnsiTheme="majorEastAsia" w:eastAsiaTheme="majorEastAsia"/>
          <w:b/>
          <w:color w:val="auto"/>
          <w:kern w:val="0"/>
          <w:sz w:val="32"/>
          <w:szCs w:val="32"/>
          <w:highlight w:val="none"/>
        </w:rPr>
      </w:pPr>
    </w:p>
    <w:p w14:paraId="7094DDFB">
      <w:pPr>
        <w:shd w:val="clear"/>
        <w:spacing w:line="360" w:lineRule="auto"/>
        <w:jc w:val="center"/>
        <w:outlineLvl w:val="0"/>
        <w:rPr>
          <w:rFonts w:cs="仿宋" w:asciiTheme="majorEastAsia" w:hAnsiTheme="majorEastAsia" w:eastAsiaTheme="majorEastAsia"/>
          <w:b/>
          <w:color w:val="auto"/>
          <w:kern w:val="0"/>
          <w:sz w:val="36"/>
          <w:szCs w:val="36"/>
          <w:highlight w:val="none"/>
        </w:rPr>
      </w:pPr>
    </w:p>
    <w:p w14:paraId="4A2A89E9">
      <w:pPr>
        <w:shd w:val="clear"/>
        <w:spacing w:line="360" w:lineRule="auto"/>
        <w:rPr>
          <w:rFonts w:cs="仿宋" w:asciiTheme="majorEastAsia" w:hAnsiTheme="majorEastAsia" w:eastAsiaTheme="majorEastAsia"/>
          <w:b/>
          <w:color w:val="auto"/>
          <w:kern w:val="0"/>
          <w:sz w:val="36"/>
          <w:szCs w:val="36"/>
          <w:highlight w:val="none"/>
        </w:rPr>
      </w:pPr>
      <w:r>
        <w:rPr>
          <w:rFonts w:hint="eastAsia" w:cs="仿宋" w:asciiTheme="majorEastAsia" w:hAnsiTheme="majorEastAsia" w:eastAsiaTheme="majorEastAsia"/>
          <w:b/>
          <w:color w:val="auto"/>
          <w:kern w:val="0"/>
          <w:sz w:val="36"/>
          <w:szCs w:val="36"/>
          <w:highlight w:val="none"/>
        </w:rPr>
        <w:br w:type="page"/>
      </w:r>
    </w:p>
    <w:p w14:paraId="1AF47100">
      <w:pPr>
        <w:shd w:val="clear"/>
        <w:spacing w:line="360" w:lineRule="auto"/>
        <w:ind w:right="420"/>
        <w:jc w:val="center"/>
        <w:rPr>
          <w:rFonts w:cs="仿宋" w:asciiTheme="majorEastAsia" w:hAnsiTheme="majorEastAsia" w:eastAsiaTheme="majorEastAsia"/>
          <w:b/>
          <w:color w:val="auto"/>
          <w:kern w:val="0"/>
          <w:sz w:val="36"/>
          <w:szCs w:val="36"/>
          <w:highlight w:val="none"/>
        </w:rPr>
      </w:pPr>
      <w:r>
        <w:rPr>
          <w:rFonts w:hint="eastAsia" w:cs="仿宋" w:asciiTheme="majorEastAsia" w:hAnsiTheme="majorEastAsia" w:eastAsiaTheme="majorEastAsia"/>
          <w:b/>
          <w:color w:val="auto"/>
          <w:kern w:val="0"/>
          <w:sz w:val="36"/>
          <w:szCs w:val="36"/>
          <w:highlight w:val="none"/>
        </w:rPr>
        <w:t>商务技术文件部分</w:t>
      </w:r>
    </w:p>
    <w:p w14:paraId="25189F69">
      <w:pPr>
        <w:shd w:val="clear"/>
        <w:spacing w:line="360" w:lineRule="auto"/>
        <w:jc w:val="center"/>
        <w:outlineLvl w:val="0"/>
        <w:rPr>
          <w:rFonts w:cs="仿宋" w:asciiTheme="majorEastAsia" w:hAnsiTheme="majorEastAsia" w:eastAsiaTheme="majorEastAsia"/>
          <w:b/>
          <w:color w:val="auto"/>
          <w:kern w:val="0"/>
          <w:sz w:val="24"/>
          <w:highlight w:val="none"/>
        </w:rPr>
      </w:pPr>
    </w:p>
    <w:p w14:paraId="1D9E97CB">
      <w:pPr>
        <w:shd w:val="clear"/>
        <w:spacing w:line="360" w:lineRule="auto"/>
        <w:ind w:left="3990" w:leftChars="1900"/>
        <w:outlineLvl w:val="0"/>
        <w:rPr>
          <w:rFonts w:cs="仿宋" w:asciiTheme="majorEastAsia" w:hAnsiTheme="majorEastAsia" w:eastAsiaTheme="majorEastAsia"/>
          <w:b/>
          <w:color w:val="auto"/>
          <w:kern w:val="0"/>
          <w:sz w:val="28"/>
          <w:szCs w:val="28"/>
          <w:highlight w:val="none"/>
        </w:rPr>
      </w:pPr>
      <w:r>
        <w:rPr>
          <w:rFonts w:hint="eastAsia" w:cs="仿宋" w:asciiTheme="majorEastAsia" w:hAnsiTheme="majorEastAsia" w:eastAsiaTheme="majorEastAsia"/>
          <w:b/>
          <w:color w:val="auto"/>
          <w:kern w:val="0"/>
          <w:sz w:val="28"/>
          <w:szCs w:val="28"/>
          <w:highlight w:val="none"/>
        </w:rPr>
        <w:t>目 录</w:t>
      </w:r>
    </w:p>
    <w:p w14:paraId="315BA509">
      <w:pPr>
        <w:shd w:val="clear"/>
        <w:snapToGrid w:val="0"/>
        <w:spacing w:line="360" w:lineRule="auto"/>
        <w:ind w:firstLine="960" w:firstLineChars="400"/>
        <w:rPr>
          <w:rFonts w:cs="仿宋" w:asciiTheme="majorEastAsia" w:hAnsiTheme="majorEastAsia" w:eastAsiaTheme="majorEastAsia"/>
          <w:color w:val="auto"/>
          <w:sz w:val="24"/>
          <w:highlight w:val="none"/>
        </w:rPr>
      </w:pPr>
    </w:p>
    <w:p w14:paraId="58C022A8">
      <w:pPr>
        <w:shd w:val="clear"/>
        <w:adjustRightInd w:val="0"/>
        <w:snapToGrid w:val="0"/>
        <w:spacing w:line="360" w:lineRule="auto"/>
        <w:ind w:firstLine="840" w:firstLineChars="3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1 评分索引表</w:t>
      </w:r>
    </w:p>
    <w:p w14:paraId="5DAF4B63">
      <w:pPr>
        <w:shd w:val="clear"/>
        <w:adjustRightInd w:val="0"/>
        <w:snapToGrid w:val="0"/>
        <w:spacing w:line="360" w:lineRule="auto"/>
        <w:ind w:firstLine="840" w:firstLineChars="3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2 符合性自查表；</w:t>
      </w:r>
    </w:p>
    <w:p w14:paraId="42A19AA8">
      <w:pPr>
        <w:shd w:val="clear"/>
        <w:adjustRightInd w:val="0"/>
        <w:snapToGrid w:val="0"/>
        <w:spacing w:line="360" w:lineRule="auto"/>
        <w:ind w:firstLine="840" w:firstLineChars="3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3 投标函；</w:t>
      </w:r>
    </w:p>
    <w:p w14:paraId="7E80D271">
      <w:pPr>
        <w:shd w:val="clear"/>
        <w:adjustRightInd w:val="0"/>
        <w:snapToGrid w:val="0"/>
        <w:spacing w:line="360" w:lineRule="auto"/>
        <w:ind w:firstLine="840" w:firstLineChars="3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4 授权委托书或法定代表人（单位负责人、自然人本人）身份证明；</w:t>
      </w:r>
    </w:p>
    <w:p w14:paraId="132E668A">
      <w:pPr>
        <w:shd w:val="clear"/>
        <w:adjustRightInd w:val="0"/>
        <w:snapToGrid w:val="0"/>
        <w:spacing w:line="360" w:lineRule="auto"/>
        <w:ind w:firstLine="840" w:firstLineChars="3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5 投标人基本情况表；</w:t>
      </w:r>
    </w:p>
    <w:p w14:paraId="4C1F6597">
      <w:pPr>
        <w:shd w:val="clear"/>
        <w:adjustRightInd w:val="0"/>
        <w:snapToGrid w:val="0"/>
        <w:spacing w:line="360" w:lineRule="auto"/>
        <w:ind w:firstLine="840" w:firstLineChars="3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6 距采购人最近或者能为本项目提供最优服务的网点情况表；</w:t>
      </w:r>
    </w:p>
    <w:p w14:paraId="0D4B7ACB">
      <w:pPr>
        <w:shd w:val="clear"/>
        <w:adjustRightInd w:val="0"/>
        <w:snapToGrid w:val="0"/>
        <w:spacing w:line="360" w:lineRule="auto"/>
        <w:ind w:firstLine="840" w:firstLineChars="3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7 评标标准相应的商务技术资料；</w:t>
      </w:r>
    </w:p>
    <w:p w14:paraId="1078ABFF">
      <w:pPr>
        <w:shd w:val="clear"/>
        <w:adjustRightInd w:val="0"/>
        <w:snapToGrid w:val="0"/>
        <w:spacing w:line="360" w:lineRule="auto"/>
        <w:ind w:firstLine="840" w:firstLineChars="3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8 商务响应表；</w:t>
      </w:r>
    </w:p>
    <w:p w14:paraId="58F6B38F">
      <w:pPr>
        <w:shd w:val="clear"/>
        <w:adjustRightInd w:val="0"/>
        <w:snapToGrid w:val="0"/>
        <w:spacing w:line="360" w:lineRule="auto"/>
        <w:ind w:firstLine="840" w:firstLineChars="3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9 服务响应表；</w:t>
      </w:r>
    </w:p>
    <w:p w14:paraId="48E2D575">
      <w:pPr>
        <w:shd w:val="clear"/>
        <w:adjustRightInd w:val="0"/>
        <w:snapToGrid w:val="0"/>
        <w:spacing w:line="360" w:lineRule="auto"/>
        <w:ind w:firstLine="840" w:firstLineChars="3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10 项目实施人员一览表；</w:t>
      </w:r>
    </w:p>
    <w:p w14:paraId="2E37948C">
      <w:pPr>
        <w:shd w:val="clear"/>
        <w:adjustRightInd w:val="0"/>
        <w:snapToGrid w:val="0"/>
        <w:spacing w:line="360" w:lineRule="auto"/>
        <w:ind w:firstLine="840" w:firstLineChars="3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11 同类业绩情况一览表；</w:t>
      </w:r>
    </w:p>
    <w:p w14:paraId="6C32E9DD">
      <w:pPr>
        <w:shd w:val="clear"/>
        <w:adjustRightInd w:val="0"/>
        <w:snapToGrid w:val="0"/>
        <w:spacing w:line="360" w:lineRule="auto"/>
        <w:ind w:firstLine="840" w:firstLineChars="300"/>
        <w:rPr>
          <w:rFonts w:cs="仿宋" w:asciiTheme="majorEastAsia" w:hAnsiTheme="majorEastAsia" w:eastAsiaTheme="majorEastAsia"/>
          <w:color w:val="auto"/>
          <w:sz w:val="28"/>
          <w:szCs w:val="28"/>
          <w:highlight w:val="none"/>
          <w:lang w:val="zh-CN"/>
        </w:rPr>
      </w:pPr>
      <w:r>
        <w:rPr>
          <w:rFonts w:hint="eastAsia" w:cs="仿宋" w:asciiTheme="majorEastAsia" w:hAnsiTheme="majorEastAsia" w:eastAsiaTheme="majorEastAsia"/>
          <w:color w:val="auto"/>
          <w:sz w:val="28"/>
          <w:szCs w:val="28"/>
          <w:highlight w:val="none"/>
        </w:rPr>
        <w:t xml:space="preserve">12 </w:t>
      </w:r>
      <w:r>
        <w:rPr>
          <w:rFonts w:hint="eastAsia" w:cs="仿宋" w:asciiTheme="majorEastAsia" w:hAnsiTheme="majorEastAsia" w:eastAsiaTheme="majorEastAsia"/>
          <w:color w:val="auto"/>
          <w:sz w:val="28"/>
          <w:szCs w:val="28"/>
          <w:highlight w:val="none"/>
          <w:lang w:val="zh-CN"/>
        </w:rPr>
        <w:t>政府采购供应商廉洁自律承诺书；</w:t>
      </w:r>
    </w:p>
    <w:p w14:paraId="467A394D">
      <w:pPr>
        <w:shd w:val="clear"/>
        <w:adjustRightInd w:val="0"/>
        <w:snapToGrid w:val="0"/>
        <w:spacing w:line="360" w:lineRule="auto"/>
        <w:ind w:firstLine="840" w:firstLineChars="3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13 其他资料。</w:t>
      </w:r>
    </w:p>
    <w:p w14:paraId="345E3E06">
      <w:pPr>
        <w:shd w:val="clear"/>
        <w:snapToGrid w:val="0"/>
        <w:spacing w:line="360" w:lineRule="auto"/>
        <w:jc w:val="center"/>
        <w:outlineLvl w:val="0"/>
        <w:rPr>
          <w:rFonts w:cs="仿宋" w:asciiTheme="majorEastAsia" w:hAnsiTheme="majorEastAsia" w:eastAsiaTheme="majorEastAsia"/>
          <w:b/>
          <w:color w:val="auto"/>
          <w:kern w:val="0"/>
          <w:sz w:val="32"/>
          <w:szCs w:val="32"/>
          <w:highlight w:val="none"/>
        </w:rPr>
      </w:pPr>
      <w:r>
        <w:rPr>
          <w:rFonts w:hint="eastAsia" w:cs="仿宋" w:asciiTheme="majorEastAsia" w:hAnsiTheme="majorEastAsia" w:eastAsiaTheme="majorEastAsia"/>
          <w:color w:val="auto"/>
          <w:kern w:val="0"/>
          <w:sz w:val="24"/>
          <w:highlight w:val="none"/>
        </w:rPr>
        <w:br w:type="page"/>
      </w:r>
      <w:r>
        <w:rPr>
          <w:rFonts w:hint="eastAsia" w:cs="仿宋" w:asciiTheme="majorEastAsia" w:hAnsiTheme="majorEastAsia" w:eastAsiaTheme="majorEastAsia"/>
          <w:b/>
          <w:color w:val="auto"/>
          <w:kern w:val="0"/>
          <w:sz w:val="32"/>
          <w:szCs w:val="32"/>
          <w:highlight w:val="none"/>
        </w:rPr>
        <w:t>一、评分索引表</w:t>
      </w:r>
    </w:p>
    <w:p w14:paraId="6BA0BFBA">
      <w:pPr>
        <w:shd w:val="clear"/>
        <w:snapToGrid w:val="0"/>
        <w:spacing w:before="50" w:after="50"/>
        <w:rPr>
          <w:rFonts w:ascii="宋体" w:hAnsi="宋体"/>
          <w:b/>
          <w:color w:val="auto"/>
          <w:sz w:val="24"/>
          <w:highlight w:val="none"/>
        </w:rPr>
      </w:pPr>
    </w:p>
    <w:p w14:paraId="69A57096">
      <w:pPr>
        <w:shd w:val="clear"/>
        <w:snapToGrid w:val="0"/>
        <w:spacing w:before="50" w:after="50" w:line="360" w:lineRule="auto"/>
        <w:rPr>
          <w:rFonts w:ascii="宋体" w:hAnsi="宋体"/>
          <w:b/>
          <w:color w:val="auto"/>
          <w:sz w:val="24"/>
          <w:highlight w:val="none"/>
          <w:u w:val="single"/>
        </w:rPr>
      </w:pPr>
      <w:r>
        <w:rPr>
          <w:rFonts w:hint="eastAsia" w:ascii="宋体" w:hAnsi="宋体"/>
          <w:b/>
          <w:color w:val="auto"/>
          <w:sz w:val="24"/>
          <w:highlight w:val="none"/>
        </w:rPr>
        <w:t>投标单位名称：</w:t>
      </w:r>
    </w:p>
    <w:tbl>
      <w:tblPr>
        <w:tblStyle w:val="21"/>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08"/>
        <w:gridCol w:w="5819"/>
        <w:gridCol w:w="1627"/>
      </w:tblGrid>
      <w:tr w14:paraId="3941EE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6" w:hRule="atLeast"/>
          <w:jc w:val="center"/>
        </w:trPr>
        <w:tc>
          <w:tcPr>
            <w:tcW w:w="1308" w:type="dxa"/>
            <w:tcBorders>
              <w:top w:val="single" w:color="auto" w:sz="4" w:space="0"/>
              <w:left w:val="single" w:color="auto" w:sz="4" w:space="0"/>
              <w:bottom w:val="single" w:color="auto" w:sz="4" w:space="0"/>
              <w:right w:val="single" w:color="auto" w:sz="4" w:space="0"/>
            </w:tcBorders>
            <w:vAlign w:val="center"/>
          </w:tcPr>
          <w:p w14:paraId="0943A792">
            <w:pPr>
              <w:pStyle w:val="17"/>
              <w:shd w:val="clear"/>
              <w:spacing w:after="0"/>
              <w:ind w:left="0" w:leftChars="0" w:firstLine="482"/>
              <w:jc w:val="center"/>
              <w:rPr>
                <w:rFonts w:ascii="宋体"/>
                <w:b/>
                <w:bCs/>
                <w:color w:val="auto"/>
                <w:sz w:val="24"/>
                <w:szCs w:val="24"/>
                <w:highlight w:val="none"/>
              </w:rPr>
            </w:pPr>
            <w:r>
              <w:rPr>
                <w:rFonts w:hint="eastAsia" w:ascii="宋体"/>
                <w:b/>
                <w:bCs/>
                <w:color w:val="auto"/>
                <w:sz w:val="24"/>
                <w:szCs w:val="24"/>
                <w:highlight w:val="none"/>
              </w:rPr>
              <w:t>序号</w:t>
            </w:r>
          </w:p>
        </w:tc>
        <w:tc>
          <w:tcPr>
            <w:tcW w:w="5819" w:type="dxa"/>
            <w:tcBorders>
              <w:top w:val="single" w:color="auto" w:sz="4" w:space="0"/>
              <w:left w:val="single" w:color="auto" w:sz="4" w:space="0"/>
              <w:bottom w:val="single" w:color="auto" w:sz="4" w:space="0"/>
              <w:right w:val="single" w:color="auto" w:sz="4" w:space="0"/>
            </w:tcBorders>
            <w:vAlign w:val="center"/>
          </w:tcPr>
          <w:p w14:paraId="58CEBC1A">
            <w:pPr>
              <w:pStyle w:val="17"/>
              <w:shd w:val="clear"/>
              <w:spacing w:after="0"/>
              <w:ind w:left="0" w:leftChars="0" w:firstLine="482"/>
              <w:jc w:val="center"/>
              <w:rPr>
                <w:rFonts w:ascii="宋体"/>
                <w:b/>
                <w:bCs/>
                <w:color w:val="auto"/>
                <w:sz w:val="24"/>
                <w:szCs w:val="24"/>
                <w:highlight w:val="none"/>
              </w:rPr>
            </w:pPr>
            <w:r>
              <w:rPr>
                <w:rFonts w:hint="eastAsia" w:ascii="宋体"/>
                <w:b/>
                <w:bCs/>
                <w:color w:val="auto"/>
                <w:sz w:val="24"/>
                <w:szCs w:val="24"/>
                <w:highlight w:val="none"/>
              </w:rPr>
              <w:t>评分标准</w:t>
            </w:r>
          </w:p>
        </w:tc>
        <w:tc>
          <w:tcPr>
            <w:tcW w:w="1627" w:type="dxa"/>
            <w:tcBorders>
              <w:top w:val="single" w:color="auto" w:sz="4" w:space="0"/>
              <w:left w:val="single" w:color="auto" w:sz="4" w:space="0"/>
              <w:bottom w:val="single" w:color="auto" w:sz="4" w:space="0"/>
              <w:right w:val="single" w:color="auto" w:sz="4" w:space="0"/>
            </w:tcBorders>
            <w:vAlign w:val="center"/>
          </w:tcPr>
          <w:p w14:paraId="33D475B3">
            <w:pPr>
              <w:pStyle w:val="17"/>
              <w:shd w:val="clear"/>
              <w:spacing w:after="0"/>
              <w:ind w:left="0" w:leftChars="0" w:firstLine="482"/>
              <w:jc w:val="center"/>
              <w:rPr>
                <w:rFonts w:ascii="宋体"/>
                <w:b/>
                <w:bCs/>
                <w:color w:val="auto"/>
                <w:sz w:val="24"/>
                <w:szCs w:val="24"/>
                <w:highlight w:val="none"/>
              </w:rPr>
            </w:pPr>
            <w:r>
              <w:rPr>
                <w:rFonts w:hint="eastAsia" w:ascii="宋体"/>
                <w:b/>
                <w:bCs/>
                <w:color w:val="auto"/>
                <w:sz w:val="24"/>
                <w:szCs w:val="24"/>
                <w:highlight w:val="none"/>
              </w:rPr>
              <w:t>页码</w:t>
            </w:r>
          </w:p>
        </w:tc>
      </w:tr>
      <w:tr w14:paraId="02C5FC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top w:val="single" w:color="auto" w:sz="4" w:space="0"/>
              <w:left w:val="single" w:color="auto" w:sz="4" w:space="0"/>
              <w:bottom w:val="single" w:color="auto" w:sz="4" w:space="0"/>
              <w:right w:val="single" w:color="auto" w:sz="4" w:space="0"/>
            </w:tcBorders>
            <w:vAlign w:val="center"/>
          </w:tcPr>
          <w:p w14:paraId="7B1026EB">
            <w:pPr>
              <w:widowControl/>
              <w:shd w:val="clear"/>
              <w:jc w:val="center"/>
              <w:rPr>
                <w:rFonts w:ascii="宋体" w:hAnsi="宋体"/>
                <w:color w:val="auto"/>
                <w:sz w:val="24"/>
                <w:highlight w:val="none"/>
              </w:rPr>
            </w:pPr>
            <w:r>
              <w:rPr>
                <w:rFonts w:hint="eastAsia" w:ascii="宋体" w:hAnsi="宋体"/>
                <w:color w:val="auto"/>
                <w:sz w:val="24"/>
                <w:highlight w:val="none"/>
              </w:rPr>
              <w:t>1</w:t>
            </w:r>
          </w:p>
        </w:tc>
        <w:tc>
          <w:tcPr>
            <w:tcW w:w="5819" w:type="dxa"/>
            <w:tcBorders>
              <w:top w:val="single" w:color="auto" w:sz="4" w:space="0"/>
              <w:left w:val="single" w:color="auto" w:sz="4" w:space="0"/>
              <w:right w:val="single" w:color="auto" w:sz="4" w:space="0"/>
            </w:tcBorders>
            <w:vAlign w:val="center"/>
          </w:tcPr>
          <w:p w14:paraId="1EEDA081">
            <w:pPr>
              <w:shd w:val="clear"/>
              <w:jc w:val="center"/>
              <w:rPr>
                <w:rFonts w:ascii="宋体" w:hAnsi="宋体"/>
                <w:color w:val="auto"/>
                <w:sz w:val="24"/>
                <w:highlight w:val="none"/>
              </w:rPr>
            </w:pPr>
            <w:r>
              <w:rPr>
                <w:rFonts w:hint="eastAsia" w:ascii="宋体" w:hAnsi="宋体"/>
                <w:color w:val="auto"/>
                <w:sz w:val="24"/>
                <w:highlight w:val="none"/>
              </w:rPr>
              <w:t>（报价除外）</w:t>
            </w:r>
          </w:p>
        </w:tc>
        <w:tc>
          <w:tcPr>
            <w:tcW w:w="1627" w:type="dxa"/>
            <w:tcBorders>
              <w:top w:val="single" w:color="auto" w:sz="4" w:space="0"/>
              <w:left w:val="single" w:color="auto" w:sz="4" w:space="0"/>
              <w:right w:val="single" w:color="auto" w:sz="4" w:space="0"/>
            </w:tcBorders>
            <w:vAlign w:val="center"/>
          </w:tcPr>
          <w:p w14:paraId="6801E4AE">
            <w:pPr>
              <w:shd w:val="clear"/>
              <w:jc w:val="center"/>
              <w:rPr>
                <w:rFonts w:ascii="宋体" w:hAnsi="宋体"/>
                <w:bCs/>
                <w:color w:val="auto"/>
                <w:sz w:val="24"/>
                <w:highlight w:val="none"/>
              </w:rPr>
            </w:pPr>
          </w:p>
        </w:tc>
      </w:tr>
      <w:tr w14:paraId="6BA478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top w:val="single" w:color="auto" w:sz="4" w:space="0"/>
              <w:left w:val="single" w:color="auto" w:sz="4" w:space="0"/>
              <w:bottom w:val="single" w:color="auto" w:sz="4" w:space="0"/>
              <w:right w:val="single" w:color="auto" w:sz="4" w:space="0"/>
            </w:tcBorders>
            <w:vAlign w:val="center"/>
          </w:tcPr>
          <w:p w14:paraId="08ABCFEF">
            <w:pPr>
              <w:widowControl/>
              <w:shd w:val="clear"/>
              <w:jc w:val="center"/>
              <w:rPr>
                <w:rFonts w:ascii="宋体" w:hAnsi="宋体"/>
                <w:color w:val="auto"/>
                <w:sz w:val="24"/>
                <w:highlight w:val="none"/>
              </w:rPr>
            </w:pPr>
            <w:r>
              <w:rPr>
                <w:rFonts w:hint="eastAsia" w:ascii="宋体" w:hAnsi="宋体"/>
                <w:color w:val="auto"/>
                <w:sz w:val="24"/>
                <w:highlight w:val="none"/>
              </w:rPr>
              <w:t>2</w:t>
            </w:r>
          </w:p>
        </w:tc>
        <w:tc>
          <w:tcPr>
            <w:tcW w:w="5819" w:type="dxa"/>
            <w:tcBorders>
              <w:top w:val="single" w:color="auto" w:sz="4" w:space="0"/>
              <w:left w:val="single" w:color="auto" w:sz="4" w:space="0"/>
              <w:right w:val="single" w:color="auto" w:sz="4" w:space="0"/>
            </w:tcBorders>
            <w:vAlign w:val="center"/>
          </w:tcPr>
          <w:p w14:paraId="33E6EEEA">
            <w:pPr>
              <w:widowControl/>
              <w:shd w:val="clear"/>
              <w:jc w:val="center"/>
              <w:rPr>
                <w:rFonts w:ascii="宋体" w:hAnsi="宋体" w:cs="宋体"/>
                <w:color w:val="auto"/>
                <w:kern w:val="0"/>
                <w:sz w:val="24"/>
                <w:highlight w:val="none"/>
              </w:rPr>
            </w:pPr>
          </w:p>
        </w:tc>
        <w:tc>
          <w:tcPr>
            <w:tcW w:w="1627" w:type="dxa"/>
            <w:tcBorders>
              <w:top w:val="single" w:color="auto" w:sz="4" w:space="0"/>
              <w:left w:val="single" w:color="auto" w:sz="4" w:space="0"/>
              <w:right w:val="single" w:color="auto" w:sz="4" w:space="0"/>
            </w:tcBorders>
            <w:vAlign w:val="center"/>
          </w:tcPr>
          <w:p w14:paraId="1D36FFAC">
            <w:pPr>
              <w:shd w:val="clear"/>
              <w:jc w:val="center"/>
              <w:rPr>
                <w:rFonts w:ascii="宋体" w:hAnsi="宋体"/>
                <w:bCs/>
                <w:color w:val="auto"/>
                <w:sz w:val="24"/>
                <w:highlight w:val="none"/>
              </w:rPr>
            </w:pPr>
          </w:p>
        </w:tc>
      </w:tr>
      <w:tr w14:paraId="49688D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left w:val="single" w:color="auto" w:sz="4" w:space="0"/>
              <w:bottom w:val="single" w:color="auto" w:sz="4" w:space="0"/>
              <w:right w:val="single" w:color="auto" w:sz="4" w:space="0"/>
            </w:tcBorders>
            <w:vAlign w:val="center"/>
          </w:tcPr>
          <w:p w14:paraId="1A247BEE">
            <w:pPr>
              <w:widowControl/>
              <w:shd w:val="clear"/>
              <w:rPr>
                <w:rFonts w:ascii="宋体" w:hAnsi="宋体"/>
                <w:color w:val="auto"/>
                <w:sz w:val="24"/>
                <w:highlight w:val="none"/>
              </w:rPr>
            </w:pPr>
          </w:p>
        </w:tc>
        <w:tc>
          <w:tcPr>
            <w:tcW w:w="5819" w:type="dxa"/>
            <w:tcBorders>
              <w:top w:val="single" w:color="auto" w:sz="4" w:space="0"/>
              <w:left w:val="single" w:color="auto" w:sz="4" w:space="0"/>
              <w:bottom w:val="single" w:color="auto" w:sz="4" w:space="0"/>
              <w:right w:val="single" w:color="auto" w:sz="4" w:space="0"/>
            </w:tcBorders>
            <w:vAlign w:val="center"/>
          </w:tcPr>
          <w:p w14:paraId="6768BCC6">
            <w:pPr>
              <w:shd w:val="clear"/>
              <w:ind w:left="55" w:leftChars="26"/>
              <w:rPr>
                <w:rFonts w:ascii="宋体" w:hAnsi="宋体" w:cs="宋体"/>
                <w:color w:val="auto"/>
                <w:kern w:val="0"/>
                <w:sz w:val="24"/>
                <w:highlight w:val="none"/>
              </w:rPr>
            </w:pPr>
          </w:p>
        </w:tc>
        <w:tc>
          <w:tcPr>
            <w:tcW w:w="1627" w:type="dxa"/>
            <w:tcBorders>
              <w:top w:val="single" w:color="auto" w:sz="4" w:space="0"/>
              <w:left w:val="single" w:color="auto" w:sz="4" w:space="0"/>
              <w:bottom w:val="single" w:color="auto" w:sz="4" w:space="0"/>
              <w:right w:val="single" w:color="auto" w:sz="4" w:space="0"/>
            </w:tcBorders>
            <w:vAlign w:val="center"/>
          </w:tcPr>
          <w:p w14:paraId="33BF0EE3">
            <w:pPr>
              <w:shd w:val="clear"/>
              <w:jc w:val="center"/>
              <w:rPr>
                <w:rFonts w:ascii="宋体" w:hAnsi="宋体"/>
                <w:bCs/>
                <w:color w:val="auto"/>
                <w:sz w:val="24"/>
                <w:highlight w:val="none"/>
              </w:rPr>
            </w:pPr>
          </w:p>
        </w:tc>
      </w:tr>
      <w:tr w14:paraId="66446E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top w:val="single" w:color="auto" w:sz="4" w:space="0"/>
              <w:left w:val="single" w:color="auto" w:sz="4" w:space="0"/>
              <w:bottom w:val="single" w:color="auto" w:sz="4" w:space="0"/>
              <w:right w:val="single" w:color="auto" w:sz="4" w:space="0"/>
            </w:tcBorders>
            <w:vAlign w:val="center"/>
          </w:tcPr>
          <w:p w14:paraId="6CDD8EA1">
            <w:pPr>
              <w:widowControl/>
              <w:shd w:val="clear"/>
              <w:rPr>
                <w:rFonts w:ascii="宋体" w:hAnsi="宋体"/>
                <w:b/>
                <w:color w:val="auto"/>
                <w:sz w:val="24"/>
                <w:highlight w:val="none"/>
              </w:rPr>
            </w:pPr>
          </w:p>
        </w:tc>
        <w:tc>
          <w:tcPr>
            <w:tcW w:w="5819" w:type="dxa"/>
            <w:tcBorders>
              <w:top w:val="single" w:color="auto" w:sz="4" w:space="0"/>
              <w:left w:val="single" w:color="auto" w:sz="4" w:space="0"/>
              <w:bottom w:val="single" w:color="auto" w:sz="4" w:space="0"/>
              <w:right w:val="single" w:color="auto" w:sz="4" w:space="0"/>
            </w:tcBorders>
            <w:vAlign w:val="center"/>
          </w:tcPr>
          <w:p w14:paraId="42FFE3B7">
            <w:pPr>
              <w:pStyle w:val="17"/>
              <w:shd w:val="clear"/>
              <w:ind w:firstLine="422"/>
              <w:rPr>
                <w:rFonts w:ascii="宋体"/>
                <w:b/>
                <w:color w:val="auto"/>
                <w:highlight w:val="none"/>
              </w:rPr>
            </w:pPr>
          </w:p>
        </w:tc>
        <w:tc>
          <w:tcPr>
            <w:tcW w:w="1627" w:type="dxa"/>
            <w:tcBorders>
              <w:top w:val="single" w:color="auto" w:sz="4" w:space="0"/>
              <w:left w:val="single" w:color="auto" w:sz="4" w:space="0"/>
              <w:bottom w:val="single" w:color="auto" w:sz="4" w:space="0"/>
              <w:right w:val="single" w:color="auto" w:sz="4" w:space="0"/>
            </w:tcBorders>
            <w:vAlign w:val="center"/>
          </w:tcPr>
          <w:p w14:paraId="3A50BA63">
            <w:pPr>
              <w:pStyle w:val="17"/>
              <w:shd w:val="clear"/>
              <w:ind w:firstLine="422"/>
              <w:jc w:val="center"/>
              <w:rPr>
                <w:rFonts w:ascii="宋体"/>
                <w:b/>
                <w:color w:val="auto"/>
                <w:highlight w:val="none"/>
              </w:rPr>
            </w:pPr>
          </w:p>
        </w:tc>
      </w:tr>
      <w:tr w14:paraId="0727A6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top w:val="single" w:color="auto" w:sz="4" w:space="0"/>
              <w:left w:val="single" w:color="auto" w:sz="4" w:space="0"/>
              <w:bottom w:val="single" w:color="auto" w:sz="4" w:space="0"/>
              <w:right w:val="single" w:color="auto" w:sz="4" w:space="0"/>
            </w:tcBorders>
            <w:vAlign w:val="center"/>
          </w:tcPr>
          <w:p w14:paraId="44CFB528">
            <w:pPr>
              <w:widowControl/>
              <w:shd w:val="clear"/>
              <w:rPr>
                <w:rFonts w:ascii="宋体" w:hAnsi="宋体"/>
                <w:color w:val="auto"/>
                <w:sz w:val="24"/>
                <w:highlight w:val="none"/>
              </w:rPr>
            </w:pPr>
          </w:p>
        </w:tc>
        <w:tc>
          <w:tcPr>
            <w:tcW w:w="5819" w:type="dxa"/>
            <w:tcBorders>
              <w:top w:val="single" w:color="auto" w:sz="4" w:space="0"/>
              <w:left w:val="single" w:color="auto" w:sz="4" w:space="0"/>
              <w:bottom w:val="single" w:color="auto" w:sz="4" w:space="0"/>
              <w:right w:val="single" w:color="auto" w:sz="4" w:space="0"/>
            </w:tcBorders>
            <w:vAlign w:val="center"/>
          </w:tcPr>
          <w:p w14:paraId="66B2CFC6">
            <w:pPr>
              <w:shd w:val="clear"/>
              <w:spacing w:line="320" w:lineRule="exact"/>
              <w:rPr>
                <w:rFonts w:ascii="宋体" w:hAnsi="宋体"/>
                <w:color w:val="auto"/>
                <w:kern w:val="0"/>
                <w:sz w:val="24"/>
                <w:highlight w:val="none"/>
              </w:rPr>
            </w:pPr>
          </w:p>
        </w:tc>
        <w:tc>
          <w:tcPr>
            <w:tcW w:w="1627" w:type="dxa"/>
            <w:tcBorders>
              <w:top w:val="single" w:color="auto" w:sz="4" w:space="0"/>
              <w:left w:val="single" w:color="auto" w:sz="4" w:space="0"/>
              <w:bottom w:val="single" w:color="auto" w:sz="4" w:space="0"/>
              <w:right w:val="single" w:color="auto" w:sz="4" w:space="0"/>
            </w:tcBorders>
            <w:vAlign w:val="center"/>
          </w:tcPr>
          <w:p w14:paraId="38CEE9FC">
            <w:pPr>
              <w:shd w:val="clear"/>
              <w:jc w:val="center"/>
              <w:rPr>
                <w:rFonts w:ascii="宋体" w:hAnsi="宋体"/>
                <w:bCs/>
                <w:color w:val="auto"/>
                <w:sz w:val="24"/>
                <w:highlight w:val="none"/>
              </w:rPr>
            </w:pPr>
          </w:p>
        </w:tc>
      </w:tr>
      <w:tr w14:paraId="790EDA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top w:val="single" w:color="auto" w:sz="4" w:space="0"/>
              <w:left w:val="single" w:color="auto" w:sz="4" w:space="0"/>
              <w:bottom w:val="single" w:color="auto" w:sz="4" w:space="0"/>
              <w:right w:val="single" w:color="auto" w:sz="4" w:space="0"/>
            </w:tcBorders>
            <w:vAlign w:val="center"/>
          </w:tcPr>
          <w:p w14:paraId="7190BA0A">
            <w:pPr>
              <w:widowControl/>
              <w:shd w:val="clear"/>
              <w:rPr>
                <w:rFonts w:ascii="宋体" w:hAnsi="宋体"/>
                <w:color w:val="auto"/>
                <w:sz w:val="24"/>
                <w:highlight w:val="none"/>
              </w:rPr>
            </w:pPr>
          </w:p>
        </w:tc>
        <w:tc>
          <w:tcPr>
            <w:tcW w:w="5819" w:type="dxa"/>
            <w:tcBorders>
              <w:top w:val="single" w:color="auto" w:sz="4" w:space="0"/>
              <w:left w:val="single" w:color="auto" w:sz="4" w:space="0"/>
              <w:bottom w:val="single" w:color="auto" w:sz="4" w:space="0"/>
              <w:right w:val="single" w:color="auto" w:sz="4" w:space="0"/>
            </w:tcBorders>
            <w:vAlign w:val="center"/>
          </w:tcPr>
          <w:p w14:paraId="14DE45B6">
            <w:pPr>
              <w:shd w:val="clear"/>
              <w:rPr>
                <w:rFonts w:ascii="宋体" w:hAnsi="宋体"/>
                <w:color w:val="auto"/>
                <w:sz w:val="24"/>
                <w:highlight w:val="none"/>
              </w:rPr>
            </w:pPr>
          </w:p>
        </w:tc>
        <w:tc>
          <w:tcPr>
            <w:tcW w:w="1627" w:type="dxa"/>
            <w:tcBorders>
              <w:top w:val="single" w:color="auto" w:sz="4" w:space="0"/>
              <w:left w:val="single" w:color="auto" w:sz="4" w:space="0"/>
              <w:bottom w:val="single" w:color="auto" w:sz="4" w:space="0"/>
              <w:right w:val="single" w:color="auto" w:sz="4" w:space="0"/>
            </w:tcBorders>
            <w:vAlign w:val="center"/>
          </w:tcPr>
          <w:p w14:paraId="43FC8DD1">
            <w:pPr>
              <w:pStyle w:val="17"/>
              <w:shd w:val="clear"/>
              <w:ind w:firstLine="420"/>
              <w:jc w:val="center"/>
              <w:rPr>
                <w:rFonts w:ascii="宋体"/>
                <w:color w:val="auto"/>
                <w:highlight w:val="none"/>
              </w:rPr>
            </w:pPr>
          </w:p>
        </w:tc>
      </w:tr>
      <w:tr w14:paraId="25005C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top w:val="single" w:color="auto" w:sz="4" w:space="0"/>
              <w:left w:val="single" w:color="auto" w:sz="4" w:space="0"/>
              <w:bottom w:val="single" w:color="auto" w:sz="4" w:space="0"/>
              <w:right w:val="single" w:color="auto" w:sz="4" w:space="0"/>
            </w:tcBorders>
            <w:vAlign w:val="center"/>
          </w:tcPr>
          <w:p w14:paraId="032E55AD">
            <w:pPr>
              <w:widowControl/>
              <w:shd w:val="clear"/>
              <w:rPr>
                <w:rFonts w:ascii="宋体" w:hAnsi="宋体"/>
                <w:color w:val="auto"/>
                <w:sz w:val="24"/>
                <w:highlight w:val="none"/>
              </w:rPr>
            </w:pPr>
          </w:p>
        </w:tc>
        <w:tc>
          <w:tcPr>
            <w:tcW w:w="5819" w:type="dxa"/>
            <w:tcBorders>
              <w:top w:val="single" w:color="auto" w:sz="4" w:space="0"/>
              <w:left w:val="single" w:color="auto" w:sz="4" w:space="0"/>
              <w:bottom w:val="single" w:color="auto" w:sz="4" w:space="0"/>
              <w:right w:val="single" w:color="auto" w:sz="4" w:space="0"/>
            </w:tcBorders>
            <w:vAlign w:val="center"/>
          </w:tcPr>
          <w:p w14:paraId="02431423">
            <w:pPr>
              <w:shd w:val="clear"/>
              <w:rPr>
                <w:rFonts w:ascii="宋体" w:hAnsi="宋体"/>
                <w:color w:val="auto"/>
                <w:sz w:val="24"/>
                <w:highlight w:val="none"/>
              </w:rPr>
            </w:pPr>
          </w:p>
        </w:tc>
        <w:tc>
          <w:tcPr>
            <w:tcW w:w="1627" w:type="dxa"/>
            <w:tcBorders>
              <w:top w:val="single" w:color="auto" w:sz="4" w:space="0"/>
              <w:left w:val="single" w:color="auto" w:sz="4" w:space="0"/>
              <w:bottom w:val="single" w:color="auto" w:sz="4" w:space="0"/>
              <w:right w:val="single" w:color="auto" w:sz="4" w:space="0"/>
            </w:tcBorders>
            <w:vAlign w:val="center"/>
          </w:tcPr>
          <w:p w14:paraId="5ADAA6C9">
            <w:pPr>
              <w:pStyle w:val="17"/>
              <w:shd w:val="clear"/>
              <w:ind w:firstLine="420"/>
              <w:jc w:val="center"/>
              <w:rPr>
                <w:rFonts w:ascii="宋体"/>
                <w:color w:val="auto"/>
                <w:highlight w:val="none"/>
              </w:rPr>
            </w:pPr>
          </w:p>
        </w:tc>
      </w:tr>
      <w:tr w14:paraId="67B118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left w:val="single" w:color="auto" w:sz="4" w:space="0"/>
              <w:bottom w:val="single" w:color="auto" w:sz="4" w:space="0"/>
              <w:right w:val="single" w:color="auto" w:sz="4" w:space="0"/>
            </w:tcBorders>
            <w:vAlign w:val="center"/>
          </w:tcPr>
          <w:p w14:paraId="55EB5F17">
            <w:pPr>
              <w:widowControl/>
              <w:shd w:val="clear"/>
              <w:rPr>
                <w:rFonts w:ascii="宋体" w:hAnsi="宋体"/>
                <w:color w:val="auto"/>
                <w:sz w:val="24"/>
                <w:highlight w:val="none"/>
              </w:rPr>
            </w:pPr>
          </w:p>
        </w:tc>
        <w:tc>
          <w:tcPr>
            <w:tcW w:w="5819" w:type="dxa"/>
            <w:tcBorders>
              <w:top w:val="single" w:color="auto" w:sz="4" w:space="0"/>
              <w:left w:val="single" w:color="auto" w:sz="4" w:space="0"/>
              <w:bottom w:val="single" w:color="auto" w:sz="4" w:space="0"/>
              <w:right w:val="single" w:color="auto" w:sz="4" w:space="0"/>
            </w:tcBorders>
            <w:vAlign w:val="center"/>
          </w:tcPr>
          <w:p w14:paraId="20680E1D">
            <w:pPr>
              <w:pStyle w:val="17"/>
              <w:shd w:val="clear"/>
              <w:ind w:firstLine="420"/>
              <w:rPr>
                <w:rFonts w:ascii="宋体"/>
                <w:color w:val="auto"/>
                <w:highlight w:val="none"/>
              </w:rPr>
            </w:pPr>
          </w:p>
        </w:tc>
        <w:tc>
          <w:tcPr>
            <w:tcW w:w="1627" w:type="dxa"/>
            <w:tcBorders>
              <w:top w:val="single" w:color="auto" w:sz="4" w:space="0"/>
              <w:left w:val="single" w:color="auto" w:sz="4" w:space="0"/>
              <w:bottom w:val="single" w:color="auto" w:sz="4" w:space="0"/>
              <w:right w:val="single" w:color="auto" w:sz="4" w:space="0"/>
            </w:tcBorders>
            <w:vAlign w:val="center"/>
          </w:tcPr>
          <w:p w14:paraId="17AA9AE3">
            <w:pPr>
              <w:widowControl/>
              <w:shd w:val="clear"/>
              <w:jc w:val="center"/>
              <w:rPr>
                <w:rFonts w:ascii="宋体" w:hAnsi="宋体"/>
                <w:b/>
                <w:color w:val="auto"/>
                <w:sz w:val="24"/>
                <w:highlight w:val="none"/>
              </w:rPr>
            </w:pPr>
          </w:p>
        </w:tc>
      </w:tr>
      <w:tr w14:paraId="3A64AE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left w:val="single" w:color="auto" w:sz="4" w:space="0"/>
              <w:bottom w:val="single" w:color="auto" w:sz="4" w:space="0"/>
              <w:right w:val="single" w:color="auto" w:sz="4" w:space="0"/>
            </w:tcBorders>
            <w:vAlign w:val="center"/>
          </w:tcPr>
          <w:p w14:paraId="2374AEF0">
            <w:pPr>
              <w:widowControl/>
              <w:shd w:val="clear"/>
              <w:rPr>
                <w:rFonts w:ascii="宋体" w:hAnsi="宋体"/>
                <w:color w:val="auto"/>
                <w:sz w:val="24"/>
                <w:highlight w:val="none"/>
              </w:rPr>
            </w:pPr>
          </w:p>
        </w:tc>
        <w:tc>
          <w:tcPr>
            <w:tcW w:w="5819" w:type="dxa"/>
            <w:tcBorders>
              <w:top w:val="single" w:color="auto" w:sz="4" w:space="0"/>
              <w:left w:val="single" w:color="auto" w:sz="4" w:space="0"/>
              <w:bottom w:val="single" w:color="auto" w:sz="4" w:space="0"/>
              <w:right w:val="single" w:color="auto" w:sz="4" w:space="0"/>
            </w:tcBorders>
            <w:vAlign w:val="center"/>
          </w:tcPr>
          <w:p w14:paraId="4B9DBC4F">
            <w:pPr>
              <w:shd w:val="clear"/>
              <w:rPr>
                <w:rFonts w:ascii="宋体" w:hAnsi="宋体"/>
                <w:bCs/>
                <w:color w:val="auto"/>
                <w:sz w:val="24"/>
                <w:highlight w:val="none"/>
              </w:rPr>
            </w:pPr>
          </w:p>
        </w:tc>
        <w:tc>
          <w:tcPr>
            <w:tcW w:w="1627" w:type="dxa"/>
            <w:tcBorders>
              <w:top w:val="single" w:color="auto" w:sz="4" w:space="0"/>
              <w:left w:val="single" w:color="auto" w:sz="4" w:space="0"/>
              <w:bottom w:val="single" w:color="auto" w:sz="4" w:space="0"/>
              <w:right w:val="single" w:color="auto" w:sz="4" w:space="0"/>
            </w:tcBorders>
            <w:vAlign w:val="center"/>
          </w:tcPr>
          <w:p w14:paraId="235F19D2">
            <w:pPr>
              <w:shd w:val="clear"/>
              <w:jc w:val="center"/>
              <w:rPr>
                <w:rFonts w:ascii="宋体" w:hAnsi="宋体"/>
                <w:bCs/>
                <w:color w:val="auto"/>
                <w:sz w:val="24"/>
                <w:highlight w:val="none"/>
              </w:rPr>
            </w:pPr>
          </w:p>
        </w:tc>
      </w:tr>
      <w:tr w14:paraId="6BF7C0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top w:val="single" w:color="auto" w:sz="4" w:space="0"/>
              <w:left w:val="single" w:color="auto" w:sz="4" w:space="0"/>
              <w:bottom w:val="single" w:color="auto" w:sz="4" w:space="0"/>
              <w:right w:val="single" w:color="auto" w:sz="4" w:space="0"/>
            </w:tcBorders>
            <w:vAlign w:val="center"/>
          </w:tcPr>
          <w:p w14:paraId="1A26717A">
            <w:pPr>
              <w:widowControl/>
              <w:shd w:val="clear"/>
              <w:rPr>
                <w:rFonts w:ascii="宋体" w:hAnsi="宋体"/>
                <w:color w:val="auto"/>
                <w:sz w:val="24"/>
                <w:highlight w:val="none"/>
              </w:rPr>
            </w:pPr>
          </w:p>
        </w:tc>
        <w:tc>
          <w:tcPr>
            <w:tcW w:w="5819" w:type="dxa"/>
            <w:tcBorders>
              <w:top w:val="single" w:color="auto" w:sz="4" w:space="0"/>
              <w:left w:val="single" w:color="auto" w:sz="4" w:space="0"/>
              <w:bottom w:val="single" w:color="auto" w:sz="4" w:space="0"/>
              <w:right w:val="single" w:color="auto" w:sz="4" w:space="0"/>
            </w:tcBorders>
            <w:vAlign w:val="center"/>
          </w:tcPr>
          <w:p w14:paraId="19AAF797">
            <w:pPr>
              <w:shd w:val="clear"/>
              <w:rPr>
                <w:rFonts w:ascii="宋体" w:hAnsi="宋体"/>
                <w:bCs/>
                <w:color w:val="auto"/>
                <w:sz w:val="24"/>
                <w:highlight w:val="none"/>
              </w:rPr>
            </w:pPr>
          </w:p>
        </w:tc>
        <w:tc>
          <w:tcPr>
            <w:tcW w:w="1627" w:type="dxa"/>
            <w:tcBorders>
              <w:top w:val="single" w:color="auto" w:sz="4" w:space="0"/>
              <w:left w:val="single" w:color="auto" w:sz="4" w:space="0"/>
              <w:bottom w:val="single" w:color="auto" w:sz="4" w:space="0"/>
              <w:right w:val="single" w:color="auto" w:sz="4" w:space="0"/>
            </w:tcBorders>
            <w:vAlign w:val="center"/>
          </w:tcPr>
          <w:p w14:paraId="5EF9FFF5">
            <w:pPr>
              <w:shd w:val="clear"/>
              <w:jc w:val="center"/>
              <w:rPr>
                <w:rFonts w:ascii="宋体" w:hAnsi="宋体"/>
                <w:bCs/>
                <w:color w:val="auto"/>
                <w:sz w:val="24"/>
                <w:highlight w:val="none"/>
              </w:rPr>
            </w:pPr>
          </w:p>
        </w:tc>
      </w:tr>
      <w:tr w14:paraId="50F140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jc w:val="center"/>
        </w:trPr>
        <w:tc>
          <w:tcPr>
            <w:tcW w:w="1308" w:type="dxa"/>
            <w:tcBorders>
              <w:top w:val="single" w:color="auto" w:sz="4" w:space="0"/>
              <w:left w:val="single" w:color="auto" w:sz="4" w:space="0"/>
              <w:bottom w:val="single" w:color="auto" w:sz="4" w:space="0"/>
              <w:right w:val="single" w:color="auto" w:sz="4" w:space="0"/>
            </w:tcBorders>
            <w:vAlign w:val="center"/>
          </w:tcPr>
          <w:p w14:paraId="70672EBB">
            <w:pPr>
              <w:widowControl/>
              <w:shd w:val="clear"/>
              <w:rPr>
                <w:rFonts w:ascii="宋体" w:hAnsi="宋体"/>
                <w:color w:val="auto"/>
                <w:sz w:val="24"/>
                <w:highlight w:val="none"/>
              </w:rPr>
            </w:pPr>
          </w:p>
        </w:tc>
        <w:tc>
          <w:tcPr>
            <w:tcW w:w="5819" w:type="dxa"/>
            <w:tcBorders>
              <w:top w:val="single" w:color="auto" w:sz="4" w:space="0"/>
              <w:left w:val="single" w:color="auto" w:sz="4" w:space="0"/>
              <w:bottom w:val="single" w:color="auto" w:sz="4" w:space="0"/>
              <w:right w:val="single" w:color="auto" w:sz="4" w:space="0"/>
            </w:tcBorders>
            <w:vAlign w:val="center"/>
          </w:tcPr>
          <w:p w14:paraId="3FC431E4">
            <w:pPr>
              <w:shd w:val="clear"/>
              <w:rPr>
                <w:rFonts w:ascii="宋体" w:hAnsi="宋体"/>
                <w:bCs/>
                <w:color w:val="auto"/>
                <w:sz w:val="24"/>
                <w:highlight w:val="none"/>
              </w:rPr>
            </w:pPr>
          </w:p>
        </w:tc>
        <w:tc>
          <w:tcPr>
            <w:tcW w:w="1627" w:type="dxa"/>
            <w:tcBorders>
              <w:top w:val="single" w:color="auto" w:sz="4" w:space="0"/>
              <w:left w:val="single" w:color="auto" w:sz="4" w:space="0"/>
              <w:right w:val="single" w:color="auto" w:sz="4" w:space="0"/>
            </w:tcBorders>
            <w:vAlign w:val="center"/>
          </w:tcPr>
          <w:p w14:paraId="000E528A">
            <w:pPr>
              <w:shd w:val="clear"/>
              <w:jc w:val="center"/>
              <w:rPr>
                <w:rFonts w:ascii="宋体" w:hAnsi="宋体"/>
                <w:bCs/>
                <w:color w:val="auto"/>
                <w:sz w:val="24"/>
                <w:highlight w:val="none"/>
              </w:rPr>
            </w:pPr>
          </w:p>
        </w:tc>
      </w:tr>
    </w:tbl>
    <w:p w14:paraId="451DDE88">
      <w:pPr>
        <w:shd w:val="clear"/>
        <w:snapToGrid w:val="0"/>
        <w:spacing w:line="360" w:lineRule="auto"/>
        <w:outlineLvl w:val="0"/>
        <w:rPr>
          <w:rFonts w:cs="仿宋" w:asciiTheme="majorEastAsia" w:hAnsiTheme="majorEastAsia" w:eastAsiaTheme="majorEastAsia"/>
          <w:b/>
          <w:color w:val="auto"/>
          <w:kern w:val="0"/>
          <w:sz w:val="32"/>
          <w:szCs w:val="32"/>
          <w:highlight w:val="none"/>
        </w:rPr>
      </w:pPr>
      <w:r>
        <w:rPr>
          <w:rFonts w:cs="仿宋" w:asciiTheme="majorEastAsia" w:hAnsiTheme="majorEastAsia" w:eastAsiaTheme="majorEastAsia"/>
          <w:b/>
          <w:color w:val="auto"/>
          <w:kern w:val="0"/>
          <w:sz w:val="32"/>
          <w:szCs w:val="32"/>
          <w:highlight w:val="none"/>
        </w:rPr>
        <w:br w:type="page"/>
      </w:r>
    </w:p>
    <w:p w14:paraId="432A0BC6">
      <w:pPr>
        <w:shd w:val="clear"/>
        <w:snapToGrid w:val="0"/>
        <w:spacing w:line="360" w:lineRule="auto"/>
        <w:jc w:val="center"/>
        <w:outlineLvl w:val="0"/>
        <w:rPr>
          <w:rFonts w:cs="仿宋" w:asciiTheme="majorEastAsia" w:hAnsiTheme="majorEastAsia" w:eastAsiaTheme="majorEastAsia"/>
          <w:b/>
          <w:color w:val="auto"/>
          <w:kern w:val="0"/>
          <w:sz w:val="32"/>
          <w:szCs w:val="32"/>
          <w:highlight w:val="none"/>
        </w:rPr>
      </w:pPr>
      <w:r>
        <w:rPr>
          <w:rFonts w:hint="eastAsia" w:cs="仿宋" w:asciiTheme="majorEastAsia" w:hAnsiTheme="majorEastAsia" w:eastAsiaTheme="majorEastAsia"/>
          <w:b/>
          <w:color w:val="auto"/>
          <w:kern w:val="0"/>
          <w:sz w:val="32"/>
          <w:szCs w:val="32"/>
          <w:highlight w:val="none"/>
        </w:rPr>
        <w:t>二、符合性自查表</w:t>
      </w:r>
    </w:p>
    <w:tbl>
      <w:tblPr>
        <w:tblStyle w:val="21"/>
        <w:tblW w:w="101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8"/>
        <w:gridCol w:w="4103"/>
        <w:gridCol w:w="2518"/>
        <w:gridCol w:w="1185"/>
        <w:gridCol w:w="1785"/>
      </w:tblGrid>
      <w:tr w14:paraId="02DD3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4" w:hRule="atLeast"/>
          <w:jc w:val="center"/>
        </w:trPr>
        <w:tc>
          <w:tcPr>
            <w:tcW w:w="608" w:type="dxa"/>
            <w:vAlign w:val="center"/>
          </w:tcPr>
          <w:p w14:paraId="145E2F32">
            <w:pPr>
              <w:shd w:val="clear"/>
              <w:snapToGrid w:val="0"/>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序号</w:t>
            </w:r>
          </w:p>
        </w:tc>
        <w:tc>
          <w:tcPr>
            <w:tcW w:w="4103" w:type="dxa"/>
            <w:vAlign w:val="center"/>
          </w:tcPr>
          <w:p w14:paraId="7FEDFE98">
            <w:pPr>
              <w:shd w:val="clear"/>
              <w:snapToGrid w:val="0"/>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实质性要求</w:t>
            </w:r>
          </w:p>
        </w:tc>
        <w:tc>
          <w:tcPr>
            <w:tcW w:w="2518" w:type="dxa"/>
            <w:vAlign w:val="center"/>
          </w:tcPr>
          <w:p w14:paraId="26933A9F">
            <w:pPr>
              <w:shd w:val="clear"/>
              <w:snapToGrid w:val="0"/>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需要提供的符合性审查资料</w:t>
            </w:r>
          </w:p>
        </w:tc>
        <w:tc>
          <w:tcPr>
            <w:tcW w:w="1185" w:type="dxa"/>
            <w:vAlign w:val="center"/>
          </w:tcPr>
          <w:p w14:paraId="4A3BED78">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b/>
                <w:color w:val="auto"/>
                <w:sz w:val="24"/>
                <w:highlight w:val="none"/>
              </w:rPr>
              <w:t>自查结论</w:t>
            </w:r>
          </w:p>
        </w:tc>
        <w:tc>
          <w:tcPr>
            <w:tcW w:w="1785" w:type="dxa"/>
            <w:vAlign w:val="center"/>
          </w:tcPr>
          <w:p w14:paraId="5A2A277B">
            <w:pPr>
              <w:shd w:val="clear"/>
              <w:snapToGrid w:val="0"/>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投标文件中的</w:t>
            </w:r>
          </w:p>
          <w:p w14:paraId="65EE0556">
            <w:pPr>
              <w:shd w:val="clear"/>
              <w:snapToGrid w:val="0"/>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页码位置</w:t>
            </w:r>
          </w:p>
        </w:tc>
      </w:tr>
      <w:tr w14:paraId="43DE0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jc w:val="center"/>
        </w:trPr>
        <w:tc>
          <w:tcPr>
            <w:tcW w:w="608" w:type="dxa"/>
            <w:vAlign w:val="center"/>
          </w:tcPr>
          <w:p w14:paraId="007227BF">
            <w:pPr>
              <w:shd w:val="clear"/>
              <w:spacing w:line="360" w:lineRule="auto"/>
              <w:jc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1</w:t>
            </w:r>
          </w:p>
        </w:tc>
        <w:tc>
          <w:tcPr>
            <w:tcW w:w="4103" w:type="dxa"/>
            <w:vAlign w:val="center"/>
          </w:tcPr>
          <w:p w14:paraId="2FF16198">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投标文件按照招标文件要求签署、盖章。</w:t>
            </w:r>
          </w:p>
        </w:tc>
        <w:tc>
          <w:tcPr>
            <w:tcW w:w="2518" w:type="dxa"/>
            <w:vAlign w:val="center"/>
          </w:tcPr>
          <w:p w14:paraId="2FFE1565">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需要使用电子签名或者签字盖章的投标文件的组成部分</w:t>
            </w:r>
          </w:p>
        </w:tc>
        <w:tc>
          <w:tcPr>
            <w:tcW w:w="1185" w:type="dxa"/>
            <w:vAlign w:val="center"/>
          </w:tcPr>
          <w:p w14:paraId="0DFB9D2C">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□通过 </w:t>
            </w:r>
          </w:p>
          <w:p w14:paraId="1A3A1D12">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□不通过</w:t>
            </w:r>
          </w:p>
        </w:tc>
        <w:tc>
          <w:tcPr>
            <w:tcW w:w="1785" w:type="dxa"/>
            <w:vAlign w:val="center"/>
          </w:tcPr>
          <w:p w14:paraId="05D74148">
            <w:pPr>
              <w:shd w:val="clear"/>
              <w:spacing w:line="360" w:lineRule="auto"/>
              <w:rPr>
                <w:rFonts w:cs="仿宋" w:asciiTheme="majorEastAsia" w:hAnsiTheme="majorEastAsia" w:eastAsiaTheme="majorEastAsia"/>
                <w:color w:val="auto"/>
                <w:sz w:val="24"/>
                <w:highlight w:val="none"/>
              </w:rPr>
            </w:pPr>
          </w:p>
          <w:p w14:paraId="69326170">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见投标文件</w:t>
            </w:r>
          </w:p>
          <w:p w14:paraId="12F18B8D">
            <w:pPr>
              <w:shd w:val="clear"/>
              <w:spacing w:line="360" w:lineRule="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sz w:val="24"/>
                <w:highlight w:val="none"/>
              </w:rPr>
              <w:t>第页</w:t>
            </w:r>
          </w:p>
        </w:tc>
      </w:tr>
      <w:tr w14:paraId="1B174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jc w:val="center"/>
        </w:trPr>
        <w:tc>
          <w:tcPr>
            <w:tcW w:w="608" w:type="dxa"/>
            <w:vAlign w:val="center"/>
          </w:tcPr>
          <w:p w14:paraId="0864CCB0">
            <w:pPr>
              <w:shd w:val="clear"/>
              <w:spacing w:line="360" w:lineRule="auto"/>
              <w:jc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w:t>
            </w:r>
          </w:p>
        </w:tc>
        <w:tc>
          <w:tcPr>
            <w:tcW w:w="4103" w:type="dxa"/>
            <w:vAlign w:val="center"/>
          </w:tcPr>
          <w:p w14:paraId="0957354A">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投标文件中承诺的投标有效期不少于招标文件中载明的投标有效期。</w:t>
            </w:r>
          </w:p>
        </w:tc>
        <w:tc>
          <w:tcPr>
            <w:tcW w:w="2518" w:type="dxa"/>
            <w:vAlign w:val="center"/>
          </w:tcPr>
          <w:p w14:paraId="2EB3F855">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投标函</w:t>
            </w:r>
          </w:p>
        </w:tc>
        <w:tc>
          <w:tcPr>
            <w:tcW w:w="1185" w:type="dxa"/>
            <w:vAlign w:val="center"/>
          </w:tcPr>
          <w:p w14:paraId="34F0634B">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□通过 </w:t>
            </w:r>
          </w:p>
          <w:p w14:paraId="1390DE18">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□不通过</w:t>
            </w:r>
          </w:p>
        </w:tc>
        <w:tc>
          <w:tcPr>
            <w:tcW w:w="1785" w:type="dxa"/>
            <w:vAlign w:val="center"/>
          </w:tcPr>
          <w:p w14:paraId="2FACE03C">
            <w:pPr>
              <w:shd w:val="clear"/>
              <w:spacing w:line="360" w:lineRule="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sz w:val="24"/>
                <w:highlight w:val="none"/>
              </w:rPr>
              <w:t>见投标文件第页</w:t>
            </w:r>
          </w:p>
        </w:tc>
      </w:tr>
      <w:tr w14:paraId="64E4A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1" w:hRule="atLeast"/>
          <w:jc w:val="center"/>
        </w:trPr>
        <w:tc>
          <w:tcPr>
            <w:tcW w:w="608" w:type="dxa"/>
            <w:vAlign w:val="center"/>
          </w:tcPr>
          <w:p w14:paraId="22600812">
            <w:pPr>
              <w:shd w:val="clear"/>
              <w:spacing w:line="360" w:lineRule="auto"/>
              <w:jc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3</w:t>
            </w:r>
          </w:p>
        </w:tc>
        <w:tc>
          <w:tcPr>
            <w:tcW w:w="4103" w:type="dxa"/>
            <w:vAlign w:val="center"/>
          </w:tcPr>
          <w:p w14:paraId="25942AC5">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投标文件满足招标文件的其它实质性要求。</w:t>
            </w:r>
          </w:p>
        </w:tc>
        <w:tc>
          <w:tcPr>
            <w:tcW w:w="2518" w:type="dxa"/>
            <w:vAlign w:val="center"/>
          </w:tcPr>
          <w:p w14:paraId="05131604">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kern w:val="0"/>
                <w:sz w:val="24"/>
                <w:highlight w:val="none"/>
              </w:rPr>
              <w:t>招标文件其它实质性要求相应的材料（“▲” 系指实质性要求条款，招标文件无其它实质性要求的，无需提供）</w:t>
            </w:r>
          </w:p>
        </w:tc>
        <w:tc>
          <w:tcPr>
            <w:tcW w:w="1185" w:type="dxa"/>
            <w:vAlign w:val="center"/>
          </w:tcPr>
          <w:p w14:paraId="1F4DDEBA">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□通过 </w:t>
            </w:r>
          </w:p>
          <w:p w14:paraId="1FCE127B">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□不通过</w:t>
            </w:r>
          </w:p>
        </w:tc>
        <w:tc>
          <w:tcPr>
            <w:tcW w:w="1785" w:type="dxa"/>
            <w:vAlign w:val="center"/>
          </w:tcPr>
          <w:p w14:paraId="786B59B3">
            <w:pPr>
              <w:shd w:val="clear"/>
              <w:spacing w:line="360" w:lineRule="auto"/>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sz w:val="24"/>
                <w:highlight w:val="none"/>
              </w:rPr>
              <w:t>见投标文件第页</w:t>
            </w:r>
          </w:p>
        </w:tc>
      </w:tr>
      <w:tr w14:paraId="31930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608" w:type="dxa"/>
            <w:vAlign w:val="center"/>
          </w:tcPr>
          <w:p w14:paraId="42E8BD12">
            <w:pPr>
              <w:shd w:val="clear"/>
              <w:spacing w:line="360" w:lineRule="auto"/>
              <w:jc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4</w:t>
            </w:r>
          </w:p>
        </w:tc>
        <w:tc>
          <w:tcPr>
            <w:tcW w:w="4103" w:type="dxa"/>
            <w:vAlign w:val="center"/>
          </w:tcPr>
          <w:p w14:paraId="374504C8">
            <w:pPr>
              <w:shd w:val="clear"/>
              <w:snapToGrid w:val="0"/>
              <w:spacing w:line="360" w:lineRule="auto"/>
              <w:jc w:val="left"/>
              <w:rPr>
                <w:rFonts w:cs="仿宋" w:asciiTheme="majorEastAsia" w:hAnsiTheme="majorEastAsia" w:eastAsiaTheme="majorEastAsia"/>
                <w:bCs/>
                <w:color w:val="auto"/>
                <w:sz w:val="24"/>
                <w:highlight w:val="none"/>
              </w:rPr>
            </w:pPr>
            <w:r>
              <w:rPr>
                <w:rFonts w:hint="eastAsia" w:cs="仿宋" w:asciiTheme="majorEastAsia" w:hAnsiTheme="majorEastAsia" w:eastAsiaTheme="majorEastAsia"/>
                <w:bCs/>
                <w:color w:val="auto"/>
                <w:sz w:val="24"/>
                <w:highlight w:val="none"/>
              </w:rPr>
              <w:t>投标文件没有招标文件中规定的其它无效投标条款的。</w:t>
            </w:r>
          </w:p>
        </w:tc>
        <w:tc>
          <w:tcPr>
            <w:tcW w:w="2518" w:type="dxa"/>
            <w:vAlign w:val="center"/>
          </w:tcPr>
          <w:p w14:paraId="63AB8005">
            <w:pPr>
              <w:shd w:val="clear"/>
              <w:spacing w:line="360" w:lineRule="auto"/>
              <w:rPr>
                <w:rFonts w:cs="仿宋" w:asciiTheme="majorEastAsia" w:hAnsiTheme="majorEastAsia" w:eastAsiaTheme="majorEastAsia"/>
                <w:color w:val="auto"/>
                <w:kern w:val="0"/>
                <w:sz w:val="24"/>
                <w:highlight w:val="none"/>
              </w:rPr>
            </w:pPr>
          </w:p>
        </w:tc>
        <w:tc>
          <w:tcPr>
            <w:tcW w:w="1185" w:type="dxa"/>
            <w:vAlign w:val="center"/>
          </w:tcPr>
          <w:p w14:paraId="279EDD55">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□通过 </w:t>
            </w:r>
          </w:p>
          <w:p w14:paraId="0992A42B">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□不通过</w:t>
            </w:r>
          </w:p>
        </w:tc>
        <w:tc>
          <w:tcPr>
            <w:tcW w:w="1785" w:type="dxa"/>
            <w:vAlign w:val="center"/>
          </w:tcPr>
          <w:p w14:paraId="70E04EAA">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见投标文件第页</w:t>
            </w:r>
          </w:p>
        </w:tc>
      </w:tr>
      <w:tr w14:paraId="41B9B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608" w:type="dxa"/>
            <w:vAlign w:val="center"/>
          </w:tcPr>
          <w:p w14:paraId="2D81AF00">
            <w:pPr>
              <w:shd w:val="clear"/>
              <w:spacing w:line="360" w:lineRule="auto"/>
              <w:jc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w:t>
            </w:r>
          </w:p>
        </w:tc>
        <w:tc>
          <w:tcPr>
            <w:tcW w:w="4103" w:type="dxa"/>
            <w:vAlign w:val="center"/>
          </w:tcPr>
          <w:p w14:paraId="73C426BC">
            <w:pPr>
              <w:shd w:val="clear"/>
              <w:snapToGrid w:val="0"/>
              <w:spacing w:line="360" w:lineRule="auto"/>
              <w:jc w:val="left"/>
              <w:rPr>
                <w:rFonts w:cs="仿宋" w:asciiTheme="majorEastAsia" w:hAnsiTheme="majorEastAsia" w:eastAsiaTheme="majorEastAsia"/>
                <w:bCs/>
                <w:color w:val="auto"/>
                <w:sz w:val="24"/>
                <w:highlight w:val="none"/>
              </w:rPr>
            </w:pPr>
            <w:r>
              <w:rPr>
                <w:rFonts w:hint="eastAsia" w:cs="仿宋" w:asciiTheme="majorEastAsia" w:hAnsiTheme="majorEastAsia" w:eastAsiaTheme="majorEastAsia"/>
                <w:bCs/>
                <w:color w:val="auto"/>
                <w:sz w:val="24"/>
                <w:highlight w:val="none"/>
              </w:rPr>
              <w:t>按有关法律、法规、规章不属于投标无效的。</w:t>
            </w:r>
          </w:p>
        </w:tc>
        <w:tc>
          <w:tcPr>
            <w:tcW w:w="2518" w:type="dxa"/>
            <w:vAlign w:val="center"/>
          </w:tcPr>
          <w:p w14:paraId="67182F03">
            <w:pPr>
              <w:shd w:val="clear"/>
              <w:spacing w:line="360" w:lineRule="auto"/>
              <w:rPr>
                <w:rFonts w:cs="仿宋" w:asciiTheme="majorEastAsia" w:hAnsiTheme="majorEastAsia" w:eastAsiaTheme="majorEastAsia"/>
                <w:color w:val="auto"/>
                <w:kern w:val="0"/>
                <w:sz w:val="24"/>
                <w:highlight w:val="none"/>
              </w:rPr>
            </w:pPr>
          </w:p>
        </w:tc>
        <w:tc>
          <w:tcPr>
            <w:tcW w:w="1185" w:type="dxa"/>
            <w:vAlign w:val="center"/>
          </w:tcPr>
          <w:p w14:paraId="28DD5B89">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□通过 </w:t>
            </w:r>
          </w:p>
          <w:p w14:paraId="4610078B">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□不通过</w:t>
            </w:r>
          </w:p>
        </w:tc>
        <w:tc>
          <w:tcPr>
            <w:tcW w:w="1785" w:type="dxa"/>
            <w:vAlign w:val="center"/>
          </w:tcPr>
          <w:p w14:paraId="02EE3FFC">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见投标文件第页</w:t>
            </w:r>
          </w:p>
        </w:tc>
      </w:tr>
      <w:tr w14:paraId="56D84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608" w:type="dxa"/>
            <w:vAlign w:val="center"/>
          </w:tcPr>
          <w:p w14:paraId="3FA490E3">
            <w:pPr>
              <w:shd w:val="clear"/>
              <w:spacing w:line="360" w:lineRule="auto"/>
              <w:jc w:val="center"/>
              <w:rPr>
                <w:rFonts w:cs="仿宋" w:asciiTheme="majorEastAsia" w:hAnsiTheme="majorEastAsia" w:eastAsiaTheme="majorEastAsia"/>
                <w:color w:val="auto"/>
                <w:sz w:val="24"/>
                <w:highlight w:val="none"/>
              </w:rPr>
            </w:pPr>
          </w:p>
        </w:tc>
        <w:tc>
          <w:tcPr>
            <w:tcW w:w="4103" w:type="dxa"/>
            <w:vAlign w:val="center"/>
          </w:tcPr>
          <w:p w14:paraId="0A20D284">
            <w:pPr>
              <w:shd w:val="clear"/>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w:t>
            </w:r>
          </w:p>
        </w:tc>
        <w:tc>
          <w:tcPr>
            <w:tcW w:w="2518" w:type="dxa"/>
            <w:vAlign w:val="center"/>
          </w:tcPr>
          <w:p w14:paraId="4335C16A">
            <w:pPr>
              <w:shd w:val="clear"/>
              <w:spacing w:line="360" w:lineRule="auto"/>
              <w:rPr>
                <w:rFonts w:cs="仿宋" w:asciiTheme="majorEastAsia" w:hAnsiTheme="majorEastAsia" w:eastAsiaTheme="majorEastAsia"/>
                <w:color w:val="auto"/>
                <w:kern w:val="0"/>
                <w:sz w:val="24"/>
                <w:highlight w:val="none"/>
              </w:rPr>
            </w:pPr>
          </w:p>
        </w:tc>
        <w:tc>
          <w:tcPr>
            <w:tcW w:w="1185" w:type="dxa"/>
          </w:tcPr>
          <w:p w14:paraId="6EF1D3DE">
            <w:pPr>
              <w:shd w:val="clear"/>
              <w:spacing w:line="360" w:lineRule="auto"/>
              <w:rPr>
                <w:rFonts w:cs="仿宋" w:asciiTheme="majorEastAsia" w:hAnsiTheme="majorEastAsia" w:eastAsiaTheme="majorEastAsia"/>
                <w:color w:val="auto"/>
                <w:sz w:val="24"/>
                <w:highlight w:val="none"/>
              </w:rPr>
            </w:pPr>
          </w:p>
        </w:tc>
        <w:tc>
          <w:tcPr>
            <w:tcW w:w="1785" w:type="dxa"/>
            <w:vAlign w:val="center"/>
          </w:tcPr>
          <w:p w14:paraId="0EF9973A">
            <w:pPr>
              <w:shd w:val="clear"/>
              <w:spacing w:line="360" w:lineRule="auto"/>
              <w:rPr>
                <w:rFonts w:cs="仿宋" w:asciiTheme="majorEastAsia" w:hAnsiTheme="majorEastAsia" w:eastAsiaTheme="majorEastAsia"/>
                <w:color w:val="auto"/>
                <w:sz w:val="24"/>
                <w:highlight w:val="none"/>
              </w:rPr>
            </w:pPr>
          </w:p>
        </w:tc>
      </w:tr>
    </w:tbl>
    <w:p w14:paraId="7E505C51">
      <w:pPr>
        <w:shd w:val="clear"/>
        <w:snapToGrid w:val="0"/>
        <w:spacing w:line="360" w:lineRule="auto"/>
        <w:jc w:val="left"/>
        <w:rPr>
          <w:rFonts w:cs="仿宋" w:asciiTheme="majorEastAsia" w:hAnsiTheme="majorEastAsia" w:eastAsiaTheme="majorEastAsia"/>
          <w:b/>
          <w:color w:val="auto"/>
          <w:sz w:val="32"/>
          <w:szCs w:val="32"/>
          <w:highlight w:val="none"/>
        </w:rPr>
      </w:pPr>
      <w:r>
        <w:rPr>
          <w:rFonts w:hint="eastAsia" w:cs="仿宋" w:asciiTheme="majorEastAsia" w:hAnsiTheme="majorEastAsia" w:eastAsiaTheme="majorEastAsia"/>
          <w:b/>
          <w:color w:val="auto"/>
          <w:sz w:val="24"/>
          <w:highlight w:val="none"/>
        </w:rPr>
        <w:t xml:space="preserve">备注：投标人自查表将作为投标投标人有效性审查的重要内容之一，投标投标人必须严格按照其内容及序列要求在投标文件中对应如实提供，对资格性证明文件的任何缺漏和不符合项将会直接导致投标无效！ </w:t>
      </w:r>
    </w:p>
    <w:p w14:paraId="2DA1241F">
      <w:pPr>
        <w:shd w:val="clear"/>
        <w:snapToGrid w:val="0"/>
        <w:spacing w:line="360" w:lineRule="auto"/>
        <w:jc w:val="center"/>
        <w:outlineLvl w:val="0"/>
        <w:rPr>
          <w:rFonts w:cs="仿宋" w:asciiTheme="majorEastAsia" w:hAnsiTheme="majorEastAsia" w:eastAsiaTheme="majorEastAsia"/>
          <w:b/>
          <w:color w:val="auto"/>
          <w:sz w:val="32"/>
          <w:szCs w:val="32"/>
          <w:highlight w:val="none"/>
        </w:rPr>
      </w:pPr>
      <w:r>
        <w:rPr>
          <w:rFonts w:hint="eastAsia" w:cs="仿宋" w:asciiTheme="majorEastAsia" w:hAnsiTheme="majorEastAsia" w:eastAsiaTheme="majorEastAsia"/>
          <w:b/>
          <w:color w:val="auto"/>
          <w:kern w:val="0"/>
          <w:sz w:val="32"/>
          <w:szCs w:val="32"/>
          <w:highlight w:val="none"/>
        </w:rPr>
        <w:br w:type="page"/>
      </w:r>
      <w:r>
        <w:rPr>
          <w:rFonts w:hint="eastAsia" w:cs="仿宋" w:asciiTheme="majorEastAsia" w:hAnsiTheme="majorEastAsia" w:eastAsiaTheme="majorEastAsia"/>
          <w:b/>
          <w:color w:val="auto"/>
          <w:kern w:val="0"/>
          <w:sz w:val="32"/>
          <w:szCs w:val="32"/>
          <w:highlight w:val="none"/>
        </w:rPr>
        <w:t>三、投标</w:t>
      </w:r>
      <w:r>
        <w:rPr>
          <w:rFonts w:hint="eastAsia" w:cs="仿宋" w:asciiTheme="majorEastAsia" w:hAnsiTheme="majorEastAsia" w:eastAsiaTheme="majorEastAsia"/>
          <w:b/>
          <w:color w:val="auto"/>
          <w:sz w:val="32"/>
          <w:szCs w:val="32"/>
          <w:highlight w:val="none"/>
        </w:rPr>
        <w:t>函</w:t>
      </w:r>
    </w:p>
    <w:p w14:paraId="503ACFF7">
      <w:pPr>
        <w:shd w:val="clear"/>
        <w:snapToGrid w:val="0"/>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（宁波宁南汇诚科技发展有限公司）、（宁波敬信项目管理咨询有限公司）</w:t>
      </w:r>
      <w:r>
        <w:rPr>
          <w:rFonts w:hint="eastAsia" w:cs="仿宋" w:asciiTheme="majorEastAsia" w:hAnsiTheme="majorEastAsia" w:eastAsiaTheme="majorEastAsia"/>
          <w:color w:val="auto"/>
          <w:kern w:val="0"/>
          <w:sz w:val="24"/>
          <w:highlight w:val="none"/>
          <w:lang w:val="zh-CN"/>
        </w:rPr>
        <w:t>：</w:t>
      </w:r>
    </w:p>
    <w:p w14:paraId="457DBC28">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我方参加你方组织的（项目名称：        ）【项目编号：        】招标的有关活动，并对此项目进行投标。为此：</w:t>
      </w:r>
    </w:p>
    <w:p w14:paraId="6B053D43">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1、我方承诺投标有效期从提交投标文件的截止之日起天（不少于90天）</w:t>
      </w:r>
      <w:r>
        <w:rPr>
          <w:rFonts w:hint="eastAsia" w:cs="仿宋" w:asciiTheme="majorEastAsia" w:hAnsiTheme="majorEastAsia" w:eastAsiaTheme="majorEastAsia"/>
          <w:color w:val="auto"/>
          <w:highlight w:val="none"/>
        </w:rPr>
        <w:t>，</w:t>
      </w:r>
      <w:r>
        <w:rPr>
          <w:rFonts w:hint="eastAsia" w:cs="仿宋" w:asciiTheme="majorEastAsia" w:hAnsiTheme="majorEastAsia" w:eastAsiaTheme="majorEastAsia"/>
          <w:color w:val="auto"/>
          <w:sz w:val="24"/>
          <w:highlight w:val="none"/>
        </w:rPr>
        <w:t>本投标文件在投标有效期满之前均具有约束力。</w:t>
      </w:r>
    </w:p>
    <w:p w14:paraId="717378DE">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2、我方的投标文件包括以下内容：</w:t>
      </w:r>
    </w:p>
    <w:p w14:paraId="2C635BC6">
      <w:pPr>
        <w:shd w:val="clear"/>
        <w:snapToGrid w:val="0"/>
        <w:spacing w:line="360" w:lineRule="auto"/>
        <w:ind w:left="210" w:leftChars="100"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2.1资格文件：</w:t>
      </w:r>
    </w:p>
    <w:p w14:paraId="2E8D4FA7">
      <w:pPr>
        <w:shd w:val="clear"/>
        <w:snapToGrid w:val="0"/>
        <w:spacing w:line="360" w:lineRule="auto"/>
        <w:ind w:left="420" w:leftChars="200"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2.1.1有效的企业法人营业执照（或事业法人登记证）、其他组织（个体工商户）的营业执照或者民办非企业单位登记证书；</w:t>
      </w:r>
    </w:p>
    <w:p w14:paraId="5DB33DE6">
      <w:pPr>
        <w:shd w:val="clear"/>
        <w:snapToGrid w:val="0"/>
        <w:spacing w:line="360" w:lineRule="auto"/>
        <w:ind w:left="420" w:leftChars="200"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2.1.2符合参加政府采购活动应当具备的一般条件的承诺函；</w:t>
      </w:r>
    </w:p>
    <w:p w14:paraId="4835D0A9">
      <w:pPr>
        <w:shd w:val="clear"/>
        <w:snapToGrid w:val="0"/>
        <w:spacing w:line="360" w:lineRule="auto"/>
        <w:ind w:firstLine="960" w:firstLineChars="4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2.1.3落实政府采购政策需满足的资格要求（如果有）；</w:t>
      </w:r>
    </w:p>
    <w:p w14:paraId="2496379E">
      <w:pPr>
        <w:shd w:val="clear"/>
        <w:snapToGrid w:val="0"/>
        <w:spacing w:line="360" w:lineRule="auto"/>
        <w:ind w:firstLine="960" w:firstLineChars="400"/>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sz w:val="24"/>
          <w:highlight w:val="none"/>
        </w:rPr>
        <w:t>2.1.4本项目的特定资格要求（如果有）。</w:t>
      </w:r>
    </w:p>
    <w:p w14:paraId="13E88CC6">
      <w:pPr>
        <w:shd w:val="clear"/>
        <w:snapToGrid w:val="0"/>
        <w:spacing w:line="360" w:lineRule="auto"/>
        <w:ind w:left="210" w:leftChars="100" w:firstLine="480" w:firstLineChars="200"/>
        <w:rPr>
          <w:rFonts w:cs="仿宋" w:asciiTheme="majorEastAsia" w:hAnsiTheme="majorEastAsia" w:eastAsiaTheme="majorEastAsia"/>
          <w:color w:val="auto"/>
          <w:sz w:val="24"/>
          <w:highlight w:val="none"/>
          <w:lang w:val="zh-CN"/>
        </w:rPr>
      </w:pPr>
      <w:r>
        <w:rPr>
          <w:rFonts w:hint="eastAsia" w:cs="仿宋" w:asciiTheme="majorEastAsia" w:hAnsiTheme="majorEastAsia" w:eastAsiaTheme="majorEastAsia"/>
          <w:color w:val="auto"/>
          <w:sz w:val="24"/>
          <w:highlight w:val="none"/>
        </w:rPr>
        <w:t>2</w:t>
      </w:r>
      <w:r>
        <w:rPr>
          <w:rFonts w:hint="eastAsia" w:cs="仿宋" w:asciiTheme="majorEastAsia" w:hAnsiTheme="majorEastAsia" w:eastAsiaTheme="majorEastAsia"/>
          <w:color w:val="auto"/>
          <w:sz w:val="24"/>
          <w:highlight w:val="none"/>
          <w:lang w:val="zh-CN"/>
        </w:rPr>
        <w:t>.</w:t>
      </w:r>
      <w:r>
        <w:rPr>
          <w:rFonts w:hint="eastAsia" w:cs="仿宋" w:asciiTheme="majorEastAsia" w:hAnsiTheme="majorEastAsia" w:eastAsiaTheme="majorEastAsia"/>
          <w:color w:val="auto"/>
          <w:sz w:val="24"/>
          <w:highlight w:val="none"/>
        </w:rPr>
        <w:t>2商务技术</w:t>
      </w:r>
      <w:r>
        <w:rPr>
          <w:rFonts w:hint="eastAsia" w:cs="仿宋" w:asciiTheme="majorEastAsia" w:hAnsiTheme="majorEastAsia" w:eastAsiaTheme="majorEastAsia"/>
          <w:color w:val="auto"/>
          <w:sz w:val="24"/>
          <w:highlight w:val="none"/>
          <w:lang w:val="zh-CN"/>
        </w:rPr>
        <w:t>文件：</w:t>
      </w:r>
    </w:p>
    <w:p w14:paraId="699D4880">
      <w:pPr>
        <w:shd w:val="clear"/>
        <w:snapToGrid w:val="0"/>
        <w:spacing w:line="360" w:lineRule="auto"/>
        <w:ind w:left="420" w:leftChars="200"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2.2.1评分索引表</w:t>
      </w:r>
    </w:p>
    <w:p w14:paraId="49F4651C">
      <w:pPr>
        <w:shd w:val="clear"/>
        <w:snapToGrid w:val="0"/>
        <w:spacing w:line="360" w:lineRule="auto"/>
        <w:ind w:left="420" w:leftChars="200"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2.2.2 符合性自查表；</w:t>
      </w:r>
    </w:p>
    <w:p w14:paraId="14CF122C">
      <w:pPr>
        <w:shd w:val="clear"/>
        <w:snapToGrid w:val="0"/>
        <w:spacing w:line="360" w:lineRule="auto"/>
        <w:ind w:left="420" w:leftChars="200" w:firstLine="480" w:firstLineChars="200"/>
        <w:rPr>
          <w:rFonts w:cs="仿宋" w:asciiTheme="majorEastAsia" w:hAnsiTheme="majorEastAsia" w:eastAsiaTheme="majorEastAsia"/>
          <w:color w:val="auto"/>
          <w:highlight w:val="none"/>
          <w:lang w:val="zh-CN"/>
        </w:rPr>
      </w:pPr>
      <w:r>
        <w:rPr>
          <w:rFonts w:hint="eastAsia" w:cs="仿宋" w:asciiTheme="majorEastAsia" w:hAnsiTheme="majorEastAsia" w:eastAsiaTheme="majorEastAsia"/>
          <w:color w:val="auto"/>
          <w:sz w:val="24"/>
          <w:highlight w:val="none"/>
        </w:rPr>
        <w:t>2.2.3 投标函；</w:t>
      </w:r>
    </w:p>
    <w:p w14:paraId="1DE978AF">
      <w:pPr>
        <w:shd w:val="clear"/>
        <w:snapToGrid w:val="0"/>
        <w:spacing w:line="360" w:lineRule="auto"/>
        <w:ind w:left="420" w:leftChars="200"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2.2.4 授权委托书或法定代表人（单位负责人、自然人本人）身份证明；</w:t>
      </w:r>
    </w:p>
    <w:p w14:paraId="411CFA32">
      <w:pPr>
        <w:shd w:val="clear"/>
        <w:snapToGrid w:val="0"/>
        <w:spacing w:line="360" w:lineRule="auto"/>
        <w:ind w:left="420" w:leftChars="200"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2.2.5 投标人基本情况表；</w:t>
      </w:r>
    </w:p>
    <w:p w14:paraId="6833576A">
      <w:pPr>
        <w:shd w:val="clear"/>
        <w:snapToGrid w:val="0"/>
        <w:spacing w:line="360" w:lineRule="auto"/>
        <w:ind w:left="420" w:leftChars="200"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2.2.6 距采购人最近或者能为本项目提供最优服务的网点情况表；</w:t>
      </w:r>
    </w:p>
    <w:p w14:paraId="49A14DF7">
      <w:pPr>
        <w:shd w:val="clear"/>
        <w:snapToGrid w:val="0"/>
        <w:spacing w:line="360" w:lineRule="auto"/>
        <w:ind w:left="420" w:leftChars="200"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2.2.7 评标标准相应的商务技术资料；</w:t>
      </w:r>
    </w:p>
    <w:p w14:paraId="3987E11D">
      <w:pPr>
        <w:shd w:val="clear"/>
        <w:snapToGrid w:val="0"/>
        <w:spacing w:line="360" w:lineRule="auto"/>
        <w:ind w:left="420" w:leftChars="200"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w:t>
      </w:r>
      <w:r>
        <w:rPr>
          <w:rFonts w:hint="eastAsia" w:cs="仿宋" w:asciiTheme="majorEastAsia" w:hAnsiTheme="majorEastAsia" w:eastAsiaTheme="majorEastAsia"/>
          <w:color w:val="auto"/>
          <w:sz w:val="24"/>
          <w:highlight w:val="none"/>
          <w:lang w:val="zh-CN"/>
        </w:rPr>
        <w:t>.</w:t>
      </w:r>
      <w:r>
        <w:rPr>
          <w:rFonts w:hint="eastAsia" w:cs="仿宋" w:asciiTheme="majorEastAsia" w:hAnsiTheme="majorEastAsia" w:eastAsiaTheme="majorEastAsia"/>
          <w:color w:val="auto"/>
          <w:sz w:val="24"/>
          <w:highlight w:val="none"/>
        </w:rPr>
        <w:t>2</w:t>
      </w:r>
      <w:r>
        <w:rPr>
          <w:rFonts w:hint="eastAsia" w:cs="仿宋" w:asciiTheme="majorEastAsia" w:hAnsiTheme="majorEastAsia" w:eastAsiaTheme="majorEastAsia"/>
          <w:color w:val="auto"/>
          <w:sz w:val="24"/>
          <w:highlight w:val="none"/>
          <w:lang w:val="zh-CN"/>
        </w:rPr>
        <w:t>.</w:t>
      </w:r>
      <w:r>
        <w:rPr>
          <w:rFonts w:hint="eastAsia" w:cs="仿宋" w:asciiTheme="majorEastAsia" w:hAnsiTheme="majorEastAsia" w:eastAsiaTheme="majorEastAsia"/>
          <w:color w:val="auto"/>
          <w:sz w:val="24"/>
          <w:highlight w:val="none"/>
        </w:rPr>
        <w:t>8 商务响应表；</w:t>
      </w:r>
    </w:p>
    <w:p w14:paraId="3B70CDF6">
      <w:pPr>
        <w:shd w:val="clear"/>
        <w:snapToGrid w:val="0"/>
        <w:spacing w:line="360" w:lineRule="auto"/>
        <w:ind w:left="420" w:leftChars="200"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w:t>
      </w:r>
      <w:r>
        <w:rPr>
          <w:rFonts w:hint="eastAsia" w:cs="仿宋" w:asciiTheme="majorEastAsia" w:hAnsiTheme="majorEastAsia" w:eastAsiaTheme="majorEastAsia"/>
          <w:color w:val="auto"/>
          <w:sz w:val="24"/>
          <w:highlight w:val="none"/>
          <w:lang w:val="zh-CN"/>
        </w:rPr>
        <w:t>.</w:t>
      </w:r>
      <w:r>
        <w:rPr>
          <w:rFonts w:hint="eastAsia" w:cs="仿宋" w:asciiTheme="majorEastAsia" w:hAnsiTheme="majorEastAsia" w:eastAsiaTheme="majorEastAsia"/>
          <w:color w:val="auto"/>
          <w:sz w:val="24"/>
          <w:highlight w:val="none"/>
        </w:rPr>
        <w:t>2</w:t>
      </w:r>
      <w:r>
        <w:rPr>
          <w:rFonts w:hint="eastAsia" w:cs="仿宋" w:asciiTheme="majorEastAsia" w:hAnsiTheme="majorEastAsia" w:eastAsiaTheme="majorEastAsia"/>
          <w:color w:val="auto"/>
          <w:sz w:val="24"/>
          <w:highlight w:val="none"/>
          <w:lang w:val="zh-CN"/>
        </w:rPr>
        <w:t>.</w:t>
      </w:r>
      <w:r>
        <w:rPr>
          <w:rFonts w:hint="eastAsia" w:cs="仿宋" w:asciiTheme="majorEastAsia" w:hAnsiTheme="majorEastAsia" w:eastAsiaTheme="majorEastAsia"/>
          <w:color w:val="auto"/>
          <w:sz w:val="24"/>
          <w:highlight w:val="none"/>
        </w:rPr>
        <w:t>9 服务响应表；</w:t>
      </w:r>
    </w:p>
    <w:p w14:paraId="1515C826">
      <w:pPr>
        <w:shd w:val="clear"/>
        <w:snapToGrid w:val="0"/>
        <w:spacing w:line="360" w:lineRule="auto"/>
        <w:ind w:left="420" w:leftChars="200"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2.2.10项目实施人员一览表；</w:t>
      </w:r>
    </w:p>
    <w:p w14:paraId="7F82955B">
      <w:pPr>
        <w:shd w:val="clear"/>
        <w:snapToGrid w:val="0"/>
        <w:spacing w:line="360" w:lineRule="auto"/>
        <w:ind w:left="420" w:leftChars="200"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w:t>
      </w:r>
      <w:r>
        <w:rPr>
          <w:rFonts w:hint="eastAsia" w:cs="仿宋" w:asciiTheme="majorEastAsia" w:hAnsiTheme="majorEastAsia" w:eastAsiaTheme="majorEastAsia"/>
          <w:color w:val="auto"/>
          <w:sz w:val="24"/>
          <w:highlight w:val="none"/>
          <w:lang w:val="zh-CN"/>
        </w:rPr>
        <w:t>.</w:t>
      </w:r>
      <w:r>
        <w:rPr>
          <w:rFonts w:hint="eastAsia" w:cs="仿宋" w:asciiTheme="majorEastAsia" w:hAnsiTheme="majorEastAsia" w:eastAsiaTheme="majorEastAsia"/>
          <w:color w:val="auto"/>
          <w:sz w:val="24"/>
          <w:highlight w:val="none"/>
        </w:rPr>
        <w:t>2</w:t>
      </w:r>
      <w:r>
        <w:rPr>
          <w:rFonts w:hint="eastAsia" w:cs="仿宋" w:asciiTheme="majorEastAsia" w:hAnsiTheme="majorEastAsia" w:eastAsiaTheme="majorEastAsia"/>
          <w:color w:val="auto"/>
          <w:sz w:val="24"/>
          <w:highlight w:val="none"/>
          <w:lang w:val="zh-CN"/>
        </w:rPr>
        <w:t>.</w:t>
      </w:r>
      <w:r>
        <w:rPr>
          <w:rFonts w:hint="eastAsia" w:cs="仿宋" w:asciiTheme="majorEastAsia" w:hAnsiTheme="majorEastAsia" w:eastAsiaTheme="majorEastAsia"/>
          <w:color w:val="auto"/>
          <w:sz w:val="24"/>
          <w:highlight w:val="none"/>
        </w:rPr>
        <w:t>11 同类业绩情况一览表；</w:t>
      </w:r>
    </w:p>
    <w:p w14:paraId="70F268CC">
      <w:pPr>
        <w:shd w:val="clear"/>
        <w:snapToGrid w:val="0"/>
        <w:spacing w:line="360" w:lineRule="auto"/>
        <w:ind w:left="420" w:leftChars="200" w:firstLine="480" w:firstLineChars="200"/>
        <w:rPr>
          <w:rFonts w:cs="仿宋" w:asciiTheme="majorEastAsia" w:hAnsiTheme="majorEastAsia" w:eastAsiaTheme="majorEastAsia"/>
          <w:color w:val="auto"/>
          <w:sz w:val="24"/>
          <w:highlight w:val="none"/>
          <w:lang w:val="zh-CN"/>
        </w:rPr>
      </w:pPr>
      <w:r>
        <w:rPr>
          <w:rFonts w:hint="eastAsia" w:cs="仿宋" w:asciiTheme="majorEastAsia" w:hAnsiTheme="majorEastAsia" w:eastAsiaTheme="majorEastAsia"/>
          <w:color w:val="auto"/>
          <w:sz w:val="24"/>
          <w:highlight w:val="none"/>
        </w:rPr>
        <w:t xml:space="preserve">2.2.12 </w:t>
      </w:r>
      <w:r>
        <w:rPr>
          <w:rFonts w:hint="eastAsia" w:cs="仿宋" w:asciiTheme="majorEastAsia" w:hAnsiTheme="majorEastAsia" w:eastAsiaTheme="majorEastAsia"/>
          <w:color w:val="auto"/>
          <w:sz w:val="24"/>
          <w:highlight w:val="none"/>
          <w:lang w:val="zh-CN"/>
        </w:rPr>
        <w:t>政府采购供应商廉洁自律承诺书；</w:t>
      </w:r>
    </w:p>
    <w:p w14:paraId="4A9981DA">
      <w:pPr>
        <w:shd w:val="clear"/>
        <w:snapToGrid w:val="0"/>
        <w:spacing w:line="360" w:lineRule="auto"/>
        <w:ind w:left="420" w:leftChars="200" w:firstLine="480" w:firstLineChars="200"/>
        <w:rPr>
          <w:rFonts w:cs="仿宋" w:asciiTheme="majorEastAsia" w:hAnsiTheme="majorEastAsia" w:eastAsiaTheme="majorEastAsia"/>
          <w:color w:val="auto"/>
          <w:highlight w:val="none"/>
        </w:rPr>
      </w:pPr>
      <w:r>
        <w:rPr>
          <w:rFonts w:hint="eastAsia" w:cs="仿宋" w:asciiTheme="majorEastAsia" w:hAnsiTheme="majorEastAsia" w:eastAsiaTheme="majorEastAsia"/>
          <w:color w:val="auto"/>
          <w:sz w:val="24"/>
          <w:highlight w:val="none"/>
        </w:rPr>
        <w:t>2.2.13 其他资料。</w:t>
      </w:r>
    </w:p>
    <w:p w14:paraId="659D74BB">
      <w:pPr>
        <w:shd w:val="clear"/>
        <w:snapToGrid w:val="0"/>
        <w:spacing w:line="360" w:lineRule="auto"/>
        <w:ind w:left="210" w:leftChars="100"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w:t>
      </w:r>
      <w:r>
        <w:rPr>
          <w:rFonts w:hint="eastAsia" w:cs="仿宋" w:asciiTheme="majorEastAsia" w:hAnsiTheme="majorEastAsia" w:eastAsiaTheme="majorEastAsia"/>
          <w:color w:val="auto"/>
          <w:sz w:val="24"/>
          <w:highlight w:val="none"/>
          <w:lang w:val="zh-CN"/>
        </w:rPr>
        <w:t>.</w:t>
      </w:r>
      <w:r>
        <w:rPr>
          <w:rFonts w:hint="eastAsia" w:cs="仿宋" w:asciiTheme="majorEastAsia" w:hAnsiTheme="majorEastAsia" w:eastAsiaTheme="majorEastAsia"/>
          <w:color w:val="auto"/>
          <w:sz w:val="24"/>
          <w:highlight w:val="none"/>
        </w:rPr>
        <w:t>3报价文件</w:t>
      </w:r>
    </w:p>
    <w:p w14:paraId="7C9A9418">
      <w:pPr>
        <w:shd w:val="clear"/>
        <w:snapToGrid w:val="0"/>
        <w:spacing w:line="360" w:lineRule="auto"/>
        <w:ind w:firstLine="960" w:firstLineChars="4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2.3.1 开标一览表；</w:t>
      </w:r>
    </w:p>
    <w:p w14:paraId="27ED45AC">
      <w:pPr>
        <w:shd w:val="clear"/>
        <w:snapToGrid w:val="0"/>
        <w:spacing w:line="360" w:lineRule="auto"/>
        <w:ind w:firstLine="960" w:firstLineChars="4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2.3.2投标报价明细表；</w:t>
      </w:r>
    </w:p>
    <w:p w14:paraId="02FFD7C6">
      <w:pPr>
        <w:shd w:val="clear"/>
        <w:snapToGrid w:val="0"/>
        <w:spacing w:line="360" w:lineRule="auto"/>
        <w:ind w:firstLine="960" w:firstLineChars="4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2.3.3 中小企业声明函（如有）；</w:t>
      </w:r>
    </w:p>
    <w:p w14:paraId="33D33F76">
      <w:pPr>
        <w:shd w:val="clear"/>
        <w:snapToGrid w:val="0"/>
        <w:spacing w:line="360" w:lineRule="auto"/>
        <w:ind w:firstLine="960" w:firstLineChars="4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2.3.4 残疾人福利性单位声明函（如有）；</w:t>
      </w:r>
    </w:p>
    <w:p w14:paraId="729465DE">
      <w:pPr>
        <w:shd w:val="clear"/>
        <w:snapToGrid w:val="0"/>
        <w:spacing w:line="360" w:lineRule="auto"/>
        <w:ind w:firstLine="960" w:firstLineChars="4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2.3.5 监狱企业的证明文件（如有）；</w:t>
      </w:r>
    </w:p>
    <w:p w14:paraId="7C9AFECB">
      <w:pPr>
        <w:shd w:val="clear"/>
        <w:snapToGrid w:val="0"/>
        <w:spacing w:line="360" w:lineRule="auto"/>
        <w:ind w:firstLine="960" w:firstLineChars="4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2.3.6 政府采购统计基础信息表。</w:t>
      </w:r>
    </w:p>
    <w:p w14:paraId="17B5FC61">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3、我方承诺除商务响应表列出的偏离外，我方响应招标文件的全部要求。</w:t>
      </w:r>
    </w:p>
    <w:p w14:paraId="2A78FC16">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4、如我方中标，我方承诺：</w:t>
      </w:r>
    </w:p>
    <w:p w14:paraId="2B0FDD51">
      <w:pPr>
        <w:shd w:val="clear"/>
        <w:snapToGrid w:val="0"/>
        <w:spacing w:line="360" w:lineRule="auto"/>
        <w:ind w:left="210" w:leftChars="100"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4.1在收到中标通知书后，在中标通知书规定的期限内与你方签订合同； </w:t>
      </w:r>
    </w:p>
    <w:p w14:paraId="6CD56EA8">
      <w:pPr>
        <w:shd w:val="clear"/>
        <w:snapToGrid w:val="0"/>
        <w:spacing w:line="360" w:lineRule="auto"/>
        <w:ind w:left="210" w:leftChars="100"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4.2在签订合同时不向你方提出附加条件； </w:t>
      </w:r>
    </w:p>
    <w:p w14:paraId="2D6E736F">
      <w:pPr>
        <w:shd w:val="clear"/>
        <w:snapToGrid w:val="0"/>
        <w:spacing w:line="360" w:lineRule="auto"/>
        <w:ind w:left="210" w:leftChars="100"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4.3按照招标文件要求提交履约保证金； </w:t>
      </w:r>
    </w:p>
    <w:p w14:paraId="5040459A">
      <w:pPr>
        <w:shd w:val="clear"/>
        <w:snapToGrid w:val="0"/>
        <w:spacing w:line="360" w:lineRule="auto"/>
        <w:ind w:left="210" w:leftChars="100"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4.4在合同约定的期限内完成合同规定的全部义务。 </w:t>
      </w:r>
    </w:p>
    <w:p w14:paraId="36B313F2">
      <w:pPr>
        <w:shd w:val="clear"/>
        <w:snapToGrid w:val="0"/>
        <w:spacing w:line="360" w:lineRule="auto"/>
        <w:ind w:firstLine="480" w:firstLineChars="2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5、其他补充说明:  。</w:t>
      </w:r>
    </w:p>
    <w:p w14:paraId="26BBA88F">
      <w:pPr>
        <w:shd w:val="clear"/>
        <w:spacing w:line="360" w:lineRule="auto"/>
        <w:ind w:firstLine="3600" w:firstLineChars="1500"/>
        <w:rPr>
          <w:rFonts w:cs="仿宋" w:asciiTheme="majorEastAsia" w:hAnsiTheme="majorEastAsia" w:eastAsiaTheme="majorEastAsia"/>
          <w:color w:val="auto"/>
          <w:sz w:val="24"/>
          <w:highlight w:val="none"/>
        </w:rPr>
      </w:pPr>
    </w:p>
    <w:p w14:paraId="4989D4D1">
      <w:pPr>
        <w:shd w:val="clear"/>
        <w:spacing w:line="360" w:lineRule="auto"/>
        <w:ind w:firstLine="3600" w:firstLineChars="1500"/>
        <w:rPr>
          <w:rFonts w:cs="仿宋" w:asciiTheme="majorEastAsia" w:hAnsiTheme="majorEastAsia" w:eastAsiaTheme="majorEastAsia"/>
          <w:color w:val="auto"/>
          <w:sz w:val="24"/>
          <w:highlight w:val="none"/>
        </w:rPr>
      </w:pPr>
    </w:p>
    <w:p w14:paraId="3EC8192F">
      <w:pPr>
        <w:shd w:val="clear"/>
        <w:spacing w:line="360" w:lineRule="auto"/>
        <w:ind w:right="420" w:firstLine="5250" w:firstLineChars="2500"/>
        <w:rPr>
          <w:rFonts w:ascii="宋体" w:hAnsi="宋体" w:cs="宋体"/>
          <w:color w:val="auto"/>
          <w:highlight w:val="none"/>
        </w:rPr>
      </w:pPr>
      <w:r>
        <w:rPr>
          <w:rFonts w:hint="eastAsia" w:ascii="宋体" w:hAnsi="宋体" w:cs="宋体"/>
          <w:color w:val="auto"/>
          <w:highlight w:val="none"/>
        </w:rPr>
        <w:t xml:space="preserve">法定代表人（签名或印章）：     </w:t>
      </w:r>
    </w:p>
    <w:p w14:paraId="40565178">
      <w:pPr>
        <w:shd w:val="clear"/>
        <w:spacing w:line="360" w:lineRule="auto"/>
        <w:ind w:right="420" w:firstLine="5460" w:firstLineChars="2600"/>
        <w:rPr>
          <w:rFonts w:ascii="宋体" w:hAnsi="宋体" w:cs="宋体"/>
          <w:color w:val="auto"/>
          <w:highlight w:val="none"/>
        </w:rPr>
      </w:pPr>
      <w:r>
        <w:rPr>
          <w:rFonts w:hint="eastAsia" w:ascii="宋体" w:hAnsi="宋体" w:cs="宋体"/>
          <w:color w:val="auto"/>
          <w:highlight w:val="none"/>
        </w:rPr>
        <w:t xml:space="preserve">投标人（盖章）：   </w:t>
      </w:r>
    </w:p>
    <w:p w14:paraId="6C7D2DB2">
      <w:pPr>
        <w:shd w:val="clear"/>
        <w:spacing w:line="360" w:lineRule="auto"/>
        <w:ind w:right="420" w:firstLine="5355" w:firstLineChars="2550"/>
        <w:rPr>
          <w:rFonts w:ascii="宋体" w:hAnsi="宋体" w:cs="宋体"/>
          <w:color w:val="auto"/>
          <w:highlight w:val="none"/>
        </w:rPr>
      </w:pPr>
      <w:r>
        <w:rPr>
          <w:rFonts w:hint="eastAsia" w:ascii="宋体" w:hAnsi="宋体" w:cs="宋体"/>
          <w:color w:val="auto"/>
          <w:highlight w:val="none"/>
        </w:rPr>
        <w:t xml:space="preserve"> 年    月    日</w:t>
      </w:r>
    </w:p>
    <w:p w14:paraId="146BF020">
      <w:pPr>
        <w:shd w:val="clear"/>
        <w:spacing w:line="360" w:lineRule="auto"/>
        <w:jc w:val="center"/>
        <w:rPr>
          <w:rFonts w:cs="仿宋" w:asciiTheme="majorEastAsia" w:hAnsiTheme="majorEastAsia" w:eastAsiaTheme="majorEastAsia"/>
          <w:b/>
          <w:color w:val="auto"/>
          <w:kern w:val="0"/>
          <w:sz w:val="32"/>
          <w:szCs w:val="32"/>
          <w:highlight w:val="none"/>
        </w:rPr>
      </w:pPr>
    </w:p>
    <w:p w14:paraId="20E53E7F">
      <w:pPr>
        <w:shd w:val="clear"/>
        <w:spacing w:line="360" w:lineRule="auto"/>
        <w:jc w:val="center"/>
        <w:rPr>
          <w:rFonts w:cs="仿宋" w:asciiTheme="majorEastAsia" w:hAnsiTheme="majorEastAsia" w:eastAsiaTheme="majorEastAsia"/>
          <w:b/>
          <w:color w:val="auto"/>
          <w:kern w:val="0"/>
          <w:sz w:val="32"/>
          <w:szCs w:val="32"/>
          <w:highlight w:val="none"/>
          <w:lang w:val="zh-CN"/>
        </w:rPr>
      </w:pPr>
    </w:p>
    <w:p w14:paraId="18CD41B9">
      <w:pPr>
        <w:shd w:val="clear"/>
        <w:spacing w:line="360" w:lineRule="auto"/>
        <w:rPr>
          <w:rFonts w:cs="仿宋" w:asciiTheme="majorEastAsia" w:hAnsiTheme="majorEastAsia" w:eastAsiaTheme="majorEastAsia"/>
          <w:b/>
          <w:color w:val="auto"/>
          <w:sz w:val="32"/>
          <w:szCs w:val="32"/>
          <w:highlight w:val="none"/>
        </w:rPr>
      </w:pPr>
      <w:bookmarkStart w:id="526" w:name="_Toc483379796"/>
      <w:bookmarkStart w:id="527" w:name="_Toc225223761"/>
      <w:bookmarkStart w:id="528" w:name="_Toc488936100"/>
      <w:bookmarkStart w:id="529" w:name="_Toc110393361"/>
      <w:bookmarkStart w:id="530" w:name="_Toc479927873"/>
      <w:bookmarkStart w:id="531" w:name="_Toc14746861"/>
    </w:p>
    <w:p w14:paraId="799FD8E5">
      <w:pPr>
        <w:shd w:val="clear"/>
        <w:snapToGrid w:val="0"/>
        <w:spacing w:line="360" w:lineRule="auto"/>
        <w:outlineLvl w:val="0"/>
        <w:rPr>
          <w:rFonts w:cs="仿宋" w:asciiTheme="majorEastAsia" w:hAnsiTheme="majorEastAsia" w:eastAsiaTheme="majorEastAsia"/>
          <w:b/>
          <w:color w:val="auto"/>
          <w:kern w:val="0"/>
          <w:sz w:val="32"/>
          <w:szCs w:val="32"/>
          <w:highlight w:val="none"/>
          <w:lang w:val="zh-CN"/>
        </w:rPr>
      </w:pPr>
      <w:r>
        <w:rPr>
          <w:rFonts w:hint="eastAsia" w:cs="仿宋" w:asciiTheme="majorEastAsia" w:hAnsiTheme="majorEastAsia" w:eastAsiaTheme="majorEastAsia"/>
          <w:b/>
          <w:color w:val="auto"/>
          <w:kern w:val="0"/>
          <w:sz w:val="32"/>
          <w:szCs w:val="32"/>
          <w:highlight w:val="none"/>
          <w:lang w:val="zh-CN"/>
        </w:rPr>
        <w:br w:type="page"/>
      </w:r>
      <w:r>
        <w:rPr>
          <w:rFonts w:hint="eastAsia" w:cs="仿宋" w:asciiTheme="majorEastAsia" w:hAnsiTheme="majorEastAsia" w:eastAsiaTheme="majorEastAsia"/>
          <w:b/>
          <w:color w:val="auto"/>
          <w:kern w:val="0"/>
          <w:sz w:val="32"/>
          <w:szCs w:val="32"/>
          <w:highlight w:val="none"/>
          <w:lang w:val="zh-CN"/>
        </w:rPr>
        <w:t>四、授权委托书或法定代表人（单位负责人、自然人本人）身份证明</w:t>
      </w:r>
    </w:p>
    <w:p w14:paraId="213E2061">
      <w:pPr>
        <w:shd w:val="clear"/>
        <w:jc w:val="center"/>
        <w:rPr>
          <w:rFonts w:ascii="宋体" w:hAnsi="宋体" w:cs="宋体"/>
          <w:b/>
          <w:color w:val="auto"/>
          <w:sz w:val="32"/>
          <w:szCs w:val="32"/>
          <w:highlight w:val="none"/>
        </w:rPr>
      </w:pPr>
      <w:r>
        <w:rPr>
          <w:rFonts w:hint="eastAsia" w:ascii="宋体" w:hAnsi="宋体" w:cs="宋体"/>
          <w:b/>
          <w:color w:val="auto"/>
          <w:sz w:val="32"/>
          <w:szCs w:val="32"/>
          <w:highlight w:val="none"/>
        </w:rPr>
        <w:t>法定代表人授权委托书</w:t>
      </w:r>
    </w:p>
    <w:p w14:paraId="284DEF42">
      <w:pPr>
        <w:shd w:val="clear"/>
        <w:jc w:val="center"/>
        <w:rPr>
          <w:rFonts w:ascii="宋体" w:hAnsi="宋体" w:cs="宋体"/>
          <w:b/>
          <w:color w:val="auto"/>
          <w:sz w:val="32"/>
          <w:szCs w:val="32"/>
          <w:highlight w:val="none"/>
        </w:rPr>
      </w:pPr>
      <w:r>
        <w:rPr>
          <w:rFonts w:hint="eastAsia" w:ascii="宋体" w:hAnsi="宋体" w:cs="宋体"/>
          <w:bCs/>
          <w:color w:val="auto"/>
          <w:sz w:val="24"/>
          <w:highlight w:val="none"/>
        </w:rPr>
        <w:t>（法定代表人来投标的，此表不用）</w:t>
      </w:r>
    </w:p>
    <w:p w14:paraId="67A96A34">
      <w:pPr>
        <w:shd w:val="clear"/>
        <w:snapToGrid w:val="0"/>
        <w:spacing w:line="360" w:lineRule="auto"/>
        <w:rPr>
          <w:rFonts w:ascii="宋体" w:hAnsi="宋体" w:cs="宋体"/>
          <w:bCs/>
          <w:color w:val="auto"/>
          <w:sz w:val="24"/>
          <w:highlight w:val="none"/>
        </w:rPr>
      </w:pPr>
    </w:p>
    <w:p w14:paraId="1847693D">
      <w:pPr>
        <w:shd w:val="clear"/>
        <w:snapToGrid w:val="0"/>
        <w:spacing w:line="360" w:lineRule="auto"/>
        <w:rPr>
          <w:rFonts w:ascii="宋体" w:hAnsi="宋体" w:cs="宋体"/>
          <w:color w:val="auto"/>
          <w:szCs w:val="21"/>
          <w:highlight w:val="none"/>
        </w:rPr>
      </w:pPr>
      <w:r>
        <w:rPr>
          <w:rFonts w:hint="eastAsia" w:ascii="宋体" w:hAnsi="宋体" w:cs="宋体"/>
          <w:bCs/>
          <w:color w:val="auto"/>
          <w:szCs w:val="21"/>
          <w:highlight w:val="none"/>
        </w:rPr>
        <w:t>致：</w:t>
      </w:r>
      <w:r>
        <w:rPr>
          <w:rFonts w:hint="eastAsia" w:ascii="宋体" w:hAnsi="宋体" w:cs="宋体"/>
          <w:color w:val="auto"/>
          <w:szCs w:val="21"/>
          <w:highlight w:val="none"/>
        </w:rPr>
        <w:t>：</w:t>
      </w:r>
    </w:p>
    <w:p w14:paraId="0CEADE37">
      <w:pPr>
        <w:shd w:val="clear"/>
        <w:snapToGrid w:val="0"/>
        <w:spacing w:line="360" w:lineRule="auto"/>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我（姓名）系（投标人名称）的法定代表人，现授权委托本单位在职职工 （姓名）以我方的名义参加项目的投标活动，并代表我方全权办理针对上述项目的投标、开标、评标、签约等具体事务和签署相关文件。</w:t>
      </w:r>
    </w:p>
    <w:p w14:paraId="62E5FA65">
      <w:pPr>
        <w:shd w:val="clear"/>
        <w:snapToGrid w:val="0"/>
        <w:spacing w:line="360" w:lineRule="auto"/>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我方对被授权人的签名事项负全部责任。</w:t>
      </w:r>
    </w:p>
    <w:p w14:paraId="1B21A044">
      <w:pPr>
        <w:shd w:val="clear"/>
        <w:snapToGrid w:val="0"/>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在撤销授权的书面通知以前，本授权书一直有效。被授权人在授权书有效期内签署的所有文件不因授权的撤销而失效。</w:t>
      </w:r>
    </w:p>
    <w:p w14:paraId="151D0748">
      <w:pPr>
        <w:shd w:val="clear"/>
        <w:snapToGrid w:val="0"/>
        <w:spacing w:line="360" w:lineRule="auto"/>
        <w:ind w:firstLine="480"/>
        <w:rPr>
          <w:rFonts w:ascii="宋体" w:hAnsi="宋体" w:cs="宋体"/>
          <w:color w:val="auto"/>
          <w:szCs w:val="21"/>
          <w:highlight w:val="none"/>
        </w:rPr>
      </w:pPr>
      <w:r>
        <w:rPr>
          <w:rFonts w:hint="eastAsia" w:ascii="宋体" w:hAnsi="宋体" w:cs="宋体"/>
          <w:color w:val="auto"/>
          <w:szCs w:val="21"/>
          <w:highlight w:val="none"/>
        </w:rPr>
        <w:t>被授权人无转委托权，特此委托。</w:t>
      </w:r>
    </w:p>
    <w:p w14:paraId="4E6E8E2B">
      <w:pPr>
        <w:shd w:val="clear"/>
        <w:snapToGrid w:val="0"/>
        <w:spacing w:line="360" w:lineRule="auto"/>
        <w:rPr>
          <w:rFonts w:ascii="宋体" w:hAnsi="宋体" w:cs="宋体"/>
          <w:color w:val="auto"/>
          <w:szCs w:val="21"/>
          <w:highlight w:val="none"/>
        </w:rPr>
      </w:pPr>
    </w:p>
    <w:p w14:paraId="55E2D1E5">
      <w:pPr>
        <w:shd w:val="clear"/>
        <w:snapToGrid w:val="0"/>
        <w:spacing w:line="360" w:lineRule="auto"/>
        <w:rPr>
          <w:rFonts w:ascii="宋体" w:hAnsi="宋体" w:cs="宋体"/>
          <w:color w:val="auto"/>
          <w:szCs w:val="21"/>
          <w:highlight w:val="none"/>
        </w:rPr>
      </w:pPr>
    </w:p>
    <w:p w14:paraId="73E5B8A4">
      <w:pPr>
        <w:shd w:val="clear"/>
        <w:snapToGrid w:val="0"/>
        <w:spacing w:line="360" w:lineRule="auto"/>
        <w:rPr>
          <w:rFonts w:ascii="宋体" w:hAnsi="宋体" w:cs="宋体"/>
          <w:color w:val="auto"/>
          <w:szCs w:val="21"/>
          <w:highlight w:val="none"/>
          <w:u w:val="single"/>
        </w:rPr>
      </w:pPr>
      <w:r>
        <w:rPr>
          <w:rFonts w:hint="eastAsia" w:ascii="宋体" w:hAnsi="宋体" w:cs="宋体"/>
          <w:color w:val="auto"/>
          <w:szCs w:val="21"/>
          <w:highlight w:val="none"/>
        </w:rPr>
        <w:t>被授权人签名：                 法定代表人签名：</w:t>
      </w:r>
    </w:p>
    <w:p w14:paraId="168DACD7">
      <w:pPr>
        <w:shd w:val="clear"/>
        <w:snapToGrid w:val="0"/>
        <w:spacing w:line="360" w:lineRule="auto"/>
        <w:ind w:firstLine="840" w:firstLineChars="400"/>
        <w:rPr>
          <w:rFonts w:ascii="宋体" w:hAnsi="宋体" w:cs="宋体"/>
          <w:color w:val="auto"/>
          <w:szCs w:val="21"/>
          <w:highlight w:val="none"/>
        </w:rPr>
      </w:pPr>
      <w:r>
        <w:rPr>
          <w:rFonts w:hint="eastAsia" w:ascii="宋体" w:hAnsi="宋体" w:cs="宋体"/>
          <w:color w:val="auto"/>
          <w:szCs w:val="21"/>
          <w:highlight w:val="none"/>
        </w:rPr>
        <w:t>职务：                          职务：</w:t>
      </w:r>
    </w:p>
    <w:p w14:paraId="73B9AF03">
      <w:pPr>
        <w:shd w:val="clear"/>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被授权人身份证号码：</w:t>
      </w:r>
    </w:p>
    <w:p w14:paraId="71B299E6">
      <w:pPr>
        <w:shd w:val="clear"/>
        <w:snapToGrid w:val="0"/>
        <w:spacing w:line="360" w:lineRule="auto"/>
        <w:rPr>
          <w:rFonts w:ascii="宋体" w:hAnsi="宋体" w:cs="宋体"/>
          <w:color w:val="auto"/>
          <w:szCs w:val="21"/>
          <w:highlight w:val="none"/>
        </w:rPr>
      </w:pPr>
    </w:p>
    <w:p w14:paraId="61610838">
      <w:pPr>
        <w:shd w:val="clear"/>
        <w:snapToGrid w:val="0"/>
        <w:spacing w:line="360" w:lineRule="auto"/>
        <w:rPr>
          <w:rFonts w:ascii="宋体" w:hAnsi="宋体" w:cs="宋体"/>
          <w:color w:val="auto"/>
          <w:szCs w:val="21"/>
          <w:highlight w:val="none"/>
        </w:rPr>
      </w:pPr>
    </w:p>
    <w:p w14:paraId="503676BF">
      <w:pPr>
        <w:shd w:val="clear"/>
        <w:spacing w:line="360" w:lineRule="auto"/>
        <w:ind w:firstLine="4830" w:firstLineChars="2300"/>
        <w:rPr>
          <w:rFonts w:ascii="宋体" w:hAnsi="宋体" w:cs="宋体"/>
          <w:color w:val="auto"/>
          <w:highlight w:val="none"/>
        </w:rPr>
      </w:pPr>
      <w:r>
        <w:rPr>
          <w:rFonts w:hint="eastAsia" w:ascii="宋体" w:hAnsi="宋体" w:cs="宋体"/>
          <w:color w:val="auto"/>
          <w:highlight w:val="none"/>
        </w:rPr>
        <w:t>投标人（盖章）：</w:t>
      </w:r>
    </w:p>
    <w:p w14:paraId="17F54FF2">
      <w:pPr>
        <w:shd w:val="clear"/>
        <w:spacing w:line="360" w:lineRule="auto"/>
        <w:ind w:firstLine="1260" w:firstLineChars="600"/>
        <w:rPr>
          <w:rFonts w:ascii="宋体" w:hAnsi="宋体" w:cs="宋体"/>
          <w:color w:val="auto"/>
          <w:highlight w:val="none"/>
        </w:rPr>
      </w:pPr>
      <w:r>
        <w:rPr>
          <w:rFonts w:hint="eastAsia" w:ascii="宋体" w:hAnsi="宋体" w:cs="宋体"/>
          <w:color w:val="auto"/>
          <w:highlight w:val="none"/>
        </w:rPr>
        <w:t xml:space="preserve">                                  日期：</w:t>
      </w:r>
    </w:p>
    <w:p w14:paraId="368FD174">
      <w:pPr>
        <w:shd w:val="clear"/>
        <w:spacing w:line="360" w:lineRule="auto"/>
        <w:rPr>
          <w:rFonts w:ascii="宋体" w:hAnsi="宋体" w:cs="宋体"/>
          <w:b/>
          <w:color w:val="auto"/>
          <w:szCs w:val="21"/>
          <w:highlight w:val="none"/>
        </w:rPr>
      </w:pPr>
    </w:p>
    <w:p w14:paraId="2CA4D6E1">
      <w:pPr>
        <w:shd w:val="clear"/>
        <w:spacing w:line="360" w:lineRule="auto"/>
        <w:rPr>
          <w:rFonts w:ascii="宋体" w:hAnsi="宋体" w:cs="宋体"/>
          <w:b/>
          <w:color w:val="auto"/>
          <w:szCs w:val="21"/>
          <w:highlight w:val="none"/>
        </w:rPr>
      </w:pPr>
    </w:p>
    <w:p w14:paraId="69657A00">
      <w:pPr>
        <w:shd w:val="clear"/>
        <w:spacing w:line="360" w:lineRule="auto"/>
        <w:rPr>
          <w:rFonts w:ascii="宋体" w:hAnsi="宋体" w:cs="宋体"/>
          <w:b/>
          <w:color w:val="auto"/>
          <w:szCs w:val="21"/>
          <w:highlight w:val="none"/>
        </w:rPr>
      </w:pPr>
      <w:r>
        <w:rPr>
          <w:rFonts w:hint="eastAsia" w:ascii="宋体" w:hAnsi="宋体" w:cs="宋体"/>
          <w:b/>
          <w:color w:val="auto"/>
          <w:szCs w:val="21"/>
          <w:highlight w:val="none"/>
        </w:rPr>
        <w:t>附：法定代表人身份证复印件（正反面）、授权代表身份证复印件（正反面）：</w:t>
      </w:r>
    </w:p>
    <w:p w14:paraId="10C9BD4B">
      <w:pPr>
        <w:shd w:val="clear"/>
        <w:rPr>
          <w:rFonts w:ascii="宋体" w:hAnsi="宋体" w:cs="仿宋"/>
          <w:b/>
          <w:color w:val="auto"/>
          <w:kern w:val="0"/>
          <w:sz w:val="32"/>
          <w:szCs w:val="32"/>
          <w:highlight w:val="none"/>
        </w:rPr>
      </w:pPr>
    </w:p>
    <w:p w14:paraId="4B430F18">
      <w:pPr>
        <w:shd w:val="clear"/>
        <w:snapToGrid w:val="0"/>
        <w:spacing w:line="360" w:lineRule="auto"/>
        <w:outlineLvl w:val="0"/>
        <w:rPr>
          <w:rFonts w:cs="仿宋" w:asciiTheme="majorEastAsia" w:hAnsiTheme="majorEastAsia" w:eastAsiaTheme="majorEastAsia"/>
          <w:b/>
          <w:color w:val="auto"/>
          <w:kern w:val="0"/>
          <w:sz w:val="32"/>
          <w:szCs w:val="32"/>
          <w:highlight w:val="none"/>
        </w:rPr>
      </w:pPr>
    </w:p>
    <w:p w14:paraId="1CA14FDC">
      <w:pPr>
        <w:shd w:val="clear"/>
        <w:snapToGrid w:val="0"/>
        <w:spacing w:line="360" w:lineRule="auto"/>
        <w:outlineLvl w:val="0"/>
        <w:rPr>
          <w:rFonts w:cs="仿宋" w:asciiTheme="majorEastAsia" w:hAnsiTheme="majorEastAsia" w:eastAsiaTheme="majorEastAsia"/>
          <w:b/>
          <w:color w:val="auto"/>
          <w:kern w:val="0"/>
          <w:sz w:val="32"/>
          <w:szCs w:val="32"/>
          <w:highlight w:val="none"/>
        </w:rPr>
      </w:pPr>
    </w:p>
    <w:p w14:paraId="7A6D5198">
      <w:pPr>
        <w:shd w:val="clear"/>
        <w:snapToGrid w:val="0"/>
        <w:spacing w:line="360" w:lineRule="auto"/>
        <w:outlineLvl w:val="0"/>
        <w:rPr>
          <w:rFonts w:cs="仿宋" w:asciiTheme="majorEastAsia" w:hAnsiTheme="majorEastAsia" w:eastAsiaTheme="majorEastAsia"/>
          <w:b/>
          <w:color w:val="auto"/>
          <w:kern w:val="0"/>
          <w:sz w:val="32"/>
          <w:szCs w:val="32"/>
          <w:highlight w:val="none"/>
        </w:rPr>
      </w:pPr>
    </w:p>
    <w:p w14:paraId="7B6B3EBE">
      <w:pPr>
        <w:shd w:val="clear"/>
        <w:snapToGrid w:val="0"/>
        <w:spacing w:line="360" w:lineRule="auto"/>
        <w:outlineLvl w:val="0"/>
        <w:rPr>
          <w:rFonts w:cs="仿宋" w:asciiTheme="majorEastAsia" w:hAnsiTheme="majorEastAsia" w:eastAsiaTheme="majorEastAsia"/>
          <w:b/>
          <w:color w:val="auto"/>
          <w:kern w:val="0"/>
          <w:sz w:val="32"/>
          <w:szCs w:val="32"/>
          <w:highlight w:val="none"/>
        </w:rPr>
      </w:pPr>
    </w:p>
    <w:p w14:paraId="23A67BBF">
      <w:pPr>
        <w:shd w:val="clear"/>
        <w:snapToGrid w:val="0"/>
        <w:spacing w:line="360" w:lineRule="auto"/>
        <w:outlineLvl w:val="0"/>
        <w:rPr>
          <w:rFonts w:cs="仿宋" w:asciiTheme="majorEastAsia" w:hAnsiTheme="majorEastAsia" w:eastAsiaTheme="majorEastAsia"/>
          <w:b/>
          <w:color w:val="auto"/>
          <w:kern w:val="0"/>
          <w:sz w:val="32"/>
          <w:szCs w:val="32"/>
          <w:highlight w:val="none"/>
        </w:rPr>
      </w:pPr>
    </w:p>
    <w:p w14:paraId="63CA1D74">
      <w:pPr>
        <w:shd w:val="clear"/>
        <w:jc w:val="center"/>
        <w:rPr>
          <w:rFonts w:ascii="宋体" w:hAnsi="宋体" w:cs="宋体"/>
          <w:b/>
          <w:color w:val="auto"/>
          <w:sz w:val="32"/>
          <w:szCs w:val="32"/>
          <w:highlight w:val="none"/>
        </w:rPr>
      </w:pPr>
      <w:bookmarkStart w:id="532" w:name="OLE_LINK88"/>
      <w:bookmarkStart w:id="533" w:name="OLE_LINK89"/>
    </w:p>
    <w:p w14:paraId="0A8ECA16">
      <w:pPr>
        <w:shd w:val="clear"/>
        <w:jc w:val="center"/>
        <w:rPr>
          <w:rFonts w:ascii="宋体" w:hAnsi="宋体" w:cs="宋体"/>
          <w:b/>
          <w:color w:val="auto"/>
          <w:sz w:val="32"/>
          <w:szCs w:val="32"/>
          <w:highlight w:val="none"/>
        </w:rPr>
      </w:pPr>
    </w:p>
    <w:p w14:paraId="27A311AB">
      <w:pPr>
        <w:shd w:val="clear"/>
        <w:jc w:val="center"/>
        <w:rPr>
          <w:rFonts w:ascii="宋体" w:hAnsi="宋体" w:cs="宋体"/>
          <w:b/>
          <w:color w:val="auto"/>
          <w:sz w:val="32"/>
          <w:szCs w:val="32"/>
          <w:highlight w:val="none"/>
        </w:rPr>
      </w:pPr>
      <w:r>
        <w:rPr>
          <w:rFonts w:hint="eastAsia" w:ascii="宋体" w:hAnsi="宋体" w:cs="宋体"/>
          <w:b/>
          <w:color w:val="auto"/>
          <w:sz w:val="32"/>
          <w:szCs w:val="32"/>
          <w:highlight w:val="none"/>
        </w:rPr>
        <w:t>法定代表人身份证明</w:t>
      </w:r>
    </w:p>
    <w:p w14:paraId="4387275E">
      <w:pPr>
        <w:shd w:val="clear"/>
        <w:spacing w:line="480" w:lineRule="auto"/>
        <w:jc w:val="center"/>
        <w:rPr>
          <w:rFonts w:ascii="宋体" w:hAnsi="宋体" w:cs="宋体"/>
          <w:bCs/>
          <w:color w:val="auto"/>
          <w:sz w:val="24"/>
          <w:highlight w:val="none"/>
        </w:rPr>
      </w:pPr>
    </w:p>
    <w:p w14:paraId="1BE59187">
      <w:pPr>
        <w:shd w:val="clear"/>
        <w:spacing w:line="480" w:lineRule="auto"/>
        <w:jc w:val="center"/>
        <w:rPr>
          <w:rFonts w:ascii="宋体" w:hAnsi="宋体" w:cs="宋体"/>
          <w:b/>
          <w:color w:val="auto"/>
          <w:sz w:val="24"/>
          <w:highlight w:val="none"/>
        </w:rPr>
      </w:pPr>
      <w:r>
        <w:rPr>
          <w:rFonts w:hint="eastAsia" w:ascii="宋体" w:hAnsi="宋体" w:cs="宋体"/>
          <w:bCs/>
          <w:color w:val="auto"/>
          <w:sz w:val="24"/>
          <w:highlight w:val="none"/>
        </w:rPr>
        <w:t>（法定代表人不来投标的，此表不用）</w:t>
      </w:r>
    </w:p>
    <w:p w14:paraId="217D9F0C">
      <w:pPr>
        <w:shd w:val="clear"/>
        <w:spacing w:line="48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投标人名称：</w:t>
      </w:r>
    </w:p>
    <w:p w14:paraId="0967EAB5">
      <w:pPr>
        <w:shd w:val="clear"/>
        <w:spacing w:line="48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单位性质：</w:t>
      </w:r>
    </w:p>
    <w:p w14:paraId="434DA7ED">
      <w:pPr>
        <w:shd w:val="clear"/>
        <w:spacing w:line="48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地址：</w:t>
      </w:r>
    </w:p>
    <w:p w14:paraId="1C5F746A">
      <w:pPr>
        <w:shd w:val="clear"/>
        <w:spacing w:line="48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成立时间：年月＿日</w:t>
      </w:r>
    </w:p>
    <w:p w14:paraId="3167C353">
      <w:pPr>
        <w:shd w:val="clear"/>
        <w:spacing w:line="48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经营期限：</w:t>
      </w:r>
    </w:p>
    <w:p w14:paraId="5EFDA24A">
      <w:pPr>
        <w:shd w:val="clear"/>
        <w:spacing w:line="48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姓名：性别：年龄：</w:t>
      </w:r>
      <w:r>
        <w:rPr>
          <w:rFonts w:hint="eastAsia" w:ascii="宋体" w:hAnsi="宋体" w:cs="宋体"/>
          <w:color w:val="auto"/>
          <w:szCs w:val="21"/>
          <w:highlight w:val="none"/>
          <w:u w:val="single"/>
        </w:rPr>
        <w:t xml:space="preserve">    周岁  </w:t>
      </w:r>
      <w:r>
        <w:rPr>
          <w:rFonts w:hint="eastAsia" w:ascii="宋体" w:hAnsi="宋体" w:cs="宋体"/>
          <w:color w:val="auto"/>
          <w:szCs w:val="21"/>
          <w:highlight w:val="none"/>
        </w:rPr>
        <w:t>职务：_</w:t>
      </w:r>
    </w:p>
    <w:p w14:paraId="7B135FD0">
      <w:pPr>
        <w:shd w:val="clear"/>
        <w:spacing w:line="480" w:lineRule="auto"/>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身份证号码：</w:t>
      </w:r>
    </w:p>
    <w:p w14:paraId="016497C7">
      <w:pPr>
        <w:shd w:val="clear"/>
        <w:spacing w:line="48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系（投标人名称）的法定代表人。</w:t>
      </w:r>
    </w:p>
    <w:p w14:paraId="2A31DBEC">
      <w:pPr>
        <w:shd w:val="clear"/>
        <w:spacing w:line="480" w:lineRule="auto"/>
        <w:ind w:firstLine="840" w:firstLineChars="400"/>
        <w:rPr>
          <w:rFonts w:ascii="宋体" w:hAnsi="宋体" w:cs="宋体"/>
          <w:color w:val="auto"/>
          <w:szCs w:val="21"/>
          <w:highlight w:val="none"/>
        </w:rPr>
      </w:pPr>
      <w:r>
        <w:rPr>
          <w:rFonts w:hint="eastAsia" w:ascii="宋体" w:hAnsi="宋体" w:cs="宋体"/>
          <w:color w:val="auto"/>
          <w:szCs w:val="21"/>
          <w:highlight w:val="none"/>
        </w:rPr>
        <w:t>特此证明。</w:t>
      </w:r>
    </w:p>
    <w:p w14:paraId="7F10086C">
      <w:pPr>
        <w:shd w:val="clear"/>
        <w:spacing w:line="360" w:lineRule="auto"/>
        <w:ind w:firstLine="420" w:firstLineChars="200"/>
        <w:rPr>
          <w:rFonts w:ascii="宋体" w:hAnsi="宋体" w:cs="宋体"/>
          <w:color w:val="auto"/>
          <w:szCs w:val="21"/>
          <w:highlight w:val="none"/>
        </w:rPr>
      </w:pPr>
    </w:p>
    <w:p w14:paraId="1778313C">
      <w:pPr>
        <w:shd w:val="clear"/>
        <w:spacing w:line="360" w:lineRule="auto"/>
        <w:ind w:firstLine="420" w:firstLineChars="200"/>
        <w:rPr>
          <w:rFonts w:ascii="宋体" w:hAnsi="宋体" w:cs="宋体"/>
          <w:color w:val="auto"/>
          <w:szCs w:val="21"/>
          <w:highlight w:val="none"/>
        </w:rPr>
      </w:pPr>
    </w:p>
    <w:p w14:paraId="438A6F37">
      <w:pPr>
        <w:shd w:val="clear"/>
        <w:wordWrap w:val="0"/>
        <w:spacing w:line="360" w:lineRule="auto"/>
        <w:jc w:val="right"/>
        <w:rPr>
          <w:rFonts w:ascii="宋体" w:hAnsi="宋体" w:cs="宋体"/>
          <w:color w:val="auto"/>
          <w:szCs w:val="21"/>
          <w:highlight w:val="none"/>
        </w:rPr>
      </w:pPr>
      <w:r>
        <w:rPr>
          <w:rFonts w:hint="eastAsia" w:ascii="宋体" w:hAnsi="宋体" w:cs="宋体"/>
          <w:color w:val="auto"/>
          <w:szCs w:val="21"/>
          <w:highlight w:val="none"/>
        </w:rPr>
        <w:t>投标人：（盖单位公章）</w:t>
      </w:r>
    </w:p>
    <w:p w14:paraId="74959DB1">
      <w:pPr>
        <w:shd w:val="clear"/>
        <w:spacing w:line="360" w:lineRule="auto"/>
        <w:ind w:firstLine="4515" w:firstLineChars="2150"/>
        <w:rPr>
          <w:rFonts w:ascii="宋体" w:hAnsi="宋体" w:cs="宋体"/>
          <w:color w:val="auto"/>
          <w:szCs w:val="21"/>
          <w:highlight w:val="none"/>
          <w:u w:val="single"/>
        </w:rPr>
      </w:pPr>
    </w:p>
    <w:p w14:paraId="7ED82B1B">
      <w:pPr>
        <w:shd w:val="clear"/>
        <w:spacing w:line="360" w:lineRule="auto"/>
        <w:ind w:firstLine="3675" w:firstLineChars="1750"/>
        <w:rPr>
          <w:rFonts w:ascii="宋体" w:hAnsi="宋体" w:cs="宋体"/>
          <w:color w:val="auto"/>
          <w:szCs w:val="21"/>
          <w:highlight w:val="none"/>
        </w:rPr>
      </w:pPr>
      <w:r>
        <w:rPr>
          <w:rFonts w:hint="eastAsia" w:ascii="宋体" w:hAnsi="宋体" w:cs="宋体"/>
          <w:color w:val="auto"/>
          <w:szCs w:val="21"/>
          <w:highlight w:val="none"/>
        </w:rPr>
        <w:t>年月日</w:t>
      </w:r>
    </w:p>
    <w:p w14:paraId="51D78BC6">
      <w:pPr>
        <w:shd w:val="clear"/>
        <w:spacing w:line="360" w:lineRule="auto"/>
        <w:rPr>
          <w:rFonts w:ascii="宋体" w:hAnsi="宋体" w:cs="宋体"/>
          <w:b/>
          <w:color w:val="auto"/>
          <w:sz w:val="24"/>
          <w:highlight w:val="none"/>
        </w:rPr>
      </w:pPr>
    </w:p>
    <w:p w14:paraId="1AEFBDD6">
      <w:pPr>
        <w:shd w:val="clear"/>
        <w:spacing w:line="360" w:lineRule="auto"/>
        <w:rPr>
          <w:rFonts w:ascii="宋体" w:hAnsi="宋体" w:cs="宋体"/>
          <w:b/>
          <w:color w:val="auto"/>
          <w:sz w:val="24"/>
          <w:highlight w:val="none"/>
        </w:rPr>
      </w:pPr>
    </w:p>
    <w:p w14:paraId="20E4B9A7">
      <w:pPr>
        <w:shd w:val="clear"/>
        <w:spacing w:line="360" w:lineRule="auto"/>
        <w:jc w:val="left"/>
        <w:rPr>
          <w:rFonts w:ascii="宋体" w:hAnsi="宋体" w:cs="仿宋"/>
          <w:color w:val="auto"/>
          <w:kern w:val="0"/>
          <w:sz w:val="24"/>
          <w:highlight w:val="none"/>
          <w:lang w:val="zh-CN"/>
        </w:rPr>
      </w:pPr>
      <w:r>
        <w:rPr>
          <w:rFonts w:hint="eastAsia" w:ascii="宋体" w:hAnsi="宋体" w:cs="宋体"/>
          <w:b/>
          <w:color w:val="auto"/>
          <w:sz w:val="24"/>
          <w:highlight w:val="none"/>
        </w:rPr>
        <w:t>附：法定代表人身份证复印件（正反面）：</w:t>
      </w:r>
      <w:bookmarkEnd w:id="532"/>
      <w:bookmarkEnd w:id="533"/>
    </w:p>
    <w:p w14:paraId="0282DB02">
      <w:pPr>
        <w:shd w:val="clear"/>
        <w:rPr>
          <w:rFonts w:ascii="宋体" w:hAnsi="宋体" w:cs="仿宋"/>
          <w:b/>
          <w:color w:val="auto"/>
          <w:kern w:val="0"/>
          <w:sz w:val="32"/>
          <w:szCs w:val="32"/>
          <w:highlight w:val="none"/>
          <w:lang w:val="zh-CN"/>
        </w:rPr>
      </w:pPr>
    </w:p>
    <w:p w14:paraId="51A5CDBA">
      <w:pPr>
        <w:shd w:val="clear"/>
        <w:rPr>
          <w:rFonts w:ascii="宋体" w:hAnsi="宋体" w:cs="仿宋"/>
          <w:b/>
          <w:color w:val="auto"/>
          <w:kern w:val="0"/>
          <w:sz w:val="32"/>
          <w:szCs w:val="32"/>
          <w:highlight w:val="none"/>
          <w:lang w:val="zh-CN"/>
        </w:rPr>
      </w:pPr>
    </w:p>
    <w:p w14:paraId="1A1F10CD">
      <w:pPr>
        <w:shd w:val="clear"/>
        <w:rPr>
          <w:rFonts w:ascii="宋体" w:hAnsi="宋体" w:cs="仿宋"/>
          <w:b/>
          <w:color w:val="auto"/>
          <w:kern w:val="0"/>
          <w:sz w:val="32"/>
          <w:szCs w:val="32"/>
          <w:highlight w:val="none"/>
          <w:lang w:val="zh-CN"/>
        </w:rPr>
      </w:pPr>
    </w:p>
    <w:p w14:paraId="056D0522">
      <w:pPr>
        <w:shd w:val="clear"/>
        <w:rPr>
          <w:rFonts w:ascii="宋体" w:hAnsi="宋体" w:cs="仿宋"/>
          <w:b/>
          <w:color w:val="auto"/>
          <w:kern w:val="0"/>
          <w:sz w:val="32"/>
          <w:szCs w:val="32"/>
          <w:highlight w:val="none"/>
          <w:lang w:val="zh-CN"/>
        </w:rPr>
      </w:pPr>
    </w:p>
    <w:p w14:paraId="012DE940">
      <w:pPr>
        <w:shd w:val="clear"/>
        <w:rPr>
          <w:rFonts w:ascii="宋体" w:hAnsi="宋体" w:cs="仿宋"/>
          <w:b/>
          <w:color w:val="auto"/>
          <w:kern w:val="0"/>
          <w:sz w:val="32"/>
          <w:szCs w:val="32"/>
          <w:highlight w:val="none"/>
          <w:lang w:val="zh-CN"/>
        </w:rPr>
      </w:pPr>
    </w:p>
    <w:p w14:paraId="3093DFB1">
      <w:pPr>
        <w:shd w:val="clear"/>
        <w:rPr>
          <w:rFonts w:ascii="宋体" w:hAnsi="宋体" w:cs="仿宋"/>
          <w:b/>
          <w:color w:val="auto"/>
          <w:kern w:val="0"/>
          <w:sz w:val="32"/>
          <w:szCs w:val="32"/>
          <w:highlight w:val="none"/>
          <w:lang w:val="zh-CN"/>
        </w:rPr>
      </w:pPr>
    </w:p>
    <w:p w14:paraId="7F8D7431">
      <w:pPr>
        <w:pStyle w:val="27"/>
        <w:shd w:val="clear"/>
        <w:ind w:firstLine="560"/>
        <w:rPr>
          <w:color w:val="auto"/>
          <w:highlight w:val="none"/>
          <w:lang w:val="zh-CN"/>
        </w:rPr>
      </w:pPr>
    </w:p>
    <w:p w14:paraId="4F95C5BE">
      <w:pPr>
        <w:shd w:val="clear"/>
        <w:snapToGrid w:val="0"/>
        <w:spacing w:line="360" w:lineRule="auto"/>
        <w:jc w:val="center"/>
        <w:outlineLvl w:val="0"/>
        <w:rPr>
          <w:rFonts w:cs="仿宋" w:asciiTheme="majorEastAsia" w:hAnsiTheme="majorEastAsia" w:eastAsiaTheme="majorEastAsia"/>
          <w:b/>
          <w:color w:val="auto"/>
          <w:kern w:val="0"/>
          <w:sz w:val="32"/>
          <w:szCs w:val="32"/>
          <w:highlight w:val="none"/>
          <w:lang w:val="zh-CN"/>
        </w:rPr>
      </w:pPr>
      <w:r>
        <w:rPr>
          <w:rFonts w:hint="eastAsia" w:cs="仿宋" w:asciiTheme="majorEastAsia" w:hAnsiTheme="majorEastAsia" w:eastAsiaTheme="majorEastAsia"/>
          <w:b/>
          <w:color w:val="auto"/>
          <w:kern w:val="0"/>
          <w:sz w:val="32"/>
          <w:szCs w:val="32"/>
          <w:highlight w:val="none"/>
          <w:lang w:val="zh-CN"/>
        </w:rPr>
        <w:t>五、投标人基本情况</w:t>
      </w:r>
      <w:bookmarkEnd w:id="526"/>
      <w:bookmarkEnd w:id="527"/>
      <w:bookmarkEnd w:id="528"/>
      <w:bookmarkEnd w:id="529"/>
      <w:bookmarkEnd w:id="530"/>
      <w:bookmarkEnd w:id="531"/>
      <w:r>
        <w:rPr>
          <w:rFonts w:hint="eastAsia" w:cs="仿宋" w:asciiTheme="majorEastAsia" w:hAnsiTheme="majorEastAsia" w:eastAsiaTheme="majorEastAsia"/>
          <w:b/>
          <w:color w:val="auto"/>
          <w:kern w:val="0"/>
          <w:sz w:val="32"/>
          <w:szCs w:val="32"/>
          <w:highlight w:val="none"/>
          <w:lang w:val="zh-CN"/>
        </w:rPr>
        <w:t>表</w:t>
      </w:r>
    </w:p>
    <w:tbl>
      <w:tblPr>
        <w:tblStyle w:val="21"/>
        <w:tblW w:w="98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0"/>
        <w:gridCol w:w="1936"/>
        <w:gridCol w:w="873"/>
        <w:gridCol w:w="1786"/>
        <w:gridCol w:w="1200"/>
        <w:gridCol w:w="1852"/>
      </w:tblGrid>
      <w:tr w14:paraId="1CC31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5DED5783">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投标人名称</w:t>
            </w:r>
          </w:p>
        </w:tc>
        <w:tc>
          <w:tcPr>
            <w:tcW w:w="7647" w:type="dxa"/>
            <w:gridSpan w:val="5"/>
            <w:vAlign w:val="center"/>
          </w:tcPr>
          <w:p w14:paraId="01273FFD">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04E02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11CC079A">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注册地址</w:t>
            </w:r>
          </w:p>
        </w:tc>
        <w:tc>
          <w:tcPr>
            <w:tcW w:w="2809" w:type="dxa"/>
            <w:gridSpan w:val="2"/>
            <w:vAlign w:val="center"/>
          </w:tcPr>
          <w:p w14:paraId="22129D5B">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1786" w:type="dxa"/>
            <w:vAlign w:val="center"/>
          </w:tcPr>
          <w:p w14:paraId="4F46C0C8">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成立时间</w:t>
            </w:r>
          </w:p>
        </w:tc>
        <w:tc>
          <w:tcPr>
            <w:tcW w:w="3052" w:type="dxa"/>
            <w:gridSpan w:val="2"/>
            <w:vAlign w:val="center"/>
          </w:tcPr>
          <w:p w14:paraId="460EABD4">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47E57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4D0CFC80">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统一信用代码</w:t>
            </w:r>
          </w:p>
        </w:tc>
        <w:tc>
          <w:tcPr>
            <w:tcW w:w="2809" w:type="dxa"/>
            <w:gridSpan w:val="2"/>
            <w:vAlign w:val="center"/>
          </w:tcPr>
          <w:p w14:paraId="34E532C9">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1786" w:type="dxa"/>
            <w:vAlign w:val="center"/>
          </w:tcPr>
          <w:p w14:paraId="451C3EDC">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注册资金</w:t>
            </w:r>
          </w:p>
        </w:tc>
        <w:tc>
          <w:tcPr>
            <w:tcW w:w="3052" w:type="dxa"/>
            <w:gridSpan w:val="2"/>
            <w:vAlign w:val="center"/>
          </w:tcPr>
          <w:p w14:paraId="756AB849">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2F2632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48856908">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投标联系人姓名</w:t>
            </w:r>
          </w:p>
        </w:tc>
        <w:tc>
          <w:tcPr>
            <w:tcW w:w="1936" w:type="dxa"/>
            <w:vAlign w:val="center"/>
          </w:tcPr>
          <w:p w14:paraId="5BD929C5">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873" w:type="dxa"/>
            <w:vAlign w:val="center"/>
          </w:tcPr>
          <w:p w14:paraId="178DF7C4">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电话</w:t>
            </w:r>
          </w:p>
        </w:tc>
        <w:tc>
          <w:tcPr>
            <w:tcW w:w="1786" w:type="dxa"/>
            <w:vAlign w:val="center"/>
          </w:tcPr>
          <w:p w14:paraId="6694ED1A">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1200" w:type="dxa"/>
            <w:vAlign w:val="center"/>
          </w:tcPr>
          <w:p w14:paraId="0B34A8BC">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手机</w:t>
            </w:r>
          </w:p>
        </w:tc>
        <w:tc>
          <w:tcPr>
            <w:tcW w:w="1852" w:type="dxa"/>
            <w:vAlign w:val="center"/>
          </w:tcPr>
          <w:p w14:paraId="51653452">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6A810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2975B7AB">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法定代表人姓名</w:t>
            </w:r>
          </w:p>
        </w:tc>
        <w:tc>
          <w:tcPr>
            <w:tcW w:w="1936" w:type="dxa"/>
            <w:vAlign w:val="center"/>
          </w:tcPr>
          <w:p w14:paraId="6ED82BB6">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873" w:type="dxa"/>
            <w:vAlign w:val="center"/>
          </w:tcPr>
          <w:p w14:paraId="58DEFAAC">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电话</w:t>
            </w:r>
          </w:p>
        </w:tc>
        <w:tc>
          <w:tcPr>
            <w:tcW w:w="1786" w:type="dxa"/>
            <w:vAlign w:val="center"/>
          </w:tcPr>
          <w:p w14:paraId="1B6691E6">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1200" w:type="dxa"/>
            <w:vAlign w:val="center"/>
          </w:tcPr>
          <w:p w14:paraId="3FE2E0F1">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手机</w:t>
            </w:r>
          </w:p>
        </w:tc>
        <w:tc>
          <w:tcPr>
            <w:tcW w:w="1852" w:type="dxa"/>
            <w:vAlign w:val="center"/>
          </w:tcPr>
          <w:p w14:paraId="36480B3B">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3DDD3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482101D3">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项目负责人姓名</w:t>
            </w:r>
          </w:p>
        </w:tc>
        <w:tc>
          <w:tcPr>
            <w:tcW w:w="1936" w:type="dxa"/>
            <w:vAlign w:val="center"/>
          </w:tcPr>
          <w:p w14:paraId="71AB50A0">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873" w:type="dxa"/>
            <w:vAlign w:val="center"/>
          </w:tcPr>
          <w:p w14:paraId="1A89D4F0">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电话</w:t>
            </w:r>
          </w:p>
        </w:tc>
        <w:tc>
          <w:tcPr>
            <w:tcW w:w="1786" w:type="dxa"/>
            <w:vAlign w:val="center"/>
          </w:tcPr>
          <w:p w14:paraId="5DF9C53D">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1200" w:type="dxa"/>
            <w:vAlign w:val="center"/>
          </w:tcPr>
          <w:p w14:paraId="4EE4AC2C">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技术职称</w:t>
            </w:r>
          </w:p>
        </w:tc>
        <w:tc>
          <w:tcPr>
            <w:tcW w:w="1852" w:type="dxa"/>
            <w:vAlign w:val="center"/>
          </w:tcPr>
          <w:p w14:paraId="2D6B26C1">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68541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Merge w:val="restart"/>
            <w:vAlign w:val="center"/>
          </w:tcPr>
          <w:p w14:paraId="176B0F28">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员工总人数：</w:t>
            </w:r>
          </w:p>
        </w:tc>
        <w:tc>
          <w:tcPr>
            <w:tcW w:w="1936" w:type="dxa"/>
            <w:vMerge w:val="restart"/>
            <w:vAlign w:val="center"/>
          </w:tcPr>
          <w:p w14:paraId="6404FF5B">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873" w:type="dxa"/>
            <w:vMerge w:val="restart"/>
            <w:vAlign w:val="center"/>
          </w:tcPr>
          <w:p w14:paraId="1DD78108">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其中</w:t>
            </w:r>
          </w:p>
        </w:tc>
        <w:tc>
          <w:tcPr>
            <w:tcW w:w="1786" w:type="dxa"/>
            <w:vAlign w:val="center"/>
          </w:tcPr>
          <w:p w14:paraId="5B9ECEDB">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高级职称</w:t>
            </w:r>
          </w:p>
        </w:tc>
        <w:tc>
          <w:tcPr>
            <w:tcW w:w="3052" w:type="dxa"/>
            <w:gridSpan w:val="2"/>
            <w:vAlign w:val="center"/>
          </w:tcPr>
          <w:p w14:paraId="380C1591">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58001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Merge w:val="continue"/>
            <w:vAlign w:val="center"/>
          </w:tcPr>
          <w:p w14:paraId="3B3C029D">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1936" w:type="dxa"/>
            <w:vMerge w:val="continue"/>
            <w:vAlign w:val="center"/>
          </w:tcPr>
          <w:p w14:paraId="51B07FD1">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873" w:type="dxa"/>
            <w:vMerge w:val="continue"/>
            <w:vAlign w:val="center"/>
          </w:tcPr>
          <w:p w14:paraId="49D00D22">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1786" w:type="dxa"/>
            <w:vAlign w:val="center"/>
          </w:tcPr>
          <w:p w14:paraId="12CAB222">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中级职称</w:t>
            </w:r>
          </w:p>
        </w:tc>
        <w:tc>
          <w:tcPr>
            <w:tcW w:w="3052" w:type="dxa"/>
            <w:gridSpan w:val="2"/>
            <w:vAlign w:val="center"/>
          </w:tcPr>
          <w:p w14:paraId="1CA55E25">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526FC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Merge w:val="continue"/>
            <w:vAlign w:val="center"/>
          </w:tcPr>
          <w:p w14:paraId="0107CE6D">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1936" w:type="dxa"/>
            <w:vMerge w:val="continue"/>
            <w:vAlign w:val="center"/>
          </w:tcPr>
          <w:p w14:paraId="5AB2A2C5">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873" w:type="dxa"/>
            <w:vMerge w:val="continue"/>
            <w:vAlign w:val="center"/>
          </w:tcPr>
          <w:p w14:paraId="4FB0797B">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1786" w:type="dxa"/>
            <w:vAlign w:val="center"/>
          </w:tcPr>
          <w:p w14:paraId="7AB176BE">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各类注册人员</w:t>
            </w:r>
          </w:p>
        </w:tc>
        <w:tc>
          <w:tcPr>
            <w:tcW w:w="3052" w:type="dxa"/>
            <w:gridSpan w:val="2"/>
            <w:vAlign w:val="center"/>
          </w:tcPr>
          <w:p w14:paraId="156BEC38">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31F75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5C32DEB2">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基本账户开户银行</w:t>
            </w:r>
          </w:p>
        </w:tc>
        <w:tc>
          <w:tcPr>
            <w:tcW w:w="7647" w:type="dxa"/>
            <w:gridSpan w:val="5"/>
            <w:vAlign w:val="center"/>
          </w:tcPr>
          <w:p w14:paraId="5E912A6F">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636B9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80" w:type="dxa"/>
            <w:vAlign w:val="center"/>
          </w:tcPr>
          <w:p w14:paraId="53B96397">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基本账户账号</w:t>
            </w:r>
          </w:p>
        </w:tc>
        <w:tc>
          <w:tcPr>
            <w:tcW w:w="7647" w:type="dxa"/>
            <w:gridSpan w:val="5"/>
            <w:vAlign w:val="center"/>
          </w:tcPr>
          <w:p w14:paraId="28C484C7">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69209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6" w:hRule="atLeast"/>
          <w:jc w:val="center"/>
        </w:trPr>
        <w:tc>
          <w:tcPr>
            <w:tcW w:w="2180" w:type="dxa"/>
            <w:vAlign w:val="center"/>
          </w:tcPr>
          <w:p w14:paraId="1F010FEA">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经营范围</w:t>
            </w:r>
          </w:p>
        </w:tc>
        <w:tc>
          <w:tcPr>
            <w:tcW w:w="7647" w:type="dxa"/>
            <w:gridSpan w:val="5"/>
            <w:vAlign w:val="center"/>
          </w:tcPr>
          <w:p w14:paraId="19BC128C">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6B05C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2180" w:type="dxa"/>
            <w:vAlign w:val="center"/>
          </w:tcPr>
          <w:p w14:paraId="78259E43">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备注</w:t>
            </w:r>
          </w:p>
        </w:tc>
        <w:tc>
          <w:tcPr>
            <w:tcW w:w="7647" w:type="dxa"/>
            <w:gridSpan w:val="5"/>
            <w:vAlign w:val="center"/>
          </w:tcPr>
          <w:p w14:paraId="2868EC49">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bl>
    <w:p w14:paraId="4970F328">
      <w:pPr>
        <w:shd w:val="clear"/>
        <w:adjustRightInd w:val="0"/>
        <w:snapToGrid w:val="0"/>
        <w:spacing w:line="360" w:lineRule="auto"/>
        <w:ind w:firstLine="482" w:firstLineChars="200"/>
        <w:rPr>
          <w:rFonts w:cs="仿宋" w:asciiTheme="majorEastAsia" w:hAnsiTheme="majorEastAsia" w:eastAsiaTheme="majorEastAsia"/>
          <w:b/>
          <w:bCs/>
          <w:color w:val="auto"/>
          <w:kern w:val="0"/>
          <w:sz w:val="24"/>
          <w:highlight w:val="none"/>
          <w:lang w:val="zh-CN"/>
        </w:rPr>
      </w:pPr>
      <w:r>
        <w:rPr>
          <w:rFonts w:hint="eastAsia" w:cs="仿宋" w:asciiTheme="majorEastAsia" w:hAnsiTheme="majorEastAsia" w:eastAsiaTheme="majorEastAsia"/>
          <w:b/>
          <w:bCs/>
          <w:color w:val="auto"/>
          <w:kern w:val="0"/>
          <w:sz w:val="24"/>
          <w:highlight w:val="none"/>
          <w:lang w:val="zh-CN"/>
        </w:rPr>
        <w:t>兹证明上述声明是真实、正确的，并提供了全部能提供的资料和数据，我们同意遵照贵方要求出示有关证明文件。</w:t>
      </w:r>
    </w:p>
    <w:p w14:paraId="12CF28C1">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p w14:paraId="40571589">
      <w:pPr>
        <w:pStyle w:val="27"/>
        <w:shd w:val="clear"/>
        <w:spacing w:line="360" w:lineRule="auto"/>
        <w:ind w:firstLine="560"/>
        <w:rPr>
          <w:rFonts w:cs="仿宋" w:asciiTheme="majorEastAsia" w:hAnsiTheme="majorEastAsia" w:eastAsiaTheme="majorEastAsia"/>
          <w:color w:val="auto"/>
          <w:highlight w:val="none"/>
          <w:lang w:val="zh-CN"/>
        </w:rPr>
      </w:pPr>
    </w:p>
    <w:p w14:paraId="4D8FF312">
      <w:pPr>
        <w:shd w:val="clear"/>
        <w:adjustRightInd w:val="0"/>
        <w:snapToGrid w:val="0"/>
        <w:spacing w:line="360" w:lineRule="auto"/>
        <w:ind w:firstLine="4080" w:firstLineChars="1700"/>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法定代表人或其授权委托人（签名或印章）：</w:t>
      </w:r>
    </w:p>
    <w:p w14:paraId="1A8459F7">
      <w:pPr>
        <w:shd w:val="clear"/>
        <w:adjustRightInd w:val="0"/>
        <w:snapToGrid w:val="0"/>
        <w:spacing w:line="360" w:lineRule="auto"/>
        <w:ind w:firstLine="4080" w:firstLineChars="1700"/>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投标人（盖章）：</w:t>
      </w:r>
    </w:p>
    <w:p w14:paraId="76D42970">
      <w:pPr>
        <w:shd w:val="clear"/>
        <w:adjustRightInd w:val="0"/>
        <w:snapToGrid w:val="0"/>
        <w:spacing w:line="360" w:lineRule="auto"/>
        <w:rPr>
          <w:rFonts w:cs="仿宋" w:asciiTheme="majorEastAsia" w:hAnsiTheme="majorEastAsia" w:eastAsiaTheme="majorEastAsia"/>
          <w:b/>
          <w:color w:val="auto"/>
          <w:kern w:val="0"/>
          <w:sz w:val="32"/>
          <w:szCs w:val="32"/>
          <w:highlight w:val="none"/>
          <w:lang w:val="zh-CN"/>
        </w:rPr>
      </w:pPr>
      <w:r>
        <w:rPr>
          <w:rFonts w:hint="eastAsia" w:cs="仿宋" w:asciiTheme="majorEastAsia" w:hAnsiTheme="majorEastAsia" w:eastAsiaTheme="majorEastAsia"/>
          <w:color w:val="auto"/>
          <w:kern w:val="0"/>
          <w:sz w:val="24"/>
          <w:highlight w:val="none"/>
          <w:lang w:val="zh-CN"/>
        </w:rPr>
        <w:t xml:space="preserve">                                  日期：</w:t>
      </w:r>
    </w:p>
    <w:p w14:paraId="3E014280">
      <w:pPr>
        <w:widowControl/>
        <w:shd w:val="clear"/>
        <w:jc w:val="left"/>
        <w:rPr>
          <w:rFonts w:cs="仿宋" w:asciiTheme="majorEastAsia" w:hAnsiTheme="majorEastAsia" w:eastAsiaTheme="majorEastAsia"/>
          <w:b/>
          <w:color w:val="auto"/>
          <w:kern w:val="0"/>
          <w:sz w:val="32"/>
          <w:szCs w:val="32"/>
          <w:highlight w:val="none"/>
          <w:lang w:val="zh-CN"/>
        </w:rPr>
      </w:pPr>
      <w:r>
        <w:rPr>
          <w:rFonts w:cs="仿宋" w:asciiTheme="majorEastAsia" w:hAnsiTheme="majorEastAsia" w:eastAsiaTheme="majorEastAsia"/>
          <w:b/>
          <w:color w:val="auto"/>
          <w:kern w:val="0"/>
          <w:sz w:val="32"/>
          <w:szCs w:val="32"/>
          <w:highlight w:val="none"/>
          <w:lang w:val="zh-CN"/>
        </w:rPr>
        <w:br w:type="page"/>
      </w:r>
    </w:p>
    <w:p w14:paraId="61C2F4DF">
      <w:pPr>
        <w:shd w:val="clear"/>
        <w:snapToGrid w:val="0"/>
        <w:spacing w:line="360" w:lineRule="auto"/>
        <w:outlineLvl w:val="0"/>
        <w:rPr>
          <w:rFonts w:cs="仿宋" w:asciiTheme="majorEastAsia" w:hAnsiTheme="majorEastAsia" w:eastAsiaTheme="majorEastAsia"/>
          <w:b/>
          <w:color w:val="auto"/>
          <w:kern w:val="0"/>
          <w:sz w:val="32"/>
          <w:szCs w:val="32"/>
          <w:highlight w:val="none"/>
          <w:lang w:val="zh-CN"/>
        </w:rPr>
      </w:pPr>
      <w:r>
        <w:rPr>
          <w:rFonts w:hint="eastAsia" w:cs="仿宋" w:asciiTheme="majorEastAsia" w:hAnsiTheme="majorEastAsia" w:eastAsiaTheme="majorEastAsia"/>
          <w:b/>
          <w:color w:val="auto"/>
          <w:kern w:val="0"/>
          <w:sz w:val="32"/>
          <w:szCs w:val="32"/>
          <w:highlight w:val="none"/>
          <w:lang w:val="zh-CN"/>
        </w:rPr>
        <w:t>六、距采购人最近或者能为本项目提供最优服务的网点情况表</w:t>
      </w:r>
    </w:p>
    <w:p w14:paraId="6CA83578">
      <w:pPr>
        <w:shd w:val="clear"/>
        <w:spacing w:line="360" w:lineRule="auto"/>
        <w:rPr>
          <w:rFonts w:cs="仿宋" w:asciiTheme="majorEastAsia" w:hAnsiTheme="majorEastAsia" w:eastAsiaTheme="majorEastAsia"/>
          <w:color w:val="auto"/>
          <w:highlight w:val="none"/>
        </w:rPr>
      </w:pPr>
    </w:p>
    <w:tbl>
      <w:tblPr>
        <w:tblStyle w:val="21"/>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28"/>
        <w:gridCol w:w="1624"/>
        <w:gridCol w:w="191"/>
        <w:gridCol w:w="1440"/>
        <w:gridCol w:w="889"/>
        <w:gridCol w:w="2600"/>
      </w:tblGrid>
      <w:tr w14:paraId="728859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427C2AC9">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服务网点名称</w:t>
            </w:r>
          </w:p>
        </w:tc>
        <w:tc>
          <w:tcPr>
            <w:tcW w:w="6744" w:type="dxa"/>
            <w:gridSpan w:val="5"/>
            <w:tcBorders>
              <w:top w:val="single" w:color="auto" w:sz="4" w:space="0"/>
              <w:left w:val="single" w:color="auto" w:sz="4" w:space="0"/>
              <w:bottom w:val="single" w:color="auto" w:sz="4" w:space="0"/>
              <w:right w:val="single" w:color="auto" w:sz="4" w:space="0"/>
            </w:tcBorders>
            <w:vAlign w:val="center"/>
          </w:tcPr>
          <w:p w14:paraId="1C8B92B1">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6AEEC3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7718F94E">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地址</w:t>
            </w:r>
          </w:p>
        </w:tc>
        <w:tc>
          <w:tcPr>
            <w:tcW w:w="6744" w:type="dxa"/>
            <w:gridSpan w:val="5"/>
            <w:tcBorders>
              <w:top w:val="single" w:color="auto" w:sz="4" w:space="0"/>
              <w:left w:val="single" w:color="auto" w:sz="4" w:space="0"/>
              <w:bottom w:val="single" w:color="auto" w:sz="4" w:space="0"/>
              <w:right w:val="single" w:color="auto" w:sz="4" w:space="0"/>
            </w:tcBorders>
            <w:vAlign w:val="center"/>
          </w:tcPr>
          <w:p w14:paraId="24A61BDA">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6930C4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76542574">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注册资本金</w:t>
            </w:r>
          </w:p>
        </w:tc>
        <w:tc>
          <w:tcPr>
            <w:tcW w:w="1624" w:type="dxa"/>
            <w:tcBorders>
              <w:top w:val="single" w:color="auto" w:sz="4" w:space="0"/>
              <w:left w:val="single" w:color="auto" w:sz="4" w:space="0"/>
              <w:bottom w:val="single" w:color="auto" w:sz="4" w:space="0"/>
              <w:right w:val="single" w:color="auto" w:sz="4" w:space="0"/>
            </w:tcBorders>
            <w:vAlign w:val="center"/>
          </w:tcPr>
          <w:p w14:paraId="6DE0A6A0">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2520" w:type="dxa"/>
            <w:gridSpan w:val="3"/>
            <w:tcBorders>
              <w:top w:val="single" w:color="auto" w:sz="4" w:space="0"/>
              <w:left w:val="single" w:color="auto" w:sz="4" w:space="0"/>
              <w:bottom w:val="single" w:color="auto" w:sz="4" w:space="0"/>
              <w:right w:val="single" w:color="auto" w:sz="4" w:space="0"/>
            </w:tcBorders>
            <w:vAlign w:val="center"/>
          </w:tcPr>
          <w:p w14:paraId="411A7464">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其中：投标人出资比例</w:t>
            </w:r>
          </w:p>
        </w:tc>
        <w:tc>
          <w:tcPr>
            <w:tcW w:w="2600" w:type="dxa"/>
            <w:tcBorders>
              <w:top w:val="single" w:color="auto" w:sz="4" w:space="0"/>
              <w:left w:val="single" w:color="auto" w:sz="4" w:space="0"/>
              <w:bottom w:val="single" w:color="auto" w:sz="4" w:space="0"/>
              <w:right w:val="single" w:color="auto" w:sz="4" w:space="0"/>
            </w:tcBorders>
            <w:vAlign w:val="center"/>
          </w:tcPr>
          <w:p w14:paraId="69EF27CC">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14B678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0257D0FF">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员工总人数</w:t>
            </w:r>
          </w:p>
        </w:tc>
        <w:tc>
          <w:tcPr>
            <w:tcW w:w="1624" w:type="dxa"/>
            <w:tcBorders>
              <w:top w:val="single" w:color="auto" w:sz="4" w:space="0"/>
              <w:left w:val="single" w:color="auto" w:sz="4" w:space="0"/>
              <w:bottom w:val="single" w:color="auto" w:sz="4" w:space="0"/>
              <w:right w:val="single" w:color="auto" w:sz="4" w:space="0"/>
            </w:tcBorders>
            <w:vAlign w:val="center"/>
          </w:tcPr>
          <w:p w14:paraId="3773E51E">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2520" w:type="dxa"/>
            <w:gridSpan w:val="3"/>
            <w:tcBorders>
              <w:top w:val="single" w:color="auto" w:sz="4" w:space="0"/>
              <w:left w:val="single" w:color="auto" w:sz="4" w:space="0"/>
              <w:bottom w:val="single" w:color="auto" w:sz="4" w:space="0"/>
              <w:right w:val="single" w:color="auto" w:sz="4" w:space="0"/>
            </w:tcBorders>
            <w:vAlign w:val="center"/>
          </w:tcPr>
          <w:p w14:paraId="5166DD43">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其中：技术人员数</w:t>
            </w:r>
          </w:p>
        </w:tc>
        <w:tc>
          <w:tcPr>
            <w:tcW w:w="2600" w:type="dxa"/>
            <w:tcBorders>
              <w:top w:val="single" w:color="auto" w:sz="4" w:space="0"/>
              <w:left w:val="single" w:color="auto" w:sz="4" w:space="0"/>
              <w:bottom w:val="single" w:color="auto" w:sz="4" w:space="0"/>
              <w:right w:val="single" w:color="auto" w:sz="4" w:space="0"/>
            </w:tcBorders>
            <w:vAlign w:val="center"/>
          </w:tcPr>
          <w:p w14:paraId="4982D5F0">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7F0B5F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7ECFD744">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经营期限</w:t>
            </w:r>
          </w:p>
        </w:tc>
        <w:tc>
          <w:tcPr>
            <w:tcW w:w="6744" w:type="dxa"/>
            <w:gridSpan w:val="5"/>
            <w:tcBorders>
              <w:top w:val="single" w:color="auto" w:sz="4" w:space="0"/>
              <w:left w:val="single" w:color="auto" w:sz="4" w:space="0"/>
              <w:bottom w:val="single" w:color="auto" w:sz="4" w:space="0"/>
              <w:right w:val="single" w:color="auto" w:sz="4" w:space="0"/>
            </w:tcBorders>
            <w:vAlign w:val="center"/>
          </w:tcPr>
          <w:p w14:paraId="2825A227">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199F13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520EF7B6">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售后服务协议</w:t>
            </w:r>
          </w:p>
        </w:tc>
        <w:tc>
          <w:tcPr>
            <w:tcW w:w="6744" w:type="dxa"/>
            <w:gridSpan w:val="5"/>
            <w:tcBorders>
              <w:top w:val="single" w:color="auto" w:sz="4" w:space="0"/>
              <w:left w:val="single" w:color="auto" w:sz="4" w:space="0"/>
              <w:bottom w:val="single" w:color="auto" w:sz="4" w:space="0"/>
              <w:right w:val="single" w:color="auto" w:sz="4" w:space="0"/>
            </w:tcBorders>
            <w:vAlign w:val="center"/>
          </w:tcPr>
          <w:p w14:paraId="007499B6">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5F6AF5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466B8414">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售后服务内容</w:t>
            </w:r>
          </w:p>
        </w:tc>
        <w:tc>
          <w:tcPr>
            <w:tcW w:w="6744" w:type="dxa"/>
            <w:gridSpan w:val="5"/>
            <w:tcBorders>
              <w:top w:val="single" w:color="auto" w:sz="4" w:space="0"/>
              <w:left w:val="single" w:color="auto" w:sz="4" w:space="0"/>
              <w:bottom w:val="single" w:color="auto" w:sz="4" w:space="0"/>
              <w:right w:val="single" w:color="auto" w:sz="4" w:space="0"/>
            </w:tcBorders>
            <w:vAlign w:val="center"/>
          </w:tcPr>
          <w:p w14:paraId="35A6F6FB">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225A68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6826E5A8">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工作业绩</w:t>
            </w:r>
          </w:p>
        </w:tc>
        <w:tc>
          <w:tcPr>
            <w:tcW w:w="6744" w:type="dxa"/>
            <w:gridSpan w:val="5"/>
            <w:tcBorders>
              <w:top w:val="single" w:color="auto" w:sz="4" w:space="0"/>
              <w:left w:val="single" w:color="auto" w:sz="4" w:space="0"/>
              <w:bottom w:val="single" w:color="auto" w:sz="4" w:space="0"/>
              <w:right w:val="single" w:color="auto" w:sz="4" w:space="0"/>
            </w:tcBorders>
            <w:vAlign w:val="center"/>
          </w:tcPr>
          <w:p w14:paraId="0F75FB44">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148A3A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48094ABD">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服务承诺</w:t>
            </w:r>
          </w:p>
        </w:tc>
        <w:tc>
          <w:tcPr>
            <w:tcW w:w="6744" w:type="dxa"/>
            <w:gridSpan w:val="5"/>
            <w:tcBorders>
              <w:top w:val="single" w:color="auto" w:sz="4" w:space="0"/>
              <w:left w:val="single" w:color="auto" w:sz="4" w:space="0"/>
              <w:bottom w:val="single" w:color="auto" w:sz="4" w:space="0"/>
              <w:right w:val="single" w:color="auto" w:sz="4" w:space="0"/>
            </w:tcBorders>
            <w:vAlign w:val="center"/>
          </w:tcPr>
          <w:p w14:paraId="5D236C70">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3428F3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272D9DFA">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业务咨询电话</w:t>
            </w:r>
          </w:p>
        </w:tc>
        <w:tc>
          <w:tcPr>
            <w:tcW w:w="1815" w:type="dxa"/>
            <w:gridSpan w:val="2"/>
            <w:tcBorders>
              <w:top w:val="single" w:color="auto" w:sz="4" w:space="0"/>
              <w:left w:val="single" w:color="auto" w:sz="4" w:space="0"/>
              <w:bottom w:val="single" w:color="auto" w:sz="4" w:space="0"/>
              <w:right w:val="single" w:color="auto" w:sz="2" w:space="0"/>
            </w:tcBorders>
            <w:vAlign w:val="center"/>
          </w:tcPr>
          <w:p w14:paraId="7B9A8FCB">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1440" w:type="dxa"/>
            <w:tcBorders>
              <w:top w:val="single" w:color="auto" w:sz="4" w:space="0"/>
              <w:left w:val="single" w:color="auto" w:sz="2" w:space="0"/>
              <w:bottom w:val="single" w:color="auto" w:sz="4" w:space="0"/>
              <w:right w:val="single" w:color="auto" w:sz="2" w:space="0"/>
            </w:tcBorders>
            <w:vAlign w:val="center"/>
          </w:tcPr>
          <w:p w14:paraId="086C6654">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传 真</w:t>
            </w:r>
          </w:p>
        </w:tc>
        <w:tc>
          <w:tcPr>
            <w:tcW w:w="3489" w:type="dxa"/>
            <w:gridSpan w:val="2"/>
            <w:tcBorders>
              <w:top w:val="single" w:color="auto" w:sz="4" w:space="0"/>
              <w:left w:val="single" w:color="auto" w:sz="2" w:space="0"/>
              <w:bottom w:val="single" w:color="auto" w:sz="4" w:space="0"/>
              <w:right w:val="single" w:color="auto" w:sz="2" w:space="0"/>
            </w:tcBorders>
            <w:vAlign w:val="center"/>
          </w:tcPr>
          <w:p w14:paraId="0BD92CA8">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r w14:paraId="38DF8F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728" w:type="dxa"/>
            <w:tcBorders>
              <w:top w:val="single" w:color="auto" w:sz="4" w:space="0"/>
              <w:left w:val="single" w:color="auto" w:sz="4" w:space="0"/>
              <w:bottom w:val="single" w:color="auto" w:sz="4" w:space="0"/>
              <w:right w:val="single" w:color="auto" w:sz="4" w:space="0"/>
            </w:tcBorders>
            <w:vAlign w:val="center"/>
          </w:tcPr>
          <w:p w14:paraId="2996D25C">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负责人</w:t>
            </w:r>
          </w:p>
        </w:tc>
        <w:tc>
          <w:tcPr>
            <w:tcW w:w="1815" w:type="dxa"/>
            <w:gridSpan w:val="2"/>
            <w:tcBorders>
              <w:top w:val="single" w:color="auto" w:sz="4" w:space="0"/>
              <w:left w:val="single" w:color="auto" w:sz="4" w:space="0"/>
              <w:bottom w:val="single" w:color="auto" w:sz="4" w:space="0"/>
              <w:right w:val="single" w:color="auto" w:sz="2" w:space="0"/>
            </w:tcBorders>
            <w:vAlign w:val="center"/>
          </w:tcPr>
          <w:p w14:paraId="00804909">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c>
          <w:tcPr>
            <w:tcW w:w="1440" w:type="dxa"/>
            <w:tcBorders>
              <w:top w:val="single" w:color="auto" w:sz="4" w:space="0"/>
              <w:left w:val="single" w:color="auto" w:sz="2" w:space="0"/>
              <w:bottom w:val="single" w:color="auto" w:sz="4" w:space="0"/>
              <w:right w:val="single" w:color="auto" w:sz="2" w:space="0"/>
            </w:tcBorders>
            <w:vAlign w:val="center"/>
          </w:tcPr>
          <w:p w14:paraId="65C2495E">
            <w:pPr>
              <w:shd w:val="clear"/>
              <w:adjustRightInd w:val="0"/>
              <w:snapToGrid w:val="0"/>
              <w:spacing w:line="360" w:lineRule="auto"/>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联系电话</w:t>
            </w:r>
          </w:p>
        </w:tc>
        <w:tc>
          <w:tcPr>
            <w:tcW w:w="3489" w:type="dxa"/>
            <w:gridSpan w:val="2"/>
            <w:tcBorders>
              <w:top w:val="single" w:color="auto" w:sz="4" w:space="0"/>
              <w:left w:val="single" w:color="auto" w:sz="2" w:space="0"/>
              <w:bottom w:val="single" w:color="auto" w:sz="4" w:space="0"/>
              <w:right w:val="single" w:color="auto" w:sz="4" w:space="0"/>
            </w:tcBorders>
            <w:vAlign w:val="center"/>
          </w:tcPr>
          <w:p w14:paraId="4EE6F4B2">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tc>
      </w:tr>
    </w:tbl>
    <w:p w14:paraId="4FA84A62">
      <w:pPr>
        <w:shd w:val="clear"/>
        <w:spacing w:line="360" w:lineRule="auto"/>
        <w:rPr>
          <w:rFonts w:cs="仿宋" w:asciiTheme="majorEastAsia" w:hAnsiTheme="majorEastAsia" w:eastAsiaTheme="majorEastAsia"/>
          <w:color w:val="auto"/>
          <w:highlight w:val="none"/>
        </w:rPr>
      </w:pPr>
    </w:p>
    <w:p w14:paraId="377E473B">
      <w:pPr>
        <w:shd w:val="clear"/>
        <w:spacing w:line="360" w:lineRule="auto"/>
        <w:rPr>
          <w:rFonts w:cs="仿宋" w:asciiTheme="majorEastAsia" w:hAnsiTheme="majorEastAsia" w:eastAsiaTheme="majorEastAsia"/>
          <w:color w:val="auto"/>
          <w:highlight w:val="none"/>
        </w:rPr>
      </w:pPr>
    </w:p>
    <w:p w14:paraId="02374B79">
      <w:pPr>
        <w:shd w:val="clear"/>
        <w:adjustRightInd w:val="0"/>
        <w:snapToGrid w:val="0"/>
        <w:spacing w:line="360" w:lineRule="auto"/>
        <w:rPr>
          <w:rFonts w:cs="仿宋" w:asciiTheme="majorEastAsia" w:hAnsiTheme="majorEastAsia" w:eastAsiaTheme="majorEastAsia"/>
          <w:color w:val="auto"/>
          <w:kern w:val="0"/>
          <w:sz w:val="24"/>
          <w:highlight w:val="none"/>
          <w:lang w:val="zh-CN"/>
        </w:rPr>
      </w:pPr>
    </w:p>
    <w:p w14:paraId="74E8619B">
      <w:pPr>
        <w:shd w:val="clear"/>
        <w:adjustRightInd w:val="0"/>
        <w:snapToGrid w:val="0"/>
        <w:spacing w:line="360" w:lineRule="auto"/>
        <w:ind w:left="3990" w:leftChars="1900"/>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法定代表人或其授权委托人（签名或印章）：</w:t>
      </w:r>
    </w:p>
    <w:p w14:paraId="69E699ED">
      <w:pPr>
        <w:shd w:val="clear"/>
        <w:adjustRightInd w:val="0"/>
        <w:snapToGrid w:val="0"/>
        <w:spacing w:line="360" w:lineRule="auto"/>
        <w:ind w:left="3990" w:leftChars="1900"/>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投标人（盖章）：</w:t>
      </w:r>
    </w:p>
    <w:p w14:paraId="715B9255">
      <w:pPr>
        <w:shd w:val="clear"/>
        <w:adjustRightInd w:val="0"/>
        <w:snapToGrid w:val="0"/>
        <w:spacing w:line="360" w:lineRule="auto"/>
        <w:rPr>
          <w:rFonts w:cs="仿宋" w:asciiTheme="majorEastAsia" w:hAnsiTheme="majorEastAsia" w:eastAsiaTheme="majorEastAsia"/>
          <w:b/>
          <w:color w:val="auto"/>
          <w:kern w:val="0"/>
          <w:sz w:val="32"/>
          <w:szCs w:val="32"/>
          <w:highlight w:val="none"/>
          <w:lang w:val="zh-CN"/>
        </w:rPr>
      </w:pPr>
      <w:r>
        <w:rPr>
          <w:rFonts w:hint="eastAsia" w:cs="仿宋" w:asciiTheme="majorEastAsia" w:hAnsiTheme="majorEastAsia" w:eastAsiaTheme="majorEastAsia"/>
          <w:color w:val="auto"/>
          <w:kern w:val="0"/>
          <w:sz w:val="24"/>
          <w:highlight w:val="none"/>
          <w:lang w:val="zh-CN"/>
        </w:rPr>
        <w:t xml:space="preserve">                                 日期</w:t>
      </w:r>
      <w:r>
        <w:rPr>
          <w:rFonts w:hint="eastAsia" w:cs="仿宋" w:asciiTheme="majorEastAsia" w:hAnsiTheme="majorEastAsia" w:eastAsiaTheme="majorEastAsia"/>
          <w:color w:val="auto"/>
          <w:kern w:val="0"/>
          <w:sz w:val="24"/>
          <w:highlight w:val="none"/>
        </w:rPr>
        <w:t>:</w:t>
      </w:r>
    </w:p>
    <w:p w14:paraId="7E098C30">
      <w:pPr>
        <w:shd w:val="clear"/>
        <w:snapToGrid w:val="0"/>
        <w:spacing w:line="360" w:lineRule="auto"/>
        <w:jc w:val="center"/>
        <w:outlineLvl w:val="0"/>
        <w:rPr>
          <w:rFonts w:cs="仿宋" w:asciiTheme="majorEastAsia" w:hAnsiTheme="majorEastAsia" w:eastAsiaTheme="majorEastAsia"/>
          <w:b/>
          <w:color w:val="auto"/>
          <w:kern w:val="0"/>
          <w:sz w:val="32"/>
          <w:szCs w:val="32"/>
          <w:highlight w:val="none"/>
          <w:lang w:val="zh-CN"/>
        </w:rPr>
      </w:pPr>
      <w:r>
        <w:rPr>
          <w:rFonts w:hint="eastAsia" w:cs="仿宋" w:asciiTheme="majorEastAsia" w:hAnsiTheme="majorEastAsia" w:eastAsiaTheme="majorEastAsia"/>
          <w:b/>
          <w:color w:val="auto"/>
          <w:kern w:val="0"/>
          <w:sz w:val="32"/>
          <w:szCs w:val="32"/>
          <w:highlight w:val="none"/>
          <w:lang w:val="zh-CN"/>
        </w:rPr>
        <w:br w:type="page"/>
      </w:r>
      <w:r>
        <w:rPr>
          <w:rFonts w:hint="eastAsia" w:cs="仿宋" w:asciiTheme="majorEastAsia" w:hAnsiTheme="majorEastAsia" w:eastAsiaTheme="majorEastAsia"/>
          <w:b/>
          <w:color w:val="auto"/>
          <w:kern w:val="0"/>
          <w:sz w:val="32"/>
          <w:szCs w:val="32"/>
          <w:highlight w:val="none"/>
          <w:lang w:val="zh-CN"/>
        </w:rPr>
        <w:t>七、评标标准相应的商务技术资料</w:t>
      </w:r>
    </w:p>
    <w:p w14:paraId="02CB2A9D">
      <w:pPr>
        <w:shd w:val="clear"/>
        <w:snapToGrid w:val="0"/>
        <w:spacing w:line="360" w:lineRule="auto"/>
        <w:jc w:val="left"/>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（按招标文件第四部分评标办法前附表中“投标文件中评标标准相应的商务技术资料目录”提供资料）</w:t>
      </w:r>
    </w:p>
    <w:p w14:paraId="1EE9C324">
      <w:pPr>
        <w:pStyle w:val="27"/>
        <w:shd w:val="clear"/>
        <w:ind w:firstLine="560"/>
        <w:rPr>
          <w:rFonts w:asciiTheme="majorEastAsia" w:hAnsiTheme="majorEastAsia" w:eastAsiaTheme="majorEastAsia"/>
          <w:color w:val="auto"/>
          <w:highlight w:val="none"/>
          <w:lang w:val="zh-CN"/>
        </w:rPr>
      </w:pPr>
    </w:p>
    <w:p w14:paraId="21952C57">
      <w:pPr>
        <w:shd w:val="clear"/>
        <w:snapToGrid w:val="0"/>
        <w:spacing w:line="360" w:lineRule="auto"/>
        <w:jc w:val="center"/>
        <w:outlineLvl w:val="0"/>
        <w:rPr>
          <w:rFonts w:cs="仿宋" w:asciiTheme="majorEastAsia" w:hAnsiTheme="majorEastAsia" w:eastAsiaTheme="majorEastAsia"/>
          <w:b/>
          <w:color w:val="auto"/>
          <w:kern w:val="0"/>
          <w:sz w:val="32"/>
          <w:szCs w:val="32"/>
          <w:highlight w:val="none"/>
          <w:lang w:val="zh-CN"/>
        </w:rPr>
      </w:pPr>
      <w:r>
        <w:rPr>
          <w:rFonts w:hint="eastAsia" w:cs="仿宋" w:asciiTheme="majorEastAsia" w:hAnsiTheme="majorEastAsia" w:eastAsiaTheme="majorEastAsia"/>
          <w:b/>
          <w:color w:val="auto"/>
          <w:kern w:val="0"/>
          <w:sz w:val="32"/>
          <w:szCs w:val="32"/>
          <w:highlight w:val="none"/>
          <w:lang w:val="zh-CN"/>
        </w:rPr>
        <w:t>八、商务响应表</w:t>
      </w:r>
    </w:p>
    <w:tbl>
      <w:tblPr>
        <w:tblStyle w:val="21"/>
        <w:tblW w:w="5096"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694"/>
        <w:gridCol w:w="6847"/>
        <w:gridCol w:w="773"/>
        <w:gridCol w:w="1295"/>
      </w:tblGrid>
      <w:tr w14:paraId="283B67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1" w:hRule="atLeast"/>
          <w:jc w:val="center"/>
        </w:trPr>
        <w:tc>
          <w:tcPr>
            <w:tcW w:w="361" w:type="pct"/>
            <w:tcBorders>
              <w:top w:val="single" w:color="auto" w:sz="4" w:space="0"/>
              <w:left w:val="single" w:color="auto" w:sz="4" w:space="0"/>
              <w:bottom w:val="single" w:color="auto" w:sz="4" w:space="0"/>
              <w:right w:val="single" w:color="auto" w:sz="4" w:space="0"/>
            </w:tcBorders>
            <w:vAlign w:val="center"/>
          </w:tcPr>
          <w:p w14:paraId="65D71676">
            <w:pPr>
              <w:shd w:val="clear"/>
              <w:jc w:val="center"/>
              <w:rPr>
                <w:rFonts w:ascii="宋体" w:hAnsi="宋体"/>
                <w:color w:val="auto"/>
                <w:sz w:val="24"/>
                <w:highlight w:val="none"/>
              </w:rPr>
            </w:pPr>
            <w:r>
              <w:rPr>
                <w:rFonts w:hint="eastAsia" w:ascii="宋体" w:hAnsi="宋体"/>
                <w:color w:val="auto"/>
                <w:sz w:val="24"/>
                <w:highlight w:val="none"/>
              </w:rPr>
              <w:t>项目</w:t>
            </w:r>
          </w:p>
        </w:tc>
        <w:tc>
          <w:tcPr>
            <w:tcW w:w="3563" w:type="pct"/>
            <w:tcBorders>
              <w:top w:val="single" w:color="auto" w:sz="4" w:space="0"/>
              <w:left w:val="single" w:color="auto" w:sz="4" w:space="0"/>
              <w:bottom w:val="single" w:color="auto" w:sz="4" w:space="0"/>
              <w:right w:val="single" w:color="auto" w:sz="4" w:space="0"/>
            </w:tcBorders>
            <w:vAlign w:val="center"/>
          </w:tcPr>
          <w:p w14:paraId="0CFAF9D3">
            <w:pPr>
              <w:shd w:val="clear"/>
              <w:jc w:val="center"/>
              <w:rPr>
                <w:rFonts w:ascii="宋体" w:hAnsi="宋体"/>
                <w:color w:val="auto"/>
                <w:sz w:val="24"/>
                <w:highlight w:val="none"/>
              </w:rPr>
            </w:pPr>
            <w:r>
              <w:rPr>
                <w:rFonts w:hint="eastAsia" w:ascii="宋体" w:hAnsi="宋体"/>
                <w:color w:val="auto"/>
                <w:sz w:val="24"/>
                <w:highlight w:val="none"/>
              </w:rPr>
              <w:t xml:space="preserve">要 求 </w:t>
            </w:r>
          </w:p>
        </w:tc>
        <w:tc>
          <w:tcPr>
            <w:tcW w:w="402" w:type="pct"/>
            <w:tcBorders>
              <w:top w:val="single" w:color="auto" w:sz="4" w:space="0"/>
              <w:left w:val="single" w:color="auto" w:sz="4" w:space="0"/>
              <w:bottom w:val="single" w:color="auto" w:sz="4" w:space="0"/>
              <w:right w:val="single" w:color="auto" w:sz="4" w:space="0"/>
            </w:tcBorders>
            <w:vAlign w:val="center"/>
          </w:tcPr>
          <w:p w14:paraId="278EE005">
            <w:pPr>
              <w:shd w:val="clear"/>
              <w:jc w:val="center"/>
              <w:rPr>
                <w:rFonts w:ascii="宋体" w:hAnsi="宋体"/>
                <w:color w:val="auto"/>
                <w:sz w:val="24"/>
                <w:highlight w:val="none"/>
              </w:rPr>
            </w:pPr>
            <w:r>
              <w:rPr>
                <w:rFonts w:hint="eastAsia" w:ascii="宋体" w:hAnsi="宋体"/>
                <w:color w:val="auto"/>
                <w:sz w:val="24"/>
                <w:highlight w:val="none"/>
              </w:rPr>
              <w:t>响应情况</w:t>
            </w:r>
          </w:p>
        </w:tc>
        <w:tc>
          <w:tcPr>
            <w:tcW w:w="674" w:type="pct"/>
            <w:tcBorders>
              <w:top w:val="single" w:color="auto" w:sz="4" w:space="0"/>
              <w:left w:val="single" w:color="auto" w:sz="4" w:space="0"/>
              <w:bottom w:val="single" w:color="auto" w:sz="4" w:space="0"/>
              <w:right w:val="single" w:color="auto" w:sz="4" w:space="0"/>
            </w:tcBorders>
            <w:vAlign w:val="center"/>
          </w:tcPr>
          <w:p w14:paraId="2EFEE1CC">
            <w:pPr>
              <w:shd w:val="clear"/>
              <w:jc w:val="center"/>
              <w:rPr>
                <w:rFonts w:ascii="宋体" w:hAnsi="宋体"/>
                <w:color w:val="auto"/>
                <w:sz w:val="24"/>
                <w:highlight w:val="none"/>
              </w:rPr>
            </w:pPr>
            <w:r>
              <w:rPr>
                <w:rFonts w:hint="eastAsia" w:ascii="宋体" w:hAnsi="宋体"/>
                <w:color w:val="auto"/>
                <w:sz w:val="24"/>
                <w:highlight w:val="none"/>
              </w:rPr>
              <w:t>投标人承诺或说明</w:t>
            </w:r>
          </w:p>
        </w:tc>
      </w:tr>
      <w:tr w14:paraId="53F3B3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14F8CF82">
            <w:pPr>
              <w:widowControl/>
              <w:shd w:val="clear"/>
              <w:spacing w:line="280" w:lineRule="exact"/>
              <w:jc w:val="center"/>
              <w:textAlignment w:val="center"/>
              <w:rPr>
                <w:color w:val="auto"/>
                <w:highlight w:val="none"/>
              </w:rPr>
            </w:pPr>
          </w:p>
        </w:tc>
        <w:tc>
          <w:tcPr>
            <w:tcW w:w="6744" w:type="dxa"/>
            <w:tcBorders>
              <w:top w:val="single" w:color="auto" w:sz="4" w:space="0"/>
              <w:left w:val="single" w:color="auto" w:sz="4" w:space="0"/>
              <w:bottom w:val="single" w:color="auto" w:sz="4" w:space="0"/>
              <w:right w:val="single" w:color="auto" w:sz="4" w:space="0"/>
            </w:tcBorders>
            <w:vAlign w:val="center"/>
          </w:tcPr>
          <w:p w14:paraId="28357D5B">
            <w:pPr>
              <w:widowControl/>
              <w:shd w:val="clear"/>
              <w:spacing w:line="280" w:lineRule="exact"/>
              <w:textAlignment w:val="center"/>
              <w:rPr>
                <w:color w:val="auto"/>
                <w:highlight w:val="none"/>
              </w:rPr>
            </w:pPr>
          </w:p>
        </w:tc>
        <w:tc>
          <w:tcPr>
            <w:tcW w:w="402" w:type="pct"/>
            <w:tcBorders>
              <w:top w:val="single" w:color="auto" w:sz="4" w:space="0"/>
              <w:left w:val="single" w:color="auto" w:sz="4" w:space="0"/>
              <w:bottom w:val="single" w:color="auto" w:sz="4" w:space="0"/>
              <w:right w:val="single" w:color="auto" w:sz="4" w:space="0"/>
            </w:tcBorders>
          </w:tcPr>
          <w:p w14:paraId="66AF5049">
            <w:pPr>
              <w:widowControl/>
              <w:shd w:val="clear"/>
              <w:spacing w:line="280" w:lineRule="exact"/>
              <w:textAlignment w:val="center"/>
              <w:rPr>
                <w:rFonts w:ascii="宋体" w:hAnsi="宋体" w:cs="宋体"/>
                <w:color w:val="auto"/>
                <w:szCs w:val="21"/>
                <w:highlight w:val="none"/>
              </w:rPr>
            </w:pPr>
          </w:p>
        </w:tc>
        <w:tc>
          <w:tcPr>
            <w:tcW w:w="674" w:type="pct"/>
            <w:tcBorders>
              <w:top w:val="single" w:color="auto" w:sz="4" w:space="0"/>
              <w:left w:val="single" w:color="auto" w:sz="4" w:space="0"/>
              <w:bottom w:val="single" w:color="auto" w:sz="4" w:space="0"/>
              <w:right w:val="single" w:color="auto" w:sz="4" w:space="0"/>
            </w:tcBorders>
          </w:tcPr>
          <w:p w14:paraId="5D7368AC">
            <w:pPr>
              <w:widowControl/>
              <w:shd w:val="clear"/>
              <w:spacing w:line="280" w:lineRule="exact"/>
              <w:textAlignment w:val="center"/>
              <w:rPr>
                <w:rFonts w:ascii="宋体" w:hAnsi="宋体" w:cs="宋体"/>
                <w:color w:val="auto"/>
                <w:szCs w:val="21"/>
                <w:highlight w:val="none"/>
              </w:rPr>
            </w:pPr>
          </w:p>
        </w:tc>
      </w:tr>
      <w:tr w14:paraId="76F82C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237D794A">
            <w:pPr>
              <w:widowControl/>
              <w:shd w:val="clear"/>
              <w:spacing w:line="280" w:lineRule="exact"/>
              <w:textAlignment w:val="center"/>
              <w:rPr>
                <w:color w:val="auto"/>
                <w:highlight w:val="none"/>
              </w:rPr>
            </w:pPr>
          </w:p>
        </w:tc>
        <w:tc>
          <w:tcPr>
            <w:tcW w:w="6744" w:type="dxa"/>
            <w:tcBorders>
              <w:top w:val="single" w:color="auto" w:sz="4" w:space="0"/>
              <w:left w:val="single" w:color="auto" w:sz="4" w:space="0"/>
              <w:bottom w:val="single" w:color="auto" w:sz="4" w:space="0"/>
              <w:right w:val="single" w:color="auto" w:sz="4" w:space="0"/>
            </w:tcBorders>
            <w:vAlign w:val="center"/>
          </w:tcPr>
          <w:p w14:paraId="691EA2FE">
            <w:pPr>
              <w:widowControl/>
              <w:shd w:val="clear"/>
              <w:spacing w:line="280" w:lineRule="exact"/>
              <w:textAlignment w:val="center"/>
              <w:rPr>
                <w:color w:val="auto"/>
                <w:highlight w:val="none"/>
              </w:rPr>
            </w:pPr>
          </w:p>
        </w:tc>
        <w:tc>
          <w:tcPr>
            <w:tcW w:w="402" w:type="pct"/>
            <w:tcBorders>
              <w:top w:val="single" w:color="auto" w:sz="4" w:space="0"/>
              <w:left w:val="single" w:color="auto" w:sz="4" w:space="0"/>
              <w:bottom w:val="single" w:color="auto" w:sz="4" w:space="0"/>
              <w:right w:val="single" w:color="auto" w:sz="4" w:space="0"/>
            </w:tcBorders>
          </w:tcPr>
          <w:p w14:paraId="7794201E">
            <w:pPr>
              <w:widowControl/>
              <w:shd w:val="clear"/>
              <w:spacing w:line="280" w:lineRule="exact"/>
              <w:textAlignment w:val="center"/>
              <w:rPr>
                <w:color w:val="auto"/>
                <w:highlight w:val="none"/>
              </w:rPr>
            </w:pPr>
          </w:p>
        </w:tc>
        <w:tc>
          <w:tcPr>
            <w:tcW w:w="674" w:type="pct"/>
            <w:tcBorders>
              <w:top w:val="single" w:color="auto" w:sz="4" w:space="0"/>
              <w:left w:val="single" w:color="auto" w:sz="4" w:space="0"/>
              <w:bottom w:val="single" w:color="auto" w:sz="4" w:space="0"/>
              <w:right w:val="single" w:color="auto" w:sz="4" w:space="0"/>
            </w:tcBorders>
          </w:tcPr>
          <w:p w14:paraId="582524B9">
            <w:pPr>
              <w:widowControl/>
              <w:shd w:val="clear"/>
              <w:spacing w:line="280" w:lineRule="exact"/>
              <w:textAlignment w:val="center"/>
              <w:rPr>
                <w:color w:val="auto"/>
                <w:highlight w:val="none"/>
              </w:rPr>
            </w:pPr>
          </w:p>
        </w:tc>
      </w:tr>
      <w:tr w14:paraId="4ECCBA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052A8845">
            <w:pPr>
              <w:widowControl/>
              <w:shd w:val="clear"/>
              <w:spacing w:line="280" w:lineRule="exact"/>
              <w:jc w:val="center"/>
              <w:textAlignment w:val="center"/>
              <w:rPr>
                <w:rFonts w:ascii="宋体" w:hAnsi="宋体" w:cs="宋体"/>
                <w:color w:val="auto"/>
                <w:szCs w:val="21"/>
                <w:highlight w:val="none"/>
              </w:rPr>
            </w:pPr>
          </w:p>
        </w:tc>
        <w:tc>
          <w:tcPr>
            <w:tcW w:w="6744" w:type="dxa"/>
            <w:tcBorders>
              <w:top w:val="single" w:color="auto" w:sz="4" w:space="0"/>
              <w:left w:val="single" w:color="auto" w:sz="4" w:space="0"/>
              <w:bottom w:val="single" w:color="auto" w:sz="4" w:space="0"/>
              <w:right w:val="single" w:color="auto" w:sz="4" w:space="0"/>
            </w:tcBorders>
            <w:vAlign w:val="center"/>
          </w:tcPr>
          <w:p w14:paraId="22C6480C">
            <w:pPr>
              <w:widowControl/>
              <w:shd w:val="clear"/>
              <w:spacing w:line="270" w:lineRule="exact"/>
              <w:textAlignment w:val="center"/>
              <w:rPr>
                <w:rFonts w:ascii="宋体" w:hAnsi="宋体" w:cs="宋体"/>
                <w:color w:val="auto"/>
                <w:szCs w:val="21"/>
                <w:highlight w:val="none"/>
              </w:rPr>
            </w:pPr>
          </w:p>
        </w:tc>
        <w:tc>
          <w:tcPr>
            <w:tcW w:w="402" w:type="pct"/>
            <w:tcBorders>
              <w:top w:val="single" w:color="auto" w:sz="4" w:space="0"/>
              <w:left w:val="single" w:color="auto" w:sz="4" w:space="0"/>
              <w:bottom w:val="single" w:color="auto" w:sz="4" w:space="0"/>
              <w:right w:val="single" w:color="auto" w:sz="4" w:space="0"/>
            </w:tcBorders>
          </w:tcPr>
          <w:p w14:paraId="6EF47DF4">
            <w:pPr>
              <w:widowControl/>
              <w:shd w:val="clear"/>
              <w:spacing w:line="270" w:lineRule="exact"/>
              <w:textAlignment w:val="center"/>
              <w:rPr>
                <w:rFonts w:ascii="宋体" w:hAnsi="宋体" w:cs="宋体"/>
                <w:color w:val="auto"/>
                <w:kern w:val="1"/>
                <w:szCs w:val="21"/>
                <w:highlight w:val="none"/>
              </w:rPr>
            </w:pPr>
          </w:p>
        </w:tc>
        <w:tc>
          <w:tcPr>
            <w:tcW w:w="674" w:type="pct"/>
            <w:tcBorders>
              <w:top w:val="single" w:color="auto" w:sz="4" w:space="0"/>
              <w:left w:val="single" w:color="auto" w:sz="4" w:space="0"/>
              <w:bottom w:val="single" w:color="auto" w:sz="4" w:space="0"/>
              <w:right w:val="single" w:color="auto" w:sz="4" w:space="0"/>
            </w:tcBorders>
          </w:tcPr>
          <w:p w14:paraId="2C156579">
            <w:pPr>
              <w:widowControl/>
              <w:shd w:val="clear"/>
              <w:spacing w:line="270" w:lineRule="exact"/>
              <w:textAlignment w:val="center"/>
              <w:rPr>
                <w:rFonts w:ascii="宋体" w:hAnsi="宋体" w:cs="宋体"/>
                <w:color w:val="auto"/>
                <w:kern w:val="1"/>
                <w:szCs w:val="21"/>
                <w:highlight w:val="none"/>
              </w:rPr>
            </w:pPr>
          </w:p>
        </w:tc>
      </w:tr>
      <w:tr w14:paraId="1CAD1A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70D2A39D">
            <w:pPr>
              <w:widowControl/>
              <w:shd w:val="clear"/>
              <w:spacing w:line="280" w:lineRule="exact"/>
              <w:jc w:val="center"/>
              <w:textAlignment w:val="center"/>
              <w:rPr>
                <w:rFonts w:ascii="宋体" w:hAnsi="宋体" w:cs="宋体"/>
                <w:color w:val="auto"/>
                <w:szCs w:val="21"/>
                <w:highlight w:val="none"/>
              </w:rPr>
            </w:pPr>
          </w:p>
        </w:tc>
        <w:tc>
          <w:tcPr>
            <w:tcW w:w="6744" w:type="dxa"/>
            <w:tcBorders>
              <w:top w:val="single" w:color="auto" w:sz="4" w:space="0"/>
              <w:left w:val="single" w:color="auto" w:sz="4" w:space="0"/>
              <w:bottom w:val="single" w:color="auto" w:sz="4" w:space="0"/>
              <w:right w:val="single" w:color="auto" w:sz="4" w:space="0"/>
            </w:tcBorders>
            <w:vAlign w:val="center"/>
          </w:tcPr>
          <w:p w14:paraId="03ABD783">
            <w:pPr>
              <w:widowControl/>
              <w:shd w:val="clear"/>
              <w:spacing w:line="270" w:lineRule="exact"/>
              <w:textAlignment w:val="center"/>
              <w:rPr>
                <w:rFonts w:ascii="宋体" w:hAnsi="宋体" w:cs="宋体"/>
                <w:color w:val="auto"/>
                <w:szCs w:val="21"/>
                <w:highlight w:val="none"/>
              </w:rPr>
            </w:pPr>
          </w:p>
        </w:tc>
        <w:tc>
          <w:tcPr>
            <w:tcW w:w="402" w:type="pct"/>
            <w:tcBorders>
              <w:top w:val="single" w:color="auto" w:sz="4" w:space="0"/>
              <w:left w:val="single" w:color="auto" w:sz="4" w:space="0"/>
              <w:bottom w:val="single" w:color="auto" w:sz="4" w:space="0"/>
              <w:right w:val="single" w:color="auto" w:sz="4" w:space="0"/>
            </w:tcBorders>
          </w:tcPr>
          <w:p w14:paraId="5BFF812D">
            <w:pPr>
              <w:widowControl/>
              <w:shd w:val="clear"/>
              <w:spacing w:line="270" w:lineRule="exact"/>
              <w:textAlignment w:val="center"/>
              <w:rPr>
                <w:rFonts w:ascii="宋体" w:hAnsi="宋体" w:cs="宋体"/>
                <w:color w:val="auto"/>
                <w:szCs w:val="21"/>
                <w:highlight w:val="none"/>
              </w:rPr>
            </w:pPr>
          </w:p>
        </w:tc>
        <w:tc>
          <w:tcPr>
            <w:tcW w:w="674" w:type="pct"/>
            <w:tcBorders>
              <w:top w:val="single" w:color="auto" w:sz="4" w:space="0"/>
              <w:left w:val="single" w:color="auto" w:sz="4" w:space="0"/>
              <w:bottom w:val="single" w:color="auto" w:sz="4" w:space="0"/>
              <w:right w:val="single" w:color="auto" w:sz="4" w:space="0"/>
            </w:tcBorders>
          </w:tcPr>
          <w:p w14:paraId="4E3FA8B0">
            <w:pPr>
              <w:widowControl/>
              <w:shd w:val="clear"/>
              <w:spacing w:line="270" w:lineRule="exact"/>
              <w:textAlignment w:val="center"/>
              <w:rPr>
                <w:rFonts w:ascii="宋体" w:hAnsi="宋体" w:cs="宋体"/>
                <w:color w:val="auto"/>
                <w:szCs w:val="21"/>
                <w:highlight w:val="none"/>
              </w:rPr>
            </w:pPr>
          </w:p>
        </w:tc>
      </w:tr>
      <w:tr w14:paraId="76D36F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4A45FB96">
            <w:pPr>
              <w:widowControl/>
              <w:shd w:val="clear"/>
              <w:spacing w:line="280" w:lineRule="exact"/>
              <w:jc w:val="center"/>
              <w:textAlignment w:val="center"/>
              <w:rPr>
                <w:rFonts w:ascii="宋体" w:hAnsi="宋体" w:cs="宋体"/>
                <w:color w:val="auto"/>
                <w:szCs w:val="21"/>
                <w:highlight w:val="none"/>
              </w:rPr>
            </w:pPr>
          </w:p>
        </w:tc>
        <w:tc>
          <w:tcPr>
            <w:tcW w:w="6744" w:type="dxa"/>
            <w:tcBorders>
              <w:top w:val="single" w:color="auto" w:sz="4" w:space="0"/>
              <w:left w:val="single" w:color="auto" w:sz="4" w:space="0"/>
              <w:bottom w:val="single" w:color="auto" w:sz="4" w:space="0"/>
              <w:right w:val="single" w:color="auto" w:sz="4" w:space="0"/>
            </w:tcBorders>
            <w:vAlign w:val="center"/>
          </w:tcPr>
          <w:p w14:paraId="238BE821">
            <w:pPr>
              <w:widowControl/>
              <w:shd w:val="clear"/>
              <w:spacing w:line="270" w:lineRule="exact"/>
              <w:textAlignment w:val="center"/>
              <w:rPr>
                <w:rFonts w:ascii="宋体" w:hAnsi="宋体" w:cs="宋体"/>
                <w:color w:val="auto"/>
                <w:szCs w:val="21"/>
                <w:highlight w:val="none"/>
              </w:rPr>
            </w:pPr>
          </w:p>
        </w:tc>
        <w:tc>
          <w:tcPr>
            <w:tcW w:w="402" w:type="pct"/>
            <w:tcBorders>
              <w:top w:val="single" w:color="auto" w:sz="4" w:space="0"/>
              <w:left w:val="single" w:color="auto" w:sz="4" w:space="0"/>
              <w:bottom w:val="single" w:color="auto" w:sz="4" w:space="0"/>
              <w:right w:val="single" w:color="auto" w:sz="4" w:space="0"/>
            </w:tcBorders>
          </w:tcPr>
          <w:p w14:paraId="4764A7D5">
            <w:pPr>
              <w:widowControl/>
              <w:shd w:val="clear"/>
              <w:spacing w:line="270" w:lineRule="exact"/>
              <w:textAlignment w:val="center"/>
              <w:rPr>
                <w:rFonts w:ascii="宋体" w:hAnsi="宋体" w:cs="宋体"/>
                <w:color w:val="auto"/>
                <w:szCs w:val="21"/>
                <w:highlight w:val="none"/>
              </w:rPr>
            </w:pPr>
          </w:p>
        </w:tc>
        <w:tc>
          <w:tcPr>
            <w:tcW w:w="674" w:type="pct"/>
            <w:tcBorders>
              <w:top w:val="single" w:color="auto" w:sz="4" w:space="0"/>
              <w:left w:val="single" w:color="auto" w:sz="4" w:space="0"/>
              <w:bottom w:val="single" w:color="auto" w:sz="4" w:space="0"/>
              <w:right w:val="single" w:color="auto" w:sz="4" w:space="0"/>
            </w:tcBorders>
          </w:tcPr>
          <w:p w14:paraId="032D8DBD">
            <w:pPr>
              <w:widowControl/>
              <w:shd w:val="clear"/>
              <w:spacing w:line="270" w:lineRule="exact"/>
              <w:textAlignment w:val="center"/>
              <w:rPr>
                <w:rFonts w:ascii="宋体" w:hAnsi="宋体" w:cs="宋体"/>
                <w:color w:val="auto"/>
                <w:szCs w:val="21"/>
                <w:highlight w:val="none"/>
              </w:rPr>
            </w:pPr>
          </w:p>
        </w:tc>
      </w:tr>
      <w:tr w14:paraId="7758D6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2B683B6C">
            <w:pPr>
              <w:widowControl/>
              <w:shd w:val="clear"/>
              <w:spacing w:line="280" w:lineRule="exact"/>
              <w:jc w:val="center"/>
              <w:textAlignment w:val="center"/>
              <w:rPr>
                <w:color w:val="auto"/>
                <w:highlight w:val="none"/>
              </w:rPr>
            </w:pPr>
          </w:p>
        </w:tc>
        <w:tc>
          <w:tcPr>
            <w:tcW w:w="6744" w:type="dxa"/>
            <w:tcBorders>
              <w:top w:val="single" w:color="auto" w:sz="4" w:space="0"/>
              <w:left w:val="single" w:color="auto" w:sz="4" w:space="0"/>
              <w:bottom w:val="single" w:color="auto" w:sz="4" w:space="0"/>
              <w:right w:val="single" w:color="auto" w:sz="4" w:space="0"/>
            </w:tcBorders>
            <w:vAlign w:val="center"/>
          </w:tcPr>
          <w:p w14:paraId="084F12C3">
            <w:pPr>
              <w:widowControl/>
              <w:shd w:val="clear"/>
              <w:spacing w:line="280" w:lineRule="exact"/>
              <w:textAlignment w:val="center"/>
              <w:rPr>
                <w:color w:val="auto"/>
                <w:highlight w:val="none"/>
              </w:rPr>
            </w:pPr>
          </w:p>
        </w:tc>
        <w:tc>
          <w:tcPr>
            <w:tcW w:w="402" w:type="pct"/>
            <w:tcBorders>
              <w:top w:val="single" w:color="auto" w:sz="4" w:space="0"/>
              <w:left w:val="single" w:color="auto" w:sz="4" w:space="0"/>
              <w:bottom w:val="single" w:color="auto" w:sz="4" w:space="0"/>
              <w:right w:val="single" w:color="auto" w:sz="4" w:space="0"/>
            </w:tcBorders>
          </w:tcPr>
          <w:p w14:paraId="221D099A">
            <w:pPr>
              <w:widowControl/>
              <w:shd w:val="clear"/>
              <w:spacing w:line="280" w:lineRule="exact"/>
              <w:textAlignment w:val="center"/>
              <w:rPr>
                <w:color w:val="auto"/>
                <w:highlight w:val="none"/>
              </w:rPr>
            </w:pPr>
          </w:p>
        </w:tc>
        <w:tc>
          <w:tcPr>
            <w:tcW w:w="674" w:type="pct"/>
            <w:tcBorders>
              <w:top w:val="single" w:color="auto" w:sz="4" w:space="0"/>
              <w:left w:val="single" w:color="auto" w:sz="4" w:space="0"/>
              <w:bottom w:val="single" w:color="auto" w:sz="4" w:space="0"/>
              <w:right w:val="single" w:color="auto" w:sz="4" w:space="0"/>
            </w:tcBorders>
          </w:tcPr>
          <w:p w14:paraId="4DB498AB">
            <w:pPr>
              <w:widowControl/>
              <w:shd w:val="clear"/>
              <w:spacing w:line="280" w:lineRule="exact"/>
              <w:textAlignment w:val="center"/>
              <w:rPr>
                <w:color w:val="auto"/>
                <w:highlight w:val="none"/>
              </w:rPr>
            </w:pPr>
          </w:p>
        </w:tc>
      </w:tr>
      <w:tr w14:paraId="190E92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671040BC">
            <w:pPr>
              <w:widowControl/>
              <w:shd w:val="clear"/>
              <w:spacing w:line="280" w:lineRule="exact"/>
              <w:jc w:val="center"/>
              <w:textAlignment w:val="center"/>
              <w:rPr>
                <w:color w:val="auto"/>
                <w:highlight w:val="none"/>
              </w:rPr>
            </w:pPr>
          </w:p>
        </w:tc>
        <w:tc>
          <w:tcPr>
            <w:tcW w:w="6744" w:type="dxa"/>
            <w:tcBorders>
              <w:top w:val="single" w:color="auto" w:sz="4" w:space="0"/>
              <w:left w:val="single" w:color="auto" w:sz="4" w:space="0"/>
              <w:bottom w:val="single" w:color="auto" w:sz="4" w:space="0"/>
              <w:right w:val="single" w:color="auto" w:sz="4" w:space="0"/>
            </w:tcBorders>
            <w:vAlign w:val="center"/>
          </w:tcPr>
          <w:p w14:paraId="739387CC">
            <w:pPr>
              <w:widowControl/>
              <w:shd w:val="clear"/>
              <w:spacing w:line="280" w:lineRule="exact"/>
              <w:textAlignment w:val="center"/>
              <w:rPr>
                <w:color w:val="auto"/>
                <w:highlight w:val="none"/>
              </w:rPr>
            </w:pPr>
          </w:p>
        </w:tc>
        <w:tc>
          <w:tcPr>
            <w:tcW w:w="402" w:type="pct"/>
            <w:tcBorders>
              <w:top w:val="single" w:color="auto" w:sz="4" w:space="0"/>
              <w:left w:val="single" w:color="auto" w:sz="4" w:space="0"/>
              <w:bottom w:val="single" w:color="auto" w:sz="4" w:space="0"/>
              <w:right w:val="single" w:color="auto" w:sz="4" w:space="0"/>
            </w:tcBorders>
          </w:tcPr>
          <w:p w14:paraId="28D8E5CA">
            <w:pPr>
              <w:widowControl/>
              <w:shd w:val="clear"/>
              <w:spacing w:line="280" w:lineRule="exact"/>
              <w:textAlignment w:val="center"/>
              <w:rPr>
                <w:color w:val="auto"/>
                <w:highlight w:val="none"/>
              </w:rPr>
            </w:pPr>
          </w:p>
        </w:tc>
        <w:tc>
          <w:tcPr>
            <w:tcW w:w="674" w:type="pct"/>
            <w:tcBorders>
              <w:top w:val="single" w:color="auto" w:sz="4" w:space="0"/>
              <w:left w:val="single" w:color="auto" w:sz="4" w:space="0"/>
              <w:bottom w:val="single" w:color="auto" w:sz="4" w:space="0"/>
              <w:right w:val="single" w:color="auto" w:sz="4" w:space="0"/>
            </w:tcBorders>
          </w:tcPr>
          <w:p w14:paraId="4ABB35FE">
            <w:pPr>
              <w:widowControl/>
              <w:shd w:val="clear"/>
              <w:spacing w:line="280" w:lineRule="exact"/>
              <w:textAlignment w:val="center"/>
              <w:rPr>
                <w:color w:val="auto"/>
                <w:highlight w:val="none"/>
              </w:rPr>
            </w:pPr>
          </w:p>
        </w:tc>
      </w:tr>
      <w:tr w14:paraId="2D4C7D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08358849">
            <w:pPr>
              <w:widowControl/>
              <w:shd w:val="clear"/>
              <w:spacing w:line="280" w:lineRule="exact"/>
              <w:jc w:val="center"/>
              <w:textAlignment w:val="center"/>
              <w:rPr>
                <w:color w:val="auto"/>
                <w:highlight w:val="none"/>
              </w:rPr>
            </w:pPr>
          </w:p>
        </w:tc>
        <w:tc>
          <w:tcPr>
            <w:tcW w:w="6744" w:type="dxa"/>
            <w:tcBorders>
              <w:top w:val="single" w:color="auto" w:sz="4" w:space="0"/>
              <w:left w:val="single" w:color="auto" w:sz="4" w:space="0"/>
              <w:bottom w:val="single" w:color="auto" w:sz="4" w:space="0"/>
              <w:right w:val="single" w:color="auto" w:sz="4" w:space="0"/>
            </w:tcBorders>
            <w:vAlign w:val="center"/>
          </w:tcPr>
          <w:p w14:paraId="60DE4E9E">
            <w:pPr>
              <w:widowControl/>
              <w:shd w:val="clear"/>
              <w:spacing w:line="280" w:lineRule="exact"/>
              <w:textAlignment w:val="center"/>
              <w:rPr>
                <w:color w:val="auto"/>
                <w:highlight w:val="none"/>
              </w:rPr>
            </w:pPr>
          </w:p>
        </w:tc>
        <w:tc>
          <w:tcPr>
            <w:tcW w:w="402" w:type="pct"/>
            <w:tcBorders>
              <w:top w:val="single" w:color="auto" w:sz="4" w:space="0"/>
              <w:left w:val="single" w:color="auto" w:sz="4" w:space="0"/>
              <w:bottom w:val="single" w:color="auto" w:sz="4" w:space="0"/>
              <w:right w:val="single" w:color="auto" w:sz="4" w:space="0"/>
            </w:tcBorders>
          </w:tcPr>
          <w:p w14:paraId="7E5A5A2E">
            <w:pPr>
              <w:widowControl/>
              <w:shd w:val="clear"/>
              <w:spacing w:line="280" w:lineRule="exact"/>
              <w:textAlignment w:val="center"/>
              <w:rPr>
                <w:color w:val="auto"/>
                <w:highlight w:val="none"/>
              </w:rPr>
            </w:pPr>
          </w:p>
        </w:tc>
        <w:tc>
          <w:tcPr>
            <w:tcW w:w="674" w:type="pct"/>
            <w:tcBorders>
              <w:top w:val="single" w:color="auto" w:sz="4" w:space="0"/>
              <w:left w:val="single" w:color="auto" w:sz="4" w:space="0"/>
              <w:bottom w:val="single" w:color="auto" w:sz="4" w:space="0"/>
              <w:right w:val="single" w:color="auto" w:sz="4" w:space="0"/>
            </w:tcBorders>
          </w:tcPr>
          <w:p w14:paraId="4FDE7B93">
            <w:pPr>
              <w:widowControl/>
              <w:shd w:val="clear"/>
              <w:spacing w:line="280" w:lineRule="exact"/>
              <w:textAlignment w:val="center"/>
              <w:rPr>
                <w:color w:val="auto"/>
                <w:highlight w:val="none"/>
              </w:rPr>
            </w:pPr>
          </w:p>
        </w:tc>
      </w:tr>
      <w:tr w14:paraId="142371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18701F4C">
            <w:pPr>
              <w:widowControl/>
              <w:shd w:val="clear"/>
              <w:spacing w:line="280" w:lineRule="exact"/>
              <w:jc w:val="center"/>
              <w:rPr>
                <w:rFonts w:ascii="宋体" w:hAnsi="宋体" w:cs="宋体"/>
                <w:color w:val="auto"/>
                <w:szCs w:val="21"/>
                <w:highlight w:val="none"/>
              </w:rPr>
            </w:pPr>
          </w:p>
        </w:tc>
        <w:tc>
          <w:tcPr>
            <w:tcW w:w="6744" w:type="dxa"/>
            <w:tcBorders>
              <w:top w:val="single" w:color="auto" w:sz="4" w:space="0"/>
              <w:left w:val="single" w:color="auto" w:sz="4" w:space="0"/>
              <w:bottom w:val="single" w:color="auto" w:sz="4" w:space="0"/>
              <w:right w:val="single" w:color="auto" w:sz="4" w:space="0"/>
            </w:tcBorders>
            <w:vAlign w:val="center"/>
          </w:tcPr>
          <w:p w14:paraId="595B8B31">
            <w:pPr>
              <w:widowControl/>
              <w:shd w:val="clear"/>
              <w:spacing w:line="270" w:lineRule="exact"/>
              <w:jc w:val="left"/>
              <w:rPr>
                <w:rFonts w:ascii="宋体" w:hAnsi="宋体" w:cs="宋体"/>
                <w:color w:val="auto"/>
                <w:szCs w:val="21"/>
                <w:highlight w:val="none"/>
              </w:rPr>
            </w:pPr>
          </w:p>
        </w:tc>
        <w:tc>
          <w:tcPr>
            <w:tcW w:w="402" w:type="pct"/>
            <w:tcBorders>
              <w:top w:val="single" w:color="auto" w:sz="4" w:space="0"/>
              <w:left w:val="single" w:color="auto" w:sz="4" w:space="0"/>
              <w:bottom w:val="single" w:color="auto" w:sz="4" w:space="0"/>
              <w:right w:val="single" w:color="auto" w:sz="4" w:space="0"/>
            </w:tcBorders>
          </w:tcPr>
          <w:p w14:paraId="5A9298B4">
            <w:pPr>
              <w:widowControl/>
              <w:shd w:val="clear"/>
              <w:tabs>
                <w:tab w:val="left" w:pos="0"/>
              </w:tabs>
              <w:spacing w:line="270" w:lineRule="exact"/>
              <w:rPr>
                <w:rFonts w:ascii="宋体" w:hAnsi="宋体" w:cs="宋体"/>
                <w:color w:val="auto"/>
                <w:kern w:val="0"/>
                <w:szCs w:val="21"/>
                <w:highlight w:val="none"/>
              </w:rPr>
            </w:pPr>
          </w:p>
        </w:tc>
        <w:tc>
          <w:tcPr>
            <w:tcW w:w="674" w:type="pct"/>
            <w:tcBorders>
              <w:top w:val="single" w:color="auto" w:sz="4" w:space="0"/>
              <w:left w:val="single" w:color="auto" w:sz="4" w:space="0"/>
              <w:bottom w:val="single" w:color="auto" w:sz="4" w:space="0"/>
              <w:right w:val="single" w:color="auto" w:sz="4" w:space="0"/>
            </w:tcBorders>
          </w:tcPr>
          <w:p w14:paraId="3FF677F8">
            <w:pPr>
              <w:widowControl/>
              <w:shd w:val="clear"/>
              <w:tabs>
                <w:tab w:val="left" w:pos="0"/>
              </w:tabs>
              <w:spacing w:line="270" w:lineRule="exact"/>
              <w:rPr>
                <w:rFonts w:ascii="宋体" w:hAnsi="宋体" w:cs="宋体"/>
                <w:color w:val="auto"/>
                <w:kern w:val="0"/>
                <w:szCs w:val="21"/>
                <w:highlight w:val="none"/>
              </w:rPr>
            </w:pPr>
          </w:p>
        </w:tc>
      </w:tr>
      <w:tr w14:paraId="4ECA88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36FFCEC6">
            <w:pPr>
              <w:widowControl/>
              <w:shd w:val="clear"/>
              <w:spacing w:line="280" w:lineRule="exact"/>
              <w:jc w:val="center"/>
              <w:textAlignment w:val="center"/>
              <w:rPr>
                <w:color w:val="auto"/>
                <w:highlight w:val="none"/>
              </w:rPr>
            </w:pPr>
          </w:p>
        </w:tc>
        <w:tc>
          <w:tcPr>
            <w:tcW w:w="6744" w:type="dxa"/>
            <w:tcBorders>
              <w:top w:val="single" w:color="auto" w:sz="4" w:space="0"/>
              <w:left w:val="single" w:color="auto" w:sz="4" w:space="0"/>
              <w:bottom w:val="single" w:color="auto" w:sz="4" w:space="0"/>
              <w:right w:val="single" w:color="auto" w:sz="4" w:space="0"/>
            </w:tcBorders>
            <w:vAlign w:val="center"/>
          </w:tcPr>
          <w:p w14:paraId="0EFE0251">
            <w:pPr>
              <w:shd w:val="clear"/>
              <w:rPr>
                <w:color w:val="auto"/>
                <w:highlight w:val="none"/>
              </w:rPr>
            </w:pPr>
          </w:p>
        </w:tc>
        <w:tc>
          <w:tcPr>
            <w:tcW w:w="402" w:type="pct"/>
            <w:tcBorders>
              <w:top w:val="single" w:color="auto" w:sz="4" w:space="0"/>
              <w:left w:val="single" w:color="auto" w:sz="4" w:space="0"/>
              <w:bottom w:val="single" w:color="auto" w:sz="4" w:space="0"/>
              <w:right w:val="single" w:color="auto" w:sz="4" w:space="0"/>
            </w:tcBorders>
          </w:tcPr>
          <w:p w14:paraId="3380A8E3">
            <w:pPr>
              <w:shd w:val="clear"/>
              <w:rPr>
                <w:color w:val="auto"/>
                <w:highlight w:val="none"/>
              </w:rPr>
            </w:pPr>
          </w:p>
        </w:tc>
        <w:tc>
          <w:tcPr>
            <w:tcW w:w="674" w:type="pct"/>
            <w:tcBorders>
              <w:top w:val="single" w:color="auto" w:sz="4" w:space="0"/>
              <w:left w:val="single" w:color="auto" w:sz="4" w:space="0"/>
              <w:bottom w:val="single" w:color="auto" w:sz="4" w:space="0"/>
              <w:right w:val="single" w:color="auto" w:sz="4" w:space="0"/>
            </w:tcBorders>
          </w:tcPr>
          <w:p w14:paraId="27CAB0F7">
            <w:pPr>
              <w:shd w:val="clear"/>
              <w:rPr>
                <w:color w:val="auto"/>
                <w:highlight w:val="none"/>
              </w:rPr>
            </w:pPr>
          </w:p>
        </w:tc>
      </w:tr>
      <w:tr w14:paraId="7E31B5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48AAF31E">
            <w:pPr>
              <w:widowControl/>
              <w:shd w:val="clear"/>
              <w:spacing w:line="280" w:lineRule="exact"/>
              <w:jc w:val="center"/>
              <w:textAlignment w:val="center"/>
              <w:rPr>
                <w:rFonts w:ascii="宋体" w:hAnsi="宋体" w:cs="宋体"/>
                <w:color w:val="auto"/>
                <w:szCs w:val="21"/>
                <w:highlight w:val="none"/>
              </w:rPr>
            </w:pPr>
          </w:p>
        </w:tc>
        <w:tc>
          <w:tcPr>
            <w:tcW w:w="6744" w:type="dxa"/>
            <w:tcBorders>
              <w:top w:val="single" w:color="auto" w:sz="4" w:space="0"/>
              <w:left w:val="single" w:color="auto" w:sz="4" w:space="0"/>
              <w:bottom w:val="single" w:color="auto" w:sz="4" w:space="0"/>
              <w:right w:val="single" w:color="auto" w:sz="4" w:space="0"/>
            </w:tcBorders>
            <w:vAlign w:val="center"/>
          </w:tcPr>
          <w:p w14:paraId="060BCE8B">
            <w:pPr>
              <w:widowControl/>
              <w:shd w:val="clear"/>
              <w:spacing w:line="270" w:lineRule="exact"/>
              <w:textAlignment w:val="center"/>
              <w:rPr>
                <w:rFonts w:ascii="宋体" w:hAnsi="宋体" w:cs="宋体"/>
                <w:color w:val="auto"/>
                <w:szCs w:val="21"/>
                <w:highlight w:val="none"/>
              </w:rPr>
            </w:pPr>
          </w:p>
        </w:tc>
        <w:tc>
          <w:tcPr>
            <w:tcW w:w="402" w:type="pct"/>
            <w:tcBorders>
              <w:top w:val="single" w:color="auto" w:sz="4" w:space="0"/>
              <w:left w:val="single" w:color="auto" w:sz="4" w:space="0"/>
              <w:bottom w:val="single" w:color="auto" w:sz="4" w:space="0"/>
              <w:right w:val="single" w:color="auto" w:sz="4" w:space="0"/>
            </w:tcBorders>
          </w:tcPr>
          <w:p w14:paraId="520E383E">
            <w:pPr>
              <w:widowControl/>
              <w:shd w:val="clear"/>
              <w:spacing w:line="270" w:lineRule="exact"/>
              <w:textAlignment w:val="center"/>
              <w:rPr>
                <w:rFonts w:ascii="宋体" w:hAnsi="宋体" w:cs="宋体"/>
                <w:color w:val="auto"/>
                <w:szCs w:val="21"/>
                <w:highlight w:val="none"/>
              </w:rPr>
            </w:pPr>
          </w:p>
        </w:tc>
        <w:tc>
          <w:tcPr>
            <w:tcW w:w="674" w:type="pct"/>
            <w:tcBorders>
              <w:top w:val="single" w:color="auto" w:sz="4" w:space="0"/>
              <w:left w:val="single" w:color="auto" w:sz="4" w:space="0"/>
              <w:bottom w:val="single" w:color="auto" w:sz="4" w:space="0"/>
              <w:right w:val="single" w:color="auto" w:sz="4" w:space="0"/>
            </w:tcBorders>
          </w:tcPr>
          <w:p w14:paraId="44AF7705">
            <w:pPr>
              <w:widowControl/>
              <w:shd w:val="clear"/>
              <w:spacing w:line="270" w:lineRule="exact"/>
              <w:textAlignment w:val="center"/>
              <w:rPr>
                <w:rFonts w:ascii="宋体" w:hAnsi="宋体" w:cs="宋体"/>
                <w:color w:val="auto"/>
                <w:szCs w:val="21"/>
                <w:highlight w:val="none"/>
              </w:rPr>
            </w:pPr>
          </w:p>
        </w:tc>
      </w:tr>
    </w:tbl>
    <w:p w14:paraId="0CE08A1E">
      <w:pPr>
        <w:shd w:val="clear"/>
        <w:adjustRightInd w:val="0"/>
        <w:snapToGrid w:val="0"/>
        <w:spacing w:line="360" w:lineRule="auto"/>
        <w:jc w:val="right"/>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法定代表人或其授权委托人（签名或印章）：</w:t>
      </w:r>
    </w:p>
    <w:p w14:paraId="2B96D1FA">
      <w:pPr>
        <w:shd w:val="clear"/>
        <w:adjustRightInd w:val="0"/>
        <w:snapToGrid w:val="0"/>
        <w:spacing w:line="360" w:lineRule="auto"/>
        <w:ind w:left="3990" w:leftChars="1900"/>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投标人（盖章）：</w:t>
      </w:r>
    </w:p>
    <w:p w14:paraId="1DFCADC0">
      <w:pPr>
        <w:shd w:val="clear"/>
        <w:adjustRightInd w:val="0"/>
        <w:snapToGrid w:val="0"/>
        <w:spacing w:line="360" w:lineRule="auto"/>
        <w:ind w:right="1920"/>
        <w:jc w:val="center"/>
        <w:rPr>
          <w:rFonts w:cs="仿宋" w:asciiTheme="majorEastAsia" w:hAnsiTheme="majorEastAsia" w:eastAsiaTheme="majorEastAsia"/>
          <w:b/>
          <w:color w:val="auto"/>
          <w:kern w:val="0"/>
          <w:sz w:val="32"/>
          <w:szCs w:val="32"/>
          <w:highlight w:val="none"/>
          <w:lang w:val="zh-CN"/>
        </w:rPr>
      </w:pPr>
      <w:r>
        <w:rPr>
          <w:rFonts w:hint="eastAsia" w:cs="仿宋" w:asciiTheme="majorEastAsia" w:hAnsiTheme="majorEastAsia" w:eastAsiaTheme="majorEastAsia"/>
          <w:color w:val="auto"/>
          <w:kern w:val="0"/>
          <w:sz w:val="24"/>
          <w:highlight w:val="none"/>
          <w:lang w:val="zh-CN"/>
        </w:rPr>
        <w:t xml:space="preserve">                                      日期</w:t>
      </w:r>
      <w:r>
        <w:rPr>
          <w:rFonts w:hint="eastAsia" w:cs="仿宋" w:asciiTheme="majorEastAsia" w:hAnsiTheme="majorEastAsia" w:eastAsiaTheme="majorEastAsia"/>
          <w:color w:val="auto"/>
          <w:kern w:val="0"/>
          <w:sz w:val="24"/>
          <w:highlight w:val="none"/>
        </w:rPr>
        <w:t>:</w:t>
      </w:r>
    </w:p>
    <w:p w14:paraId="77808535">
      <w:pPr>
        <w:widowControl/>
        <w:shd w:val="clear"/>
        <w:jc w:val="left"/>
        <w:rPr>
          <w:rFonts w:asciiTheme="majorEastAsia" w:hAnsiTheme="majorEastAsia" w:eastAsiaTheme="majorEastAsia"/>
          <w:color w:val="auto"/>
          <w:sz w:val="28"/>
          <w:highlight w:val="none"/>
          <w:lang w:val="zh-CN"/>
        </w:rPr>
      </w:pPr>
    </w:p>
    <w:p w14:paraId="5F8C1BA8">
      <w:pPr>
        <w:pStyle w:val="27"/>
        <w:shd w:val="clear"/>
        <w:ind w:firstLine="560"/>
        <w:rPr>
          <w:rFonts w:asciiTheme="majorEastAsia" w:hAnsiTheme="majorEastAsia" w:eastAsiaTheme="majorEastAsia"/>
          <w:color w:val="auto"/>
          <w:highlight w:val="none"/>
          <w:lang w:val="zh-CN"/>
        </w:rPr>
      </w:pPr>
    </w:p>
    <w:p w14:paraId="7759793F">
      <w:pPr>
        <w:widowControl/>
        <w:shd w:val="clear"/>
        <w:jc w:val="left"/>
        <w:rPr>
          <w:rFonts w:asciiTheme="majorEastAsia" w:hAnsiTheme="majorEastAsia" w:eastAsiaTheme="majorEastAsia"/>
          <w:color w:val="auto"/>
          <w:sz w:val="28"/>
          <w:highlight w:val="none"/>
          <w:lang w:val="zh-CN"/>
        </w:rPr>
      </w:pPr>
      <w:r>
        <w:rPr>
          <w:rFonts w:asciiTheme="majorEastAsia" w:hAnsiTheme="majorEastAsia" w:eastAsiaTheme="majorEastAsia"/>
          <w:color w:val="auto"/>
          <w:highlight w:val="none"/>
          <w:lang w:val="zh-CN"/>
        </w:rPr>
        <w:br w:type="page"/>
      </w:r>
    </w:p>
    <w:p w14:paraId="40551F5C">
      <w:pPr>
        <w:pStyle w:val="27"/>
        <w:shd w:val="clear"/>
        <w:ind w:firstLine="560"/>
        <w:rPr>
          <w:rFonts w:asciiTheme="majorEastAsia" w:hAnsiTheme="majorEastAsia" w:eastAsiaTheme="majorEastAsia"/>
          <w:color w:val="auto"/>
          <w:highlight w:val="none"/>
          <w:lang w:val="zh-CN"/>
        </w:rPr>
      </w:pPr>
    </w:p>
    <w:p w14:paraId="7810DFD1">
      <w:pPr>
        <w:shd w:val="clear"/>
        <w:snapToGrid w:val="0"/>
        <w:spacing w:line="360" w:lineRule="auto"/>
        <w:jc w:val="center"/>
        <w:outlineLvl w:val="0"/>
        <w:rPr>
          <w:rFonts w:cs="仿宋" w:asciiTheme="majorEastAsia" w:hAnsiTheme="majorEastAsia" w:eastAsiaTheme="majorEastAsia"/>
          <w:b/>
          <w:color w:val="auto"/>
          <w:kern w:val="0"/>
          <w:sz w:val="32"/>
          <w:szCs w:val="32"/>
          <w:highlight w:val="none"/>
          <w:lang w:val="zh-CN"/>
        </w:rPr>
      </w:pPr>
      <w:r>
        <w:rPr>
          <w:rFonts w:hint="eastAsia" w:cs="仿宋" w:asciiTheme="majorEastAsia" w:hAnsiTheme="majorEastAsia" w:eastAsiaTheme="majorEastAsia"/>
          <w:b/>
          <w:color w:val="auto"/>
          <w:kern w:val="0"/>
          <w:sz w:val="32"/>
          <w:szCs w:val="32"/>
          <w:highlight w:val="none"/>
          <w:lang w:val="zh-CN"/>
        </w:rPr>
        <w:t>九、服务响应表</w:t>
      </w:r>
    </w:p>
    <w:p w14:paraId="40F352EE">
      <w:pPr>
        <w:shd w:val="clear"/>
        <w:ind w:firstLine="240" w:firstLineChars="100"/>
        <w:rPr>
          <w:rFonts w:ascii="宋体" w:hAnsi="宋体" w:cs="宋体"/>
          <w:color w:val="auto"/>
          <w:sz w:val="24"/>
          <w:highlight w:val="none"/>
        </w:rPr>
      </w:pPr>
      <w:r>
        <w:rPr>
          <w:rFonts w:hint="eastAsia" w:ascii="宋体" w:hAnsi="宋体" w:cs="宋体"/>
          <w:color w:val="auto"/>
          <w:sz w:val="24"/>
          <w:highlight w:val="none"/>
        </w:rPr>
        <w:t>项目名称：</w:t>
      </w:r>
    </w:p>
    <w:p w14:paraId="515CBD50">
      <w:pPr>
        <w:shd w:val="clear"/>
        <w:ind w:firstLine="240" w:firstLineChars="100"/>
        <w:rPr>
          <w:rFonts w:ascii="宋体" w:hAnsi="宋体" w:cs="宋体"/>
          <w:color w:val="auto"/>
          <w:sz w:val="24"/>
          <w:highlight w:val="none"/>
        </w:rPr>
      </w:pPr>
    </w:p>
    <w:tbl>
      <w:tblPr>
        <w:tblStyle w:val="21"/>
        <w:tblW w:w="957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2946"/>
        <w:gridCol w:w="2987"/>
        <w:gridCol w:w="2927"/>
      </w:tblGrid>
      <w:tr w14:paraId="6BEE3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709" w:type="dxa"/>
            <w:tcBorders>
              <w:top w:val="single" w:color="auto" w:sz="4" w:space="0"/>
              <w:left w:val="single" w:color="auto" w:sz="4" w:space="0"/>
              <w:bottom w:val="single" w:color="auto" w:sz="4" w:space="0"/>
              <w:right w:val="single" w:color="auto" w:sz="4" w:space="0"/>
            </w:tcBorders>
            <w:vAlign w:val="center"/>
          </w:tcPr>
          <w:p w14:paraId="4D2C0EF8">
            <w:pPr>
              <w:shd w:val="clear"/>
              <w:jc w:val="center"/>
              <w:rPr>
                <w:rFonts w:ascii="宋体" w:hAnsi="宋体" w:cs="宋体"/>
                <w:color w:val="auto"/>
                <w:sz w:val="24"/>
                <w:highlight w:val="none"/>
              </w:rPr>
            </w:pPr>
            <w:r>
              <w:rPr>
                <w:rFonts w:hint="eastAsia" w:ascii="宋体" w:hAnsi="宋体" w:cs="宋体"/>
                <w:color w:val="auto"/>
                <w:sz w:val="24"/>
                <w:highlight w:val="none"/>
              </w:rPr>
              <w:t>序号</w:t>
            </w:r>
          </w:p>
        </w:tc>
        <w:tc>
          <w:tcPr>
            <w:tcW w:w="2944" w:type="dxa"/>
            <w:tcBorders>
              <w:top w:val="single" w:color="auto" w:sz="4" w:space="0"/>
              <w:left w:val="single" w:color="auto" w:sz="4" w:space="0"/>
              <w:bottom w:val="single" w:color="auto" w:sz="4" w:space="0"/>
              <w:right w:val="single" w:color="auto" w:sz="4" w:space="0"/>
            </w:tcBorders>
            <w:vAlign w:val="center"/>
          </w:tcPr>
          <w:p w14:paraId="79FE57D4">
            <w:pPr>
              <w:shd w:val="clear"/>
              <w:ind w:firstLine="240" w:firstLineChars="100"/>
              <w:rPr>
                <w:rFonts w:ascii="宋体" w:hAnsi="宋体" w:cs="宋体"/>
                <w:color w:val="auto"/>
                <w:sz w:val="24"/>
                <w:highlight w:val="none"/>
              </w:rPr>
            </w:pPr>
            <w:r>
              <w:rPr>
                <w:rFonts w:hint="eastAsia" w:ascii="宋体" w:hAnsi="宋体" w:cs="宋体"/>
                <w:color w:val="auto"/>
                <w:sz w:val="24"/>
                <w:highlight w:val="none"/>
              </w:rPr>
              <w:t>采购文件条款描述</w:t>
            </w:r>
          </w:p>
        </w:tc>
        <w:tc>
          <w:tcPr>
            <w:tcW w:w="2985" w:type="dxa"/>
            <w:tcBorders>
              <w:top w:val="single" w:color="auto" w:sz="4" w:space="0"/>
              <w:left w:val="single" w:color="auto" w:sz="4" w:space="0"/>
              <w:bottom w:val="single" w:color="auto" w:sz="4" w:space="0"/>
              <w:right w:val="single" w:color="auto" w:sz="4" w:space="0"/>
            </w:tcBorders>
            <w:vAlign w:val="center"/>
          </w:tcPr>
          <w:p w14:paraId="167A5071">
            <w:pPr>
              <w:shd w:val="clear"/>
              <w:ind w:left="-78" w:leftChars="-37" w:right="-80" w:rightChars="-38"/>
              <w:jc w:val="center"/>
              <w:rPr>
                <w:rFonts w:ascii="宋体" w:hAnsi="宋体" w:cs="宋体"/>
                <w:color w:val="auto"/>
                <w:sz w:val="24"/>
                <w:highlight w:val="none"/>
              </w:rPr>
            </w:pPr>
            <w:r>
              <w:rPr>
                <w:rFonts w:hint="eastAsia" w:ascii="宋体" w:hAnsi="宋体" w:cs="宋体"/>
                <w:color w:val="auto"/>
                <w:sz w:val="24"/>
                <w:highlight w:val="none"/>
              </w:rPr>
              <w:t>投标人响应描述</w:t>
            </w:r>
          </w:p>
        </w:tc>
        <w:tc>
          <w:tcPr>
            <w:tcW w:w="2925" w:type="dxa"/>
            <w:tcBorders>
              <w:top w:val="single" w:color="auto" w:sz="4" w:space="0"/>
              <w:left w:val="single" w:color="auto" w:sz="4" w:space="0"/>
              <w:bottom w:val="single" w:color="auto" w:sz="4" w:space="0"/>
              <w:right w:val="single" w:color="auto" w:sz="4" w:space="0"/>
            </w:tcBorders>
            <w:vAlign w:val="center"/>
          </w:tcPr>
          <w:p w14:paraId="5E513ADD">
            <w:pPr>
              <w:shd w:val="clear"/>
              <w:ind w:left="-78" w:leftChars="-37" w:right="-80" w:rightChars="-38"/>
              <w:jc w:val="center"/>
              <w:rPr>
                <w:rFonts w:ascii="宋体" w:hAnsi="宋体" w:cs="宋体"/>
                <w:color w:val="auto"/>
                <w:sz w:val="24"/>
                <w:highlight w:val="none"/>
              </w:rPr>
            </w:pPr>
            <w:r>
              <w:rPr>
                <w:rFonts w:hint="eastAsia" w:ascii="宋体" w:hAnsi="宋体" w:cs="宋体"/>
                <w:color w:val="auto"/>
                <w:sz w:val="24"/>
                <w:highlight w:val="none"/>
              </w:rPr>
              <w:t>差异</w:t>
            </w:r>
          </w:p>
        </w:tc>
      </w:tr>
      <w:tr w14:paraId="3E3DD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12" w:hRule="atLeast"/>
        </w:trPr>
        <w:tc>
          <w:tcPr>
            <w:tcW w:w="709" w:type="dxa"/>
            <w:tcBorders>
              <w:top w:val="single" w:color="auto" w:sz="4" w:space="0"/>
              <w:left w:val="single" w:color="auto" w:sz="4" w:space="0"/>
              <w:bottom w:val="single" w:color="auto" w:sz="4" w:space="0"/>
              <w:right w:val="single" w:color="auto" w:sz="4" w:space="0"/>
            </w:tcBorders>
            <w:vAlign w:val="center"/>
          </w:tcPr>
          <w:p w14:paraId="5DBD08BB">
            <w:pPr>
              <w:shd w:val="clear"/>
              <w:jc w:val="center"/>
              <w:rPr>
                <w:rFonts w:ascii="宋体" w:hAnsi="宋体" w:cs="宋体"/>
                <w:color w:val="auto"/>
                <w:sz w:val="24"/>
                <w:highlight w:val="none"/>
              </w:rPr>
            </w:pPr>
            <w:r>
              <w:rPr>
                <w:rFonts w:hint="eastAsia" w:ascii="宋体" w:hAnsi="宋体" w:cs="宋体"/>
                <w:color w:val="auto"/>
                <w:sz w:val="24"/>
                <w:highlight w:val="none"/>
              </w:rPr>
              <w:t>1</w:t>
            </w:r>
          </w:p>
        </w:tc>
        <w:tc>
          <w:tcPr>
            <w:tcW w:w="2944" w:type="dxa"/>
            <w:tcBorders>
              <w:top w:val="single" w:color="auto" w:sz="4" w:space="0"/>
              <w:left w:val="single" w:color="auto" w:sz="4" w:space="0"/>
              <w:bottom w:val="single" w:color="auto" w:sz="4" w:space="0"/>
              <w:right w:val="single" w:color="auto" w:sz="4" w:space="0"/>
            </w:tcBorders>
            <w:vAlign w:val="center"/>
          </w:tcPr>
          <w:p w14:paraId="19BEBAFF">
            <w:pPr>
              <w:shd w:val="clear"/>
              <w:jc w:val="center"/>
              <w:rPr>
                <w:rFonts w:ascii="宋体" w:hAnsi="宋体" w:cs="宋体"/>
                <w:color w:val="auto"/>
                <w:sz w:val="24"/>
                <w:highlight w:val="none"/>
              </w:rPr>
            </w:pPr>
            <w:r>
              <w:rPr>
                <w:rFonts w:hint="eastAsia" w:ascii="宋体" w:hAnsi="宋体" w:cs="宋体"/>
                <w:color w:val="auto"/>
                <w:sz w:val="24"/>
                <w:highlight w:val="none"/>
              </w:rPr>
              <w:t>第三部分 采购需求所有条款</w:t>
            </w:r>
          </w:p>
        </w:tc>
        <w:tc>
          <w:tcPr>
            <w:tcW w:w="2985" w:type="dxa"/>
            <w:tcBorders>
              <w:top w:val="single" w:color="auto" w:sz="4" w:space="0"/>
              <w:left w:val="single" w:color="auto" w:sz="4" w:space="0"/>
              <w:bottom w:val="single" w:color="auto" w:sz="4" w:space="0"/>
              <w:right w:val="single" w:color="auto" w:sz="4" w:space="0"/>
            </w:tcBorders>
            <w:vAlign w:val="center"/>
          </w:tcPr>
          <w:p w14:paraId="5CDE469E">
            <w:pPr>
              <w:shd w:val="clear"/>
              <w:jc w:val="center"/>
              <w:rPr>
                <w:rFonts w:ascii="宋体" w:hAnsi="宋体" w:cs="宋体"/>
                <w:color w:val="auto"/>
                <w:sz w:val="24"/>
                <w:highlight w:val="none"/>
              </w:rPr>
            </w:pPr>
          </w:p>
        </w:tc>
        <w:tc>
          <w:tcPr>
            <w:tcW w:w="2925" w:type="dxa"/>
            <w:tcBorders>
              <w:top w:val="single" w:color="auto" w:sz="4" w:space="0"/>
              <w:left w:val="single" w:color="auto" w:sz="4" w:space="0"/>
              <w:bottom w:val="single" w:color="auto" w:sz="4" w:space="0"/>
              <w:right w:val="single" w:color="auto" w:sz="4" w:space="0"/>
            </w:tcBorders>
          </w:tcPr>
          <w:p w14:paraId="1D59ED51">
            <w:pPr>
              <w:shd w:val="clear"/>
              <w:rPr>
                <w:rFonts w:ascii="宋体" w:hAnsi="宋体" w:cs="宋体"/>
                <w:color w:val="auto"/>
                <w:sz w:val="24"/>
                <w:highlight w:val="none"/>
              </w:rPr>
            </w:pPr>
          </w:p>
        </w:tc>
      </w:tr>
    </w:tbl>
    <w:p w14:paraId="6AE6AAEC">
      <w:pPr>
        <w:shd w:val="clea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注：1、投标人完全满足招标文件全部要求的应在“投标人响应描述”中填写“完全响应”。</w:t>
      </w:r>
      <w:r>
        <w:rPr>
          <w:rFonts w:hint="eastAsia" w:ascii="宋体" w:hAnsi="宋体" w:cs="宋体"/>
          <w:b/>
          <w:bCs/>
          <w:color w:val="auto"/>
          <w:sz w:val="24"/>
          <w:highlight w:val="none"/>
        </w:rPr>
        <w:t>采购需求中如要求提供相关证明资料的，投标人需根据要求提供相关证明材料，未提供或提供不满足的视为负偏离。</w:t>
      </w:r>
    </w:p>
    <w:p w14:paraId="08BBED53">
      <w:pPr>
        <w:shd w:val="clea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2、投标文件响应内容对招标文件要求如有任何偏离（包括正偏离及负偏离）均应汇总并逐条填写在此表“差异”中，未填写部分视作完全响应招标文件要求。</w:t>
      </w:r>
    </w:p>
    <w:p w14:paraId="45B4E5B0">
      <w:pPr>
        <w:shd w:val="clear"/>
        <w:spacing w:line="360" w:lineRule="auto"/>
        <w:ind w:firstLine="3840" w:firstLineChars="1600"/>
        <w:rPr>
          <w:rFonts w:ascii="宋体" w:hAnsi="宋体" w:cs="宋体"/>
          <w:color w:val="auto"/>
          <w:sz w:val="24"/>
          <w:highlight w:val="none"/>
        </w:rPr>
      </w:pPr>
    </w:p>
    <w:p w14:paraId="6DDED731">
      <w:pPr>
        <w:shd w:val="clear"/>
        <w:spacing w:line="360" w:lineRule="auto"/>
        <w:ind w:firstLine="3840" w:firstLineChars="1600"/>
        <w:rPr>
          <w:rFonts w:ascii="宋体" w:hAnsi="宋体" w:cs="宋体"/>
          <w:color w:val="auto"/>
          <w:sz w:val="24"/>
          <w:highlight w:val="none"/>
        </w:rPr>
      </w:pPr>
    </w:p>
    <w:p w14:paraId="55997FCB">
      <w:pPr>
        <w:shd w:val="clear"/>
        <w:spacing w:line="360" w:lineRule="auto"/>
        <w:ind w:firstLine="3840" w:firstLineChars="1600"/>
        <w:rPr>
          <w:rFonts w:ascii="宋体" w:hAnsi="宋体" w:cs="宋体"/>
          <w:color w:val="auto"/>
          <w:sz w:val="24"/>
          <w:highlight w:val="none"/>
        </w:rPr>
      </w:pPr>
    </w:p>
    <w:p w14:paraId="1E0C0CED">
      <w:pPr>
        <w:shd w:val="clear"/>
        <w:spacing w:line="360" w:lineRule="auto"/>
        <w:ind w:firstLine="3840" w:firstLineChars="1600"/>
        <w:rPr>
          <w:rFonts w:ascii="宋体" w:hAnsi="宋体" w:cs="宋体"/>
          <w:color w:val="auto"/>
          <w:sz w:val="24"/>
          <w:highlight w:val="none"/>
        </w:rPr>
      </w:pPr>
    </w:p>
    <w:p w14:paraId="4C6F3E35">
      <w:pPr>
        <w:shd w:val="clear"/>
        <w:spacing w:line="360" w:lineRule="auto"/>
        <w:ind w:firstLine="3840" w:firstLineChars="1600"/>
        <w:rPr>
          <w:rFonts w:ascii="宋体" w:hAnsi="宋体" w:cs="宋体"/>
          <w:color w:val="auto"/>
          <w:sz w:val="24"/>
          <w:highlight w:val="none"/>
        </w:rPr>
      </w:pPr>
      <w:r>
        <w:rPr>
          <w:rFonts w:hint="eastAsia" w:ascii="宋体" w:hAnsi="宋体" w:cs="宋体"/>
          <w:color w:val="auto"/>
          <w:sz w:val="24"/>
          <w:highlight w:val="none"/>
        </w:rPr>
        <w:t>法定代表人或其授权委托人（签名或印章）：</w:t>
      </w:r>
    </w:p>
    <w:p w14:paraId="65892BEF">
      <w:pPr>
        <w:shd w:val="clear"/>
        <w:spacing w:line="360" w:lineRule="auto"/>
        <w:ind w:firstLine="3840" w:firstLineChars="1600"/>
        <w:rPr>
          <w:rFonts w:ascii="宋体" w:hAnsi="宋体" w:cs="宋体"/>
          <w:color w:val="auto"/>
          <w:sz w:val="24"/>
          <w:highlight w:val="none"/>
        </w:rPr>
      </w:pPr>
      <w:r>
        <w:rPr>
          <w:rFonts w:hint="eastAsia" w:ascii="宋体" w:hAnsi="宋体" w:cs="宋体"/>
          <w:color w:val="auto"/>
          <w:sz w:val="24"/>
          <w:highlight w:val="none"/>
        </w:rPr>
        <w:t>供应商（盖章）：</w:t>
      </w:r>
    </w:p>
    <w:p w14:paraId="73325005">
      <w:pPr>
        <w:pStyle w:val="27"/>
        <w:shd w:val="clear"/>
        <w:ind w:firstLine="480"/>
        <w:rPr>
          <w:rFonts w:ascii="宋体" w:hAnsi="宋体" w:eastAsia="宋体" w:cs="宋体"/>
          <w:color w:val="auto"/>
          <w:sz w:val="24"/>
          <w:highlight w:val="none"/>
        </w:rPr>
      </w:pPr>
      <w:r>
        <w:rPr>
          <w:rFonts w:hint="eastAsia" w:ascii="宋体" w:hAnsi="宋体" w:eastAsia="宋体" w:cs="宋体"/>
          <w:color w:val="auto"/>
          <w:sz w:val="24"/>
          <w:highlight w:val="none"/>
        </w:rPr>
        <w:t xml:space="preserve">                            日期：</w:t>
      </w:r>
    </w:p>
    <w:p w14:paraId="6103883E">
      <w:pPr>
        <w:pStyle w:val="27"/>
        <w:shd w:val="clear"/>
        <w:ind w:firstLine="560"/>
        <w:rPr>
          <w:color w:val="auto"/>
          <w:highlight w:val="none"/>
        </w:rPr>
      </w:pPr>
    </w:p>
    <w:p w14:paraId="4BE44E06">
      <w:pPr>
        <w:shd w:val="clear"/>
        <w:jc w:val="center"/>
        <w:rPr>
          <w:rFonts w:ascii="宋体" w:hAnsi="宋体" w:cs="宋体"/>
          <w:b/>
          <w:color w:val="auto"/>
          <w:highlight w:val="none"/>
        </w:rPr>
      </w:pPr>
    </w:p>
    <w:p w14:paraId="16640434">
      <w:pPr>
        <w:shd w:val="clear"/>
        <w:jc w:val="center"/>
        <w:rPr>
          <w:rFonts w:ascii="宋体" w:hAnsi="宋体" w:cs="宋体"/>
          <w:b/>
          <w:color w:val="auto"/>
          <w:highlight w:val="none"/>
        </w:rPr>
      </w:pPr>
    </w:p>
    <w:p w14:paraId="25994F1F">
      <w:pPr>
        <w:shd w:val="clear"/>
        <w:snapToGrid w:val="0"/>
        <w:spacing w:line="360" w:lineRule="auto"/>
        <w:jc w:val="center"/>
        <w:outlineLvl w:val="0"/>
        <w:rPr>
          <w:color w:val="auto"/>
          <w:highlight w:val="none"/>
        </w:rPr>
      </w:pPr>
    </w:p>
    <w:p w14:paraId="410F41B6">
      <w:pPr>
        <w:shd w:val="clear"/>
        <w:snapToGrid w:val="0"/>
        <w:spacing w:line="360" w:lineRule="auto"/>
        <w:jc w:val="center"/>
        <w:outlineLvl w:val="0"/>
        <w:rPr>
          <w:rFonts w:cs="仿宋" w:asciiTheme="majorEastAsia" w:hAnsiTheme="majorEastAsia" w:eastAsiaTheme="majorEastAsia"/>
          <w:b/>
          <w:color w:val="auto"/>
          <w:kern w:val="0"/>
          <w:sz w:val="32"/>
          <w:szCs w:val="32"/>
          <w:highlight w:val="none"/>
          <w:lang w:val="zh-CN"/>
        </w:rPr>
      </w:pPr>
      <w:r>
        <w:rPr>
          <w:rFonts w:hint="eastAsia" w:cs="仿宋" w:asciiTheme="majorEastAsia" w:hAnsiTheme="majorEastAsia" w:eastAsiaTheme="majorEastAsia"/>
          <w:b/>
          <w:color w:val="auto"/>
          <w:kern w:val="0"/>
          <w:sz w:val="32"/>
          <w:szCs w:val="32"/>
          <w:highlight w:val="none"/>
        </w:rPr>
        <w:br w:type="page"/>
      </w:r>
      <w:r>
        <w:rPr>
          <w:rFonts w:hint="eastAsia" w:cs="仿宋" w:asciiTheme="majorEastAsia" w:hAnsiTheme="majorEastAsia" w:eastAsiaTheme="majorEastAsia"/>
          <w:b/>
          <w:color w:val="auto"/>
          <w:kern w:val="0"/>
          <w:sz w:val="32"/>
          <w:szCs w:val="32"/>
          <w:highlight w:val="none"/>
        </w:rPr>
        <w:t>十、同类业绩情况一览表</w:t>
      </w:r>
    </w:p>
    <w:p w14:paraId="52D06587">
      <w:pPr>
        <w:shd w:val="clear"/>
        <w:spacing w:line="360" w:lineRule="auto"/>
        <w:jc w:val="center"/>
        <w:rPr>
          <w:rFonts w:cs="仿宋" w:asciiTheme="majorEastAsia" w:hAnsiTheme="majorEastAsia" w:eastAsiaTheme="majorEastAsia"/>
          <w:color w:val="auto"/>
          <w:highlight w:val="none"/>
        </w:rPr>
      </w:pPr>
    </w:p>
    <w:tbl>
      <w:tblPr>
        <w:tblStyle w:val="21"/>
        <w:tblW w:w="9796"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31"/>
        <w:gridCol w:w="1555"/>
        <w:gridCol w:w="1732"/>
        <w:gridCol w:w="1936"/>
        <w:gridCol w:w="1950"/>
        <w:gridCol w:w="1792"/>
      </w:tblGrid>
      <w:tr w14:paraId="0AD8D6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5" w:hRule="atLeast"/>
        </w:trPr>
        <w:tc>
          <w:tcPr>
            <w:tcW w:w="831" w:type="dxa"/>
            <w:tcBorders>
              <w:top w:val="single" w:color="auto" w:sz="4" w:space="0"/>
              <w:left w:val="single" w:color="auto" w:sz="4" w:space="0"/>
              <w:bottom w:val="single" w:color="auto" w:sz="4" w:space="0"/>
              <w:right w:val="single" w:color="auto" w:sz="4" w:space="0"/>
            </w:tcBorders>
            <w:vAlign w:val="center"/>
          </w:tcPr>
          <w:p w14:paraId="7043E2F2">
            <w:pPr>
              <w:shd w:val="clear"/>
              <w:spacing w:line="360" w:lineRule="auto"/>
              <w:jc w:val="center"/>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序号</w:t>
            </w:r>
          </w:p>
        </w:tc>
        <w:tc>
          <w:tcPr>
            <w:tcW w:w="1555" w:type="dxa"/>
            <w:tcBorders>
              <w:top w:val="single" w:color="auto" w:sz="4" w:space="0"/>
              <w:left w:val="single" w:color="auto" w:sz="4" w:space="0"/>
              <w:bottom w:val="single" w:color="auto" w:sz="4" w:space="0"/>
              <w:right w:val="single" w:color="auto" w:sz="4" w:space="0"/>
            </w:tcBorders>
            <w:vAlign w:val="center"/>
          </w:tcPr>
          <w:p w14:paraId="7F0320F5">
            <w:pPr>
              <w:shd w:val="clear"/>
              <w:spacing w:line="360" w:lineRule="auto"/>
              <w:jc w:val="left"/>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采购单位名称</w:t>
            </w:r>
          </w:p>
        </w:tc>
        <w:tc>
          <w:tcPr>
            <w:tcW w:w="1732" w:type="dxa"/>
            <w:tcBorders>
              <w:top w:val="single" w:color="auto" w:sz="4" w:space="0"/>
              <w:left w:val="single" w:color="auto" w:sz="4" w:space="0"/>
              <w:right w:val="single" w:color="auto" w:sz="4" w:space="0"/>
            </w:tcBorders>
            <w:vAlign w:val="center"/>
          </w:tcPr>
          <w:p w14:paraId="380832FF">
            <w:pPr>
              <w:shd w:val="clear"/>
              <w:spacing w:line="360" w:lineRule="auto"/>
              <w:jc w:val="left"/>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项目名称</w:t>
            </w:r>
          </w:p>
        </w:tc>
        <w:tc>
          <w:tcPr>
            <w:tcW w:w="1936" w:type="dxa"/>
            <w:tcBorders>
              <w:top w:val="single" w:color="auto" w:sz="4" w:space="0"/>
              <w:left w:val="single" w:color="auto" w:sz="4" w:space="0"/>
              <w:bottom w:val="single" w:color="auto" w:sz="4" w:space="0"/>
              <w:right w:val="single" w:color="auto" w:sz="4" w:space="0"/>
            </w:tcBorders>
            <w:vAlign w:val="center"/>
          </w:tcPr>
          <w:p w14:paraId="1104E739">
            <w:pPr>
              <w:shd w:val="clear"/>
              <w:spacing w:line="360" w:lineRule="auto"/>
              <w:jc w:val="left"/>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合同金额</w:t>
            </w:r>
          </w:p>
          <w:p w14:paraId="74DA99D3">
            <w:pPr>
              <w:shd w:val="clear"/>
              <w:spacing w:line="360" w:lineRule="auto"/>
              <w:jc w:val="left"/>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（万元）</w:t>
            </w:r>
          </w:p>
        </w:tc>
        <w:tc>
          <w:tcPr>
            <w:tcW w:w="1950" w:type="dxa"/>
            <w:tcBorders>
              <w:top w:val="single" w:color="auto" w:sz="4" w:space="0"/>
              <w:left w:val="single" w:color="auto" w:sz="4" w:space="0"/>
              <w:bottom w:val="single" w:color="auto" w:sz="4" w:space="0"/>
              <w:right w:val="single" w:color="auto" w:sz="4" w:space="0"/>
            </w:tcBorders>
            <w:vAlign w:val="center"/>
          </w:tcPr>
          <w:p w14:paraId="4366B8B2">
            <w:pPr>
              <w:shd w:val="clear"/>
              <w:spacing w:line="360" w:lineRule="auto"/>
              <w:jc w:val="left"/>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采购单位联系人及联系电话</w:t>
            </w:r>
          </w:p>
        </w:tc>
        <w:tc>
          <w:tcPr>
            <w:tcW w:w="1792" w:type="dxa"/>
            <w:tcBorders>
              <w:top w:val="single" w:color="auto" w:sz="4" w:space="0"/>
              <w:left w:val="single" w:color="auto" w:sz="4" w:space="0"/>
              <w:bottom w:val="single" w:color="auto" w:sz="4" w:space="0"/>
              <w:right w:val="single" w:color="auto" w:sz="4" w:space="0"/>
            </w:tcBorders>
            <w:vAlign w:val="center"/>
          </w:tcPr>
          <w:p w14:paraId="64F2C2F4">
            <w:pPr>
              <w:shd w:val="clear"/>
              <w:spacing w:line="360" w:lineRule="auto"/>
              <w:jc w:val="left"/>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合同签订时间</w:t>
            </w:r>
          </w:p>
        </w:tc>
      </w:tr>
      <w:tr w14:paraId="7F06ED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831" w:type="dxa"/>
            <w:tcBorders>
              <w:top w:val="single" w:color="auto" w:sz="4" w:space="0"/>
              <w:left w:val="single" w:color="auto" w:sz="4" w:space="0"/>
              <w:bottom w:val="single" w:color="auto" w:sz="4" w:space="0"/>
              <w:right w:val="single" w:color="auto" w:sz="4" w:space="0"/>
            </w:tcBorders>
            <w:vAlign w:val="center"/>
          </w:tcPr>
          <w:p w14:paraId="5805DC0B">
            <w:pPr>
              <w:shd w:val="clear"/>
              <w:spacing w:line="360" w:lineRule="auto"/>
              <w:jc w:val="center"/>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1</w:t>
            </w:r>
          </w:p>
        </w:tc>
        <w:tc>
          <w:tcPr>
            <w:tcW w:w="1555" w:type="dxa"/>
            <w:tcBorders>
              <w:top w:val="single" w:color="auto" w:sz="4" w:space="0"/>
              <w:left w:val="single" w:color="auto" w:sz="4" w:space="0"/>
              <w:bottom w:val="single" w:color="auto" w:sz="4" w:space="0"/>
              <w:right w:val="single" w:color="auto" w:sz="4" w:space="0"/>
            </w:tcBorders>
            <w:vAlign w:val="center"/>
          </w:tcPr>
          <w:p w14:paraId="6F053020">
            <w:pPr>
              <w:shd w:val="clear"/>
              <w:spacing w:line="360" w:lineRule="auto"/>
              <w:jc w:val="left"/>
              <w:rPr>
                <w:rFonts w:cs="仿宋" w:asciiTheme="majorEastAsia" w:hAnsiTheme="majorEastAsia" w:eastAsiaTheme="majorEastAsia"/>
                <w:color w:val="auto"/>
                <w:kern w:val="0"/>
                <w:sz w:val="24"/>
                <w:highlight w:val="none"/>
              </w:rPr>
            </w:pPr>
          </w:p>
        </w:tc>
        <w:tc>
          <w:tcPr>
            <w:tcW w:w="1732" w:type="dxa"/>
            <w:tcBorders>
              <w:top w:val="single" w:color="auto" w:sz="4" w:space="0"/>
              <w:left w:val="single" w:color="auto" w:sz="4" w:space="0"/>
              <w:bottom w:val="single" w:color="auto" w:sz="4" w:space="0"/>
              <w:right w:val="single" w:color="auto" w:sz="4" w:space="0"/>
            </w:tcBorders>
            <w:vAlign w:val="center"/>
          </w:tcPr>
          <w:p w14:paraId="60814816">
            <w:pPr>
              <w:shd w:val="clear"/>
              <w:spacing w:line="360" w:lineRule="auto"/>
              <w:jc w:val="left"/>
              <w:rPr>
                <w:rFonts w:cs="仿宋" w:asciiTheme="majorEastAsia" w:hAnsiTheme="majorEastAsia" w:eastAsiaTheme="majorEastAsia"/>
                <w:color w:val="auto"/>
                <w:kern w:val="0"/>
                <w:sz w:val="24"/>
                <w:highlight w:val="none"/>
              </w:rPr>
            </w:pPr>
          </w:p>
        </w:tc>
        <w:tc>
          <w:tcPr>
            <w:tcW w:w="1936" w:type="dxa"/>
            <w:tcBorders>
              <w:top w:val="single" w:color="auto" w:sz="4" w:space="0"/>
              <w:left w:val="single" w:color="auto" w:sz="4" w:space="0"/>
              <w:bottom w:val="single" w:color="auto" w:sz="4" w:space="0"/>
              <w:right w:val="single" w:color="auto" w:sz="4" w:space="0"/>
            </w:tcBorders>
            <w:vAlign w:val="center"/>
          </w:tcPr>
          <w:p w14:paraId="04AECE7E">
            <w:pPr>
              <w:shd w:val="clear"/>
              <w:spacing w:line="360" w:lineRule="auto"/>
              <w:jc w:val="left"/>
              <w:rPr>
                <w:rFonts w:cs="仿宋" w:asciiTheme="majorEastAsia" w:hAnsiTheme="majorEastAsia" w:eastAsiaTheme="majorEastAsia"/>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43689FFA">
            <w:pPr>
              <w:shd w:val="clear"/>
              <w:spacing w:line="360" w:lineRule="auto"/>
              <w:jc w:val="left"/>
              <w:rPr>
                <w:rFonts w:cs="仿宋" w:asciiTheme="majorEastAsia" w:hAnsiTheme="majorEastAsia" w:eastAsiaTheme="majorEastAsia"/>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68DDF062">
            <w:pPr>
              <w:shd w:val="clear"/>
              <w:spacing w:line="360" w:lineRule="auto"/>
              <w:jc w:val="left"/>
              <w:rPr>
                <w:rFonts w:cs="仿宋" w:asciiTheme="majorEastAsia" w:hAnsiTheme="majorEastAsia" w:eastAsiaTheme="majorEastAsia"/>
                <w:color w:val="auto"/>
                <w:kern w:val="0"/>
                <w:sz w:val="24"/>
                <w:highlight w:val="none"/>
              </w:rPr>
            </w:pPr>
          </w:p>
        </w:tc>
      </w:tr>
      <w:tr w14:paraId="3F24A1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831" w:type="dxa"/>
            <w:tcBorders>
              <w:top w:val="single" w:color="auto" w:sz="4" w:space="0"/>
              <w:left w:val="single" w:color="auto" w:sz="4" w:space="0"/>
              <w:bottom w:val="single" w:color="auto" w:sz="4" w:space="0"/>
              <w:right w:val="single" w:color="auto" w:sz="4" w:space="0"/>
            </w:tcBorders>
            <w:vAlign w:val="center"/>
          </w:tcPr>
          <w:p w14:paraId="36FB1289">
            <w:pPr>
              <w:shd w:val="clear"/>
              <w:spacing w:line="360" w:lineRule="auto"/>
              <w:jc w:val="center"/>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2</w:t>
            </w:r>
          </w:p>
        </w:tc>
        <w:tc>
          <w:tcPr>
            <w:tcW w:w="1555" w:type="dxa"/>
            <w:tcBorders>
              <w:top w:val="single" w:color="auto" w:sz="4" w:space="0"/>
              <w:left w:val="single" w:color="auto" w:sz="4" w:space="0"/>
              <w:bottom w:val="single" w:color="auto" w:sz="4" w:space="0"/>
              <w:right w:val="single" w:color="auto" w:sz="4" w:space="0"/>
            </w:tcBorders>
            <w:vAlign w:val="center"/>
          </w:tcPr>
          <w:p w14:paraId="7B71F64C">
            <w:pPr>
              <w:shd w:val="clear"/>
              <w:spacing w:line="360" w:lineRule="auto"/>
              <w:jc w:val="left"/>
              <w:rPr>
                <w:rFonts w:cs="仿宋" w:asciiTheme="majorEastAsia" w:hAnsiTheme="majorEastAsia" w:eastAsiaTheme="majorEastAsia"/>
                <w:color w:val="auto"/>
                <w:kern w:val="0"/>
                <w:sz w:val="24"/>
                <w:highlight w:val="none"/>
              </w:rPr>
            </w:pPr>
          </w:p>
        </w:tc>
        <w:tc>
          <w:tcPr>
            <w:tcW w:w="1732" w:type="dxa"/>
            <w:tcBorders>
              <w:top w:val="single" w:color="auto" w:sz="4" w:space="0"/>
              <w:left w:val="single" w:color="auto" w:sz="4" w:space="0"/>
              <w:bottom w:val="single" w:color="auto" w:sz="4" w:space="0"/>
              <w:right w:val="single" w:color="auto" w:sz="4" w:space="0"/>
            </w:tcBorders>
            <w:vAlign w:val="center"/>
          </w:tcPr>
          <w:p w14:paraId="0D4FFBBF">
            <w:pPr>
              <w:shd w:val="clear"/>
              <w:spacing w:line="360" w:lineRule="auto"/>
              <w:jc w:val="left"/>
              <w:rPr>
                <w:rFonts w:cs="仿宋" w:asciiTheme="majorEastAsia" w:hAnsiTheme="majorEastAsia" w:eastAsiaTheme="majorEastAsia"/>
                <w:color w:val="auto"/>
                <w:kern w:val="0"/>
                <w:sz w:val="24"/>
                <w:highlight w:val="none"/>
              </w:rPr>
            </w:pPr>
          </w:p>
        </w:tc>
        <w:tc>
          <w:tcPr>
            <w:tcW w:w="1936" w:type="dxa"/>
            <w:tcBorders>
              <w:top w:val="single" w:color="auto" w:sz="4" w:space="0"/>
              <w:left w:val="single" w:color="auto" w:sz="4" w:space="0"/>
              <w:bottom w:val="single" w:color="auto" w:sz="4" w:space="0"/>
              <w:right w:val="single" w:color="auto" w:sz="4" w:space="0"/>
            </w:tcBorders>
            <w:vAlign w:val="center"/>
          </w:tcPr>
          <w:p w14:paraId="006BD554">
            <w:pPr>
              <w:shd w:val="clear"/>
              <w:spacing w:line="360" w:lineRule="auto"/>
              <w:jc w:val="left"/>
              <w:rPr>
                <w:rFonts w:cs="仿宋" w:asciiTheme="majorEastAsia" w:hAnsiTheme="majorEastAsia" w:eastAsiaTheme="majorEastAsia"/>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740BF899">
            <w:pPr>
              <w:shd w:val="clear"/>
              <w:spacing w:line="360" w:lineRule="auto"/>
              <w:jc w:val="left"/>
              <w:rPr>
                <w:rFonts w:cs="仿宋" w:asciiTheme="majorEastAsia" w:hAnsiTheme="majorEastAsia" w:eastAsiaTheme="majorEastAsia"/>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58259DFA">
            <w:pPr>
              <w:shd w:val="clear"/>
              <w:spacing w:line="360" w:lineRule="auto"/>
              <w:jc w:val="left"/>
              <w:rPr>
                <w:rFonts w:cs="仿宋" w:asciiTheme="majorEastAsia" w:hAnsiTheme="majorEastAsia" w:eastAsiaTheme="majorEastAsia"/>
                <w:color w:val="auto"/>
                <w:kern w:val="0"/>
                <w:sz w:val="24"/>
                <w:highlight w:val="none"/>
              </w:rPr>
            </w:pPr>
          </w:p>
        </w:tc>
      </w:tr>
      <w:tr w14:paraId="7DFCE2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831" w:type="dxa"/>
            <w:tcBorders>
              <w:top w:val="single" w:color="auto" w:sz="4" w:space="0"/>
              <w:left w:val="single" w:color="auto" w:sz="4" w:space="0"/>
              <w:bottom w:val="single" w:color="auto" w:sz="4" w:space="0"/>
              <w:right w:val="single" w:color="auto" w:sz="4" w:space="0"/>
            </w:tcBorders>
            <w:vAlign w:val="center"/>
          </w:tcPr>
          <w:p w14:paraId="67B547F7">
            <w:pPr>
              <w:shd w:val="clear"/>
              <w:spacing w:line="360" w:lineRule="auto"/>
              <w:jc w:val="center"/>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3</w:t>
            </w:r>
          </w:p>
        </w:tc>
        <w:tc>
          <w:tcPr>
            <w:tcW w:w="1555" w:type="dxa"/>
            <w:tcBorders>
              <w:top w:val="single" w:color="auto" w:sz="4" w:space="0"/>
              <w:left w:val="single" w:color="auto" w:sz="4" w:space="0"/>
              <w:bottom w:val="single" w:color="auto" w:sz="4" w:space="0"/>
              <w:right w:val="single" w:color="auto" w:sz="4" w:space="0"/>
            </w:tcBorders>
            <w:vAlign w:val="center"/>
          </w:tcPr>
          <w:p w14:paraId="1BE08283">
            <w:pPr>
              <w:shd w:val="clear"/>
              <w:spacing w:line="360" w:lineRule="auto"/>
              <w:jc w:val="left"/>
              <w:rPr>
                <w:rFonts w:cs="仿宋" w:asciiTheme="majorEastAsia" w:hAnsiTheme="majorEastAsia" w:eastAsiaTheme="majorEastAsia"/>
                <w:color w:val="auto"/>
                <w:kern w:val="0"/>
                <w:sz w:val="24"/>
                <w:highlight w:val="none"/>
              </w:rPr>
            </w:pPr>
          </w:p>
        </w:tc>
        <w:tc>
          <w:tcPr>
            <w:tcW w:w="1732" w:type="dxa"/>
            <w:tcBorders>
              <w:top w:val="single" w:color="auto" w:sz="4" w:space="0"/>
              <w:left w:val="single" w:color="auto" w:sz="4" w:space="0"/>
              <w:bottom w:val="single" w:color="auto" w:sz="4" w:space="0"/>
              <w:right w:val="single" w:color="auto" w:sz="4" w:space="0"/>
            </w:tcBorders>
            <w:vAlign w:val="center"/>
          </w:tcPr>
          <w:p w14:paraId="4DF59ABC">
            <w:pPr>
              <w:shd w:val="clear"/>
              <w:spacing w:line="360" w:lineRule="auto"/>
              <w:jc w:val="left"/>
              <w:rPr>
                <w:rFonts w:cs="仿宋" w:asciiTheme="majorEastAsia" w:hAnsiTheme="majorEastAsia" w:eastAsiaTheme="majorEastAsia"/>
                <w:color w:val="auto"/>
                <w:kern w:val="0"/>
                <w:sz w:val="24"/>
                <w:highlight w:val="none"/>
              </w:rPr>
            </w:pPr>
          </w:p>
        </w:tc>
        <w:tc>
          <w:tcPr>
            <w:tcW w:w="1936" w:type="dxa"/>
            <w:tcBorders>
              <w:top w:val="single" w:color="auto" w:sz="4" w:space="0"/>
              <w:left w:val="single" w:color="auto" w:sz="4" w:space="0"/>
              <w:bottom w:val="single" w:color="auto" w:sz="4" w:space="0"/>
              <w:right w:val="single" w:color="auto" w:sz="4" w:space="0"/>
            </w:tcBorders>
            <w:vAlign w:val="center"/>
          </w:tcPr>
          <w:p w14:paraId="1F05C403">
            <w:pPr>
              <w:shd w:val="clear"/>
              <w:spacing w:line="360" w:lineRule="auto"/>
              <w:jc w:val="left"/>
              <w:rPr>
                <w:rFonts w:cs="仿宋" w:asciiTheme="majorEastAsia" w:hAnsiTheme="majorEastAsia" w:eastAsiaTheme="majorEastAsia"/>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72BF0A97">
            <w:pPr>
              <w:shd w:val="clear"/>
              <w:spacing w:line="360" w:lineRule="auto"/>
              <w:jc w:val="left"/>
              <w:rPr>
                <w:rFonts w:cs="仿宋" w:asciiTheme="majorEastAsia" w:hAnsiTheme="majorEastAsia" w:eastAsiaTheme="majorEastAsia"/>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0053CD08">
            <w:pPr>
              <w:shd w:val="clear"/>
              <w:spacing w:line="360" w:lineRule="auto"/>
              <w:jc w:val="left"/>
              <w:rPr>
                <w:rFonts w:cs="仿宋" w:asciiTheme="majorEastAsia" w:hAnsiTheme="majorEastAsia" w:eastAsiaTheme="majorEastAsia"/>
                <w:color w:val="auto"/>
                <w:kern w:val="0"/>
                <w:sz w:val="24"/>
                <w:highlight w:val="none"/>
              </w:rPr>
            </w:pPr>
          </w:p>
        </w:tc>
      </w:tr>
      <w:tr w14:paraId="7A555A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831" w:type="dxa"/>
            <w:tcBorders>
              <w:top w:val="single" w:color="auto" w:sz="4" w:space="0"/>
              <w:left w:val="single" w:color="auto" w:sz="4" w:space="0"/>
              <w:bottom w:val="single" w:color="auto" w:sz="4" w:space="0"/>
              <w:right w:val="single" w:color="auto" w:sz="4" w:space="0"/>
            </w:tcBorders>
            <w:vAlign w:val="center"/>
          </w:tcPr>
          <w:p w14:paraId="4780A8E2">
            <w:pPr>
              <w:shd w:val="clear"/>
              <w:spacing w:line="360" w:lineRule="auto"/>
              <w:jc w:val="center"/>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4</w:t>
            </w:r>
          </w:p>
        </w:tc>
        <w:tc>
          <w:tcPr>
            <w:tcW w:w="1555" w:type="dxa"/>
            <w:tcBorders>
              <w:top w:val="single" w:color="auto" w:sz="4" w:space="0"/>
              <w:left w:val="single" w:color="auto" w:sz="4" w:space="0"/>
              <w:bottom w:val="single" w:color="auto" w:sz="4" w:space="0"/>
              <w:right w:val="single" w:color="auto" w:sz="4" w:space="0"/>
            </w:tcBorders>
            <w:vAlign w:val="center"/>
          </w:tcPr>
          <w:p w14:paraId="34122236">
            <w:pPr>
              <w:shd w:val="clear"/>
              <w:spacing w:line="360" w:lineRule="auto"/>
              <w:jc w:val="left"/>
              <w:rPr>
                <w:rFonts w:cs="仿宋" w:asciiTheme="majorEastAsia" w:hAnsiTheme="majorEastAsia" w:eastAsiaTheme="majorEastAsia"/>
                <w:color w:val="auto"/>
                <w:kern w:val="0"/>
                <w:sz w:val="24"/>
                <w:highlight w:val="none"/>
              </w:rPr>
            </w:pPr>
          </w:p>
        </w:tc>
        <w:tc>
          <w:tcPr>
            <w:tcW w:w="1732" w:type="dxa"/>
            <w:tcBorders>
              <w:top w:val="single" w:color="auto" w:sz="4" w:space="0"/>
              <w:left w:val="single" w:color="auto" w:sz="4" w:space="0"/>
              <w:bottom w:val="single" w:color="auto" w:sz="4" w:space="0"/>
              <w:right w:val="single" w:color="auto" w:sz="4" w:space="0"/>
            </w:tcBorders>
            <w:vAlign w:val="center"/>
          </w:tcPr>
          <w:p w14:paraId="098B1A03">
            <w:pPr>
              <w:shd w:val="clear"/>
              <w:spacing w:line="360" w:lineRule="auto"/>
              <w:jc w:val="left"/>
              <w:rPr>
                <w:rFonts w:cs="仿宋" w:asciiTheme="majorEastAsia" w:hAnsiTheme="majorEastAsia" w:eastAsiaTheme="majorEastAsia"/>
                <w:color w:val="auto"/>
                <w:kern w:val="0"/>
                <w:sz w:val="24"/>
                <w:highlight w:val="none"/>
              </w:rPr>
            </w:pPr>
          </w:p>
        </w:tc>
        <w:tc>
          <w:tcPr>
            <w:tcW w:w="1936" w:type="dxa"/>
            <w:tcBorders>
              <w:top w:val="single" w:color="auto" w:sz="4" w:space="0"/>
              <w:left w:val="single" w:color="auto" w:sz="4" w:space="0"/>
              <w:bottom w:val="single" w:color="auto" w:sz="4" w:space="0"/>
              <w:right w:val="single" w:color="auto" w:sz="4" w:space="0"/>
            </w:tcBorders>
            <w:vAlign w:val="center"/>
          </w:tcPr>
          <w:p w14:paraId="1D6C4AAD">
            <w:pPr>
              <w:shd w:val="clear"/>
              <w:spacing w:line="360" w:lineRule="auto"/>
              <w:jc w:val="left"/>
              <w:rPr>
                <w:rFonts w:cs="仿宋" w:asciiTheme="majorEastAsia" w:hAnsiTheme="majorEastAsia" w:eastAsiaTheme="majorEastAsia"/>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5DAA6F1E">
            <w:pPr>
              <w:shd w:val="clear"/>
              <w:spacing w:line="360" w:lineRule="auto"/>
              <w:jc w:val="left"/>
              <w:rPr>
                <w:rFonts w:cs="仿宋" w:asciiTheme="majorEastAsia" w:hAnsiTheme="majorEastAsia" w:eastAsiaTheme="majorEastAsia"/>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00C6737B">
            <w:pPr>
              <w:shd w:val="clear"/>
              <w:spacing w:line="360" w:lineRule="auto"/>
              <w:jc w:val="left"/>
              <w:rPr>
                <w:rFonts w:cs="仿宋" w:asciiTheme="majorEastAsia" w:hAnsiTheme="majorEastAsia" w:eastAsiaTheme="majorEastAsia"/>
                <w:color w:val="auto"/>
                <w:kern w:val="0"/>
                <w:sz w:val="24"/>
                <w:highlight w:val="none"/>
              </w:rPr>
            </w:pPr>
          </w:p>
        </w:tc>
      </w:tr>
      <w:tr w14:paraId="07E77C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581" w:hRule="atLeast"/>
        </w:trPr>
        <w:tc>
          <w:tcPr>
            <w:tcW w:w="831" w:type="dxa"/>
            <w:tcBorders>
              <w:top w:val="single" w:color="auto" w:sz="4" w:space="0"/>
              <w:left w:val="single" w:color="auto" w:sz="4" w:space="0"/>
              <w:bottom w:val="single" w:color="auto" w:sz="4" w:space="0"/>
              <w:right w:val="single" w:color="auto" w:sz="4" w:space="0"/>
            </w:tcBorders>
            <w:vAlign w:val="center"/>
          </w:tcPr>
          <w:p w14:paraId="412F1112">
            <w:pPr>
              <w:shd w:val="clear"/>
              <w:spacing w:line="360" w:lineRule="auto"/>
              <w:jc w:val="center"/>
              <w:rPr>
                <w:rFonts w:cs="仿宋" w:asciiTheme="majorEastAsia" w:hAnsiTheme="majorEastAsia" w:eastAsiaTheme="majorEastAsia"/>
                <w:color w:val="auto"/>
                <w:kern w:val="0"/>
                <w:sz w:val="24"/>
                <w:highlight w:val="none"/>
              </w:rPr>
            </w:pPr>
            <w:r>
              <w:rPr>
                <w:rFonts w:hint="eastAsia" w:cs="仿宋" w:asciiTheme="majorEastAsia" w:hAnsiTheme="majorEastAsia" w:eastAsiaTheme="majorEastAsia"/>
                <w:color w:val="auto"/>
                <w:kern w:val="0"/>
                <w:sz w:val="24"/>
                <w:highlight w:val="none"/>
              </w:rPr>
              <w:t>5</w:t>
            </w:r>
          </w:p>
        </w:tc>
        <w:tc>
          <w:tcPr>
            <w:tcW w:w="1555" w:type="dxa"/>
            <w:tcBorders>
              <w:top w:val="single" w:color="auto" w:sz="4" w:space="0"/>
              <w:left w:val="single" w:color="auto" w:sz="4" w:space="0"/>
              <w:bottom w:val="single" w:color="auto" w:sz="4" w:space="0"/>
              <w:right w:val="single" w:color="auto" w:sz="4" w:space="0"/>
            </w:tcBorders>
            <w:vAlign w:val="center"/>
          </w:tcPr>
          <w:p w14:paraId="2631E3E9">
            <w:pPr>
              <w:shd w:val="clear"/>
              <w:spacing w:line="360" w:lineRule="auto"/>
              <w:jc w:val="left"/>
              <w:rPr>
                <w:rFonts w:cs="仿宋" w:asciiTheme="majorEastAsia" w:hAnsiTheme="majorEastAsia" w:eastAsiaTheme="majorEastAsia"/>
                <w:color w:val="auto"/>
                <w:kern w:val="0"/>
                <w:sz w:val="24"/>
                <w:highlight w:val="none"/>
              </w:rPr>
            </w:pPr>
          </w:p>
        </w:tc>
        <w:tc>
          <w:tcPr>
            <w:tcW w:w="1732" w:type="dxa"/>
            <w:tcBorders>
              <w:top w:val="single" w:color="auto" w:sz="4" w:space="0"/>
              <w:left w:val="single" w:color="auto" w:sz="4" w:space="0"/>
              <w:bottom w:val="single" w:color="auto" w:sz="4" w:space="0"/>
              <w:right w:val="single" w:color="auto" w:sz="4" w:space="0"/>
            </w:tcBorders>
            <w:vAlign w:val="center"/>
          </w:tcPr>
          <w:p w14:paraId="717AB706">
            <w:pPr>
              <w:shd w:val="clear"/>
              <w:spacing w:line="360" w:lineRule="auto"/>
              <w:jc w:val="left"/>
              <w:rPr>
                <w:rFonts w:cs="仿宋" w:asciiTheme="majorEastAsia" w:hAnsiTheme="majorEastAsia" w:eastAsiaTheme="majorEastAsia"/>
                <w:color w:val="auto"/>
                <w:kern w:val="0"/>
                <w:sz w:val="24"/>
                <w:highlight w:val="none"/>
              </w:rPr>
            </w:pPr>
          </w:p>
        </w:tc>
        <w:tc>
          <w:tcPr>
            <w:tcW w:w="1936" w:type="dxa"/>
            <w:tcBorders>
              <w:top w:val="single" w:color="auto" w:sz="4" w:space="0"/>
              <w:left w:val="single" w:color="auto" w:sz="4" w:space="0"/>
              <w:bottom w:val="single" w:color="auto" w:sz="4" w:space="0"/>
              <w:right w:val="single" w:color="auto" w:sz="4" w:space="0"/>
            </w:tcBorders>
            <w:vAlign w:val="center"/>
          </w:tcPr>
          <w:p w14:paraId="58A4C630">
            <w:pPr>
              <w:shd w:val="clear"/>
              <w:spacing w:line="360" w:lineRule="auto"/>
              <w:jc w:val="left"/>
              <w:rPr>
                <w:rFonts w:cs="仿宋" w:asciiTheme="majorEastAsia" w:hAnsiTheme="majorEastAsia" w:eastAsiaTheme="majorEastAsia"/>
                <w:color w:val="auto"/>
                <w:kern w:val="0"/>
                <w:sz w:val="24"/>
                <w:highlight w:val="none"/>
              </w:rPr>
            </w:pPr>
          </w:p>
        </w:tc>
        <w:tc>
          <w:tcPr>
            <w:tcW w:w="1950" w:type="dxa"/>
            <w:tcBorders>
              <w:top w:val="single" w:color="auto" w:sz="4" w:space="0"/>
              <w:left w:val="single" w:color="auto" w:sz="4" w:space="0"/>
              <w:bottom w:val="single" w:color="auto" w:sz="4" w:space="0"/>
              <w:right w:val="single" w:color="auto" w:sz="4" w:space="0"/>
            </w:tcBorders>
            <w:vAlign w:val="center"/>
          </w:tcPr>
          <w:p w14:paraId="6030D8C3">
            <w:pPr>
              <w:shd w:val="clear"/>
              <w:spacing w:line="360" w:lineRule="auto"/>
              <w:jc w:val="left"/>
              <w:rPr>
                <w:rFonts w:cs="仿宋" w:asciiTheme="majorEastAsia" w:hAnsiTheme="majorEastAsia" w:eastAsiaTheme="majorEastAsia"/>
                <w:color w:val="auto"/>
                <w:kern w:val="0"/>
                <w:sz w:val="24"/>
                <w:highlight w:val="none"/>
              </w:rPr>
            </w:pPr>
          </w:p>
        </w:tc>
        <w:tc>
          <w:tcPr>
            <w:tcW w:w="1792" w:type="dxa"/>
            <w:tcBorders>
              <w:top w:val="single" w:color="auto" w:sz="4" w:space="0"/>
              <w:left w:val="single" w:color="auto" w:sz="4" w:space="0"/>
              <w:bottom w:val="single" w:color="auto" w:sz="4" w:space="0"/>
              <w:right w:val="single" w:color="auto" w:sz="4" w:space="0"/>
            </w:tcBorders>
            <w:vAlign w:val="center"/>
          </w:tcPr>
          <w:p w14:paraId="2648D9F8">
            <w:pPr>
              <w:shd w:val="clear"/>
              <w:spacing w:line="360" w:lineRule="auto"/>
              <w:jc w:val="left"/>
              <w:rPr>
                <w:rFonts w:cs="仿宋" w:asciiTheme="majorEastAsia" w:hAnsiTheme="majorEastAsia" w:eastAsiaTheme="majorEastAsia"/>
                <w:color w:val="auto"/>
                <w:kern w:val="0"/>
                <w:sz w:val="24"/>
                <w:highlight w:val="none"/>
              </w:rPr>
            </w:pPr>
          </w:p>
        </w:tc>
      </w:tr>
    </w:tbl>
    <w:p w14:paraId="54B537D2">
      <w:pPr>
        <w:shd w:val="clear"/>
        <w:spacing w:line="360" w:lineRule="auto"/>
        <w:jc w:val="left"/>
        <w:rPr>
          <w:rFonts w:cs="仿宋" w:asciiTheme="majorEastAsia" w:hAnsiTheme="majorEastAsia" w:eastAsiaTheme="majorEastAsia"/>
          <w:color w:val="auto"/>
          <w:kern w:val="0"/>
          <w:sz w:val="24"/>
          <w:highlight w:val="none"/>
        </w:rPr>
      </w:pPr>
    </w:p>
    <w:p w14:paraId="1A833D39">
      <w:pPr>
        <w:shd w:val="clear"/>
        <w:spacing w:line="360" w:lineRule="auto"/>
        <w:jc w:val="left"/>
        <w:rPr>
          <w:rFonts w:cs="仿宋" w:asciiTheme="majorEastAsia" w:hAnsiTheme="majorEastAsia" w:eastAsiaTheme="majorEastAsia"/>
          <w:color w:val="auto"/>
          <w:kern w:val="0"/>
          <w:sz w:val="24"/>
          <w:highlight w:val="none"/>
        </w:rPr>
      </w:pPr>
    </w:p>
    <w:p w14:paraId="7AC30CA4">
      <w:pPr>
        <w:shd w:val="clear"/>
        <w:spacing w:line="360" w:lineRule="auto"/>
        <w:jc w:val="left"/>
        <w:rPr>
          <w:rFonts w:cs="仿宋" w:asciiTheme="majorEastAsia" w:hAnsiTheme="majorEastAsia" w:eastAsiaTheme="majorEastAsia"/>
          <w:color w:val="auto"/>
          <w:kern w:val="0"/>
          <w:sz w:val="24"/>
          <w:highlight w:val="none"/>
        </w:rPr>
      </w:pPr>
    </w:p>
    <w:p w14:paraId="1D8CCED5">
      <w:pPr>
        <w:shd w:val="clear"/>
        <w:adjustRightInd w:val="0"/>
        <w:snapToGrid w:val="0"/>
        <w:spacing w:line="360" w:lineRule="auto"/>
        <w:jc w:val="right"/>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法定代表人或其授权委托人（签名或印章）：</w:t>
      </w:r>
    </w:p>
    <w:p w14:paraId="64237373">
      <w:pPr>
        <w:shd w:val="clear"/>
        <w:adjustRightInd w:val="0"/>
        <w:snapToGrid w:val="0"/>
        <w:spacing w:line="360" w:lineRule="auto"/>
        <w:ind w:left="3990" w:leftChars="1900"/>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投标人（盖章）：</w:t>
      </w:r>
    </w:p>
    <w:p w14:paraId="3BE8A11C">
      <w:pPr>
        <w:shd w:val="clear"/>
        <w:adjustRightInd w:val="0"/>
        <w:snapToGrid w:val="0"/>
        <w:spacing w:line="360" w:lineRule="auto"/>
        <w:ind w:right="1920"/>
        <w:jc w:val="center"/>
        <w:rPr>
          <w:rFonts w:cs="仿宋" w:asciiTheme="majorEastAsia" w:hAnsiTheme="majorEastAsia" w:eastAsiaTheme="majorEastAsia"/>
          <w:b/>
          <w:color w:val="auto"/>
          <w:kern w:val="0"/>
          <w:sz w:val="32"/>
          <w:szCs w:val="32"/>
          <w:highlight w:val="none"/>
          <w:lang w:val="zh-CN"/>
        </w:rPr>
      </w:pPr>
      <w:r>
        <w:rPr>
          <w:rFonts w:hint="eastAsia" w:cs="仿宋" w:asciiTheme="majorEastAsia" w:hAnsiTheme="majorEastAsia" w:eastAsiaTheme="majorEastAsia"/>
          <w:color w:val="auto"/>
          <w:kern w:val="0"/>
          <w:sz w:val="24"/>
          <w:highlight w:val="none"/>
          <w:lang w:val="zh-CN"/>
        </w:rPr>
        <w:t xml:space="preserve">                                      日期</w:t>
      </w:r>
      <w:r>
        <w:rPr>
          <w:rFonts w:hint="eastAsia" w:cs="仿宋" w:asciiTheme="majorEastAsia" w:hAnsiTheme="majorEastAsia" w:eastAsiaTheme="majorEastAsia"/>
          <w:color w:val="auto"/>
          <w:kern w:val="0"/>
          <w:sz w:val="24"/>
          <w:highlight w:val="none"/>
        </w:rPr>
        <w:t>:</w:t>
      </w:r>
    </w:p>
    <w:p w14:paraId="363095D6">
      <w:pPr>
        <w:shd w:val="clear"/>
        <w:spacing w:line="360" w:lineRule="auto"/>
        <w:ind w:left="4620" w:leftChars="2200"/>
        <w:jc w:val="left"/>
        <w:rPr>
          <w:rFonts w:cs="仿宋" w:asciiTheme="majorEastAsia" w:hAnsiTheme="majorEastAsia" w:eastAsiaTheme="majorEastAsia"/>
          <w:b/>
          <w:color w:val="auto"/>
          <w:kern w:val="0"/>
          <w:sz w:val="32"/>
          <w:szCs w:val="32"/>
          <w:highlight w:val="none"/>
          <w:lang w:val="zh-CN"/>
        </w:rPr>
      </w:pPr>
      <w:r>
        <w:rPr>
          <w:rFonts w:cs="仿宋" w:asciiTheme="majorEastAsia" w:hAnsiTheme="majorEastAsia" w:eastAsiaTheme="majorEastAsia"/>
          <w:b/>
          <w:color w:val="auto"/>
          <w:kern w:val="0"/>
          <w:sz w:val="32"/>
          <w:szCs w:val="32"/>
          <w:highlight w:val="none"/>
          <w:lang w:val="zh-CN"/>
        </w:rPr>
        <w:br w:type="page"/>
      </w:r>
    </w:p>
    <w:p w14:paraId="57D6362E">
      <w:pPr>
        <w:shd w:val="clear"/>
        <w:snapToGrid w:val="0"/>
        <w:spacing w:line="360" w:lineRule="auto"/>
        <w:jc w:val="center"/>
        <w:outlineLvl w:val="0"/>
        <w:rPr>
          <w:rFonts w:cs="仿宋" w:asciiTheme="majorEastAsia" w:hAnsiTheme="majorEastAsia" w:eastAsiaTheme="majorEastAsia"/>
          <w:b/>
          <w:color w:val="auto"/>
          <w:kern w:val="0"/>
          <w:sz w:val="32"/>
          <w:szCs w:val="32"/>
          <w:highlight w:val="none"/>
          <w:lang w:val="zh-CN"/>
        </w:rPr>
      </w:pPr>
      <w:r>
        <w:rPr>
          <w:rFonts w:hint="eastAsia" w:cs="仿宋" w:asciiTheme="majorEastAsia" w:hAnsiTheme="majorEastAsia" w:eastAsiaTheme="majorEastAsia"/>
          <w:b/>
          <w:color w:val="auto"/>
          <w:kern w:val="0"/>
          <w:sz w:val="32"/>
          <w:szCs w:val="32"/>
          <w:highlight w:val="none"/>
          <w:lang w:val="zh-CN"/>
        </w:rPr>
        <w:t>十一、项目实施人员一览表</w:t>
      </w:r>
    </w:p>
    <w:p w14:paraId="630EB13D">
      <w:pPr>
        <w:pStyle w:val="11"/>
        <w:shd w:val="clear"/>
        <w:ind w:left="632" w:hanging="632" w:hangingChars="300"/>
        <w:rPr>
          <w:rFonts w:hAnsi="宋体"/>
          <w:b/>
          <w:color w:val="auto"/>
          <w:highlight w:val="none"/>
        </w:rPr>
      </w:pPr>
      <w:r>
        <w:rPr>
          <w:rFonts w:hint="eastAsia" w:hAnsi="宋体"/>
          <w:b/>
          <w:color w:val="auto"/>
          <w:highlight w:val="none"/>
        </w:rPr>
        <w:t>项目名称：                                            项目编号：</w:t>
      </w:r>
    </w:p>
    <w:p w14:paraId="13516BE1">
      <w:pPr>
        <w:shd w:val="clear"/>
        <w:jc w:val="left"/>
        <w:rPr>
          <w:rFonts w:ascii="仿宋_GB2312" w:hAnsi="仿宋" w:eastAsia="仿宋_GB2312" w:cs="仿宋"/>
          <w:b/>
          <w:color w:val="auto"/>
          <w:sz w:val="24"/>
          <w:highlight w:val="none"/>
        </w:rPr>
      </w:pPr>
    </w:p>
    <w:p w14:paraId="190C3F9D">
      <w:pPr>
        <w:shd w:val="clear"/>
        <w:jc w:val="left"/>
        <w:rPr>
          <w:rFonts w:hAnsi="宋体"/>
          <w:b/>
          <w:color w:val="auto"/>
          <w:szCs w:val="21"/>
          <w:highlight w:val="none"/>
        </w:rPr>
      </w:pPr>
      <w:r>
        <w:rPr>
          <w:rFonts w:hint="eastAsia" w:ascii="宋体" w:hAnsi="宋体" w:cs="宋体"/>
          <w:b/>
          <w:color w:val="auto"/>
          <w:sz w:val="24"/>
          <w:highlight w:val="none"/>
        </w:rPr>
        <w:t>附表</w:t>
      </w:r>
      <w:r>
        <w:rPr>
          <w:rFonts w:hint="eastAsia" w:ascii="仿宋_GB2312" w:hAnsi="仿宋" w:eastAsia="仿宋_GB2312" w:cs="仿宋"/>
          <w:b/>
          <w:color w:val="auto"/>
          <w:sz w:val="24"/>
          <w:highlight w:val="none"/>
        </w:rPr>
        <w:t>A:</w:t>
      </w:r>
      <w:r>
        <w:rPr>
          <w:rFonts w:hint="eastAsia" w:ascii="宋体" w:hAnsi="宋体" w:cs="宋体"/>
          <w:b/>
          <w:color w:val="auto"/>
          <w:sz w:val="24"/>
          <w:highlight w:val="none"/>
        </w:rPr>
        <w:t>本项目的项目负责人/项目经理情况表</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19"/>
        <w:gridCol w:w="1652"/>
        <w:gridCol w:w="1648"/>
        <w:gridCol w:w="1761"/>
        <w:gridCol w:w="1576"/>
        <w:gridCol w:w="1693"/>
      </w:tblGrid>
      <w:tr w14:paraId="2116BC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exact"/>
          <w:jc w:val="center"/>
        </w:trPr>
        <w:tc>
          <w:tcPr>
            <w:tcW w:w="1619" w:type="dxa"/>
            <w:tcBorders>
              <w:top w:val="single" w:color="auto" w:sz="12" w:space="0"/>
              <w:left w:val="single" w:color="auto" w:sz="12" w:space="0"/>
              <w:bottom w:val="single" w:color="auto" w:sz="6" w:space="0"/>
              <w:right w:val="single" w:color="auto" w:sz="6" w:space="0"/>
            </w:tcBorders>
            <w:vAlign w:val="center"/>
          </w:tcPr>
          <w:p w14:paraId="315E8E6D">
            <w:pPr>
              <w:pStyle w:val="11"/>
              <w:shd w:val="clear"/>
              <w:ind w:left="630" w:hanging="630" w:hangingChars="300"/>
              <w:jc w:val="center"/>
              <w:rPr>
                <w:rFonts w:hAnsi="宋体"/>
                <w:color w:val="auto"/>
                <w:highlight w:val="none"/>
              </w:rPr>
            </w:pPr>
            <w:r>
              <w:rPr>
                <w:rFonts w:hint="eastAsia" w:hAnsi="宋体"/>
                <w:color w:val="auto"/>
                <w:highlight w:val="none"/>
              </w:rPr>
              <w:t>姓 名</w:t>
            </w:r>
          </w:p>
        </w:tc>
        <w:tc>
          <w:tcPr>
            <w:tcW w:w="1652" w:type="dxa"/>
            <w:tcBorders>
              <w:top w:val="single" w:color="auto" w:sz="12" w:space="0"/>
              <w:left w:val="single" w:color="auto" w:sz="6" w:space="0"/>
              <w:bottom w:val="single" w:color="auto" w:sz="6" w:space="0"/>
              <w:right w:val="single" w:color="auto" w:sz="6" w:space="0"/>
            </w:tcBorders>
            <w:vAlign w:val="center"/>
          </w:tcPr>
          <w:p w14:paraId="17C064A6">
            <w:pPr>
              <w:pStyle w:val="11"/>
              <w:shd w:val="clear"/>
              <w:ind w:left="630" w:hanging="630" w:hangingChars="300"/>
              <w:jc w:val="center"/>
              <w:rPr>
                <w:rFonts w:hAnsi="宋体"/>
                <w:color w:val="auto"/>
                <w:highlight w:val="none"/>
              </w:rPr>
            </w:pPr>
          </w:p>
        </w:tc>
        <w:tc>
          <w:tcPr>
            <w:tcW w:w="1648" w:type="dxa"/>
            <w:tcBorders>
              <w:top w:val="single" w:color="auto" w:sz="12" w:space="0"/>
              <w:left w:val="single" w:color="auto" w:sz="6" w:space="0"/>
              <w:bottom w:val="single" w:color="auto" w:sz="6" w:space="0"/>
              <w:right w:val="single" w:color="auto" w:sz="6" w:space="0"/>
            </w:tcBorders>
            <w:vAlign w:val="center"/>
          </w:tcPr>
          <w:p w14:paraId="4EB703EB">
            <w:pPr>
              <w:pStyle w:val="11"/>
              <w:shd w:val="clear"/>
              <w:ind w:left="630" w:hanging="630" w:hangingChars="300"/>
              <w:jc w:val="center"/>
              <w:rPr>
                <w:rFonts w:hAnsi="宋体"/>
                <w:color w:val="auto"/>
                <w:highlight w:val="none"/>
              </w:rPr>
            </w:pPr>
            <w:r>
              <w:rPr>
                <w:rFonts w:hint="eastAsia" w:hAnsi="宋体"/>
                <w:color w:val="auto"/>
                <w:highlight w:val="none"/>
              </w:rPr>
              <w:t>性 别</w:t>
            </w:r>
          </w:p>
        </w:tc>
        <w:tc>
          <w:tcPr>
            <w:tcW w:w="1761" w:type="dxa"/>
            <w:tcBorders>
              <w:top w:val="single" w:color="auto" w:sz="12" w:space="0"/>
              <w:left w:val="single" w:color="auto" w:sz="6" w:space="0"/>
              <w:bottom w:val="single" w:color="auto" w:sz="6" w:space="0"/>
              <w:right w:val="single" w:color="auto" w:sz="6" w:space="0"/>
            </w:tcBorders>
            <w:vAlign w:val="center"/>
          </w:tcPr>
          <w:p w14:paraId="66382D05">
            <w:pPr>
              <w:pStyle w:val="11"/>
              <w:shd w:val="clear"/>
              <w:ind w:left="630" w:hanging="630" w:hangingChars="300"/>
              <w:jc w:val="center"/>
              <w:rPr>
                <w:rFonts w:hAnsi="宋体"/>
                <w:color w:val="auto"/>
                <w:highlight w:val="none"/>
              </w:rPr>
            </w:pPr>
          </w:p>
        </w:tc>
        <w:tc>
          <w:tcPr>
            <w:tcW w:w="1576" w:type="dxa"/>
            <w:tcBorders>
              <w:top w:val="single" w:color="auto" w:sz="12" w:space="0"/>
              <w:left w:val="single" w:color="auto" w:sz="6" w:space="0"/>
              <w:bottom w:val="single" w:color="auto" w:sz="6" w:space="0"/>
              <w:right w:val="single" w:color="auto" w:sz="6" w:space="0"/>
            </w:tcBorders>
            <w:vAlign w:val="center"/>
          </w:tcPr>
          <w:p w14:paraId="0F41E1F4">
            <w:pPr>
              <w:pStyle w:val="11"/>
              <w:shd w:val="clear"/>
              <w:ind w:left="630" w:hanging="630" w:hangingChars="300"/>
              <w:jc w:val="center"/>
              <w:rPr>
                <w:rFonts w:hAnsi="宋体"/>
                <w:color w:val="auto"/>
                <w:highlight w:val="none"/>
              </w:rPr>
            </w:pPr>
            <w:r>
              <w:rPr>
                <w:rFonts w:hint="eastAsia" w:hAnsi="宋体"/>
                <w:color w:val="auto"/>
                <w:highlight w:val="none"/>
              </w:rPr>
              <w:t>年 龄</w:t>
            </w:r>
          </w:p>
        </w:tc>
        <w:tc>
          <w:tcPr>
            <w:tcW w:w="1693" w:type="dxa"/>
            <w:tcBorders>
              <w:top w:val="single" w:color="auto" w:sz="12" w:space="0"/>
              <w:left w:val="single" w:color="auto" w:sz="6" w:space="0"/>
              <w:bottom w:val="single" w:color="auto" w:sz="6" w:space="0"/>
              <w:right w:val="single" w:color="auto" w:sz="12" w:space="0"/>
            </w:tcBorders>
            <w:vAlign w:val="center"/>
          </w:tcPr>
          <w:p w14:paraId="4ACE0BB6">
            <w:pPr>
              <w:pStyle w:val="11"/>
              <w:shd w:val="clear"/>
              <w:ind w:left="630" w:hanging="630" w:hangingChars="300"/>
              <w:jc w:val="center"/>
              <w:rPr>
                <w:rFonts w:hAnsi="宋体"/>
                <w:color w:val="auto"/>
                <w:highlight w:val="none"/>
              </w:rPr>
            </w:pPr>
          </w:p>
        </w:tc>
      </w:tr>
      <w:tr w14:paraId="43AFF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exact"/>
          <w:jc w:val="center"/>
        </w:trPr>
        <w:tc>
          <w:tcPr>
            <w:tcW w:w="1619" w:type="dxa"/>
            <w:tcBorders>
              <w:top w:val="single" w:color="auto" w:sz="6" w:space="0"/>
              <w:left w:val="single" w:color="auto" w:sz="12" w:space="0"/>
              <w:bottom w:val="single" w:color="auto" w:sz="6" w:space="0"/>
              <w:right w:val="single" w:color="auto" w:sz="6" w:space="0"/>
            </w:tcBorders>
            <w:vAlign w:val="center"/>
          </w:tcPr>
          <w:p w14:paraId="5B10CAB9">
            <w:pPr>
              <w:pStyle w:val="11"/>
              <w:shd w:val="clear"/>
              <w:ind w:left="630" w:hanging="630" w:hangingChars="300"/>
              <w:jc w:val="center"/>
              <w:rPr>
                <w:rFonts w:hAnsi="宋体"/>
                <w:color w:val="auto"/>
                <w:highlight w:val="none"/>
              </w:rPr>
            </w:pPr>
            <w:r>
              <w:rPr>
                <w:rFonts w:hint="eastAsia" w:hAnsi="宋体"/>
                <w:color w:val="auto"/>
                <w:highlight w:val="none"/>
              </w:rPr>
              <w:t>学 历</w:t>
            </w:r>
          </w:p>
        </w:tc>
        <w:tc>
          <w:tcPr>
            <w:tcW w:w="1652" w:type="dxa"/>
            <w:tcBorders>
              <w:top w:val="single" w:color="auto" w:sz="6" w:space="0"/>
              <w:left w:val="single" w:color="auto" w:sz="6" w:space="0"/>
              <w:bottom w:val="single" w:color="auto" w:sz="6" w:space="0"/>
              <w:right w:val="single" w:color="auto" w:sz="6" w:space="0"/>
            </w:tcBorders>
            <w:vAlign w:val="center"/>
          </w:tcPr>
          <w:p w14:paraId="2BD2A1F2">
            <w:pPr>
              <w:pStyle w:val="11"/>
              <w:shd w:val="clear"/>
              <w:ind w:left="630" w:hanging="630" w:hangingChars="300"/>
              <w:jc w:val="center"/>
              <w:rPr>
                <w:rFonts w:hAnsi="宋体"/>
                <w:color w:val="auto"/>
                <w:highlight w:val="none"/>
              </w:rPr>
            </w:pPr>
          </w:p>
        </w:tc>
        <w:tc>
          <w:tcPr>
            <w:tcW w:w="1648" w:type="dxa"/>
            <w:tcBorders>
              <w:top w:val="single" w:color="auto" w:sz="6" w:space="0"/>
              <w:left w:val="single" w:color="auto" w:sz="6" w:space="0"/>
              <w:bottom w:val="single" w:color="auto" w:sz="6" w:space="0"/>
              <w:right w:val="single" w:color="auto" w:sz="6" w:space="0"/>
            </w:tcBorders>
            <w:vAlign w:val="center"/>
          </w:tcPr>
          <w:p w14:paraId="202C0F8F">
            <w:pPr>
              <w:pStyle w:val="11"/>
              <w:shd w:val="clear"/>
              <w:ind w:left="630" w:hanging="630" w:hangingChars="300"/>
              <w:jc w:val="center"/>
              <w:rPr>
                <w:rFonts w:hAnsi="宋体"/>
                <w:color w:val="auto"/>
                <w:highlight w:val="none"/>
              </w:rPr>
            </w:pPr>
            <w:r>
              <w:rPr>
                <w:rFonts w:hint="eastAsia" w:hAnsi="宋体"/>
                <w:color w:val="auto"/>
                <w:highlight w:val="none"/>
              </w:rPr>
              <w:t>职 称</w:t>
            </w:r>
          </w:p>
        </w:tc>
        <w:tc>
          <w:tcPr>
            <w:tcW w:w="1761" w:type="dxa"/>
            <w:tcBorders>
              <w:top w:val="single" w:color="auto" w:sz="6" w:space="0"/>
              <w:left w:val="single" w:color="auto" w:sz="6" w:space="0"/>
              <w:bottom w:val="single" w:color="auto" w:sz="6" w:space="0"/>
              <w:right w:val="single" w:color="auto" w:sz="6" w:space="0"/>
            </w:tcBorders>
            <w:vAlign w:val="center"/>
          </w:tcPr>
          <w:p w14:paraId="2D577BD0">
            <w:pPr>
              <w:pStyle w:val="11"/>
              <w:shd w:val="clear"/>
              <w:ind w:left="630" w:hanging="630" w:hangingChars="300"/>
              <w:jc w:val="center"/>
              <w:rPr>
                <w:rFonts w:hAnsi="宋体"/>
                <w:color w:val="auto"/>
                <w:highlight w:val="none"/>
              </w:rPr>
            </w:pPr>
          </w:p>
        </w:tc>
        <w:tc>
          <w:tcPr>
            <w:tcW w:w="1576" w:type="dxa"/>
            <w:tcBorders>
              <w:top w:val="single" w:color="auto" w:sz="6" w:space="0"/>
              <w:left w:val="single" w:color="auto" w:sz="6" w:space="0"/>
              <w:bottom w:val="single" w:color="auto" w:sz="6" w:space="0"/>
              <w:right w:val="single" w:color="auto" w:sz="6" w:space="0"/>
            </w:tcBorders>
            <w:vAlign w:val="center"/>
          </w:tcPr>
          <w:p w14:paraId="46978F98">
            <w:pPr>
              <w:pStyle w:val="11"/>
              <w:shd w:val="clear"/>
              <w:ind w:left="630" w:hanging="630" w:hangingChars="300"/>
              <w:jc w:val="center"/>
              <w:rPr>
                <w:rFonts w:hAnsi="宋体"/>
                <w:color w:val="auto"/>
                <w:highlight w:val="none"/>
              </w:rPr>
            </w:pPr>
            <w:r>
              <w:rPr>
                <w:rFonts w:hint="eastAsia" w:hAnsi="宋体"/>
                <w:color w:val="auto"/>
                <w:highlight w:val="none"/>
              </w:rPr>
              <w:t>职 务</w:t>
            </w:r>
          </w:p>
        </w:tc>
        <w:tc>
          <w:tcPr>
            <w:tcW w:w="1693" w:type="dxa"/>
            <w:tcBorders>
              <w:top w:val="single" w:color="auto" w:sz="6" w:space="0"/>
              <w:left w:val="single" w:color="auto" w:sz="6" w:space="0"/>
              <w:bottom w:val="single" w:color="auto" w:sz="6" w:space="0"/>
              <w:right w:val="single" w:color="auto" w:sz="12" w:space="0"/>
            </w:tcBorders>
            <w:vAlign w:val="center"/>
          </w:tcPr>
          <w:p w14:paraId="509DECAF">
            <w:pPr>
              <w:pStyle w:val="11"/>
              <w:shd w:val="clear"/>
              <w:ind w:left="630" w:hanging="630" w:hangingChars="300"/>
              <w:jc w:val="center"/>
              <w:rPr>
                <w:rFonts w:hAnsi="宋体"/>
                <w:color w:val="auto"/>
                <w:highlight w:val="none"/>
              </w:rPr>
            </w:pPr>
          </w:p>
        </w:tc>
      </w:tr>
      <w:tr w14:paraId="374E0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exact"/>
          <w:jc w:val="center"/>
        </w:trPr>
        <w:tc>
          <w:tcPr>
            <w:tcW w:w="1619" w:type="dxa"/>
            <w:tcBorders>
              <w:top w:val="single" w:color="auto" w:sz="6" w:space="0"/>
              <w:left w:val="single" w:color="auto" w:sz="12" w:space="0"/>
              <w:bottom w:val="single" w:color="auto" w:sz="6" w:space="0"/>
              <w:right w:val="single" w:color="auto" w:sz="6" w:space="0"/>
            </w:tcBorders>
            <w:vAlign w:val="center"/>
          </w:tcPr>
          <w:p w14:paraId="01ED4EDC">
            <w:pPr>
              <w:pStyle w:val="11"/>
              <w:shd w:val="clear"/>
              <w:ind w:left="630" w:hanging="630" w:hangingChars="300"/>
              <w:jc w:val="center"/>
              <w:rPr>
                <w:rFonts w:hAnsi="宋体"/>
                <w:color w:val="auto"/>
                <w:highlight w:val="none"/>
              </w:rPr>
            </w:pPr>
            <w:r>
              <w:rPr>
                <w:rFonts w:hint="eastAsia" w:hAnsi="宋体"/>
                <w:color w:val="auto"/>
                <w:highlight w:val="none"/>
              </w:rPr>
              <w:t>联系电话</w:t>
            </w:r>
          </w:p>
        </w:tc>
        <w:tc>
          <w:tcPr>
            <w:tcW w:w="3300" w:type="dxa"/>
            <w:gridSpan w:val="2"/>
            <w:tcBorders>
              <w:top w:val="single" w:color="auto" w:sz="6" w:space="0"/>
              <w:left w:val="single" w:color="auto" w:sz="6" w:space="0"/>
              <w:bottom w:val="single" w:color="auto" w:sz="6" w:space="0"/>
              <w:right w:val="single" w:color="auto" w:sz="6" w:space="0"/>
            </w:tcBorders>
            <w:vAlign w:val="center"/>
          </w:tcPr>
          <w:p w14:paraId="5BC3FEFF">
            <w:pPr>
              <w:pStyle w:val="11"/>
              <w:shd w:val="clear"/>
              <w:ind w:left="630" w:hanging="630" w:hangingChars="300"/>
              <w:jc w:val="center"/>
              <w:rPr>
                <w:rFonts w:hAnsi="宋体"/>
                <w:color w:val="auto"/>
                <w:highlight w:val="none"/>
              </w:rPr>
            </w:pPr>
          </w:p>
        </w:tc>
        <w:tc>
          <w:tcPr>
            <w:tcW w:w="1761" w:type="dxa"/>
            <w:tcBorders>
              <w:top w:val="single" w:color="auto" w:sz="6" w:space="0"/>
              <w:left w:val="single" w:color="auto" w:sz="6" w:space="0"/>
              <w:bottom w:val="single" w:color="auto" w:sz="6" w:space="0"/>
              <w:right w:val="single" w:color="auto" w:sz="6" w:space="0"/>
            </w:tcBorders>
            <w:vAlign w:val="center"/>
          </w:tcPr>
          <w:p w14:paraId="5A5CD112">
            <w:pPr>
              <w:pStyle w:val="11"/>
              <w:shd w:val="clear"/>
              <w:ind w:left="630" w:hanging="630" w:hangingChars="300"/>
              <w:jc w:val="center"/>
              <w:rPr>
                <w:rFonts w:hAnsi="宋体"/>
                <w:color w:val="auto"/>
                <w:highlight w:val="none"/>
              </w:rPr>
            </w:pPr>
            <w:r>
              <w:rPr>
                <w:rFonts w:hint="eastAsia" w:hAnsi="宋体"/>
                <w:color w:val="auto"/>
                <w:highlight w:val="none"/>
              </w:rPr>
              <w:t>手 机</w:t>
            </w:r>
          </w:p>
        </w:tc>
        <w:tc>
          <w:tcPr>
            <w:tcW w:w="3269" w:type="dxa"/>
            <w:gridSpan w:val="2"/>
            <w:tcBorders>
              <w:top w:val="single" w:color="auto" w:sz="6" w:space="0"/>
              <w:left w:val="single" w:color="auto" w:sz="6" w:space="0"/>
              <w:bottom w:val="single" w:color="auto" w:sz="6" w:space="0"/>
              <w:right w:val="single" w:color="auto" w:sz="12" w:space="0"/>
            </w:tcBorders>
            <w:vAlign w:val="center"/>
          </w:tcPr>
          <w:p w14:paraId="014CB4EB">
            <w:pPr>
              <w:pStyle w:val="11"/>
              <w:shd w:val="clear"/>
              <w:ind w:left="630" w:hanging="630" w:hangingChars="300"/>
              <w:jc w:val="center"/>
              <w:rPr>
                <w:rFonts w:hAnsi="宋体"/>
                <w:color w:val="auto"/>
                <w:highlight w:val="none"/>
              </w:rPr>
            </w:pPr>
          </w:p>
        </w:tc>
      </w:tr>
      <w:tr w14:paraId="5050A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8" w:hRule="atLeast"/>
          <w:jc w:val="center"/>
        </w:trPr>
        <w:tc>
          <w:tcPr>
            <w:tcW w:w="9949" w:type="dxa"/>
            <w:gridSpan w:val="6"/>
            <w:tcBorders>
              <w:top w:val="single" w:color="auto" w:sz="6" w:space="0"/>
              <w:left w:val="single" w:color="auto" w:sz="12" w:space="0"/>
              <w:bottom w:val="single" w:color="auto" w:sz="12" w:space="0"/>
              <w:right w:val="single" w:color="auto" w:sz="12" w:space="0"/>
            </w:tcBorders>
          </w:tcPr>
          <w:p w14:paraId="01676DB5">
            <w:pPr>
              <w:pStyle w:val="11"/>
              <w:shd w:val="clear"/>
              <w:spacing w:before="120" w:after="120"/>
              <w:ind w:left="630" w:hanging="630" w:hangingChars="300"/>
              <w:rPr>
                <w:rFonts w:hAnsi="宋体"/>
                <w:color w:val="auto"/>
                <w:highlight w:val="none"/>
              </w:rPr>
            </w:pPr>
            <w:r>
              <w:rPr>
                <w:rFonts w:hint="eastAsia" w:hAnsi="宋体" w:cs="宋体"/>
                <w:color w:val="auto"/>
                <w:highlight w:val="none"/>
              </w:rPr>
              <w:t>投标截止时间前三年业绩及承担的主要工作情况，曾担任项目负责人的项目应列明细</w:t>
            </w:r>
          </w:p>
        </w:tc>
      </w:tr>
    </w:tbl>
    <w:p w14:paraId="64D4C321">
      <w:pPr>
        <w:pStyle w:val="11"/>
        <w:shd w:val="clear"/>
        <w:spacing w:line="320" w:lineRule="exact"/>
        <w:ind w:left="630" w:hanging="630" w:hangingChars="300"/>
        <w:rPr>
          <w:rFonts w:hAnsi="宋体" w:cs="Times New Roman"/>
          <w:color w:val="auto"/>
          <w:kern w:val="0"/>
          <w:sz w:val="20"/>
          <w:highlight w:val="none"/>
        </w:rPr>
      </w:pPr>
      <w:r>
        <w:rPr>
          <w:rFonts w:hint="eastAsia" w:hAnsi="宋体"/>
          <w:color w:val="auto"/>
          <w:highlight w:val="none"/>
        </w:rPr>
        <w:t>注:1、与评分有关的证明材料附后。</w:t>
      </w:r>
    </w:p>
    <w:p w14:paraId="4D394D1A">
      <w:pPr>
        <w:pStyle w:val="11"/>
        <w:shd w:val="clear"/>
        <w:spacing w:line="320" w:lineRule="exact"/>
        <w:ind w:left="630" w:hanging="630" w:hangingChars="300"/>
        <w:rPr>
          <w:rFonts w:hAnsi="宋体"/>
          <w:color w:val="auto"/>
          <w:highlight w:val="none"/>
        </w:rPr>
      </w:pPr>
      <w:r>
        <w:rPr>
          <w:rFonts w:hint="eastAsia" w:hAnsi="宋体"/>
          <w:color w:val="auto"/>
          <w:highlight w:val="none"/>
        </w:rPr>
        <w:t>2、不得随意更换项目负责人，如不经采购人同意擅自更换，则采购人有权解除合同</w:t>
      </w:r>
      <w:r>
        <w:rPr>
          <w:rFonts w:hint="eastAsia" w:hAnsi="宋体" w:cs="宋体"/>
          <w:b/>
          <w:color w:val="auto"/>
          <w:highlight w:val="none"/>
        </w:rPr>
        <w:t>。</w:t>
      </w:r>
      <w:bookmarkStart w:id="534" w:name="OLE_LINK9"/>
    </w:p>
    <w:p w14:paraId="7B346648">
      <w:pPr>
        <w:pStyle w:val="11"/>
        <w:shd w:val="clear"/>
        <w:spacing w:line="340" w:lineRule="exact"/>
        <w:jc w:val="left"/>
        <w:rPr>
          <w:rFonts w:ascii="仿宋_GB2312" w:hAnsi="仿宋" w:eastAsia="仿宋_GB2312" w:cs="仿宋"/>
          <w:b/>
          <w:color w:val="auto"/>
          <w:highlight w:val="none"/>
        </w:rPr>
      </w:pPr>
    </w:p>
    <w:p w14:paraId="589C058D">
      <w:pPr>
        <w:pStyle w:val="11"/>
        <w:shd w:val="clear"/>
        <w:spacing w:line="340" w:lineRule="exact"/>
        <w:jc w:val="left"/>
        <w:rPr>
          <w:rFonts w:ascii="仿宋_GB2312" w:hAnsi="仿宋" w:eastAsia="仿宋_GB2312" w:cs="仿宋"/>
          <w:b/>
          <w:color w:val="auto"/>
          <w:highlight w:val="none"/>
        </w:rPr>
      </w:pPr>
    </w:p>
    <w:p w14:paraId="20FA9429">
      <w:pPr>
        <w:pStyle w:val="11"/>
        <w:shd w:val="clear"/>
        <w:spacing w:line="340" w:lineRule="exact"/>
        <w:jc w:val="left"/>
        <w:rPr>
          <w:rFonts w:hAnsi="宋体" w:cs="Times New Roman"/>
          <w:b/>
          <w:color w:val="auto"/>
          <w:highlight w:val="none"/>
        </w:rPr>
      </w:pPr>
      <w:r>
        <w:rPr>
          <w:rFonts w:hint="eastAsia" w:hAnsi="宋体" w:cs="宋体"/>
          <w:b/>
          <w:color w:val="auto"/>
          <w:highlight w:val="none"/>
        </w:rPr>
        <w:t>附表</w:t>
      </w:r>
      <w:r>
        <w:rPr>
          <w:rFonts w:hint="eastAsia" w:ascii="仿宋_GB2312" w:hAnsi="仿宋" w:eastAsia="仿宋_GB2312" w:cs="仿宋"/>
          <w:b/>
          <w:color w:val="auto"/>
          <w:highlight w:val="none"/>
        </w:rPr>
        <w:t>B:</w:t>
      </w:r>
      <w:r>
        <w:rPr>
          <w:rFonts w:hint="eastAsia" w:hAnsi="宋体" w:cs="宋体"/>
          <w:b/>
          <w:color w:val="auto"/>
          <w:highlight w:val="none"/>
        </w:rPr>
        <w:t>拟入的项目实施人员名单</w:t>
      </w:r>
      <w:bookmarkEnd w:id="534"/>
    </w:p>
    <w:tbl>
      <w:tblPr>
        <w:tblStyle w:val="21"/>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42"/>
        <w:gridCol w:w="927"/>
        <w:gridCol w:w="927"/>
        <w:gridCol w:w="742"/>
        <w:gridCol w:w="742"/>
        <w:gridCol w:w="1297"/>
        <w:gridCol w:w="1284"/>
        <w:gridCol w:w="1766"/>
        <w:gridCol w:w="1112"/>
      </w:tblGrid>
      <w:tr w14:paraId="6EB04C8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5" w:hRule="atLeast"/>
          <w:jc w:val="center"/>
        </w:trPr>
        <w:tc>
          <w:tcPr>
            <w:tcW w:w="742" w:type="dxa"/>
            <w:tcBorders>
              <w:top w:val="single" w:color="auto" w:sz="12" w:space="0"/>
              <w:left w:val="single" w:color="auto" w:sz="12" w:space="0"/>
              <w:bottom w:val="single" w:color="auto" w:sz="6" w:space="0"/>
              <w:right w:val="single" w:color="auto" w:sz="6" w:space="0"/>
            </w:tcBorders>
            <w:vAlign w:val="center"/>
          </w:tcPr>
          <w:p w14:paraId="78CB3980">
            <w:pPr>
              <w:shd w:val="clear"/>
              <w:spacing w:line="360" w:lineRule="auto"/>
              <w:jc w:val="center"/>
              <w:rPr>
                <w:rFonts w:ascii="宋体" w:hAnsi="宋体"/>
                <w:color w:val="auto"/>
                <w:szCs w:val="21"/>
                <w:highlight w:val="none"/>
              </w:rPr>
            </w:pPr>
            <w:r>
              <w:rPr>
                <w:rFonts w:hint="eastAsia" w:ascii="宋体" w:hAnsi="宋体"/>
                <w:color w:val="auto"/>
                <w:szCs w:val="21"/>
                <w:highlight w:val="none"/>
              </w:rPr>
              <w:t>序号</w:t>
            </w:r>
          </w:p>
        </w:tc>
        <w:tc>
          <w:tcPr>
            <w:tcW w:w="927" w:type="dxa"/>
            <w:tcBorders>
              <w:top w:val="single" w:color="auto" w:sz="12" w:space="0"/>
              <w:left w:val="single" w:color="auto" w:sz="6" w:space="0"/>
              <w:bottom w:val="single" w:color="auto" w:sz="6" w:space="0"/>
              <w:right w:val="single" w:color="auto" w:sz="6" w:space="0"/>
            </w:tcBorders>
            <w:vAlign w:val="center"/>
          </w:tcPr>
          <w:p w14:paraId="196735A2">
            <w:pPr>
              <w:shd w:val="clear"/>
              <w:spacing w:line="360" w:lineRule="auto"/>
              <w:jc w:val="center"/>
              <w:rPr>
                <w:rFonts w:ascii="宋体" w:hAnsi="宋体"/>
                <w:color w:val="auto"/>
                <w:szCs w:val="21"/>
                <w:highlight w:val="none"/>
              </w:rPr>
            </w:pPr>
            <w:r>
              <w:rPr>
                <w:rFonts w:hint="eastAsia" w:ascii="宋体" w:hAnsi="宋体"/>
                <w:color w:val="auto"/>
                <w:szCs w:val="21"/>
                <w:highlight w:val="none"/>
              </w:rPr>
              <w:t>姓名</w:t>
            </w:r>
          </w:p>
        </w:tc>
        <w:tc>
          <w:tcPr>
            <w:tcW w:w="927" w:type="dxa"/>
            <w:tcBorders>
              <w:top w:val="single" w:color="auto" w:sz="12" w:space="0"/>
              <w:left w:val="single" w:color="auto" w:sz="6" w:space="0"/>
              <w:bottom w:val="single" w:color="auto" w:sz="6" w:space="0"/>
              <w:right w:val="single" w:color="auto" w:sz="6" w:space="0"/>
            </w:tcBorders>
            <w:vAlign w:val="center"/>
          </w:tcPr>
          <w:p w14:paraId="0981E6FB">
            <w:pPr>
              <w:shd w:val="clear"/>
              <w:spacing w:line="360" w:lineRule="auto"/>
              <w:jc w:val="center"/>
              <w:rPr>
                <w:rFonts w:ascii="宋体" w:hAnsi="宋体"/>
                <w:color w:val="auto"/>
                <w:szCs w:val="21"/>
                <w:highlight w:val="none"/>
              </w:rPr>
            </w:pPr>
            <w:r>
              <w:rPr>
                <w:rFonts w:hint="eastAsia" w:ascii="宋体" w:hAnsi="宋体"/>
                <w:color w:val="auto"/>
                <w:szCs w:val="21"/>
                <w:highlight w:val="none"/>
              </w:rPr>
              <w:t>性别</w:t>
            </w:r>
          </w:p>
        </w:tc>
        <w:tc>
          <w:tcPr>
            <w:tcW w:w="742" w:type="dxa"/>
            <w:tcBorders>
              <w:top w:val="single" w:color="auto" w:sz="12" w:space="0"/>
              <w:left w:val="single" w:color="auto" w:sz="6" w:space="0"/>
              <w:bottom w:val="single" w:color="auto" w:sz="6" w:space="0"/>
              <w:right w:val="single" w:color="auto" w:sz="6" w:space="0"/>
            </w:tcBorders>
            <w:vAlign w:val="center"/>
          </w:tcPr>
          <w:p w14:paraId="12C853EC">
            <w:pPr>
              <w:shd w:val="clear"/>
              <w:spacing w:line="360" w:lineRule="auto"/>
              <w:jc w:val="center"/>
              <w:rPr>
                <w:rFonts w:ascii="宋体" w:hAnsi="宋体"/>
                <w:color w:val="auto"/>
                <w:szCs w:val="21"/>
                <w:highlight w:val="none"/>
              </w:rPr>
            </w:pPr>
            <w:r>
              <w:rPr>
                <w:rFonts w:hint="eastAsia" w:ascii="宋体" w:hAnsi="宋体"/>
                <w:color w:val="auto"/>
                <w:szCs w:val="21"/>
                <w:highlight w:val="none"/>
              </w:rPr>
              <w:t>年龄</w:t>
            </w:r>
          </w:p>
        </w:tc>
        <w:tc>
          <w:tcPr>
            <w:tcW w:w="742" w:type="dxa"/>
            <w:tcBorders>
              <w:top w:val="single" w:color="auto" w:sz="12" w:space="0"/>
              <w:left w:val="single" w:color="auto" w:sz="6" w:space="0"/>
              <w:bottom w:val="single" w:color="auto" w:sz="6" w:space="0"/>
              <w:right w:val="single" w:color="auto" w:sz="6" w:space="0"/>
            </w:tcBorders>
            <w:vAlign w:val="center"/>
          </w:tcPr>
          <w:p w14:paraId="42AC7C77">
            <w:pPr>
              <w:shd w:val="clear"/>
              <w:spacing w:line="360" w:lineRule="auto"/>
              <w:jc w:val="center"/>
              <w:rPr>
                <w:rFonts w:ascii="宋体" w:hAnsi="宋体"/>
                <w:color w:val="auto"/>
                <w:szCs w:val="21"/>
                <w:highlight w:val="none"/>
              </w:rPr>
            </w:pPr>
            <w:r>
              <w:rPr>
                <w:rFonts w:hint="eastAsia" w:ascii="宋体" w:hAnsi="宋体"/>
                <w:color w:val="auto"/>
                <w:szCs w:val="21"/>
                <w:highlight w:val="none"/>
              </w:rPr>
              <w:t>学历</w:t>
            </w:r>
          </w:p>
        </w:tc>
        <w:tc>
          <w:tcPr>
            <w:tcW w:w="1297" w:type="dxa"/>
            <w:tcBorders>
              <w:top w:val="single" w:color="auto" w:sz="12" w:space="0"/>
              <w:left w:val="single" w:color="auto" w:sz="6" w:space="0"/>
              <w:bottom w:val="single" w:color="auto" w:sz="6" w:space="0"/>
              <w:right w:val="single" w:color="auto" w:sz="6" w:space="0"/>
            </w:tcBorders>
            <w:vAlign w:val="center"/>
          </w:tcPr>
          <w:p w14:paraId="2FA5CD73">
            <w:pPr>
              <w:shd w:val="clear"/>
              <w:spacing w:line="280" w:lineRule="exact"/>
              <w:jc w:val="center"/>
              <w:rPr>
                <w:rFonts w:ascii="宋体" w:hAnsi="宋体"/>
                <w:color w:val="auto"/>
                <w:szCs w:val="21"/>
                <w:highlight w:val="none"/>
              </w:rPr>
            </w:pPr>
            <w:r>
              <w:rPr>
                <w:rFonts w:hint="eastAsia" w:ascii="宋体" w:hAnsi="宋体"/>
                <w:color w:val="auto"/>
                <w:szCs w:val="21"/>
                <w:highlight w:val="none"/>
              </w:rPr>
              <w:t>职称/职务</w:t>
            </w:r>
          </w:p>
        </w:tc>
        <w:tc>
          <w:tcPr>
            <w:tcW w:w="1284" w:type="dxa"/>
            <w:tcBorders>
              <w:top w:val="single" w:color="auto" w:sz="12" w:space="0"/>
              <w:left w:val="single" w:color="auto" w:sz="6" w:space="0"/>
              <w:bottom w:val="single" w:color="auto" w:sz="6" w:space="0"/>
              <w:right w:val="single" w:color="auto" w:sz="6" w:space="0"/>
            </w:tcBorders>
            <w:vAlign w:val="center"/>
          </w:tcPr>
          <w:p w14:paraId="6594973C">
            <w:pPr>
              <w:shd w:val="clear"/>
              <w:spacing w:line="280" w:lineRule="exact"/>
              <w:jc w:val="center"/>
              <w:rPr>
                <w:rFonts w:ascii="宋体" w:hAnsi="宋体"/>
                <w:color w:val="auto"/>
                <w:szCs w:val="21"/>
                <w:highlight w:val="none"/>
              </w:rPr>
            </w:pPr>
            <w:r>
              <w:rPr>
                <w:rFonts w:hint="eastAsia" w:ascii="宋体" w:hAnsi="宋体"/>
                <w:color w:val="auto"/>
                <w:szCs w:val="21"/>
                <w:highlight w:val="none"/>
              </w:rPr>
              <w:t>本项目中的岗位</w:t>
            </w:r>
          </w:p>
        </w:tc>
        <w:tc>
          <w:tcPr>
            <w:tcW w:w="1766" w:type="dxa"/>
            <w:tcBorders>
              <w:top w:val="single" w:color="auto" w:sz="12" w:space="0"/>
              <w:left w:val="single" w:color="auto" w:sz="6" w:space="0"/>
              <w:bottom w:val="single" w:color="auto" w:sz="6" w:space="0"/>
              <w:right w:val="single" w:color="auto" w:sz="6" w:space="0"/>
            </w:tcBorders>
            <w:vAlign w:val="center"/>
          </w:tcPr>
          <w:p w14:paraId="5470CDBE">
            <w:pPr>
              <w:shd w:val="clear"/>
              <w:spacing w:line="360" w:lineRule="auto"/>
              <w:jc w:val="center"/>
              <w:rPr>
                <w:rFonts w:ascii="宋体" w:hAnsi="宋体"/>
                <w:color w:val="auto"/>
                <w:szCs w:val="21"/>
                <w:highlight w:val="none"/>
              </w:rPr>
            </w:pPr>
            <w:r>
              <w:rPr>
                <w:rFonts w:hint="eastAsia" w:ascii="宋体" w:hAnsi="宋体"/>
                <w:color w:val="auto"/>
                <w:szCs w:val="21"/>
                <w:highlight w:val="none"/>
              </w:rPr>
              <w:t>从事专业年限</w:t>
            </w:r>
          </w:p>
        </w:tc>
        <w:tc>
          <w:tcPr>
            <w:tcW w:w="1112" w:type="dxa"/>
            <w:tcBorders>
              <w:top w:val="single" w:color="auto" w:sz="12" w:space="0"/>
              <w:left w:val="single" w:color="auto" w:sz="6" w:space="0"/>
              <w:bottom w:val="single" w:color="auto" w:sz="6" w:space="0"/>
              <w:right w:val="single" w:color="auto" w:sz="12" w:space="0"/>
            </w:tcBorders>
            <w:vAlign w:val="center"/>
          </w:tcPr>
          <w:p w14:paraId="43752F41">
            <w:pPr>
              <w:shd w:val="clear"/>
              <w:spacing w:line="360" w:lineRule="auto"/>
              <w:jc w:val="center"/>
              <w:rPr>
                <w:rFonts w:ascii="宋体" w:hAnsi="宋体"/>
                <w:color w:val="auto"/>
                <w:szCs w:val="21"/>
                <w:highlight w:val="none"/>
              </w:rPr>
            </w:pPr>
            <w:r>
              <w:rPr>
                <w:rFonts w:hint="eastAsia" w:ascii="宋体" w:hAnsi="宋体"/>
                <w:color w:val="auto"/>
                <w:szCs w:val="21"/>
                <w:highlight w:val="none"/>
              </w:rPr>
              <w:t>备注</w:t>
            </w:r>
          </w:p>
        </w:tc>
      </w:tr>
      <w:tr w14:paraId="2CEE54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42" w:type="dxa"/>
            <w:tcBorders>
              <w:top w:val="single" w:color="auto" w:sz="6" w:space="0"/>
              <w:left w:val="single" w:color="auto" w:sz="12" w:space="0"/>
              <w:bottom w:val="single" w:color="auto" w:sz="6" w:space="0"/>
              <w:right w:val="single" w:color="auto" w:sz="6" w:space="0"/>
            </w:tcBorders>
            <w:vAlign w:val="center"/>
          </w:tcPr>
          <w:p w14:paraId="645313ED">
            <w:pPr>
              <w:shd w:val="clear"/>
              <w:spacing w:line="360" w:lineRule="auto"/>
              <w:jc w:val="center"/>
              <w:rPr>
                <w:rFonts w:ascii="宋体" w:hAnsi="宋体"/>
                <w:color w:val="auto"/>
                <w:szCs w:val="21"/>
                <w:highlight w:val="none"/>
              </w:rPr>
            </w:pPr>
          </w:p>
        </w:tc>
        <w:tc>
          <w:tcPr>
            <w:tcW w:w="927" w:type="dxa"/>
            <w:tcBorders>
              <w:top w:val="single" w:color="auto" w:sz="6" w:space="0"/>
              <w:left w:val="single" w:color="auto" w:sz="6" w:space="0"/>
              <w:bottom w:val="single" w:color="auto" w:sz="6" w:space="0"/>
              <w:right w:val="single" w:color="auto" w:sz="6" w:space="0"/>
            </w:tcBorders>
            <w:vAlign w:val="center"/>
          </w:tcPr>
          <w:p w14:paraId="06C77999">
            <w:pPr>
              <w:shd w:val="clear"/>
              <w:spacing w:line="360" w:lineRule="auto"/>
              <w:jc w:val="center"/>
              <w:rPr>
                <w:rFonts w:ascii="宋体" w:hAnsi="宋体"/>
                <w:color w:val="auto"/>
                <w:szCs w:val="21"/>
                <w:highlight w:val="none"/>
              </w:rPr>
            </w:pPr>
          </w:p>
        </w:tc>
        <w:tc>
          <w:tcPr>
            <w:tcW w:w="927" w:type="dxa"/>
            <w:tcBorders>
              <w:top w:val="single" w:color="auto" w:sz="6" w:space="0"/>
              <w:left w:val="single" w:color="auto" w:sz="6" w:space="0"/>
              <w:bottom w:val="single" w:color="auto" w:sz="6" w:space="0"/>
              <w:right w:val="single" w:color="auto" w:sz="6" w:space="0"/>
            </w:tcBorders>
            <w:vAlign w:val="center"/>
          </w:tcPr>
          <w:p w14:paraId="19BF4BD6">
            <w:pPr>
              <w:shd w:val="clear"/>
              <w:spacing w:line="360" w:lineRule="auto"/>
              <w:jc w:val="center"/>
              <w:rPr>
                <w:rFonts w:ascii="宋体" w:hAnsi="宋体"/>
                <w:color w:val="auto"/>
                <w:szCs w:val="21"/>
                <w:highlight w:val="none"/>
              </w:rPr>
            </w:pPr>
          </w:p>
        </w:tc>
        <w:tc>
          <w:tcPr>
            <w:tcW w:w="742" w:type="dxa"/>
            <w:tcBorders>
              <w:top w:val="single" w:color="auto" w:sz="6" w:space="0"/>
              <w:left w:val="single" w:color="auto" w:sz="6" w:space="0"/>
              <w:bottom w:val="single" w:color="auto" w:sz="6" w:space="0"/>
              <w:right w:val="single" w:color="auto" w:sz="6" w:space="0"/>
            </w:tcBorders>
            <w:vAlign w:val="center"/>
          </w:tcPr>
          <w:p w14:paraId="3563F123">
            <w:pPr>
              <w:shd w:val="clear"/>
              <w:spacing w:line="360" w:lineRule="auto"/>
              <w:jc w:val="center"/>
              <w:rPr>
                <w:rFonts w:ascii="宋体" w:hAnsi="宋体"/>
                <w:color w:val="auto"/>
                <w:szCs w:val="21"/>
                <w:highlight w:val="none"/>
              </w:rPr>
            </w:pPr>
          </w:p>
        </w:tc>
        <w:tc>
          <w:tcPr>
            <w:tcW w:w="742" w:type="dxa"/>
            <w:tcBorders>
              <w:top w:val="single" w:color="auto" w:sz="6" w:space="0"/>
              <w:left w:val="single" w:color="auto" w:sz="6" w:space="0"/>
              <w:bottom w:val="single" w:color="auto" w:sz="6" w:space="0"/>
              <w:right w:val="single" w:color="auto" w:sz="6" w:space="0"/>
            </w:tcBorders>
            <w:vAlign w:val="center"/>
          </w:tcPr>
          <w:p w14:paraId="09BCDFC4">
            <w:pPr>
              <w:shd w:val="clear"/>
              <w:spacing w:line="360" w:lineRule="auto"/>
              <w:jc w:val="center"/>
              <w:rPr>
                <w:rFonts w:ascii="宋体" w:hAnsi="宋体"/>
                <w:color w:val="auto"/>
                <w:szCs w:val="21"/>
                <w:highlight w:val="none"/>
              </w:rPr>
            </w:pPr>
          </w:p>
        </w:tc>
        <w:tc>
          <w:tcPr>
            <w:tcW w:w="1297" w:type="dxa"/>
            <w:tcBorders>
              <w:top w:val="single" w:color="auto" w:sz="6" w:space="0"/>
              <w:left w:val="single" w:color="auto" w:sz="6" w:space="0"/>
              <w:bottom w:val="single" w:color="auto" w:sz="6" w:space="0"/>
              <w:right w:val="single" w:color="auto" w:sz="6" w:space="0"/>
            </w:tcBorders>
            <w:vAlign w:val="center"/>
          </w:tcPr>
          <w:p w14:paraId="6182FA1B">
            <w:pPr>
              <w:shd w:val="clear"/>
              <w:spacing w:line="360" w:lineRule="auto"/>
              <w:jc w:val="center"/>
              <w:rPr>
                <w:rFonts w:ascii="宋体" w:hAnsi="宋体"/>
                <w:color w:val="auto"/>
                <w:szCs w:val="21"/>
                <w:highlight w:val="none"/>
              </w:rPr>
            </w:pPr>
          </w:p>
        </w:tc>
        <w:tc>
          <w:tcPr>
            <w:tcW w:w="1284" w:type="dxa"/>
            <w:tcBorders>
              <w:top w:val="single" w:color="auto" w:sz="6" w:space="0"/>
              <w:left w:val="single" w:color="auto" w:sz="6" w:space="0"/>
              <w:bottom w:val="single" w:color="auto" w:sz="6" w:space="0"/>
              <w:right w:val="single" w:color="auto" w:sz="6" w:space="0"/>
            </w:tcBorders>
            <w:vAlign w:val="center"/>
          </w:tcPr>
          <w:p w14:paraId="2B2F7F6E">
            <w:pPr>
              <w:shd w:val="clear"/>
              <w:spacing w:line="360" w:lineRule="auto"/>
              <w:jc w:val="center"/>
              <w:rPr>
                <w:rFonts w:ascii="宋体" w:hAnsi="宋体"/>
                <w:color w:val="auto"/>
                <w:szCs w:val="21"/>
                <w:highlight w:val="none"/>
              </w:rPr>
            </w:pPr>
          </w:p>
        </w:tc>
        <w:tc>
          <w:tcPr>
            <w:tcW w:w="1766" w:type="dxa"/>
            <w:tcBorders>
              <w:top w:val="single" w:color="auto" w:sz="6" w:space="0"/>
              <w:left w:val="single" w:color="auto" w:sz="6" w:space="0"/>
              <w:bottom w:val="single" w:color="auto" w:sz="6" w:space="0"/>
              <w:right w:val="single" w:color="auto" w:sz="6" w:space="0"/>
            </w:tcBorders>
          </w:tcPr>
          <w:p w14:paraId="6C5CC1F9">
            <w:pPr>
              <w:shd w:val="clear"/>
              <w:spacing w:line="360" w:lineRule="auto"/>
              <w:jc w:val="center"/>
              <w:rPr>
                <w:rFonts w:ascii="宋体" w:hAnsi="宋体"/>
                <w:color w:val="auto"/>
                <w:szCs w:val="21"/>
                <w:highlight w:val="none"/>
              </w:rPr>
            </w:pPr>
          </w:p>
        </w:tc>
        <w:tc>
          <w:tcPr>
            <w:tcW w:w="1112" w:type="dxa"/>
            <w:tcBorders>
              <w:top w:val="single" w:color="auto" w:sz="6" w:space="0"/>
              <w:left w:val="single" w:color="auto" w:sz="6" w:space="0"/>
              <w:bottom w:val="single" w:color="auto" w:sz="6" w:space="0"/>
              <w:right w:val="single" w:color="auto" w:sz="12" w:space="0"/>
            </w:tcBorders>
            <w:vAlign w:val="center"/>
          </w:tcPr>
          <w:p w14:paraId="0BBABE6F">
            <w:pPr>
              <w:shd w:val="clear"/>
              <w:spacing w:line="360" w:lineRule="auto"/>
              <w:jc w:val="center"/>
              <w:rPr>
                <w:rFonts w:ascii="宋体" w:hAnsi="宋体"/>
                <w:color w:val="auto"/>
                <w:szCs w:val="21"/>
                <w:highlight w:val="none"/>
              </w:rPr>
            </w:pPr>
          </w:p>
        </w:tc>
      </w:tr>
      <w:tr w14:paraId="3DE809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42" w:type="dxa"/>
            <w:tcBorders>
              <w:top w:val="single" w:color="auto" w:sz="6" w:space="0"/>
              <w:left w:val="single" w:color="auto" w:sz="12" w:space="0"/>
              <w:bottom w:val="single" w:color="auto" w:sz="6" w:space="0"/>
              <w:right w:val="single" w:color="auto" w:sz="6" w:space="0"/>
            </w:tcBorders>
            <w:vAlign w:val="center"/>
          </w:tcPr>
          <w:p w14:paraId="031A3C3C">
            <w:pPr>
              <w:shd w:val="clear"/>
              <w:spacing w:line="360" w:lineRule="auto"/>
              <w:jc w:val="center"/>
              <w:rPr>
                <w:rFonts w:ascii="宋体" w:hAnsi="宋体"/>
                <w:color w:val="auto"/>
                <w:szCs w:val="21"/>
                <w:highlight w:val="none"/>
              </w:rPr>
            </w:pPr>
          </w:p>
        </w:tc>
        <w:tc>
          <w:tcPr>
            <w:tcW w:w="927" w:type="dxa"/>
            <w:tcBorders>
              <w:top w:val="single" w:color="auto" w:sz="6" w:space="0"/>
              <w:left w:val="single" w:color="auto" w:sz="6" w:space="0"/>
              <w:bottom w:val="single" w:color="auto" w:sz="6" w:space="0"/>
              <w:right w:val="single" w:color="auto" w:sz="6" w:space="0"/>
            </w:tcBorders>
            <w:vAlign w:val="center"/>
          </w:tcPr>
          <w:p w14:paraId="52D3A465">
            <w:pPr>
              <w:shd w:val="clear"/>
              <w:spacing w:line="360" w:lineRule="auto"/>
              <w:jc w:val="center"/>
              <w:rPr>
                <w:rFonts w:ascii="宋体" w:hAnsi="宋体"/>
                <w:color w:val="auto"/>
                <w:szCs w:val="21"/>
                <w:highlight w:val="none"/>
              </w:rPr>
            </w:pPr>
          </w:p>
        </w:tc>
        <w:tc>
          <w:tcPr>
            <w:tcW w:w="927" w:type="dxa"/>
            <w:tcBorders>
              <w:top w:val="single" w:color="auto" w:sz="6" w:space="0"/>
              <w:left w:val="single" w:color="auto" w:sz="6" w:space="0"/>
              <w:bottom w:val="single" w:color="auto" w:sz="6" w:space="0"/>
              <w:right w:val="single" w:color="auto" w:sz="6" w:space="0"/>
            </w:tcBorders>
            <w:vAlign w:val="center"/>
          </w:tcPr>
          <w:p w14:paraId="3FDB6C62">
            <w:pPr>
              <w:shd w:val="clear"/>
              <w:spacing w:line="360" w:lineRule="auto"/>
              <w:jc w:val="center"/>
              <w:rPr>
                <w:rFonts w:ascii="宋体" w:hAnsi="宋体"/>
                <w:color w:val="auto"/>
                <w:szCs w:val="21"/>
                <w:highlight w:val="none"/>
              </w:rPr>
            </w:pPr>
          </w:p>
        </w:tc>
        <w:tc>
          <w:tcPr>
            <w:tcW w:w="742" w:type="dxa"/>
            <w:tcBorders>
              <w:top w:val="single" w:color="auto" w:sz="6" w:space="0"/>
              <w:left w:val="single" w:color="auto" w:sz="6" w:space="0"/>
              <w:bottom w:val="single" w:color="auto" w:sz="6" w:space="0"/>
              <w:right w:val="single" w:color="auto" w:sz="6" w:space="0"/>
            </w:tcBorders>
            <w:vAlign w:val="center"/>
          </w:tcPr>
          <w:p w14:paraId="5FBBBFA9">
            <w:pPr>
              <w:shd w:val="clear"/>
              <w:spacing w:line="360" w:lineRule="auto"/>
              <w:jc w:val="center"/>
              <w:rPr>
                <w:rFonts w:ascii="宋体" w:hAnsi="宋体"/>
                <w:color w:val="auto"/>
                <w:szCs w:val="21"/>
                <w:highlight w:val="none"/>
              </w:rPr>
            </w:pPr>
          </w:p>
        </w:tc>
        <w:tc>
          <w:tcPr>
            <w:tcW w:w="742" w:type="dxa"/>
            <w:tcBorders>
              <w:top w:val="single" w:color="auto" w:sz="6" w:space="0"/>
              <w:left w:val="single" w:color="auto" w:sz="6" w:space="0"/>
              <w:bottom w:val="single" w:color="auto" w:sz="6" w:space="0"/>
              <w:right w:val="single" w:color="auto" w:sz="6" w:space="0"/>
            </w:tcBorders>
            <w:vAlign w:val="center"/>
          </w:tcPr>
          <w:p w14:paraId="79BC485B">
            <w:pPr>
              <w:shd w:val="clear"/>
              <w:spacing w:line="360" w:lineRule="auto"/>
              <w:jc w:val="center"/>
              <w:rPr>
                <w:rFonts w:ascii="宋体" w:hAnsi="宋体"/>
                <w:color w:val="auto"/>
                <w:szCs w:val="21"/>
                <w:highlight w:val="none"/>
              </w:rPr>
            </w:pPr>
          </w:p>
        </w:tc>
        <w:tc>
          <w:tcPr>
            <w:tcW w:w="1297" w:type="dxa"/>
            <w:tcBorders>
              <w:top w:val="single" w:color="auto" w:sz="6" w:space="0"/>
              <w:left w:val="single" w:color="auto" w:sz="6" w:space="0"/>
              <w:bottom w:val="single" w:color="auto" w:sz="6" w:space="0"/>
              <w:right w:val="single" w:color="auto" w:sz="6" w:space="0"/>
            </w:tcBorders>
            <w:vAlign w:val="center"/>
          </w:tcPr>
          <w:p w14:paraId="50F024D1">
            <w:pPr>
              <w:shd w:val="clear"/>
              <w:spacing w:line="360" w:lineRule="auto"/>
              <w:jc w:val="center"/>
              <w:rPr>
                <w:rFonts w:ascii="宋体" w:hAnsi="宋体"/>
                <w:color w:val="auto"/>
                <w:szCs w:val="21"/>
                <w:highlight w:val="none"/>
              </w:rPr>
            </w:pPr>
          </w:p>
        </w:tc>
        <w:tc>
          <w:tcPr>
            <w:tcW w:w="1284" w:type="dxa"/>
            <w:tcBorders>
              <w:top w:val="single" w:color="auto" w:sz="6" w:space="0"/>
              <w:left w:val="single" w:color="auto" w:sz="6" w:space="0"/>
              <w:bottom w:val="single" w:color="auto" w:sz="6" w:space="0"/>
              <w:right w:val="single" w:color="auto" w:sz="6" w:space="0"/>
            </w:tcBorders>
            <w:vAlign w:val="center"/>
          </w:tcPr>
          <w:p w14:paraId="157C5E1B">
            <w:pPr>
              <w:shd w:val="clear"/>
              <w:spacing w:line="360" w:lineRule="auto"/>
              <w:jc w:val="center"/>
              <w:rPr>
                <w:rFonts w:ascii="宋体" w:hAnsi="宋体"/>
                <w:color w:val="auto"/>
                <w:szCs w:val="21"/>
                <w:highlight w:val="none"/>
              </w:rPr>
            </w:pPr>
          </w:p>
        </w:tc>
        <w:tc>
          <w:tcPr>
            <w:tcW w:w="1766" w:type="dxa"/>
            <w:tcBorders>
              <w:top w:val="single" w:color="auto" w:sz="6" w:space="0"/>
              <w:left w:val="single" w:color="auto" w:sz="6" w:space="0"/>
              <w:bottom w:val="single" w:color="auto" w:sz="6" w:space="0"/>
              <w:right w:val="single" w:color="auto" w:sz="6" w:space="0"/>
            </w:tcBorders>
          </w:tcPr>
          <w:p w14:paraId="2F566DBB">
            <w:pPr>
              <w:shd w:val="clear"/>
              <w:spacing w:line="360" w:lineRule="auto"/>
              <w:jc w:val="center"/>
              <w:rPr>
                <w:rFonts w:ascii="宋体" w:hAnsi="宋体"/>
                <w:color w:val="auto"/>
                <w:szCs w:val="21"/>
                <w:highlight w:val="none"/>
              </w:rPr>
            </w:pPr>
          </w:p>
        </w:tc>
        <w:tc>
          <w:tcPr>
            <w:tcW w:w="1112" w:type="dxa"/>
            <w:tcBorders>
              <w:top w:val="single" w:color="auto" w:sz="6" w:space="0"/>
              <w:left w:val="single" w:color="auto" w:sz="6" w:space="0"/>
              <w:bottom w:val="single" w:color="auto" w:sz="6" w:space="0"/>
              <w:right w:val="single" w:color="auto" w:sz="12" w:space="0"/>
            </w:tcBorders>
            <w:vAlign w:val="center"/>
          </w:tcPr>
          <w:p w14:paraId="70FB0FE7">
            <w:pPr>
              <w:shd w:val="clear"/>
              <w:spacing w:line="360" w:lineRule="auto"/>
              <w:jc w:val="center"/>
              <w:rPr>
                <w:rFonts w:ascii="宋体" w:hAnsi="宋体"/>
                <w:color w:val="auto"/>
                <w:szCs w:val="21"/>
                <w:highlight w:val="none"/>
              </w:rPr>
            </w:pPr>
          </w:p>
        </w:tc>
      </w:tr>
      <w:tr w14:paraId="41C0D8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42" w:type="dxa"/>
            <w:tcBorders>
              <w:top w:val="single" w:color="auto" w:sz="6" w:space="0"/>
              <w:left w:val="single" w:color="auto" w:sz="12" w:space="0"/>
              <w:bottom w:val="single" w:color="auto" w:sz="6" w:space="0"/>
              <w:right w:val="single" w:color="auto" w:sz="6" w:space="0"/>
            </w:tcBorders>
            <w:vAlign w:val="center"/>
          </w:tcPr>
          <w:p w14:paraId="5B025C39">
            <w:pPr>
              <w:shd w:val="clear"/>
              <w:spacing w:line="360" w:lineRule="auto"/>
              <w:jc w:val="center"/>
              <w:rPr>
                <w:rFonts w:ascii="宋体" w:hAnsi="宋体"/>
                <w:color w:val="auto"/>
                <w:szCs w:val="21"/>
                <w:highlight w:val="none"/>
              </w:rPr>
            </w:pPr>
          </w:p>
        </w:tc>
        <w:tc>
          <w:tcPr>
            <w:tcW w:w="927" w:type="dxa"/>
            <w:tcBorders>
              <w:top w:val="single" w:color="auto" w:sz="6" w:space="0"/>
              <w:left w:val="single" w:color="auto" w:sz="6" w:space="0"/>
              <w:bottom w:val="single" w:color="auto" w:sz="6" w:space="0"/>
              <w:right w:val="single" w:color="auto" w:sz="6" w:space="0"/>
            </w:tcBorders>
            <w:vAlign w:val="center"/>
          </w:tcPr>
          <w:p w14:paraId="3DB95857">
            <w:pPr>
              <w:shd w:val="clear"/>
              <w:spacing w:line="360" w:lineRule="auto"/>
              <w:jc w:val="center"/>
              <w:rPr>
                <w:rFonts w:ascii="宋体" w:hAnsi="宋体"/>
                <w:color w:val="auto"/>
                <w:szCs w:val="21"/>
                <w:highlight w:val="none"/>
              </w:rPr>
            </w:pPr>
          </w:p>
        </w:tc>
        <w:tc>
          <w:tcPr>
            <w:tcW w:w="927" w:type="dxa"/>
            <w:tcBorders>
              <w:top w:val="single" w:color="auto" w:sz="6" w:space="0"/>
              <w:left w:val="single" w:color="auto" w:sz="6" w:space="0"/>
              <w:bottom w:val="single" w:color="auto" w:sz="6" w:space="0"/>
              <w:right w:val="single" w:color="auto" w:sz="6" w:space="0"/>
            </w:tcBorders>
            <w:vAlign w:val="center"/>
          </w:tcPr>
          <w:p w14:paraId="68237911">
            <w:pPr>
              <w:shd w:val="clear"/>
              <w:spacing w:line="360" w:lineRule="auto"/>
              <w:jc w:val="center"/>
              <w:rPr>
                <w:rFonts w:ascii="宋体" w:hAnsi="宋体"/>
                <w:color w:val="auto"/>
                <w:szCs w:val="21"/>
                <w:highlight w:val="none"/>
              </w:rPr>
            </w:pPr>
          </w:p>
        </w:tc>
        <w:tc>
          <w:tcPr>
            <w:tcW w:w="742" w:type="dxa"/>
            <w:tcBorders>
              <w:top w:val="single" w:color="auto" w:sz="6" w:space="0"/>
              <w:left w:val="single" w:color="auto" w:sz="6" w:space="0"/>
              <w:bottom w:val="single" w:color="auto" w:sz="6" w:space="0"/>
              <w:right w:val="single" w:color="auto" w:sz="6" w:space="0"/>
            </w:tcBorders>
            <w:vAlign w:val="center"/>
          </w:tcPr>
          <w:p w14:paraId="48654723">
            <w:pPr>
              <w:shd w:val="clear"/>
              <w:spacing w:line="360" w:lineRule="auto"/>
              <w:jc w:val="center"/>
              <w:rPr>
                <w:rFonts w:ascii="宋体" w:hAnsi="宋体"/>
                <w:color w:val="auto"/>
                <w:szCs w:val="21"/>
                <w:highlight w:val="none"/>
              </w:rPr>
            </w:pPr>
          </w:p>
        </w:tc>
        <w:tc>
          <w:tcPr>
            <w:tcW w:w="742" w:type="dxa"/>
            <w:tcBorders>
              <w:top w:val="single" w:color="auto" w:sz="6" w:space="0"/>
              <w:left w:val="single" w:color="auto" w:sz="6" w:space="0"/>
              <w:bottom w:val="single" w:color="auto" w:sz="6" w:space="0"/>
              <w:right w:val="single" w:color="auto" w:sz="6" w:space="0"/>
            </w:tcBorders>
            <w:vAlign w:val="center"/>
          </w:tcPr>
          <w:p w14:paraId="71DD0DD9">
            <w:pPr>
              <w:shd w:val="clear"/>
              <w:spacing w:line="360" w:lineRule="auto"/>
              <w:jc w:val="center"/>
              <w:rPr>
                <w:rFonts w:ascii="宋体" w:hAnsi="宋体"/>
                <w:color w:val="auto"/>
                <w:szCs w:val="21"/>
                <w:highlight w:val="none"/>
              </w:rPr>
            </w:pPr>
          </w:p>
        </w:tc>
        <w:tc>
          <w:tcPr>
            <w:tcW w:w="1297" w:type="dxa"/>
            <w:tcBorders>
              <w:top w:val="single" w:color="auto" w:sz="6" w:space="0"/>
              <w:left w:val="single" w:color="auto" w:sz="6" w:space="0"/>
              <w:bottom w:val="single" w:color="auto" w:sz="6" w:space="0"/>
              <w:right w:val="single" w:color="auto" w:sz="6" w:space="0"/>
            </w:tcBorders>
            <w:vAlign w:val="center"/>
          </w:tcPr>
          <w:p w14:paraId="11F6D9B0">
            <w:pPr>
              <w:shd w:val="clear"/>
              <w:spacing w:line="360" w:lineRule="auto"/>
              <w:jc w:val="center"/>
              <w:rPr>
                <w:rFonts w:ascii="宋体" w:hAnsi="宋体"/>
                <w:color w:val="auto"/>
                <w:szCs w:val="21"/>
                <w:highlight w:val="none"/>
              </w:rPr>
            </w:pPr>
          </w:p>
        </w:tc>
        <w:tc>
          <w:tcPr>
            <w:tcW w:w="1284" w:type="dxa"/>
            <w:tcBorders>
              <w:top w:val="single" w:color="auto" w:sz="6" w:space="0"/>
              <w:left w:val="single" w:color="auto" w:sz="6" w:space="0"/>
              <w:bottom w:val="single" w:color="auto" w:sz="6" w:space="0"/>
              <w:right w:val="single" w:color="auto" w:sz="6" w:space="0"/>
            </w:tcBorders>
            <w:vAlign w:val="center"/>
          </w:tcPr>
          <w:p w14:paraId="2E58C140">
            <w:pPr>
              <w:shd w:val="clear"/>
              <w:spacing w:line="360" w:lineRule="auto"/>
              <w:jc w:val="center"/>
              <w:rPr>
                <w:rFonts w:ascii="宋体" w:hAnsi="宋体"/>
                <w:color w:val="auto"/>
                <w:szCs w:val="21"/>
                <w:highlight w:val="none"/>
              </w:rPr>
            </w:pPr>
          </w:p>
        </w:tc>
        <w:tc>
          <w:tcPr>
            <w:tcW w:w="1766" w:type="dxa"/>
            <w:tcBorders>
              <w:top w:val="single" w:color="auto" w:sz="6" w:space="0"/>
              <w:left w:val="single" w:color="auto" w:sz="6" w:space="0"/>
              <w:bottom w:val="single" w:color="auto" w:sz="6" w:space="0"/>
              <w:right w:val="single" w:color="auto" w:sz="6" w:space="0"/>
            </w:tcBorders>
          </w:tcPr>
          <w:p w14:paraId="22DBB51B">
            <w:pPr>
              <w:shd w:val="clear"/>
              <w:spacing w:line="360" w:lineRule="auto"/>
              <w:jc w:val="center"/>
              <w:rPr>
                <w:rFonts w:ascii="宋体" w:hAnsi="宋体"/>
                <w:color w:val="auto"/>
                <w:szCs w:val="21"/>
                <w:highlight w:val="none"/>
              </w:rPr>
            </w:pPr>
          </w:p>
        </w:tc>
        <w:tc>
          <w:tcPr>
            <w:tcW w:w="1112" w:type="dxa"/>
            <w:tcBorders>
              <w:top w:val="single" w:color="auto" w:sz="6" w:space="0"/>
              <w:left w:val="single" w:color="auto" w:sz="6" w:space="0"/>
              <w:bottom w:val="single" w:color="auto" w:sz="6" w:space="0"/>
              <w:right w:val="single" w:color="auto" w:sz="12" w:space="0"/>
            </w:tcBorders>
            <w:vAlign w:val="center"/>
          </w:tcPr>
          <w:p w14:paraId="07369E1E">
            <w:pPr>
              <w:shd w:val="clear"/>
              <w:spacing w:line="360" w:lineRule="auto"/>
              <w:jc w:val="center"/>
              <w:rPr>
                <w:rFonts w:ascii="宋体" w:hAnsi="宋体"/>
                <w:color w:val="auto"/>
                <w:szCs w:val="21"/>
                <w:highlight w:val="none"/>
              </w:rPr>
            </w:pPr>
          </w:p>
        </w:tc>
      </w:tr>
      <w:tr w14:paraId="59DFF9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42" w:type="dxa"/>
            <w:tcBorders>
              <w:top w:val="single" w:color="auto" w:sz="6" w:space="0"/>
              <w:left w:val="single" w:color="auto" w:sz="12" w:space="0"/>
              <w:bottom w:val="single" w:color="auto" w:sz="6" w:space="0"/>
              <w:right w:val="single" w:color="auto" w:sz="6" w:space="0"/>
            </w:tcBorders>
            <w:vAlign w:val="center"/>
          </w:tcPr>
          <w:p w14:paraId="08CC6E16">
            <w:pPr>
              <w:shd w:val="clear"/>
              <w:spacing w:line="360" w:lineRule="auto"/>
              <w:jc w:val="center"/>
              <w:rPr>
                <w:rFonts w:ascii="宋体" w:hAnsi="宋体"/>
                <w:color w:val="auto"/>
                <w:szCs w:val="21"/>
                <w:highlight w:val="none"/>
              </w:rPr>
            </w:pPr>
          </w:p>
        </w:tc>
        <w:tc>
          <w:tcPr>
            <w:tcW w:w="927" w:type="dxa"/>
            <w:tcBorders>
              <w:top w:val="single" w:color="auto" w:sz="6" w:space="0"/>
              <w:left w:val="single" w:color="auto" w:sz="6" w:space="0"/>
              <w:bottom w:val="single" w:color="auto" w:sz="6" w:space="0"/>
              <w:right w:val="single" w:color="auto" w:sz="6" w:space="0"/>
            </w:tcBorders>
            <w:vAlign w:val="center"/>
          </w:tcPr>
          <w:p w14:paraId="287D6213">
            <w:pPr>
              <w:shd w:val="clear"/>
              <w:spacing w:line="360" w:lineRule="auto"/>
              <w:jc w:val="center"/>
              <w:rPr>
                <w:rFonts w:ascii="宋体" w:hAnsi="宋体"/>
                <w:color w:val="auto"/>
                <w:szCs w:val="21"/>
                <w:highlight w:val="none"/>
              </w:rPr>
            </w:pPr>
          </w:p>
        </w:tc>
        <w:tc>
          <w:tcPr>
            <w:tcW w:w="927" w:type="dxa"/>
            <w:tcBorders>
              <w:top w:val="single" w:color="auto" w:sz="6" w:space="0"/>
              <w:left w:val="single" w:color="auto" w:sz="6" w:space="0"/>
              <w:bottom w:val="single" w:color="auto" w:sz="6" w:space="0"/>
              <w:right w:val="single" w:color="auto" w:sz="6" w:space="0"/>
            </w:tcBorders>
            <w:vAlign w:val="center"/>
          </w:tcPr>
          <w:p w14:paraId="5307F0A1">
            <w:pPr>
              <w:shd w:val="clear"/>
              <w:spacing w:line="360" w:lineRule="auto"/>
              <w:jc w:val="center"/>
              <w:rPr>
                <w:rFonts w:ascii="宋体" w:hAnsi="宋体"/>
                <w:color w:val="auto"/>
                <w:szCs w:val="21"/>
                <w:highlight w:val="none"/>
              </w:rPr>
            </w:pPr>
          </w:p>
        </w:tc>
        <w:tc>
          <w:tcPr>
            <w:tcW w:w="742" w:type="dxa"/>
            <w:tcBorders>
              <w:top w:val="single" w:color="auto" w:sz="6" w:space="0"/>
              <w:left w:val="single" w:color="auto" w:sz="6" w:space="0"/>
              <w:bottom w:val="single" w:color="auto" w:sz="6" w:space="0"/>
              <w:right w:val="single" w:color="auto" w:sz="6" w:space="0"/>
            </w:tcBorders>
            <w:vAlign w:val="center"/>
          </w:tcPr>
          <w:p w14:paraId="684F0B5A">
            <w:pPr>
              <w:shd w:val="clear"/>
              <w:spacing w:line="360" w:lineRule="auto"/>
              <w:jc w:val="center"/>
              <w:rPr>
                <w:rFonts w:ascii="宋体" w:hAnsi="宋体"/>
                <w:color w:val="auto"/>
                <w:szCs w:val="21"/>
                <w:highlight w:val="none"/>
              </w:rPr>
            </w:pPr>
          </w:p>
        </w:tc>
        <w:tc>
          <w:tcPr>
            <w:tcW w:w="742" w:type="dxa"/>
            <w:tcBorders>
              <w:top w:val="single" w:color="auto" w:sz="6" w:space="0"/>
              <w:left w:val="single" w:color="auto" w:sz="6" w:space="0"/>
              <w:bottom w:val="single" w:color="auto" w:sz="6" w:space="0"/>
              <w:right w:val="single" w:color="auto" w:sz="6" w:space="0"/>
            </w:tcBorders>
            <w:vAlign w:val="center"/>
          </w:tcPr>
          <w:p w14:paraId="26003C2A">
            <w:pPr>
              <w:shd w:val="clear"/>
              <w:spacing w:line="360" w:lineRule="auto"/>
              <w:jc w:val="center"/>
              <w:rPr>
                <w:rFonts w:ascii="宋体" w:hAnsi="宋体"/>
                <w:color w:val="auto"/>
                <w:szCs w:val="21"/>
                <w:highlight w:val="none"/>
              </w:rPr>
            </w:pPr>
          </w:p>
        </w:tc>
        <w:tc>
          <w:tcPr>
            <w:tcW w:w="1297" w:type="dxa"/>
            <w:tcBorders>
              <w:top w:val="single" w:color="auto" w:sz="6" w:space="0"/>
              <w:left w:val="single" w:color="auto" w:sz="6" w:space="0"/>
              <w:bottom w:val="single" w:color="auto" w:sz="6" w:space="0"/>
              <w:right w:val="single" w:color="auto" w:sz="6" w:space="0"/>
            </w:tcBorders>
            <w:vAlign w:val="center"/>
          </w:tcPr>
          <w:p w14:paraId="1F619F12">
            <w:pPr>
              <w:shd w:val="clear"/>
              <w:spacing w:line="360" w:lineRule="auto"/>
              <w:jc w:val="center"/>
              <w:rPr>
                <w:rFonts w:ascii="宋体" w:hAnsi="宋体"/>
                <w:color w:val="auto"/>
                <w:szCs w:val="21"/>
                <w:highlight w:val="none"/>
              </w:rPr>
            </w:pPr>
          </w:p>
        </w:tc>
        <w:tc>
          <w:tcPr>
            <w:tcW w:w="1284" w:type="dxa"/>
            <w:tcBorders>
              <w:top w:val="single" w:color="auto" w:sz="6" w:space="0"/>
              <w:left w:val="single" w:color="auto" w:sz="6" w:space="0"/>
              <w:bottom w:val="single" w:color="auto" w:sz="6" w:space="0"/>
              <w:right w:val="single" w:color="auto" w:sz="6" w:space="0"/>
            </w:tcBorders>
            <w:vAlign w:val="center"/>
          </w:tcPr>
          <w:p w14:paraId="383A3BD8">
            <w:pPr>
              <w:shd w:val="clear"/>
              <w:spacing w:line="360" w:lineRule="auto"/>
              <w:jc w:val="center"/>
              <w:rPr>
                <w:rFonts w:ascii="宋体" w:hAnsi="宋体"/>
                <w:color w:val="auto"/>
                <w:szCs w:val="21"/>
                <w:highlight w:val="none"/>
              </w:rPr>
            </w:pPr>
          </w:p>
        </w:tc>
        <w:tc>
          <w:tcPr>
            <w:tcW w:w="1766" w:type="dxa"/>
            <w:tcBorders>
              <w:top w:val="single" w:color="auto" w:sz="6" w:space="0"/>
              <w:left w:val="single" w:color="auto" w:sz="6" w:space="0"/>
              <w:bottom w:val="single" w:color="auto" w:sz="6" w:space="0"/>
              <w:right w:val="single" w:color="auto" w:sz="6" w:space="0"/>
            </w:tcBorders>
          </w:tcPr>
          <w:p w14:paraId="168F1F3F">
            <w:pPr>
              <w:shd w:val="clear"/>
              <w:spacing w:line="360" w:lineRule="auto"/>
              <w:jc w:val="center"/>
              <w:rPr>
                <w:rFonts w:ascii="宋体" w:hAnsi="宋体"/>
                <w:color w:val="auto"/>
                <w:szCs w:val="21"/>
                <w:highlight w:val="none"/>
              </w:rPr>
            </w:pPr>
          </w:p>
        </w:tc>
        <w:tc>
          <w:tcPr>
            <w:tcW w:w="1112" w:type="dxa"/>
            <w:tcBorders>
              <w:top w:val="single" w:color="auto" w:sz="6" w:space="0"/>
              <w:left w:val="single" w:color="auto" w:sz="6" w:space="0"/>
              <w:bottom w:val="single" w:color="auto" w:sz="6" w:space="0"/>
              <w:right w:val="single" w:color="auto" w:sz="12" w:space="0"/>
            </w:tcBorders>
            <w:vAlign w:val="center"/>
          </w:tcPr>
          <w:p w14:paraId="13648897">
            <w:pPr>
              <w:shd w:val="clear"/>
              <w:spacing w:line="360" w:lineRule="auto"/>
              <w:jc w:val="center"/>
              <w:rPr>
                <w:rFonts w:ascii="宋体" w:hAnsi="宋体"/>
                <w:color w:val="auto"/>
                <w:szCs w:val="21"/>
                <w:highlight w:val="none"/>
              </w:rPr>
            </w:pPr>
          </w:p>
        </w:tc>
      </w:tr>
      <w:tr w14:paraId="6D5CED3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42" w:type="dxa"/>
            <w:tcBorders>
              <w:top w:val="single" w:color="auto" w:sz="6" w:space="0"/>
              <w:left w:val="single" w:color="auto" w:sz="12" w:space="0"/>
              <w:bottom w:val="single" w:color="auto" w:sz="12" w:space="0"/>
              <w:right w:val="single" w:color="auto" w:sz="6" w:space="0"/>
            </w:tcBorders>
            <w:vAlign w:val="center"/>
          </w:tcPr>
          <w:p w14:paraId="75170733">
            <w:pPr>
              <w:shd w:val="clear"/>
              <w:spacing w:line="360" w:lineRule="auto"/>
              <w:jc w:val="center"/>
              <w:rPr>
                <w:rFonts w:ascii="宋体" w:hAnsi="宋体"/>
                <w:color w:val="auto"/>
                <w:szCs w:val="21"/>
                <w:highlight w:val="none"/>
              </w:rPr>
            </w:pPr>
          </w:p>
        </w:tc>
        <w:tc>
          <w:tcPr>
            <w:tcW w:w="927" w:type="dxa"/>
            <w:tcBorders>
              <w:top w:val="single" w:color="auto" w:sz="6" w:space="0"/>
              <w:left w:val="single" w:color="auto" w:sz="6" w:space="0"/>
              <w:bottom w:val="single" w:color="auto" w:sz="12" w:space="0"/>
              <w:right w:val="single" w:color="auto" w:sz="6" w:space="0"/>
            </w:tcBorders>
            <w:vAlign w:val="center"/>
          </w:tcPr>
          <w:p w14:paraId="2AF3B83D">
            <w:pPr>
              <w:shd w:val="clear"/>
              <w:spacing w:line="360" w:lineRule="auto"/>
              <w:jc w:val="center"/>
              <w:rPr>
                <w:rFonts w:ascii="宋体" w:hAnsi="宋体"/>
                <w:color w:val="auto"/>
                <w:szCs w:val="21"/>
                <w:highlight w:val="none"/>
              </w:rPr>
            </w:pPr>
          </w:p>
        </w:tc>
        <w:tc>
          <w:tcPr>
            <w:tcW w:w="927" w:type="dxa"/>
            <w:tcBorders>
              <w:top w:val="single" w:color="auto" w:sz="6" w:space="0"/>
              <w:left w:val="single" w:color="auto" w:sz="6" w:space="0"/>
              <w:bottom w:val="single" w:color="auto" w:sz="12" w:space="0"/>
              <w:right w:val="single" w:color="auto" w:sz="6" w:space="0"/>
            </w:tcBorders>
            <w:vAlign w:val="center"/>
          </w:tcPr>
          <w:p w14:paraId="77DA9995">
            <w:pPr>
              <w:shd w:val="clear"/>
              <w:spacing w:line="360" w:lineRule="auto"/>
              <w:jc w:val="center"/>
              <w:rPr>
                <w:rFonts w:ascii="宋体" w:hAnsi="宋体"/>
                <w:color w:val="auto"/>
                <w:szCs w:val="21"/>
                <w:highlight w:val="none"/>
              </w:rPr>
            </w:pPr>
          </w:p>
        </w:tc>
        <w:tc>
          <w:tcPr>
            <w:tcW w:w="742" w:type="dxa"/>
            <w:tcBorders>
              <w:top w:val="single" w:color="auto" w:sz="6" w:space="0"/>
              <w:left w:val="single" w:color="auto" w:sz="6" w:space="0"/>
              <w:bottom w:val="single" w:color="auto" w:sz="12" w:space="0"/>
              <w:right w:val="single" w:color="auto" w:sz="6" w:space="0"/>
            </w:tcBorders>
            <w:vAlign w:val="center"/>
          </w:tcPr>
          <w:p w14:paraId="0D065DA0">
            <w:pPr>
              <w:shd w:val="clear"/>
              <w:spacing w:line="360" w:lineRule="auto"/>
              <w:jc w:val="center"/>
              <w:rPr>
                <w:rFonts w:ascii="宋体" w:hAnsi="宋体"/>
                <w:color w:val="auto"/>
                <w:szCs w:val="21"/>
                <w:highlight w:val="none"/>
              </w:rPr>
            </w:pPr>
          </w:p>
        </w:tc>
        <w:tc>
          <w:tcPr>
            <w:tcW w:w="742" w:type="dxa"/>
            <w:tcBorders>
              <w:top w:val="single" w:color="auto" w:sz="6" w:space="0"/>
              <w:left w:val="single" w:color="auto" w:sz="6" w:space="0"/>
              <w:bottom w:val="single" w:color="auto" w:sz="12" w:space="0"/>
              <w:right w:val="single" w:color="auto" w:sz="6" w:space="0"/>
            </w:tcBorders>
            <w:vAlign w:val="center"/>
          </w:tcPr>
          <w:p w14:paraId="09DEF0F4">
            <w:pPr>
              <w:shd w:val="clear"/>
              <w:spacing w:line="360" w:lineRule="auto"/>
              <w:jc w:val="center"/>
              <w:rPr>
                <w:rFonts w:ascii="宋体" w:hAnsi="宋体"/>
                <w:color w:val="auto"/>
                <w:szCs w:val="21"/>
                <w:highlight w:val="none"/>
              </w:rPr>
            </w:pPr>
          </w:p>
        </w:tc>
        <w:tc>
          <w:tcPr>
            <w:tcW w:w="1297" w:type="dxa"/>
            <w:tcBorders>
              <w:top w:val="single" w:color="auto" w:sz="6" w:space="0"/>
              <w:left w:val="single" w:color="auto" w:sz="6" w:space="0"/>
              <w:bottom w:val="single" w:color="auto" w:sz="12" w:space="0"/>
              <w:right w:val="single" w:color="auto" w:sz="6" w:space="0"/>
            </w:tcBorders>
            <w:vAlign w:val="center"/>
          </w:tcPr>
          <w:p w14:paraId="2B65E7C3">
            <w:pPr>
              <w:shd w:val="clear"/>
              <w:spacing w:line="360" w:lineRule="auto"/>
              <w:jc w:val="center"/>
              <w:rPr>
                <w:rFonts w:ascii="宋体" w:hAnsi="宋体"/>
                <w:color w:val="auto"/>
                <w:szCs w:val="21"/>
                <w:highlight w:val="none"/>
              </w:rPr>
            </w:pPr>
          </w:p>
        </w:tc>
        <w:tc>
          <w:tcPr>
            <w:tcW w:w="1284" w:type="dxa"/>
            <w:tcBorders>
              <w:top w:val="single" w:color="auto" w:sz="6" w:space="0"/>
              <w:left w:val="single" w:color="auto" w:sz="6" w:space="0"/>
              <w:bottom w:val="single" w:color="auto" w:sz="12" w:space="0"/>
              <w:right w:val="single" w:color="auto" w:sz="6" w:space="0"/>
            </w:tcBorders>
            <w:vAlign w:val="center"/>
          </w:tcPr>
          <w:p w14:paraId="3AAEA474">
            <w:pPr>
              <w:shd w:val="clear"/>
              <w:spacing w:line="360" w:lineRule="auto"/>
              <w:jc w:val="center"/>
              <w:rPr>
                <w:rFonts w:ascii="宋体" w:hAnsi="宋体"/>
                <w:color w:val="auto"/>
                <w:szCs w:val="21"/>
                <w:highlight w:val="none"/>
              </w:rPr>
            </w:pPr>
          </w:p>
        </w:tc>
        <w:tc>
          <w:tcPr>
            <w:tcW w:w="1766" w:type="dxa"/>
            <w:tcBorders>
              <w:top w:val="single" w:color="auto" w:sz="6" w:space="0"/>
              <w:left w:val="single" w:color="auto" w:sz="6" w:space="0"/>
              <w:bottom w:val="single" w:color="auto" w:sz="12" w:space="0"/>
              <w:right w:val="single" w:color="auto" w:sz="6" w:space="0"/>
            </w:tcBorders>
          </w:tcPr>
          <w:p w14:paraId="71730F94">
            <w:pPr>
              <w:shd w:val="clear"/>
              <w:spacing w:line="360" w:lineRule="auto"/>
              <w:jc w:val="center"/>
              <w:rPr>
                <w:rFonts w:ascii="宋体" w:hAnsi="宋体"/>
                <w:color w:val="auto"/>
                <w:szCs w:val="21"/>
                <w:highlight w:val="none"/>
              </w:rPr>
            </w:pPr>
          </w:p>
        </w:tc>
        <w:tc>
          <w:tcPr>
            <w:tcW w:w="1112" w:type="dxa"/>
            <w:tcBorders>
              <w:top w:val="single" w:color="auto" w:sz="6" w:space="0"/>
              <w:left w:val="single" w:color="auto" w:sz="6" w:space="0"/>
              <w:bottom w:val="single" w:color="auto" w:sz="12" w:space="0"/>
              <w:right w:val="single" w:color="auto" w:sz="12" w:space="0"/>
            </w:tcBorders>
            <w:vAlign w:val="center"/>
          </w:tcPr>
          <w:p w14:paraId="42ABA3AF">
            <w:pPr>
              <w:shd w:val="clear"/>
              <w:spacing w:line="360" w:lineRule="auto"/>
              <w:jc w:val="center"/>
              <w:rPr>
                <w:rFonts w:ascii="宋体" w:hAnsi="宋体"/>
                <w:color w:val="auto"/>
                <w:szCs w:val="21"/>
                <w:highlight w:val="none"/>
              </w:rPr>
            </w:pPr>
          </w:p>
        </w:tc>
      </w:tr>
    </w:tbl>
    <w:p w14:paraId="463E0367">
      <w:pPr>
        <w:pStyle w:val="11"/>
        <w:shd w:val="clear"/>
        <w:spacing w:before="120" w:after="120"/>
        <w:ind w:left="630" w:hanging="630" w:hangingChars="300"/>
        <w:rPr>
          <w:rFonts w:hAnsi="宋体" w:cs="Times New Roman"/>
          <w:color w:val="auto"/>
          <w:kern w:val="0"/>
          <w:sz w:val="20"/>
          <w:highlight w:val="none"/>
        </w:rPr>
      </w:pPr>
      <w:r>
        <w:rPr>
          <w:rFonts w:hint="eastAsia" w:hAnsi="宋体"/>
          <w:color w:val="auto"/>
          <w:highlight w:val="none"/>
        </w:rPr>
        <w:t>注：与评分有关的证明材料附后。</w:t>
      </w:r>
    </w:p>
    <w:p w14:paraId="41DACA53">
      <w:pPr>
        <w:shd w:val="clear"/>
        <w:snapToGrid w:val="0"/>
        <w:spacing w:line="360" w:lineRule="auto"/>
        <w:jc w:val="center"/>
        <w:outlineLvl w:val="0"/>
        <w:rPr>
          <w:rFonts w:cs="仿宋" w:asciiTheme="majorEastAsia" w:hAnsiTheme="majorEastAsia" w:eastAsiaTheme="majorEastAsia"/>
          <w:b/>
          <w:color w:val="auto"/>
          <w:kern w:val="0"/>
          <w:sz w:val="32"/>
          <w:szCs w:val="32"/>
          <w:highlight w:val="none"/>
          <w:lang w:val="zh-CN"/>
        </w:rPr>
      </w:pPr>
      <w:r>
        <w:rPr>
          <w:rFonts w:hint="eastAsia" w:cs="仿宋" w:asciiTheme="majorEastAsia" w:hAnsiTheme="majorEastAsia" w:eastAsiaTheme="majorEastAsia"/>
          <w:b/>
          <w:color w:val="auto"/>
          <w:kern w:val="0"/>
          <w:sz w:val="32"/>
          <w:szCs w:val="32"/>
          <w:highlight w:val="none"/>
          <w:lang w:val="zh-CN"/>
        </w:rPr>
        <w:br w:type="page"/>
      </w:r>
      <w:r>
        <w:rPr>
          <w:rFonts w:hint="eastAsia" w:cs="仿宋" w:asciiTheme="majorEastAsia" w:hAnsiTheme="majorEastAsia" w:eastAsiaTheme="majorEastAsia"/>
          <w:b/>
          <w:color w:val="auto"/>
          <w:kern w:val="0"/>
          <w:sz w:val="32"/>
          <w:szCs w:val="32"/>
          <w:highlight w:val="none"/>
          <w:lang w:val="zh-CN"/>
        </w:rPr>
        <w:t>十二、政府采购供应商廉洁自律承诺书</w:t>
      </w:r>
    </w:p>
    <w:p w14:paraId="40898B4E">
      <w:pPr>
        <w:shd w:val="clear"/>
        <w:snapToGrid w:val="0"/>
        <w:spacing w:line="360" w:lineRule="auto"/>
        <w:rPr>
          <w:rFonts w:cs="仿宋" w:asciiTheme="majorEastAsia" w:hAnsiTheme="majorEastAsia" w:eastAsiaTheme="majorEastAsia"/>
          <w:color w:val="auto"/>
          <w:sz w:val="24"/>
          <w:highlight w:val="none"/>
        </w:rPr>
      </w:pPr>
    </w:p>
    <w:p w14:paraId="430F4C83">
      <w:pPr>
        <w:shd w:val="clear"/>
        <w:snapToGrid w:val="0"/>
        <w:spacing w:line="360" w:lineRule="auto"/>
        <w:rPr>
          <w:rFonts w:cs="仿宋" w:asciiTheme="majorEastAsia" w:hAnsiTheme="majorEastAsia" w:eastAsiaTheme="majorEastAsia"/>
          <w:color w:val="auto"/>
          <w:kern w:val="0"/>
          <w:sz w:val="24"/>
          <w:highlight w:val="none"/>
        </w:rPr>
      </w:pPr>
      <w:bookmarkStart w:id="535" w:name="OLE_LINK102"/>
      <w:bookmarkStart w:id="536" w:name="OLE_LINK103"/>
      <w:r>
        <w:rPr>
          <w:rFonts w:hint="eastAsia" w:cs="仿宋" w:asciiTheme="majorEastAsia" w:hAnsiTheme="majorEastAsia" w:eastAsiaTheme="majorEastAsia"/>
          <w:color w:val="auto"/>
          <w:sz w:val="24"/>
          <w:highlight w:val="none"/>
        </w:rPr>
        <w:t>（宁波宁南汇诚科技发展有限公司）、（宁波敬信项目管理咨询有限公司）</w:t>
      </w:r>
      <w:r>
        <w:rPr>
          <w:rFonts w:hint="eastAsia" w:cs="仿宋" w:asciiTheme="majorEastAsia" w:hAnsiTheme="majorEastAsia" w:eastAsiaTheme="majorEastAsia"/>
          <w:color w:val="auto"/>
          <w:kern w:val="0"/>
          <w:sz w:val="24"/>
          <w:highlight w:val="none"/>
          <w:lang w:val="zh-CN"/>
        </w:rPr>
        <w:t>：</w:t>
      </w:r>
    </w:p>
    <w:bookmarkEnd w:id="535"/>
    <w:bookmarkEnd w:id="536"/>
    <w:p w14:paraId="18AB222B">
      <w:pPr>
        <w:shd w:val="clear"/>
        <w:autoSpaceDE w:val="0"/>
        <w:autoSpaceDN w:val="0"/>
        <w:spacing w:line="360" w:lineRule="auto"/>
        <w:ind w:left="2" w:leftChars="1" w:firstLine="480" w:firstLineChars="200"/>
        <w:jc w:val="left"/>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我单位响应你</w:t>
      </w:r>
      <w:r>
        <w:rPr>
          <w:rFonts w:hint="eastAsia" w:cs="仿宋" w:asciiTheme="majorEastAsia" w:hAnsiTheme="majorEastAsia" w:eastAsiaTheme="majorEastAsia"/>
          <w:color w:val="auto"/>
          <w:sz w:val="24"/>
          <w:highlight w:val="none"/>
        </w:rPr>
        <w:t>单位</w:t>
      </w:r>
      <w:r>
        <w:rPr>
          <w:rFonts w:hint="eastAsia" w:cs="仿宋" w:asciiTheme="majorEastAsia" w:hAnsiTheme="majorEastAsia" w:eastAsiaTheme="majorEastAsia"/>
          <w:color w:val="auto"/>
          <w:kern w:val="0"/>
          <w:sz w:val="24"/>
          <w:highlight w:val="none"/>
          <w:lang w:val="zh-CN"/>
        </w:rPr>
        <w:t>项目招标要求参加投标。在这次投标过程中和中标后，我们将严格遵守国家法律法规要求，并郑重承诺：</w:t>
      </w:r>
    </w:p>
    <w:p w14:paraId="5AB0485D">
      <w:pPr>
        <w:shd w:val="clear"/>
        <w:autoSpaceDE w:val="0"/>
        <w:autoSpaceDN w:val="0"/>
        <w:spacing w:line="360" w:lineRule="auto"/>
        <w:ind w:left="2" w:leftChars="1" w:firstLine="480" w:firstLineChars="200"/>
        <w:jc w:val="left"/>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 xml:space="preserve">一、不向项目有关人员及部门赠送礼金礼物、有价证券、回扣以及中介费、介绍费、咨询费等好处费； </w:t>
      </w:r>
    </w:p>
    <w:p w14:paraId="0622D1F1">
      <w:pPr>
        <w:shd w:val="clear"/>
        <w:autoSpaceDE w:val="0"/>
        <w:autoSpaceDN w:val="0"/>
        <w:spacing w:line="360" w:lineRule="auto"/>
        <w:ind w:left="2" w:leftChars="1" w:firstLine="480" w:firstLineChars="200"/>
        <w:jc w:val="left"/>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 xml:space="preserve">二、不为项目有关人员及部门报销应由你方单位或个人支付的费用； </w:t>
      </w:r>
    </w:p>
    <w:p w14:paraId="5FAE97DA">
      <w:pPr>
        <w:shd w:val="clear"/>
        <w:autoSpaceDE w:val="0"/>
        <w:autoSpaceDN w:val="0"/>
        <w:spacing w:line="360" w:lineRule="auto"/>
        <w:ind w:left="2" w:leftChars="1" w:firstLine="480" w:firstLineChars="200"/>
        <w:jc w:val="left"/>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 xml:space="preserve">三、不向项目有关人员及部门提供有可能影响公正的宴请和健身娱乐等活动； </w:t>
      </w:r>
    </w:p>
    <w:p w14:paraId="2C6750C3">
      <w:pPr>
        <w:shd w:val="clear"/>
        <w:autoSpaceDE w:val="0"/>
        <w:autoSpaceDN w:val="0"/>
        <w:spacing w:line="360" w:lineRule="auto"/>
        <w:ind w:left="2" w:leftChars="1" w:firstLine="480" w:firstLineChars="200"/>
        <w:jc w:val="left"/>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四、不为项目有关人员及部门出国（境）、旅游等提供方便；</w:t>
      </w:r>
    </w:p>
    <w:p w14:paraId="6C84511C">
      <w:pPr>
        <w:shd w:val="clear"/>
        <w:autoSpaceDE w:val="0"/>
        <w:autoSpaceDN w:val="0"/>
        <w:spacing w:line="360" w:lineRule="auto"/>
        <w:ind w:left="481" w:leftChars="229"/>
        <w:jc w:val="left"/>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五、不为项目有关人员个人装修住房、婚丧嫁娶、配偶子女工作安排等提供</w:t>
      </w:r>
    </w:p>
    <w:p w14:paraId="122751CA">
      <w:pPr>
        <w:shd w:val="clear"/>
        <w:autoSpaceDE w:val="0"/>
        <w:autoSpaceDN w:val="0"/>
        <w:spacing w:line="360" w:lineRule="auto"/>
        <w:jc w:val="left"/>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好处；</w:t>
      </w:r>
    </w:p>
    <w:p w14:paraId="0DD42BF6">
      <w:pPr>
        <w:shd w:val="clear"/>
        <w:autoSpaceDE w:val="0"/>
        <w:autoSpaceDN w:val="0"/>
        <w:spacing w:line="360" w:lineRule="auto"/>
        <w:ind w:left="481" w:leftChars="229"/>
        <w:jc w:val="left"/>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六、严格遵守《</w:t>
      </w:r>
      <w:r>
        <w:rPr>
          <w:rFonts w:hint="eastAsia" w:cs="仿宋" w:asciiTheme="majorEastAsia" w:hAnsiTheme="majorEastAsia" w:eastAsiaTheme="majorEastAsia"/>
          <w:color w:val="auto"/>
          <w:sz w:val="24"/>
          <w:highlight w:val="none"/>
          <w:lang w:val="zh-CN"/>
        </w:rPr>
        <w:t>中华人民共和国</w:t>
      </w:r>
      <w:r>
        <w:rPr>
          <w:rFonts w:hint="eastAsia" w:cs="仿宋" w:asciiTheme="majorEastAsia" w:hAnsiTheme="majorEastAsia" w:eastAsiaTheme="majorEastAsia"/>
          <w:color w:val="auto"/>
          <w:kern w:val="0"/>
          <w:sz w:val="24"/>
          <w:highlight w:val="none"/>
          <w:lang w:val="zh-CN"/>
        </w:rPr>
        <w:t>政府采购法》《</w:t>
      </w:r>
      <w:r>
        <w:rPr>
          <w:rFonts w:hint="eastAsia" w:cs="仿宋" w:asciiTheme="majorEastAsia" w:hAnsiTheme="majorEastAsia" w:eastAsiaTheme="majorEastAsia"/>
          <w:color w:val="auto"/>
          <w:sz w:val="24"/>
          <w:highlight w:val="none"/>
          <w:lang w:val="zh-CN"/>
        </w:rPr>
        <w:t>中华人民共和国</w:t>
      </w:r>
      <w:r>
        <w:rPr>
          <w:rFonts w:hint="eastAsia" w:cs="仿宋" w:asciiTheme="majorEastAsia" w:hAnsiTheme="majorEastAsia" w:eastAsiaTheme="majorEastAsia"/>
          <w:color w:val="auto"/>
          <w:kern w:val="0"/>
          <w:sz w:val="24"/>
          <w:highlight w:val="none"/>
          <w:lang w:val="zh-CN"/>
        </w:rPr>
        <w:t>招标投标</w:t>
      </w:r>
    </w:p>
    <w:p w14:paraId="65DE745F">
      <w:pPr>
        <w:shd w:val="clear"/>
        <w:autoSpaceDE w:val="0"/>
        <w:autoSpaceDN w:val="0"/>
        <w:spacing w:line="360" w:lineRule="auto"/>
        <w:jc w:val="left"/>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法》</w:t>
      </w:r>
      <w:r>
        <w:rPr>
          <w:rFonts w:hint="eastAsia" w:cs="仿宋" w:asciiTheme="majorEastAsia" w:hAnsiTheme="majorEastAsia" w:eastAsiaTheme="majorEastAsia"/>
          <w:color w:val="auto"/>
          <w:sz w:val="24"/>
          <w:highlight w:val="none"/>
          <w:lang w:val="zh-CN"/>
        </w:rPr>
        <w:t>《中华人民共和国民法典》</w:t>
      </w:r>
      <w:r>
        <w:rPr>
          <w:rFonts w:hint="eastAsia" w:cs="仿宋" w:asciiTheme="majorEastAsia" w:hAnsiTheme="majorEastAsia" w:eastAsiaTheme="majorEastAsia"/>
          <w:color w:val="auto"/>
          <w:kern w:val="0"/>
          <w:sz w:val="24"/>
          <w:highlight w:val="none"/>
          <w:lang w:val="zh-CN"/>
        </w:rPr>
        <w:t xml:space="preserve">等法律法规，诚实守信，合法经营，坚决抵制各种违法违纪行为。 </w:t>
      </w:r>
    </w:p>
    <w:p w14:paraId="6EFF0E16">
      <w:pPr>
        <w:shd w:val="clear"/>
        <w:autoSpaceDE w:val="0"/>
        <w:autoSpaceDN w:val="0"/>
        <w:spacing w:line="360" w:lineRule="auto"/>
        <w:ind w:firstLine="480" w:firstLineChars="200"/>
        <w:jc w:val="left"/>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如违反上述承诺，你</w:t>
      </w:r>
      <w:r>
        <w:rPr>
          <w:rFonts w:hint="eastAsia" w:cs="仿宋" w:asciiTheme="majorEastAsia" w:hAnsiTheme="majorEastAsia" w:eastAsiaTheme="majorEastAsia"/>
          <w:color w:val="auto"/>
          <w:sz w:val="24"/>
          <w:highlight w:val="none"/>
        </w:rPr>
        <w:t>单位</w:t>
      </w:r>
      <w:r>
        <w:rPr>
          <w:rFonts w:hint="eastAsia" w:cs="仿宋" w:asciiTheme="majorEastAsia" w:hAnsiTheme="majorEastAsia" w:eastAsiaTheme="majorEastAsia"/>
          <w:color w:val="auto"/>
          <w:kern w:val="0"/>
          <w:sz w:val="24"/>
          <w:highlight w:val="none"/>
          <w:lang w:val="zh-CN"/>
        </w:rPr>
        <w:t>有权立即取消我单位投标、中标或在建项目的建设资格，有权拒绝我单位在一定时期内进入你</w:t>
      </w:r>
      <w:r>
        <w:rPr>
          <w:rFonts w:hint="eastAsia" w:cs="仿宋" w:asciiTheme="majorEastAsia" w:hAnsiTheme="majorEastAsia" w:eastAsiaTheme="majorEastAsia"/>
          <w:color w:val="auto"/>
          <w:sz w:val="24"/>
          <w:highlight w:val="none"/>
        </w:rPr>
        <w:t>单位</w:t>
      </w:r>
      <w:r>
        <w:rPr>
          <w:rFonts w:hint="eastAsia" w:cs="仿宋" w:asciiTheme="majorEastAsia" w:hAnsiTheme="majorEastAsia" w:eastAsiaTheme="majorEastAsia"/>
          <w:color w:val="auto"/>
          <w:kern w:val="0"/>
          <w:sz w:val="24"/>
          <w:highlight w:val="none"/>
          <w:lang w:val="zh-CN"/>
        </w:rPr>
        <w:t>进行项目建设或其他经营活动，并通报监管部门。由此引起的相应损失均由我单位承担。</w:t>
      </w:r>
    </w:p>
    <w:p w14:paraId="77D4EBA7">
      <w:pPr>
        <w:shd w:val="clear"/>
        <w:autoSpaceDE w:val="0"/>
        <w:autoSpaceDN w:val="0"/>
        <w:spacing w:line="360" w:lineRule="auto"/>
        <w:ind w:left="2"/>
        <w:jc w:val="left"/>
        <w:rPr>
          <w:rFonts w:cs="仿宋" w:asciiTheme="majorEastAsia" w:hAnsiTheme="majorEastAsia" w:eastAsiaTheme="majorEastAsia"/>
          <w:color w:val="auto"/>
          <w:kern w:val="0"/>
          <w:sz w:val="24"/>
          <w:highlight w:val="none"/>
          <w:lang w:val="zh-CN"/>
        </w:rPr>
      </w:pPr>
    </w:p>
    <w:p w14:paraId="53298A2D">
      <w:pPr>
        <w:shd w:val="clear"/>
        <w:autoSpaceDE w:val="0"/>
        <w:autoSpaceDN w:val="0"/>
        <w:spacing w:line="360" w:lineRule="auto"/>
        <w:ind w:left="2"/>
        <w:jc w:val="left"/>
        <w:rPr>
          <w:rFonts w:cs="仿宋" w:asciiTheme="majorEastAsia" w:hAnsiTheme="majorEastAsia" w:eastAsiaTheme="majorEastAsia"/>
          <w:color w:val="auto"/>
          <w:kern w:val="0"/>
          <w:sz w:val="24"/>
          <w:highlight w:val="none"/>
          <w:lang w:val="zh-CN"/>
        </w:rPr>
      </w:pPr>
    </w:p>
    <w:p w14:paraId="4289A63D">
      <w:pPr>
        <w:shd w:val="clear"/>
        <w:autoSpaceDE w:val="0"/>
        <w:autoSpaceDN w:val="0"/>
        <w:spacing w:line="360" w:lineRule="auto"/>
        <w:ind w:left="2"/>
        <w:jc w:val="left"/>
        <w:rPr>
          <w:rFonts w:cs="仿宋" w:asciiTheme="majorEastAsia" w:hAnsiTheme="majorEastAsia" w:eastAsiaTheme="majorEastAsia"/>
          <w:color w:val="auto"/>
          <w:kern w:val="0"/>
          <w:sz w:val="24"/>
          <w:highlight w:val="none"/>
          <w:lang w:val="zh-CN"/>
        </w:rPr>
      </w:pPr>
    </w:p>
    <w:p w14:paraId="7EB2B4DE">
      <w:pPr>
        <w:shd w:val="clear"/>
        <w:adjustRightInd w:val="0"/>
        <w:snapToGrid w:val="0"/>
        <w:spacing w:line="360" w:lineRule="auto"/>
        <w:jc w:val="right"/>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法定代表人或其授权委托人（签名或印章）：</w:t>
      </w:r>
    </w:p>
    <w:p w14:paraId="6EA4FDC0">
      <w:pPr>
        <w:shd w:val="clear"/>
        <w:adjustRightInd w:val="0"/>
        <w:snapToGrid w:val="0"/>
        <w:spacing w:line="360" w:lineRule="auto"/>
        <w:ind w:left="3990" w:leftChars="1900"/>
        <w:jc w:val="center"/>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投标人（盖章）：</w:t>
      </w:r>
    </w:p>
    <w:p w14:paraId="6CF586BB">
      <w:pPr>
        <w:shd w:val="clear"/>
        <w:adjustRightInd w:val="0"/>
        <w:snapToGrid w:val="0"/>
        <w:spacing w:line="360" w:lineRule="auto"/>
        <w:ind w:right="1920"/>
        <w:jc w:val="center"/>
        <w:rPr>
          <w:rFonts w:cs="仿宋" w:asciiTheme="majorEastAsia" w:hAnsiTheme="majorEastAsia" w:eastAsiaTheme="majorEastAsia"/>
          <w:b/>
          <w:color w:val="auto"/>
          <w:kern w:val="0"/>
          <w:sz w:val="32"/>
          <w:szCs w:val="32"/>
          <w:highlight w:val="none"/>
          <w:lang w:val="zh-CN"/>
        </w:rPr>
      </w:pPr>
      <w:r>
        <w:rPr>
          <w:rFonts w:hint="eastAsia" w:cs="仿宋" w:asciiTheme="majorEastAsia" w:hAnsiTheme="majorEastAsia" w:eastAsiaTheme="majorEastAsia"/>
          <w:color w:val="auto"/>
          <w:kern w:val="0"/>
          <w:sz w:val="24"/>
          <w:highlight w:val="none"/>
          <w:lang w:val="zh-CN"/>
        </w:rPr>
        <w:t xml:space="preserve">                                      日期</w:t>
      </w:r>
      <w:r>
        <w:rPr>
          <w:rFonts w:hint="eastAsia" w:cs="仿宋" w:asciiTheme="majorEastAsia" w:hAnsiTheme="majorEastAsia" w:eastAsiaTheme="majorEastAsia"/>
          <w:color w:val="auto"/>
          <w:kern w:val="0"/>
          <w:sz w:val="24"/>
          <w:highlight w:val="none"/>
        </w:rPr>
        <w:t>:</w:t>
      </w:r>
    </w:p>
    <w:p w14:paraId="4AA919FF">
      <w:pPr>
        <w:shd w:val="clear"/>
        <w:spacing w:line="360" w:lineRule="auto"/>
        <w:ind w:left="4620" w:leftChars="2200"/>
        <w:rPr>
          <w:rFonts w:cs="仿宋" w:asciiTheme="majorEastAsia" w:hAnsiTheme="majorEastAsia" w:eastAsiaTheme="majorEastAsia"/>
          <w:color w:val="auto"/>
          <w:sz w:val="24"/>
          <w:highlight w:val="none"/>
        </w:rPr>
      </w:pPr>
    </w:p>
    <w:p w14:paraId="6EE72E5D">
      <w:pPr>
        <w:shd w:val="clear"/>
        <w:spacing w:line="360" w:lineRule="auto"/>
        <w:jc w:val="center"/>
        <w:rPr>
          <w:rFonts w:cs="仿宋" w:asciiTheme="majorEastAsia" w:hAnsiTheme="majorEastAsia" w:eastAsiaTheme="majorEastAsia"/>
          <w:b/>
          <w:bCs/>
          <w:color w:val="auto"/>
          <w:sz w:val="24"/>
          <w:highlight w:val="none"/>
        </w:rPr>
      </w:pPr>
    </w:p>
    <w:p w14:paraId="391C536F">
      <w:pPr>
        <w:shd w:val="clear"/>
        <w:spacing w:line="360" w:lineRule="auto"/>
        <w:jc w:val="center"/>
        <w:rPr>
          <w:rFonts w:cs="仿宋" w:asciiTheme="majorEastAsia" w:hAnsiTheme="majorEastAsia" w:eastAsiaTheme="majorEastAsia"/>
          <w:b/>
          <w:bCs/>
          <w:color w:val="auto"/>
          <w:sz w:val="24"/>
          <w:highlight w:val="none"/>
        </w:rPr>
        <w:sectPr>
          <w:pgSz w:w="11906" w:h="16838"/>
          <w:pgMar w:top="1276" w:right="1276" w:bottom="1247" w:left="1418" w:header="851" w:footer="992" w:gutter="0"/>
          <w:cols w:space="720" w:num="1"/>
          <w:titlePg/>
          <w:docGrid w:linePitch="312" w:charSpace="0"/>
        </w:sectPr>
      </w:pPr>
    </w:p>
    <w:p w14:paraId="394B14C1">
      <w:pPr>
        <w:shd w:val="clear"/>
        <w:spacing w:line="360" w:lineRule="auto"/>
        <w:jc w:val="center"/>
        <w:outlineLvl w:val="0"/>
        <w:rPr>
          <w:rFonts w:cs="仿宋" w:asciiTheme="majorEastAsia" w:hAnsiTheme="majorEastAsia" w:eastAsiaTheme="majorEastAsia"/>
          <w:b/>
          <w:color w:val="auto"/>
          <w:kern w:val="0"/>
          <w:sz w:val="36"/>
          <w:szCs w:val="36"/>
          <w:highlight w:val="none"/>
        </w:rPr>
      </w:pPr>
      <w:r>
        <w:rPr>
          <w:rFonts w:hint="eastAsia" w:cs="仿宋" w:asciiTheme="majorEastAsia" w:hAnsiTheme="majorEastAsia" w:eastAsiaTheme="majorEastAsia"/>
          <w:b/>
          <w:color w:val="auto"/>
          <w:kern w:val="0"/>
          <w:sz w:val="36"/>
          <w:szCs w:val="36"/>
          <w:highlight w:val="none"/>
        </w:rPr>
        <w:t>报价文件部分</w:t>
      </w:r>
    </w:p>
    <w:p w14:paraId="72FD9E71">
      <w:pPr>
        <w:shd w:val="clear"/>
        <w:spacing w:line="360" w:lineRule="auto"/>
        <w:jc w:val="center"/>
        <w:outlineLvl w:val="0"/>
        <w:rPr>
          <w:rFonts w:cs="仿宋" w:asciiTheme="majorEastAsia" w:hAnsiTheme="majorEastAsia" w:eastAsiaTheme="majorEastAsia"/>
          <w:b/>
          <w:color w:val="auto"/>
          <w:kern w:val="0"/>
          <w:sz w:val="36"/>
          <w:szCs w:val="36"/>
          <w:highlight w:val="none"/>
        </w:rPr>
      </w:pPr>
      <w:r>
        <w:rPr>
          <w:rFonts w:hint="eastAsia" w:cs="仿宋" w:asciiTheme="majorEastAsia" w:hAnsiTheme="majorEastAsia" w:eastAsiaTheme="majorEastAsia"/>
          <w:b/>
          <w:color w:val="auto"/>
          <w:kern w:val="0"/>
          <w:sz w:val="36"/>
          <w:szCs w:val="36"/>
          <w:highlight w:val="none"/>
        </w:rPr>
        <w:t>目录</w:t>
      </w:r>
    </w:p>
    <w:p w14:paraId="0A73F88F">
      <w:pPr>
        <w:shd w:val="clear"/>
        <w:snapToGrid w:val="0"/>
        <w:spacing w:line="360" w:lineRule="auto"/>
        <w:ind w:firstLine="480" w:firstLineChars="200"/>
        <w:rPr>
          <w:rFonts w:cs="仿宋" w:asciiTheme="majorEastAsia" w:hAnsiTheme="majorEastAsia" w:eastAsiaTheme="majorEastAsia"/>
          <w:color w:val="auto"/>
          <w:sz w:val="24"/>
          <w:highlight w:val="none"/>
          <w:u w:val="single"/>
          <w:lang w:val="zh-CN"/>
        </w:rPr>
      </w:pPr>
    </w:p>
    <w:p w14:paraId="557789D8">
      <w:pPr>
        <w:shd w:val="clear"/>
        <w:snapToGrid w:val="0"/>
        <w:spacing w:line="360" w:lineRule="auto"/>
        <w:ind w:firstLine="1120" w:firstLineChars="4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1 开标一览表；</w:t>
      </w:r>
    </w:p>
    <w:p w14:paraId="4D3E2313">
      <w:pPr>
        <w:shd w:val="clear"/>
        <w:snapToGrid w:val="0"/>
        <w:spacing w:line="360" w:lineRule="auto"/>
        <w:ind w:firstLine="1120" w:firstLineChars="4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2 投标报价明细表；</w:t>
      </w:r>
    </w:p>
    <w:p w14:paraId="3749ED84">
      <w:pPr>
        <w:shd w:val="clear"/>
        <w:snapToGrid w:val="0"/>
        <w:spacing w:line="360" w:lineRule="auto"/>
        <w:ind w:firstLine="1120" w:firstLineChars="4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3 中小企业声明函（如有）；</w:t>
      </w:r>
    </w:p>
    <w:p w14:paraId="5AEB392E">
      <w:pPr>
        <w:shd w:val="clear"/>
        <w:snapToGrid w:val="0"/>
        <w:spacing w:line="360" w:lineRule="auto"/>
        <w:ind w:firstLine="1120" w:firstLineChars="4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4 残疾人福利性单位声明函（如有）；</w:t>
      </w:r>
    </w:p>
    <w:p w14:paraId="7C66C4C1">
      <w:pPr>
        <w:shd w:val="clear"/>
        <w:snapToGrid w:val="0"/>
        <w:spacing w:line="360" w:lineRule="auto"/>
        <w:ind w:firstLine="1120" w:firstLineChars="4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5 监狱企业的证明文件（如有）；</w:t>
      </w:r>
    </w:p>
    <w:p w14:paraId="6A9E08DA">
      <w:pPr>
        <w:shd w:val="clear"/>
        <w:snapToGrid w:val="0"/>
        <w:spacing w:line="360" w:lineRule="auto"/>
        <w:ind w:firstLine="1120" w:firstLineChars="4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6 政府采购统计基础信息表；</w:t>
      </w:r>
    </w:p>
    <w:p w14:paraId="499BF35B">
      <w:pPr>
        <w:shd w:val="clear"/>
        <w:snapToGrid w:val="0"/>
        <w:spacing w:line="360" w:lineRule="auto"/>
        <w:ind w:firstLine="1120" w:firstLineChars="400"/>
        <w:rPr>
          <w:rFonts w:cs="仿宋" w:asciiTheme="majorEastAsia" w:hAnsiTheme="majorEastAsia" w:eastAsiaTheme="majorEastAsia"/>
          <w:color w:val="auto"/>
          <w:sz w:val="28"/>
          <w:szCs w:val="28"/>
          <w:highlight w:val="none"/>
        </w:rPr>
      </w:pPr>
      <w:r>
        <w:rPr>
          <w:rFonts w:hint="eastAsia" w:cs="仿宋" w:asciiTheme="majorEastAsia" w:hAnsiTheme="majorEastAsia" w:eastAsiaTheme="majorEastAsia"/>
          <w:color w:val="auto"/>
          <w:sz w:val="28"/>
          <w:szCs w:val="28"/>
          <w:highlight w:val="none"/>
        </w:rPr>
        <w:t>7 其他资料（如有）。</w:t>
      </w:r>
    </w:p>
    <w:p w14:paraId="3AE90F05">
      <w:pPr>
        <w:shd w:val="clear"/>
        <w:snapToGrid w:val="0"/>
        <w:spacing w:line="360" w:lineRule="auto"/>
        <w:ind w:right="480"/>
        <w:rPr>
          <w:rFonts w:cs="仿宋" w:asciiTheme="majorEastAsia" w:hAnsiTheme="majorEastAsia" w:eastAsiaTheme="majorEastAsia"/>
          <w:b/>
          <w:color w:val="auto"/>
          <w:kern w:val="0"/>
          <w:sz w:val="32"/>
          <w:szCs w:val="32"/>
          <w:highlight w:val="none"/>
        </w:rPr>
      </w:pPr>
    </w:p>
    <w:p w14:paraId="1EA744A8">
      <w:pPr>
        <w:pStyle w:val="37"/>
        <w:keepNext w:val="0"/>
        <w:pageBreakBefore w:val="0"/>
        <w:shd w:val="clear"/>
        <w:tabs>
          <w:tab w:val="clear" w:pos="720"/>
        </w:tabs>
        <w:snapToGrid w:val="0"/>
        <w:spacing w:before="120" w:after="120"/>
        <w:ind w:firstLine="643"/>
        <w:outlineLvl w:val="9"/>
        <w:rPr>
          <w:rFonts w:cs="仿宋" w:asciiTheme="majorEastAsia" w:hAnsiTheme="majorEastAsia" w:eastAsiaTheme="majorEastAsia"/>
          <w:color w:val="auto"/>
          <w:kern w:val="2"/>
          <w:sz w:val="32"/>
          <w:szCs w:val="32"/>
          <w:highlight w:val="none"/>
        </w:rPr>
        <w:sectPr>
          <w:headerReference r:id="rId9" w:type="first"/>
          <w:footerReference r:id="rId11" w:type="first"/>
          <w:headerReference r:id="rId8" w:type="default"/>
          <w:footerReference r:id="rId10" w:type="default"/>
          <w:pgSz w:w="11906" w:h="16838"/>
          <w:pgMar w:top="1276" w:right="1276" w:bottom="1247" w:left="1418" w:header="851" w:footer="992" w:gutter="0"/>
          <w:cols w:space="720" w:num="1"/>
          <w:titlePg/>
          <w:docGrid w:linePitch="312" w:charSpace="0"/>
        </w:sectPr>
      </w:pPr>
    </w:p>
    <w:p w14:paraId="7427F06E">
      <w:pPr>
        <w:pStyle w:val="37"/>
        <w:keepNext w:val="0"/>
        <w:pageBreakBefore w:val="0"/>
        <w:shd w:val="clear"/>
        <w:tabs>
          <w:tab w:val="clear" w:pos="720"/>
        </w:tabs>
        <w:snapToGrid w:val="0"/>
        <w:spacing w:before="120" w:after="120"/>
        <w:ind w:firstLine="643"/>
        <w:outlineLvl w:val="9"/>
        <w:rPr>
          <w:rFonts w:cs="仿宋" w:asciiTheme="majorEastAsia" w:hAnsiTheme="majorEastAsia" w:eastAsiaTheme="majorEastAsia"/>
          <w:color w:val="auto"/>
          <w:kern w:val="2"/>
          <w:sz w:val="32"/>
          <w:szCs w:val="32"/>
          <w:highlight w:val="none"/>
        </w:rPr>
      </w:pPr>
      <w:r>
        <w:rPr>
          <w:rFonts w:hint="eastAsia" w:cs="仿宋" w:asciiTheme="majorEastAsia" w:hAnsiTheme="majorEastAsia" w:eastAsiaTheme="majorEastAsia"/>
          <w:color w:val="auto"/>
          <w:kern w:val="2"/>
          <w:sz w:val="32"/>
          <w:szCs w:val="32"/>
          <w:highlight w:val="none"/>
        </w:rPr>
        <w:t>一、开标一览表（报价表）</w:t>
      </w:r>
    </w:p>
    <w:p w14:paraId="2AB04AD1">
      <w:pPr>
        <w:shd w:val="clear"/>
        <w:spacing w:line="360" w:lineRule="auto"/>
        <w:jc w:val="center"/>
        <w:rPr>
          <w:rFonts w:cs="仿宋" w:asciiTheme="majorEastAsia" w:hAnsiTheme="majorEastAsia" w:eastAsiaTheme="majorEastAsia"/>
          <w:color w:val="auto"/>
          <w:sz w:val="24"/>
          <w:highlight w:val="none"/>
        </w:rPr>
      </w:pPr>
    </w:p>
    <w:p w14:paraId="7C3A8F9E">
      <w:pPr>
        <w:shd w:val="clear"/>
        <w:spacing w:line="360" w:lineRule="auto"/>
        <w:jc w:val="center"/>
        <w:rPr>
          <w:rFonts w:cs="仿宋" w:asciiTheme="majorEastAsia" w:hAnsiTheme="majorEastAsia" w:eastAsiaTheme="majorEastAsia"/>
          <w:color w:val="auto"/>
          <w:sz w:val="24"/>
          <w:highlight w:val="none"/>
        </w:rPr>
      </w:pPr>
    </w:p>
    <w:p w14:paraId="52867EE5">
      <w:pPr>
        <w:shd w:val="clear"/>
        <w:spacing w:line="360" w:lineRule="auto"/>
        <w:jc w:val="center"/>
        <w:rPr>
          <w:rFonts w:cs="仿宋" w:asciiTheme="majorEastAsia" w:hAnsiTheme="majorEastAsia" w:eastAsiaTheme="majorEastAsia"/>
          <w:b/>
          <w:color w:val="auto"/>
          <w:kern w:val="0"/>
          <w:sz w:val="24"/>
          <w:highlight w:val="none"/>
          <w:lang w:val="zh-CN"/>
        </w:rPr>
      </w:pPr>
      <w:r>
        <w:rPr>
          <w:rFonts w:hint="eastAsia" w:cs="仿宋" w:asciiTheme="majorEastAsia" w:hAnsiTheme="majorEastAsia" w:eastAsiaTheme="majorEastAsia"/>
          <w:b/>
          <w:color w:val="auto"/>
          <w:kern w:val="0"/>
          <w:sz w:val="24"/>
          <w:highlight w:val="none"/>
          <w:lang w:val="zh-CN"/>
        </w:rPr>
        <w:t>开标一览表（报价表）(单位均为人民币元)</w:t>
      </w:r>
    </w:p>
    <w:p w14:paraId="42CCD785">
      <w:pPr>
        <w:shd w:val="clear"/>
        <w:spacing w:line="360" w:lineRule="auto"/>
        <w:jc w:val="center"/>
        <w:rPr>
          <w:rFonts w:cs="仿宋" w:asciiTheme="majorEastAsia" w:hAnsiTheme="majorEastAsia" w:eastAsiaTheme="majorEastAsia"/>
          <w:b/>
          <w:color w:val="auto"/>
          <w:kern w:val="0"/>
          <w:sz w:val="24"/>
          <w:highlight w:val="none"/>
          <w:lang w:val="zh-CN"/>
        </w:rPr>
      </w:pPr>
    </w:p>
    <w:tbl>
      <w:tblPr>
        <w:tblStyle w:val="21"/>
        <w:tblpPr w:leftFromText="180" w:rightFromText="180" w:vertAnchor="text" w:tblpX="182" w:tblpY="1"/>
        <w:tblOverlap w:val="never"/>
        <w:tblW w:w="488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49"/>
        <w:gridCol w:w="2866"/>
      </w:tblGrid>
      <w:tr w14:paraId="0DEB1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3445" w:type="pct"/>
            <w:vAlign w:val="center"/>
          </w:tcPr>
          <w:p w14:paraId="2B53289E">
            <w:pPr>
              <w:pStyle w:val="69"/>
              <w:widowControl w:val="0"/>
              <w:shd w:val="clear"/>
              <w:tabs>
                <w:tab w:val="left" w:pos="1200"/>
              </w:tabs>
              <w:spacing w:after="120" w:line="400" w:lineRule="exact"/>
              <w:ind w:firstLine="0"/>
              <w:jc w:val="center"/>
              <w:rPr>
                <w:rFonts w:cs="仿宋" w:asciiTheme="majorEastAsia" w:hAnsiTheme="majorEastAsia" w:eastAsiaTheme="majorEastAsia"/>
                <w:color w:val="auto"/>
                <w:szCs w:val="24"/>
                <w:highlight w:val="none"/>
                <w:lang w:val="zh-CN"/>
              </w:rPr>
            </w:pPr>
            <w:r>
              <w:rPr>
                <w:rFonts w:hint="eastAsia" w:cs="仿宋" w:asciiTheme="majorEastAsia" w:hAnsiTheme="majorEastAsia" w:eastAsiaTheme="majorEastAsia"/>
                <w:color w:val="auto"/>
                <w:szCs w:val="24"/>
                <w:highlight w:val="none"/>
                <w:lang w:val="zh-CN"/>
              </w:rPr>
              <w:t>项目名称</w:t>
            </w:r>
          </w:p>
        </w:tc>
        <w:tc>
          <w:tcPr>
            <w:tcW w:w="1555" w:type="pct"/>
            <w:vAlign w:val="center"/>
          </w:tcPr>
          <w:p w14:paraId="2FF99EB9">
            <w:pPr>
              <w:pStyle w:val="69"/>
              <w:widowControl w:val="0"/>
              <w:shd w:val="clear"/>
              <w:tabs>
                <w:tab w:val="left" w:pos="1200"/>
              </w:tabs>
              <w:spacing w:after="120" w:line="400" w:lineRule="exact"/>
              <w:ind w:firstLine="0"/>
              <w:jc w:val="center"/>
              <w:rPr>
                <w:rFonts w:cs="仿宋" w:asciiTheme="majorEastAsia" w:hAnsiTheme="majorEastAsia" w:eastAsiaTheme="majorEastAsia"/>
                <w:color w:val="auto"/>
                <w:szCs w:val="24"/>
                <w:highlight w:val="none"/>
                <w:lang w:val="zh-CN"/>
              </w:rPr>
            </w:pPr>
            <w:r>
              <w:rPr>
                <w:rFonts w:hint="eastAsia" w:cs="仿宋" w:asciiTheme="majorEastAsia" w:hAnsiTheme="majorEastAsia" w:eastAsiaTheme="majorEastAsia"/>
                <w:color w:val="auto"/>
                <w:szCs w:val="24"/>
                <w:highlight w:val="none"/>
                <w:lang w:val="zh-CN"/>
              </w:rPr>
              <w:t>投标报价</w:t>
            </w:r>
          </w:p>
        </w:tc>
      </w:tr>
      <w:tr w14:paraId="4569A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 w:hRule="atLeast"/>
        </w:trPr>
        <w:tc>
          <w:tcPr>
            <w:tcW w:w="3445" w:type="pct"/>
            <w:vAlign w:val="center"/>
          </w:tcPr>
          <w:p w14:paraId="3B57BE37">
            <w:pPr>
              <w:pStyle w:val="69"/>
              <w:widowControl w:val="0"/>
              <w:shd w:val="clear"/>
              <w:tabs>
                <w:tab w:val="left" w:pos="1200"/>
              </w:tabs>
              <w:spacing w:after="120" w:line="400" w:lineRule="exact"/>
              <w:ind w:firstLine="0"/>
              <w:jc w:val="center"/>
              <w:rPr>
                <w:rFonts w:ascii="宋体" w:hAnsi="宋体"/>
                <w:color w:val="auto"/>
                <w:sz w:val="21"/>
                <w:szCs w:val="21"/>
                <w:highlight w:val="none"/>
              </w:rPr>
            </w:pPr>
            <w:r>
              <w:rPr>
                <w:rFonts w:hint="eastAsia" w:cs="仿宋" w:asciiTheme="majorEastAsia" w:hAnsiTheme="majorEastAsia" w:eastAsiaTheme="majorEastAsia"/>
                <w:color w:val="auto"/>
                <w:highlight w:val="none"/>
              </w:rPr>
              <w:t>宁南工业孵化基地园区综合运营管理服务项目</w:t>
            </w:r>
          </w:p>
        </w:tc>
        <w:tc>
          <w:tcPr>
            <w:tcW w:w="1555" w:type="pct"/>
            <w:vAlign w:val="center"/>
          </w:tcPr>
          <w:p w14:paraId="5FA16F42">
            <w:pPr>
              <w:pStyle w:val="69"/>
              <w:widowControl w:val="0"/>
              <w:shd w:val="clear"/>
              <w:tabs>
                <w:tab w:val="left" w:pos="1200"/>
              </w:tabs>
              <w:spacing w:after="120" w:line="400" w:lineRule="exact"/>
              <w:ind w:firstLine="0"/>
              <w:jc w:val="center"/>
              <w:rPr>
                <w:rFonts w:ascii="宋体" w:hAnsi="宋体"/>
                <w:color w:val="auto"/>
                <w:sz w:val="21"/>
                <w:szCs w:val="21"/>
                <w:highlight w:val="none"/>
              </w:rPr>
            </w:pPr>
          </w:p>
        </w:tc>
      </w:tr>
      <w:tr w14:paraId="75F4F4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5000" w:type="pct"/>
            <w:gridSpan w:val="2"/>
          </w:tcPr>
          <w:p w14:paraId="42CA2B78">
            <w:pPr>
              <w:shd w:val="clear"/>
              <w:rPr>
                <w:color w:val="auto"/>
                <w:highlight w:val="none"/>
              </w:rPr>
            </w:pPr>
            <w:r>
              <w:rPr>
                <w:rFonts w:hint="eastAsia" w:cs="仿宋" w:asciiTheme="majorEastAsia" w:hAnsiTheme="majorEastAsia" w:eastAsiaTheme="majorEastAsia"/>
                <w:b/>
                <w:color w:val="auto"/>
                <w:sz w:val="24"/>
                <w:highlight w:val="none"/>
              </w:rPr>
              <w:t>投标报价（小写）                              元/年</w:t>
            </w:r>
          </w:p>
        </w:tc>
      </w:tr>
      <w:tr w14:paraId="2DB59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5000" w:type="pct"/>
            <w:gridSpan w:val="2"/>
          </w:tcPr>
          <w:p w14:paraId="74A67D3C">
            <w:pPr>
              <w:shd w:val="clear"/>
              <w:rPr>
                <w:color w:val="auto"/>
                <w:highlight w:val="none"/>
              </w:rPr>
            </w:pPr>
            <w:r>
              <w:rPr>
                <w:rFonts w:hint="eastAsia" w:cs="仿宋" w:asciiTheme="majorEastAsia" w:hAnsiTheme="majorEastAsia" w:eastAsiaTheme="majorEastAsia"/>
                <w:b/>
                <w:color w:val="auto"/>
                <w:sz w:val="24"/>
                <w:highlight w:val="none"/>
              </w:rPr>
              <w:t>投标报价（大写）</w:t>
            </w:r>
          </w:p>
        </w:tc>
      </w:tr>
    </w:tbl>
    <w:p w14:paraId="635CBA08">
      <w:pPr>
        <w:shd w:val="clear"/>
        <w:snapToGrid w:val="0"/>
        <w:spacing w:line="360" w:lineRule="auto"/>
        <w:ind w:left="480"/>
        <w:rPr>
          <w:rFonts w:cs="仿宋" w:asciiTheme="majorEastAsia" w:hAnsiTheme="majorEastAsia" w:eastAsiaTheme="majorEastAsia"/>
          <w:b/>
          <w:color w:val="auto"/>
          <w:kern w:val="0"/>
          <w:sz w:val="24"/>
          <w:highlight w:val="none"/>
          <w:lang w:val="zh-CN"/>
        </w:rPr>
      </w:pPr>
      <w:r>
        <w:rPr>
          <w:rFonts w:hint="eastAsia" w:cs="仿宋" w:asciiTheme="majorEastAsia" w:hAnsiTheme="majorEastAsia" w:eastAsiaTheme="majorEastAsia"/>
          <w:b/>
          <w:color w:val="auto"/>
          <w:kern w:val="0"/>
          <w:sz w:val="24"/>
          <w:highlight w:val="none"/>
          <w:lang w:val="zh-CN"/>
        </w:rPr>
        <w:t>注：</w:t>
      </w:r>
    </w:p>
    <w:p w14:paraId="0492EBA1">
      <w:pPr>
        <w:shd w:val="clear"/>
        <w:spacing w:line="360" w:lineRule="auto"/>
        <w:ind w:left="-2" w:leftChars="-1" w:firstLine="480" w:firstLineChars="200"/>
        <w:rPr>
          <w:rFonts w:cs="仿宋" w:asciiTheme="majorEastAsia" w:hAnsiTheme="majorEastAsia" w:eastAsiaTheme="majorEastAsia"/>
          <w:color w:val="auto"/>
          <w:kern w:val="0"/>
          <w:sz w:val="24"/>
          <w:highlight w:val="none"/>
        </w:rPr>
      </w:pPr>
    </w:p>
    <w:p w14:paraId="07D111D8">
      <w:pPr>
        <w:shd w:val="clear"/>
        <w:spacing w:line="360" w:lineRule="auto"/>
        <w:ind w:left="-2" w:leftChars="-1" w:firstLine="480" w:firstLineChars="200"/>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rPr>
        <w:t>1</w:t>
      </w:r>
      <w:r>
        <w:rPr>
          <w:rFonts w:hint="eastAsia" w:cs="仿宋" w:asciiTheme="majorEastAsia" w:hAnsiTheme="majorEastAsia" w:eastAsiaTheme="majorEastAsia"/>
          <w:color w:val="auto"/>
          <w:kern w:val="0"/>
          <w:sz w:val="24"/>
          <w:highlight w:val="none"/>
          <w:lang w:val="zh-CN"/>
        </w:rPr>
        <w:t>、投标人需按本表格式填写，不得自行更改。</w:t>
      </w:r>
    </w:p>
    <w:p w14:paraId="37DE2561">
      <w:pPr>
        <w:shd w:val="clear"/>
        <w:spacing w:line="360" w:lineRule="auto"/>
        <w:ind w:firstLine="480" w:firstLineChars="200"/>
        <w:rPr>
          <w:rFonts w:cs="仿宋" w:asciiTheme="majorEastAsia" w:hAnsiTheme="majorEastAsia" w:eastAsiaTheme="majorEastAsia"/>
          <w:b/>
          <w:color w:val="auto"/>
          <w:kern w:val="0"/>
          <w:sz w:val="24"/>
          <w:highlight w:val="none"/>
          <w:lang w:val="zh-CN"/>
        </w:rPr>
      </w:pPr>
      <w:r>
        <w:rPr>
          <w:rFonts w:hint="eastAsia" w:cs="仿宋" w:asciiTheme="majorEastAsia" w:hAnsiTheme="majorEastAsia" w:eastAsiaTheme="majorEastAsia"/>
          <w:color w:val="auto"/>
          <w:kern w:val="0"/>
          <w:sz w:val="24"/>
          <w:highlight w:val="none"/>
        </w:rPr>
        <w:t>2</w:t>
      </w:r>
      <w:r>
        <w:rPr>
          <w:rFonts w:hint="eastAsia" w:cs="仿宋" w:asciiTheme="majorEastAsia" w:hAnsiTheme="majorEastAsia" w:eastAsiaTheme="majorEastAsia"/>
          <w:color w:val="auto"/>
          <w:kern w:val="0"/>
          <w:sz w:val="24"/>
          <w:highlight w:val="none"/>
          <w:lang w:val="zh-CN"/>
        </w:rPr>
        <w:t>、有关本项目实施所涉及的一切费用均计入报价。</w:t>
      </w:r>
      <w:r>
        <w:rPr>
          <w:rFonts w:hint="eastAsia" w:cs="仿宋" w:asciiTheme="majorEastAsia" w:hAnsiTheme="majorEastAsia" w:eastAsiaTheme="majorEastAsia"/>
          <w:b/>
          <w:color w:val="auto"/>
          <w:kern w:val="0"/>
          <w:sz w:val="24"/>
          <w:highlight w:val="none"/>
          <w:lang w:val="zh-CN"/>
        </w:rPr>
        <w:t>采购人将以合同形式有偿取得货物或服务，不接受投标人给予的赠品、回扣或者与采购无关的其他商品、服务</w:t>
      </w:r>
      <w:r>
        <w:rPr>
          <w:rFonts w:hint="eastAsia" w:cs="仿宋" w:asciiTheme="majorEastAsia" w:hAnsiTheme="majorEastAsia" w:eastAsiaTheme="majorEastAsia"/>
          <w:color w:val="auto"/>
          <w:kern w:val="0"/>
          <w:sz w:val="24"/>
          <w:highlight w:val="none"/>
          <w:lang w:val="zh-CN"/>
        </w:rPr>
        <w:t>，</w:t>
      </w:r>
      <w:r>
        <w:rPr>
          <w:rFonts w:hint="eastAsia" w:cs="仿宋" w:asciiTheme="majorEastAsia" w:hAnsiTheme="majorEastAsia" w:eastAsiaTheme="majorEastAsia"/>
          <w:b/>
          <w:color w:val="auto"/>
          <w:kern w:val="0"/>
          <w:sz w:val="24"/>
          <w:highlight w:val="none"/>
          <w:lang w:val="zh-CN"/>
        </w:rPr>
        <w:t>不得出现“0元”“免费赠送”等形式的无偿报价，</w:t>
      </w:r>
      <w:r>
        <w:rPr>
          <w:rFonts w:hint="eastAsia" w:cs="仿宋" w:asciiTheme="majorEastAsia" w:hAnsiTheme="majorEastAsia" w:eastAsiaTheme="majorEastAsia"/>
          <w:b/>
          <w:color w:val="auto"/>
          <w:kern w:val="0"/>
          <w:sz w:val="24"/>
          <w:highlight w:val="none"/>
        </w:rPr>
        <w:t>否则视为</w:t>
      </w:r>
      <w:r>
        <w:rPr>
          <w:rFonts w:hint="eastAsia" w:cs="仿宋" w:asciiTheme="majorEastAsia" w:hAnsiTheme="majorEastAsia" w:eastAsiaTheme="majorEastAsia"/>
          <w:b/>
          <w:color w:val="auto"/>
          <w:sz w:val="24"/>
          <w:highlight w:val="none"/>
        </w:rPr>
        <w:t>投标文件含有采购人不能接受的附加条件的，投标无效</w:t>
      </w:r>
      <w:r>
        <w:rPr>
          <w:rFonts w:hint="eastAsia" w:cs="仿宋" w:asciiTheme="majorEastAsia" w:hAnsiTheme="majorEastAsia" w:eastAsiaTheme="majorEastAsia"/>
          <w:b/>
          <w:color w:val="auto"/>
          <w:kern w:val="0"/>
          <w:sz w:val="24"/>
          <w:highlight w:val="none"/>
          <w:lang w:val="zh-CN"/>
        </w:rPr>
        <w:t>。</w:t>
      </w:r>
    </w:p>
    <w:p w14:paraId="1E0D35CB">
      <w:pPr>
        <w:shd w:val="clear"/>
        <w:spacing w:line="360" w:lineRule="auto"/>
        <w:ind w:firstLine="480" w:firstLineChars="200"/>
        <w:rPr>
          <w:rFonts w:cs="仿宋" w:asciiTheme="majorEastAsia" w:hAnsiTheme="majorEastAsia" w:eastAsiaTheme="majorEastAsia"/>
          <w:color w:val="auto"/>
          <w:kern w:val="0"/>
          <w:sz w:val="24"/>
          <w:highlight w:val="none"/>
          <w:lang w:val="zh-CN"/>
        </w:rPr>
      </w:pPr>
    </w:p>
    <w:p w14:paraId="10C90588">
      <w:pPr>
        <w:shd w:val="clear"/>
        <w:spacing w:line="360" w:lineRule="auto"/>
        <w:ind w:firstLine="1920" w:firstLineChars="8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法定代表人或其授权委托人（签名或印章）：        </w:t>
      </w:r>
    </w:p>
    <w:p w14:paraId="3AA9B273">
      <w:pPr>
        <w:shd w:val="clear"/>
        <w:spacing w:line="360" w:lineRule="auto"/>
        <w:ind w:firstLine="1920" w:firstLineChars="8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投标人（盖章）：         </w:t>
      </w:r>
    </w:p>
    <w:p w14:paraId="6D7A0BB1">
      <w:pPr>
        <w:shd w:val="clear"/>
        <w:spacing w:line="360" w:lineRule="auto"/>
        <w:ind w:firstLine="1920" w:firstLineChars="800"/>
        <w:rPr>
          <w:rFonts w:cs="仿宋" w:asciiTheme="majorEastAsia" w:hAnsiTheme="majorEastAsia" w:eastAsiaTheme="majorEastAsia"/>
          <w:color w:val="auto"/>
          <w:sz w:val="24"/>
          <w:highlight w:val="none"/>
        </w:rPr>
        <w:sectPr>
          <w:pgSz w:w="11906" w:h="16838"/>
          <w:pgMar w:top="1276" w:right="1276" w:bottom="1247" w:left="1418" w:header="851" w:footer="992" w:gutter="0"/>
          <w:cols w:space="720" w:num="1"/>
          <w:titlePg/>
          <w:docGrid w:linePitch="312" w:charSpace="0"/>
        </w:sectPr>
      </w:pPr>
      <w:r>
        <w:rPr>
          <w:rFonts w:hint="eastAsia" w:cs="仿宋" w:asciiTheme="majorEastAsia" w:hAnsiTheme="majorEastAsia" w:eastAsiaTheme="majorEastAsia"/>
          <w:color w:val="auto"/>
          <w:sz w:val="24"/>
          <w:highlight w:val="none"/>
        </w:rPr>
        <w:t xml:space="preserve">日  期： </w:t>
      </w:r>
    </w:p>
    <w:p w14:paraId="4666F1EF">
      <w:pPr>
        <w:pStyle w:val="37"/>
        <w:keepNext w:val="0"/>
        <w:pageBreakBefore w:val="0"/>
        <w:shd w:val="clear"/>
        <w:tabs>
          <w:tab w:val="clear" w:pos="720"/>
        </w:tabs>
        <w:snapToGrid w:val="0"/>
        <w:spacing w:before="120" w:after="120"/>
        <w:ind w:firstLine="643"/>
        <w:outlineLvl w:val="9"/>
        <w:rPr>
          <w:rFonts w:cs="仿宋" w:asciiTheme="majorEastAsia" w:hAnsiTheme="majorEastAsia" w:eastAsiaTheme="majorEastAsia"/>
          <w:color w:val="auto"/>
          <w:kern w:val="2"/>
          <w:sz w:val="32"/>
          <w:szCs w:val="32"/>
          <w:highlight w:val="none"/>
        </w:rPr>
      </w:pPr>
      <w:r>
        <w:rPr>
          <w:rFonts w:hint="eastAsia" w:cs="仿宋" w:asciiTheme="majorEastAsia" w:hAnsiTheme="majorEastAsia" w:eastAsiaTheme="majorEastAsia"/>
          <w:color w:val="auto"/>
          <w:kern w:val="2"/>
          <w:sz w:val="32"/>
          <w:szCs w:val="32"/>
          <w:highlight w:val="none"/>
        </w:rPr>
        <w:t>二、投标报价明细表</w:t>
      </w:r>
    </w:p>
    <w:p w14:paraId="0746B71C">
      <w:pPr>
        <w:shd w:val="clear"/>
        <w:snapToGrid w:val="0"/>
        <w:spacing w:line="360" w:lineRule="auto"/>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投标人名称：</w:t>
      </w:r>
    </w:p>
    <w:p w14:paraId="2094BA3A">
      <w:pPr>
        <w:shd w:val="clear"/>
        <w:snapToGrid w:val="0"/>
        <w:spacing w:line="360" w:lineRule="auto"/>
        <w:jc w:val="lef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项目编号： </w:t>
      </w:r>
    </w:p>
    <w:tbl>
      <w:tblPr>
        <w:tblStyle w:val="21"/>
        <w:tblW w:w="956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14"/>
        <w:gridCol w:w="2693"/>
        <w:gridCol w:w="1590"/>
        <w:gridCol w:w="1954"/>
        <w:gridCol w:w="2410"/>
      </w:tblGrid>
      <w:tr w14:paraId="4BF07F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14" w:type="dxa"/>
            <w:tcBorders>
              <w:top w:val="single" w:color="auto" w:sz="4" w:space="0"/>
              <w:left w:val="single" w:color="auto" w:sz="4" w:space="0"/>
              <w:bottom w:val="single" w:color="auto" w:sz="4" w:space="0"/>
              <w:right w:val="single" w:color="auto" w:sz="4" w:space="0"/>
            </w:tcBorders>
            <w:vAlign w:val="center"/>
          </w:tcPr>
          <w:p w14:paraId="07FFCCAE">
            <w:pPr>
              <w:shd w:val="clear"/>
              <w:rPr>
                <w:rFonts w:ascii="宋体" w:hAnsi="宋体"/>
                <w:color w:val="auto"/>
                <w:highlight w:val="none"/>
              </w:rPr>
            </w:pPr>
            <w:r>
              <w:rPr>
                <w:rFonts w:hint="eastAsia" w:ascii="宋体" w:hAnsi="宋体"/>
                <w:color w:val="auto"/>
                <w:highlight w:val="none"/>
              </w:rPr>
              <w:t>序号</w:t>
            </w:r>
          </w:p>
        </w:tc>
        <w:tc>
          <w:tcPr>
            <w:tcW w:w="2693" w:type="dxa"/>
            <w:tcBorders>
              <w:top w:val="single" w:color="auto" w:sz="4" w:space="0"/>
              <w:left w:val="single" w:color="auto" w:sz="4" w:space="0"/>
              <w:bottom w:val="single" w:color="auto" w:sz="4" w:space="0"/>
              <w:right w:val="single" w:color="auto" w:sz="4" w:space="0"/>
            </w:tcBorders>
            <w:vAlign w:val="center"/>
          </w:tcPr>
          <w:p w14:paraId="012F4EF7">
            <w:pPr>
              <w:shd w:val="clear"/>
              <w:jc w:val="center"/>
              <w:rPr>
                <w:rFonts w:ascii="宋体" w:hAnsi="宋体"/>
                <w:color w:val="auto"/>
                <w:highlight w:val="none"/>
              </w:rPr>
            </w:pPr>
            <w:r>
              <w:rPr>
                <w:rFonts w:hint="eastAsia" w:ascii="宋体" w:hAnsi="宋体"/>
                <w:color w:val="auto"/>
                <w:highlight w:val="none"/>
              </w:rPr>
              <w:t>服务内容</w:t>
            </w:r>
          </w:p>
        </w:tc>
        <w:tc>
          <w:tcPr>
            <w:tcW w:w="1590" w:type="dxa"/>
            <w:tcBorders>
              <w:top w:val="single" w:color="auto" w:sz="4" w:space="0"/>
              <w:left w:val="single" w:color="auto" w:sz="4" w:space="0"/>
              <w:bottom w:val="single" w:color="auto" w:sz="4" w:space="0"/>
              <w:right w:val="single" w:color="auto" w:sz="4" w:space="0"/>
            </w:tcBorders>
            <w:vAlign w:val="center"/>
          </w:tcPr>
          <w:p w14:paraId="2E0FD75B">
            <w:pPr>
              <w:shd w:val="clear"/>
              <w:jc w:val="center"/>
              <w:rPr>
                <w:rFonts w:ascii="宋体" w:hAnsi="宋体"/>
                <w:color w:val="auto"/>
                <w:highlight w:val="none"/>
              </w:rPr>
            </w:pPr>
            <w:r>
              <w:rPr>
                <w:rFonts w:hint="eastAsia" w:ascii="宋体" w:hAnsi="宋体"/>
                <w:color w:val="auto"/>
                <w:highlight w:val="none"/>
              </w:rPr>
              <w:t>数量</w:t>
            </w:r>
          </w:p>
        </w:tc>
        <w:tc>
          <w:tcPr>
            <w:tcW w:w="1954" w:type="dxa"/>
            <w:tcBorders>
              <w:top w:val="single" w:color="auto" w:sz="4" w:space="0"/>
              <w:left w:val="single" w:color="auto" w:sz="4" w:space="0"/>
              <w:bottom w:val="single" w:color="auto" w:sz="4" w:space="0"/>
              <w:right w:val="single" w:color="auto" w:sz="4" w:space="0"/>
            </w:tcBorders>
            <w:vAlign w:val="center"/>
          </w:tcPr>
          <w:p w14:paraId="3F86DF89">
            <w:pPr>
              <w:shd w:val="clear"/>
              <w:jc w:val="center"/>
              <w:rPr>
                <w:rFonts w:ascii="宋体" w:hAnsi="宋体"/>
                <w:color w:val="auto"/>
                <w:highlight w:val="none"/>
              </w:rPr>
            </w:pPr>
            <w:r>
              <w:rPr>
                <w:rFonts w:hint="eastAsia" w:ascii="宋体" w:hAnsi="宋体"/>
                <w:color w:val="auto"/>
                <w:highlight w:val="none"/>
              </w:rPr>
              <w:t>单价</w:t>
            </w:r>
          </w:p>
        </w:tc>
        <w:tc>
          <w:tcPr>
            <w:tcW w:w="2410" w:type="dxa"/>
            <w:tcBorders>
              <w:top w:val="single" w:color="auto" w:sz="4" w:space="0"/>
              <w:left w:val="single" w:color="auto" w:sz="4" w:space="0"/>
              <w:bottom w:val="single" w:color="auto" w:sz="4" w:space="0"/>
              <w:right w:val="single" w:color="auto" w:sz="4" w:space="0"/>
            </w:tcBorders>
            <w:vAlign w:val="center"/>
          </w:tcPr>
          <w:p w14:paraId="1F8E8ACD">
            <w:pPr>
              <w:shd w:val="clear"/>
              <w:jc w:val="center"/>
              <w:rPr>
                <w:rFonts w:ascii="宋体" w:hAnsi="宋体"/>
                <w:color w:val="auto"/>
                <w:highlight w:val="none"/>
              </w:rPr>
            </w:pPr>
            <w:r>
              <w:rPr>
                <w:rFonts w:hint="eastAsia" w:ascii="宋体" w:hAnsi="宋体"/>
                <w:color w:val="auto"/>
                <w:highlight w:val="none"/>
              </w:rPr>
              <w:t>合计</w:t>
            </w:r>
          </w:p>
        </w:tc>
      </w:tr>
      <w:tr w14:paraId="67C546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14" w:type="dxa"/>
            <w:tcBorders>
              <w:top w:val="single" w:color="auto" w:sz="4" w:space="0"/>
              <w:left w:val="single" w:color="auto" w:sz="4" w:space="0"/>
              <w:bottom w:val="single" w:color="auto" w:sz="4" w:space="0"/>
              <w:right w:val="single" w:color="auto" w:sz="4" w:space="0"/>
            </w:tcBorders>
          </w:tcPr>
          <w:p w14:paraId="6CA0149A">
            <w:pPr>
              <w:shd w:val="clear"/>
              <w:jc w:val="center"/>
              <w:rPr>
                <w:rFonts w:ascii="宋体" w:hAnsi="宋体"/>
                <w:color w:val="auto"/>
                <w:highlight w:val="none"/>
              </w:rPr>
            </w:pPr>
            <w:r>
              <w:rPr>
                <w:rFonts w:hint="eastAsia" w:ascii="宋体" w:hAnsi="宋体"/>
                <w:color w:val="auto"/>
                <w:highlight w:val="none"/>
              </w:rPr>
              <w:t>1</w:t>
            </w:r>
          </w:p>
        </w:tc>
        <w:tc>
          <w:tcPr>
            <w:tcW w:w="2693" w:type="dxa"/>
            <w:tcBorders>
              <w:top w:val="single" w:color="auto" w:sz="4" w:space="0"/>
              <w:left w:val="single" w:color="auto" w:sz="4" w:space="0"/>
              <w:bottom w:val="single" w:color="auto" w:sz="4" w:space="0"/>
              <w:right w:val="single" w:color="auto" w:sz="4" w:space="0"/>
            </w:tcBorders>
            <w:vAlign w:val="center"/>
          </w:tcPr>
          <w:p w14:paraId="308BCE9B">
            <w:pPr>
              <w:shd w:val="clear"/>
              <w:jc w:val="center"/>
              <w:rPr>
                <w:rFonts w:ascii="宋体" w:hAnsi="宋体"/>
                <w:color w:val="auto"/>
                <w:szCs w:val="21"/>
                <w:highlight w:val="none"/>
              </w:rPr>
            </w:pPr>
          </w:p>
        </w:tc>
        <w:tc>
          <w:tcPr>
            <w:tcW w:w="1590" w:type="dxa"/>
            <w:tcBorders>
              <w:top w:val="single" w:color="auto" w:sz="4" w:space="0"/>
              <w:left w:val="single" w:color="auto" w:sz="4" w:space="0"/>
              <w:bottom w:val="single" w:color="auto" w:sz="4" w:space="0"/>
              <w:right w:val="single" w:color="auto" w:sz="4" w:space="0"/>
            </w:tcBorders>
          </w:tcPr>
          <w:p w14:paraId="590CC017">
            <w:pPr>
              <w:shd w:val="clear"/>
              <w:jc w:val="center"/>
              <w:rPr>
                <w:rFonts w:ascii="宋体" w:hAnsi="宋体"/>
                <w:color w:val="auto"/>
                <w:highlight w:val="none"/>
              </w:rPr>
            </w:pPr>
          </w:p>
        </w:tc>
        <w:tc>
          <w:tcPr>
            <w:tcW w:w="1954" w:type="dxa"/>
            <w:tcBorders>
              <w:top w:val="single" w:color="auto" w:sz="4" w:space="0"/>
              <w:left w:val="single" w:color="auto" w:sz="4" w:space="0"/>
              <w:bottom w:val="single" w:color="auto" w:sz="4" w:space="0"/>
              <w:right w:val="single" w:color="auto" w:sz="4" w:space="0"/>
            </w:tcBorders>
          </w:tcPr>
          <w:p w14:paraId="51A90046">
            <w:pPr>
              <w:shd w:val="clear"/>
              <w:jc w:val="center"/>
              <w:rPr>
                <w:rFonts w:ascii="宋体" w:hAnsi="宋体"/>
                <w:color w:val="auto"/>
                <w:highlight w:val="none"/>
              </w:rPr>
            </w:pPr>
          </w:p>
        </w:tc>
        <w:tc>
          <w:tcPr>
            <w:tcW w:w="2410" w:type="dxa"/>
            <w:tcBorders>
              <w:top w:val="single" w:color="auto" w:sz="4" w:space="0"/>
              <w:left w:val="single" w:color="auto" w:sz="4" w:space="0"/>
              <w:bottom w:val="single" w:color="auto" w:sz="4" w:space="0"/>
              <w:right w:val="single" w:color="auto" w:sz="4" w:space="0"/>
            </w:tcBorders>
          </w:tcPr>
          <w:p w14:paraId="3CD8A84B">
            <w:pPr>
              <w:shd w:val="clear"/>
              <w:jc w:val="center"/>
              <w:rPr>
                <w:rFonts w:ascii="宋体" w:hAnsi="宋体"/>
                <w:color w:val="auto"/>
                <w:highlight w:val="none"/>
              </w:rPr>
            </w:pPr>
          </w:p>
        </w:tc>
      </w:tr>
      <w:tr w14:paraId="03E320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14" w:type="dxa"/>
            <w:tcBorders>
              <w:top w:val="single" w:color="auto" w:sz="4" w:space="0"/>
              <w:left w:val="single" w:color="auto" w:sz="4" w:space="0"/>
              <w:bottom w:val="single" w:color="auto" w:sz="4" w:space="0"/>
              <w:right w:val="single" w:color="auto" w:sz="4" w:space="0"/>
            </w:tcBorders>
          </w:tcPr>
          <w:p w14:paraId="4C7DC1C5">
            <w:pPr>
              <w:shd w:val="clear"/>
              <w:jc w:val="center"/>
              <w:rPr>
                <w:rFonts w:ascii="宋体" w:hAnsi="宋体"/>
                <w:color w:val="auto"/>
                <w:highlight w:val="none"/>
              </w:rPr>
            </w:pPr>
            <w:r>
              <w:rPr>
                <w:rFonts w:hint="eastAsia" w:ascii="宋体" w:hAnsi="宋体"/>
                <w:color w:val="auto"/>
                <w:highlight w:val="none"/>
              </w:rPr>
              <w:t>2</w:t>
            </w:r>
          </w:p>
        </w:tc>
        <w:tc>
          <w:tcPr>
            <w:tcW w:w="2693" w:type="dxa"/>
            <w:tcBorders>
              <w:top w:val="single" w:color="auto" w:sz="4" w:space="0"/>
              <w:left w:val="single" w:color="auto" w:sz="4" w:space="0"/>
              <w:bottom w:val="single" w:color="auto" w:sz="4" w:space="0"/>
              <w:right w:val="single" w:color="auto" w:sz="4" w:space="0"/>
            </w:tcBorders>
            <w:vAlign w:val="center"/>
          </w:tcPr>
          <w:p w14:paraId="55D3DAAF">
            <w:pPr>
              <w:shd w:val="clear"/>
              <w:jc w:val="center"/>
              <w:rPr>
                <w:rFonts w:ascii="宋体" w:hAnsi="宋体"/>
                <w:color w:val="auto"/>
                <w:szCs w:val="21"/>
                <w:highlight w:val="none"/>
              </w:rPr>
            </w:pPr>
          </w:p>
        </w:tc>
        <w:tc>
          <w:tcPr>
            <w:tcW w:w="1590" w:type="dxa"/>
            <w:tcBorders>
              <w:top w:val="single" w:color="auto" w:sz="4" w:space="0"/>
              <w:left w:val="single" w:color="auto" w:sz="4" w:space="0"/>
              <w:bottom w:val="single" w:color="auto" w:sz="4" w:space="0"/>
              <w:right w:val="single" w:color="auto" w:sz="4" w:space="0"/>
            </w:tcBorders>
          </w:tcPr>
          <w:p w14:paraId="731EF37E">
            <w:pPr>
              <w:shd w:val="clear"/>
              <w:jc w:val="center"/>
              <w:rPr>
                <w:rFonts w:ascii="宋体" w:hAnsi="宋体"/>
                <w:color w:val="auto"/>
                <w:highlight w:val="none"/>
              </w:rPr>
            </w:pPr>
          </w:p>
        </w:tc>
        <w:tc>
          <w:tcPr>
            <w:tcW w:w="1954" w:type="dxa"/>
            <w:tcBorders>
              <w:top w:val="single" w:color="auto" w:sz="4" w:space="0"/>
              <w:left w:val="single" w:color="auto" w:sz="4" w:space="0"/>
              <w:bottom w:val="single" w:color="auto" w:sz="4" w:space="0"/>
              <w:right w:val="single" w:color="auto" w:sz="4" w:space="0"/>
            </w:tcBorders>
          </w:tcPr>
          <w:p w14:paraId="1C29FD0D">
            <w:pPr>
              <w:shd w:val="clear"/>
              <w:jc w:val="center"/>
              <w:rPr>
                <w:rFonts w:ascii="宋体" w:hAnsi="宋体"/>
                <w:color w:val="auto"/>
                <w:highlight w:val="none"/>
              </w:rPr>
            </w:pPr>
          </w:p>
        </w:tc>
        <w:tc>
          <w:tcPr>
            <w:tcW w:w="2410" w:type="dxa"/>
            <w:tcBorders>
              <w:top w:val="single" w:color="auto" w:sz="4" w:space="0"/>
              <w:left w:val="single" w:color="auto" w:sz="4" w:space="0"/>
              <w:bottom w:val="single" w:color="auto" w:sz="4" w:space="0"/>
              <w:right w:val="single" w:color="auto" w:sz="4" w:space="0"/>
            </w:tcBorders>
          </w:tcPr>
          <w:p w14:paraId="1C2DDCA9">
            <w:pPr>
              <w:shd w:val="clear"/>
              <w:jc w:val="center"/>
              <w:rPr>
                <w:rFonts w:ascii="宋体" w:hAnsi="宋体"/>
                <w:color w:val="auto"/>
                <w:highlight w:val="none"/>
              </w:rPr>
            </w:pPr>
          </w:p>
        </w:tc>
      </w:tr>
      <w:tr w14:paraId="1C7657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14" w:type="dxa"/>
            <w:tcBorders>
              <w:top w:val="single" w:color="auto" w:sz="4" w:space="0"/>
              <w:left w:val="single" w:color="auto" w:sz="4" w:space="0"/>
              <w:bottom w:val="single" w:color="auto" w:sz="4" w:space="0"/>
              <w:right w:val="single" w:color="auto" w:sz="4" w:space="0"/>
            </w:tcBorders>
          </w:tcPr>
          <w:p w14:paraId="1E65B463">
            <w:pPr>
              <w:shd w:val="clear"/>
              <w:jc w:val="center"/>
              <w:rPr>
                <w:rFonts w:ascii="宋体" w:hAnsi="宋体"/>
                <w:color w:val="auto"/>
                <w:highlight w:val="none"/>
              </w:rPr>
            </w:pPr>
            <w:r>
              <w:rPr>
                <w:rFonts w:hint="eastAsia" w:ascii="宋体" w:hAnsi="宋体"/>
                <w:color w:val="auto"/>
                <w:highlight w:val="none"/>
              </w:rPr>
              <w:t>3</w:t>
            </w:r>
          </w:p>
        </w:tc>
        <w:tc>
          <w:tcPr>
            <w:tcW w:w="2693" w:type="dxa"/>
            <w:tcBorders>
              <w:top w:val="single" w:color="auto" w:sz="4" w:space="0"/>
              <w:left w:val="single" w:color="auto" w:sz="4" w:space="0"/>
              <w:bottom w:val="single" w:color="auto" w:sz="4" w:space="0"/>
              <w:right w:val="single" w:color="auto" w:sz="4" w:space="0"/>
            </w:tcBorders>
            <w:vAlign w:val="center"/>
          </w:tcPr>
          <w:p w14:paraId="2F7A119E">
            <w:pPr>
              <w:shd w:val="clear"/>
              <w:jc w:val="center"/>
              <w:rPr>
                <w:rFonts w:ascii="宋体" w:hAnsi="宋体"/>
                <w:color w:val="auto"/>
                <w:szCs w:val="21"/>
                <w:highlight w:val="none"/>
              </w:rPr>
            </w:pPr>
          </w:p>
        </w:tc>
        <w:tc>
          <w:tcPr>
            <w:tcW w:w="1590" w:type="dxa"/>
            <w:tcBorders>
              <w:top w:val="single" w:color="auto" w:sz="4" w:space="0"/>
              <w:left w:val="single" w:color="auto" w:sz="4" w:space="0"/>
              <w:bottom w:val="single" w:color="auto" w:sz="4" w:space="0"/>
              <w:right w:val="single" w:color="auto" w:sz="4" w:space="0"/>
            </w:tcBorders>
          </w:tcPr>
          <w:p w14:paraId="1621FB18">
            <w:pPr>
              <w:shd w:val="clear"/>
              <w:jc w:val="center"/>
              <w:rPr>
                <w:rFonts w:ascii="宋体" w:hAnsi="宋体"/>
                <w:color w:val="auto"/>
                <w:highlight w:val="none"/>
              </w:rPr>
            </w:pPr>
          </w:p>
        </w:tc>
        <w:tc>
          <w:tcPr>
            <w:tcW w:w="1954" w:type="dxa"/>
            <w:tcBorders>
              <w:top w:val="single" w:color="auto" w:sz="4" w:space="0"/>
              <w:left w:val="single" w:color="auto" w:sz="4" w:space="0"/>
              <w:bottom w:val="single" w:color="auto" w:sz="4" w:space="0"/>
              <w:right w:val="single" w:color="auto" w:sz="4" w:space="0"/>
            </w:tcBorders>
          </w:tcPr>
          <w:p w14:paraId="5B8A8DC3">
            <w:pPr>
              <w:shd w:val="clear"/>
              <w:jc w:val="center"/>
              <w:rPr>
                <w:rFonts w:ascii="宋体" w:hAnsi="宋体"/>
                <w:color w:val="auto"/>
                <w:highlight w:val="none"/>
              </w:rPr>
            </w:pPr>
          </w:p>
        </w:tc>
        <w:tc>
          <w:tcPr>
            <w:tcW w:w="2410" w:type="dxa"/>
            <w:tcBorders>
              <w:top w:val="single" w:color="auto" w:sz="4" w:space="0"/>
              <w:left w:val="single" w:color="auto" w:sz="4" w:space="0"/>
              <w:bottom w:val="single" w:color="auto" w:sz="4" w:space="0"/>
              <w:right w:val="single" w:color="auto" w:sz="4" w:space="0"/>
            </w:tcBorders>
          </w:tcPr>
          <w:p w14:paraId="47436613">
            <w:pPr>
              <w:shd w:val="clear"/>
              <w:jc w:val="center"/>
              <w:rPr>
                <w:rFonts w:ascii="宋体" w:hAnsi="宋体"/>
                <w:color w:val="auto"/>
                <w:highlight w:val="none"/>
              </w:rPr>
            </w:pPr>
          </w:p>
        </w:tc>
      </w:tr>
      <w:tr w14:paraId="3E8D67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14" w:type="dxa"/>
            <w:tcBorders>
              <w:top w:val="single" w:color="auto" w:sz="4" w:space="0"/>
              <w:left w:val="single" w:color="auto" w:sz="4" w:space="0"/>
              <w:bottom w:val="single" w:color="auto" w:sz="4" w:space="0"/>
              <w:right w:val="single" w:color="auto" w:sz="4" w:space="0"/>
            </w:tcBorders>
          </w:tcPr>
          <w:p w14:paraId="72B4C6E4">
            <w:pPr>
              <w:shd w:val="clear"/>
              <w:jc w:val="center"/>
              <w:rPr>
                <w:rFonts w:ascii="宋体" w:hAnsi="宋体"/>
                <w:color w:val="auto"/>
                <w:highlight w:val="none"/>
              </w:rPr>
            </w:pPr>
            <w:r>
              <w:rPr>
                <w:rFonts w:hint="eastAsia" w:ascii="宋体" w:hAnsi="宋体"/>
                <w:color w:val="auto"/>
                <w:highlight w:val="none"/>
              </w:rPr>
              <w:t>4</w:t>
            </w:r>
          </w:p>
        </w:tc>
        <w:tc>
          <w:tcPr>
            <w:tcW w:w="2693" w:type="dxa"/>
            <w:tcBorders>
              <w:top w:val="single" w:color="auto" w:sz="4" w:space="0"/>
              <w:left w:val="single" w:color="auto" w:sz="4" w:space="0"/>
              <w:bottom w:val="single" w:color="auto" w:sz="4" w:space="0"/>
              <w:right w:val="single" w:color="auto" w:sz="4" w:space="0"/>
            </w:tcBorders>
            <w:vAlign w:val="center"/>
          </w:tcPr>
          <w:p w14:paraId="46E90FF1">
            <w:pPr>
              <w:shd w:val="clear"/>
              <w:jc w:val="center"/>
              <w:rPr>
                <w:rFonts w:ascii="宋体" w:hAnsi="宋体"/>
                <w:color w:val="auto"/>
                <w:szCs w:val="21"/>
                <w:highlight w:val="none"/>
              </w:rPr>
            </w:pPr>
          </w:p>
        </w:tc>
        <w:tc>
          <w:tcPr>
            <w:tcW w:w="1590" w:type="dxa"/>
            <w:tcBorders>
              <w:top w:val="single" w:color="auto" w:sz="4" w:space="0"/>
              <w:left w:val="single" w:color="auto" w:sz="4" w:space="0"/>
              <w:bottom w:val="single" w:color="auto" w:sz="4" w:space="0"/>
              <w:right w:val="single" w:color="auto" w:sz="4" w:space="0"/>
            </w:tcBorders>
          </w:tcPr>
          <w:p w14:paraId="4FD70470">
            <w:pPr>
              <w:shd w:val="clear"/>
              <w:jc w:val="center"/>
              <w:rPr>
                <w:rFonts w:ascii="宋体" w:hAnsi="宋体"/>
                <w:color w:val="auto"/>
                <w:highlight w:val="none"/>
              </w:rPr>
            </w:pPr>
          </w:p>
        </w:tc>
        <w:tc>
          <w:tcPr>
            <w:tcW w:w="1954" w:type="dxa"/>
            <w:tcBorders>
              <w:top w:val="single" w:color="auto" w:sz="4" w:space="0"/>
              <w:left w:val="single" w:color="auto" w:sz="4" w:space="0"/>
              <w:bottom w:val="single" w:color="auto" w:sz="4" w:space="0"/>
              <w:right w:val="single" w:color="auto" w:sz="4" w:space="0"/>
            </w:tcBorders>
          </w:tcPr>
          <w:p w14:paraId="5FF10F59">
            <w:pPr>
              <w:shd w:val="clear"/>
              <w:jc w:val="center"/>
              <w:rPr>
                <w:rFonts w:ascii="宋体" w:hAnsi="宋体"/>
                <w:color w:val="auto"/>
                <w:highlight w:val="none"/>
              </w:rPr>
            </w:pPr>
          </w:p>
        </w:tc>
        <w:tc>
          <w:tcPr>
            <w:tcW w:w="2410" w:type="dxa"/>
            <w:tcBorders>
              <w:top w:val="single" w:color="auto" w:sz="4" w:space="0"/>
              <w:left w:val="single" w:color="auto" w:sz="4" w:space="0"/>
              <w:bottom w:val="single" w:color="auto" w:sz="4" w:space="0"/>
              <w:right w:val="single" w:color="auto" w:sz="4" w:space="0"/>
            </w:tcBorders>
          </w:tcPr>
          <w:p w14:paraId="3A454CF4">
            <w:pPr>
              <w:shd w:val="clear"/>
              <w:jc w:val="center"/>
              <w:rPr>
                <w:rFonts w:ascii="宋体" w:hAnsi="宋体"/>
                <w:color w:val="auto"/>
                <w:highlight w:val="none"/>
              </w:rPr>
            </w:pPr>
          </w:p>
        </w:tc>
      </w:tr>
      <w:tr w14:paraId="18D448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14" w:type="dxa"/>
            <w:tcBorders>
              <w:top w:val="single" w:color="auto" w:sz="4" w:space="0"/>
              <w:left w:val="single" w:color="auto" w:sz="4" w:space="0"/>
              <w:bottom w:val="single" w:color="auto" w:sz="4" w:space="0"/>
              <w:right w:val="single" w:color="auto" w:sz="4" w:space="0"/>
            </w:tcBorders>
          </w:tcPr>
          <w:p w14:paraId="522DDE01">
            <w:pPr>
              <w:shd w:val="clear"/>
              <w:jc w:val="center"/>
              <w:rPr>
                <w:rFonts w:ascii="宋体" w:hAnsi="宋体"/>
                <w:color w:val="auto"/>
                <w:highlight w:val="none"/>
              </w:rPr>
            </w:pPr>
            <w:r>
              <w:rPr>
                <w:rFonts w:hint="eastAsia" w:ascii="宋体" w:hAnsi="宋体"/>
                <w:color w:val="auto"/>
                <w:highlight w:val="none"/>
              </w:rPr>
              <w:t>5</w:t>
            </w:r>
          </w:p>
        </w:tc>
        <w:tc>
          <w:tcPr>
            <w:tcW w:w="2693" w:type="dxa"/>
            <w:tcBorders>
              <w:top w:val="single" w:color="auto" w:sz="4" w:space="0"/>
              <w:left w:val="single" w:color="auto" w:sz="4" w:space="0"/>
              <w:bottom w:val="single" w:color="auto" w:sz="4" w:space="0"/>
              <w:right w:val="single" w:color="auto" w:sz="4" w:space="0"/>
            </w:tcBorders>
            <w:vAlign w:val="center"/>
          </w:tcPr>
          <w:p w14:paraId="7E5DE5A3">
            <w:pPr>
              <w:shd w:val="clear"/>
              <w:jc w:val="center"/>
              <w:rPr>
                <w:rFonts w:ascii="宋体" w:hAnsi="宋体"/>
                <w:color w:val="auto"/>
                <w:szCs w:val="21"/>
                <w:highlight w:val="none"/>
              </w:rPr>
            </w:pPr>
          </w:p>
        </w:tc>
        <w:tc>
          <w:tcPr>
            <w:tcW w:w="1590" w:type="dxa"/>
            <w:tcBorders>
              <w:top w:val="single" w:color="auto" w:sz="4" w:space="0"/>
              <w:left w:val="single" w:color="auto" w:sz="4" w:space="0"/>
              <w:bottom w:val="single" w:color="auto" w:sz="4" w:space="0"/>
              <w:right w:val="single" w:color="auto" w:sz="4" w:space="0"/>
            </w:tcBorders>
          </w:tcPr>
          <w:p w14:paraId="69226575">
            <w:pPr>
              <w:shd w:val="clear"/>
              <w:jc w:val="center"/>
              <w:rPr>
                <w:rFonts w:ascii="宋体" w:hAnsi="宋体"/>
                <w:color w:val="auto"/>
                <w:highlight w:val="none"/>
              </w:rPr>
            </w:pPr>
          </w:p>
        </w:tc>
        <w:tc>
          <w:tcPr>
            <w:tcW w:w="1954" w:type="dxa"/>
            <w:tcBorders>
              <w:top w:val="single" w:color="auto" w:sz="4" w:space="0"/>
              <w:left w:val="single" w:color="auto" w:sz="4" w:space="0"/>
              <w:bottom w:val="single" w:color="auto" w:sz="4" w:space="0"/>
              <w:right w:val="single" w:color="auto" w:sz="4" w:space="0"/>
            </w:tcBorders>
          </w:tcPr>
          <w:p w14:paraId="303ED73C">
            <w:pPr>
              <w:shd w:val="clear"/>
              <w:jc w:val="center"/>
              <w:rPr>
                <w:rFonts w:ascii="宋体" w:hAnsi="宋体"/>
                <w:color w:val="auto"/>
                <w:highlight w:val="none"/>
              </w:rPr>
            </w:pPr>
          </w:p>
        </w:tc>
        <w:tc>
          <w:tcPr>
            <w:tcW w:w="2410" w:type="dxa"/>
            <w:tcBorders>
              <w:top w:val="single" w:color="auto" w:sz="4" w:space="0"/>
              <w:left w:val="single" w:color="auto" w:sz="4" w:space="0"/>
              <w:bottom w:val="single" w:color="auto" w:sz="4" w:space="0"/>
              <w:right w:val="single" w:color="auto" w:sz="4" w:space="0"/>
            </w:tcBorders>
          </w:tcPr>
          <w:p w14:paraId="64133543">
            <w:pPr>
              <w:shd w:val="clear"/>
              <w:jc w:val="center"/>
              <w:rPr>
                <w:rFonts w:ascii="宋体" w:hAnsi="宋体"/>
                <w:color w:val="auto"/>
                <w:highlight w:val="none"/>
              </w:rPr>
            </w:pPr>
          </w:p>
        </w:tc>
      </w:tr>
      <w:tr w14:paraId="157F43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14" w:type="dxa"/>
            <w:tcBorders>
              <w:top w:val="single" w:color="auto" w:sz="4" w:space="0"/>
              <w:left w:val="single" w:color="auto" w:sz="4" w:space="0"/>
              <w:bottom w:val="single" w:color="auto" w:sz="4" w:space="0"/>
              <w:right w:val="single" w:color="auto" w:sz="4" w:space="0"/>
            </w:tcBorders>
          </w:tcPr>
          <w:p w14:paraId="3C5DC963">
            <w:pPr>
              <w:shd w:val="clear"/>
              <w:jc w:val="center"/>
              <w:rPr>
                <w:rFonts w:ascii="宋体" w:hAnsi="宋体"/>
                <w:color w:val="auto"/>
                <w:highlight w:val="none"/>
              </w:rPr>
            </w:pPr>
            <w:r>
              <w:rPr>
                <w:rFonts w:ascii="宋体" w:hAnsi="宋体"/>
                <w:color w:val="auto"/>
                <w:highlight w:val="none"/>
              </w:rPr>
              <w:t>……</w:t>
            </w:r>
          </w:p>
        </w:tc>
        <w:tc>
          <w:tcPr>
            <w:tcW w:w="2693" w:type="dxa"/>
            <w:tcBorders>
              <w:top w:val="single" w:color="auto" w:sz="4" w:space="0"/>
              <w:left w:val="single" w:color="auto" w:sz="4" w:space="0"/>
              <w:bottom w:val="single" w:color="auto" w:sz="4" w:space="0"/>
              <w:right w:val="single" w:color="auto" w:sz="4" w:space="0"/>
            </w:tcBorders>
            <w:vAlign w:val="center"/>
          </w:tcPr>
          <w:p w14:paraId="638E9867">
            <w:pPr>
              <w:shd w:val="clear"/>
              <w:jc w:val="center"/>
              <w:rPr>
                <w:rFonts w:ascii="宋体" w:hAnsi="宋体"/>
                <w:color w:val="auto"/>
                <w:szCs w:val="21"/>
                <w:highlight w:val="none"/>
              </w:rPr>
            </w:pPr>
          </w:p>
        </w:tc>
        <w:tc>
          <w:tcPr>
            <w:tcW w:w="1590" w:type="dxa"/>
            <w:tcBorders>
              <w:top w:val="single" w:color="auto" w:sz="4" w:space="0"/>
              <w:left w:val="single" w:color="auto" w:sz="4" w:space="0"/>
              <w:bottom w:val="single" w:color="auto" w:sz="4" w:space="0"/>
              <w:right w:val="single" w:color="auto" w:sz="4" w:space="0"/>
            </w:tcBorders>
          </w:tcPr>
          <w:p w14:paraId="70917496">
            <w:pPr>
              <w:shd w:val="clear"/>
              <w:jc w:val="center"/>
              <w:rPr>
                <w:rFonts w:ascii="宋体" w:hAnsi="宋体"/>
                <w:color w:val="auto"/>
                <w:highlight w:val="none"/>
              </w:rPr>
            </w:pPr>
          </w:p>
        </w:tc>
        <w:tc>
          <w:tcPr>
            <w:tcW w:w="1954" w:type="dxa"/>
            <w:tcBorders>
              <w:top w:val="single" w:color="auto" w:sz="4" w:space="0"/>
              <w:left w:val="single" w:color="auto" w:sz="4" w:space="0"/>
              <w:bottom w:val="single" w:color="auto" w:sz="4" w:space="0"/>
              <w:right w:val="single" w:color="auto" w:sz="4" w:space="0"/>
            </w:tcBorders>
          </w:tcPr>
          <w:p w14:paraId="35BD6037">
            <w:pPr>
              <w:shd w:val="clear"/>
              <w:jc w:val="center"/>
              <w:rPr>
                <w:rFonts w:ascii="宋体" w:hAnsi="宋体"/>
                <w:color w:val="auto"/>
                <w:highlight w:val="none"/>
              </w:rPr>
            </w:pPr>
          </w:p>
        </w:tc>
        <w:tc>
          <w:tcPr>
            <w:tcW w:w="2410" w:type="dxa"/>
            <w:tcBorders>
              <w:top w:val="single" w:color="auto" w:sz="4" w:space="0"/>
              <w:left w:val="single" w:color="auto" w:sz="4" w:space="0"/>
              <w:bottom w:val="single" w:color="auto" w:sz="4" w:space="0"/>
              <w:right w:val="single" w:color="auto" w:sz="4" w:space="0"/>
            </w:tcBorders>
          </w:tcPr>
          <w:p w14:paraId="5DC61EB0">
            <w:pPr>
              <w:shd w:val="clear"/>
              <w:jc w:val="center"/>
              <w:rPr>
                <w:rFonts w:ascii="宋体" w:hAnsi="宋体"/>
                <w:color w:val="auto"/>
                <w:highlight w:val="none"/>
              </w:rPr>
            </w:pPr>
          </w:p>
        </w:tc>
      </w:tr>
      <w:tr w14:paraId="2DE066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151" w:type="dxa"/>
            <w:gridSpan w:val="4"/>
            <w:tcBorders>
              <w:top w:val="single" w:color="auto" w:sz="4" w:space="0"/>
              <w:left w:val="single" w:color="auto" w:sz="4" w:space="0"/>
              <w:bottom w:val="single" w:color="auto" w:sz="4" w:space="0"/>
              <w:right w:val="single" w:color="auto" w:sz="4" w:space="0"/>
            </w:tcBorders>
          </w:tcPr>
          <w:p w14:paraId="7BEC8F3B">
            <w:pPr>
              <w:shd w:val="clear"/>
              <w:jc w:val="center"/>
              <w:rPr>
                <w:rFonts w:ascii="宋体" w:hAnsi="宋体"/>
                <w:color w:val="auto"/>
                <w:highlight w:val="none"/>
              </w:rPr>
            </w:pPr>
            <w:bookmarkStart w:id="537" w:name="OLE_LINK92"/>
            <w:bookmarkStart w:id="538" w:name="OLE_LINK93"/>
            <w:r>
              <w:rPr>
                <w:rFonts w:hint="eastAsia" w:cs="仿宋" w:asciiTheme="minorEastAsia" w:hAnsiTheme="minorEastAsia" w:eastAsiaTheme="minorEastAsia"/>
                <w:b/>
                <w:color w:val="auto"/>
                <w:sz w:val="24"/>
                <w:highlight w:val="none"/>
              </w:rPr>
              <w:t>运营管理服务费</w:t>
            </w:r>
            <w:bookmarkEnd w:id="537"/>
            <w:bookmarkEnd w:id="538"/>
          </w:p>
        </w:tc>
        <w:tc>
          <w:tcPr>
            <w:tcW w:w="2410" w:type="dxa"/>
            <w:tcBorders>
              <w:top w:val="single" w:color="auto" w:sz="4" w:space="0"/>
              <w:left w:val="single" w:color="auto" w:sz="4" w:space="0"/>
              <w:bottom w:val="single" w:color="auto" w:sz="4" w:space="0"/>
              <w:right w:val="single" w:color="auto" w:sz="4" w:space="0"/>
            </w:tcBorders>
          </w:tcPr>
          <w:p w14:paraId="0C811A2C">
            <w:pPr>
              <w:shd w:val="clear"/>
              <w:jc w:val="center"/>
              <w:rPr>
                <w:rFonts w:ascii="宋体" w:hAnsi="宋体"/>
                <w:color w:val="auto"/>
                <w:highlight w:val="none"/>
              </w:rPr>
            </w:pPr>
            <w:r>
              <w:rPr>
                <w:rFonts w:hint="eastAsia" w:asciiTheme="minorEastAsia" w:hAnsiTheme="minorEastAsia" w:eastAsiaTheme="minorEastAsia" w:cstheme="minorEastAsia"/>
                <w:b/>
                <w:color w:val="auto"/>
                <w:sz w:val="24"/>
                <w:highlight w:val="none"/>
              </w:rPr>
              <w:t xml:space="preserve">        元/年</w:t>
            </w:r>
          </w:p>
        </w:tc>
      </w:tr>
      <w:tr w14:paraId="6D4468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14" w:type="dxa"/>
            <w:tcBorders>
              <w:top w:val="single" w:color="auto" w:sz="4" w:space="0"/>
              <w:left w:val="single" w:color="auto" w:sz="4" w:space="0"/>
              <w:bottom w:val="single" w:color="auto" w:sz="4" w:space="0"/>
              <w:right w:val="single" w:color="auto" w:sz="4" w:space="0"/>
            </w:tcBorders>
          </w:tcPr>
          <w:p w14:paraId="749869D5">
            <w:pPr>
              <w:shd w:val="clear"/>
              <w:jc w:val="center"/>
              <w:rPr>
                <w:rFonts w:ascii="宋体" w:hAnsi="宋体"/>
                <w:color w:val="auto"/>
                <w:highlight w:val="none"/>
              </w:rPr>
            </w:pPr>
            <w:r>
              <w:rPr>
                <w:rFonts w:hint="eastAsia" w:ascii="宋体" w:hAnsi="宋体"/>
                <w:color w:val="auto"/>
                <w:highlight w:val="none"/>
              </w:rPr>
              <w:t>1</w:t>
            </w:r>
          </w:p>
        </w:tc>
        <w:tc>
          <w:tcPr>
            <w:tcW w:w="2693" w:type="dxa"/>
            <w:tcBorders>
              <w:top w:val="single" w:color="auto" w:sz="4" w:space="0"/>
              <w:left w:val="single" w:color="auto" w:sz="4" w:space="0"/>
              <w:bottom w:val="single" w:color="auto" w:sz="4" w:space="0"/>
              <w:right w:val="single" w:color="auto" w:sz="4" w:space="0"/>
            </w:tcBorders>
            <w:vAlign w:val="center"/>
          </w:tcPr>
          <w:p w14:paraId="62501238">
            <w:pPr>
              <w:shd w:val="clear"/>
              <w:jc w:val="center"/>
              <w:rPr>
                <w:rFonts w:ascii="宋体" w:hAnsi="宋体"/>
                <w:color w:val="auto"/>
                <w:szCs w:val="21"/>
                <w:highlight w:val="none"/>
              </w:rPr>
            </w:pPr>
          </w:p>
        </w:tc>
        <w:tc>
          <w:tcPr>
            <w:tcW w:w="1590" w:type="dxa"/>
            <w:tcBorders>
              <w:top w:val="single" w:color="auto" w:sz="4" w:space="0"/>
              <w:left w:val="single" w:color="auto" w:sz="4" w:space="0"/>
              <w:bottom w:val="single" w:color="auto" w:sz="4" w:space="0"/>
              <w:right w:val="single" w:color="auto" w:sz="4" w:space="0"/>
            </w:tcBorders>
          </w:tcPr>
          <w:p w14:paraId="5E2F4AC0">
            <w:pPr>
              <w:shd w:val="clear"/>
              <w:jc w:val="center"/>
              <w:rPr>
                <w:rFonts w:ascii="宋体" w:hAnsi="宋体"/>
                <w:color w:val="auto"/>
                <w:highlight w:val="none"/>
              </w:rPr>
            </w:pPr>
          </w:p>
        </w:tc>
        <w:tc>
          <w:tcPr>
            <w:tcW w:w="1954" w:type="dxa"/>
            <w:tcBorders>
              <w:top w:val="single" w:color="auto" w:sz="4" w:space="0"/>
              <w:left w:val="single" w:color="auto" w:sz="4" w:space="0"/>
              <w:bottom w:val="single" w:color="auto" w:sz="4" w:space="0"/>
              <w:right w:val="single" w:color="auto" w:sz="4" w:space="0"/>
            </w:tcBorders>
          </w:tcPr>
          <w:p w14:paraId="08CBC20B">
            <w:pPr>
              <w:shd w:val="clear"/>
              <w:jc w:val="center"/>
              <w:rPr>
                <w:rFonts w:ascii="宋体" w:hAnsi="宋体"/>
                <w:color w:val="auto"/>
                <w:highlight w:val="none"/>
              </w:rPr>
            </w:pPr>
          </w:p>
        </w:tc>
        <w:tc>
          <w:tcPr>
            <w:tcW w:w="2410" w:type="dxa"/>
            <w:tcBorders>
              <w:top w:val="single" w:color="auto" w:sz="4" w:space="0"/>
              <w:left w:val="single" w:color="auto" w:sz="4" w:space="0"/>
              <w:bottom w:val="single" w:color="auto" w:sz="4" w:space="0"/>
              <w:right w:val="single" w:color="auto" w:sz="4" w:space="0"/>
            </w:tcBorders>
          </w:tcPr>
          <w:p w14:paraId="5126EE76">
            <w:pPr>
              <w:shd w:val="clear"/>
              <w:jc w:val="center"/>
              <w:rPr>
                <w:rFonts w:ascii="宋体" w:hAnsi="宋体"/>
                <w:color w:val="auto"/>
                <w:highlight w:val="none"/>
              </w:rPr>
            </w:pPr>
          </w:p>
        </w:tc>
      </w:tr>
      <w:tr w14:paraId="6900B5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914" w:type="dxa"/>
            <w:tcBorders>
              <w:top w:val="single" w:color="auto" w:sz="4" w:space="0"/>
              <w:left w:val="single" w:color="auto" w:sz="4" w:space="0"/>
              <w:bottom w:val="single" w:color="auto" w:sz="4" w:space="0"/>
              <w:right w:val="single" w:color="auto" w:sz="4" w:space="0"/>
            </w:tcBorders>
          </w:tcPr>
          <w:p w14:paraId="0BF94ADB">
            <w:pPr>
              <w:shd w:val="clear"/>
              <w:jc w:val="center"/>
              <w:rPr>
                <w:rFonts w:ascii="宋体" w:hAnsi="宋体"/>
                <w:color w:val="auto"/>
                <w:highlight w:val="none"/>
              </w:rPr>
            </w:pPr>
            <w:r>
              <w:rPr>
                <w:rFonts w:hint="eastAsia" w:ascii="宋体" w:hAnsi="宋体"/>
                <w:color w:val="auto"/>
                <w:highlight w:val="none"/>
              </w:rPr>
              <w:t>2</w:t>
            </w:r>
          </w:p>
        </w:tc>
        <w:tc>
          <w:tcPr>
            <w:tcW w:w="2693" w:type="dxa"/>
            <w:tcBorders>
              <w:top w:val="single" w:color="auto" w:sz="4" w:space="0"/>
              <w:left w:val="single" w:color="auto" w:sz="4" w:space="0"/>
              <w:bottom w:val="single" w:color="auto" w:sz="4" w:space="0"/>
              <w:right w:val="single" w:color="auto" w:sz="4" w:space="0"/>
            </w:tcBorders>
            <w:vAlign w:val="center"/>
          </w:tcPr>
          <w:p w14:paraId="35B1A027">
            <w:pPr>
              <w:shd w:val="clear"/>
              <w:jc w:val="center"/>
              <w:rPr>
                <w:rFonts w:ascii="宋体" w:hAnsi="宋体"/>
                <w:color w:val="auto"/>
                <w:szCs w:val="21"/>
                <w:highlight w:val="none"/>
              </w:rPr>
            </w:pPr>
          </w:p>
        </w:tc>
        <w:tc>
          <w:tcPr>
            <w:tcW w:w="1590" w:type="dxa"/>
            <w:tcBorders>
              <w:top w:val="single" w:color="auto" w:sz="4" w:space="0"/>
              <w:left w:val="single" w:color="auto" w:sz="4" w:space="0"/>
              <w:bottom w:val="single" w:color="auto" w:sz="4" w:space="0"/>
              <w:right w:val="single" w:color="auto" w:sz="4" w:space="0"/>
            </w:tcBorders>
          </w:tcPr>
          <w:p w14:paraId="76E7A48F">
            <w:pPr>
              <w:shd w:val="clear"/>
              <w:rPr>
                <w:rFonts w:ascii="宋体" w:hAnsi="宋体"/>
                <w:color w:val="auto"/>
                <w:highlight w:val="none"/>
              </w:rPr>
            </w:pPr>
          </w:p>
        </w:tc>
        <w:tc>
          <w:tcPr>
            <w:tcW w:w="1954" w:type="dxa"/>
            <w:tcBorders>
              <w:top w:val="single" w:color="auto" w:sz="4" w:space="0"/>
              <w:left w:val="single" w:color="auto" w:sz="4" w:space="0"/>
              <w:bottom w:val="single" w:color="auto" w:sz="4" w:space="0"/>
              <w:right w:val="single" w:color="auto" w:sz="4" w:space="0"/>
            </w:tcBorders>
          </w:tcPr>
          <w:p w14:paraId="2286C39B">
            <w:pPr>
              <w:shd w:val="clear"/>
              <w:rPr>
                <w:rFonts w:ascii="宋体" w:hAnsi="宋体"/>
                <w:color w:val="auto"/>
                <w:highlight w:val="none"/>
              </w:rPr>
            </w:pPr>
          </w:p>
        </w:tc>
        <w:tc>
          <w:tcPr>
            <w:tcW w:w="2410" w:type="dxa"/>
            <w:tcBorders>
              <w:top w:val="single" w:color="auto" w:sz="4" w:space="0"/>
              <w:left w:val="single" w:color="auto" w:sz="4" w:space="0"/>
              <w:bottom w:val="single" w:color="auto" w:sz="4" w:space="0"/>
              <w:right w:val="single" w:color="auto" w:sz="4" w:space="0"/>
            </w:tcBorders>
          </w:tcPr>
          <w:p w14:paraId="5DF24784">
            <w:pPr>
              <w:shd w:val="clear"/>
              <w:rPr>
                <w:rFonts w:ascii="宋体" w:hAnsi="宋体"/>
                <w:color w:val="auto"/>
                <w:highlight w:val="none"/>
              </w:rPr>
            </w:pPr>
          </w:p>
        </w:tc>
      </w:tr>
      <w:tr w14:paraId="464A0E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914" w:type="dxa"/>
            <w:tcBorders>
              <w:top w:val="single" w:color="auto" w:sz="4" w:space="0"/>
              <w:left w:val="single" w:color="auto" w:sz="4" w:space="0"/>
              <w:bottom w:val="single" w:color="auto" w:sz="4" w:space="0"/>
              <w:right w:val="single" w:color="auto" w:sz="4" w:space="0"/>
            </w:tcBorders>
          </w:tcPr>
          <w:p w14:paraId="51B2AD74">
            <w:pPr>
              <w:shd w:val="clear"/>
              <w:jc w:val="center"/>
              <w:rPr>
                <w:rFonts w:ascii="宋体" w:hAnsi="宋体"/>
                <w:color w:val="auto"/>
                <w:highlight w:val="none"/>
              </w:rPr>
            </w:pPr>
            <w:r>
              <w:rPr>
                <w:rFonts w:hint="eastAsia" w:ascii="宋体" w:hAnsi="宋体"/>
                <w:color w:val="auto"/>
                <w:highlight w:val="none"/>
              </w:rPr>
              <w:t>3</w:t>
            </w:r>
          </w:p>
        </w:tc>
        <w:tc>
          <w:tcPr>
            <w:tcW w:w="2693" w:type="dxa"/>
            <w:tcBorders>
              <w:top w:val="single" w:color="auto" w:sz="4" w:space="0"/>
              <w:left w:val="single" w:color="auto" w:sz="4" w:space="0"/>
              <w:bottom w:val="single" w:color="auto" w:sz="4" w:space="0"/>
              <w:right w:val="single" w:color="auto" w:sz="4" w:space="0"/>
            </w:tcBorders>
            <w:vAlign w:val="center"/>
          </w:tcPr>
          <w:p w14:paraId="1368000F">
            <w:pPr>
              <w:shd w:val="clear"/>
              <w:adjustRightInd w:val="0"/>
              <w:snapToGrid w:val="0"/>
              <w:jc w:val="center"/>
              <w:rPr>
                <w:rFonts w:ascii="宋体" w:hAnsi="宋体"/>
                <w:color w:val="auto"/>
                <w:szCs w:val="21"/>
                <w:highlight w:val="none"/>
              </w:rPr>
            </w:pPr>
          </w:p>
        </w:tc>
        <w:tc>
          <w:tcPr>
            <w:tcW w:w="1590" w:type="dxa"/>
            <w:tcBorders>
              <w:top w:val="single" w:color="auto" w:sz="4" w:space="0"/>
              <w:left w:val="single" w:color="auto" w:sz="4" w:space="0"/>
              <w:bottom w:val="single" w:color="auto" w:sz="4" w:space="0"/>
              <w:right w:val="single" w:color="auto" w:sz="4" w:space="0"/>
            </w:tcBorders>
          </w:tcPr>
          <w:p w14:paraId="1AA75127">
            <w:pPr>
              <w:shd w:val="clear"/>
              <w:rPr>
                <w:rFonts w:ascii="宋体" w:hAnsi="宋体"/>
                <w:color w:val="auto"/>
                <w:highlight w:val="none"/>
              </w:rPr>
            </w:pPr>
          </w:p>
        </w:tc>
        <w:tc>
          <w:tcPr>
            <w:tcW w:w="1954" w:type="dxa"/>
            <w:tcBorders>
              <w:top w:val="single" w:color="auto" w:sz="4" w:space="0"/>
              <w:left w:val="single" w:color="auto" w:sz="4" w:space="0"/>
              <w:bottom w:val="single" w:color="auto" w:sz="4" w:space="0"/>
              <w:right w:val="single" w:color="auto" w:sz="4" w:space="0"/>
            </w:tcBorders>
          </w:tcPr>
          <w:p w14:paraId="442F897A">
            <w:pPr>
              <w:shd w:val="clear"/>
              <w:rPr>
                <w:rFonts w:ascii="宋体" w:hAnsi="宋体"/>
                <w:color w:val="auto"/>
                <w:highlight w:val="none"/>
              </w:rPr>
            </w:pPr>
          </w:p>
        </w:tc>
        <w:tc>
          <w:tcPr>
            <w:tcW w:w="2410" w:type="dxa"/>
            <w:tcBorders>
              <w:top w:val="single" w:color="auto" w:sz="4" w:space="0"/>
              <w:left w:val="single" w:color="auto" w:sz="4" w:space="0"/>
              <w:bottom w:val="single" w:color="auto" w:sz="4" w:space="0"/>
              <w:right w:val="single" w:color="auto" w:sz="4" w:space="0"/>
            </w:tcBorders>
          </w:tcPr>
          <w:p w14:paraId="0298F469">
            <w:pPr>
              <w:shd w:val="clear"/>
              <w:rPr>
                <w:rFonts w:ascii="宋体" w:hAnsi="宋体"/>
                <w:color w:val="auto"/>
                <w:highlight w:val="none"/>
              </w:rPr>
            </w:pPr>
          </w:p>
        </w:tc>
      </w:tr>
      <w:tr w14:paraId="61F26F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914" w:type="dxa"/>
            <w:tcBorders>
              <w:top w:val="single" w:color="auto" w:sz="4" w:space="0"/>
              <w:left w:val="single" w:color="auto" w:sz="4" w:space="0"/>
              <w:bottom w:val="single" w:color="auto" w:sz="4" w:space="0"/>
              <w:right w:val="single" w:color="auto" w:sz="4" w:space="0"/>
            </w:tcBorders>
          </w:tcPr>
          <w:p w14:paraId="6E266ED0">
            <w:pPr>
              <w:shd w:val="clear"/>
              <w:jc w:val="center"/>
              <w:rPr>
                <w:rFonts w:ascii="宋体" w:hAnsi="宋体"/>
                <w:color w:val="auto"/>
                <w:highlight w:val="none"/>
              </w:rPr>
            </w:pPr>
            <w:r>
              <w:rPr>
                <w:rFonts w:hint="eastAsia" w:ascii="宋体" w:hAnsi="宋体"/>
                <w:color w:val="auto"/>
                <w:highlight w:val="none"/>
              </w:rPr>
              <w:t>4</w:t>
            </w:r>
          </w:p>
        </w:tc>
        <w:tc>
          <w:tcPr>
            <w:tcW w:w="2693" w:type="dxa"/>
            <w:tcBorders>
              <w:top w:val="single" w:color="auto" w:sz="4" w:space="0"/>
              <w:left w:val="single" w:color="auto" w:sz="4" w:space="0"/>
              <w:bottom w:val="single" w:color="auto" w:sz="4" w:space="0"/>
              <w:right w:val="single" w:color="auto" w:sz="4" w:space="0"/>
            </w:tcBorders>
            <w:vAlign w:val="center"/>
          </w:tcPr>
          <w:p w14:paraId="176DC49E">
            <w:pPr>
              <w:shd w:val="clear"/>
              <w:adjustRightInd w:val="0"/>
              <w:snapToGrid w:val="0"/>
              <w:jc w:val="center"/>
              <w:rPr>
                <w:rFonts w:ascii="宋体" w:hAnsi="宋体"/>
                <w:color w:val="auto"/>
                <w:szCs w:val="21"/>
                <w:highlight w:val="none"/>
              </w:rPr>
            </w:pPr>
          </w:p>
        </w:tc>
        <w:tc>
          <w:tcPr>
            <w:tcW w:w="1590" w:type="dxa"/>
            <w:tcBorders>
              <w:top w:val="single" w:color="auto" w:sz="4" w:space="0"/>
              <w:left w:val="single" w:color="auto" w:sz="4" w:space="0"/>
              <w:bottom w:val="single" w:color="auto" w:sz="4" w:space="0"/>
              <w:right w:val="single" w:color="auto" w:sz="4" w:space="0"/>
            </w:tcBorders>
          </w:tcPr>
          <w:p w14:paraId="4D12B69C">
            <w:pPr>
              <w:shd w:val="clear"/>
              <w:rPr>
                <w:rFonts w:ascii="宋体" w:hAnsi="宋体"/>
                <w:color w:val="auto"/>
                <w:highlight w:val="none"/>
              </w:rPr>
            </w:pPr>
          </w:p>
        </w:tc>
        <w:tc>
          <w:tcPr>
            <w:tcW w:w="1954" w:type="dxa"/>
            <w:tcBorders>
              <w:top w:val="single" w:color="auto" w:sz="4" w:space="0"/>
              <w:left w:val="single" w:color="auto" w:sz="4" w:space="0"/>
              <w:bottom w:val="single" w:color="auto" w:sz="4" w:space="0"/>
              <w:right w:val="single" w:color="auto" w:sz="4" w:space="0"/>
            </w:tcBorders>
          </w:tcPr>
          <w:p w14:paraId="2CF969AD">
            <w:pPr>
              <w:shd w:val="clear"/>
              <w:rPr>
                <w:rFonts w:ascii="宋体" w:hAnsi="宋体"/>
                <w:color w:val="auto"/>
                <w:highlight w:val="none"/>
              </w:rPr>
            </w:pPr>
          </w:p>
        </w:tc>
        <w:tc>
          <w:tcPr>
            <w:tcW w:w="2410" w:type="dxa"/>
            <w:tcBorders>
              <w:top w:val="single" w:color="auto" w:sz="4" w:space="0"/>
              <w:left w:val="single" w:color="auto" w:sz="4" w:space="0"/>
              <w:bottom w:val="single" w:color="auto" w:sz="4" w:space="0"/>
              <w:right w:val="single" w:color="auto" w:sz="4" w:space="0"/>
            </w:tcBorders>
          </w:tcPr>
          <w:p w14:paraId="7721D4C0">
            <w:pPr>
              <w:shd w:val="clear"/>
              <w:rPr>
                <w:rFonts w:ascii="宋体" w:hAnsi="宋体"/>
                <w:color w:val="auto"/>
                <w:highlight w:val="none"/>
              </w:rPr>
            </w:pPr>
          </w:p>
        </w:tc>
      </w:tr>
      <w:tr w14:paraId="4B7728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914" w:type="dxa"/>
            <w:tcBorders>
              <w:top w:val="single" w:color="auto" w:sz="4" w:space="0"/>
              <w:left w:val="single" w:color="auto" w:sz="4" w:space="0"/>
              <w:bottom w:val="single" w:color="auto" w:sz="4" w:space="0"/>
              <w:right w:val="single" w:color="auto" w:sz="4" w:space="0"/>
            </w:tcBorders>
          </w:tcPr>
          <w:p w14:paraId="2778113D">
            <w:pPr>
              <w:shd w:val="clear"/>
              <w:jc w:val="center"/>
              <w:rPr>
                <w:rFonts w:ascii="宋体" w:hAnsi="宋体"/>
                <w:color w:val="auto"/>
                <w:highlight w:val="none"/>
              </w:rPr>
            </w:pPr>
            <w:r>
              <w:rPr>
                <w:rFonts w:hint="eastAsia" w:ascii="宋体" w:hAnsi="宋体"/>
                <w:color w:val="auto"/>
                <w:highlight w:val="none"/>
              </w:rPr>
              <w:t>5</w:t>
            </w:r>
          </w:p>
        </w:tc>
        <w:tc>
          <w:tcPr>
            <w:tcW w:w="2693" w:type="dxa"/>
            <w:tcBorders>
              <w:top w:val="single" w:color="auto" w:sz="4" w:space="0"/>
              <w:left w:val="single" w:color="auto" w:sz="4" w:space="0"/>
              <w:bottom w:val="single" w:color="auto" w:sz="4" w:space="0"/>
              <w:right w:val="single" w:color="auto" w:sz="4" w:space="0"/>
            </w:tcBorders>
            <w:vAlign w:val="center"/>
          </w:tcPr>
          <w:p w14:paraId="1740804B">
            <w:pPr>
              <w:shd w:val="clear"/>
              <w:adjustRightInd w:val="0"/>
              <w:snapToGrid w:val="0"/>
              <w:jc w:val="center"/>
              <w:rPr>
                <w:rFonts w:ascii="宋体" w:hAnsi="宋体"/>
                <w:color w:val="auto"/>
                <w:szCs w:val="21"/>
                <w:highlight w:val="none"/>
              </w:rPr>
            </w:pPr>
          </w:p>
        </w:tc>
        <w:tc>
          <w:tcPr>
            <w:tcW w:w="1590" w:type="dxa"/>
            <w:tcBorders>
              <w:top w:val="single" w:color="auto" w:sz="4" w:space="0"/>
              <w:left w:val="single" w:color="auto" w:sz="4" w:space="0"/>
              <w:bottom w:val="single" w:color="auto" w:sz="4" w:space="0"/>
              <w:right w:val="single" w:color="auto" w:sz="4" w:space="0"/>
            </w:tcBorders>
          </w:tcPr>
          <w:p w14:paraId="0C24A424">
            <w:pPr>
              <w:shd w:val="clear"/>
              <w:rPr>
                <w:rFonts w:ascii="宋体" w:hAnsi="宋体"/>
                <w:color w:val="auto"/>
                <w:highlight w:val="none"/>
              </w:rPr>
            </w:pPr>
          </w:p>
        </w:tc>
        <w:tc>
          <w:tcPr>
            <w:tcW w:w="1954" w:type="dxa"/>
            <w:tcBorders>
              <w:top w:val="single" w:color="auto" w:sz="4" w:space="0"/>
              <w:left w:val="single" w:color="auto" w:sz="4" w:space="0"/>
              <w:bottom w:val="single" w:color="auto" w:sz="4" w:space="0"/>
              <w:right w:val="single" w:color="auto" w:sz="4" w:space="0"/>
            </w:tcBorders>
          </w:tcPr>
          <w:p w14:paraId="58C38136">
            <w:pPr>
              <w:shd w:val="clear"/>
              <w:rPr>
                <w:rFonts w:ascii="宋体" w:hAnsi="宋体"/>
                <w:color w:val="auto"/>
                <w:highlight w:val="none"/>
              </w:rPr>
            </w:pPr>
          </w:p>
        </w:tc>
        <w:tc>
          <w:tcPr>
            <w:tcW w:w="2410" w:type="dxa"/>
            <w:tcBorders>
              <w:top w:val="single" w:color="auto" w:sz="4" w:space="0"/>
              <w:left w:val="single" w:color="auto" w:sz="4" w:space="0"/>
              <w:bottom w:val="single" w:color="auto" w:sz="4" w:space="0"/>
              <w:right w:val="single" w:color="auto" w:sz="4" w:space="0"/>
            </w:tcBorders>
          </w:tcPr>
          <w:p w14:paraId="483D4B82">
            <w:pPr>
              <w:shd w:val="clear"/>
              <w:rPr>
                <w:rFonts w:ascii="宋体" w:hAnsi="宋体"/>
                <w:color w:val="auto"/>
                <w:highlight w:val="none"/>
              </w:rPr>
            </w:pPr>
          </w:p>
        </w:tc>
      </w:tr>
      <w:tr w14:paraId="7D8BCF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914" w:type="dxa"/>
            <w:tcBorders>
              <w:top w:val="single" w:color="auto" w:sz="4" w:space="0"/>
              <w:left w:val="single" w:color="auto" w:sz="4" w:space="0"/>
              <w:bottom w:val="single" w:color="auto" w:sz="4" w:space="0"/>
              <w:right w:val="single" w:color="auto" w:sz="4" w:space="0"/>
            </w:tcBorders>
          </w:tcPr>
          <w:p w14:paraId="6B1908CE">
            <w:pPr>
              <w:shd w:val="clear"/>
              <w:jc w:val="center"/>
              <w:rPr>
                <w:rFonts w:ascii="宋体" w:hAnsi="宋体"/>
                <w:color w:val="auto"/>
                <w:highlight w:val="none"/>
              </w:rPr>
            </w:pPr>
            <w:r>
              <w:rPr>
                <w:rFonts w:ascii="宋体" w:hAnsi="宋体"/>
                <w:color w:val="auto"/>
                <w:highlight w:val="none"/>
              </w:rPr>
              <w:t>……</w:t>
            </w:r>
          </w:p>
        </w:tc>
        <w:tc>
          <w:tcPr>
            <w:tcW w:w="2693" w:type="dxa"/>
            <w:tcBorders>
              <w:top w:val="single" w:color="auto" w:sz="4" w:space="0"/>
              <w:left w:val="single" w:color="auto" w:sz="4" w:space="0"/>
              <w:bottom w:val="single" w:color="auto" w:sz="4" w:space="0"/>
              <w:right w:val="single" w:color="auto" w:sz="4" w:space="0"/>
            </w:tcBorders>
            <w:vAlign w:val="center"/>
          </w:tcPr>
          <w:p w14:paraId="4C7ACCB3">
            <w:pPr>
              <w:shd w:val="clear"/>
              <w:adjustRightInd w:val="0"/>
              <w:snapToGrid w:val="0"/>
              <w:jc w:val="center"/>
              <w:rPr>
                <w:rFonts w:ascii="宋体" w:hAnsi="宋体"/>
                <w:color w:val="auto"/>
                <w:szCs w:val="21"/>
                <w:highlight w:val="none"/>
              </w:rPr>
            </w:pPr>
          </w:p>
        </w:tc>
        <w:tc>
          <w:tcPr>
            <w:tcW w:w="1590" w:type="dxa"/>
            <w:tcBorders>
              <w:top w:val="single" w:color="auto" w:sz="4" w:space="0"/>
              <w:left w:val="single" w:color="auto" w:sz="4" w:space="0"/>
              <w:bottom w:val="single" w:color="auto" w:sz="4" w:space="0"/>
              <w:right w:val="single" w:color="auto" w:sz="4" w:space="0"/>
            </w:tcBorders>
          </w:tcPr>
          <w:p w14:paraId="1D661312">
            <w:pPr>
              <w:shd w:val="clear"/>
              <w:rPr>
                <w:rFonts w:ascii="宋体" w:hAnsi="宋体"/>
                <w:color w:val="auto"/>
                <w:highlight w:val="none"/>
              </w:rPr>
            </w:pPr>
          </w:p>
        </w:tc>
        <w:tc>
          <w:tcPr>
            <w:tcW w:w="1954" w:type="dxa"/>
            <w:tcBorders>
              <w:top w:val="single" w:color="auto" w:sz="4" w:space="0"/>
              <w:left w:val="single" w:color="auto" w:sz="4" w:space="0"/>
              <w:bottom w:val="single" w:color="auto" w:sz="4" w:space="0"/>
              <w:right w:val="single" w:color="auto" w:sz="4" w:space="0"/>
            </w:tcBorders>
          </w:tcPr>
          <w:p w14:paraId="1D6F7D78">
            <w:pPr>
              <w:shd w:val="clear"/>
              <w:rPr>
                <w:rFonts w:ascii="宋体" w:hAnsi="宋体"/>
                <w:color w:val="auto"/>
                <w:highlight w:val="none"/>
              </w:rPr>
            </w:pPr>
          </w:p>
        </w:tc>
        <w:tc>
          <w:tcPr>
            <w:tcW w:w="2410" w:type="dxa"/>
            <w:tcBorders>
              <w:top w:val="single" w:color="auto" w:sz="4" w:space="0"/>
              <w:left w:val="single" w:color="auto" w:sz="4" w:space="0"/>
              <w:bottom w:val="single" w:color="auto" w:sz="4" w:space="0"/>
              <w:right w:val="single" w:color="auto" w:sz="4" w:space="0"/>
            </w:tcBorders>
          </w:tcPr>
          <w:p w14:paraId="2F878A1B">
            <w:pPr>
              <w:shd w:val="clear"/>
              <w:rPr>
                <w:rFonts w:ascii="宋体" w:hAnsi="宋体"/>
                <w:color w:val="auto"/>
                <w:highlight w:val="none"/>
              </w:rPr>
            </w:pPr>
          </w:p>
        </w:tc>
      </w:tr>
      <w:tr w14:paraId="071307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1" w:hRule="atLeast"/>
          <w:jc w:val="center"/>
        </w:trPr>
        <w:tc>
          <w:tcPr>
            <w:tcW w:w="7151" w:type="dxa"/>
            <w:gridSpan w:val="4"/>
            <w:tcBorders>
              <w:top w:val="single" w:color="auto" w:sz="4" w:space="0"/>
              <w:left w:val="single" w:color="auto" w:sz="4" w:space="0"/>
              <w:bottom w:val="single" w:color="auto" w:sz="4" w:space="0"/>
              <w:right w:val="single" w:color="auto" w:sz="4" w:space="0"/>
            </w:tcBorders>
          </w:tcPr>
          <w:p w14:paraId="0E4C68F9">
            <w:pPr>
              <w:shd w:val="clear"/>
              <w:jc w:val="center"/>
              <w:rPr>
                <w:rFonts w:ascii="宋体" w:hAnsi="宋体"/>
                <w:color w:val="auto"/>
                <w:highlight w:val="none"/>
              </w:rPr>
            </w:pPr>
            <w:bookmarkStart w:id="539" w:name="OLE_LINK97"/>
            <w:bookmarkStart w:id="540" w:name="OLE_LINK135"/>
            <w:r>
              <w:rPr>
                <w:rFonts w:hint="eastAsia" w:cs="仿宋" w:asciiTheme="minorEastAsia" w:hAnsiTheme="minorEastAsia" w:eastAsiaTheme="minorEastAsia"/>
                <w:b/>
                <w:color w:val="auto"/>
                <w:sz w:val="24"/>
                <w:highlight w:val="none"/>
              </w:rPr>
              <w:t>安全管理及环境管理服务费</w:t>
            </w:r>
            <w:bookmarkEnd w:id="539"/>
            <w:bookmarkEnd w:id="540"/>
          </w:p>
        </w:tc>
        <w:tc>
          <w:tcPr>
            <w:tcW w:w="2410" w:type="dxa"/>
            <w:tcBorders>
              <w:top w:val="single" w:color="auto" w:sz="4" w:space="0"/>
              <w:left w:val="single" w:color="auto" w:sz="4" w:space="0"/>
              <w:bottom w:val="single" w:color="auto" w:sz="4" w:space="0"/>
              <w:right w:val="single" w:color="auto" w:sz="4" w:space="0"/>
            </w:tcBorders>
          </w:tcPr>
          <w:p w14:paraId="133427CC">
            <w:pPr>
              <w:shd w:val="clear"/>
              <w:ind w:firstLine="1535" w:firstLineChars="637"/>
              <w:rPr>
                <w:rFonts w:ascii="宋体" w:hAnsi="宋体"/>
                <w:color w:val="auto"/>
                <w:highlight w:val="none"/>
              </w:rPr>
            </w:pPr>
            <w:r>
              <w:rPr>
                <w:rFonts w:hint="eastAsia" w:asciiTheme="minorEastAsia" w:hAnsiTheme="minorEastAsia" w:eastAsiaTheme="minorEastAsia" w:cstheme="minorEastAsia"/>
                <w:b/>
                <w:color w:val="auto"/>
                <w:sz w:val="24"/>
                <w:highlight w:val="none"/>
              </w:rPr>
              <w:t>元/年</w:t>
            </w:r>
          </w:p>
        </w:tc>
      </w:tr>
      <w:tr w14:paraId="1504AF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151" w:type="dxa"/>
            <w:gridSpan w:val="4"/>
            <w:tcBorders>
              <w:top w:val="single" w:color="auto" w:sz="4" w:space="0"/>
              <w:left w:val="single" w:color="auto" w:sz="4" w:space="0"/>
              <w:bottom w:val="single" w:color="auto" w:sz="4" w:space="0"/>
              <w:right w:val="single" w:color="auto" w:sz="4" w:space="0"/>
            </w:tcBorders>
          </w:tcPr>
          <w:p w14:paraId="114A57AB">
            <w:pPr>
              <w:shd w:val="clear"/>
              <w:jc w:val="center"/>
              <w:rPr>
                <w:rFonts w:cs="仿宋" w:asciiTheme="minorEastAsia" w:hAnsiTheme="minorEastAsia" w:eastAsiaTheme="minorEastAsia"/>
                <w:b/>
                <w:color w:val="auto"/>
                <w:sz w:val="24"/>
                <w:highlight w:val="none"/>
              </w:rPr>
            </w:pPr>
            <w:r>
              <w:rPr>
                <w:rFonts w:hint="eastAsia" w:cs="仿宋" w:asciiTheme="minorEastAsia" w:hAnsiTheme="minorEastAsia" w:eastAsiaTheme="minorEastAsia"/>
                <w:b/>
                <w:color w:val="auto"/>
                <w:sz w:val="24"/>
                <w:highlight w:val="none"/>
              </w:rPr>
              <w:t>投 标 总  价</w:t>
            </w:r>
          </w:p>
        </w:tc>
        <w:tc>
          <w:tcPr>
            <w:tcW w:w="2410" w:type="dxa"/>
            <w:tcBorders>
              <w:top w:val="single" w:color="auto" w:sz="4" w:space="0"/>
              <w:left w:val="single" w:color="auto" w:sz="4" w:space="0"/>
              <w:bottom w:val="single" w:color="auto" w:sz="4" w:space="0"/>
              <w:right w:val="single" w:color="auto" w:sz="4" w:space="0"/>
            </w:tcBorders>
          </w:tcPr>
          <w:p w14:paraId="29E58323">
            <w:pPr>
              <w:shd w:val="clear"/>
              <w:ind w:firstLine="1440" w:firstLineChars="600"/>
              <w:rPr>
                <w:rFonts w:ascii="宋体" w:hAnsi="宋体"/>
                <w:color w:val="auto"/>
                <w:highlight w:val="none"/>
              </w:rPr>
            </w:pPr>
            <w:bookmarkStart w:id="541" w:name="OLE_LINK31"/>
            <w:bookmarkStart w:id="542" w:name="OLE_LINK30"/>
            <w:r>
              <w:rPr>
                <w:rFonts w:hint="eastAsia" w:cs="仿宋" w:asciiTheme="majorEastAsia" w:hAnsiTheme="majorEastAsia" w:eastAsiaTheme="majorEastAsia"/>
                <w:color w:val="auto"/>
                <w:sz w:val="24"/>
                <w:highlight w:val="none"/>
              </w:rPr>
              <w:t>元/年</w:t>
            </w:r>
            <w:bookmarkEnd w:id="541"/>
            <w:bookmarkEnd w:id="542"/>
          </w:p>
        </w:tc>
      </w:tr>
    </w:tbl>
    <w:p w14:paraId="5936AD72">
      <w:pPr>
        <w:pStyle w:val="9"/>
        <w:shd w:val="clear"/>
        <w:spacing w:line="360" w:lineRule="auto"/>
        <w:ind w:left="-178" w:leftChars="-85" w:firstLine="0" w:firstLineChars="0"/>
        <w:rPr>
          <w:rFonts w:cs="仿宋" w:asciiTheme="majorEastAsia" w:hAnsiTheme="majorEastAsia" w:eastAsiaTheme="majorEastAsia"/>
          <w:color w:val="auto"/>
          <w:highlight w:val="none"/>
        </w:rPr>
      </w:pPr>
    </w:p>
    <w:p w14:paraId="33FCB3F5">
      <w:pPr>
        <w:pStyle w:val="9"/>
        <w:shd w:val="clear"/>
        <w:spacing w:line="360" w:lineRule="auto"/>
        <w:ind w:left="-178" w:leftChars="-85" w:firstLine="0" w:firstLineChars="0"/>
        <w:rPr>
          <w:rFonts w:cs="仿宋" w:asciiTheme="majorEastAsia" w:hAnsiTheme="majorEastAsia" w:eastAsiaTheme="majorEastAsia"/>
          <w:b/>
          <w:color w:val="auto"/>
          <w:highlight w:val="none"/>
        </w:rPr>
      </w:pPr>
      <w:r>
        <w:rPr>
          <w:rFonts w:hint="eastAsia" w:cs="仿宋" w:asciiTheme="majorEastAsia" w:hAnsiTheme="majorEastAsia" w:eastAsiaTheme="majorEastAsia"/>
          <w:b/>
          <w:color w:val="auto"/>
          <w:highlight w:val="none"/>
        </w:rPr>
        <w:t>注：</w:t>
      </w:r>
    </w:p>
    <w:p w14:paraId="26D004D7">
      <w:pPr>
        <w:shd w:val="clear"/>
        <w:spacing w:line="360" w:lineRule="auto"/>
        <w:ind w:left="-2" w:leftChars="-1" w:firstLine="482" w:firstLineChars="200"/>
        <w:rPr>
          <w:rFonts w:ascii="宋体" w:hAnsi="宋体" w:cs="仿宋"/>
          <w:b/>
          <w:color w:val="auto"/>
          <w:kern w:val="0"/>
          <w:sz w:val="24"/>
          <w:highlight w:val="none"/>
        </w:rPr>
      </w:pPr>
      <w:bookmarkStart w:id="543" w:name="OLE_LINK96"/>
      <w:bookmarkStart w:id="544" w:name="OLE_LINK94"/>
      <w:r>
        <w:rPr>
          <w:rFonts w:hint="eastAsia" w:ascii="宋体" w:hAnsi="宋体" w:cs="仿宋"/>
          <w:b/>
          <w:color w:val="auto"/>
          <w:kern w:val="0"/>
          <w:sz w:val="24"/>
          <w:highlight w:val="none"/>
        </w:rPr>
        <w:t>1.投标总价不得超过招标文件中规定的预算金额或者最高限价的;运营管理服务费</w:t>
      </w:r>
      <w:bookmarkEnd w:id="543"/>
      <w:bookmarkEnd w:id="544"/>
      <w:r>
        <w:rPr>
          <w:rFonts w:hint="eastAsia" w:ascii="宋体" w:hAnsi="宋体" w:cs="仿宋"/>
          <w:b/>
          <w:color w:val="auto"/>
          <w:kern w:val="0"/>
          <w:sz w:val="24"/>
          <w:highlight w:val="none"/>
        </w:rPr>
        <w:t>报价</w:t>
      </w:r>
      <w:bookmarkStart w:id="545" w:name="OLE_LINK137"/>
      <w:bookmarkStart w:id="546" w:name="OLE_LINK136"/>
      <w:r>
        <w:rPr>
          <w:rFonts w:hint="eastAsia" w:ascii="宋体" w:hAnsi="宋体" w:cs="仿宋"/>
          <w:b/>
          <w:color w:val="auto"/>
          <w:kern w:val="0"/>
          <w:sz w:val="24"/>
          <w:highlight w:val="none"/>
        </w:rPr>
        <w:t>不得超出运营管理服务费最高限价</w:t>
      </w:r>
      <w:bookmarkEnd w:id="545"/>
      <w:bookmarkEnd w:id="546"/>
      <w:r>
        <w:rPr>
          <w:rFonts w:hint="eastAsia" w:ascii="宋体" w:hAnsi="宋体" w:cs="仿宋"/>
          <w:b/>
          <w:color w:val="auto"/>
          <w:kern w:val="0"/>
          <w:sz w:val="24"/>
          <w:highlight w:val="none"/>
        </w:rPr>
        <w:t>，</w:t>
      </w:r>
      <w:bookmarkStart w:id="547" w:name="OLE_LINK138"/>
      <w:bookmarkStart w:id="548" w:name="OLE_LINK139"/>
      <w:r>
        <w:rPr>
          <w:rFonts w:hint="eastAsia" w:ascii="宋体" w:hAnsi="宋体" w:cs="仿宋"/>
          <w:b/>
          <w:color w:val="auto"/>
          <w:kern w:val="0"/>
          <w:sz w:val="24"/>
          <w:highlight w:val="none"/>
        </w:rPr>
        <w:t>安全管理及环境管理服务费</w:t>
      </w:r>
      <w:bookmarkEnd w:id="547"/>
      <w:bookmarkEnd w:id="548"/>
      <w:r>
        <w:rPr>
          <w:rFonts w:hint="eastAsia" w:ascii="宋体" w:hAnsi="宋体" w:cs="仿宋"/>
          <w:b/>
          <w:color w:val="auto"/>
          <w:kern w:val="0"/>
          <w:sz w:val="24"/>
          <w:highlight w:val="none"/>
        </w:rPr>
        <w:t>不得超出安全管理及环境管理服务费最高限价，超出对应最高限价的作无效标处理。</w:t>
      </w:r>
    </w:p>
    <w:p w14:paraId="3A008FED">
      <w:pPr>
        <w:pStyle w:val="9"/>
        <w:shd w:val="clear"/>
        <w:spacing w:line="360" w:lineRule="auto"/>
        <w:ind w:left="-178" w:leftChars="-85" w:firstLine="720" w:firstLineChars="300"/>
        <w:rPr>
          <w:rFonts w:cs="仿宋"/>
          <w:color w:val="auto"/>
          <w:kern w:val="0"/>
          <w:highlight w:val="none"/>
        </w:rPr>
      </w:pPr>
      <w:r>
        <w:rPr>
          <w:rFonts w:hint="eastAsia" w:cs="仿宋"/>
          <w:color w:val="auto"/>
          <w:kern w:val="0"/>
          <w:highlight w:val="none"/>
        </w:rPr>
        <w:t>2.本表格仅供参考，投标人可根据项目实际情况扩展表格。</w:t>
      </w:r>
    </w:p>
    <w:p w14:paraId="5C406289">
      <w:pPr>
        <w:pStyle w:val="9"/>
        <w:shd w:val="clear"/>
        <w:spacing w:line="360" w:lineRule="auto"/>
        <w:ind w:left="-178" w:leftChars="-85" w:firstLine="720" w:firstLineChars="300"/>
        <w:rPr>
          <w:rFonts w:cs="仿宋"/>
          <w:color w:val="auto"/>
          <w:kern w:val="0"/>
          <w:highlight w:val="none"/>
        </w:rPr>
      </w:pPr>
      <w:r>
        <w:rPr>
          <w:rFonts w:hint="eastAsia" w:cs="仿宋"/>
          <w:color w:val="auto"/>
          <w:kern w:val="0"/>
          <w:highlight w:val="none"/>
        </w:rPr>
        <w:t>3.投标总价应与开标一览表的投标总价一致。</w:t>
      </w:r>
    </w:p>
    <w:p w14:paraId="4F1122D9">
      <w:pPr>
        <w:shd w:val="clear"/>
        <w:spacing w:line="360" w:lineRule="auto"/>
        <w:rPr>
          <w:rFonts w:cs="仿宋" w:asciiTheme="majorEastAsia" w:hAnsiTheme="majorEastAsia" w:eastAsiaTheme="majorEastAsia"/>
          <w:color w:val="auto"/>
          <w:sz w:val="24"/>
          <w:highlight w:val="none"/>
        </w:rPr>
      </w:pPr>
    </w:p>
    <w:p w14:paraId="03E8B99C">
      <w:pPr>
        <w:shd w:val="clear"/>
        <w:spacing w:line="360" w:lineRule="auto"/>
        <w:ind w:left="3780" w:leftChars="18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法定代表人或其授权委托人（签名或印章）：        </w:t>
      </w:r>
    </w:p>
    <w:p w14:paraId="623A842E">
      <w:pPr>
        <w:shd w:val="clear"/>
        <w:spacing w:line="360" w:lineRule="auto"/>
        <w:ind w:left="3780" w:leftChars="18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投标人（盖章）：         </w:t>
      </w:r>
    </w:p>
    <w:p w14:paraId="3B30A212">
      <w:pPr>
        <w:pStyle w:val="37"/>
        <w:keepNext w:val="0"/>
        <w:pageBreakBefore w:val="0"/>
        <w:shd w:val="clear"/>
        <w:tabs>
          <w:tab w:val="clear" w:pos="720"/>
        </w:tabs>
        <w:snapToGrid w:val="0"/>
        <w:spacing w:before="120" w:after="120"/>
        <w:ind w:left="3780" w:leftChars="1800"/>
        <w:jc w:val="both"/>
        <w:outlineLvl w:val="9"/>
        <w:rPr>
          <w:rFonts w:cs="仿宋" w:asciiTheme="majorEastAsia" w:hAnsiTheme="majorEastAsia" w:eastAsiaTheme="majorEastAsia"/>
          <w:b w:val="0"/>
          <w:color w:val="auto"/>
          <w:kern w:val="2"/>
          <w:sz w:val="24"/>
          <w:szCs w:val="24"/>
          <w:highlight w:val="none"/>
        </w:rPr>
      </w:pPr>
      <w:r>
        <w:rPr>
          <w:rFonts w:hint="eastAsia" w:cs="仿宋" w:asciiTheme="majorEastAsia" w:hAnsiTheme="majorEastAsia" w:eastAsiaTheme="majorEastAsia"/>
          <w:b w:val="0"/>
          <w:color w:val="auto"/>
          <w:kern w:val="2"/>
          <w:sz w:val="24"/>
          <w:szCs w:val="24"/>
          <w:highlight w:val="none"/>
        </w:rPr>
        <w:t xml:space="preserve">日  期：  </w:t>
      </w:r>
    </w:p>
    <w:p w14:paraId="22277C34">
      <w:pPr>
        <w:pStyle w:val="37"/>
        <w:keepNext w:val="0"/>
        <w:pageBreakBefore w:val="0"/>
        <w:shd w:val="clear"/>
        <w:tabs>
          <w:tab w:val="clear" w:pos="720"/>
        </w:tabs>
        <w:snapToGrid w:val="0"/>
        <w:spacing w:before="120" w:after="120"/>
        <w:outlineLvl w:val="9"/>
        <w:rPr>
          <w:rFonts w:cs="仿宋" w:asciiTheme="majorEastAsia" w:hAnsiTheme="majorEastAsia" w:eastAsiaTheme="majorEastAsia"/>
          <w:color w:val="auto"/>
          <w:kern w:val="2"/>
          <w:sz w:val="32"/>
          <w:szCs w:val="32"/>
          <w:highlight w:val="none"/>
        </w:rPr>
      </w:pPr>
    </w:p>
    <w:p w14:paraId="46679223">
      <w:pPr>
        <w:pStyle w:val="37"/>
        <w:keepNext w:val="0"/>
        <w:pageBreakBefore w:val="0"/>
        <w:shd w:val="clear"/>
        <w:tabs>
          <w:tab w:val="clear" w:pos="720"/>
        </w:tabs>
        <w:snapToGrid w:val="0"/>
        <w:spacing w:before="120" w:after="120"/>
        <w:outlineLvl w:val="9"/>
        <w:rPr>
          <w:rFonts w:cs="仿宋" w:asciiTheme="majorEastAsia" w:hAnsiTheme="majorEastAsia" w:eastAsiaTheme="majorEastAsia"/>
          <w:color w:val="auto"/>
          <w:kern w:val="2"/>
          <w:sz w:val="32"/>
          <w:szCs w:val="32"/>
          <w:highlight w:val="none"/>
        </w:rPr>
        <w:sectPr>
          <w:pgSz w:w="11906" w:h="16838"/>
          <w:pgMar w:top="1276" w:right="1276" w:bottom="1247" w:left="1418" w:header="851" w:footer="992" w:gutter="0"/>
          <w:cols w:space="425" w:num="1"/>
          <w:docGrid w:linePitch="312" w:charSpace="0"/>
        </w:sectPr>
      </w:pPr>
    </w:p>
    <w:p w14:paraId="2DF99F2A">
      <w:pPr>
        <w:pStyle w:val="37"/>
        <w:keepNext w:val="0"/>
        <w:pageBreakBefore w:val="0"/>
        <w:shd w:val="clear"/>
        <w:tabs>
          <w:tab w:val="clear" w:pos="720"/>
        </w:tabs>
        <w:snapToGrid w:val="0"/>
        <w:spacing w:before="120" w:after="120"/>
        <w:outlineLvl w:val="9"/>
        <w:rPr>
          <w:rFonts w:cs="仿宋" w:asciiTheme="majorEastAsia" w:hAnsiTheme="majorEastAsia" w:eastAsiaTheme="majorEastAsia"/>
          <w:color w:val="auto"/>
          <w:sz w:val="32"/>
          <w:szCs w:val="32"/>
          <w:highlight w:val="none"/>
        </w:rPr>
      </w:pPr>
      <w:r>
        <w:rPr>
          <w:rFonts w:hint="eastAsia" w:cs="仿宋" w:asciiTheme="majorEastAsia" w:hAnsiTheme="majorEastAsia" w:eastAsiaTheme="majorEastAsia"/>
          <w:color w:val="auto"/>
          <w:kern w:val="2"/>
          <w:sz w:val="32"/>
          <w:szCs w:val="32"/>
          <w:highlight w:val="none"/>
        </w:rPr>
        <w:t>三、</w:t>
      </w:r>
      <w:r>
        <w:rPr>
          <w:rFonts w:hint="eastAsia" w:cs="仿宋" w:asciiTheme="majorEastAsia" w:hAnsiTheme="majorEastAsia" w:eastAsiaTheme="majorEastAsia"/>
          <w:color w:val="auto"/>
          <w:sz w:val="32"/>
          <w:szCs w:val="32"/>
          <w:highlight w:val="none"/>
        </w:rPr>
        <w:t>中小企业声明函</w:t>
      </w:r>
    </w:p>
    <w:p w14:paraId="0204091D">
      <w:pPr>
        <w:widowControl/>
        <w:shd w:val="clear"/>
        <w:spacing w:line="360" w:lineRule="auto"/>
        <w:ind w:firstLine="120" w:firstLineChars="50"/>
        <w:jc w:val="left"/>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w:t>
      </w:r>
    </w:p>
    <w:p w14:paraId="481ACDAE">
      <w:pPr>
        <w:pStyle w:val="8"/>
        <w:shd w:val="clear"/>
        <w:rPr>
          <w:color w:val="auto"/>
          <w:highlight w:val="none"/>
          <w:lang w:val="en-US"/>
        </w:rPr>
      </w:pPr>
    </w:p>
    <w:p w14:paraId="3B148939">
      <w:pPr>
        <w:shd w:val="clear"/>
        <w:spacing w:line="360" w:lineRule="auto"/>
        <w:jc w:val="center"/>
        <w:rPr>
          <w:rFonts w:cs="仿宋" w:asciiTheme="majorEastAsia" w:hAnsiTheme="majorEastAsia" w:eastAsiaTheme="majorEastAsia"/>
          <w:b/>
          <w:color w:val="auto"/>
          <w:sz w:val="32"/>
          <w:szCs w:val="32"/>
          <w:highlight w:val="none"/>
        </w:rPr>
      </w:pPr>
      <w:r>
        <w:rPr>
          <w:rFonts w:hint="eastAsia" w:cs="仿宋" w:asciiTheme="majorEastAsia" w:hAnsiTheme="majorEastAsia" w:eastAsiaTheme="majorEastAsia"/>
          <w:b/>
          <w:color w:val="auto"/>
          <w:sz w:val="32"/>
          <w:szCs w:val="32"/>
          <w:highlight w:val="none"/>
        </w:rPr>
        <w:t>中小企业声明函（服务）</w:t>
      </w:r>
    </w:p>
    <w:p w14:paraId="4B160A86">
      <w:pPr>
        <w:shd w:val="clear"/>
        <w:snapToGrid w:val="0"/>
        <w:spacing w:line="400" w:lineRule="exact"/>
        <w:ind w:firstLine="480" w:firstLineChars="200"/>
        <w:rPr>
          <w:rFonts w:ascii="宋体" w:hAnsi="宋体"/>
          <w:color w:val="auto"/>
          <w:sz w:val="24"/>
          <w:highlight w:val="none"/>
        </w:rPr>
      </w:pPr>
      <w:r>
        <w:rPr>
          <w:rFonts w:hint="eastAsia" w:ascii="宋体" w:hAnsi="宋体" w:cs="仿宋"/>
          <w:color w:val="auto"/>
          <w:kern w:val="0"/>
          <w:sz w:val="24"/>
          <w:highlight w:val="none"/>
        </w:rPr>
        <w:t>本公司郑重声明，根据《政府采购促进中小企业发展管理办法》（财库</w:t>
      </w:r>
      <w:r>
        <w:rPr>
          <w:rFonts w:hint="eastAsia" w:ascii="宋体" w:hAnsi="宋体" w:cs="宋体"/>
          <w:color w:val="auto"/>
          <w:kern w:val="0"/>
          <w:sz w:val="24"/>
          <w:highlight w:val="none"/>
        </w:rPr>
        <w:t>﹝</w:t>
      </w:r>
      <w:r>
        <w:rPr>
          <w:rFonts w:ascii="宋体" w:hAnsi="宋体" w:cs="仿宋"/>
          <w:color w:val="auto"/>
          <w:kern w:val="0"/>
          <w:sz w:val="24"/>
          <w:highlight w:val="none"/>
        </w:rPr>
        <w:t>2020</w:t>
      </w:r>
      <w:r>
        <w:rPr>
          <w:rFonts w:hint="eastAsia" w:ascii="宋体" w:hAnsi="宋体" w:cs="宋体"/>
          <w:color w:val="auto"/>
          <w:kern w:val="0"/>
          <w:sz w:val="24"/>
          <w:highlight w:val="none"/>
        </w:rPr>
        <w:t>﹞</w:t>
      </w:r>
      <w:r>
        <w:rPr>
          <w:rFonts w:ascii="宋体" w:hAnsi="宋体" w:cs="仿宋"/>
          <w:color w:val="auto"/>
          <w:kern w:val="0"/>
          <w:sz w:val="24"/>
          <w:highlight w:val="none"/>
        </w:rPr>
        <w:t xml:space="preserve">46 </w:t>
      </w:r>
      <w:r>
        <w:rPr>
          <w:rFonts w:hint="eastAsia" w:ascii="宋体" w:hAnsi="宋体" w:cs="仿宋"/>
          <w:color w:val="auto"/>
          <w:kern w:val="0"/>
          <w:sz w:val="24"/>
          <w:highlight w:val="none"/>
        </w:rPr>
        <w:t>号）的规定，本公司参加</w:t>
      </w:r>
      <w:r>
        <w:rPr>
          <w:rFonts w:hint="eastAsia" w:ascii="宋体" w:hAnsi="宋体" w:cs="仿宋"/>
          <w:color w:val="auto"/>
          <w:kern w:val="0"/>
          <w:sz w:val="24"/>
          <w:highlight w:val="none"/>
          <w:u w:val="single"/>
        </w:rPr>
        <w:t>（宁波宁南汇诚科技发展有限公司）</w:t>
      </w:r>
      <w:r>
        <w:rPr>
          <w:rFonts w:hint="eastAsia" w:ascii="宋体" w:hAnsi="宋体" w:cs="仿宋"/>
          <w:color w:val="auto"/>
          <w:kern w:val="0"/>
          <w:sz w:val="24"/>
          <w:highlight w:val="none"/>
        </w:rPr>
        <w:t>的</w:t>
      </w:r>
      <w:r>
        <w:rPr>
          <w:rFonts w:hint="eastAsia" w:ascii="宋体" w:hAnsi="宋体" w:cs="仿宋"/>
          <w:color w:val="auto"/>
          <w:kern w:val="0"/>
          <w:sz w:val="24"/>
          <w:highlight w:val="none"/>
          <w:u w:val="single"/>
        </w:rPr>
        <w:t>（</w:t>
      </w:r>
      <w:r>
        <w:rPr>
          <w:rFonts w:hint="eastAsia" w:cs="仿宋" w:asciiTheme="majorEastAsia" w:hAnsiTheme="majorEastAsia" w:eastAsiaTheme="majorEastAsia"/>
          <w:color w:val="auto"/>
          <w:sz w:val="24"/>
          <w:highlight w:val="none"/>
          <w:u w:val="single"/>
        </w:rPr>
        <w:t>宁南工业孵化基地园区综合运营管理服务项目</w:t>
      </w:r>
      <w:r>
        <w:rPr>
          <w:rFonts w:hint="eastAsia" w:ascii="宋体" w:hAnsi="宋体" w:cs="仿宋"/>
          <w:color w:val="auto"/>
          <w:kern w:val="0"/>
          <w:sz w:val="24"/>
          <w:highlight w:val="none"/>
          <w:u w:val="single"/>
        </w:rPr>
        <w:t>）</w:t>
      </w:r>
      <w:r>
        <w:rPr>
          <w:rFonts w:hint="eastAsia" w:ascii="宋体" w:hAnsi="宋体" w:cs="仿宋"/>
          <w:color w:val="auto"/>
          <w:kern w:val="0"/>
          <w:sz w:val="24"/>
          <w:highlight w:val="none"/>
        </w:rPr>
        <w:t>采购活动，服务全部由符合政策要求的中小企业承接。相关企业（含签订分包意向协议的中小企业）的具体情况如下：</w:t>
      </w:r>
    </w:p>
    <w:p w14:paraId="7766BF89">
      <w:pPr>
        <w:shd w:val="clear"/>
        <w:autoSpaceDE w:val="0"/>
        <w:autoSpaceDN w:val="0"/>
        <w:adjustRightInd w:val="0"/>
        <w:spacing w:line="400" w:lineRule="exact"/>
        <w:ind w:firstLine="480" w:firstLineChars="200"/>
        <w:jc w:val="left"/>
        <w:rPr>
          <w:rFonts w:ascii="宋体" w:hAnsi="宋体" w:cs="仿宋"/>
          <w:color w:val="auto"/>
          <w:kern w:val="0"/>
          <w:sz w:val="24"/>
          <w:highlight w:val="none"/>
        </w:rPr>
      </w:pPr>
      <w:r>
        <w:rPr>
          <w:rFonts w:hint="eastAsia" w:ascii="宋体" w:hAnsi="宋体" w:cs="仿宋"/>
          <w:color w:val="auto"/>
          <w:kern w:val="0"/>
          <w:sz w:val="24"/>
          <w:highlight w:val="none"/>
          <w:u w:val="single"/>
        </w:rPr>
        <w:t>综合运营管理服务</w:t>
      </w:r>
      <w:r>
        <w:rPr>
          <w:rFonts w:hint="eastAsia" w:ascii="宋体" w:hAnsi="宋体" w:cs="仿宋"/>
          <w:color w:val="auto"/>
          <w:kern w:val="0"/>
          <w:sz w:val="24"/>
          <w:highlight w:val="none"/>
        </w:rPr>
        <w:t>，属于</w:t>
      </w:r>
      <w:r>
        <w:rPr>
          <w:rFonts w:hint="eastAsia" w:ascii="宋体" w:hAnsi="宋体" w:cs="仿宋"/>
          <w:color w:val="auto"/>
          <w:kern w:val="0"/>
          <w:sz w:val="24"/>
          <w:highlight w:val="none"/>
          <w:u w:val="single"/>
        </w:rPr>
        <w:t>租赁和商务服务业</w:t>
      </w:r>
      <w:r>
        <w:rPr>
          <w:rFonts w:hint="eastAsia" w:ascii="宋体" w:hAnsi="宋体" w:cs="仿宋"/>
          <w:color w:val="auto"/>
          <w:kern w:val="0"/>
          <w:sz w:val="24"/>
          <w:highlight w:val="none"/>
        </w:rPr>
        <w:t>；承接企业为</w:t>
      </w:r>
      <w:r>
        <w:rPr>
          <w:rFonts w:hint="eastAsia" w:ascii="宋体" w:hAnsi="宋体" w:cs="仿宋"/>
          <w:color w:val="auto"/>
          <w:kern w:val="0"/>
          <w:sz w:val="24"/>
          <w:highlight w:val="none"/>
          <w:u w:val="single"/>
        </w:rPr>
        <w:t xml:space="preserve">（企业名称）  </w:t>
      </w:r>
      <w:r>
        <w:rPr>
          <w:rFonts w:hint="eastAsia" w:ascii="宋体" w:hAnsi="宋体" w:cs="仿宋"/>
          <w:color w:val="auto"/>
          <w:kern w:val="0"/>
          <w:sz w:val="24"/>
          <w:highlight w:val="none"/>
        </w:rPr>
        <w:t>，从业人员人，营业收入为万元，资产总额为万元</w:t>
      </w:r>
      <w:r>
        <w:rPr>
          <w:rFonts w:hint="eastAsia" w:ascii="宋体" w:hAnsi="宋体" w:cs="仿宋"/>
          <w:color w:val="auto"/>
          <w:kern w:val="0"/>
          <w:sz w:val="24"/>
          <w:highlight w:val="none"/>
          <w:vertAlign w:val="superscript"/>
        </w:rPr>
        <w:t>1</w:t>
      </w:r>
      <w:r>
        <w:rPr>
          <w:rFonts w:hint="eastAsia" w:ascii="宋体" w:hAnsi="宋体" w:cs="仿宋"/>
          <w:color w:val="auto"/>
          <w:kern w:val="0"/>
          <w:sz w:val="24"/>
          <w:highlight w:val="none"/>
        </w:rPr>
        <w:t>，属于</w:t>
      </w:r>
      <w:r>
        <w:rPr>
          <w:rFonts w:hint="eastAsia" w:ascii="宋体" w:hAnsi="宋体" w:cs="仿宋"/>
          <w:color w:val="auto"/>
          <w:kern w:val="0"/>
          <w:sz w:val="24"/>
          <w:highlight w:val="none"/>
          <w:u w:val="single"/>
        </w:rPr>
        <w:t>（中型企业、小型企业、微型企业）</w:t>
      </w:r>
      <w:r>
        <w:rPr>
          <w:rFonts w:hint="eastAsia" w:ascii="宋体" w:hAnsi="宋体" w:cs="仿宋"/>
          <w:color w:val="auto"/>
          <w:kern w:val="0"/>
          <w:sz w:val="24"/>
          <w:highlight w:val="none"/>
        </w:rPr>
        <w:t>；</w:t>
      </w:r>
    </w:p>
    <w:p w14:paraId="0AF3CB3B">
      <w:pPr>
        <w:shd w:val="clear"/>
        <w:snapToGrid w:val="0"/>
        <w:spacing w:line="400" w:lineRule="exact"/>
        <w:ind w:firstLine="600" w:firstLineChars="250"/>
        <w:rPr>
          <w:rFonts w:ascii="宋体" w:hAnsi="宋体" w:cs="仿宋"/>
          <w:color w:val="auto"/>
          <w:kern w:val="0"/>
          <w:sz w:val="24"/>
          <w:highlight w:val="none"/>
        </w:rPr>
      </w:pPr>
      <w:r>
        <w:rPr>
          <w:rFonts w:hint="eastAsia" w:ascii="宋体" w:hAnsi="宋体" w:cs="仿宋"/>
          <w:color w:val="auto"/>
          <w:kern w:val="0"/>
          <w:sz w:val="24"/>
          <w:highlight w:val="none"/>
        </w:rPr>
        <w:t>以上企业，不属于大企业的分支机构，不存在控股股东为大企业的情形，也不存在与大企业的负责人为同一人的情形。</w:t>
      </w:r>
    </w:p>
    <w:p w14:paraId="337BCBBC">
      <w:pPr>
        <w:shd w:val="clear"/>
        <w:snapToGrid w:val="0"/>
        <w:spacing w:line="400" w:lineRule="exact"/>
        <w:ind w:firstLine="600" w:firstLineChars="250"/>
        <w:rPr>
          <w:rFonts w:ascii="宋体" w:hAnsi="宋体"/>
          <w:color w:val="auto"/>
          <w:sz w:val="24"/>
          <w:highlight w:val="none"/>
        </w:rPr>
      </w:pPr>
      <w:r>
        <w:rPr>
          <w:rFonts w:hint="eastAsia" w:ascii="宋体" w:hAnsi="宋体" w:cs="仿宋"/>
          <w:color w:val="auto"/>
          <w:kern w:val="0"/>
          <w:sz w:val="24"/>
          <w:highlight w:val="none"/>
        </w:rPr>
        <w:t>本企业对上述声明内容的真实性负责。如有虚假，将依法承担相应责任。</w:t>
      </w:r>
    </w:p>
    <w:p w14:paraId="2E04686D">
      <w:pPr>
        <w:shd w:val="clear"/>
        <w:snapToGrid w:val="0"/>
        <w:spacing w:line="312" w:lineRule="auto"/>
        <w:ind w:firstLine="600" w:firstLineChars="250"/>
        <w:rPr>
          <w:rFonts w:ascii="宋体" w:hAnsi="宋体"/>
          <w:color w:val="auto"/>
          <w:sz w:val="24"/>
          <w:highlight w:val="none"/>
        </w:rPr>
      </w:pPr>
    </w:p>
    <w:p w14:paraId="7C025239">
      <w:pPr>
        <w:shd w:val="clear"/>
        <w:snapToGrid w:val="0"/>
        <w:spacing w:line="312" w:lineRule="auto"/>
        <w:ind w:firstLine="3960" w:firstLineChars="1650"/>
        <w:rPr>
          <w:rFonts w:ascii="宋体" w:hAnsi="宋体"/>
          <w:color w:val="auto"/>
          <w:sz w:val="24"/>
          <w:highlight w:val="none"/>
        </w:rPr>
      </w:pPr>
      <w:r>
        <w:rPr>
          <w:rFonts w:hint="eastAsia" w:ascii="宋体" w:hAnsi="宋体"/>
          <w:color w:val="auto"/>
          <w:sz w:val="24"/>
          <w:highlight w:val="none"/>
        </w:rPr>
        <w:t>投标人</w:t>
      </w:r>
      <w:r>
        <w:rPr>
          <w:rFonts w:ascii="宋体" w:hAnsi="宋体"/>
          <w:color w:val="auto"/>
          <w:sz w:val="24"/>
          <w:highlight w:val="none"/>
        </w:rPr>
        <w:t xml:space="preserve">名称（盖章）： </w:t>
      </w:r>
    </w:p>
    <w:p w14:paraId="257F4A0B">
      <w:pPr>
        <w:shd w:val="clear"/>
        <w:snapToGrid w:val="0"/>
        <w:spacing w:line="312" w:lineRule="auto"/>
        <w:ind w:firstLine="3960" w:firstLineChars="1650"/>
        <w:rPr>
          <w:rFonts w:ascii="宋体" w:hAnsi="宋体"/>
          <w:color w:val="auto"/>
          <w:sz w:val="24"/>
          <w:highlight w:val="none"/>
        </w:rPr>
      </w:pPr>
      <w:r>
        <w:rPr>
          <w:rFonts w:ascii="宋体" w:hAnsi="宋体"/>
          <w:color w:val="auto"/>
          <w:sz w:val="24"/>
          <w:highlight w:val="none"/>
        </w:rPr>
        <w:t>日 期：</w:t>
      </w:r>
    </w:p>
    <w:p w14:paraId="471A06CF">
      <w:pPr>
        <w:shd w:val="clear"/>
        <w:spacing w:line="360" w:lineRule="auto"/>
        <w:ind w:firstLine="310" w:firstLineChars="147"/>
        <w:jc w:val="left"/>
        <w:rPr>
          <w:rFonts w:cs="仿宋" w:asciiTheme="minorEastAsia" w:hAnsiTheme="minorEastAsia" w:eastAsiaTheme="minorEastAsia"/>
          <w:color w:val="auto"/>
          <w:sz w:val="24"/>
          <w:highlight w:val="none"/>
        </w:rPr>
      </w:pPr>
      <w:r>
        <w:rPr>
          <w:rFonts w:hint="eastAsia" w:cs="仿宋" w:asciiTheme="minorEastAsia" w:hAnsiTheme="minorEastAsia" w:eastAsiaTheme="minorEastAsia"/>
          <w:b/>
          <w:color w:val="auto"/>
          <w:szCs w:val="21"/>
          <w:highlight w:val="none"/>
        </w:rPr>
        <w:t>从业人员、营业收入、资产总额填报上一年度数据，无上一年度数据的新成立企业可不填报。</w:t>
      </w:r>
    </w:p>
    <w:p w14:paraId="782104F6">
      <w:pPr>
        <w:shd w:val="clear"/>
        <w:spacing w:line="360" w:lineRule="auto"/>
        <w:jc w:val="left"/>
        <w:rPr>
          <w:rFonts w:cs="仿宋" w:asciiTheme="minorEastAsia" w:hAnsiTheme="minorEastAsia" w:eastAsiaTheme="minorEastAsia"/>
          <w:b/>
          <w:bCs/>
          <w:color w:val="auto"/>
          <w:sz w:val="32"/>
          <w:szCs w:val="32"/>
          <w:highlight w:val="none"/>
        </w:rPr>
      </w:pPr>
      <w:r>
        <w:rPr>
          <w:rFonts w:hint="eastAsia" w:cs="仿宋" w:asciiTheme="minorEastAsia" w:hAnsiTheme="minorEastAsia" w:eastAsiaTheme="minorEastAsia"/>
          <w:color w:val="auto"/>
          <w:sz w:val="24"/>
          <w:highlight w:val="none"/>
        </w:rPr>
        <w:t xml:space="preserve">   注：符合《关于促进残疾人就业政府采购政策的通知》（财库〔2017〕141号）规定的条件并提供《残疾人福利性单位声明函》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r>
        <w:rPr>
          <w:rFonts w:hint="eastAsia" w:cs="仿宋" w:asciiTheme="minorEastAsia" w:hAnsiTheme="minorEastAsia" w:eastAsiaTheme="minorEastAsia"/>
          <w:b/>
          <w:color w:val="auto"/>
          <w:sz w:val="32"/>
          <w:szCs w:val="32"/>
          <w:highlight w:val="none"/>
        </w:rPr>
        <w:br w:type="page"/>
      </w:r>
    </w:p>
    <w:p w14:paraId="0C20CB93">
      <w:pPr>
        <w:shd w:val="clear"/>
        <w:spacing w:line="360" w:lineRule="auto"/>
        <w:jc w:val="center"/>
        <w:rPr>
          <w:rFonts w:cs="仿宋" w:asciiTheme="majorEastAsia" w:hAnsiTheme="majorEastAsia" w:eastAsiaTheme="majorEastAsia"/>
          <w:color w:val="auto"/>
          <w:sz w:val="32"/>
          <w:szCs w:val="32"/>
          <w:highlight w:val="none"/>
        </w:rPr>
      </w:pPr>
      <w:r>
        <w:rPr>
          <w:rFonts w:hint="eastAsia" w:cs="仿宋" w:asciiTheme="majorEastAsia" w:hAnsiTheme="majorEastAsia" w:eastAsiaTheme="majorEastAsia"/>
          <w:b/>
          <w:bCs/>
          <w:color w:val="auto"/>
          <w:sz w:val="32"/>
          <w:szCs w:val="32"/>
          <w:highlight w:val="none"/>
        </w:rPr>
        <w:t>四、残疾人福利性单位声明函</w:t>
      </w:r>
    </w:p>
    <w:p w14:paraId="4119E5A1">
      <w:pPr>
        <w:shd w:val="clear"/>
        <w:spacing w:line="360" w:lineRule="auto"/>
        <w:rPr>
          <w:rFonts w:cs="仿宋" w:asciiTheme="majorEastAsia" w:hAnsiTheme="majorEastAsia" w:eastAsiaTheme="majorEastAsia"/>
          <w:b/>
          <w:color w:val="auto"/>
          <w:spacing w:val="6"/>
          <w:sz w:val="28"/>
          <w:szCs w:val="30"/>
          <w:highlight w:val="none"/>
        </w:rPr>
      </w:pPr>
    </w:p>
    <w:p w14:paraId="2ED9132E">
      <w:pPr>
        <w:shd w:val="clear"/>
        <w:spacing w:line="360" w:lineRule="auto"/>
        <w:ind w:firstLine="480" w:firstLineChars="200"/>
        <w:jc w:val="lef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18082D8">
      <w:pPr>
        <w:shd w:val="clear"/>
        <w:spacing w:line="360" w:lineRule="auto"/>
        <w:ind w:firstLine="480" w:firstLineChars="200"/>
        <w:jc w:val="lef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本单位对上述声明的真实性负责。如有虚假，将依法承担相应责任。</w:t>
      </w:r>
    </w:p>
    <w:p w14:paraId="6E052575">
      <w:pPr>
        <w:shd w:val="clear"/>
        <w:spacing w:line="360" w:lineRule="auto"/>
        <w:ind w:firstLine="480" w:firstLineChars="200"/>
        <w:jc w:val="left"/>
        <w:rPr>
          <w:rFonts w:cs="仿宋" w:asciiTheme="majorEastAsia" w:hAnsiTheme="majorEastAsia" w:eastAsiaTheme="majorEastAsia"/>
          <w:color w:val="auto"/>
          <w:sz w:val="24"/>
          <w:highlight w:val="none"/>
        </w:rPr>
      </w:pPr>
    </w:p>
    <w:p w14:paraId="101F1750">
      <w:pPr>
        <w:shd w:val="clear"/>
        <w:spacing w:line="360" w:lineRule="auto"/>
        <w:ind w:firstLine="480" w:firstLineChars="200"/>
        <w:jc w:val="left"/>
        <w:rPr>
          <w:rFonts w:cs="仿宋" w:asciiTheme="majorEastAsia" w:hAnsiTheme="majorEastAsia" w:eastAsiaTheme="majorEastAsia"/>
          <w:color w:val="auto"/>
          <w:sz w:val="24"/>
          <w:highlight w:val="none"/>
        </w:rPr>
      </w:pPr>
    </w:p>
    <w:p w14:paraId="1F125DE1">
      <w:pPr>
        <w:shd w:val="clear"/>
        <w:adjustRightInd w:val="0"/>
        <w:spacing w:line="360" w:lineRule="auto"/>
        <w:ind w:firstLine="2400" w:firstLineChars="1000"/>
        <w:jc w:val="lef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            法定代表人或其授权委托人（签名或印章）：</w:t>
      </w:r>
    </w:p>
    <w:p w14:paraId="2DAF7CAC">
      <w:pPr>
        <w:shd w:val="clear"/>
        <w:adjustRightInd w:val="0"/>
        <w:spacing w:line="360" w:lineRule="auto"/>
        <w:ind w:firstLine="3840" w:firstLineChars="1600"/>
        <w:jc w:val="lef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投标人（盖章）：</w:t>
      </w:r>
    </w:p>
    <w:p w14:paraId="3C0C8E58">
      <w:pPr>
        <w:shd w:val="clear"/>
        <w:rPr>
          <w:rFonts w:asciiTheme="majorEastAsia" w:hAnsiTheme="majorEastAsia" w:eastAsiaTheme="majorEastAsia"/>
          <w:color w:val="auto"/>
          <w:highlight w:val="none"/>
        </w:rPr>
      </w:pPr>
      <w:r>
        <w:rPr>
          <w:rFonts w:hint="eastAsia" w:cs="仿宋" w:asciiTheme="majorEastAsia" w:hAnsiTheme="majorEastAsia" w:eastAsiaTheme="majorEastAsia"/>
          <w:color w:val="auto"/>
          <w:sz w:val="24"/>
          <w:highlight w:val="none"/>
        </w:rPr>
        <w:t xml:space="preserve">                                日期：</w:t>
      </w:r>
    </w:p>
    <w:p w14:paraId="71C2CE72">
      <w:pPr>
        <w:shd w:val="clear"/>
        <w:spacing w:line="360" w:lineRule="auto"/>
        <w:ind w:firstLine="643" w:firstLineChars="200"/>
        <w:jc w:val="left"/>
        <w:rPr>
          <w:rFonts w:cs="仿宋" w:asciiTheme="majorEastAsia" w:hAnsiTheme="majorEastAsia" w:eastAsiaTheme="majorEastAsia"/>
          <w:b/>
          <w:color w:val="auto"/>
          <w:sz w:val="32"/>
          <w:szCs w:val="32"/>
          <w:highlight w:val="none"/>
        </w:rPr>
      </w:pPr>
    </w:p>
    <w:p w14:paraId="08765379">
      <w:pPr>
        <w:shd w:val="clear"/>
        <w:spacing w:line="360" w:lineRule="auto"/>
        <w:rPr>
          <w:rFonts w:cs="仿宋" w:asciiTheme="majorEastAsia" w:hAnsiTheme="majorEastAsia" w:eastAsiaTheme="majorEastAsia"/>
          <w:b/>
          <w:color w:val="auto"/>
          <w:sz w:val="32"/>
          <w:szCs w:val="32"/>
          <w:highlight w:val="none"/>
        </w:rPr>
      </w:pPr>
    </w:p>
    <w:p w14:paraId="71555C23">
      <w:pPr>
        <w:numPr>
          <w:ilvl w:val="0"/>
          <w:numId w:val="3"/>
        </w:numPr>
        <w:shd w:val="clear"/>
        <w:spacing w:line="360" w:lineRule="auto"/>
        <w:jc w:val="center"/>
        <w:rPr>
          <w:rFonts w:cs="仿宋" w:asciiTheme="majorEastAsia" w:hAnsiTheme="majorEastAsia" w:eastAsiaTheme="majorEastAsia"/>
          <w:b/>
          <w:color w:val="auto"/>
          <w:spacing w:val="6"/>
          <w:sz w:val="32"/>
          <w:szCs w:val="32"/>
          <w:highlight w:val="none"/>
        </w:rPr>
      </w:pPr>
      <w:r>
        <w:rPr>
          <w:rFonts w:hint="eastAsia" w:cs="仿宋" w:asciiTheme="majorEastAsia" w:hAnsiTheme="majorEastAsia" w:eastAsiaTheme="majorEastAsia"/>
          <w:b/>
          <w:color w:val="auto"/>
          <w:spacing w:val="6"/>
          <w:sz w:val="32"/>
          <w:szCs w:val="32"/>
          <w:highlight w:val="none"/>
        </w:rPr>
        <w:br w:type="page"/>
      </w:r>
      <w:r>
        <w:rPr>
          <w:rFonts w:hint="eastAsia" w:cs="仿宋" w:asciiTheme="majorEastAsia" w:hAnsiTheme="majorEastAsia" w:eastAsiaTheme="majorEastAsia"/>
          <w:b/>
          <w:color w:val="auto"/>
          <w:spacing w:val="6"/>
          <w:sz w:val="32"/>
          <w:szCs w:val="32"/>
          <w:highlight w:val="none"/>
        </w:rPr>
        <w:t>政府采购统计基础信息表</w:t>
      </w:r>
    </w:p>
    <w:p w14:paraId="2BE841E6">
      <w:pPr>
        <w:pStyle w:val="27"/>
        <w:shd w:val="clear"/>
        <w:spacing w:line="360" w:lineRule="auto"/>
        <w:ind w:firstLine="0" w:firstLineChars="0"/>
        <w:rPr>
          <w:rFonts w:cs="仿宋" w:asciiTheme="majorEastAsia" w:hAnsiTheme="majorEastAsia" w:eastAsiaTheme="majorEastAsia"/>
          <w:color w:val="auto"/>
          <w:highlight w:val="none"/>
        </w:rPr>
      </w:pPr>
    </w:p>
    <w:tbl>
      <w:tblPr>
        <w:tblStyle w:val="21"/>
        <w:tblW w:w="8537" w:type="dxa"/>
        <w:jc w:val="center"/>
        <w:tblLayout w:type="fixed"/>
        <w:tblCellMar>
          <w:top w:w="0" w:type="dxa"/>
          <w:left w:w="108" w:type="dxa"/>
          <w:bottom w:w="0" w:type="dxa"/>
          <w:right w:w="108" w:type="dxa"/>
        </w:tblCellMar>
      </w:tblPr>
      <w:tblGrid>
        <w:gridCol w:w="4998"/>
        <w:gridCol w:w="3539"/>
      </w:tblGrid>
      <w:tr w14:paraId="7042D283">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209DC811">
            <w:pPr>
              <w:shd w:val="clear"/>
              <w:adjustRightInd w:val="0"/>
              <w:spacing w:line="360" w:lineRule="auto"/>
              <w:jc w:val="lef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采购人及采购项目名称</w:t>
            </w:r>
          </w:p>
        </w:tc>
        <w:tc>
          <w:tcPr>
            <w:tcW w:w="3539" w:type="dxa"/>
            <w:tcBorders>
              <w:top w:val="single" w:color="000000" w:sz="4" w:space="0"/>
              <w:left w:val="nil"/>
              <w:bottom w:val="single" w:color="000000" w:sz="4" w:space="0"/>
              <w:right w:val="single" w:color="000000" w:sz="4" w:space="0"/>
            </w:tcBorders>
          </w:tcPr>
          <w:p w14:paraId="0A8CD3B3">
            <w:pPr>
              <w:shd w:val="clear"/>
              <w:spacing w:line="360" w:lineRule="auto"/>
              <w:rPr>
                <w:rFonts w:cs="仿宋" w:asciiTheme="majorEastAsia" w:hAnsiTheme="majorEastAsia" w:eastAsiaTheme="majorEastAsia"/>
                <w:color w:val="auto"/>
                <w:highlight w:val="none"/>
              </w:rPr>
            </w:pPr>
          </w:p>
        </w:tc>
      </w:tr>
      <w:tr w14:paraId="06841124">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14839E64">
            <w:pPr>
              <w:shd w:val="clear"/>
              <w:adjustRightInd w:val="0"/>
              <w:spacing w:line="360" w:lineRule="auto"/>
              <w:jc w:val="lef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投标单位名称</w:t>
            </w:r>
          </w:p>
        </w:tc>
        <w:tc>
          <w:tcPr>
            <w:tcW w:w="3539" w:type="dxa"/>
            <w:tcBorders>
              <w:top w:val="single" w:color="000000" w:sz="4" w:space="0"/>
              <w:left w:val="nil"/>
              <w:bottom w:val="single" w:color="000000" w:sz="4" w:space="0"/>
              <w:right w:val="single" w:color="000000" w:sz="4" w:space="0"/>
            </w:tcBorders>
          </w:tcPr>
          <w:p w14:paraId="60A851B8">
            <w:pPr>
              <w:shd w:val="clear"/>
              <w:spacing w:line="360" w:lineRule="auto"/>
              <w:rPr>
                <w:rFonts w:cs="仿宋" w:asciiTheme="majorEastAsia" w:hAnsiTheme="majorEastAsia" w:eastAsiaTheme="majorEastAsia"/>
                <w:color w:val="auto"/>
                <w:highlight w:val="none"/>
              </w:rPr>
            </w:pPr>
          </w:p>
        </w:tc>
      </w:tr>
      <w:tr w14:paraId="1E7F9438">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7E8BA75E">
            <w:pPr>
              <w:shd w:val="clear"/>
              <w:adjustRightInd w:val="0"/>
              <w:spacing w:line="360" w:lineRule="auto"/>
              <w:jc w:val="lef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投标单位是否为外商投资企业</w:t>
            </w:r>
          </w:p>
        </w:tc>
        <w:tc>
          <w:tcPr>
            <w:tcW w:w="3539" w:type="dxa"/>
            <w:tcBorders>
              <w:top w:val="single" w:color="000000" w:sz="4" w:space="0"/>
              <w:left w:val="nil"/>
              <w:bottom w:val="single" w:color="000000" w:sz="4" w:space="0"/>
              <w:right w:val="single" w:color="000000" w:sz="4" w:space="0"/>
            </w:tcBorders>
          </w:tcPr>
          <w:p w14:paraId="28B4664F">
            <w:pPr>
              <w:shd w:val="clear"/>
              <w:spacing w:line="360" w:lineRule="auto"/>
              <w:rPr>
                <w:rFonts w:cs="仿宋" w:asciiTheme="majorEastAsia" w:hAnsiTheme="majorEastAsia" w:eastAsiaTheme="majorEastAsia"/>
                <w:color w:val="auto"/>
                <w:highlight w:val="none"/>
              </w:rPr>
            </w:pPr>
          </w:p>
        </w:tc>
      </w:tr>
      <w:tr w14:paraId="2171E795">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542E6705">
            <w:pPr>
              <w:shd w:val="clear"/>
              <w:adjustRightInd w:val="0"/>
              <w:spacing w:line="360" w:lineRule="auto"/>
              <w:jc w:val="lef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投标单位是否为宁波企业</w:t>
            </w:r>
          </w:p>
        </w:tc>
        <w:tc>
          <w:tcPr>
            <w:tcW w:w="3539" w:type="dxa"/>
            <w:tcBorders>
              <w:top w:val="single" w:color="000000" w:sz="4" w:space="0"/>
              <w:left w:val="nil"/>
              <w:bottom w:val="single" w:color="000000" w:sz="4" w:space="0"/>
              <w:right w:val="single" w:color="000000" w:sz="4" w:space="0"/>
            </w:tcBorders>
          </w:tcPr>
          <w:p w14:paraId="537ECD1B">
            <w:pPr>
              <w:shd w:val="clear"/>
              <w:spacing w:line="360" w:lineRule="auto"/>
              <w:rPr>
                <w:rFonts w:cs="仿宋" w:asciiTheme="majorEastAsia" w:hAnsiTheme="majorEastAsia" w:eastAsiaTheme="majorEastAsia"/>
                <w:color w:val="auto"/>
                <w:highlight w:val="none"/>
              </w:rPr>
            </w:pPr>
          </w:p>
        </w:tc>
      </w:tr>
      <w:tr w14:paraId="7EB6B18D">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29CCFA57">
            <w:pPr>
              <w:shd w:val="clear"/>
              <w:adjustRightInd w:val="0"/>
              <w:spacing w:line="360" w:lineRule="auto"/>
              <w:jc w:val="lef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企业划分标准类型（大型、中型、小型、微型）</w:t>
            </w:r>
          </w:p>
        </w:tc>
        <w:tc>
          <w:tcPr>
            <w:tcW w:w="3539" w:type="dxa"/>
            <w:tcBorders>
              <w:top w:val="single" w:color="000000" w:sz="4" w:space="0"/>
              <w:left w:val="nil"/>
              <w:bottom w:val="single" w:color="000000" w:sz="4" w:space="0"/>
              <w:right w:val="single" w:color="000000" w:sz="4" w:space="0"/>
            </w:tcBorders>
          </w:tcPr>
          <w:p w14:paraId="1109869A">
            <w:pPr>
              <w:shd w:val="clear"/>
              <w:spacing w:line="360" w:lineRule="auto"/>
              <w:rPr>
                <w:rFonts w:cs="仿宋" w:asciiTheme="majorEastAsia" w:hAnsiTheme="majorEastAsia" w:eastAsiaTheme="majorEastAsia"/>
                <w:color w:val="auto"/>
                <w:highlight w:val="none"/>
              </w:rPr>
            </w:pPr>
          </w:p>
        </w:tc>
      </w:tr>
      <w:tr w14:paraId="5143CE92">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74FBE727">
            <w:pPr>
              <w:shd w:val="clear"/>
              <w:adjustRightInd w:val="0"/>
              <w:spacing w:line="360" w:lineRule="auto"/>
              <w:jc w:val="lef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提供的货物是否本企业制造</w:t>
            </w:r>
          </w:p>
        </w:tc>
        <w:tc>
          <w:tcPr>
            <w:tcW w:w="3539" w:type="dxa"/>
            <w:tcBorders>
              <w:top w:val="single" w:color="000000" w:sz="4" w:space="0"/>
              <w:left w:val="nil"/>
              <w:bottom w:val="single" w:color="000000" w:sz="4" w:space="0"/>
              <w:right w:val="single" w:color="000000" w:sz="4" w:space="0"/>
            </w:tcBorders>
          </w:tcPr>
          <w:p w14:paraId="2358AC9C">
            <w:pPr>
              <w:shd w:val="clear"/>
              <w:spacing w:line="360" w:lineRule="auto"/>
              <w:rPr>
                <w:rFonts w:cs="仿宋" w:asciiTheme="majorEastAsia" w:hAnsiTheme="majorEastAsia" w:eastAsiaTheme="majorEastAsia"/>
                <w:color w:val="auto"/>
                <w:highlight w:val="none"/>
              </w:rPr>
            </w:pPr>
          </w:p>
        </w:tc>
      </w:tr>
      <w:tr w14:paraId="2BCDE505">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11881CE3">
            <w:pPr>
              <w:shd w:val="clear"/>
              <w:adjustRightInd w:val="0"/>
              <w:spacing w:line="360" w:lineRule="auto"/>
              <w:jc w:val="lef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货物原产地国别</w:t>
            </w:r>
          </w:p>
        </w:tc>
        <w:tc>
          <w:tcPr>
            <w:tcW w:w="3539" w:type="dxa"/>
            <w:tcBorders>
              <w:top w:val="single" w:color="000000" w:sz="4" w:space="0"/>
              <w:left w:val="nil"/>
              <w:bottom w:val="single" w:color="000000" w:sz="4" w:space="0"/>
              <w:right w:val="single" w:color="000000" w:sz="4" w:space="0"/>
            </w:tcBorders>
          </w:tcPr>
          <w:p w14:paraId="72A64A5D">
            <w:pPr>
              <w:shd w:val="clear"/>
              <w:spacing w:line="360" w:lineRule="auto"/>
              <w:rPr>
                <w:rFonts w:cs="仿宋" w:asciiTheme="majorEastAsia" w:hAnsiTheme="majorEastAsia" w:eastAsiaTheme="majorEastAsia"/>
                <w:color w:val="auto"/>
                <w:highlight w:val="none"/>
              </w:rPr>
            </w:pPr>
          </w:p>
        </w:tc>
      </w:tr>
      <w:tr w14:paraId="77E3DD50">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6190FF55">
            <w:pPr>
              <w:shd w:val="clear"/>
              <w:adjustRightInd w:val="0"/>
              <w:spacing w:line="360" w:lineRule="auto"/>
              <w:jc w:val="lef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提供的货物是否为节能清单产品</w:t>
            </w:r>
          </w:p>
        </w:tc>
        <w:tc>
          <w:tcPr>
            <w:tcW w:w="3539" w:type="dxa"/>
            <w:tcBorders>
              <w:top w:val="single" w:color="000000" w:sz="4" w:space="0"/>
              <w:left w:val="nil"/>
              <w:bottom w:val="single" w:color="000000" w:sz="4" w:space="0"/>
              <w:right w:val="single" w:color="000000" w:sz="4" w:space="0"/>
            </w:tcBorders>
          </w:tcPr>
          <w:p w14:paraId="3642FE93">
            <w:pPr>
              <w:shd w:val="clear"/>
              <w:spacing w:line="360" w:lineRule="auto"/>
              <w:rPr>
                <w:rFonts w:cs="仿宋" w:asciiTheme="majorEastAsia" w:hAnsiTheme="majorEastAsia" w:eastAsiaTheme="majorEastAsia"/>
                <w:color w:val="auto"/>
                <w:highlight w:val="none"/>
              </w:rPr>
            </w:pPr>
          </w:p>
        </w:tc>
      </w:tr>
      <w:tr w14:paraId="56ECA447">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7A80937F">
            <w:pPr>
              <w:shd w:val="clear"/>
              <w:adjustRightInd w:val="0"/>
              <w:spacing w:line="360" w:lineRule="auto"/>
              <w:jc w:val="lef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提供的货物是否为环境标志清单产品</w:t>
            </w:r>
          </w:p>
        </w:tc>
        <w:tc>
          <w:tcPr>
            <w:tcW w:w="3539" w:type="dxa"/>
            <w:tcBorders>
              <w:top w:val="single" w:color="000000" w:sz="4" w:space="0"/>
              <w:left w:val="nil"/>
              <w:bottom w:val="single" w:color="000000" w:sz="4" w:space="0"/>
              <w:right w:val="single" w:color="000000" w:sz="4" w:space="0"/>
            </w:tcBorders>
          </w:tcPr>
          <w:p w14:paraId="06AFF822">
            <w:pPr>
              <w:shd w:val="clear"/>
              <w:spacing w:line="360" w:lineRule="auto"/>
              <w:rPr>
                <w:rFonts w:cs="仿宋" w:asciiTheme="majorEastAsia" w:hAnsiTheme="majorEastAsia" w:eastAsiaTheme="majorEastAsia"/>
                <w:color w:val="auto"/>
                <w:highlight w:val="none"/>
              </w:rPr>
            </w:pPr>
          </w:p>
        </w:tc>
      </w:tr>
      <w:tr w14:paraId="32E3C8B7">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2A050B8C">
            <w:pPr>
              <w:shd w:val="clear"/>
              <w:adjustRightInd w:val="0"/>
              <w:spacing w:line="360" w:lineRule="auto"/>
              <w:jc w:val="left"/>
              <w:rPr>
                <w:rFonts w:cs="仿宋" w:asciiTheme="majorEastAsia" w:hAnsiTheme="majorEastAsia" w:eastAsiaTheme="majorEastAsia"/>
                <w:color w:val="auto"/>
                <w:sz w:val="24"/>
                <w:highlight w:val="none"/>
              </w:rPr>
            </w:pPr>
            <w:bookmarkStart w:id="549" w:name="_GoBack"/>
            <w:r>
              <w:rPr>
                <w:rFonts w:hint="eastAsia" w:cs="仿宋" w:asciiTheme="majorEastAsia" w:hAnsiTheme="majorEastAsia" w:eastAsiaTheme="majorEastAsia"/>
                <w:color w:val="auto"/>
                <w:sz w:val="24"/>
                <w:highlight w:val="none"/>
              </w:rPr>
              <w:t>承担的工程或服务是否本企业提供</w:t>
            </w:r>
          </w:p>
        </w:tc>
        <w:tc>
          <w:tcPr>
            <w:tcW w:w="3539" w:type="dxa"/>
            <w:tcBorders>
              <w:top w:val="single" w:color="000000" w:sz="4" w:space="0"/>
              <w:left w:val="nil"/>
              <w:bottom w:val="single" w:color="000000" w:sz="4" w:space="0"/>
              <w:right w:val="single" w:color="000000" w:sz="4" w:space="0"/>
            </w:tcBorders>
          </w:tcPr>
          <w:p w14:paraId="6597FD8D">
            <w:pPr>
              <w:shd w:val="clear"/>
              <w:spacing w:line="360" w:lineRule="auto"/>
              <w:rPr>
                <w:rFonts w:cs="仿宋" w:asciiTheme="majorEastAsia" w:hAnsiTheme="majorEastAsia" w:eastAsiaTheme="majorEastAsia"/>
                <w:color w:val="auto"/>
                <w:highlight w:val="none"/>
              </w:rPr>
            </w:pPr>
          </w:p>
        </w:tc>
      </w:tr>
      <w:bookmarkEnd w:id="549"/>
    </w:tbl>
    <w:p w14:paraId="6B673B3A">
      <w:pPr>
        <w:shd w:val="clear"/>
        <w:adjustRightInd w:val="0"/>
        <w:spacing w:line="360" w:lineRule="auto"/>
        <w:jc w:val="left"/>
        <w:rPr>
          <w:rFonts w:cs="仿宋" w:asciiTheme="majorEastAsia" w:hAnsiTheme="majorEastAsia" w:eastAsiaTheme="majorEastAsia"/>
          <w:color w:val="auto"/>
          <w:sz w:val="24"/>
          <w:highlight w:val="none"/>
        </w:rPr>
      </w:pPr>
    </w:p>
    <w:p w14:paraId="7F163A34">
      <w:pPr>
        <w:shd w:val="clear"/>
        <w:adjustRightInd w:val="0"/>
        <w:spacing w:line="360" w:lineRule="auto"/>
        <w:jc w:val="lef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备注：请各投标人务必填写此表作为投标文件的组成部分。</w:t>
      </w:r>
    </w:p>
    <w:p w14:paraId="75E3DF58">
      <w:pPr>
        <w:shd w:val="clear"/>
        <w:adjustRightInd w:val="0"/>
        <w:spacing w:line="360" w:lineRule="auto"/>
        <w:jc w:val="left"/>
        <w:rPr>
          <w:rFonts w:cs="仿宋" w:asciiTheme="majorEastAsia" w:hAnsiTheme="majorEastAsia" w:eastAsiaTheme="majorEastAsia"/>
          <w:color w:val="auto"/>
          <w:sz w:val="24"/>
          <w:highlight w:val="none"/>
        </w:rPr>
      </w:pPr>
    </w:p>
    <w:p w14:paraId="67B864C6">
      <w:pPr>
        <w:shd w:val="clear"/>
        <w:adjustRightInd w:val="0"/>
        <w:spacing w:line="360" w:lineRule="auto"/>
        <w:jc w:val="left"/>
        <w:rPr>
          <w:rFonts w:cs="仿宋" w:asciiTheme="majorEastAsia" w:hAnsiTheme="majorEastAsia" w:eastAsiaTheme="majorEastAsia"/>
          <w:color w:val="auto"/>
          <w:sz w:val="24"/>
          <w:highlight w:val="none"/>
        </w:rPr>
      </w:pPr>
    </w:p>
    <w:p w14:paraId="23F69F67">
      <w:pPr>
        <w:shd w:val="clear"/>
        <w:adjustRightInd w:val="0"/>
        <w:spacing w:line="360" w:lineRule="auto"/>
        <w:ind w:firstLine="2400" w:firstLineChars="1000"/>
        <w:jc w:val="lef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法定代表人或其授权委托人（签名或印章）：</w:t>
      </w:r>
    </w:p>
    <w:p w14:paraId="528F3DCB">
      <w:pPr>
        <w:shd w:val="clear"/>
        <w:adjustRightInd w:val="0"/>
        <w:spacing w:line="360" w:lineRule="auto"/>
        <w:ind w:firstLine="2400" w:firstLineChars="1000"/>
        <w:jc w:val="left"/>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投标人（盖章）：</w:t>
      </w:r>
    </w:p>
    <w:p w14:paraId="204A584B">
      <w:pPr>
        <w:shd w:val="clear"/>
        <w:rPr>
          <w:rFonts w:asciiTheme="majorEastAsia" w:hAnsiTheme="majorEastAsia" w:eastAsiaTheme="majorEastAsia"/>
          <w:color w:val="auto"/>
          <w:highlight w:val="none"/>
        </w:rPr>
      </w:pPr>
      <w:r>
        <w:rPr>
          <w:rFonts w:hint="eastAsia" w:cs="仿宋" w:asciiTheme="majorEastAsia" w:hAnsiTheme="majorEastAsia" w:eastAsiaTheme="majorEastAsia"/>
          <w:color w:val="auto"/>
          <w:sz w:val="24"/>
          <w:highlight w:val="none"/>
        </w:rPr>
        <w:t xml:space="preserve">                    日期：</w:t>
      </w:r>
    </w:p>
    <w:sectPr>
      <w:pgSz w:w="11906" w:h="16838"/>
      <w:pgMar w:top="1276" w:right="1276" w:bottom="1247" w:left="1418"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宋体..鍼笁鍼.">
    <w:altName w:val="宋体"/>
    <w:panose1 w:val="00000000000000000000"/>
    <w:charset w:val="86"/>
    <w:family w:val="roman"/>
    <w:pitch w:val="default"/>
    <w:sig w:usb0="00000000" w:usb1="00000000" w:usb2="00000010" w:usb3="00000000" w:csb0="00040000"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1992518"/>
      <w:docPartObj>
        <w:docPartGallery w:val="autotext"/>
      </w:docPartObj>
    </w:sdtPr>
    <w:sdtContent>
      <w:p w14:paraId="13936373">
        <w:pPr>
          <w:pStyle w:val="14"/>
          <w:jc w:val="center"/>
        </w:pPr>
        <w:r>
          <w:fldChar w:fldCharType="begin"/>
        </w:r>
        <w:r>
          <w:instrText xml:space="preserve"> PAGE   \* MERGEFORMAT </w:instrText>
        </w:r>
        <w:r>
          <w:fldChar w:fldCharType="separate"/>
        </w:r>
        <w:r>
          <w:rPr>
            <w:lang w:val="zh-CN"/>
          </w:rPr>
          <w:t>24</w:t>
        </w:r>
        <w:r>
          <w:rPr>
            <w:lang w:val="zh-CN"/>
          </w:rPr>
          <w:fldChar w:fldCharType="end"/>
        </w:r>
      </w:p>
    </w:sdtContent>
  </w:sdt>
  <w:p w14:paraId="6BBBE7A9">
    <w:pPr>
      <w:pStyle w:val="1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1992519"/>
      <w:docPartObj>
        <w:docPartGallery w:val="autotext"/>
      </w:docPartObj>
    </w:sdtPr>
    <w:sdtContent>
      <w:p w14:paraId="48007159">
        <w:pPr>
          <w:pStyle w:val="14"/>
          <w:jc w:val="center"/>
        </w:pPr>
        <w:r>
          <w:fldChar w:fldCharType="begin"/>
        </w:r>
        <w:r>
          <w:instrText xml:space="preserve"> PAGE   \* MERGEFORMAT </w:instrText>
        </w:r>
        <w:r>
          <w:fldChar w:fldCharType="separate"/>
        </w:r>
        <w:r>
          <w:rPr>
            <w:lang w:val="zh-CN"/>
          </w:rPr>
          <w:t>35</w:t>
        </w:r>
        <w:r>
          <w:rPr>
            <w:lang w:val="zh-CN"/>
          </w:rPr>
          <w:fldChar w:fldCharType="end"/>
        </w:r>
      </w:p>
    </w:sdtContent>
  </w:sdt>
  <w:p w14:paraId="1E6F689A">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1992517"/>
      <w:docPartObj>
        <w:docPartGallery w:val="autotext"/>
      </w:docPartObj>
    </w:sdtPr>
    <w:sdtContent>
      <w:p w14:paraId="50CAFB2D">
        <w:pPr>
          <w:pStyle w:val="14"/>
          <w:jc w:val="center"/>
        </w:pPr>
        <w:r>
          <w:fldChar w:fldCharType="begin"/>
        </w:r>
        <w:r>
          <w:instrText xml:space="preserve"> PAGE   \* MERGEFORMAT </w:instrText>
        </w:r>
        <w:r>
          <w:fldChar w:fldCharType="separate"/>
        </w:r>
        <w:r>
          <w:rPr>
            <w:lang w:val="zh-CN"/>
          </w:rPr>
          <w:t>33</w:t>
        </w:r>
        <w:r>
          <w:rPr>
            <w:lang w:val="zh-CN"/>
          </w:rPr>
          <w:fldChar w:fldCharType="end"/>
        </w:r>
      </w:p>
    </w:sdtContent>
  </w:sdt>
  <w:p w14:paraId="35259A1E">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1992521"/>
      <w:docPartObj>
        <w:docPartGallery w:val="autotext"/>
      </w:docPartObj>
    </w:sdtPr>
    <w:sdtContent>
      <w:p w14:paraId="75C7FECA">
        <w:pPr>
          <w:pStyle w:val="14"/>
          <w:jc w:val="center"/>
        </w:pPr>
        <w:r>
          <w:fldChar w:fldCharType="begin"/>
        </w:r>
        <w:r>
          <w:instrText xml:space="preserve"> PAGE   \* MERGEFORMAT </w:instrText>
        </w:r>
        <w:r>
          <w:fldChar w:fldCharType="separate"/>
        </w:r>
        <w:r>
          <w:rPr>
            <w:lang w:val="zh-CN"/>
          </w:rPr>
          <w:t>77</w:t>
        </w:r>
        <w:r>
          <w:rPr>
            <w:lang w:val="zh-CN"/>
          </w:rPr>
          <w:fldChar w:fldCharType="end"/>
        </w:r>
      </w:p>
    </w:sdtContent>
  </w:sdt>
  <w:p w14:paraId="16F6BB4C">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1992520"/>
      <w:docPartObj>
        <w:docPartGallery w:val="autotext"/>
      </w:docPartObj>
    </w:sdtPr>
    <w:sdtContent>
      <w:p w14:paraId="47D4BD88">
        <w:pPr>
          <w:pStyle w:val="14"/>
          <w:jc w:val="center"/>
        </w:pPr>
        <w:r>
          <w:fldChar w:fldCharType="begin"/>
        </w:r>
        <w:r>
          <w:instrText xml:space="preserve"> PAGE   \* MERGEFORMAT </w:instrText>
        </w:r>
        <w:r>
          <w:fldChar w:fldCharType="separate"/>
        </w:r>
        <w:r>
          <w:rPr>
            <w:lang w:val="zh-CN"/>
          </w:rPr>
          <w:t>73</w:t>
        </w:r>
        <w:r>
          <w:rPr>
            <w:lang w:val="zh-CN"/>
          </w:rPr>
          <w:fldChar w:fldCharType="end"/>
        </w:r>
      </w:p>
    </w:sdtContent>
  </w:sdt>
  <w:p w14:paraId="730EAD98">
    <w:pPr>
      <w:rPr>
        <w:rFonts w:ascii="仿宋_GB2312" w:eastAsia="仿宋_GB23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2ADFAB">
    <w:pPr>
      <w:pStyle w:val="15"/>
      <w:pBdr>
        <w:bottom w:val="none" w:color="auto" w:sz="0" w:space="0"/>
      </w:pBdr>
      <w:jc w:val="right"/>
      <w:rPr>
        <w:rFonts w:ascii="仿宋_GB2312" w:eastAsia="仿宋_GB2312"/>
        <w:b/>
        <w:i/>
        <w:u w:val="single"/>
      </w:rPr>
    </w:pPr>
    <w:r>
      <w: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13AAC9">
    <w:pPr>
      <w:pStyle w:val="15"/>
      <w:pBdr>
        <w:bottom w:val="none" w:color="auto" w:sz="0" w:space="0"/>
      </w:pBdr>
      <w:jc w:val="right"/>
    </w:pPr>
    <w:r>
      <w: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93AB8F">
    <w:pPr>
      <w:pStyle w:val="15"/>
      <w:pBdr>
        <w:bottom w:val="none" w:color="auto" w:sz="0" w:space="0"/>
      </w:pBdr>
      <w:jc w:val="right"/>
      <w:rPr>
        <w:rFonts w:ascii="仿宋_GB2312" w:eastAsia="仿宋_GB2312"/>
        <w:b/>
        <w:i/>
        <w:u w:val="single"/>
      </w:rPr>
    </w:pPr>
  </w:p>
  <w:p w14:paraId="270650AE">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1748E2">
    <w:pPr>
      <w:pStyle w:val="15"/>
      <w:pBdr>
        <w:bottom w:val="none" w:color="auto" w:sz="0" w:space="0"/>
      </w:pBd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D225D33"/>
    <w:multiLevelType w:val="singleLevel"/>
    <w:tmpl w:val="9D225D33"/>
    <w:lvl w:ilvl="0" w:tentative="0">
      <w:start w:val="5"/>
      <w:numFmt w:val="chineseCounting"/>
      <w:suff w:val="nothing"/>
      <w:lvlText w:val="%1、"/>
      <w:lvlJc w:val="left"/>
      <w:rPr>
        <w:rFonts w:hint="eastAsia"/>
      </w:rPr>
    </w:lvl>
  </w:abstractNum>
  <w:abstractNum w:abstractNumId="1">
    <w:nsid w:val="A95BA21C"/>
    <w:multiLevelType w:val="singleLevel"/>
    <w:tmpl w:val="A95BA21C"/>
    <w:lvl w:ilvl="0" w:tentative="0">
      <w:start w:val="1"/>
      <w:numFmt w:val="decimal"/>
      <w:suff w:val="nothing"/>
      <w:lvlText w:val="%1．"/>
      <w:lvlJc w:val="left"/>
      <w:pPr>
        <w:ind w:left="0" w:firstLine="400"/>
      </w:pPr>
      <w:rPr>
        <w:rFonts w:hint="default"/>
      </w:rPr>
    </w:lvl>
  </w:abstractNum>
  <w:abstractNum w:abstractNumId="2">
    <w:nsid w:val="2DC53F9C"/>
    <w:multiLevelType w:val="singleLevel"/>
    <w:tmpl w:val="2DC53F9C"/>
    <w:lvl w:ilvl="0" w:tentative="0">
      <w:start w:val="5"/>
      <w:numFmt w:val="chineseCounting"/>
      <w:suff w:val="space"/>
      <w:lvlText w:val="第%1部分"/>
      <w:lvlJc w:val="left"/>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1"/>
  <w:bordersDoNotSurroundFooter w:val="1"/>
  <w:hideSpellingError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NGU3MzY4Zjc0ZWNjYmRkYWJhODU4Mzc2MjQ4ZWQ4ZmQifQ=="/>
  </w:docVars>
  <w:rsids>
    <w:rsidRoot w:val="00982EB4"/>
    <w:rsid w:val="00000104"/>
    <w:rsid w:val="000011ED"/>
    <w:rsid w:val="000046B5"/>
    <w:rsid w:val="00007483"/>
    <w:rsid w:val="00010987"/>
    <w:rsid w:val="000109E0"/>
    <w:rsid w:val="00011B6B"/>
    <w:rsid w:val="000144B5"/>
    <w:rsid w:val="0001472B"/>
    <w:rsid w:val="00014D9D"/>
    <w:rsid w:val="00014F03"/>
    <w:rsid w:val="000150EC"/>
    <w:rsid w:val="000154BE"/>
    <w:rsid w:val="00015BE4"/>
    <w:rsid w:val="00016457"/>
    <w:rsid w:val="00016734"/>
    <w:rsid w:val="000177DF"/>
    <w:rsid w:val="000204A3"/>
    <w:rsid w:val="00020909"/>
    <w:rsid w:val="00020D98"/>
    <w:rsid w:val="00021C41"/>
    <w:rsid w:val="00022FC4"/>
    <w:rsid w:val="00023528"/>
    <w:rsid w:val="00023916"/>
    <w:rsid w:val="00023D09"/>
    <w:rsid w:val="00025E9B"/>
    <w:rsid w:val="00027D13"/>
    <w:rsid w:val="00027ECE"/>
    <w:rsid w:val="0003356F"/>
    <w:rsid w:val="00033F77"/>
    <w:rsid w:val="000358F6"/>
    <w:rsid w:val="000366D5"/>
    <w:rsid w:val="00036BAB"/>
    <w:rsid w:val="00037CE2"/>
    <w:rsid w:val="00041DC5"/>
    <w:rsid w:val="000421D7"/>
    <w:rsid w:val="00042466"/>
    <w:rsid w:val="0004583B"/>
    <w:rsid w:val="00046CAD"/>
    <w:rsid w:val="00047851"/>
    <w:rsid w:val="0004797E"/>
    <w:rsid w:val="000505A0"/>
    <w:rsid w:val="00051EA4"/>
    <w:rsid w:val="00052F8F"/>
    <w:rsid w:val="00053BDC"/>
    <w:rsid w:val="000543F0"/>
    <w:rsid w:val="00054F94"/>
    <w:rsid w:val="00055F5F"/>
    <w:rsid w:val="00060644"/>
    <w:rsid w:val="00060A91"/>
    <w:rsid w:val="000615E7"/>
    <w:rsid w:val="00062BC2"/>
    <w:rsid w:val="00064291"/>
    <w:rsid w:val="000662E9"/>
    <w:rsid w:val="00066719"/>
    <w:rsid w:val="000730A5"/>
    <w:rsid w:val="00073B9D"/>
    <w:rsid w:val="0007494D"/>
    <w:rsid w:val="0007527E"/>
    <w:rsid w:val="000764DA"/>
    <w:rsid w:val="0007678D"/>
    <w:rsid w:val="00076A37"/>
    <w:rsid w:val="00077B21"/>
    <w:rsid w:val="000815E8"/>
    <w:rsid w:val="00082D0B"/>
    <w:rsid w:val="00083D26"/>
    <w:rsid w:val="00083EF5"/>
    <w:rsid w:val="00084523"/>
    <w:rsid w:val="00086C83"/>
    <w:rsid w:val="00087589"/>
    <w:rsid w:val="00087622"/>
    <w:rsid w:val="00090D70"/>
    <w:rsid w:val="00090E72"/>
    <w:rsid w:val="00092EAF"/>
    <w:rsid w:val="00093D04"/>
    <w:rsid w:val="00094D20"/>
    <w:rsid w:val="00094D89"/>
    <w:rsid w:val="00095D46"/>
    <w:rsid w:val="00095F04"/>
    <w:rsid w:val="00097EB2"/>
    <w:rsid w:val="00097FC4"/>
    <w:rsid w:val="000A186C"/>
    <w:rsid w:val="000A2043"/>
    <w:rsid w:val="000A27C5"/>
    <w:rsid w:val="000A346C"/>
    <w:rsid w:val="000A45BD"/>
    <w:rsid w:val="000A5057"/>
    <w:rsid w:val="000A5320"/>
    <w:rsid w:val="000A601D"/>
    <w:rsid w:val="000A7CC5"/>
    <w:rsid w:val="000A7FEF"/>
    <w:rsid w:val="000B193F"/>
    <w:rsid w:val="000B2165"/>
    <w:rsid w:val="000B2934"/>
    <w:rsid w:val="000B3C83"/>
    <w:rsid w:val="000B71A0"/>
    <w:rsid w:val="000C0FD4"/>
    <w:rsid w:val="000C1575"/>
    <w:rsid w:val="000C1CB3"/>
    <w:rsid w:val="000C2479"/>
    <w:rsid w:val="000C4E52"/>
    <w:rsid w:val="000C52D5"/>
    <w:rsid w:val="000C548A"/>
    <w:rsid w:val="000C6603"/>
    <w:rsid w:val="000D065A"/>
    <w:rsid w:val="000D087D"/>
    <w:rsid w:val="000D19A5"/>
    <w:rsid w:val="000D46B9"/>
    <w:rsid w:val="000D777D"/>
    <w:rsid w:val="000D7CE4"/>
    <w:rsid w:val="000E067D"/>
    <w:rsid w:val="000E0F3D"/>
    <w:rsid w:val="000E0F41"/>
    <w:rsid w:val="000E1A4E"/>
    <w:rsid w:val="000E30EB"/>
    <w:rsid w:val="000E448A"/>
    <w:rsid w:val="000E5235"/>
    <w:rsid w:val="000E56FF"/>
    <w:rsid w:val="000E70A8"/>
    <w:rsid w:val="000E7729"/>
    <w:rsid w:val="000E7942"/>
    <w:rsid w:val="000F14C4"/>
    <w:rsid w:val="000F2A44"/>
    <w:rsid w:val="000F2D85"/>
    <w:rsid w:val="000F55C9"/>
    <w:rsid w:val="00100491"/>
    <w:rsid w:val="00100B42"/>
    <w:rsid w:val="00100E6E"/>
    <w:rsid w:val="00103C3E"/>
    <w:rsid w:val="0010413B"/>
    <w:rsid w:val="00104D81"/>
    <w:rsid w:val="00104D98"/>
    <w:rsid w:val="001068A6"/>
    <w:rsid w:val="001078AD"/>
    <w:rsid w:val="001078BB"/>
    <w:rsid w:val="00112DCE"/>
    <w:rsid w:val="0011417A"/>
    <w:rsid w:val="00115832"/>
    <w:rsid w:val="0011590F"/>
    <w:rsid w:val="00116B7A"/>
    <w:rsid w:val="001178F8"/>
    <w:rsid w:val="00120D94"/>
    <w:rsid w:val="00121C41"/>
    <w:rsid w:val="00121CF9"/>
    <w:rsid w:val="00123D94"/>
    <w:rsid w:val="00123DF6"/>
    <w:rsid w:val="001255D8"/>
    <w:rsid w:val="00126C60"/>
    <w:rsid w:val="0012746D"/>
    <w:rsid w:val="00130C36"/>
    <w:rsid w:val="0013188E"/>
    <w:rsid w:val="00131BC3"/>
    <w:rsid w:val="00133B12"/>
    <w:rsid w:val="001369B4"/>
    <w:rsid w:val="00136A9C"/>
    <w:rsid w:val="001401C9"/>
    <w:rsid w:val="00141811"/>
    <w:rsid w:val="001428D4"/>
    <w:rsid w:val="001435DE"/>
    <w:rsid w:val="00143AD2"/>
    <w:rsid w:val="001440F6"/>
    <w:rsid w:val="00145702"/>
    <w:rsid w:val="001464D2"/>
    <w:rsid w:val="001467C7"/>
    <w:rsid w:val="00146AA0"/>
    <w:rsid w:val="00147E47"/>
    <w:rsid w:val="0015267E"/>
    <w:rsid w:val="00152DFB"/>
    <w:rsid w:val="00153E97"/>
    <w:rsid w:val="0015469A"/>
    <w:rsid w:val="001553AB"/>
    <w:rsid w:val="00155AE1"/>
    <w:rsid w:val="00155FBB"/>
    <w:rsid w:val="00157CC1"/>
    <w:rsid w:val="00160E61"/>
    <w:rsid w:val="0016183A"/>
    <w:rsid w:val="001625EA"/>
    <w:rsid w:val="00163B23"/>
    <w:rsid w:val="00166537"/>
    <w:rsid w:val="001673AD"/>
    <w:rsid w:val="00167C34"/>
    <w:rsid w:val="001716B0"/>
    <w:rsid w:val="00172162"/>
    <w:rsid w:val="00172F02"/>
    <w:rsid w:val="001758DF"/>
    <w:rsid w:val="00175D95"/>
    <w:rsid w:val="00177CB8"/>
    <w:rsid w:val="0018155A"/>
    <w:rsid w:val="00181FA0"/>
    <w:rsid w:val="001863A2"/>
    <w:rsid w:val="00186559"/>
    <w:rsid w:val="0018796E"/>
    <w:rsid w:val="00191458"/>
    <w:rsid w:val="00193804"/>
    <w:rsid w:val="00195E57"/>
    <w:rsid w:val="00197AEE"/>
    <w:rsid w:val="00197D87"/>
    <w:rsid w:val="001A0DB1"/>
    <w:rsid w:val="001A1C08"/>
    <w:rsid w:val="001A2203"/>
    <w:rsid w:val="001A2E09"/>
    <w:rsid w:val="001A44C9"/>
    <w:rsid w:val="001A4C25"/>
    <w:rsid w:val="001A4F22"/>
    <w:rsid w:val="001A540E"/>
    <w:rsid w:val="001B0FCD"/>
    <w:rsid w:val="001B1710"/>
    <w:rsid w:val="001B2FBB"/>
    <w:rsid w:val="001C099B"/>
    <w:rsid w:val="001C1283"/>
    <w:rsid w:val="001C1CC7"/>
    <w:rsid w:val="001C2776"/>
    <w:rsid w:val="001C50CE"/>
    <w:rsid w:val="001C6485"/>
    <w:rsid w:val="001D3641"/>
    <w:rsid w:val="001D4D8B"/>
    <w:rsid w:val="001D5532"/>
    <w:rsid w:val="001D5A71"/>
    <w:rsid w:val="001D5B74"/>
    <w:rsid w:val="001D6FF1"/>
    <w:rsid w:val="001D711D"/>
    <w:rsid w:val="001D7220"/>
    <w:rsid w:val="001D7782"/>
    <w:rsid w:val="001E0F49"/>
    <w:rsid w:val="001E10FC"/>
    <w:rsid w:val="001E1527"/>
    <w:rsid w:val="001E47B3"/>
    <w:rsid w:val="001E50C6"/>
    <w:rsid w:val="001E6407"/>
    <w:rsid w:val="001E7ADC"/>
    <w:rsid w:val="001E7FAD"/>
    <w:rsid w:val="001F3EFC"/>
    <w:rsid w:val="001F402A"/>
    <w:rsid w:val="00201B21"/>
    <w:rsid w:val="00202528"/>
    <w:rsid w:val="00205130"/>
    <w:rsid w:val="0020676C"/>
    <w:rsid w:val="00210774"/>
    <w:rsid w:val="002120B2"/>
    <w:rsid w:val="002124DB"/>
    <w:rsid w:val="00212673"/>
    <w:rsid w:val="00212FE1"/>
    <w:rsid w:val="00215736"/>
    <w:rsid w:val="0021616E"/>
    <w:rsid w:val="0021637F"/>
    <w:rsid w:val="00216A68"/>
    <w:rsid w:val="00217AE1"/>
    <w:rsid w:val="00220845"/>
    <w:rsid w:val="00221431"/>
    <w:rsid w:val="002219AF"/>
    <w:rsid w:val="00223803"/>
    <w:rsid w:val="002245AE"/>
    <w:rsid w:val="002260F7"/>
    <w:rsid w:val="00226572"/>
    <w:rsid w:val="00226ED1"/>
    <w:rsid w:val="0023288D"/>
    <w:rsid w:val="00233B9F"/>
    <w:rsid w:val="0023451A"/>
    <w:rsid w:val="00236877"/>
    <w:rsid w:val="00236B13"/>
    <w:rsid w:val="00240211"/>
    <w:rsid w:val="0024092E"/>
    <w:rsid w:val="00240D1B"/>
    <w:rsid w:val="002435CF"/>
    <w:rsid w:val="00243E11"/>
    <w:rsid w:val="002452BE"/>
    <w:rsid w:val="00245FC6"/>
    <w:rsid w:val="00251F45"/>
    <w:rsid w:val="00256625"/>
    <w:rsid w:val="0025781D"/>
    <w:rsid w:val="00257FDF"/>
    <w:rsid w:val="00262BF2"/>
    <w:rsid w:val="00262F04"/>
    <w:rsid w:val="002663C6"/>
    <w:rsid w:val="0026742E"/>
    <w:rsid w:val="00267F25"/>
    <w:rsid w:val="0027141A"/>
    <w:rsid w:val="00272D28"/>
    <w:rsid w:val="0027348D"/>
    <w:rsid w:val="00275F3F"/>
    <w:rsid w:val="00280BA4"/>
    <w:rsid w:val="00282754"/>
    <w:rsid w:val="00284C05"/>
    <w:rsid w:val="002861D7"/>
    <w:rsid w:val="00286DF5"/>
    <w:rsid w:val="0028702B"/>
    <w:rsid w:val="00290B8D"/>
    <w:rsid w:val="002916BB"/>
    <w:rsid w:val="00291EE2"/>
    <w:rsid w:val="00292257"/>
    <w:rsid w:val="00292B0C"/>
    <w:rsid w:val="0029390A"/>
    <w:rsid w:val="00293BC0"/>
    <w:rsid w:val="00295368"/>
    <w:rsid w:val="00297C92"/>
    <w:rsid w:val="002A0793"/>
    <w:rsid w:val="002A0CDB"/>
    <w:rsid w:val="002A457C"/>
    <w:rsid w:val="002A4D55"/>
    <w:rsid w:val="002A77CA"/>
    <w:rsid w:val="002B287B"/>
    <w:rsid w:val="002B59B8"/>
    <w:rsid w:val="002B7339"/>
    <w:rsid w:val="002C014B"/>
    <w:rsid w:val="002C0DE9"/>
    <w:rsid w:val="002C14B7"/>
    <w:rsid w:val="002C16B7"/>
    <w:rsid w:val="002C23B8"/>
    <w:rsid w:val="002C2431"/>
    <w:rsid w:val="002C24E7"/>
    <w:rsid w:val="002C31A9"/>
    <w:rsid w:val="002C5971"/>
    <w:rsid w:val="002C5A5E"/>
    <w:rsid w:val="002C6827"/>
    <w:rsid w:val="002C7D5B"/>
    <w:rsid w:val="002D03A0"/>
    <w:rsid w:val="002D064E"/>
    <w:rsid w:val="002D1461"/>
    <w:rsid w:val="002D146F"/>
    <w:rsid w:val="002D2354"/>
    <w:rsid w:val="002D366B"/>
    <w:rsid w:val="002E0B2F"/>
    <w:rsid w:val="002E181C"/>
    <w:rsid w:val="002E3E6B"/>
    <w:rsid w:val="002E47C6"/>
    <w:rsid w:val="002E5BFC"/>
    <w:rsid w:val="002E7FF8"/>
    <w:rsid w:val="002F0CBD"/>
    <w:rsid w:val="002F1BDF"/>
    <w:rsid w:val="002F313C"/>
    <w:rsid w:val="002F496E"/>
    <w:rsid w:val="002F4F00"/>
    <w:rsid w:val="002F5C5B"/>
    <w:rsid w:val="002F5D99"/>
    <w:rsid w:val="002F7A41"/>
    <w:rsid w:val="002F7D2B"/>
    <w:rsid w:val="003009F4"/>
    <w:rsid w:val="00300F06"/>
    <w:rsid w:val="00301564"/>
    <w:rsid w:val="003016E6"/>
    <w:rsid w:val="00304AB9"/>
    <w:rsid w:val="0030528E"/>
    <w:rsid w:val="003058C4"/>
    <w:rsid w:val="00305B75"/>
    <w:rsid w:val="003133F1"/>
    <w:rsid w:val="00314521"/>
    <w:rsid w:val="003146F6"/>
    <w:rsid w:val="00314897"/>
    <w:rsid w:val="00314FA4"/>
    <w:rsid w:val="00316342"/>
    <w:rsid w:val="003216B0"/>
    <w:rsid w:val="00323BB1"/>
    <w:rsid w:val="00324984"/>
    <w:rsid w:val="003257F8"/>
    <w:rsid w:val="00331A77"/>
    <w:rsid w:val="0033341C"/>
    <w:rsid w:val="003339FD"/>
    <w:rsid w:val="0033776F"/>
    <w:rsid w:val="003422B6"/>
    <w:rsid w:val="003437A4"/>
    <w:rsid w:val="00343C3F"/>
    <w:rsid w:val="00343E6F"/>
    <w:rsid w:val="003440E1"/>
    <w:rsid w:val="00344451"/>
    <w:rsid w:val="00344FB6"/>
    <w:rsid w:val="00346755"/>
    <w:rsid w:val="0034703A"/>
    <w:rsid w:val="00350BEC"/>
    <w:rsid w:val="00351F0C"/>
    <w:rsid w:val="003549BF"/>
    <w:rsid w:val="00360D8F"/>
    <w:rsid w:val="00361BDE"/>
    <w:rsid w:val="00361CE7"/>
    <w:rsid w:val="00364B5E"/>
    <w:rsid w:val="00364CAB"/>
    <w:rsid w:val="00365396"/>
    <w:rsid w:val="00367520"/>
    <w:rsid w:val="00372A03"/>
    <w:rsid w:val="00372D42"/>
    <w:rsid w:val="00376391"/>
    <w:rsid w:val="003773A8"/>
    <w:rsid w:val="0037760F"/>
    <w:rsid w:val="003779B1"/>
    <w:rsid w:val="00381FDF"/>
    <w:rsid w:val="00383A29"/>
    <w:rsid w:val="00386233"/>
    <w:rsid w:val="00390B5C"/>
    <w:rsid w:val="00393738"/>
    <w:rsid w:val="00394254"/>
    <w:rsid w:val="00394534"/>
    <w:rsid w:val="003954E9"/>
    <w:rsid w:val="0039596A"/>
    <w:rsid w:val="003963DE"/>
    <w:rsid w:val="003963F0"/>
    <w:rsid w:val="00397055"/>
    <w:rsid w:val="00397322"/>
    <w:rsid w:val="003A0205"/>
    <w:rsid w:val="003A4A64"/>
    <w:rsid w:val="003A5059"/>
    <w:rsid w:val="003A51B4"/>
    <w:rsid w:val="003A5D30"/>
    <w:rsid w:val="003A62B3"/>
    <w:rsid w:val="003B08E1"/>
    <w:rsid w:val="003B161B"/>
    <w:rsid w:val="003B27A3"/>
    <w:rsid w:val="003B455D"/>
    <w:rsid w:val="003B4C59"/>
    <w:rsid w:val="003B71D0"/>
    <w:rsid w:val="003C3185"/>
    <w:rsid w:val="003C3485"/>
    <w:rsid w:val="003C538F"/>
    <w:rsid w:val="003C65C7"/>
    <w:rsid w:val="003C7C5E"/>
    <w:rsid w:val="003C7FC6"/>
    <w:rsid w:val="003D03D0"/>
    <w:rsid w:val="003D63E2"/>
    <w:rsid w:val="003D668C"/>
    <w:rsid w:val="003D6D44"/>
    <w:rsid w:val="003E0550"/>
    <w:rsid w:val="003E0920"/>
    <w:rsid w:val="003E1BDA"/>
    <w:rsid w:val="003E357C"/>
    <w:rsid w:val="003E4CF0"/>
    <w:rsid w:val="003E4E12"/>
    <w:rsid w:val="003E51FE"/>
    <w:rsid w:val="003E6C33"/>
    <w:rsid w:val="003E6FBA"/>
    <w:rsid w:val="003F0F37"/>
    <w:rsid w:val="003F47A1"/>
    <w:rsid w:val="003F51A9"/>
    <w:rsid w:val="003F6862"/>
    <w:rsid w:val="003F7290"/>
    <w:rsid w:val="00400CA7"/>
    <w:rsid w:val="00400E16"/>
    <w:rsid w:val="004011A8"/>
    <w:rsid w:val="004025D4"/>
    <w:rsid w:val="00403BB9"/>
    <w:rsid w:val="00405C42"/>
    <w:rsid w:val="00410852"/>
    <w:rsid w:val="00410E05"/>
    <w:rsid w:val="00410F05"/>
    <w:rsid w:val="00410F89"/>
    <w:rsid w:val="00410FF5"/>
    <w:rsid w:val="00412A6C"/>
    <w:rsid w:val="00414840"/>
    <w:rsid w:val="00415E07"/>
    <w:rsid w:val="0042068D"/>
    <w:rsid w:val="00420741"/>
    <w:rsid w:val="0042191F"/>
    <w:rsid w:val="00423A7A"/>
    <w:rsid w:val="004245F3"/>
    <w:rsid w:val="00424FA8"/>
    <w:rsid w:val="0043035E"/>
    <w:rsid w:val="00431CCC"/>
    <w:rsid w:val="0043204C"/>
    <w:rsid w:val="00434975"/>
    <w:rsid w:val="00434F8F"/>
    <w:rsid w:val="00435258"/>
    <w:rsid w:val="00435595"/>
    <w:rsid w:val="00435D6D"/>
    <w:rsid w:val="00440FC8"/>
    <w:rsid w:val="00441AC4"/>
    <w:rsid w:val="00444534"/>
    <w:rsid w:val="00444ACF"/>
    <w:rsid w:val="004454DA"/>
    <w:rsid w:val="00445B7C"/>
    <w:rsid w:val="00445FAC"/>
    <w:rsid w:val="00446974"/>
    <w:rsid w:val="00446AFD"/>
    <w:rsid w:val="0044702C"/>
    <w:rsid w:val="00450690"/>
    <w:rsid w:val="00452882"/>
    <w:rsid w:val="00452EE6"/>
    <w:rsid w:val="00453926"/>
    <w:rsid w:val="00455BCB"/>
    <w:rsid w:val="0045620E"/>
    <w:rsid w:val="00456929"/>
    <w:rsid w:val="0045709F"/>
    <w:rsid w:val="00457152"/>
    <w:rsid w:val="004572C7"/>
    <w:rsid w:val="00460BD6"/>
    <w:rsid w:val="00461269"/>
    <w:rsid w:val="004625BC"/>
    <w:rsid w:val="004625F6"/>
    <w:rsid w:val="00462A44"/>
    <w:rsid w:val="00463C90"/>
    <w:rsid w:val="00465485"/>
    <w:rsid w:val="004673EF"/>
    <w:rsid w:val="00467FB8"/>
    <w:rsid w:val="00470313"/>
    <w:rsid w:val="00472AF2"/>
    <w:rsid w:val="00475DC4"/>
    <w:rsid w:val="0047696E"/>
    <w:rsid w:val="00480329"/>
    <w:rsid w:val="004809C8"/>
    <w:rsid w:val="00481748"/>
    <w:rsid w:val="00482EBD"/>
    <w:rsid w:val="004834C1"/>
    <w:rsid w:val="004838AD"/>
    <w:rsid w:val="00483F96"/>
    <w:rsid w:val="00484B28"/>
    <w:rsid w:val="0049036D"/>
    <w:rsid w:val="0049180C"/>
    <w:rsid w:val="004930B2"/>
    <w:rsid w:val="0049467F"/>
    <w:rsid w:val="004954C1"/>
    <w:rsid w:val="00496907"/>
    <w:rsid w:val="00497A1D"/>
    <w:rsid w:val="004A02D5"/>
    <w:rsid w:val="004A0BD3"/>
    <w:rsid w:val="004A2B10"/>
    <w:rsid w:val="004A3ECA"/>
    <w:rsid w:val="004A5502"/>
    <w:rsid w:val="004A7B34"/>
    <w:rsid w:val="004B17EA"/>
    <w:rsid w:val="004B29B5"/>
    <w:rsid w:val="004B3E8D"/>
    <w:rsid w:val="004B474D"/>
    <w:rsid w:val="004B4AEE"/>
    <w:rsid w:val="004B5A96"/>
    <w:rsid w:val="004B69B8"/>
    <w:rsid w:val="004B6F44"/>
    <w:rsid w:val="004B6F99"/>
    <w:rsid w:val="004B79BD"/>
    <w:rsid w:val="004C4F5A"/>
    <w:rsid w:val="004C59E7"/>
    <w:rsid w:val="004C5FBD"/>
    <w:rsid w:val="004C6A31"/>
    <w:rsid w:val="004C7903"/>
    <w:rsid w:val="004D0D8A"/>
    <w:rsid w:val="004D2661"/>
    <w:rsid w:val="004E054E"/>
    <w:rsid w:val="004E06BE"/>
    <w:rsid w:val="004E0729"/>
    <w:rsid w:val="004E11CE"/>
    <w:rsid w:val="004E23EB"/>
    <w:rsid w:val="004E3BEF"/>
    <w:rsid w:val="004E4757"/>
    <w:rsid w:val="004E4BC8"/>
    <w:rsid w:val="004E5283"/>
    <w:rsid w:val="004E7224"/>
    <w:rsid w:val="004E7910"/>
    <w:rsid w:val="004F087F"/>
    <w:rsid w:val="004F1E9D"/>
    <w:rsid w:val="004F34F3"/>
    <w:rsid w:val="004F567A"/>
    <w:rsid w:val="004F6E1E"/>
    <w:rsid w:val="004F7996"/>
    <w:rsid w:val="00500863"/>
    <w:rsid w:val="005047BD"/>
    <w:rsid w:val="0050526E"/>
    <w:rsid w:val="00506277"/>
    <w:rsid w:val="00507B69"/>
    <w:rsid w:val="005126AD"/>
    <w:rsid w:val="00513D4C"/>
    <w:rsid w:val="00514863"/>
    <w:rsid w:val="00515950"/>
    <w:rsid w:val="00515F75"/>
    <w:rsid w:val="00516286"/>
    <w:rsid w:val="00516F8E"/>
    <w:rsid w:val="005220A1"/>
    <w:rsid w:val="0052733C"/>
    <w:rsid w:val="005324CF"/>
    <w:rsid w:val="005326F3"/>
    <w:rsid w:val="00533590"/>
    <w:rsid w:val="00534A67"/>
    <w:rsid w:val="005369E7"/>
    <w:rsid w:val="00537E78"/>
    <w:rsid w:val="00540B7B"/>
    <w:rsid w:val="00540CE9"/>
    <w:rsid w:val="00541D3F"/>
    <w:rsid w:val="00542029"/>
    <w:rsid w:val="005431DD"/>
    <w:rsid w:val="00543EDC"/>
    <w:rsid w:val="005443FD"/>
    <w:rsid w:val="00544682"/>
    <w:rsid w:val="005446A5"/>
    <w:rsid w:val="00544748"/>
    <w:rsid w:val="00545385"/>
    <w:rsid w:val="00545EB5"/>
    <w:rsid w:val="00550EE6"/>
    <w:rsid w:val="005537BE"/>
    <w:rsid w:val="005541B3"/>
    <w:rsid w:val="00555D80"/>
    <w:rsid w:val="00556D68"/>
    <w:rsid w:val="00557E5F"/>
    <w:rsid w:val="00560D13"/>
    <w:rsid w:val="0056142D"/>
    <w:rsid w:val="005635D3"/>
    <w:rsid w:val="00564CAE"/>
    <w:rsid w:val="00565FE9"/>
    <w:rsid w:val="005706BD"/>
    <w:rsid w:val="00570812"/>
    <w:rsid w:val="00570869"/>
    <w:rsid w:val="00570973"/>
    <w:rsid w:val="0057454A"/>
    <w:rsid w:val="00574688"/>
    <w:rsid w:val="00574D46"/>
    <w:rsid w:val="00575B98"/>
    <w:rsid w:val="00575EE5"/>
    <w:rsid w:val="00580464"/>
    <w:rsid w:val="00580564"/>
    <w:rsid w:val="00583E31"/>
    <w:rsid w:val="0058462D"/>
    <w:rsid w:val="00586185"/>
    <w:rsid w:val="00586285"/>
    <w:rsid w:val="0059027A"/>
    <w:rsid w:val="00590484"/>
    <w:rsid w:val="00590A17"/>
    <w:rsid w:val="0059234E"/>
    <w:rsid w:val="00592796"/>
    <w:rsid w:val="00594687"/>
    <w:rsid w:val="0059679F"/>
    <w:rsid w:val="00596D12"/>
    <w:rsid w:val="00596D1F"/>
    <w:rsid w:val="0059710A"/>
    <w:rsid w:val="005A0CED"/>
    <w:rsid w:val="005A1D68"/>
    <w:rsid w:val="005A26DF"/>
    <w:rsid w:val="005A26EB"/>
    <w:rsid w:val="005A2829"/>
    <w:rsid w:val="005A3627"/>
    <w:rsid w:val="005A3E88"/>
    <w:rsid w:val="005B0674"/>
    <w:rsid w:val="005B08DE"/>
    <w:rsid w:val="005B09B1"/>
    <w:rsid w:val="005B10AA"/>
    <w:rsid w:val="005B22AE"/>
    <w:rsid w:val="005B23B3"/>
    <w:rsid w:val="005B4980"/>
    <w:rsid w:val="005B5C67"/>
    <w:rsid w:val="005B7719"/>
    <w:rsid w:val="005C02F0"/>
    <w:rsid w:val="005C0BCE"/>
    <w:rsid w:val="005C2E9B"/>
    <w:rsid w:val="005C3300"/>
    <w:rsid w:val="005C424D"/>
    <w:rsid w:val="005C472A"/>
    <w:rsid w:val="005C5BA0"/>
    <w:rsid w:val="005C5C68"/>
    <w:rsid w:val="005D071E"/>
    <w:rsid w:val="005D1053"/>
    <w:rsid w:val="005D3482"/>
    <w:rsid w:val="005D37FA"/>
    <w:rsid w:val="005D4BC8"/>
    <w:rsid w:val="005D7531"/>
    <w:rsid w:val="005E0FA8"/>
    <w:rsid w:val="005E2947"/>
    <w:rsid w:val="005E2E3F"/>
    <w:rsid w:val="005E3AD4"/>
    <w:rsid w:val="005E3CC0"/>
    <w:rsid w:val="005E6155"/>
    <w:rsid w:val="005E660E"/>
    <w:rsid w:val="005F177A"/>
    <w:rsid w:val="005F1CF8"/>
    <w:rsid w:val="005F55EA"/>
    <w:rsid w:val="0060018C"/>
    <w:rsid w:val="00601264"/>
    <w:rsid w:val="00601F5A"/>
    <w:rsid w:val="00602A12"/>
    <w:rsid w:val="00603FB2"/>
    <w:rsid w:val="006055B8"/>
    <w:rsid w:val="00606364"/>
    <w:rsid w:val="0061022C"/>
    <w:rsid w:val="006102C9"/>
    <w:rsid w:val="00611470"/>
    <w:rsid w:val="00611A7F"/>
    <w:rsid w:val="00614624"/>
    <w:rsid w:val="0061552D"/>
    <w:rsid w:val="00616488"/>
    <w:rsid w:val="00616533"/>
    <w:rsid w:val="00617486"/>
    <w:rsid w:val="0062223F"/>
    <w:rsid w:val="006225F8"/>
    <w:rsid w:val="00624FCC"/>
    <w:rsid w:val="006253D8"/>
    <w:rsid w:val="006255E6"/>
    <w:rsid w:val="00630BCF"/>
    <w:rsid w:val="00630C20"/>
    <w:rsid w:val="00632A6C"/>
    <w:rsid w:val="00633F41"/>
    <w:rsid w:val="006344A5"/>
    <w:rsid w:val="00635F6C"/>
    <w:rsid w:val="006367B8"/>
    <w:rsid w:val="006372CB"/>
    <w:rsid w:val="006418C1"/>
    <w:rsid w:val="00642144"/>
    <w:rsid w:val="00652AB5"/>
    <w:rsid w:val="0065305C"/>
    <w:rsid w:val="00654A7E"/>
    <w:rsid w:val="0065579D"/>
    <w:rsid w:val="00656082"/>
    <w:rsid w:val="0066203B"/>
    <w:rsid w:val="006620CA"/>
    <w:rsid w:val="00662AC8"/>
    <w:rsid w:val="00663900"/>
    <w:rsid w:val="006641F5"/>
    <w:rsid w:val="00665470"/>
    <w:rsid w:val="006660A3"/>
    <w:rsid w:val="006661D1"/>
    <w:rsid w:val="0066650D"/>
    <w:rsid w:val="00666E4C"/>
    <w:rsid w:val="006678C4"/>
    <w:rsid w:val="00671383"/>
    <w:rsid w:val="006739C3"/>
    <w:rsid w:val="00673A8F"/>
    <w:rsid w:val="00673D9C"/>
    <w:rsid w:val="00674414"/>
    <w:rsid w:val="006760F1"/>
    <w:rsid w:val="00681105"/>
    <w:rsid w:val="00682C81"/>
    <w:rsid w:val="00683B38"/>
    <w:rsid w:val="00683B83"/>
    <w:rsid w:val="00684FDB"/>
    <w:rsid w:val="006851D7"/>
    <w:rsid w:val="0068569C"/>
    <w:rsid w:val="0068590B"/>
    <w:rsid w:val="00686437"/>
    <w:rsid w:val="006868D8"/>
    <w:rsid w:val="006912D6"/>
    <w:rsid w:val="00693022"/>
    <w:rsid w:val="00693366"/>
    <w:rsid w:val="006968F4"/>
    <w:rsid w:val="00696B63"/>
    <w:rsid w:val="006A244D"/>
    <w:rsid w:val="006A2512"/>
    <w:rsid w:val="006A35F8"/>
    <w:rsid w:val="006A4BCC"/>
    <w:rsid w:val="006B3C28"/>
    <w:rsid w:val="006B3E43"/>
    <w:rsid w:val="006B593D"/>
    <w:rsid w:val="006B6888"/>
    <w:rsid w:val="006C040E"/>
    <w:rsid w:val="006C15CA"/>
    <w:rsid w:val="006C245C"/>
    <w:rsid w:val="006C4943"/>
    <w:rsid w:val="006C4F92"/>
    <w:rsid w:val="006C59BC"/>
    <w:rsid w:val="006C7215"/>
    <w:rsid w:val="006D1912"/>
    <w:rsid w:val="006D3BA0"/>
    <w:rsid w:val="006D43F3"/>
    <w:rsid w:val="006D4B6D"/>
    <w:rsid w:val="006D63C7"/>
    <w:rsid w:val="006E0F18"/>
    <w:rsid w:val="006E2482"/>
    <w:rsid w:val="006E6940"/>
    <w:rsid w:val="006F00BA"/>
    <w:rsid w:val="006F0CE9"/>
    <w:rsid w:val="006F395A"/>
    <w:rsid w:val="006F395B"/>
    <w:rsid w:val="006F531A"/>
    <w:rsid w:val="006F5524"/>
    <w:rsid w:val="006F71FA"/>
    <w:rsid w:val="00701830"/>
    <w:rsid w:val="0070418C"/>
    <w:rsid w:val="007050CF"/>
    <w:rsid w:val="007055EB"/>
    <w:rsid w:val="00706C27"/>
    <w:rsid w:val="00710DEC"/>
    <w:rsid w:val="00711367"/>
    <w:rsid w:val="00711D34"/>
    <w:rsid w:val="0071227C"/>
    <w:rsid w:val="00712BFE"/>
    <w:rsid w:val="00715BE4"/>
    <w:rsid w:val="00716A98"/>
    <w:rsid w:val="00720675"/>
    <w:rsid w:val="00720CA6"/>
    <w:rsid w:val="00721D0E"/>
    <w:rsid w:val="00723483"/>
    <w:rsid w:val="00724A93"/>
    <w:rsid w:val="007253F9"/>
    <w:rsid w:val="00725F88"/>
    <w:rsid w:val="00726349"/>
    <w:rsid w:val="00730AAA"/>
    <w:rsid w:val="0073103E"/>
    <w:rsid w:val="007310F6"/>
    <w:rsid w:val="00733994"/>
    <w:rsid w:val="00733A84"/>
    <w:rsid w:val="00733BBC"/>
    <w:rsid w:val="0073414E"/>
    <w:rsid w:val="007342D3"/>
    <w:rsid w:val="00734528"/>
    <w:rsid w:val="007365B4"/>
    <w:rsid w:val="00736F35"/>
    <w:rsid w:val="00737407"/>
    <w:rsid w:val="00740762"/>
    <w:rsid w:val="007410C3"/>
    <w:rsid w:val="0074116A"/>
    <w:rsid w:val="0074259E"/>
    <w:rsid w:val="0074303D"/>
    <w:rsid w:val="00744A48"/>
    <w:rsid w:val="007463F9"/>
    <w:rsid w:val="00746408"/>
    <w:rsid w:val="00746E8A"/>
    <w:rsid w:val="00747384"/>
    <w:rsid w:val="0075065E"/>
    <w:rsid w:val="00751058"/>
    <w:rsid w:val="00752017"/>
    <w:rsid w:val="007531E4"/>
    <w:rsid w:val="00753F9F"/>
    <w:rsid w:val="00754BBB"/>
    <w:rsid w:val="00755C74"/>
    <w:rsid w:val="007562D7"/>
    <w:rsid w:val="007568AD"/>
    <w:rsid w:val="00756F22"/>
    <w:rsid w:val="00756F7D"/>
    <w:rsid w:val="00762BDE"/>
    <w:rsid w:val="00763EC2"/>
    <w:rsid w:val="007649C2"/>
    <w:rsid w:val="00764A69"/>
    <w:rsid w:val="00770339"/>
    <w:rsid w:val="00771835"/>
    <w:rsid w:val="00773362"/>
    <w:rsid w:val="0077429C"/>
    <w:rsid w:val="0077439A"/>
    <w:rsid w:val="00774D6B"/>
    <w:rsid w:val="00774F61"/>
    <w:rsid w:val="00776D70"/>
    <w:rsid w:val="00777931"/>
    <w:rsid w:val="00780FC3"/>
    <w:rsid w:val="00781561"/>
    <w:rsid w:val="00782793"/>
    <w:rsid w:val="00783CCA"/>
    <w:rsid w:val="00784AC6"/>
    <w:rsid w:val="00784E33"/>
    <w:rsid w:val="00785270"/>
    <w:rsid w:val="00785611"/>
    <w:rsid w:val="0078598C"/>
    <w:rsid w:val="00785DD2"/>
    <w:rsid w:val="0078781F"/>
    <w:rsid w:val="0079093C"/>
    <w:rsid w:val="00790C91"/>
    <w:rsid w:val="007944AE"/>
    <w:rsid w:val="00794FE8"/>
    <w:rsid w:val="00796074"/>
    <w:rsid w:val="0079615B"/>
    <w:rsid w:val="00797798"/>
    <w:rsid w:val="00797985"/>
    <w:rsid w:val="007A0810"/>
    <w:rsid w:val="007A127C"/>
    <w:rsid w:val="007A1EE7"/>
    <w:rsid w:val="007A2595"/>
    <w:rsid w:val="007A2869"/>
    <w:rsid w:val="007A3B05"/>
    <w:rsid w:val="007A5490"/>
    <w:rsid w:val="007A670F"/>
    <w:rsid w:val="007B0322"/>
    <w:rsid w:val="007B6512"/>
    <w:rsid w:val="007B68D4"/>
    <w:rsid w:val="007C004B"/>
    <w:rsid w:val="007C03BD"/>
    <w:rsid w:val="007C1C99"/>
    <w:rsid w:val="007C1F94"/>
    <w:rsid w:val="007C2E2D"/>
    <w:rsid w:val="007C2EBD"/>
    <w:rsid w:val="007C460B"/>
    <w:rsid w:val="007C4AE2"/>
    <w:rsid w:val="007C54D3"/>
    <w:rsid w:val="007C552A"/>
    <w:rsid w:val="007C5DE1"/>
    <w:rsid w:val="007C62FF"/>
    <w:rsid w:val="007D0025"/>
    <w:rsid w:val="007D03E8"/>
    <w:rsid w:val="007D1086"/>
    <w:rsid w:val="007D294D"/>
    <w:rsid w:val="007D3BC9"/>
    <w:rsid w:val="007D49FD"/>
    <w:rsid w:val="007D52EB"/>
    <w:rsid w:val="007D7D83"/>
    <w:rsid w:val="007E24A2"/>
    <w:rsid w:val="007E33EC"/>
    <w:rsid w:val="007E3F4D"/>
    <w:rsid w:val="007E4043"/>
    <w:rsid w:val="007E4855"/>
    <w:rsid w:val="007E5A2D"/>
    <w:rsid w:val="007F0407"/>
    <w:rsid w:val="007F298B"/>
    <w:rsid w:val="007F496E"/>
    <w:rsid w:val="007F6636"/>
    <w:rsid w:val="007F7743"/>
    <w:rsid w:val="007F791E"/>
    <w:rsid w:val="007F7998"/>
    <w:rsid w:val="008002F7"/>
    <w:rsid w:val="008004B9"/>
    <w:rsid w:val="00801423"/>
    <w:rsid w:val="00802812"/>
    <w:rsid w:val="00802FB3"/>
    <w:rsid w:val="00803119"/>
    <w:rsid w:val="00803A0E"/>
    <w:rsid w:val="00804F4F"/>
    <w:rsid w:val="00805BBD"/>
    <w:rsid w:val="008074F0"/>
    <w:rsid w:val="0081062E"/>
    <w:rsid w:val="008113EC"/>
    <w:rsid w:val="00811547"/>
    <w:rsid w:val="00813169"/>
    <w:rsid w:val="0081439D"/>
    <w:rsid w:val="00816994"/>
    <w:rsid w:val="008207E5"/>
    <w:rsid w:val="008218B5"/>
    <w:rsid w:val="0082243C"/>
    <w:rsid w:val="00823A8D"/>
    <w:rsid w:val="008244F0"/>
    <w:rsid w:val="00824EC3"/>
    <w:rsid w:val="00827897"/>
    <w:rsid w:val="008279DD"/>
    <w:rsid w:val="00827ECD"/>
    <w:rsid w:val="00830884"/>
    <w:rsid w:val="008325E3"/>
    <w:rsid w:val="00834124"/>
    <w:rsid w:val="0083502E"/>
    <w:rsid w:val="008355B9"/>
    <w:rsid w:val="00835E9C"/>
    <w:rsid w:val="00837008"/>
    <w:rsid w:val="00841C93"/>
    <w:rsid w:val="00843C61"/>
    <w:rsid w:val="00846F52"/>
    <w:rsid w:val="00847575"/>
    <w:rsid w:val="0085034E"/>
    <w:rsid w:val="00850A81"/>
    <w:rsid w:val="00850B5D"/>
    <w:rsid w:val="00850D15"/>
    <w:rsid w:val="008510F0"/>
    <w:rsid w:val="00854231"/>
    <w:rsid w:val="008572D4"/>
    <w:rsid w:val="00860DAF"/>
    <w:rsid w:val="0086247D"/>
    <w:rsid w:val="008639F5"/>
    <w:rsid w:val="0086557A"/>
    <w:rsid w:val="008671E1"/>
    <w:rsid w:val="00867DAE"/>
    <w:rsid w:val="00871E21"/>
    <w:rsid w:val="008720E1"/>
    <w:rsid w:val="008749CE"/>
    <w:rsid w:val="00874B3D"/>
    <w:rsid w:val="00874D20"/>
    <w:rsid w:val="008815BB"/>
    <w:rsid w:val="008831B1"/>
    <w:rsid w:val="00883275"/>
    <w:rsid w:val="00883F0A"/>
    <w:rsid w:val="008840A9"/>
    <w:rsid w:val="008859E4"/>
    <w:rsid w:val="00885BE4"/>
    <w:rsid w:val="00886BF0"/>
    <w:rsid w:val="008878F0"/>
    <w:rsid w:val="008905AD"/>
    <w:rsid w:val="00890CA6"/>
    <w:rsid w:val="00892419"/>
    <w:rsid w:val="00892F4F"/>
    <w:rsid w:val="00893B31"/>
    <w:rsid w:val="00893D1C"/>
    <w:rsid w:val="00894729"/>
    <w:rsid w:val="0089560C"/>
    <w:rsid w:val="008A1082"/>
    <w:rsid w:val="008A1566"/>
    <w:rsid w:val="008A4300"/>
    <w:rsid w:val="008A50CA"/>
    <w:rsid w:val="008A5DDF"/>
    <w:rsid w:val="008A5EE5"/>
    <w:rsid w:val="008A6CFD"/>
    <w:rsid w:val="008A74E4"/>
    <w:rsid w:val="008B0156"/>
    <w:rsid w:val="008B0246"/>
    <w:rsid w:val="008B0252"/>
    <w:rsid w:val="008B1D69"/>
    <w:rsid w:val="008B3A8B"/>
    <w:rsid w:val="008B483C"/>
    <w:rsid w:val="008B496C"/>
    <w:rsid w:val="008B4E59"/>
    <w:rsid w:val="008B6056"/>
    <w:rsid w:val="008B6C06"/>
    <w:rsid w:val="008C02A5"/>
    <w:rsid w:val="008C0466"/>
    <w:rsid w:val="008C24B9"/>
    <w:rsid w:val="008C3BB6"/>
    <w:rsid w:val="008C3E90"/>
    <w:rsid w:val="008C40C2"/>
    <w:rsid w:val="008C4EBC"/>
    <w:rsid w:val="008C51CA"/>
    <w:rsid w:val="008C7259"/>
    <w:rsid w:val="008C7C15"/>
    <w:rsid w:val="008D0B9F"/>
    <w:rsid w:val="008D0D43"/>
    <w:rsid w:val="008D1410"/>
    <w:rsid w:val="008D2B99"/>
    <w:rsid w:val="008D2C3A"/>
    <w:rsid w:val="008D3558"/>
    <w:rsid w:val="008D48C0"/>
    <w:rsid w:val="008D4A88"/>
    <w:rsid w:val="008E07C6"/>
    <w:rsid w:val="008E2249"/>
    <w:rsid w:val="008E3062"/>
    <w:rsid w:val="008E3CAA"/>
    <w:rsid w:val="008E6241"/>
    <w:rsid w:val="008E62C8"/>
    <w:rsid w:val="008E6A4B"/>
    <w:rsid w:val="008F005A"/>
    <w:rsid w:val="008F0AEA"/>
    <w:rsid w:val="008F0B84"/>
    <w:rsid w:val="008F26FC"/>
    <w:rsid w:val="008F2FC4"/>
    <w:rsid w:val="008F3DB5"/>
    <w:rsid w:val="008F4D46"/>
    <w:rsid w:val="008F501A"/>
    <w:rsid w:val="008F66F3"/>
    <w:rsid w:val="008F739E"/>
    <w:rsid w:val="0090031B"/>
    <w:rsid w:val="009014AA"/>
    <w:rsid w:val="00901575"/>
    <w:rsid w:val="009024C2"/>
    <w:rsid w:val="00906AF8"/>
    <w:rsid w:val="00907489"/>
    <w:rsid w:val="00911ED5"/>
    <w:rsid w:val="0091350F"/>
    <w:rsid w:val="00914D88"/>
    <w:rsid w:val="00914FE4"/>
    <w:rsid w:val="00916743"/>
    <w:rsid w:val="00917A7F"/>
    <w:rsid w:val="00917B14"/>
    <w:rsid w:val="00917CAF"/>
    <w:rsid w:val="009210D6"/>
    <w:rsid w:val="00921EF2"/>
    <w:rsid w:val="009221E7"/>
    <w:rsid w:val="009237A8"/>
    <w:rsid w:val="00926B13"/>
    <w:rsid w:val="0093284A"/>
    <w:rsid w:val="00933DCF"/>
    <w:rsid w:val="0093466D"/>
    <w:rsid w:val="00934BF3"/>
    <w:rsid w:val="009350CB"/>
    <w:rsid w:val="00935A1D"/>
    <w:rsid w:val="009360A6"/>
    <w:rsid w:val="00936798"/>
    <w:rsid w:val="00937272"/>
    <w:rsid w:val="009372A4"/>
    <w:rsid w:val="00941409"/>
    <w:rsid w:val="00942A71"/>
    <w:rsid w:val="00943644"/>
    <w:rsid w:val="00946125"/>
    <w:rsid w:val="00946737"/>
    <w:rsid w:val="00946850"/>
    <w:rsid w:val="00947E31"/>
    <w:rsid w:val="009513FA"/>
    <w:rsid w:val="009522DD"/>
    <w:rsid w:val="00952749"/>
    <w:rsid w:val="00955025"/>
    <w:rsid w:val="0095508A"/>
    <w:rsid w:val="00957729"/>
    <w:rsid w:val="00960128"/>
    <w:rsid w:val="0096043D"/>
    <w:rsid w:val="00961FFE"/>
    <w:rsid w:val="009650F5"/>
    <w:rsid w:val="0096717B"/>
    <w:rsid w:val="009677CD"/>
    <w:rsid w:val="009702C9"/>
    <w:rsid w:val="009714DF"/>
    <w:rsid w:val="00971C77"/>
    <w:rsid w:val="0097255E"/>
    <w:rsid w:val="00972EE7"/>
    <w:rsid w:val="00973447"/>
    <w:rsid w:val="00973AC5"/>
    <w:rsid w:val="009749CE"/>
    <w:rsid w:val="0097530F"/>
    <w:rsid w:val="00976455"/>
    <w:rsid w:val="00976C57"/>
    <w:rsid w:val="00980012"/>
    <w:rsid w:val="009811E5"/>
    <w:rsid w:val="00981552"/>
    <w:rsid w:val="00982EB4"/>
    <w:rsid w:val="00983F42"/>
    <w:rsid w:val="00985B25"/>
    <w:rsid w:val="00987955"/>
    <w:rsid w:val="0099041F"/>
    <w:rsid w:val="009915DA"/>
    <w:rsid w:val="00993F98"/>
    <w:rsid w:val="00995301"/>
    <w:rsid w:val="00997117"/>
    <w:rsid w:val="0099730C"/>
    <w:rsid w:val="00997CFC"/>
    <w:rsid w:val="009A18E2"/>
    <w:rsid w:val="009A1948"/>
    <w:rsid w:val="009A2354"/>
    <w:rsid w:val="009A2C19"/>
    <w:rsid w:val="009A48D2"/>
    <w:rsid w:val="009A50B9"/>
    <w:rsid w:val="009A5DF2"/>
    <w:rsid w:val="009B0114"/>
    <w:rsid w:val="009B0D0C"/>
    <w:rsid w:val="009B1A5F"/>
    <w:rsid w:val="009B3803"/>
    <w:rsid w:val="009B43E8"/>
    <w:rsid w:val="009B48A9"/>
    <w:rsid w:val="009B570E"/>
    <w:rsid w:val="009B720F"/>
    <w:rsid w:val="009B7226"/>
    <w:rsid w:val="009B73C3"/>
    <w:rsid w:val="009C2190"/>
    <w:rsid w:val="009C4647"/>
    <w:rsid w:val="009C4D30"/>
    <w:rsid w:val="009C50EC"/>
    <w:rsid w:val="009C5231"/>
    <w:rsid w:val="009C63DB"/>
    <w:rsid w:val="009D2E89"/>
    <w:rsid w:val="009D3421"/>
    <w:rsid w:val="009D3FDF"/>
    <w:rsid w:val="009D4DDE"/>
    <w:rsid w:val="009D6515"/>
    <w:rsid w:val="009E005F"/>
    <w:rsid w:val="009E1564"/>
    <w:rsid w:val="009E1B5A"/>
    <w:rsid w:val="009E6D38"/>
    <w:rsid w:val="009F0DBE"/>
    <w:rsid w:val="009F2266"/>
    <w:rsid w:val="009F238E"/>
    <w:rsid w:val="009F4A3D"/>
    <w:rsid w:val="009F5B94"/>
    <w:rsid w:val="009F5C0E"/>
    <w:rsid w:val="009F6271"/>
    <w:rsid w:val="009F7159"/>
    <w:rsid w:val="00A0095E"/>
    <w:rsid w:val="00A02793"/>
    <w:rsid w:val="00A03BA1"/>
    <w:rsid w:val="00A04E8F"/>
    <w:rsid w:val="00A058E4"/>
    <w:rsid w:val="00A0747C"/>
    <w:rsid w:val="00A07928"/>
    <w:rsid w:val="00A112CA"/>
    <w:rsid w:val="00A112D6"/>
    <w:rsid w:val="00A12992"/>
    <w:rsid w:val="00A13336"/>
    <w:rsid w:val="00A133FD"/>
    <w:rsid w:val="00A13CFB"/>
    <w:rsid w:val="00A158F9"/>
    <w:rsid w:val="00A15C2A"/>
    <w:rsid w:val="00A213F0"/>
    <w:rsid w:val="00A23418"/>
    <w:rsid w:val="00A23DA0"/>
    <w:rsid w:val="00A25D9B"/>
    <w:rsid w:val="00A2654A"/>
    <w:rsid w:val="00A265EB"/>
    <w:rsid w:val="00A26C3F"/>
    <w:rsid w:val="00A279F0"/>
    <w:rsid w:val="00A27ED1"/>
    <w:rsid w:val="00A306BC"/>
    <w:rsid w:val="00A32BB4"/>
    <w:rsid w:val="00A33543"/>
    <w:rsid w:val="00A3437A"/>
    <w:rsid w:val="00A34C57"/>
    <w:rsid w:val="00A35F42"/>
    <w:rsid w:val="00A367FF"/>
    <w:rsid w:val="00A370A7"/>
    <w:rsid w:val="00A4186A"/>
    <w:rsid w:val="00A41E00"/>
    <w:rsid w:val="00A42BAA"/>
    <w:rsid w:val="00A47F81"/>
    <w:rsid w:val="00A51190"/>
    <w:rsid w:val="00A52831"/>
    <w:rsid w:val="00A53D1C"/>
    <w:rsid w:val="00A54E54"/>
    <w:rsid w:val="00A55C7A"/>
    <w:rsid w:val="00A56144"/>
    <w:rsid w:val="00A56508"/>
    <w:rsid w:val="00A60395"/>
    <w:rsid w:val="00A6193D"/>
    <w:rsid w:val="00A62B52"/>
    <w:rsid w:val="00A66355"/>
    <w:rsid w:val="00A677EB"/>
    <w:rsid w:val="00A70A55"/>
    <w:rsid w:val="00A71669"/>
    <w:rsid w:val="00A72A86"/>
    <w:rsid w:val="00A72AF1"/>
    <w:rsid w:val="00A74B9F"/>
    <w:rsid w:val="00A758A5"/>
    <w:rsid w:val="00A83143"/>
    <w:rsid w:val="00A83E65"/>
    <w:rsid w:val="00A84F6E"/>
    <w:rsid w:val="00A87F0E"/>
    <w:rsid w:val="00A90A4A"/>
    <w:rsid w:val="00A9244A"/>
    <w:rsid w:val="00A927F3"/>
    <w:rsid w:val="00A94A05"/>
    <w:rsid w:val="00AA018B"/>
    <w:rsid w:val="00AA0906"/>
    <w:rsid w:val="00AA0BD5"/>
    <w:rsid w:val="00AA10EB"/>
    <w:rsid w:val="00AA19E9"/>
    <w:rsid w:val="00AA1C1C"/>
    <w:rsid w:val="00AA2369"/>
    <w:rsid w:val="00AA279A"/>
    <w:rsid w:val="00AA3B57"/>
    <w:rsid w:val="00AA45D3"/>
    <w:rsid w:val="00AA4F88"/>
    <w:rsid w:val="00AA55EC"/>
    <w:rsid w:val="00AA5E7D"/>
    <w:rsid w:val="00AA6AD3"/>
    <w:rsid w:val="00AA6FB4"/>
    <w:rsid w:val="00AA73BE"/>
    <w:rsid w:val="00AB06C3"/>
    <w:rsid w:val="00AB0742"/>
    <w:rsid w:val="00AB22BB"/>
    <w:rsid w:val="00AB5787"/>
    <w:rsid w:val="00AC2090"/>
    <w:rsid w:val="00AC2630"/>
    <w:rsid w:val="00AC3066"/>
    <w:rsid w:val="00AC387D"/>
    <w:rsid w:val="00AC4BA2"/>
    <w:rsid w:val="00AC6721"/>
    <w:rsid w:val="00AD2436"/>
    <w:rsid w:val="00AD3B18"/>
    <w:rsid w:val="00AD54A8"/>
    <w:rsid w:val="00AD5DC8"/>
    <w:rsid w:val="00AE043C"/>
    <w:rsid w:val="00AE0621"/>
    <w:rsid w:val="00AE08FC"/>
    <w:rsid w:val="00AE3C2A"/>
    <w:rsid w:val="00AE3EB4"/>
    <w:rsid w:val="00AE5CE7"/>
    <w:rsid w:val="00AE5FA4"/>
    <w:rsid w:val="00AE66B2"/>
    <w:rsid w:val="00AE6C3A"/>
    <w:rsid w:val="00AF36AE"/>
    <w:rsid w:val="00AF377A"/>
    <w:rsid w:val="00AF59E6"/>
    <w:rsid w:val="00B0523E"/>
    <w:rsid w:val="00B0542A"/>
    <w:rsid w:val="00B0548E"/>
    <w:rsid w:val="00B05CA2"/>
    <w:rsid w:val="00B06A23"/>
    <w:rsid w:val="00B07C82"/>
    <w:rsid w:val="00B07C9C"/>
    <w:rsid w:val="00B11846"/>
    <w:rsid w:val="00B11E7A"/>
    <w:rsid w:val="00B12FF9"/>
    <w:rsid w:val="00B204BD"/>
    <w:rsid w:val="00B2153A"/>
    <w:rsid w:val="00B2172A"/>
    <w:rsid w:val="00B2185F"/>
    <w:rsid w:val="00B21B32"/>
    <w:rsid w:val="00B232BC"/>
    <w:rsid w:val="00B24366"/>
    <w:rsid w:val="00B26578"/>
    <w:rsid w:val="00B31C64"/>
    <w:rsid w:val="00B31EA7"/>
    <w:rsid w:val="00B3263F"/>
    <w:rsid w:val="00B338A2"/>
    <w:rsid w:val="00B3449C"/>
    <w:rsid w:val="00B357F0"/>
    <w:rsid w:val="00B3783F"/>
    <w:rsid w:val="00B400E7"/>
    <w:rsid w:val="00B408F1"/>
    <w:rsid w:val="00B40BAB"/>
    <w:rsid w:val="00B424F6"/>
    <w:rsid w:val="00B45DB2"/>
    <w:rsid w:val="00B50D57"/>
    <w:rsid w:val="00B520DE"/>
    <w:rsid w:val="00B52526"/>
    <w:rsid w:val="00B53244"/>
    <w:rsid w:val="00B533BD"/>
    <w:rsid w:val="00B54269"/>
    <w:rsid w:val="00B56A07"/>
    <w:rsid w:val="00B601E5"/>
    <w:rsid w:val="00B608A8"/>
    <w:rsid w:val="00B61BDD"/>
    <w:rsid w:val="00B638F0"/>
    <w:rsid w:val="00B644CB"/>
    <w:rsid w:val="00B64AA6"/>
    <w:rsid w:val="00B65494"/>
    <w:rsid w:val="00B66961"/>
    <w:rsid w:val="00B66D3A"/>
    <w:rsid w:val="00B6708C"/>
    <w:rsid w:val="00B67C8E"/>
    <w:rsid w:val="00B7229A"/>
    <w:rsid w:val="00B72424"/>
    <w:rsid w:val="00B73711"/>
    <w:rsid w:val="00B73B4A"/>
    <w:rsid w:val="00B73E44"/>
    <w:rsid w:val="00B76487"/>
    <w:rsid w:val="00B7663E"/>
    <w:rsid w:val="00B777A2"/>
    <w:rsid w:val="00B8009F"/>
    <w:rsid w:val="00B80194"/>
    <w:rsid w:val="00B809DB"/>
    <w:rsid w:val="00B81579"/>
    <w:rsid w:val="00B81ACD"/>
    <w:rsid w:val="00B8221A"/>
    <w:rsid w:val="00B831B6"/>
    <w:rsid w:val="00B86608"/>
    <w:rsid w:val="00B86A98"/>
    <w:rsid w:val="00B901BE"/>
    <w:rsid w:val="00B924A6"/>
    <w:rsid w:val="00B92FFF"/>
    <w:rsid w:val="00B9380D"/>
    <w:rsid w:val="00B93A7D"/>
    <w:rsid w:val="00B93C08"/>
    <w:rsid w:val="00B951E7"/>
    <w:rsid w:val="00B95BE5"/>
    <w:rsid w:val="00BA1AD1"/>
    <w:rsid w:val="00BA4B6E"/>
    <w:rsid w:val="00BA56DD"/>
    <w:rsid w:val="00BA7716"/>
    <w:rsid w:val="00BA7F9C"/>
    <w:rsid w:val="00BB0D18"/>
    <w:rsid w:val="00BB1AA3"/>
    <w:rsid w:val="00BB28F2"/>
    <w:rsid w:val="00BB346B"/>
    <w:rsid w:val="00BB36C4"/>
    <w:rsid w:val="00BB470C"/>
    <w:rsid w:val="00BB61FB"/>
    <w:rsid w:val="00BB6C1C"/>
    <w:rsid w:val="00BC0D6E"/>
    <w:rsid w:val="00BC17B3"/>
    <w:rsid w:val="00BC1B52"/>
    <w:rsid w:val="00BC3462"/>
    <w:rsid w:val="00BC4586"/>
    <w:rsid w:val="00BC5060"/>
    <w:rsid w:val="00BC61BA"/>
    <w:rsid w:val="00BC6942"/>
    <w:rsid w:val="00BC7ED7"/>
    <w:rsid w:val="00BD1D55"/>
    <w:rsid w:val="00BD3929"/>
    <w:rsid w:val="00BD5039"/>
    <w:rsid w:val="00BD55DF"/>
    <w:rsid w:val="00BD5E02"/>
    <w:rsid w:val="00BD6226"/>
    <w:rsid w:val="00BD65C0"/>
    <w:rsid w:val="00BD7905"/>
    <w:rsid w:val="00BD7947"/>
    <w:rsid w:val="00BE0DF8"/>
    <w:rsid w:val="00BE16E7"/>
    <w:rsid w:val="00BE2B85"/>
    <w:rsid w:val="00BE34AA"/>
    <w:rsid w:val="00BE54DE"/>
    <w:rsid w:val="00BF1EC5"/>
    <w:rsid w:val="00BF51AE"/>
    <w:rsid w:val="00BF59AF"/>
    <w:rsid w:val="00BF5AED"/>
    <w:rsid w:val="00BF605B"/>
    <w:rsid w:val="00BF61E2"/>
    <w:rsid w:val="00BF6A55"/>
    <w:rsid w:val="00C01D11"/>
    <w:rsid w:val="00C01DA1"/>
    <w:rsid w:val="00C020FB"/>
    <w:rsid w:val="00C04CF6"/>
    <w:rsid w:val="00C07A10"/>
    <w:rsid w:val="00C07D5F"/>
    <w:rsid w:val="00C11693"/>
    <w:rsid w:val="00C13AC7"/>
    <w:rsid w:val="00C16AD0"/>
    <w:rsid w:val="00C20233"/>
    <w:rsid w:val="00C2092F"/>
    <w:rsid w:val="00C23258"/>
    <w:rsid w:val="00C232A8"/>
    <w:rsid w:val="00C24435"/>
    <w:rsid w:val="00C26D6F"/>
    <w:rsid w:val="00C31593"/>
    <w:rsid w:val="00C3211E"/>
    <w:rsid w:val="00C3420A"/>
    <w:rsid w:val="00C3488E"/>
    <w:rsid w:val="00C3500D"/>
    <w:rsid w:val="00C3553F"/>
    <w:rsid w:val="00C35B44"/>
    <w:rsid w:val="00C35E77"/>
    <w:rsid w:val="00C37E44"/>
    <w:rsid w:val="00C40A0F"/>
    <w:rsid w:val="00C40CB2"/>
    <w:rsid w:val="00C41A86"/>
    <w:rsid w:val="00C43471"/>
    <w:rsid w:val="00C43865"/>
    <w:rsid w:val="00C44CF2"/>
    <w:rsid w:val="00C460EC"/>
    <w:rsid w:val="00C50435"/>
    <w:rsid w:val="00C50871"/>
    <w:rsid w:val="00C5399F"/>
    <w:rsid w:val="00C54B97"/>
    <w:rsid w:val="00C56A2B"/>
    <w:rsid w:val="00C60F50"/>
    <w:rsid w:val="00C61B33"/>
    <w:rsid w:val="00C627D6"/>
    <w:rsid w:val="00C62C60"/>
    <w:rsid w:val="00C633F5"/>
    <w:rsid w:val="00C63D6C"/>
    <w:rsid w:val="00C64052"/>
    <w:rsid w:val="00C64CA7"/>
    <w:rsid w:val="00C658D7"/>
    <w:rsid w:val="00C659A1"/>
    <w:rsid w:val="00C66242"/>
    <w:rsid w:val="00C66AEF"/>
    <w:rsid w:val="00C66C58"/>
    <w:rsid w:val="00C67456"/>
    <w:rsid w:val="00C67650"/>
    <w:rsid w:val="00C6770F"/>
    <w:rsid w:val="00C70F66"/>
    <w:rsid w:val="00C72131"/>
    <w:rsid w:val="00C721AB"/>
    <w:rsid w:val="00C73083"/>
    <w:rsid w:val="00C75202"/>
    <w:rsid w:val="00C75526"/>
    <w:rsid w:val="00C76AA7"/>
    <w:rsid w:val="00C7780C"/>
    <w:rsid w:val="00C8035C"/>
    <w:rsid w:val="00C80D8E"/>
    <w:rsid w:val="00C82E86"/>
    <w:rsid w:val="00C8389E"/>
    <w:rsid w:val="00C84183"/>
    <w:rsid w:val="00C85F78"/>
    <w:rsid w:val="00C860CA"/>
    <w:rsid w:val="00C87C3F"/>
    <w:rsid w:val="00C901CE"/>
    <w:rsid w:val="00C902AE"/>
    <w:rsid w:val="00C907BA"/>
    <w:rsid w:val="00C91FCF"/>
    <w:rsid w:val="00C93756"/>
    <w:rsid w:val="00C94815"/>
    <w:rsid w:val="00CA1326"/>
    <w:rsid w:val="00CA2FC4"/>
    <w:rsid w:val="00CA35DC"/>
    <w:rsid w:val="00CA4102"/>
    <w:rsid w:val="00CA5AF6"/>
    <w:rsid w:val="00CA6D89"/>
    <w:rsid w:val="00CB17EC"/>
    <w:rsid w:val="00CB1A95"/>
    <w:rsid w:val="00CB2491"/>
    <w:rsid w:val="00CB676C"/>
    <w:rsid w:val="00CB6A4F"/>
    <w:rsid w:val="00CB7475"/>
    <w:rsid w:val="00CC5721"/>
    <w:rsid w:val="00CC673C"/>
    <w:rsid w:val="00CC7089"/>
    <w:rsid w:val="00CC79B9"/>
    <w:rsid w:val="00CD0170"/>
    <w:rsid w:val="00CD2828"/>
    <w:rsid w:val="00CD2C5A"/>
    <w:rsid w:val="00CD37DE"/>
    <w:rsid w:val="00CD4F0C"/>
    <w:rsid w:val="00CD56FB"/>
    <w:rsid w:val="00CD58EA"/>
    <w:rsid w:val="00CD593D"/>
    <w:rsid w:val="00CD703C"/>
    <w:rsid w:val="00CE0B05"/>
    <w:rsid w:val="00CE4039"/>
    <w:rsid w:val="00CE45DE"/>
    <w:rsid w:val="00CE479A"/>
    <w:rsid w:val="00CE4DEA"/>
    <w:rsid w:val="00CE4E7D"/>
    <w:rsid w:val="00CE600B"/>
    <w:rsid w:val="00CE6B66"/>
    <w:rsid w:val="00CF0A98"/>
    <w:rsid w:val="00CF14CD"/>
    <w:rsid w:val="00CF2471"/>
    <w:rsid w:val="00CF37C0"/>
    <w:rsid w:val="00CF4ADA"/>
    <w:rsid w:val="00CF75E3"/>
    <w:rsid w:val="00D01FA8"/>
    <w:rsid w:val="00D03DC3"/>
    <w:rsid w:val="00D04E03"/>
    <w:rsid w:val="00D0598F"/>
    <w:rsid w:val="00D06372"/>
    <w:rsid w:val="00D1079A"/>
    <w:rsid w:val="00D1440E"/>
    <w:rsid w:val="00D14851"/>
    <w:rsid w:val="00D1508F"/>
    <w:rsid w:val="00D153F0"/>
    <w:rsid w:val="00D17D3D"/>
    <w:rsid w:val="00D227BE"/>
    <w:rsid w:val="00D22DC0"/>
    <w:rsid w:val="00D249BB"/>
    <w:rsid w:val="00D2688B"/>
    <w:rsid w:val="00D2722F"/>
    <w:rsid w:val="00D27C3C"/>
    <w:rsid w:val="00D307B7"/>
    <w:rsid w:val="00D316B7"/>
    <w:rsid w:val="00D31FA8"/>
    <w:rsid w:val="00D32545"/>
    <w:rsid w:val="00D32C13"/>
    <w:rsid w:val="00D32F26"/>
    <w:rsid w:val="00D32F29"/>
    <w:rsid w:val="00D33514"/>
    <w:rsid w:val="00D33BC7"/>
    <w:rsid w:val="00D3463C"/>
    <w:rsid w:val="00D36A5D"/>
    <w:rsid w:val="00D36BAB"/>
    <w:rsid w:val="00D41927"/>
    <w:rsid w:val="00D4276C"/>
    <w:rsid w:val="00D4349A"/>
    <w:rsid w:val="00D437E3"/>
    <w:rsid w:val="00D4547E"/>
    <w:rsid w:val="00D45E4B"/>
    <w:rsid w:val="00D4652C"/>
    <w:rsid w:val="00D46650"/>
    <w:rsid w:val="00D46749"/>
    <w:rsid w:val="00D46E86"/>
    <w:rsid w:val="00D470A1"/>
    <w:rsid w:val="00D475AC"/>
    <w:rsid w:val="00D50B0B"/>
    <w:rsid w:val="00D50EAF"/>
    <w:rsid w:val="00D51520"/>
    <w:rsid w:val="00D51826"/>
    <w:rsid w:val="00D519F2"/>
    <w:rsid w:val="00D51A8E"/>
    <w:rsid w:val="00D53316"/>
    <w:rsid w:val="00D5331A"/>
    <w:rsid w:val="00D55C59"/>
    <w:rsid w:val="00D5654D"/>
    <w:rsid w:val="00D5720C"/>
    <w:rsid w:val="00D5764B"/>
    <w:rsid w:val="00D57F86"/>
    <w:rsid w:val="00D60717"/>
    <w:rsid w:val="00D61644"/>
    <w:rsid w:val="00D617E5"/>
    <w:rsid w:val="00D61DF3"/>
    <w:rsid w:val="00D62310"/>
    <w:rsid w:val="00D63890"/>
    <w:rsid w:val="00D64438"/>
    <w:rsid w:val="00D64663"/>
    <w:rsid w:val="00D64D66"/>
    <w:rsid w:val="00D709C0"/>
    <w:rsid w:val="00D72681"/>
    <w:rsid w:val="00D72972"/>
    <w:rsid w:val="00D75034"/>
    <w:rsid w:val="00D75BB4"/>
    <w:rsid w:val="00D76EEF"/>
    <w:rsid w:val="00D775F0"/>
    <w:rsid w:val="00D80926"/>
    <w:rsid w:val="00D823D9"/>
    <w:rsid w:val="00D82BD8"/>
    <w:rsid w:val="00D82D6C"/>
    <w:rsid w:val="00D84FB2"/>
    <w:rsid w:val="00D852B1"/>
    <w:rsid w:val="00D86B58"/>
    <w:rsid w:val="00D87798"/>
    <w:rsid w:val="00D87907"/>
    <w:rsid w:val="00D87C56"/>
    <w:rsid w:val="00D901AF"/>
    <w:rsid w:val="00D92F52"/>
    <w:rsid w:val="00D931E5"/>
    <w:rsid w:val="00D932BB"/>
    <w:rsid w:val="00DA050A"/>
    <w:rsid w:val="00DA2304"/>
    <w:rsid w:val="00DA356F"/>
    <w:rsid w:val="00DA373C"/>
    <w:rsid w:val="00DA640C"/>
    <w:rsid w:val="00DA67C4"/>
    <w:rsid w:val="00DA74B3"/>
    <w:rsid w:val="00DB091B"/>
    <w:rsid w:val="00DB2829"/>
    <w:rsid w:val="00DB34E8"/>
    <w:rsid w:val="00DB3710"/>
    <w:rsid w:val="00DB4C1B"/>
    <w:rsid w:val="00DB5A28"/>
    <w:rsid w:val="00DB6BBF"/>
    <w:rsid w:val="00DB6ED1"/>
    <w:rsid w:val="00DB7A44"/>
    <w:rsid w:val="00DB7BF5"/>
    <w:rsid w:val="00DC0798"/>
    <w:rsid w:val="00DC24FB"/>
    <w:rsid w:val="00DC2E94"/>
    <w:rsid w:val="00DC4A7E"/>
    <w:rsid w:val="00DC5862"/>
    <w:rsid w:val="00DC596C"/>
    <w:rsid w:val="00DC5B41"/>
    <w:rsid w:val="00DC69A9"/>
    <w:rsid w:val="00DC73EA"/>
    <w:rsid w:val="00DD282A"/>
    <w:rsid w:val="00DD289B"/>
    <w:rsid w:val="00DD3A1C"/>
    <w:rsid w:val="00DD6506"/>
    <w:rsid w:val="00DE0CDD"/>
    <w:rsid w:val="00DE2AC6"/>
    <w:rsid w:val="00DE306E"/>
    <w:rsid w:val="00DE309A"/>
    <w:rsid w:val="00DE58FB"/>
    <w:rsid w:val="00DE7356"/>
    <w:rsid w:val="00DE7D6A"/>
    <w:rsid w:val="00DF0E54"/>
    <w:rsid w:val="00DF19CE"/>
    <w:rsid w:val="00DF3CE6"/>
    <w:rsid w:val="00DF70DC"/>
    <w:rsid w:val="00DF7BC5"/>
    <w:rsid w:val="00E001CD"/>
    <w:rsid w:val="00E02B12"/>
    <w:rsid w:val="00E02F48"/>
    <w:rsid w:val="00E06F8F"/>
    <w:rsid w:val="00E07CC5"/>
    <w:rsid w:val="00E105D7"/>
    <w:rsid w:val="00E111BB"/>
    <w:rsid w:val="00E1331F"/>
    <w:rsid w:val="00E13DA0"/>
    <w:rsid w:val="00E14FB6"/>
    <w:rsid w:val="00E1799B"/>
    <w:rsid w:val="00E208EB"/>
    <w:rsid w:val="00E23434"/>
    <w:rsid w:val="00E23AD0"/>
    <w:rsid w:val="00E23C96"/>
    <w:rsid w:val="00E25150"/>
    <w:rsid w:val="00E2687C"/>
    <w:rsid w:val="00E26B10"/>
    <w:rsid w:val="00E30379"/>
    <w:rsid w:val="00E31EC6"/>
    <w:rsid w:val="00E330A6"/>
    <w:rsid w:val="00E33853"/>
    <w:rsid w:val="00E33880"/>
    <w:rsid w:val="00E34205"/>
    <w:rsid w:val="00E34210"/>
    <w:rsid w:val="00E40393"/>
    <w:rsid w:val="00E406E0"/>
    <w:rsid w:val="00E41AF2"/>
    <w:rsid w:val="00E43225"/>
    <w:rsid w:val="00E448EB"/>
    <w:rsid w:val="00E45C68"/>
    <w:rsid w:val="00E4617F"/>
    <w:rsid w:val="00E50840"/>
    <w:rsid w:val="00E51B48"/>
    <w:rsid w:val="00E52B68"/>
    <w:rsid w:val="00E55BE3"/>
    <w:rsid w:val="00E564C7"/>
    <w:rsid w:val="00E56F1B"/>
    <w:rsid w:val="00E6077E"/>
    <w:rsid w:val="00E614D5"/>
    <w:rsid w:val="00E62139"/>
    <w:rsid w:val="00E62DCE"/>
    <w:rsid w:val="00E630D7"/>
    <w:rsid w:val="00E65E39"/>
    <w:rsid w:val="00E667C7"/>
    <w:rsid w:val="00E66AB1"/>
    <w:rsid w:val="00E713C6"/>
    <w:rsid w:val="00E7150E"/>
    <w:rsid w:val="00E71598"/>
    <w:rsid w:val="00E7312D"/>
    <w:rsid w:val="00E7359B"/>
    <w:rsid w:val="00E73AFB"/>
    <w:rsid w:val="00E74226"/>
    <w:rsid w:val="00E7462E"/>
    <w:rsid w:val="00E7476D"/>
    <w:rsid w:val="00E75643"/>
    <w:rsid w:val="00E758EF"/>
    <w:rsid w:val="00E75BEE"/>
    <w:rsid w:val="00E76258"/>
    <w:rsid w:val="00E767E6"/>
    <w:rsid w:val="00E80B1D"/>
    <w:rsid w:val="00E81192"/>
    <w:rsid w:val="00E82086"/>
    <w:rsid w:val="00E82EE1"/>
    <w:rsid w:val="00E8462C"/>
    <w:rsid w:val="00E84CAA"/>
    <w:rsid w:val="00E9036E"/>
    <w:rsid w:val="00E92FE0"/>
    <w:rsid w:val="00E94CC5"/>
    <w:rsid w:val="00E96290"/>
    <w:rsid w:val="00E9708E"/>
    <w:rsid w:val="00EA4A8F"/>
    <w:rsid w:val="00EB2459"/>
    <w:rsid w:val="00EB25A8"/>
    <w:rsid w:val="00EB771E"/>
    <w:rsid w:val="00EC0820"/>
    <w:rsid w:val="00EC0C3D"/>
    <w:rsid w:val="00EC2A50"/>
    <w:rsid w:val="00EC3260"/>
    <w:rsid w:val="00EC3572"/>
    <w:rsid w:val="00EC468D"/>
    <w:rsid w:val="00EC5ADC"/>
    <w:rsid w:val="00EC6F92"/>
    <w:rsid w:val="00ED002F"/>
    <w:rsid w:val="00ED08D3"/>
    <w:rsid w:val="00ED1DA0"/>
    <w:rsid w:val="00ED30EB"/>
    <w:rsid w:val="00ED5B26"/>
    <w:rsid w:val="00ED5F39"/>
    <w:rsid w:val="00ED669C"/>
    <w:rsid w:val="00ED6A1C"/>
    <w:rsid w:val="00ED6C40"/>
    <w:rsid w:val="00EE031A"/>
    <w:rsid w:val="00EE0E86"/>
    <w:rsid w:val="00EE22E0"/>
    <w:rsid w:val="00EE2BCF"/>
    <w:rsid w:val="00EE4446"/>
    <w:rsid w:val="00EE4468"/>
    <w:rsid w:val="00EE45B4"/>
    <w:rsid w:val="00EE5B08"/>
    <w:rsid w:val="00EE63FC"/>
    <w:rsid w:val="00EE7424"/>
    <w:rsid w:val="00EE7CFA"/>
    <w:rsid w:val="00EF0203"/>
    <w:rsid w:val="00EF0ECC"/>
    <w:rsid w:val="00EF119D"/>
    <w:rsid w:val="00EF26D9"/>
    <w:rsid w:val="00EF536E"/>
    <w:rsid w:val="00EF5A56"/>
    <w:rsid w:val="00EF629C"/>
    <w:rsid w:val="00EF68FF"/>
    <w:rsid w:val="00EF7195"/>
    <w:rsid w:val="00F003EF"/>
    <w:rsid w:val="00F00530"/>
    <w:rsid w:val="00F014E6"/>
    <w:rsid w:val="00F0217B"/>
    <w:rsid w:val="00F02812"/>
    <w:rsid w:val="00F052C1"/>
    <w:rsid w:val="00F07773"/>
    <w:rsid w:val="00F07801"/>
    <w:rsid w:val="00F07EF5"/>
    <w:rsid w:val="00F10969"/>
    <w:rsid w:val="00F11015"/>
    <w:rsid w:val="00F12482"/>
    <w:rsid w:val="00F127BE"/>
    <w:rsid w:val="00F128C1"/>
    <w:rsid w:val="00F12D8A"/>
    <w:rsid w:val="00F134A9"/>
    <w:rsid w:val="00F156AB"/>
    <w:rsid w:val="00F1611E"/>
    <w:rsid w:val="00F20452"/>
    <w:rsid w:val="00F27406"/>
    <w:rsid w:val="00F27598"/>
    <w:rsid w:val="00F277B6"/>
    <w:rsid w:val="00F3011D"/>
    <w:rsid w:val="00F31936"/>
    <w:rsid w:val="00F321D7"/>
    <w:rsid w:val="00F32CBD"/>
    <w:rsid w:val="00F344C5"/>
    <w:rsid w:val="00F3552A"/>
    <w:rsid w:val="00F35BBA"/>
    <w:rsid w:val="00F35BC4"/>
    <w:rsid w:val="00F36291"/>
    <w:rsid w:val="00F36900"/>
    <w:rsid w:val="00F37464"/>
    <w:rsid w:val="00F377EE"/>
    <w:rsid w:val="00F37D84"/>
    <w:rsid w:val="00F40287"/>
    <w:rsid w:val="00F40E27"/>
    <w:rsid w:val="00F439AF"/>
    <w:rsid w:val="00F446D5"/>
    <w:rsid w:val="00F51917"/>
    <w:rsid w:val="00F521B7"/>
    <w:rsid w:val="00F54574"/>
    <w:rsid w:val="00F55454"/>
    <w:rsid w:val="00F60919"/>
    <w:rsid w:val="00F62276"/>
    <w:rsid w:val="00F62977"/>
    <w:rsid w:val="00F65ABB"/>
    <w:rsid w:val="00F671AB"/>
    <w:rsid w:val="00F71132"/>
    <w:rsid w:val="00F73860"/>
    <w:rsid w:val="00F7635B"/>
    <w:rsid w:val="00F76661"/>
    <w:rsid w:val="00F76776"/>
    <w:rsid w:val="00F76CB8"/>
    <w:rsid w:val="00F80557"/>
    <w:rsid w:val="00F814D9"/>
    <w:rsid w:val="00F81882"/>
    <w:rsid w:val="00F82205"/>
    <w:rsid w:val="00F82F14"/>
    <w:rsid w:val="00F82F49"/>
    <w:rsid w:val="00F85EC7"/>
    <w:rsid w:val="00F86593"/>
    <w:rsid w:val="00F86B70"/>
    <w:rsid w:val="00F86C61"/>
    <w:rsid w:val="00F87613"/>
    <w:rsid w:val="00F877D0"/>
    <w:rsid w:val="00F900F1"/>
    <w:rsid w:val="00F9089D"/>
    <w:rsid w:val="00F90F5C"/>
    <w:rsid w:val="00F9135E"/>
    <w:rsid w:val="00F91AD7"/>
    <w:rsid w:val="00F937C3"/>
    <w:rsid w:val="00F94E6B"/>
    <w:rsid w:val="00F96800"/>
    <w:rsid w:val="00FA0D8D"/>
    <w:rsid w:val="00FA2BED"/>
    <w:rsid w:val="00FA3392"/>
    <w:rsid w:val="00FA7439"/>
    <w:rsid w:val="00FA7B86"/>
    <w:rsid w:val="00FB0031"/>
    <w:rsid w:val="00FB2965"/>
    <w:rsid w:val="00FB2B54"/>
    <w:rsid w:val="00FB3A4A"/>
    <w:rsid w:val="00FB491F"/>
    <w:rsid w:val="00FB64B2"/>
    <w:rsid w:val="00FB6F26"/>
    <w:rsid w:val="00FB7063"/>
    <w:rsid w:val="00FB72BE"/>
    <w:rsid w:val="00FC03D5"/>
    <w:rsid w:val="00FC2042"/>
    <w:rsid w:val="00FC2DC7"/>
    <w:rsid w:val="00FC3027"/>
    <w:rsid w:val="00FC45CC"/>
    <w:rsid w:val="00FC4965"/>
    <w:rsid w:val="00FC6540"/>
    <w:rsid w:val="00FC750E"/>
    <w:rsid w:val="00FD0595"/>
    <w:rsid w:val="00FD11C8"/>
    <w:rsid w:val="00FD127A"/>
    <w:rsid w:val="00FD1D75"/>
    <w:rsid w:val="00FD3DFF"/>
    <w:rsid w:val="00FD3F44"/>
    <w:rsid w:val="00FD43B5"/>
    <w:rsid w:val="00FD4965"/>
    <w:rsid w:val="00FD61CD"/>
    <w:rsid w:val="00FE0232"/>
    <w:rsid w:val="00FE026D"/>
    <w:rsid w:val="00FE1CA2"/>
    <w:rsid w:val="00FE3B15"/>
    <w:rsid w:val="00FE433D"/>
    <w:rsid w:val="00FE486A"/>
    <w:rsid w:val="00FE49C2"/>
    <w:rsid w:val="00FE4FEC"/>
    <w:rsid w:val="00FE5DE6"/>
    <w:rsid w:val="00FE634B"/>
    <w:rsid w:val="00FE75F4"/>
    <w:rsid w:val="00FE7B94"/>
    <w:rsid w:val="00FF00CB"/>
    <w:rsid w:val="00FF2980"/>
    <w:rsid w:val="00FF2AC3"/>
    <w:rsid w:val="00FF3F84"/>
    <w:rsid w:val="00FF410A"/>
    <w:rsid w:val="00FF50E7"/>
    <w:rsid w:val="00FF527D"/>
    <w:rsid w:val="00FF5869"/>
    <w:rsid w:val="00FF710F"/>
    <w:rsid w:val="00FF796A"/>
    <w:rsid w:val="00FF7CB2"/>
    <w:rsid w:val="01437C9C"/>
    <w:rsid w:val="025F5514"/>
    <w:rsid w:val="02D77DDC"/>
    <w:rsid w:val="03887BE8"/>
    <w:rsid w:val="03E2379C"/>
    <w:rsid w:val="04096F7B"/>
    <w:rsid w:val="041E3605"/>
    <w:rsid w:val="044B117C"/>
    <w:rsid w:val="04581CB1"/>
    <w:rsid w:val="048C3D60"/>
    <w:rsid w:val="049820AD"/>
    <w:rsid w:val="04D72D2F"/>
    <w:rsid w:val="050D2A9B"/>
    <w:rsid w:val="053C6183"/>
    <w:rsid w:val="05882D55"/>
    <w:rsid w:val="05922FA0"/>
    <w:rsid w:val="05B945AD"/>
    <w:rsid w:val="05D834B2"/>
    <w:rsid w:val="064C389E"/>
    <w:rsid w:val="067B5FB4"/>
    <w:rsid w:val="072E144C"/>
    <w:rsid w:val="074C6282"/>
    <w:rsid w:val="07950C44"/>
    <w:rsid w:val="083B16CD"/>
    <w:rsid w:val="08A01223"/>
    <w:rsid w:val="08D4741A"/>
    <w:rsid w:val="09391BDB"/>
    <w:rsid w:val="09A82D92"/>
    <w:rsid w:val="09E56AA1"/>
    <w:rsid w:val="0A026946"/>
    <w:rsid w:val="0A0D57B2"/>
    <w:rsid w:val="0A122902"/>
    <w:rsid w:val="0A283ED3"/>
    <w:rsid w:val="0A330730"/>
    <w:rsid w:val="0AA10745"/>
    <w:rsid w:val="0AF85654"/>
    <w:rsid w:val="0AFA5B66"/>
    <w:rsid w:val="0B1A5ED8"/>
    <w:rsid w:val="0B444D3D"/>
    <w:rsid w:val="0B8D2240"/>
    <w:rsid w:val="0BAB5F31"/>
    <w:rsid w:val="0BAF4476"/>
    <w:rsid w:val="0BDC6C80"/>
    <w:rsid w:val="0C0D4E92"/>
    <w:rsid w:val="0CE571DE"/>
    <w:rsid w:val="0D1D3A97"/>
    <w:rsid w:val="0D7336B7"/>
    <w:rsid w:val="0D8502ED"/>
    <w:rsid w:val="0DAD63DF"/>
    <w:rsid w:val="0DAE62A1"/>
    <w:rsid w:val="0E4D3F08"/>
    <w:rsid w:val="0ECC307F"/>
    <w:rsid w:val="0F9D0EBF"/>
    <w:rsid w:val="0FA55392"/>
    <w:rsid w:val="0FBA35C3"/>
    <w:rsid w:val="0FC202BE"/>
    <w:rsid w:val="108F6A5A"/>
    <w:rsid w:val="10964FB1"/>
    <w:rsid w:val="10A122E9"/>
    <w:rsid w:val="1102076E"/>
    <w:rsid w:val="112F78F5"/>
    <w:rsid w:val="114415F3"/>
    <w:rsid w:val="1157698A"/>
    <w:rsid w:val="11712A15"/>
    <w:rsid w:val="119B76A9"/>
    <w:rsid w:val="11B24292"/>
    <w:rsid w:val="11C264F4"/>
    <w:rsid w:val="11F957D3"/>
    <w:rsid w:val="12110198"/>
    <w:rsid w:val="12166FBF"/>
    <w:rsid w:val="12183B00"/>
    <w:rsid w:val="123F3A00"/>
    <w:rsid w:val="12565D9E"/>
    <w:rsid w:val="128D521B"/>
    <w:rsid w:val="12A6008B"/>
    <w:rsid w:val="12CA5B28"/>
    <w:rsid w:val="1323199E"/>
    <w:rsid w:val="133D279D"/>
    <w:rsid w:val="13547AE7"/>
    <w:rsid w:val="13A06637"/>
    <w:rsid w:val="13F82B68"/>
    <w:rsid w:val="1427103E"/>
    <w:rsid w:val="143611AC"/>
    <w:rsid w:val="143D4D2B"/>
    <w:rsid w:val="145558C5"/>
    <w:rsid w:val="14ED0FA3"/>
    <w:rsid w:val="15176FE3"/>
    <w:rsid w:val="15447865"/>
    <w:rsid w:val="1582093B"/>
    <w:rsid w:val="16557DFE"/>
    <w:rsid w:val="167D52E5"/>
    <w:rsid w:val="16924B89"/>
    <w:rsid w:val="170D7506"/>
    <w:rsid w:val="173043C7"/>
    <w:rsid w:val="175B2533"/>
    <w:rsid w:val="178A7F7B"/>
    <w:rsid w:val="1844012A"/>
    <w:rsid w:val="1850112A"/>
    <w:rsid w:val="18CE5C46"/>
    <w:rsid w:val="18DF60A5"/>
    <w:rsid w:val="18F7519C"/>
    <w:rsid w:val="191C2E55"/>
    <w:rsid w:val="197917AB"/>
    <w:rsid w:val="19C90394"/>
    <w:rsid w:val="19CC6629"/>
    <w:rsid w:val="19D87F95"/>
    <w:rsid w:val="1A213024"/>
    <w:rsid w:val="1A4E5A90"/>
    <w:rsid w:val="1A8E1193"/>
    <w:rsid w:val="1ABF7F3C"/>
    <w:rsid w:val="1B1F09DB"/>
    <w:rsid w:val="1BF41E67"/>
    <w:rsid w:val="1C3B19B0"/>
    <w:rsid w:val="1C512E16"/>
    <w:rsid w:val="1D0B56BA"/>
    <w:rsid w:val="1D905BC0"/>
    <w:rsid w:val="1DAD6998"/>
    <w:rsid w:val="1DBC0763"/>
    <w:rsid w:val="1DDF607B"/>
    <w:rsid w:val="1DEE3DF0"/>
    <w:rsid w:val="1E2E78B2"/>
    <w:rsid w:val="1E4E1D03"/>
    <w:rsid w:val="1E982151"/>
    <w:rsid w:val="1F220A99"/>
    <w:rsid w:val="1F35399F"/>
    <w:rsid w:val="1F996FAD"/>
    <w:rsid w:val="1FB66D36"/>
    <w:rsid w:val="1FFB7C68"/>
    <w:rsid w:val="20311F06"/>
    <w:rsid w:val="203F0E15"/>
    <w:rsid w:val="20AE4A1B"/>
    <w:rsid w:val="20B120D5"/>
    <w:rsid w:val="20E64474"/>
    <w:rsid w:val="20EC135F"/>
    <w:rsid w:val="213351E0"/>
    <w:rsid w:val="213B45E6"/>
    <w:rsid w:val="214D3F8A"/>
    <w:rsid w:val="21627873"/>
    <w:rsid w:val="21645399"/>
    <w:rsid w:val="21A41C3A"/>
    <w:rsid w:val="220324D3"/>
    <w:rsid w:val="223F7389"/>
    <w:rsid w:val="22491B20"/>
    <w:rsid w:val="229F74E7"/>
    <w:rsid w:val="22AD4B1E"/>
    <w:rsid w:val="22B1460E"/>
    <w:rsid w:val="22EA6E0D"/>
    <w:rsid w:val="231B23CF"/>
    <w:rsid w:val="23C915DE"/>
    <w:rsid w:val="2418246B"/>
    <w:rsid w:val="247D5068"/>
    <w:rsid w:val="24BB1774"/>
    <w:rsid w:val="24EC7B7F"/>
    <w:rsid w:val="24F1659B"/>
    <w:rsid w:val="2530697A"/>
    <w:rsid w:val="259721E1"/>
    <w:rsid w:val="25A63B68"/>
    <w:rsid w:val="25AA57FC"/>
    <w:rsid w:val="25AB3597"/>
    <w:rsid w:val="25C52E16"/>
    <w:rsid w:val="260C478B"/>
    <w:rsid w:val="26211AAB"/>
    <w:rsid w:val="264019D3"/>
    <w:rsid w:val="26442428"/>
    <w:rsid w:val="26543C2E"/>
    <w:rsid w:val="26976211"/>
    <w:rsid w:val="26D22DA5"/>
    <w:rsid w:val="27121167"/>
    <w:rsid w:val="2713284B"/>
    <w:rsid w:val="27306174"/>
    <w:rsid w:val="27351CB2"/>
    <w:rsid w:val="274D41F8"/>
    <w:rsid w:val="27A01DF3"/>
    <w:rsid w:val="284D6B87"/>
    <w:rsid w:val="28B81F9E"/>
    <w:rsid w:val="29074A85"/>
    <w:rsid w:val="290C6A42"/>
    <w:rsid w:val="29224760"/>
    <w:rsid w:val="29424212"/>
    <w:rsid w:val="297C2079"/>
    <w:rsid w:val="297D7915"/>
    <w:rsid w:val="29D56857"/>
    <w:rsid w:val="29E614B4"/>
    <w:rsid w:val="29E66F73"/>
    <w:rsid w:val="29F97883"/>
    <w:rsid w:val="2A315DF7"/>
    <w:rsid w:val="2AAA1B21"/>
    <w:rsid w:val="2ABC6246"/>
    <w:rsid w:val="2ACE2709"/>
    <w:rsid w:val="2AD64354"/>
    <w:rsid w:val="2B86127E"/>
    <w:rsid w:val="2B863EAA"/>
    <w:rsid w:val="2BBC44AD"/>
    <w:rsid w:val="2C3E5975"/>
    <w:rsid w:val="2C4D096C"/>
    <w:rsid w:val="2C647927"/>
    <w:rsid w:val="2CBE44F7"/>
    <w:rsid w:val="2CD2255C"/>
    <w:rsid w:val="2CE1615C"/>
    <w:rsid w:val="2D17544E"/>
    <w:rsid w:val="2D1E4F96"/>
    <w:rsid w:val="2D4367AA"/>
    <w:rsid w:val="2DBB4593"/>
    <w:rsid w:val="2DE644D2"/>
    <w:rsid w:val="2E5F7614"/>
    <w:rsid w:val="2E62055B"/>
    <w:rsid w:val="2EC214A0"/>
    <w:rsid w:val="2EC43EFC"/>
    <w:rsid w:val="2F0E364C"/>
    <w:rsid w:val="2FCE2CA3"/>
    <w:rsid w:val="2FE058E5"/>
    <w:rsid w:val="2FE87CD4"/>
    <w:rsid w:val="30064108"/>
    <w:rsid w:val="302C3259"/>
    <w:rsid w:val="30717AD3"/>
    <w:rsid w:val="30B96527"/>
    <w:rsid w:val="30D81900"/>
    <w:rsid w:val="30E65DCB"/>
    <w:rsid w:val="315C4AA4"/>
    <w:rsid w:val="31851764"/>
    <w:rsid w:val="31C81974"/>
    <w:rsid w:val="31CA2B27"/>
    <w:rsid w:val="320E7262"/>
    <w:rsid w:val="32584DB3"/>
    <w:rsid w:val="32CC2D9E"/>
    <w:rsid w:val="32EB3B6C"/>
    <w:rsid w:val="33B201E6"/>
    <w:rsid w:val="33C02440"/>
    <w:rsid w:val="33E12879"/>
    <w:rsid w:val="33FF4BC6"/>
    <w:rsid w:val="340070E7"/>
    <w:rsid w:val="340D0144"/>
    <w:rsid w:val="341C02B0"/>
    <w:rsid w:val="34353EF5"/>
    <w:rsid w:val="348334AE"/>
    <w:rsid w:val="34C27A75"/>
    <w:rsid w:val="34D80120"/>
    <w:rsid w:val="35301D0A"/>
    <w:rsid w:val="35CB558F"/>
    <w:rsid w:val="35D867C1"/>
    <w:rsid w:val="35EA69BF"/>
    <w:rsid w:val="35ED0F7B"/>
    <w:rsid w:val="36203B2D"/>
    <w:rsid w:val="36700DA4"/>
    <w:rsid w:val="367D5540"/>
    <w:rsid w:val="368816D2"/>
    <w:rsid w:val="36C00E6C"/>
    <w:rsid w:val="36E30FED"/>
    <w:rsid w:val="373D24BC"/>
    <w:rsid w:val="377838EB"/>
    <w:rsid w:val="37FA03AE"/>
    <w:rsid w:val="37FC7D5B"/>
    <w:rsid w:val="3807783E"/>
    <w:rsid w:val="384B0C09"/>
    <w:rsid w:val="386A72E1"/>
    <w:rsid w:val="387E6AA8"/>
    <w:rsid w:val="38EF191E"/>
    <w:rsid w:val="39376BB9"/>
    <w:rsid w:val="39663EE5"/>
    <w:rsid w:val="397064DC"/>
    <w:rsid w:val="397A3554"/>
    <w:rsid w:val="39AD1B7B"/>
    <w:rsid w:val="39C44666"/>
    <w:rsid w:val="39CD5D7A"/>
    <w:rsid w:val="39D23390"/>
    <w:rsid w:val="39DE5B1E"/>
    <w:rsid w:val="39F650A0"/>
    <w:rsid w:val="39FF1CAB"/>
    <w:rsid w:val="3AB900AC"/>
    <w:rsid w:val="3AC30F2B"/>
    <w:rsid w:val="3B0E72EA"/>
    <w:rsid w:val="3BCB453B"/>
    <w:rsid w:val="3BE50622"/>
    <w:rsid w:val="3C241E9D"/>
    <w:rsid w:val="3C414989"/>
    <w:rsid w:val="3C455B7B"/>
    <w:rsid w:val="3C926E07"/>
    <w:rsid w:val="3C990ECC"/>
    <w:rsid w:val="3C991F43"/>
    <w:rsid w:val="3D6F433B"/>
    <w:rsid w:val="3D8351D6"/>
    <w:rsid w:val="3E213AFD"/>
    <w:rsid w:val="3E995575"/>
    <w:rsid w:val="3EAD43CC"/>
    <w:rsid w:val="3EC51293"/>
    <w:rsid w:val="3EC6723B"/>
    <w:rsid w:val="3EDE5D10"/>
    <w:rsid w:val="3EF5367D"/>
    <w:rsid w:val="3EF94F1B"/>
    <w:rsid w:val="3F710F55"/>
    <w:rsid w:val="3F870779"/>
    <w:rsid w:val="3FA22C79"/>
    <w:rsid w:val="3FA57E56"/>
    <w:rsid w:val="3FA806EF"/>
    <w:rsid w:val="3FDF5149"/>
    <w:rsid w:val="40462055"/>
    <w:rsid w:val="40642868"/>
    <w:rsid w:val="40842F0A"/>
    <w:rsid w:val="40907652"/>
    <w:rsid w:val="40FF030E"/>
    <w:rsid w:val="413D1A37"/>
    <w:rsid w:val="419D24D5"/>
    <w:rsid w:val="41D81760"/>
    <w:rsid w:val="42162288"/>
    <w:rsid w:val="423D627C"/>
    <w:rsid w:val="424C6791"/>
    <w:rsid w:val="42A2120F"/>
    <w:rsid w:val="42AD6567"/>
    <w:rsid w:val="42D62BD9"/>
    <w:rsid w:val="42ED123B"/>
    <w:rsid w:val="42F848B2"/>
    <w:rsid w:val="432C1A93"/>
    <w:rsid w:val="43346E69"/>
    <w:rsid w:val="434370AD"/>
    <w:rsid w:val="44243AA4"/>
    <w:rsid w:val="44337121"/>
    <w:rsid w:val="443D5DCC"/>
    <w:rsid w:val="44526957"/>
    <w:rsid w:val="44F763A1"/>
    <w:rsid w:val="450F41FE"/>
    <w:rsid w:val="45936891"/>
    <w:rsid w:val="45DB5C32"/>
    <w:rsid w:val="45E07589"/>
    <w:rsid w:val="46843C64"/>
    <w:rsid w:val="46E666CD"/>
    <w:rsid w:val="47613FA5"/>
    <w:rsid w:val="478A7058"/>
    <w:rsid w:val="47AF4671"/>
    <w:rsid w:val="482C0A84"/>
    <w:rsid w:val="484863C2"/>
    <w:rsid w:val="489E48D3"/>
    <w:rsid w:val="48AB723A"/>
    <w:rsid w:val="48FA1FBB"/>
    <w:rsid w:val="494F67AB"/>
    <w:rsid w:val="49677999"/>
    <w:rsid w:val="49B0540B"/>
    <w:rsid w:val="4A791606"/>
    <w:rsid w:val="4A7A7858"/>
    <w:rsid w:val="4B0435C5"/>
    <w:rsid w:val="4B4A51F9"/>
    <w:rsid w:val="4B724EA6"/>
    <w:rsid w:val="4B990304"/>
    <w:rsid w:val="4C1E4213"/>
    <w:rsid w:val="4C52210E"/>
    <w:rsid w:val="4C602A7D"/>
    <w:rsid w:val="4CEA151E"/>
    <w:rsid w:val="4D072EF9"/>
    <w:rsid w:val="4D115B26"/>
    <w:rsid w:val="4DA53212"/>
    <w:rsid w:val="4DE15BF9"/>
    <w:rsid w:val="4DE84AD8"/>
    <w:rsid w:val="4E096FF8"/>
    <w:rsid w:val="4E710F32"/>
    <w:rsid w:val="4EB250E6"/>
    <w:rsid w:val="4EC948B9"/>
    <w:rsid w:val="4ED3235B"/>
    <w:rsid w:val="4EE77ADA"/>
    <w:rsid w:val="4EFE053A"/>
    <w:rsid w:val="4F5F0DCA"/>
    <w:rsid w:val="4FAF687C"/>
    <w:rsid w:val="50615CE1"/>
    <w:rsid w:val="509C7DFC"/>
    <w:rsid w:val="50A40F18"/>
    <w:rsid w:val="514C537E"/>
    <w:rsid w:val="521B01C1"/>
    <w:rsid w:val="52565EF7"/>
    <w:rsid w:val="52CB6777"/>
    <w:rsid w:val="52F57143"/>
    <w:rsid w:val="53260AAE"/>
    <w:rsid w:val="535449BE"/>
    <w:rsid w:val="535B3F9E"/>
    <w:rsid w:val="535D1AC5"/>
    <w:rsid w:val="53CB162D"/>
    <w:rsid w:val="54344E94"/>
    <w:rsid w:val="54A87175"/>
    <w:rsid w:val="54DC6984"/>
    <w:rsid w:val="54F1464A"/>
    <w:rsid w:val="54F40211"/>
    <w:rsid w:val="55100FA0"/>
    <w:rsid w:val="55532E16"/>
    <w:rsid w:val="55556EBD"/>
    <w:rsid w:val="55811362"/>
    <w:rsid w:val="55992B5C"/>
    <w:rsid w:val="55C84413"/>
    <w:rsid w:val="55E53FF3"/>
    <w:rsid w:val="55EB7F77"/>
    <w:rsid w:val="56772E9D"/>
    <w:rsid w:val="567809C3"/>
    <w:rsid w:val="56A4716E"/>
    <w:rsid w:val="572823EA"/>
    <w:rsid w:val="57805D82"/>
    <w:rsid w:val="578E252E"/>
    <w:rsid w:val="580F0297"/>
    <w:rsid w:val="58794897"/>
    <w:rsid w:val="58B36D82"/>
    <w:rsid w:val="58F85DEC"/>
    <w:rsid w:val="59301A29"/>
    <w:rsid w:val="596A4F3B"/>
    <w:rsid w:val="598558D1"/>
    <w:rsid w:val="59B1606A"/>
    <w:rsid w:val="59BD150F"/>
    <w:rsid w:val="5A026F22"/>
    <w:rsid w:val="5A6F2E19"/>
    <w:rsid w:val="5AA93FD1"/>
    <w:rsid w:val="5ACC4545"/>
    <w:rsid w:val="5B2D290B"/>
    <w:rsid w:val="5B3F7D02"/>
    <w:rsid w:val="5BA87F9D"/>
    <w:rsid w:val="5BAB20D1"/>
    <w:rsid w:val="5BAD6FD7"/>
    <w:rsid w:val="5BEA58E3"/>
    <w:rsid w:val="5BF00249"/>
    <w:rsid w:val="5BF76EF1"/>
    <w:rsid w:val="5C050B30"/>
    <w:rsid w:val="5C0A1DD1"/>
    <w:rsid w:val="5C553C81"/>
    <w:rsid w:val="5C89392A"/>
    <w:rsid w:val="5D07484F"/>
    <w:rsid w:val="5D235C93"/>
    <w:rsid w:val="5D323FC2"/>
    <w:rsid w:val="5D880074"/>
    <w:rsid w:val="5D977EC8"/>
    <w:rsid w:val="5DF0125A"/>
    <w:rsid w:val="5E5F57D9"/>
    <w:rsid w:val="5E7F38D6"/>
    <w:rsid w:val="5EC7569F"/>
    <w:rsid w:val="5F7061EF"/>
    <w:rsid w:val="5F7206A6"/>
    <w:rsid w:val="5F73441E"/>
    <w:rsid w:val="5F8E3526"/>
    <w:rsid w:val="5FFE462F"/>
    <w:rsid w:val="605B6755"/>
    <w:rsid w:val="60745DB1"/>
    <w:rsid w:val="60747737"/>
    <w:rsid w:val="60E70C20"/>
    <w:rsid w:val="60F52D71"/>
    <w:rsid w:val="6118702B"/>
    <w:rsid w:val="613D2F35"/>
    <w:rsid w:val="613F280A"/>
    <w:rsid w:val="61D571F7"/>
    <w:rsid w:val="62022F85"/>
    <w:rsid w:val="621A512E"/>
    <w:rsid w:val="625B18C5"/>
    <w:rsid w:val="62782477"/>
    <w:rsid w:val="6288402C"/>
    <w:rsid w:val="62B27782"/>
    <w:rsid w:val="62CE60F3"/>
    <w:rsid w:val="6345638C"/>
    <w:rsid w:val="63546B42"/>
    <w:rsid w:val="63BC0104"/>
    <w:rsid w:val="63C82F8A"/>
    <w:rsid w:val="64874BF3"/>
    <w:rsid w:val="648C7798"/>
    <w:rsid w:val="64B83652"/>
    <w:rsid w:val="64BA118E"/>
    <w:rsid w:val="65050CB9"/>
    <w:rsid w:val="658B08FF"/>
    <w:rsid w:val="65A1330E"/>
    <w:rsid w:val="65B765B1"/>
    <w:rsid w:val="65D34D72"/>
    <w:rsid w:val="66415054"/>
    <w:rsid w:val="664B6CF2"/>
    <w:rsid w:val="666A7FC1"/>
    <w:rsid w:val="668F3FBD"/>
    <w:rsid w:val="66C20165"/>
    <w:rsid w:val="67082BCA"/>
    <w:rsid w:val="6714289E"/>
    <w:rsid w:val="673F5780"/>
    <w:rsid w:val="67B07AF8"/>
    <w:rsid w:val="68260326"/>
    <w:rsid w:val="682E63BC"/>
    <w:rsid w:val="68604D23"/>
    <w:rsid w:val="68A452E5"/>
    <w:rsid w:val="68B74555"/>
    <w:rsid w:val="68D4417F"/>
    <w:rsid w:val="68EC18C7"/>
    <w:rsid w:val="68EC771B"/>
    <w:rsid w:val="69335730"/>
    <w:rsid w:val="69690D6B"/>
    <w:rsid w:val="69751960"/>
    <w:rsid w:val="698A2A90"/>
    <w:rsid w:val="69C064B2"/>
    <w:rsid w:val="69D32689"/>
    <w:rsid w:val="6A066A76"/>
    <w:rsid w:val="6AD678EF"/>
    <w:rsid w:val="6AF64881"/>
    <w:rsid w:val="6B0D363F"/>
    <w:rsid w:val="6B1116BB"/>
    <w:rsid w:val="6B170353"/>
    <w:rsid w:val="6BB67058"/>
    <w:rsid w:val="6BCB4E14"/>
    <w:rsid w:val="6C315445"/>
    <w:rsid w:val="6C3F3EF8"/>
    <w:rsid w:val="6C722402"/>
    <w:rsid w:val="6C9003BD"/>
    <w:rsid w:val="6D5F7BD0"/>
    <w:rsid w:val="6D721389"/>
    <w:rsid w:val="6D74375D"/>
    <w:rsid w:val="6DAD4F9F"/>
    <w:rsid w:val="6DC112A8"/>
    <w:rsid w:val="6DF5610C"/>
    <w:rsid w:val="6E05302D"/>
    <w:rsid w:val="6E07163D"/>
    <w:rsid w:val="6E75084A"/>
    <w:rsid w:val="6E7D71E3"/>
    <w:rsid w:val="6E855CE9"/>
    <w:rsid w:val="6ED133A6"/>
    <w:rsid w:val="6EFC1D3A"/>
    <w:rsid w:val="6F0C0D6C"/>
    <w:rsid w:val="6F0C4BCD"/>
    <w:rsid w:val="6F6E34E9"/>
    <w:rsid w:val="6F8875E1"/>
    <w:rsid w:val="6FDE58E3"/>
    <w:rsid w:val="702F27B0"/>
    <w:rsid w:val="70B07280"/>
    <w:rsid w:val="70DA669F"/>
    <w:rsid w:val="7133290F"/>
    <w:rsid w:val="71461992"/>
    <w:rsid w:val="717C53B4"/>
    <w:rsid w:val="7270702D"/>
    <w:rsid w:val="727A5D97"/>
    <w:rsid w:val="729F57FE"/>
    <w:rsid w:val="72B017B9"/>
    <w:rsid w:val="73010267"/>
    <w:rsid w:val="73065405"/>
    <w:rsid w:val="730E4732"/>
    <w:rsid w:val="73ED1E08"/>
    <w:rsid w:val="74275AAB"/>
    <w:rsid w:val="742F2BB2"/>
    <w:rsid w:val="74B17A6A"/>
    <w:rsid w:val="74B45753"/>
    <w:rsid w:val="74DC333B"/>
    <w:rsid w:val="752323D0"/>
    <w:rsid w:val="753C1470"/>
    <w:rsid w:val="75812F99"/>
    <w:rsid w:val="75823BEA"/>
    <w:rsid w:val="758459BD"/>
    <w:rsid w:val="758E734C"/>
    <w:rsid w:val="75E55C1E"/>
    <w:rsid w:val="75EF52C6"/>
    <w:rsid w:val="76403B69"/>
    <w:rsid w:val="765D3A06"/>
    <w:rsid w:val="76960CC6"/>
    <w:rsid w:val="769B4BEA"/>
    <w:rsid w:val="76A900F9"/>
    <w:rsid w:val="76E71522"/>
    <w:rsid w:val="76EE62B6"/>
    <w:rsid w:val="76F50512"/>
    <w:rsid w:val="770C27E3"/>
    <w:rsid w:val="772A6B6C"/>
    <w:rsid w:val="7730111A"/>
    <w:rsid w:val="775C313C"/>
    <w:rsid w:val="777234E1"/>
    <w:rsid w:val="77995C9A"/>
    <w:rsid w:val="78217095"/>
    <w:rsid w:val="782218D5"/>
    <w:rsid w:val="78373535"/>
    <w:rsid w:val="78793C48"/>
    <w:rsid w:val="78E977D3"/>
    <w:rsid w:val="78F91413"/>
    <w:rsid w:val="79162FE1"/>
    <w:rsid w:val="79433046"/>
    <w:rsid w:val="7945044D"/>
    <w:rsid w:val="795E6702"/>
    <w:rsid w:val="796F62A7"/>
    <w:rsid w:val="79AC223B"/>
    <w:rsid w:val="79E82658"/>
    <w:rsid w:val="7A38338F"/>
    <w:rsid w:val="7A755DD7"/>
    <w:rsid w:val="7A8121B4"/>
    <w:rsid w:val="7AE822A8"/>
    <w:rsid w:val="7BAB3043"/>
    <w:rsid w:val="7BF10175"/>
    <w:rsid w:val="7C197107"/>
    <w:rsid w:val="7C38637B"/>
    <w:rsid w:val="7CA65B89"/>
    <w:rsid w:val="7CC778A3"/>
    <w:rsid w:val="7CF875F2"/>
    <w:rsid w:val="7D8F43DC"/>
    <w:rsid w:val="7D910439"/>
    <w:rsid w:val="7DC802F3"/>
    <w:rsid w:val="7DE71E07"/>
    <w:rsid w:val="7E332C6B"/>
    <w:rsid w:val="7E6478FC"/>
    <w:rsid w:val="7E8E6727"/>
    <w:rsid w:val="7EB459DD"/>
    <w:rsid w:val="7F2C21C7"/>
    <w:rsid w:val="7F3E1EFB"/>
    <w:rsid w:val="7F476E19"/>
    <w:rsid w:val="7FB87EFF"/>
    <w:rsid w:val="7FD9789A"/>
    <w:rsid w:val="EC6F80E9"/>
    <w:rsid w:val="FEDFEDD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qFormat="1" w:unhideWhenUsed="0" w:uiPriority="0"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iPriority="99" w:name="Body Text First Indent 2"/>
    <w:lsdException w:uiPriority="99" w:name="Note Heading"/>
    <w:lsdException w:qFormat="1" w:unhideWhenUsed="0" w:uiPriority="0" w:semiHidden="0" w:name="Body Text 2"/>
    <w:lsdException w:uiPriority="99" w:name="Body Text 3"/>
    <w:lsdException w:uiPriority="99" w:name="Body Text Indent 2"/>
    <w:lsdException w:qFormat="1" w:unhideWhenUsed="0" w:uiPriority="0" w:semiHidden="0" w:name="Body Text Indent 3"/>
    <w:lsdException w:uiPriority="99" w:name="Block Text"/>
    <w:lsdException w:qFormat="1" w:unhideWhenUsed="0"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73"/>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31"/>
    <w:qFormat/>
    <w:uiPriority w:val="0"/>
    <w:pPr>
      <w:keepNext/>
      <w:keepLines/>
      <w:tabs>
        <w:tab w:val="left" w:pos="432"/>
      </w:tabs>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link w:val="45"/>
    <w:semiHidden/>
    <w:unhideWhenUsed/>
    <w:qFormat/>
    <w:uiPriority w:val="9"/>
    <w:pPr>
      <w:keepNext/>
      <w:keepLines/>
      <w:spacing w:before="260" w:after="260" w:line="416" w:lineRule="auto"/>
      <w:outlineLvl w:val="2"/>
    </w:pPr>
    <w:rPr>
      <w:b/>
      <w:bCs/>
      <w:sz w:val="32"/>
      <w:szCs w:val="32"/>
    </w:rPr>
  </w:style>
  <w:style w:type="paragraph" w:styleId="5">
    <w:name w:val="heading 4"/>
    <w:basedOn w:val="1"/>
    <w:next w:val="1"/>
    <w:link w:val="46"/>
    <w:semiHidden/>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paragraph" w:styleId="6">
    <w:name w:val="heading 5"/>
    <w:basedOn w:val="1"/>
    <w:next w:val="1"/>
    <w:link w:val="62"/>
    <w:semiHidden/>
    <w:unhideWhenUsed/>
    <w:qFormat/>
    <w:uiPriority w:val="9"/>
    <w:pPr>
      <w:keepNext/>
      <w:keepLines/>
      <w:spacing w:before="280" w:after="290" w:line="376" w:lineRule="auto"/>
      <w:outlineLvl w:val="4"/>
    </w:pPr>
    <w:rPr>
      <w:b/>
      <w:bCs/>
      <w:sz w:val="28"/>
      <w:szCs w:val="28"/>
    </w:rPr>
  </w:style>
  <w:style w:type="character" w:default="1" w:styleId="23">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7">
    <w:name w:val="Normal Indent"/>
    <w:basedOn w:val="1"/>
    <w:link w:val="55"/>
    <w:qFormat/>
    <w:uiPriority w:val="0"/>
    <w:pPr>
      <w:widowControl/>
      <w:snapToGrid w:val="0"/>
      <w:spacing w:line="480" w:lineRule="exact"/>
      <w:ind w:firstLine="567"/>
    </w:pPr>
    <w:rPr>
      <w:rFonts w:ascii="宋体"/>
      <w:snapToGrid w:val="0"/>
      <w:color w:val="000000"/>
      <w:kern w:val="28"/>
      <w:sz w:val="28"/>
      <w:szCs w:val="20"/>
    </w:rPr>
  </w:style>
  <w:style w:type="paragraph" w:styleId="8">
    <w:name w:val="Body Text"/>
    <w:basedOn w:val="1"/>
    <w:link w:val="35"/>
    <w:qFormat/>
    <w:uiPriority w:val="0"/>
    <w:pPr>
      <w:autoSpaceDE w:val="0"/>
      <w:autoSpaceDN w:val="0"/>
      <w:spacing w:line="360" w:lineRule="auto"/>
    </w:pPr>
    <w:rPr>
      <w:rFonts w:ascii="宋体" w:hAnsi="Arial" w:cs="Arial"/>
      <w:snapToGrid w:val="0"/>
      <w:sz w:val="24"/>
      <w:szCs w:val="21"/>
      <w:lang w:val="zh-CN"/>
    </w:rPr>
  </w:style>
  <w:style w:type="paragraph" w:styleId="9">
    <w:name w:val="Body Text Indent"/>
    <w:basedOn w:val="1"/>
    <w:next w:val="1"/>
    <w:link w:val="32"/>
    <w:qFormat/>
    <w:uiPriority w:val="0"/>
    <w:pPr>
      <w:spacing w:line="480" w:lineRule="exact"/>
      <w:ind w:firstLine="480" w:firstLineChars="200"/>
    </w:pPr>
    <w:rPr>
      <w:rFonts w:ascii="宋体" w:hAnsi="宋体"/>
      <w:sz w:val="24"/>
    </w:rPr>
  </w:style>
  <w:style w:type="paragraph" w:styleId="10">
    <w:name w:val="toc 3"/>
    <w:basedOn w:val="1"/>
    <w:next w:val="1"/>
    <w:qFormat/>
    <w:uiPriority w:val="0"/>
    <w:pPr>
      <w:ind w:left="840" w:leftChars="400"/>
    </w:pPr>
    <w:rPr>
      <w:rFonts w:ascii="Times New Roman" w:hAnsi="Times New Roman"/>
    </w:rPr>
  </w:style>
  <w:style w:type="paragraph" w:styleId="11">
    <w:name w:val="Plain Text"/>
    <w:basedOn w:val="1"/>
    <w:link w:val="34"/>
    <w:qFormat/>
    <w:uiPriority w:val="0"/>
    <w:rPr>
      <w:rFonts w:ascii="宋体" w:hAnsi="Courier New" w:cs="Arial"/>
      <w:snapToGrid w:val="0"/>
      <w:szCs w:val="21"/>
    </w:rPr>
  </w:style>
  <w:style w:type="paragraph" w:styleId="12">
    <w:name w:val="Date"/>
    <w:basedOn w:val="1"/>
    <w:next w:val="1"/>
    <w:link w:val="33"/>
    <w:qFormat/>
    <w:uiPriority w:val="0"/>
    <w:pPr>
      <w:ind w:left="100" w:leftChars="2500"/>
    </w:pPr>
    <w:rPr>
      <w:rFonts w:ascii="宋体"/>
      <w:sz w:val="24"/>
      <w:szCs w:val="21"/>
      <w:lang w:val="zh-CN"/>
    </w:rPr>
  </w:style>
  <w:style w:type="paragraph" w:styleId="13">
    <w:name w:val="Balloon Text"/>
    <w:basedOn w:val="1"/>
    <w:link w:val="48"/>
    <w:semiHidden/>
    <w:unhideWhenUsed/>
    <w:qFormat/>
    <w:uiPriority w:val="99"/>
    <w:rPr>
      <w:sz w:val="18"/>
      <w:szCs w:val="18"/>
    </w:rPr>
  </w:style>
  <w:style w:type="paragraph" w:styleId="14">
    <w:name w:val="footer"/>
    <w:basedOn w:val="1"/>
    <w:link w:val="30"/>
    <w:unhideWhenUsed/>
    <w:qFormat/>
    <w:uiPriority w:val="99"/>
    <w:pPr>
      <w:tabs>
        <w:tab w:val="center" w:pos="4153"/>
        <w:tab w:val="right" w:pos="8306"/>
      </w:tabs>
      <w:snapToGrid w:val="0"/>
      <w:jc w:val="left"/>
    </w:pPr>
    <w:rPr>
      <w:sz w:val="18"/>
      <w:szCs w:val="18"/>
    </w:rPr>
  </w:style>
  <w:style w:type="paragraph" w:styleId="15">
    <w:name w:val="header"/>
    <w:basedOn w:val="1"/>
    <w:link w:val="29"/>
    <w:unhideWhenUsed/>
    <w:qFormat/>
    <w:uiPriority w:val="99"/>
    <w:pPr>
      <w:pBdr>
        <w:bottom w:val="single" w:color="auto" w:sz="6" w:space="1"/>
      </w:pBdr>
      <w:tabs>
        <w:tab w:val="center" w:pos="4153"/>
        <w:tab w:val="right" w:pos="8306"/>
      </w:tabs>
      <w:snapToGrid w:val="0"/>
      <w:jc w:val="center"/>
    </w:pPr>
    <w:rPr>
      <w:sz w:val="18"/>
      <w:szCs w:val="18"/>
    </w:rPr>
  </w:style>
  <w:style w:type="paragraph" w:styleId="16">
    <w:name w:val="Subtitle"/>
    <w:basedOn w:val="1"/>
    <w:next w:val="1"/>
    <w:link w:val="54"/>
    <w:qFormat/>
    <w:uiPriority w:val="11"/>
    <w:pPr>
      <w:spacing w:before="240" w:after="60" w:line="312" w:lineRule="auto"/>
      <w:jc w:val="center"/>
      <w:outlineLvl w:val="1"/>
    </w:pPr>
    <w:rPr>
      <w:rFonts w:asciiTheme="majorHAnsi" w:hAnsiTheme="majorHAnsi" w:cstheme="majorBidi"/>
      <w:b/>
      <w:bCs/>
      <w:kern w:val="28"/>
      <w:sz w:val="32"/>
      <w:szCs w:val="32"/>
    </w:rPr>
  </w:style>
  <w:style w:type="paragraph" w:styleId="17">
    <w:name w:val="Body Text Indent 3"/>
    <w:basedOn w:val="1"/>
    <w:link w:val="53"/>
    <w:qFormat/>
    <w:uiPriority w:val="0"/>
    <w:pPr>
      <w:spacing w:after="120"/>
      <w:ind w:left="420" w:leftChars="200"/>
    </w:pPr>
    <w:rPr>
      <w:rFonts w:ascii="Times New Roman" w:hAnsi="Times New Roman"/>
      <w:sz w:val="16"/>
      <w:szCs w:val="16"/>
    </w:rPr>
  </w:style>
  <w:style w:type="paragraph" w:styleId="18">
    <w:name w:val="Body Text 2"/>
    <w:basedOn w:val="1"/>
    <w:link w:val="72"/>
    <w:qFormat/>
    <w:uiPriority w:val="0"/>
    <w:pPr>
      <w:spacing w:after="120" w:line="480" w:lineRule="auto"/>
    </w:pPr>
    <w:rPr>
      <w:rFonts w:ascii="Times New Roman" w:hAnsi="Times New Roman"/>
    </w:rPr>
  </w:style>
  <w:style w:type="paragraph" w:styleId="19">
    <w:name w:val="Body Text First Indent"/>
    <w:basedOn w:val="8"/>
    <w:next w:val="1"/>
    <w:qFormat/>
    <w:uiPriority w:val="0"/>
    <w:pPr>
      <w:ind w:firstLine="420" w:firstLineChars="100"/>
    </w:pPr>
  </w:style>
  <w:style w:type="paragraph" w:styleId="20">
    <w:name w:val="Body Text First Indent 2"/>
    <w:basedOn w:val="9"/>
    <w:link w:val="57"/>
    <w:semiHidden/>
    <w:unhideWhenUsed/>
    <w:qFormat/>
    <w:uiPriority w:val="99"/>
    <w:pPr>
      <w:spacing w:after="120" w:line="240" w:lineRule="auto"/>
      <w:ind w:left="420" w:leftChars="200" w:firstLine="420"/>
    </w:pPr>
    <w:rPr>
      <w:rFonts w:ascii="Calibri" w:hAnsi="Calibri"/>
      <w:sz w:val="21"/>
    </w:rPr>
  </w:style>
  <w:style w:type="table" w:styleId="22">
    <w:name w:val="Table Grid"/>
    <w:basedOn w:val="21"/>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4">
    <w:name w:val="page number"/>
    <w:basedOn w:val="23"/>
    <w:qFormat/>
    <w:uiPriority w:val="0"/>
    <w:rPr>
      <w:rFonts w:ascii="Arial" w:hAnsi="Arial" w:eastAsia="黑体" w:cs="Arial"/>
      <w:snapToGrid w:val="0"/>
      <w:kern w:val="0"/>
      <w:szCs w:val="21"/>
    </w:rPr>
  </w:style>
  <w:style w:type="character" w:styleId="25">
    <w:name w:val="FollowedHyperlink"/>
    <w:basedOn w:val="23"/>
    <w:semiHidden/>
    <w:unhideWhenUsed/>
    <w:qFormat/>
    <w:uiPriority w:val="99"/>
    <w:rPr>
      <w:color w:val="800080"/>
      <w:u w:val="none"/>
    </w:rPr>
  </w:style>
  <w:style w:type="character" w:styleId="26">
    <w:name w:val="Hyperlink"/>
    <w:qFormat/>
    <w:uiPriority w:val="99"/>
    <w:rPr>
      <w:rFonts w:ascii="Arial" w:hAnsi="Arial" w:eastAsia="黑体" w:cs="Arial"/>
      <w:snapToGrid w:val="0"/>
      <w:color w:val="000000"/>
      <w:kern w:val="0"/>
      <w:sz w:val="18"/>
      <w:szCs w:val="18"/>
      <w:u w:val="none"/>
    </w:rPr>
  </w:style>
  <w:style w:type="paragraph" w:customStyle="1" w:styleId="27">
    <w:name w:val="_Style 3"/>
    <w:basedOn w:val="1"/>
    <w:qFormat/>
    <w:uiPriority w:val="1"/>
    <w:pPr>
      <w:ind w:firstLine="420" w:firstLineChars="200"/>
    </w:pPr>
    <w:rPr>
      <w:rFonts w:eastAsia="仿宋_GB2312"/>
      <w:sz w:val="28"/>
    </w:rPr>
  </w:style>
  <w:style w:type="paragraph" w:styleId="28">
    <w:name w:val="List Paragraph"/>
    <w:basedOn w:val="1"/>
    <w:qFormat/>
    <w:uiPriority w:val="34"/>
    <w:pPr>
      <w:ind w:firstLine="420" w:firstLineChars="200"/>
    </w:pPr>
    <w:rPr>
      <w:szCs w:val="22"/>
    </w:rPr>
  </w:style>
  <w:style w:type="character" w:customStyle="1" w:styleId="29">
    <w:name w:val="页眉 Char"/>
    <w:basedOn w:val="23"/>
    <w:link w:val="15"/>
    <w:qFormat/>
    <w:uiPriority w:val="99"/>
    <w:rPr>
      <w:sz w:val="18"/>
      <w:szCs w:val="18"/>
    </w:rPr>
  </w:style>
  <w:style w:type="character" w:customStyle="1" w:styleId="30">
    <w:name w:val="页脚 Char"/>
    <w:basedOn w:val="23"/>
    <w:link w:val="14"/>
    <w:qFormat/>
    <w:uiPriority w:val="99"/>
    <w:rPr>
      <w:sz w:val="18"/>
      <w:szCs w:val="18"/>
    </w:rPr>
  </w:style>
  <w:style w:type="character" w:customStyle="1" w:styleId="31">
    <w:name w:val="标题 2 Char"/>
    <w:basedOn w:val="23"/>
    <w:link w:val="3"/>
    <w:qFormat/>
    <w:uiPriority w:val="0"/>
    <w:rPr>
      <w:rFonts w:ascii="仿宋_GB2312" w:hAnsi="仿宋" w:eastAsia="仿宋_GB2312" w:cs="Times New Roman"/>
      <w:b/>
      <w:bCs/>
      <w:sz w:val="32"/>
      <w:szCs w:val="32"/>
      <w:lang w:val="zh-CN"/>
    </w:rPr>
  </w:style>
  <w:style w:type="character" w:customStyle="1" w:styleId="32">
    <w:name w:val="正文文本缩进 Char"/>
    <w:basedOn w:val="23"/>
    <w:link w:val="9"/>
    <w:qFormat/>
    <w:uiPriority w:val="0"/>
    <w:rPr>
      <w:rFonts w:ascii="宋体" w:hAnsi="宋体" w:eastAsia="宋体" w:cs="Times New Roman"/>
      <w:sz w:val="24"/>
      <w:szCs w:val="24"/>
    </w:rPr>
  </w:style>
  <w:style w:type="character" w:customStyle="1" w:styleId="33">
    <w:name w:val="日期 Char"/>
    <w:basedOn w:val="23"/>
    <w:link w:val="12"/>
    <w:qFormat/>
    <w:uiPriority w:val="0"/>
    <w:rPr>
      <w:rFonts w:ascii="宋体" w:hAnsi="Calibri" w:eastAsia="宋体" w:cs="Times New Roman"/>
      <w:sz w:val="24"/>
      <w:szCs w:val="21"/>
      <w:lang w:val="zh-CN"/>
    </w:rPr>
  </w:style>
  <w:style w:type="character" w:customStyle="1" w:styleId="34">
    <w:name w:val="纯文本 Char"/>
    <w:basedOn w:val="23"/>
    <w:link w:val="11"/>
    <w:qFormat/>
    <w:uiPriority w:val="0"/>
    <w:rPr>
      <w:rFonts w:ascii="宋体" w:hAnsi="Courier New" w:eastAsia="宋体" w:cs="Arial"/>
      <w:snapToGrid w:val="0"/>
      <w:szCs w:val="21"/>
    </w:rPr>
  </w:style>
  <w:style w:type="character" w:customStyle="1" w:styleId="35">
    <w:name w:val="正文文本 Char"/>
    <w:basedOn w:val="23"/>
    <w:link w:val="8"/>
    <w:qFormat/>
    <w:uiPriority w:val="0"/>
    <w:rPr>
      <w:rFonts w:ascii="宋体" w:hAnsi="Arial" w:eastAsia="宋体" w:cs="Arial"/>
      <w:snapToGrid w:val="0"/>
      <w:sz w:val="24"/>
      <w:szCs w:val="21"/>
      <w:lang w:val="zh-CN"/>
    </w:rPr>
  </w:style>
  <w:style w:type="paragraph" w:customStyle="1" w:styleId="36">
    <w:name w:val="索引 11"/>
    <w:basedOn w:val="1"/>
    <w:next w:val="1"/>
    <w:qFormat/>
    <w:uiPriority w:val="99"/>
    <w:pPr>
      <w:spacing w:line="360" w:lineRule="auto"/>
    </w:pPr>
    <w:rPr>
      <w:rFonts w:ascii="仿宋_GB2312" w:eastAsia="仿宋_GB2312"/>
      <w:sz w:val="24"/>
      <w:szCs w:val="20"/>
    </w:rPr>
  </w:style>
  <w:style w:type="paragraph" w:customStyle="1" w:styleId="37">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9">
    <w:name w:val="text-tag"/>
    <w:basedOn w:val="1"/>
    <w:semiHidden/>
    <w:qFormat/>
    <w:uiPriority w:val="99"/>
    <w:pPr>
      <w:widowControl/>
      <w:spacing w:before="100" w:beforeAutospacing="1" w:after="100" w:afterAutospacing="1"/>
      <w:jc w:val="left"/>
    </w:pPr>
    <w:rPr>
      <w:rFonts w:ascii="宋体" w:hAnsi="宋体" w:cs="宋体"/>
      <w:kern w:val="0"/>
      <w:sz w:val="24"/>
    </w:rPr>
  </w:style>
  <w:style w:type="paragraph" w:customStyle="1" w:styleId="40">
    <w:name w:val="纯文本1"/>
    <w:basedOn w:val="1"/>
    <w:qFormat/>
    <w:uiPriority w:val="0"/>
    <w:rPr>
      <w:rFonts w:ascii="宋体" w:hAnsi="Courier New"/>
      <w:kern w:val="0"/>
      <w:sz w:val="20"/>
      <w:szCs w:val="20"/>
    </w:rPr>
  </w:style>
  <w:style w:type="paragraph" w:customStyle="1" w:styleId="4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2">
    <w:name w:val="纯文本_0_0"/>
    <w:basedOn w:val="41"/>
    <w:qFormat/>
    <w:uiPriority w:val="0"/>
    <w:rPr>
      <w:rFonts w:ascii="宋体" w:hAnsi="Courier New"/>
      <w:szCs w:val="21"/>
    </w:rPr>
  </w:style>
  <w:style w:type="paragraph" w:customStyle="1" w:styleId="43">
    <w:name w:val="正文2"/>
    <w:basedOn w:val="1"/>
    <w:qFormat/>
    <w:uiPriority w:val="0"/>
    <w:pPr>
      <w:spacing w:before="156" w:line="360" w:lineRule="auto"/>
      <w:ind w:firstLine="510" w:firstLineChars="200"/>
    </w:pPr>
    <w:rPr>
      <w:sz w:val="24"/>
      <w:szCs w:val="20"/>
    </w:rPr>
  </w:style>
  <w:style w:type="paragraph" w:customStyle="1" w:styleId="44">
    <w:name w:val="正文缩进1"/>
    <w:basedOn w:val="1"/>
    <w:next w:val="9"/>
    <w:qFormat/>
    <w:uiPriority w:val="0"/>
    <w:pPr>
      <w:autoSpaceDE w:val="0"/>
      <w:autoSpaceDN w:val="0"/>
      <w:snapToGrid w:val="0"/>
      <w:spacing w:after="120" w:line="360" w:lineRule="auto"/>
      <w:ind w:left="420" w:leftChars="200" w:firstLine="480" w:firstLineChars="200"/>
    </w:pPr>
    <w:rPr>
      <w:sz w:val="24"/>
      <w:szCs w:val="21"/>
    </w:rPr>
  </w:style>
  <w:style w:type="character" w:customStyle="1" w:styleId="45">
    <w:name w:val="标题 3 Char"/>
    <w:basedOn w:val="23"/>
    <w:link w:val="4"/>
    <w:semiHidden/>
    <w:qFormat/>
    <w:uiPriority w:val="9"/>
    <w:rPr>
      <w:rFonts w:ascii="Calibri" w:hAnsi="Calibri" w:eastAsia="宋体" w:cs="Times New Roman"/>
      <w:b/>
      <w:bCs/>
      <w:sz w:val="32"/>
      <w:szCs w:val="32"/>
    </w:rPr>
  </w:style>
  <w:style w:type="character" w:customStyle="1" w:styleId="46">
    <w:name w:val="标题 4 Char"/>
    <w:basedOn w:val="23"/>
    <w:link w:val="5"/>
    <w:semiHidden/>
    <w:qFormat/>
    <w:uiPriority w:val="9"/>
    <w:rPr>
      <w:rFonts w:asciiTheme="majorHAnsi" w:hAnsiTheme="majorHAnsi" w:eastAsiaTheme="majorEastAsia" w:cstheme="majorBidi"/>
      <w:b/>
      <w:bCs/>
      <w:sz w:val="28"/>
      <w:szCs w:val="28"/>
    </w:rPr>
  </w:style>
  <w:style w:type="paragraph" w:customStyle="1" w:styleId="47">
    <w:name w:val="标题4"/>
    <w:basedOn w:val="1"/>
    <w:qFormat/>
    <w:uiPriority w:val="0"/>
    <w:rPr>
      <w:rFonts w:ascii="Times New Roman" w:hAnsi="Times New Roman" w:eastAsia="仿宋_GB2312"/>
      <w:sz w:val="32"/>
      <w:szCs w:val="20"/>
    </w:rPr>
  </w:style>
  <w:style w:type="character" w:customStyle="1" w:styleId="48">
    <w:name w:val="批注框文本 Char"/>
    <w:basedOn w:val="23"/>
    <w:link w:val="13"/>
    <w:semiHidden/>
    <w:qFormat/>
    <w:uiPriority w:val="99"/>
    <w:rPr>
      <w:rFonts w:ascii="Calibri" w:hAnsi="Calibri" w:eastAsia="宋体" w:cs="Times New Roman"/>
      <w:sz w:val="18"/>
      <w:szCs w:val="18"/>
    </w:rPr>
  </w:style>
  <w:style w:type="character" w:customStyle="1" w:styleId="49">
    <w:name w:val="List Paragraph Char"/>
    <w:link w:val="50"/>
    <w:qFormat/>
    <w:locked/>
    <w:uiPriority w:val="0"/>
    <w:rPr>
      <w:rFonts w:ascii="Times New Roman" w:hAnsi="Times New Roman"/>
      <w:szCs w:val="24"/>
    </w:rPr>
  </w:style>
  <w:style w:type="paragraph" w:customStyle="1" w:styleId="50">
    <w:name w:val="列出段落1"/>
    <w:basedOn w:val="1"/>
    <w:link w:val="49"/>
    <w:qFormat/>
    <w:uiPriority w:val="0"/>
    <w:pPr>
      <w:ind w:firstLine="420" w:firstLineChars="200"/>
    </w:pPr>
    <w:rPr>
      <w:rFonts w:ascii="Times New Roman" w:hAnsi="Times New Roman" w:eastAsiaTheme="minorEastAsia" w:cstheme="minorBidi"/>
    </w:rPr>
  </w:style>
  <w:style w:type="paragraph" w:customStyle="1" w:styleId="51">
    <w:name w:val="p18"/>
    <w:basedOn w:val="1"/>
    <w:qFormat/>
    <w:uiPriority w:val="0"/>
    <w:pPr>
      <w:widowControl/>
    </w:pPr>
    <w:rPr>
      <w:kern w:val="0"/>
      <w:sz w:val="24"/>
    </w:rPr>
  </w:style>
  <w:style w:type="paragraph" w:customStyle="1" w:styleId="52">
    <w:name w:val="列表段落1"/>
    <w:basedOn w:val="1"/>
    <w:qFormat/>
    <w:uiPriority w:val="34"/>
    <w:pPr>
      <w:ind w:firstLine="420" w:firstLineChars="200"/>
    </w:pPr>
    <w:rPr>
      <w:rFonts w:asciiTheme="minorHAnsi" w:hAnsiTheme="minorHAnsi" w:eastAsiaTheme="minorEastAsia" w:cstheme="minorBidi"/>
      <w:szCs w:val="22"/>
    </w:rPr>
  </w:style>
  <w:style w:type="character" w:customStyle="1" w:styleId="53">
    <w:name w:val="正文文本缩进 3 Char"/>
    <w:basedOn w:val="23"/>
    <w:link w:val="17"/>
    <w:qFormat/>
    <w:uiPriority w:val="0"/>
    <w:rPr>
      <w:rFonts w:ascii="Times New Roman" w:hAnsi="Times New Roman" w:eastAsia="宋体" w:cs="Times New Roman"/>
      <w:kern w:val="2"/>
      <w:sz w:val="16"/>
      <w:szCs w:val="16"/>
    </w:rPr>
  </w:style>
  <w:style w:type="character" w:customStyle="1" w:styleId="54">
    <w:name w:val="副标题 Char"/>
    <w:basedOn w:val="23"/>
    <w:link w:val="16"/>
    <w:qFormat/>
    <w:uiPriority w:val="11"/>
    <w:rPr>
      <w:rFonts w:eastAsia="宋体" w:asciiTheme="majorHAnsi" w:hAnsiTheme="majorHAnsi" w:cstheme="majorBidi"/>
      <w:b/>
      <w:bCs/>
      <w:kern w:val="28"/>
      <w:sz w:val="32"/>
      <w:szCs w:val="32"/>
    </w:rPr>
  </w:style>
  <w:style w:type="character" w:customStyle="1" w:styleId="55">
    <w:name w:val="正文缩进 Char"/>
    <w:link w:val="7"/>
    <w:qFormat/>
    <w:uiPriority w:val="0"/>
    <w:rPr>
      <w:rFonts w:ascii="宋体" w:hAnsi="Calibri" w:eastAsia="宋体" w:cs="Times New Roman"/>
      <w:snapToGrid w:val="0"/>
      <w:color w:val="000000"/>
      <w:kern w:val="28"/>
      <w:sz w:val="28"/>
    </w:rPr>
  </w:style>
  <w:style w:type="paragraph" w:customStyle="1" w:styleId="56">
    <w:name w:val="MY正文"/>
    <w:basedOn w:val="1"/>
    <w:qFormat/>
    <w:uiPriority w:val="0"/>
    <w:pPr>
      <w:spacing w:line="360" w:lineRule="auto"/>
      <w:ind w:firstLine="560" w:firstLineChars="200"/>
    </w:pPr>
    <w:rPr>
      <w:rFonts w:ascii="Times New Roman" w:hAnsi="Times New Roman" w:eastAsia="仿宋" w:cstheme="minorBidi"/>
      <w:szCs w:val="28"/>
    </w:rPr>
  </w:style>
  <w:style w:type="character" w:customStyle="1" w:styleId="57">
    <w:name w:val="正文首行缩进 2 Char"/>
    <w:basedOn w:val="32"/>
    <w:link w:val="20"/>
    <w:semiHidden/>
    <w:qFormat/>
    <w:uiPriority w:val="99"/>
    <w:rPr>
      <w:rFonts w:ascii="Calibri" w:hAnsi="Calibri" w:eastAsia="宋体" w:cs="Times New Roman"/>
      <w:kern w:val="2"/>
      <w:sz w:val="21"/>
      <w:szCs w:val="24"/>
    </w:rPr>
  </w:style>
  <w:style w:type="character" w:customStyle="1" w:styleId="58">
    <w:name w:val="font11"/>
    <w:basedOn w:val="23"/>
    <w:qFormat/>
    <w:uiPriority w:val="0"/>
    <w:rPr>
      <w:rFonts w:hint="eastAsia" w:ascii="宋体" w:hAnsi="宋体" w:eastAsia="宋体" w:cs="宋体"/>
      <w:color w:val="000000"/>
      <w:sz w:val="22"/>
      <w:szCs w:val="22"/>
      <w:u w:val="none"/>
    </w:rPr>
  </w:style>
  <w:style w:type="paragraph" w:customStyle="1" w:styleId="59">
    <w:name w:val="正文-正文"/>
    <w:basedOn w:val="1"/>
    <w:qFormat/>
    <w:uiPriority w:val="0"/>
    <w:pPr>
      <w:spacing w:line="360" w:lineRule="auto"/>
      <w:ind w:firstLine="200" w:firstLineChars="200"/>
    </w:pPr>
    <w:rPr>
      <w:rFonts w:ascii="Times New Roman" w:hAnsi="Times New Roman" w:eastAsia="仿宋_GB2312" w:cstheme="minorBidi"/>
      <w:sz w:val="28"/>
      <w:szCs w:val="22"/>
    </w:rPr>
  </w:style>
  <w:style w:type="paragraph" w:customStyle="1" w:styleId="60">
    <w:name w:val="p17"/>
    <w:basedOn w:val="1"/>
    <w:qFormat/>
    <w:uiPriority w:val="0"/>
    <w:pPr>
      <w:ind w:firstLine="420"/>
    </w:pPr>
    <w:rPr>
      <w:rFonts w:ascii="Times New Roman" w:hAnsi="Times New Roman" w:cs="黑体"/>
      <w:b/>
      <w:bCs/>
      <w:sz w:val="28"/>
      <w:szCs w:val="28"/>
    </w:rPr>
  </w:style>
  <w:style w:type="character" w:customStyle="1" w:styleId="61">
    <w:name w:val="textcolor1"/>
    <w:basedOn w:val="23"/>
    <w:qFormat/>
    <w:uiPriority w:val="0"/>
    <w:rPr>
      <w:color w:val="FF6600"/>
    </w:rPr>
  </w:style>
  <w:style w:type="character" w:customStyle="1" w:styleId="62">
    <w:name w:val="标题 5 Char"/>
    <w:basedOn w:val="23"/>
    <w:link w:val="6"/>
    <w:semiHidden/>
    <w:qFormat/>
    <w:uiPriority w:val="9"/>
    <w:rPr>
      <w:rFonts w:ascii="Calibri" w:hAnsi="Calibri"/>
      <w:b/>
      <w:bCs/>
      <w:kern w:val="2"/>
      <w:sz w:val="28"/>
      <w:szCs w:val="28"/>
    </w:rPr>
  </w:style>
  <w:style w:type="character" w:customStyle="1" w:styleId="63">
    <w:name w:val="font21"/>
    <w:basedOn w:val="23"/>
    <w:qFormat/>
    <w:uiPriority w:val="0"/>
    <w:rPr>
      <w:rFonts w:hint="eastAsia" w:ascii="宋体" w:hAnsi="宋体" w:eastAsia="宋体" w:cs="宋体"/>
      <w:color w:val="000000"/>
      <w:sz w:val="24"/>
      <w:szCs w:val="24"/>
      <w:u w:val="none"/>
    </w:rPr>
  </w:style>
  <w:style w:type="paragraph" w:customStyle="1" w:styleId="64">
    <w:name w:val="列出段落2"/>
    <w:basedOn w:val="1"/>
    <w:qFormat/>
    <w:uiPriority w:val="0"/>
    <w:pPr>
      <w:spacing w:line="360" w:lineRule="auto"/>
      <w:ind w:firstLine="420" w:firstLineChars="200"/>
    </w:pPr>
    <w:rPr>
      <w:szCs w:val="20"/>
    </w:rPr>
  </w:style>
  <w:style w:type="paragraph" w:customStyle="1" w:styleId="65">
    <w:name w:val="BodyText1I"/>
    <w:basedOn w:val="66"/>
    <w:qFormat/>
    <w:uiPriority w:val="0"/>
    <w:pPr>
      <w:spacing w:after="120" w:line="240" w:lineRule="auto"/>
      <w:ind w:firstLine="420" w:firstLineChars="100"/>
    </w:pPr>
    <w:rPr>
      <w:sz w:val="21"/>
    </w:rPr>
  </w:style>
  <w:style w:type="paragraph" w:customStyle="1" w:styleId="66">
    <w:name w:val="BodyText"/>
    <w:basedOn w:val="1"/>
    <w:next w:val="1"/>
    <w:qFormat/>
    <w:uiPriority w:val="0"/>
    <w:pPr>
      <w:spacing w:line="360" w:lineRule="auto"/>
      <w:textAlignment w:val="baseline"/>
    </w:pPr>
    <w:rPr>
      <w:sz w:val="24"/>
    </w:rPr>
  </w:style>
  <w:style w:type="character" w:customStyle="1" w:styleId="67">
    <w:name w:val="font41"/>
    <w:basedOn w:val="23"/>
    <w:qFormat/>
    <w:uiPriority w:val="0"/>
    <w:rPr>
      <w:rFonts w:hint="eastAsia" w:ascii="宋体" w:hAnsi="宋体" w:eastAsia="宋体" w:cs="宋体"/>
      <w:color w:val="000000"/>
      <w:sz w:val="22"/>
      <w:szCs w:val="22"/>
      <w:u w:val="none"/>
      <w:vertAlign w:val="superscript"/>
    </w:rPr>
  </w:style>
  <w:style w:type="paragraph" w:customStyle="1" w:styleId="68">
    <w:name w:val="Default"/>
    <w:qFormat/>
    <w:uiPriority w:val="0"/>
    <w:pPr>
      <w:widowControl w:val="0"/>
      <w:autoSpaceDE w:val="0"/>
      <w:autoSpaceDN w:val="0"/>
      <w:adjustRightInd w:val="0"/>
    </w:pPr>
    <w:rPr>
      <w:rFonts w:ascii="宋体..鍼笁鍼." w:hAnsi="Calibri" w:eastAsia="宋体..鍼笁鍼." w:cs="宋体..鍼笁鍼."/>
      <w:color w:val="000000"/>
      <w:sz w:val="24"/>
      <w:szCs w:val="24"/>
      <w:lang w:val="en-US" w:eastAsia="zh-CN" w:bidi="ar-SA"/>
    </w:rPr>
  </w:style>
  <w:style w:type="paragraph" w:customStyle="1" w:styleId="69">
    <w:name w:val="正文段"/>
    <w:basedOn w:val="1"/>
    <w:qFormat/>
    <w:uiPriority w:val="0"/>
    <w:pPr>
      <w:widowControl/>
      <w:snapToGrid w:val="0"/>
      <w:spacing w:afterLines="50"/>
      <w:ind w:firstLine="400"/>
    </w:pPr>
    <w:rPr>
      <w:rFonts w:ascii="Times New Roman" w:hAnsi="Times New Roman"/>
      <w:kern w:val="0"/>
      <w:sz w:val="24"/>
      <w:szCs w:val="20"/>
    </w:rPr>
  </w:style>
  <w:style w:type="paragraph" w:customStyle="1" w:styleId="70">
    <w:name w:val="Table Text"/>
    <w:basedOn w:val="1"/>
    <w:semiHidden/>
    <w:qFormat/>
    <w:uiPriority w:val="0"/>
    <w:rPr>
      <w:rFonts w:ascii="宋体" w:hAnsi="宋体" w:cs="宋体"/>
      <w:sz w:val="14"/>
      <w:szCs w:val="14"/>
      <w:lang w:eastAsia="en-US"/>
    </w:rPr>
  </w:style>
  <w:style w:type="table" w:customStyle="1" w:styleId="71">
    <w:name w:val="Table Normal"/>
    <w:semiHidden/>
    <w:unhideWhenUsed/>
    <w:qFormat/>
    <w:uiPriority w:val="0"/>
    <w:rPr>
      <w:rFonts w:asciiTheme="minorHAnsi" w:hAnsiTheme="minorHAnsi" w:eastAsiaTheme="minorEastAsia" w:cstheme="minorBidi"/>
    </w:rPr>
    <w:tblPr>
      <w:tblCellMar>
        <w:top w:w="0" w:type="dxa"/>
        <w:left w:w="0" w:type="dxa"/>
        <w:bottom w:w="0" w:type="dxa"/>
        <w:right w:w="0" w:type="dxa"/>
      </w:tblCellMar>
    </w:tblPr>
  </w:style>
  <w:style w:type="character" w:customStyle="1" w:styleId="72">
    <w:name w:val="正文文本 2 Char"/>
    <w:basedOn w:val="23"/>
    <w:link w:val="18"/>
    <w:qFormat/>
    <w:uiPriority w:val="0"/>
    <w:rPr>
      <w:kern w:val="2"/>
      <w:sz w:val="21"/>
      <w:szCs w:val="24"/>
    </w:rPr>
  </w:style>
  <w:style w:type="character" w:customStyle="1" w:styleId="73">
    <w:name w:val="标题 1 Char"/>
    <w:basedOn w:val="23"/>
    <w:link w:val="2"/>
    <w:qFormat/>
    <w:uiPriority w:val="9"/>
    <w:rPr>
      <w:rFonts w:ascii="Calibri" w:hAnsi="Calibri"/>
      <w:b/>
      <w:bCs/>
      <w:kern w:val="44"/>
      <w:sz w:val="44"/>
      <w:szCs w:val="4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1.xml"/><Relationship Id="rId13" Type="http://schemas.openxmlformats.org/officeDocument/2006/relationships/numbering" Target="numbering.xml"/><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SelectedStyle="\APA.XSL" StyleName="APA"/>
</file>

<file path=customXml/itemProps1.xml><?xml version="1.0" encoding="utf-8"?>
<ds:datastoreItem xmlns:ds="http://schemas.openxmlformats.org/officeDocument/2006/customXml" ds:itemID="{8FFF9E1E-B7FB-44CD-962E-773239EFC0B0}">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74</Pages>
  <Words>15529</Words>
  <Characters>16639</Characters>
  <Lines>46</Lines>
  <Paragraphs>88</Paragraphs>
  <TotalTime>52</TotalTime>
  <ScaleCrop>false</ScaleCrop>
  <LinksUpToDate>false</LinksUpToDate>
  <CharactersWithSpaces>16862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2022-10-13T02:01:00Z</dcterms:created>
  <dc:creator>Microsoft</dc:creator>
  <cp:lastModifiedBy>丁 小 跳   ■</cp:lastModifiedBy>
  <cp:lastPrinted>2025-02-21T04:58:00Z</cp:lastPrinted>
  <dcterms:modified xsi:type="dcterms:W3CDTF">2025-03-31T05:34:55Z</dcterms:modified>
  <cp:revision>315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A12025A4C1A0495C92A5218CFCA62A79</vt:lpwstr>
  </property>
  <property fmtid="{D5CDD505-2E9C-101B-9397-08002B2CF9AE}" pid="4" name="KSOTemplateDocerSaveRecord">
    <vt:lpwstr>eyJoZGlkIjoiNGU3MzY4Zjc0ZWNjYmRkYWJhODU4Mzc2MjQ4ZWQ4ZmQiLCJ1c2VySWQiOiIxMDIxOTU2NDgzIn0=</vt:lpwstr>
  </property>
</Properties>
</file>