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53884C">
      <w:pPr>
        <w:spacing w:line="360" w:lineRule="auto"/>
        <w:jc w:val="center"/>
        <w:rPr>
          <w:rFonts w:cs="仿宋_GB2312" w:asciiTheme="majorEastAsia" w:hAnsiTheme="majorEastAsia" w:eastAsiaTheme="majorEastAsia"/>
          <w:color w:val="auto"/>
          <w:sz w:val="48"/>
          <w:szCs w:val="48"/>
          <w:highlight w:val="none"/>
        </w:rPr>
      </w:pPr>
    </w:p>
    <w:p w14:paraId="147EE18D">
      <w:pPr>
        <w:spacing w:line="360" w:lineRule="auto"/>
        <w:jc w:val="center"/>
        <w:rPr>
          <w:rFonts w:cs="仿宋_GB2312" w:asciiTheme="majorEastAsia" w:hAnsiTheme="majorEastAsia" w:eastAsiaTheme="majorEastAsia"/>
          <w:color w:val="auto"/>
          <w:sz w:val="48"/>
          <w:szCs w:val="48"/>
          <w:highlight w:val="none"/>
        </w:rPr>
      </w:pPr>
      <w:r>
        <w:rPr>
          <w:rFonts w:hint="eastAsia" w:cs="仿宋_GB2312" w:asciiTheme="majorEastAsia" w:hAnsiTheme="majorEastAsia" w:eastAsiaTheme="majorEastAsia"/>
          <w:color w:val="auto"/>
          <w:sz w:val="48"/>
          <w:szCs w:val="48"/>
          <w:highlight w:val="none"/>
        </w:rPr>
        <w:t>奉化区FH24-02-09a地块建设项目光伏系统、空气能热水系统采购项目</w:t>
      </w:r>
    </w:p>
    <w:p w14:paraId="2E75D3F1">
      <w:pPr>
        <w:spacing w:line="360" w:lineRule="auto"/>
        <w:jc w:val="center"/>
        <w:rPr>
          <w:rFonts w:cs="仿宋_GB2312" w:asciiTheme="majorEastAsia" w:hAnsiTheme="majorEastAsia" w:eastAsiaTheme="majorEastAsia"/>
          <w:color w:val="auto"/>
          <w:sz w:val="48"/>
          <w:szCs w:val="48"/>
          <w:highlight w:val="none"/>
        </w:rPr>
      </w:pPr>
      <w:r>
        <w:rPr>
          <w:rFonts w:hint="eastAsia" w:cs="仿宋_GB2312" w:asciiTheme="majorEastAsia" w:hAnsiTheme="majorEastAsia" w:eastAsiaTheme="majorEastAsia"/>
          <w:color w:val="auto"/>
          <w:sz w:val="48"/>
          <w:szCs w:val="48"/>
          <w:highlight w:val="none"/>
        </w:rPr>
        <w:t>招标文件</w:t>
      </w:r>
    </w:p>
    <w:p w14:paraId="55A8E5C0">
      <w:pPr>
        <w:spacing w:line="360" w:lineRule="auto"/>
        <w:jc w:val="center"/>
        <w:rPr>
          <w:rFonts w:cs="仿宋_GB2312" w:asciiTheme="majorEastAsia" w:hAnsiTheme="majorEastAsia" w:eastAsiaTheme="majorEastAsia"/>
          <w:b/>
          <w:color w:val="auto"/>
          <w:sz w:val="44"/>
          <w:szCs w:val="44"/>
          <w:highlight w:val="none"/>
        </w:rPr>
      </w:pPr>
      <w:r>
        <w:rPr>
          <w:rFonts w:cs="仿宋_GB2312" w:asciiTheme="majorEastAsia" w:hAnsiTheme="majorEastAsia" w:eastAsiaTheme="majorEastAsia"/>
          <w:b/>
          <w:color w:val="auto"/>
          <w:sz w:val="44"/>
          <w:szCs w:val="44"/>
          <w:highlight w:val="none"/>
        </w:rPr>
        <w:t xml:space="preserve"> （电子招投标）</w:t>
      </w:r>
    </w:p>
    <w:p w14:paraId="2E67E225">
      <w:pPr>
        <w:snapToGrid w:val="0"/>
        <w:spacing w:line="360" w:lineRule="auto"/>
        <w:jc w:val="center"/>
        <w:rPr>
          <w:rFonts w:cs="仿宋_GB2312" w:asciiTheme="majorEastAsia" w:hAnsiTheme="majorEastAsia" w:eastAsiaTheme="majorEastAsia"/>
          <w:color w:val="auto"/>
          <w:sz w:val="30"/>
          <w:szCs w:val="30"/>
          <w:highlight w:val="none"/>
        </w:rPr>
      </w:pPr>
      <w:r>
        <w:rPr>
          <w:rFonts w:hint="eastAsia" w:cs="仿宋_GB2312" w:asciiTheme="majorEastAsia" w:hAnsiTheme="majorEastAsia" w:eastAsiaTheme="majorEastAsia"/>
          <w:color w:val="auto"/>
          <w:sz w:val="30"/>
          <w:szCs w:val="30"/>
          <w:highlight w:val="none"/>
        </w:rPr>
        <w:t>项目编号</w:t>
      </w:r>
      <w:r>
        <w:rPr>
          <w:rFonts w:cs="仿宋_GB2312" w:asciiTheme="majorEastAsia" w:hAnsiTheme="majorEastAsia" w:eastAsiaTheme="majorEastAsia"/>
          <w:color w:val="auto"/>
          <w:sz w:val="30"/>
          <w:szCs w:val="30"/>
          <w:highlight w:val="none"/>
        </w:rPr>
        <w:t>:</w:t>
      </w:r>
      <w:r>
        <w:rPr>
          <w:rFonts w:asciiTheme="majorEastAsia" w:hAnsiTheme="majorEastAsia" w:eastAsiaTheme="majorEastAsia"/>
          <w:color w:val="auto"/>
          <w:highlight w:val="none"/>
        </w:rPr>
        <w:t xml:space="preserve"> </w:t>
      </w:r>
      <w:r>
        <w:rPr>
          <w:rFonts w:cs="仿宋_GB2312" w:asciiTheme="majorEastAsia" w:hAnsiTheme="majorEastAsia" w:eastAsiaTheme="majorEastAsia"/>
          <w:color w:val="auto"/>
          <w:sz w:val="30"/>
          <w:szCs w:val="30"/>
          <w:highlight w:val="none"/>
        </w:rPr>
        <w:t>FHGQZB(202</w:t>
      </w:r>
      <w:r>
        <w:rPr>
          <w:rFonts w:hint="eastAsia" w:cs="仿宋_GB2312" w:asciiTheme="majorEastAsia" w:hAnsiTheme="majorEastAsia" w:eastAsiaTheme="majorEastAsia"/>
          <w:color w:val="auto"/>
          <w:sz w:val="30"/>
          <w:szCs w:val="30"/>
          <w:highlight w:val="none"/>
        </w:rPr>
        <w:t>4</w:t>
      </w:r>
      <w:r>
        <w:rPr>
          <w:rFonts w:cs="仿宋_GB2312" w:asciiTheme="majorEastAsia" w:hAnsiTheme="majorEastAsia" w:eastAsiaTheme="majorEastAsia"/>
          <w:color w:val="auto"/>
          <w:sz w:val="30"/>
          <w:szCs w:val="30"/>
          <w:highlight w:val="none"/>
        </w:rPr>
        <w:t>)</w:t>
      </w:r>
      <w:r>
        <w:rPr>
          <w:rFonts w:hint="eastAsia" w:cs="仿宋_GB2312" w:asciiTheme="majorEastAsia" w:hAnsiTheme="majorEastAsia" w:eastAsiaTheme="majorEastAsia"/>
          <w:color w:val="auto"/>
          <w:sz w:val="30"/>
          <w:szCs w:val="30"/>
          <w:highlight w:val="none"/>
          <w:lang w:val="en-US" w:eastAsia="zh-CN"/>
        </w:rPr>
        <w:t>446</w:t>
      </w:r>
      <w:r>
        <w:rPr>
          <w:rFonts w:cs="仿宋_GB2312" w:asciiTheme="majorEastAsia" w:hAnsiTheme="majorEastAsia" w:eastAsiaTheme="majorEastAsia"/>
          <w:color w:val="auto"/>
          <w:sz w:val="30"/>
          <w:szCs w:val="30"/>
          <w:highlight w:val="none"/>
        </w:rPr>
        <w:t>D</w:t>
      </w:r>
    </w:p>
    <w:p w14:paraId="696412FE">
      <w:pPr>
        <w:spacing w:line="360" w:lineRule="auto"/>
        <w:rPr>
          <w:rFonts w:cs="仿宋_GB2312" w:asciiTheme="majorEastAsia" w:hAnsiTheme="majorEastAsia" w:eastAsiaTheme="majorEastAsia"/>
          <w:color w:val="auto"/>
          <w:sz w:val="28"/>
          <w:szCs w:val="20"/>
          <w:highlight w:val="none"/>
        </w:rPr>
      </w:pPr>
    </w:p>
    <w:p w14:paraId="774C0E41">
      <w:pPr>
        <w:spacing w:line="360" w:lineRule="auto"/>
        <w:jc w:val="center"/>
        <w:rPr>
          <w:rFonts w:cs="仿宋_GB2312" w:asciiTheme="majorEastAsia" w:hAnsiTheme="majorEastAsia" w:eastAsiaTheme="majorEastAsia"/>
          <w:b/>
          <w:color w:val="auto"/>
          <w:sz w:val="44"/>
          <w:szCs w:val="44"/>
          <w:highlight w:val="none"/>
        </w:rPr>
      </w:pPr>
      <w:r>
        <w:rPr>
          <w:rFonts w:cs="仿宋_GB2312" w:asciiTheme="majorEastAsia" w:hAnsiTheme="majorEastAsia" w:eastAsiaTheme="majorEastAsia"/>
          <w:b/>
          <w:color w:val="auto"/>
          <w:sz w:val="44"/>
          <w:szCs w:val="44"/>
          <w:highlight w:val="none"/>
        </w:rPr>
        <w:t xml:space="preserve"> </w:t>
      </w:r>
    </w:p>
    <w:p w14:paraId="470F2EDA">
      <w:pPr>
        <w:spacing w:line="360" w:lineRule="auto"/>
        <w:jc w:val="center"/>
        <w:rPr>
          <w:rFonts w:cs="仿宋_GB2312" w:asciiTheme="majorEastAsia" w:hAnsiTheme="majorEastAsia" w:eastAsiaTheme="majorEastAsia"/>
          <w:b/>
          <w:color w:val="auto"/>
          <w:sz w:val="44"/>
          <w:szCs w:val="44"/>
          <w:highlight w:val="none"/>
        </w:rPr>
      </w:pPr>
    </w:p>
    <w:p w14:paraId="72D4247B">
      <w:pPr>
        <w:pStyle w:val="28"/>
        <w:ind w:firstLine="588"/>
        <w:rPr>
          <w:color w:val="auto"/>
          <w:highlight w:val="none"/>
        </w:rPr>
      </w:pPr>
    </w:p>
    <w:p w14:paraId="48C63AA6">
      <w:pPr>
        <w:pStyle w:val="28"/>
        <w:ind w:firstLine="588"/>
        <w:rPr>
          <w:color w:val="auto"/>
          <w:highlight w:val="none"/>
        </w:rPr>
      </w:pPr>
    </w:p>
    <w:p w14:paraId="0DA6339B">
      <w:pPr>
        <w:pStyle w:val="28"/>
        <w:ind w:firstLine="588"/>
        <w:rPr>
          <w:color w:val="auto"/>
          <w:highlight w:val="none"/>
        </w:rPr>
      </w:pPr>
    </w:p>
    <w:p w14:paraId="7C910941">
      <w:pPr>
        <w:pStyle w:val="28"/>
        <w:ind w:firstLine="588"/>
        <w:rPr>
          <w:color w:val="auto"/>
          <w:highlight w:val="none"/>
        </w:rPr>
      </w:pPr>
    </w:p>
    <w:p w14:paraId="418F38C6">
      <w:pPr>
        <w:pStyle w:val="28"/>
        <w:ind w:firstLine="588"/>
        <w:rPr>
          <w:color w:val="auto"/>
          <w:highlight w:val="none"/>
        </w:rPr>
      </w:pPr>
    </w:p>
    <w:p w14:paraId="17F9F9C7">
      <w:pPr>
        <w:pStyle w:val="28"/>
        <w:ind w:firstLine="588"/>
        <w:rPr>
          <w:color w:val="auto"/>
          <w:highlight w:val="none"/>
        </w:rPr>
      </w:pPr>
    </w:p>
    <w:p w14:paraId="1CB7586E">
      <w:pPr>
        <w:spacing w:line="360" w:lineRule="auto"/>
        <w:jc w:val="center"/>
        <w:rPr>
          <w:rFonts w:cs="仿宋_GB2312" w:asciiTheme="majorEastAsia" w:hAnsiTheme="majorEastAsia" w:eastAsiaTheme="majorEastAsia"/>
          <w:color w:val="auto"/>
          <w:sz w:val="24"/>
          <w:highlight w:val="none"/>
        </w:rPr>
      </w:pPr>
    </w:p>
    <w:p w14:paraId="76769665">
      <w:pPr>
        <w:spacing w:line="360" w:lineRule="auto"/>
        <w:jc w:val="center"/>
        <w:rPr>
          <w:rFonts w:cs="仿宋_GB2312" w:asciiTheme="majorEastAsia" w:hAnsiTheme="majorEastAsia" w:eastAsiaTheme="majorEastAsia"/>
          <w:color w:val="auto"/>
          <w:sz w:val="24"/>
          <w:highlight w:val="none"/>
        </w:rPr>
      </w:pPr>
    </w:p>
    <w:p w14:paraId="14ACC295">
      <w:pPr>
        <w:spacing w:line="360" w:lineRule="auto"/>
        <w:rPr>
          <w:rFonts w:cs="仿宋_GB2312" w:asciiTheme="majorEastAsia" w:hAnsiTheme="majorEastAsia" w:eastAsiaTheme="majorEastAsia"/>
          <w:color w:val="auto"/>
          <w:sz w:val="32"/>
          <w:szCs w:val="32"/>
          <w:highlight w:val="none"/>
        </w:rPr>
      </w:pPr>
    </w:p>
    <w:p w14:paraId="4D6FAE8B">
      <w:pPr>
        <w:snapToGrid w:val="0"/>
        <w:spacing w:line="360" w:lineRule="auto"/>
        <w:jc w:val="center"/>
        <w:rPr>
          <w:rFonts w:cs="仿宋_GB2312" w:asciiTheme="majorEastAsia" w:hAnsiTheme="majorEastAsia" w:eastAsiaTheme="majorEastAsia"/>
          <w:color w:val="auto"/>
          <w:sz w:val="32"/>
          <w:szCs w:val="32"/>
          <w:highlight w:val="none"/>
        </w:rPr>
      </w:pPr>
      <w:r>
        <w:rPr>
          <w:rFonts w:hint="eastAsia" w:cs="仿宋_GB2312" w:asciiTheme="majorEastAsia" w:hAnsiTheme="majorEastAsia" w:eastAsiaTheme="majorEastAsia"/>
          <w:color w:val="auto"/>
          <w:sz w:val="32"/>
          <w:szCs w:val="32"/>
          <w:highlight w:val="none"/>
        </w:rPr>
        <w:t>采购人：宁波市奉化区惠诚开发建设有限公司</w:t>
      </w:r>
    </w:p>
    <w:p w14:paraId="68B813A9">
      <w:pPr>
        <w:spacing w:line="360" w:lineRule="auto"/>
        <w:jc w:val="center"/>
        <w:rPr>
          <w:rFonts w:cs="仿宋_GB2312" w:asciiTheme="majorEastAsia" w:hAnsiTheme="majorEastAsia" w:eastAsiaTheme="majorEastAsia"/>
          <w:bCs/>
          <w:color w:val="auto"/>
          <w:sz w:val="32"/>
          <w:szCs w:val="32"/>
          <w:highlight w:val="none"/>
        </w:rPr>
      </w:pPr>
      <w:r>
        <w:rPr>
          <w:rFonts w:hint="eastAsia" w:cs="仿宋_GB2312" w:asciiTheme="majorEastAsia" w:hAnsiTheme="majorEastAsia" w:eastAsiaTheme="majorEastAsia"/>
          <w:bCs/>
          <w:color w:val="auto"/>
          <w:sz w:val="32"/>
          <w:szCs w:val="32"/>
          <w:highlight w:val="none"/>
        </w:rPr>
        <w:t>采购代理机构：宁波敬信项目管理咨询有限公司</w:t>
      </w:r>
    </w:p>
    <w:p w14:paraId="4E1F2926">
      <w:pPr>
        <w:snapToGrid w:val="0"/>
        <w:spacing w:line="360" w:lineRule="auto"/>
        <w:jc w:val="center"/>
        <w:rPr>
          <w:rFonts w:cs="仿宋_GB2312" w:asciiTheme="majorEastAsia" w:hAnsiTheme="majorEastAsia" w:eastAsiaTheme="majorEastAsia"/>
          <w:bCs/>
          <w:color w:val="auto"/>
          <w:sz w:val="32"/>
          <w:szCs w:val="32"/>
          <w:highlight w:val="none"/>
        </w:rPr>
      </w:pPr>
    </w:p>
    <w:p w14:paraId="518056FD">
      <w:pPr>
        <w:snapToGrid w:val="0"/>
        <w:spacing w:line="360" w:lineRule="auto"/>
        <w:jc w:val="center"/>
        <w:rPr>
          <w:rFonts w:cs="仿宋_GB2312" w:asciiTheme="majorEastAsia" w:hAnsiTheme="majorEastAsia" w:eastAsiaTheme="majorEastAsia"/>
          <w:bCs/>
          <w:color w:val="auto"/>
          <w:sz w:val="32"/>
          <w:szCs w:val="32"/>
          <w:highlight w:val="none"/>
        </w:rPr>
      </w:pPr>
      <w:r>
        <w:rPr>
          <w:rFonts w:hint="eastAsia" w:cs="仿宋_GB2312" w:asciiTheme="majorEastAsia" w:hAnsiTheme="majorEastAsia" w:eastAsiaTheme="majorEastAsia"/>
          <w:bCs/>
          <w:color w:val="auto"/>
          <w:sz w:val="32"/>
          <w:szCs w:val="32"/>
          <w:highlight w:val="none"/>
        </w:rPr>
        <w:t>二零二四年</w:t>
      </w:r>
    </w:p>
    <w:p w14:paraId="7E58C16A">
      <w:pPr>
        <w:spacing w:line="360" w:lineRule="auto"/>
        <w:jc w:val="center"/>
        <w:rPr>
          <w:rFonts w:cs="仿宋_GB2312" w:asciiTheme="majorEastAsia" w:hAnsiTheme="majorEastAsia" w:eastAsiaTheme="majorEastAsia"/>
          <w:color w:val="auto"/>
          <w:sz w:val="24"/>
          <w:highlight w:val="none"/>
        </w:rPr>
      </w:pPr>
      <w:bookmarkStart w:id="0" w:name="_Hlt67893495"/>
      <w:bookmarkEnd w:id="0"/>
    </w:p>
    <w:p w14:paraId="6D3F7369">
      <w:pPr>
        <w:spacing w:line="360" w:lineRule="auto"/>
        <w:jc w:val="center"/>
        <w:rPr>
          <w:rFonts w:cs="仿宋_GB2312" w:asciiTheme="majorEastAsia" w:hAnsiTheme="majorEastAsia" w:eastAsiaTheme="majorEastAsia"/>
          <w:color w:val="auto"/>
          <w:sz w:val="24"/>
          <w:highlight w:val="none"/>
        </w:rPr>
      </w:pPr>
    </w:p>
    <w:p w14:paraId="05DE5119">
      <w:pPr>
        <w:spacing w:line="360" w:lineRule="auto"/>
        <w:jc w:val="center"/>
        <w:rPr>
          <w:rFonts w:cs="仿宋_GB2312" w:asciiTheme="majorEastAsia" w:hAnsiTheme="majorEastAsia" w:eastAsiaTheme="majorEastAsia"/>
          <w:b/>
          <w:color w:val="auto"/>
          <w:sz w:val="48"/>
          <w:szCs w:val="48"/>
          <w:highlight w:val="none"/>
        </w:rPr>
      </w:pPr>
      <w:r>
        <w:rPr>
          <w:rFonts w:hint="eastAsia" w:cs="仿宋_GB2312" w:asciiTheme="majorEastAsia" w:hAnsiTheme="majorEastAsia" w:eastAsiaTheme="majorEastAsia"/>
          <w:b/>
          <w:color w:val="auto"/>
          <w:sz w:val="48"/>
          <w:szCs w:val="48"/>
          <w:highlight w:val="none"/>
        </w:rPr>
        <w:t>目</w:t>
      </w:r>
      <w:r>
        <w:rPr>
          <w:rFonts w:cs="仿宋_GB2312" w:asciiTheme="majorEastAsia" w:hAnsiTheme="majorEastAsia" w:eastAsiaTheme="majorEastAsia"/>
          <w:b/>
          <w:color w:val="auto"/>
          <w:sz w:val="48"/>
          <w:szCs w:val="48"/>
          <w:highlight w:val="none"/>
        </w:rPr>
        <w:t xml:space="preserve">  </w:t>
      </w:r>
      <w:r>
        <w:rPr>
          <w:rFonts w:hint="eastAsia" w:cs="仿宋_GB2312" w:asciiTheme="majorEastAsia" w:hAnsiTheme="majorEastAsia" w:eastAsiaTheme="majorEastAsia"/>
          <w:b/>
          <w:color w:val="auto"/>
          <w:sz w:val="48"/>
          <w:szCs w:val="48"/>
          <w:highlight w:val="none"/>
        </w:rPr>
        <w:t>录</w:t>
      </w:r>
    </w:p>
    <w:p w14:paraId="60D622E0">
      <w:pPr>
        <w:spacing w:line="360" w:lineRule="auto"/>
        <w:rPr>
          <w:rFonts w:cs="仿宋_GB2312" w:asciiTheme="majorEastAsia" w:hAnsiTheme="majorEastAsia" w:eastAsiaTheme="majorEastAsia"/>
          <w:color w:val="auto"/>
          <w:sz w:val="32"/>
          <w:szCs w:val="32"/>
          <w:highlight w:val="none"/>
        </w:rPr>
      </w:pPr>
    </w:p>
    <w:p w14:paraId="47A4725A">
      <w:pPr>
        <w:spacing w:line="360" w:lineRule="auto"/>
        <w:rPr>
          <w:rFonts w:cs="仿宋_GB2312" w:asciiTheme="majorEastAsia" w:hAnsiTheme="majorEastAsia" w:eastAsiaTheme="majorEastAsia"/>
          <w:color w:val="auto"/>
          <w:sz w:val="32"/>
          <w:szCs w:val="32"/>
          <w:highlight w:val="none"/>
        </w:rPr>
      </w:pPr>
    </w:p>
    <w:p w14:paraId="507E97AF">
      <w:pPr>
        <w:spacing w:line="360" w:lineRule="auto"/>
        <w:ind w:firstLine="1280" w:firstLineChars="400"/>
        <w:rPr>
          <w:rFonts w:cs="仿宋" w:asciiTheme="majorEastAsia" w:hAnsiTheme="majorEastAsia" w:eastAsiaTheme="majorEastAsia"/>
          <w:color w:val="auto"/>
          <w:sz w:val="32"/>
          <w:szCs w:val="32"/>
          <w:highlight w:val="none"/>
        </w:rPr>
      </w:pPr>
      <w:r>
        <w:rPr>
          <w:rFonts w:hint="eastAsia" w:cs="仿宋" w:asciiTheme="majorEastAsia" w:hAnsiTheme="majorEastAsia" w:eastAsiaTheme="majorEastAsia"/>
          <w:color w:val="auto"/>
          <w:sz w:val="32"/>
          <w:szCs w:val="32"/>
          <w:highlight w:val="none"/>
        </w:rPr>
        <w:t>第一部分      招标公告</w:t>
      </w:r>
    </w:p>
    <w:p w14:paraId="02BAA320">
      <w:pPr>
        <w:spacing w:line="360" w:lineRule="auto"/>
        <w:ind w:firstLine="1280" w:firstLineChars="400"/>
        <w:rPr>
          <w:rFonts w:cs="仿宋" w:asciiTheme="majorEastAsia" w:hAnsiTheme="majorEastAsia" w:eastAsiaTheme="majorEastAsia"/>
          <w:color w:val="auto"/>
          <w:sz w:val="32"/>
          <w:szCs w:val="32"/>
          <w:highlight w:val="none"/>
        </w:rPr>
      </w:pPr>
      <w:r>
        <w:rPr>
          <w:rFonts w:hint="eastAsia" w:cs="仿宋" w:asciiTheme="majorEastAsia" w:hAnsiTheme="majorEastAsia" w:eastAsiaTheme="majorEastAsia"/>
          <w:color w:val="auto"/>
          <w:sz w:val="32"/>
          <w:szCs w:val="32"/>
          <w:highlight w:val="none"/>
        </w:rPr>
        <w:t>第二部分      投标须知</w:t>
      </w:r>
    </w:p>
    <w:p w14:paraId="570D5ED1">
      <w:pPr>
        <w:spacing w:line="360" w:lineRule="auto"/>
        <w:ind w:firstLine="1280" w:firstLineChars="400"/>
        <w:rPr>
          <w:rFonts w:cs="仿宋" w:asciiTheme="majorEastAsia" w:hAnsiTheme="majorEastAsia" w:eastAsiaTheme="majorEastAsia"/>
          <w:color w:val="auto"/>
          <w:sz w:val="32"/>
          <w:szCs w:val="32"/>
          <w:highlight w:val="none"/>
        </w:rPr>
      </w:pPr>
      <w:r>
        <w:rPr>
          <w:rFonts w:hint="eastAsia" w:cs="仿宋" w:asciiTheme="majorEastAsia" w:hAnsiTheme="majorEastAsia" w:eastAsiaTheme="majorEastAsia"/>
          <w:color w:val="auto"/>
          <w:sz w:val="32"/>
          <w:szCs w:val="32"/>
          <w:highlight w:val="none"/>
        </w:rPr>
        <w:t>第三部分      采购需求</w:t>
      </w:r>
    </w:p>
    <w:p w14:paraId="4B5E346A">
      <w:pPr>
        <w:spacing w:line="360" w:lineRule="auto"/>
        <w:ind w:firstLine="1280" w:firstLineChars="400"/>
        <w:rPr>
          <w:rFonts w:cs="仿宋" w:asciiTheme="majorEastAsia" w:hAnsiTheme="majorEastAsia" w:eastAsiaTheme="majorEastAsia"/>
          <w:color w:val="auto"/>
          <w:sz w:val="32"/>
          <w:szCs w:val="32"/>
          <w:highlight w:val="none"/>
        </w:rPr>
      </w:pPr>
      <w:r>
        <w:rPr>
          <w:rFonts w:hint="eastAsia" w:cs="仿宋" w:asciiTheme="majorEastAsia" w:hAnsiTheme="majorEastAsia" w:eastAsiaTheme="majorEastAsia"/>
          <w:color w:val="auto"/>
          <w:sz w:val="32"/>
          <w:szCs w:val="32"/>
          <w:highlight w:val="none"/>
        </w:rPr>
        <w:t>第四部分      评标办法</w:t>
      </w:r>
    </w:p>
    <w:p w14:paraId="71FB1919">
      <w:pPr>
        <w:spacing w:line="360" w:lineRule="auto"/>
        <w:ind w:firstLine="1280" w:firstLineChars="400"/>
        <w:rPr>
          <w:rFonts w:cs="仿宋" w:asciiTheme="majorEastAsia" w:hAnsiTheme="majorEastAsia" w:eastAsiaTheme="majorEastAsia"/>
          <w:color w:val="auto"/>
          <w:sz w:val="32"/>
          <w:szCs w:val="32"/>
          <w:highlight w:val="none"/>
        </w:rPr>
      </w:pPr>
      <w:r>
        <w:rPr>
          <w:rFonts w:hint="eastAsia" w:cs="仿宋" w:asciiTheme="majorEastAsia" w:hAnsiTheme="majorEastAsia" w:eastAsiaTheme="majorEastAsia"/>
          <w:color w:val="auto"/>
          <w:sz w:val="32"/>
          <w:szCs w:val="32"/>
          <w:highlight w:val="none"/>
        </w:rPr>
        <w:t>第五部分      拟签订的合同文本</w:t>
      </w:r>
    </w:p>
    <w:p w14:paraId="6D5CAF0B">
      <w:pPr>
        <w:spacing w:line="360" w:lineRule="auto"/>
        <w:ind w:firstLine="1280" w:firstLineChars="400"/>
        <w:rPr>
          <w:rFonts w:cs="仿宋" w:asciiTheme="majorEastAsia" w:hAnsiTheme="majorEastAsia" w:eastAsiaTheme="majorEastAsia"/>
          <w:color w:val="auto"/>
          <w:sz w:val="32"/>
          <w:szCs w:val="32"/>
          <w:highlight w:val="none"/>
        </w:rPr>
      </w:pPr>
      <w:r>
        <w:rPr>
          <w:rFonts w:hint="eastAsia" w:cs="仿宋" w:asciiTheme="majorEastAsia" w:hAnsiTheme="majorEastAsia" w:eastAsiaTheme="majorEastAsia"/>
          <w:color w:val="auto"/>
          <w:sz w:val="32"/>
          <w:szCs w:val="32"/>
          <w:highlight w:val="none"/>
        </w:rPr>
        <w:t>第六部分      应提交的有关格式范例</w:t>
      </w:r>
    </w:p>
    <w:p w14:paraId="53EBA0D6">
      <w:pPr>
        <w:spacing w:line="360" w:lineRule="auto"/>
        <w:ind w:firstLine="549" w:firstLineChars="229"/>
        <w:rPr>
          <w:rFonts w:cs="仿宋" w:asciiTheme="majorEastAsia" w:hAnsiTheme="majorEastAsia" w:eastAsiaTheme="majorEastAsia"/>
          <w:color w:val="auto"/>
          <w:sz w:val="24"/>
          <w:highlight w:val="none"/>
        </w:rPr>
      </w:pPr>
      <w:bookmarkStart w:id="1" w:name="_Hlt91233176"/>
      <w:bookmarkEnd w:id="1"/>
      <w:bookmarkStart w:id="2" w:name="_Toc91899869"/>
    </w:p>
    <w:p w14:paraId="51173C47">
      <w:pPr>
        <w:spacing w:line="360" w:lineRule="auto"/>
        <w:ind w:firstLine="549" w:firstLineChars="229"/>
        <w:rPr>
          <w:rFonts w:cs="仿宋" w:asciiTheme="majorEastAsia" w:hAnsiTheme="majorEastAsia" w:eastAsiaTheme="majorEastAsia"/>
          <w:color w:val="auto"/>
          <w:sz w:val="24"/>
          <w:highlight w:val="none"/>
        </w:rPr>
      </w:pPr>
    </w:p>
    <w:p w14:paraId="70EE121D">
      <w:pPr>
        <w:spacing w:line="360" w:lineRule="auto"/>
        <w:ind w:firstLine="549" w:firstLineChars="229"/>
        <w:rPr>
          <w:rFonts w:cs="仿宋" w:asciiTheme="majorEastAsia" w:hAnsiTheme="majorEastAsia" w:eastAsiaTheme="majorEastAsia"/>
          <w:color w:val="auto"/>
          <w:sz w:val="24"/>
          <w:highlight w:val="none"/>
        </w:rPr>
      </w:pPr>
    </w:p>
    <w:p w14:paraId="5F1A1679">
      <w:pPr>
        <w:spacing w:line="360" w:lineRule="auto"/>
        <w:ind w:firstLine="549" w:firstLineChars="229"/>
        <w:rPr>
          <w:rFonts w:cs="仿宋" w:asciiTheme="majorEastAsia" w:hAnsiTheme="majorEastAsia" w:eastAsiaTheme="majorEastAsia"/>
          <w:color w:val="auto"/>
          <w:sz w:val="24"/>
          <w:highlight w:val="none"/>
        </w:rPr>
      </w:pPr>
    </w:p>
    <w:p w14:paraId="1F6C2721">
      <w:pPr>
        <w:spacing w:line="360" w:lineRule="auto"/>
        <w:ind w:firstLine="549" w:firstLineChars="229"/>
        <w:rPr>
          <w:rFonts w:cs="仿宋" w:asciiTheme="majorEastAsia" w:hAnsiTheme="majorEastAsia" w:eastAsiaTheme="majorEastAsia"/>
          <w:color w:val="auto"/>
          <w:sz w:val="24"/>
          <w:highlight w:val="none"/>
        </w:rPr>
      </w:pPr>
    </w:p>
    <w:p w14:paraId="5B8091A1">
      <w:pPr>
        <w:spacing w:line="360" w:lineRule="auto"/>
        <w:ind w:firstLine="549" w:firstLineChars="229"/>
        <w:rPr>
          <w:rFonts w:cs="仿宋" w:asciiTheme="majorEastAsia" w:hAnsiTheme="majorEastAsia" w:eastAsiaTheme="majorEastAsia"/>
          <w:color w:val="auto"/>
          <w:sz w:val="24"/>
          <w:highlight w:val="none"/>
        </w:rPr>
      </w:pPr>
    </w:p>
    <w:p w14:paraId="4BE2EF2B">
      <w:pPr>
        <w:spacing w:line="360" w:lineRule="auto"/>
        <w:ind w:firstLine="549" w:firstLineChars="229"/>
        <w:rPr>
          <w:rFonts w:cs="仿宋" w:asciiTheme="majorEastAsia" w:hAnsiTheme="majorEastAsia" w:eastAsiaTheme="majorEastAsia"/>
          <w:color w:val="auto"/>
          <w:sz w:val="24"/>
          <w:highlight w:val="none"/>
        </w:rPr>
      </w:pPr>
    </w:p>
    <w:p w14:paraId="5584548A">
      <w:pPr>
        <w:spacing w:line="360" w:lineRule="auto"/>
        <w:ind w:firstLine="549" w:firstLineChars="229"/>
        <w:rPr>
          <w:rFonts w:cs="仿宋" w:asciiTheme="majorEastAsia" w:hAnsiTheme="majorEastAsia" w:eastAsiaTheme="majorEastAsia"/>
          <w:color w:val="auto"/>
          <w:sz w:val="24"/>
          <w:highlight w:val="none"/>
        </w:rPr>
      </w:pPr>
    </w:p>
    <w:p w14:paraId="0D98F184">
      <w:pPr>
        <w:spacing w:line="360" w:lineRule="auto"/>
        <w:ind w:firstLine="549" w:firstLineChars="229"/>
        <w:rPr>
          <w:rFonts w:cs="仿宋" w:asciiTheme="majorEastAsia" w:hAnsiTheme="majorEastAsia" w:eastAsiaTheme="majorEastAsia"/>
          <w:color w:val="auto"/>
          <w:sz w:val="24"/>
          <w:highlight w:val="none"/>
        </w:rPr>
      </w:pPr>
    </w:p>
    <w:p w14:paraId="11B87852">
      <w:pPr>
        <w:spacing w:line="360" w:lineRule="auto"/>
        <w:ind w:firstLine="549" w:firstLineChars="229"/>
        <w:rPr>
          <w:rFonts w:cs="仿宋" w:asciiTheme="majorEastAsia" w:hAnsiTheme="majorEastAsia" w:eastAsiaTheme="majorEastAsia"/>
          <w:color w:val="auto"/>
          <w:sz w:val="24"/>
          <w:highlight w:val="none"/>
        </w:rPr>
      </w:pPr>
    </w:p>
    <w:p w14:paraId="316C82BB">
      <w:pPr>
        <w:spacing w:line="360" w:lineRule="auto"/>
        <w:ind w:firstLine="549" w:firstLineChars="229"/>
        <w:rPr>
          <w:rFonts w:cs="仿宋" w:asciiTheme="majorEastAsia" w:hAnsiTheme="majorEastAsia" w:eastAsiaTheme="majorEastAsia"/>
          <w:color w:val="auto"/>
          <w:sz w:val="24"/>
          <w:highlight w:val="none"/>
        </w:rPr>
      </w:pPr>
    </w:p>
    <w:p w14:paraId="54FF9130">
      <w:pPr>
        <w:spacing w:line="360" w:lineRule="auto"/>
        <w:ind w:firstLine="549" w:firstLineChars="229"/>
        <w:rPr>
          <w:rFonts w:cs="仿宋" w:asciiTheme="majorEastAsia" w:hAnsiTheme="majorEastAsia" w:eastAsiaTheme="majorEastAsia"/>
          <w:color w:val="auto"/>
          <w:sz w:val="24"/>
          <w:highlight w:val="none"/>
        </w:rPr>
      </w:pPr>
    </w:p>
    <w:p w14:paraId="14A86DB8">
      <w:pPr>
        <w:spacing w:line="360" w:lineRule="auto"/>
        <w:ind w:firstLine="549" w:firstLineChars="229"/>
        <w:rPr>
          <w:rFonts w:cs="仿宋" w:asciiTheme="majorEastAsia" w:hAnsiTheme="majorEastAsia" w:eastAsiaTheme="majorEastAsia"/>
          <w:color w:val="auto"/>
          <w:sz w:val="24"/>
          <w:highlight w:val="none"/>
        </w:rPr>
      </w:pPr>
    </w:p>
    <w:p w14:paraId="73EB1699">
      <w:pPr>
        <w:spacing w:line="360" w:lineRule="auto"/>
        <w:rPr>
          <w:rFonts w:cs="仿宋" w:asciiTheme="majorEastAsia" w:hAnsiTheme="majorEastAsia" w:eastAsiaTheme="majorEastAsia"/>
          <w:color w:val="auto"/>
          <w:sz w:val="24"/>
          <w:highlight w:val="none"/>
        </w:rPr>
      </w:pPr>
    </w:p>
    <w:p w14:paraId="55792CE9">
      <w:pPr>
        <w:spacing w:line="360" w:lineRule="auto"/>
        <w:jc w:val="center"/>
        <w:outlineLvl w:val="0"/>
        <w:rPr>
          <w:rFonts w:cs="仿宋" w:asciiTheme="majorEastAsia" w:hAnsiTheme="majorEastAsia" w:eastAsiaTheme="majorEastAsia"/>
          <w:b/>
          <w:color w:val="auto"/>
          <w:sz w:val="36"/>
          <w:szCs w:val="20"/>
          <w:highlight w:val="none"/>
        </w:rPr>
      </w:pPr>
      <w:bookmarkStart w:id="3" w:name="第一部分"/>
      <w:r>
        <w:rPr>
          <w:rFonts w:hint="eastAsia" w:cs="仿宋" w:asciiTheme="majorEastAsia" w:hAnsiTheme="majorEastAsia" w:eastAsiaTheme="majorEastAsia"/>
          <w:b/>
          <w:color w:val="auto"/>
          <w:sz w:val="36"/>
          <w:szCs w:val="36"/>
          <w:highlight w:val="none"/>
        </w:rPr>
        <w:br w:type="page"/>
      </w:r>
      <w:bookmarkEnd w:id="2"/>
      <w:bookmarkEnd w:id="3"/>
      <w:bookmarkStart w:id="4" w:name="_Hlt74707423"/>
      <w:bookmarkEnd w:id="4"/>
      <w:bookmarkStart w:id="5" w:name="_Hlt74729822"/>
      <w:bookmarkEnd w:id="5"/>
      <w:bookmarkStart w:id="6" w:name="_Hlt74728647"/>
      <w:bookmarkEnd w:id="6"/>
      <w:bookmarkStart w:id="7" w:name="_Hlt74649545"/>
      <w:bookmarkEnd w:id="7"/>
      <w:bookmarkStart w:id="8" w:name="第二部分"/>
      <w:bookmarkStart w:id="9" w:name="_Toc91899870"/>
      <w:bookmarkStart w:id="10" w:name="_Toc91899871"/>
      <w:r>
        <w:rPr>
          <w:rFonts w:hint="eastAsia" w:cs="仿宋" w:asciiTheme="majorEastAsia" w:hAnsiTheme="majorEastAsia" w:eastAsiaTheme="majorEastAsia"/>
          <w:b/>
          <w:color w:val="auto"/>
          <w:sz w:val="36"/>
          <w:szCs w:val="20"/>
          <w:highlight w:val="none"/>
        </w:rPr>
        <w:t>第一部分 招标公告</w:t>
      </w:r>
    </w:p>
    <w:p w14:paraId="2B049F8A">
      <w:pPr>
        <w:pBdr>
          <w:top w:val="single" w:color="auto" w:sz="4" w:space="1"/>
          <w:left w:val="single" w:color="auto" w:sz="4" w:space="4"/>
          <w:bottom w:val="single" w:color="auto" w:sz="4" w:space="1"/>
          <w:right w:val="single" w:color="auto" w:sz="4" w:space="4"/>
        </w:pBd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项目概况</w:t>
      </w:r>
    </w:p>
    <w:p w14:paraId="5557D542">
      <w:pPr>
        <w:pBdr>
          <w:top w:val="single" w:color="auto" w:sz="4" w:space="1"/>
          <w:left w:val="single" w:color="auto" w:sz="4" w:space="4"/>
          <w:bottom w:val="single" w:color="auto" w:sz="4" w:space="1"/>
          <w:right w:val="single" w:color="auto" w:sz="4" w:space="4"/>
        </w:pBdr>
        <w:spacing w:line="360" w:lineRule="auto"/>
        <w:ind w:firstLine="480" w:firstLineChars="200"/>
        <w:rPr>
          <w:rFonts w:cs="仿宋" w:asciiTheme="majorEastAsia" w:hAnsiTheme="majorEastAsia" w:eastAsiaTheme="majorEastAsia"/>
          <w:color w:val="auto"/>
          <w:sz w:val="24"/>
          <w:highlight w:val="none"/>
          <w:u w:val="single"/>
        </w:rPr>
      </w:pPr>
      <w:r>
        <w:rPr>
          <w:rFonts w:hint="eastAsia" w:cs="仿宋" w:asciiTheme="majorEastAsia" w:hAnsiTheme="majorEastAsia" w:eastAsiaTheme="majorEastAsia"/>
          <w:color w:val="auto"/>
          <w:sz w:val="24"/>
          <w:highlight w:val="none"/>
        </w:rPr>
        <w:t>奉化区FH24-02-09a地块建设项目光伏系统、空气能热水系统采购项目的潜在供应商应在乐采云平台</w:t>
      </w:r>
      <w:r>
        <w:rPr>
          <w:rFonts w:hint="eastAsia" w:cs="仿宋" w:asciiTheme="majorEastAsia" w:hAnsiTheme="majorEastAsia" w:eastAsiaTheme="majorEastAsia"/>
          <w:snapToGrid w:val="0"/>
          <w:color w:val="auto"/>
          <w:kern w:val="0"/>
          <w:sz w:val="24"/>
          <w:highlight w:val="none"/>
        </w:rPr>
        <w:t>https://</w:t>
      </w:r>
      <w:r>
        <w:rPr>
          <w:rStyle w:val="26"/>
          <w:rFonts w:hint="eastAsia" w:cs="仿宋" w:asciiTheme="majorEastAsia" w:hAnsiTheme="majorEastAsia" w:eastAsiaTheme="majorEastAsia"/>
          <w:color w:val="auto"/>
          <w:sz w:val="24"/>
          <w:szCs w:val="24"/>
          <w:highlight w:val="none"/>
        </w:rPr>
        <w:t>www.lecaiyun.com</w:t>
      </w:r>
      <w:r>
        <w:rPr>
          <w:rFonts w:hint="eastAsia" w:cs="仿宋" w:asciiTheme="majorEastAsia" w:hAnsiTheme="majorEastAsia" w:eastAsiaTheme="majorEastAsia"/>
          <w:snapToGrid w:val="0"/>
          <w:color w:val="auto"/>
          <w:kern w:val="0"/>
          <w:sz w:val="24"/>
          <w:highlight w:val="none"/>
        </w:rPr>
        <w:t>/）获取（下载）招标文件，并于</w:t>
      </w:r>
      <w:r>
        <w:rPr>
          <w:rFonts w:hint="eastAsia" w:cs="仿宋" w:asciiTheme="majorEastAsia" w:hAnsiTheme="majorEastAsia" w:eastAsiaTheme="majorEastAsia"/>
          <w:color w:val="auto"/>
          <w:sz w:val="24"/>
          <w:highlight w:val="none"/>
        </w:rPr>
        <w:t>202</w:t>
      </w:r>
      <w:r>
        <w:rPr>
          <w:rFonts w:hint="eastAsia" w:cs="仿宋" w:asciiTheme="majorEastAsia" w:hAnsiTheme="majorEastAsia" w:eastAsiaTheme="majorEastAsia"/>
          <w:color w:val="auto"/>
          <w:sz w:val="24"/>
          <w:highlight w:val="none"/>
          <w:lang w:val="en-US" w:eastAsia="zh-CN"/>
        </w:rPr>
        <w:t>5</w:t>
      </w:r>
      <w:r>
        <w:rPr>
          <w:rFonts w:hint="eastAsia" w:cs="仿宋" w:asciiTheme="majorEastAsia" w:hAnsiTheme="majorEastAsia" w:eastAsiaTheme="majorEastAsia"/>
          <w:color w:val="auto"/>
          <w:sz w:val="24"/>
          <w:highlight w:val="none"/>
        </w:rPr>
        <w:t>年</w:t>
      </w:r>
      <w:r>
        <w:rPr>
          <w:rFonts w:hint="eastAsia" w:cs="仿宋" w:asciiTheme="majorEastAsia" w:hAnsiTheme="majorEastAsia" w:eastAsiaTheme="majorEastAsia"/>
          <w:color w:val="auto"/>
          <w:sz w:val="24"/>
          <w:highlight w:val="none"/>
          <w:lang w:val="en-US" w:eastAsia="zh-CN"/>
        </w:rPr>
        <w:t>01</w:t>
      </w:r>
      <w:r>
        <w:rPr>
          <w:rFonts w:hint="eastAsia" w:cs="仿宋" w:asciiTheme="majorEastAsia" w:hAnsiTheme="majorEastAsia" w:eastAsiaTheme="majorEastAsia"/>
          <w:color w:val="auto"/>
          <w:sz w:val="24"/>
          <w:highlight w:val="none"/>
        </w:rPr>
        <w:t>月</w:t>
      </w:r>
      <w:r>
        <w:rPr>
          <w:rFonts w:hint="eastAsia" w:cs="仿宋" w:asciiTheme="majorEastAsia" w:hAnsiTheme="majorEastAsia" w:eastAsiaTheme="majorEastAsia"/>
          <w:color w:val="auto"/>
          <w:sz w:val="24"/>
          <w:highlight w:val="none"/>
          <w:lang w:val="en-US" w:eastAsia="zh-CN"/>
        </w:rPr>
        <w:t>22</w:t>
      </w:r>
      <w:r>
        <w:rPr>
          <w:rFonts w:hint="eastAsia" w:cs="仿宋" w:asciiTheme="majorEastAsia" w:hAnsiTheme="majorEastAsia" w:eastAsiaTheme="majorEastAsia"/>
          <w:color w:val="auto"/>
          <w:sz w:val="24"/>
          <w:highlight w:val="none"/>
        </w:rPr>
        <w:t>日</w:t>
      </w:r>
      <w:r>
        <w:rPr>
          <w:rFonts w:hint="eastAsia" w:cs="仿宋" w:asciiTheme="majorEastAsia" w:hAnsiTheme="majorEastAsia" w:eastAsiaTheme="majorEastAsia"/>
          <w:color w:val="auto"/>
          <w:sz w:val="24"/>
          <w:highlight w:val="none"/>
          <w:lang w:val="en-US" w:eastAsia="zh-CN"/>
        </w:rPr>
        <w:t>13</w:t>
      </w:r>
      <w:r>
        <w:rPr>
          <w:rFonts w:hint="eastAsia" w:cs="仿宋" w:asciiTheme="majorEastAsia" w:hAnsiTheme="majorEastAsia" w:eastAsiaTheme="majorEastAsia"/>
          <w:color w:val="auto"/>
          <w:sz w:val="24"/>
          <w:highlight w:val="none"/>
        </w:rPr>
        <w:t>点</w:t>
      </w:r>
      <w:r>
        <w:rPr>
          <w:rFonts w:hint="eastAsia" w:cs="仿宋" w:asciiTheme="majorEastAsia" w:hAnsiTheme="majorEastAsia" w:eastAsiaTheme="majorEastAsia"/>
          <w:color w:val="auto"/>
          <w:sz w:val="24"/>
          <w:highlight w:val="none"/>
          <w:lang w:val="en-US" w:eastAsia="zh-CN"/>
        </w:rPr>
        <w:t>3</w:t>
      </w:r>
      <w:r>
        <w:rPr>
          <w:rFonts w:hint="eastAsia" w:cs="仿宋" w:asciiTheme="majorEastAsia" w:hAnsiTheme="majorEastAsia" w:eastAsiaTheme="majorEastAsia"/>
          <w:color w:val="auto"/>
          <w:sz w:val="24"/>
          <w:highlight w:val="none"/>
        </w:rPr>
        <w:t>0分</w:t>
      </w:r>
      <w:r>
        <w:rPr>
          <w:rFonts w:hint="eastAsia" w:cs="仿宋" w:asciiTheme="majorEastAsia" w:hAnsiTheme="majorEastAsia" w:eastAsiaTheme="majorEastAsia"/>
          <w:bCs/>
          <w:color w:val="auto"/>
          <w:sz w:val="24"/>
          <w:highlight w:val="none"/>
        </w:rPr>
        <w:t>00秒（北京时间）前</w:t>
      </w:r>
      <w:r>
        <w:rPr>
          <w:rFonts w:hint="eastAsia" w:cs="仿宋" w:asciiTheme="majorEastAsia" w:hAnsiTheme="majorEastAsia" w:eastAsiaTheme="majorEastAsia"/>
          <w:color w:val="auto"/>
          <w:sz w:val="24"/>
          <w:highlight w:val="none"/>
        </w:rPr>
        <w:t>递交（上传）投标文件。</w:t>
      </w:r>
    </w:p>
    <w:p w14:paraId="09ECD237">
      <w:pPr>
        <w:spacing w:line="360" w:lineRule="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 xml:space="preserve">一、项目基本情况                                            </w:t>
      </w:r>
    </w:p>
    <w:p w14:paraId="3456C17F">
      <w:pPr>
        <w:spacing w:line="360" w:lineRule="auto"/>
        <w:rPr>
          <w:rFonts w:cs="仿宋" w:asciiTheme="majorEastAsia" w:hAnsiTheme="majorEastAsia" w:eastAsiaTheme="majorEastAsia"/>
          <w:bCs/>
          <w:color w:val="auto"/>
          <w:sz w:val="24"/>
          <w:highlight w:val="none"/>
        </w:rPr>
      </w:pPr>
      <w:r>
        <w:rPr>
          <w:rFonts w:hint="eastAsia" w:cs="仿宋" w:asciiTheme="majorEastAsia" w:hAnsiTheme="majorEastAsia" w:eastAsiaTheme="majorEastAsia"/>
          <w:color w:val="auto"/>
          <w:sz w:val="24"/>
          <w:highlight w:val="none"/>
        </w:rPr>
        <w:t xml:space="preserve">    </w:t>
      </w:r>
      <w:r>
        <w:rPr>
          <w:rFonts w:hint="eastAsia" w:cs="仿宋" w:asciiTheme="majorEastAsia" w:hAnsiTheme="majorEastAsia" w:eastAsiaTheme="majorEastAsia"/>
          <w:b/>
          <w:color w:val="auto"/>
          <w:sz w:val="24"/>
          <w:highlight w:val="none"/>
        </w:rPr>
        <w:t>项目编号：</w:t>
      </w:r>
      <w:r>
        <w:rPr>
          <w:rFonts w:cs="仿宋" w:asciiTheme="majorEastAsia" w:hAnsiTheme="majorEastAsia" w:eastAsiaTheme="majorEastAsia"/>
          <w:color w:val="auto"/>
          <w:sz w:val="24"/>
          <w:highlight w:val="none"/>
        </w:rPr>
        <w:t>FHGQZB(202</w:t>
      </w:r>
      <w:r>
        <w:rPr>
          <w:rFonts w:hint="eastAsia" w:cs="仿宋" w:asciiTheme="majorEastAsia" w:hAnsiTheme="majorEastAsia" w:eastAsiaTheme="majorEastAsia"/>
          <w:color w:val="auto"/>
          <w:sz w:val="24"/>
          <w:highlight w:val="none"/>
        </w:rPr>
        <w:t>4</w:t>
      </w:r>
      <w:r>
        <w:rPr>
          <w:rFonts w:cs="仿宋" w:asciiTheme="majorEastAsia" w:hAnsiTheme="majorEastAsia" w:eastAsiaTheme="majorEastAsia"/>
          <w:color w:val="auto"/>
          <w:sz w:val="24"/>
          <w:highlight w:val="none"/>
        </w:rPr>
        <w:t>)</w:t>
      </w:r>
      <w:r>
        <w:rPr>
          <w:rFonts w:hint="eastAsia" w:cs="仿宋" w:asciiTheme="majorEastAsia" w:hAnsiTheme="majorEastAsia" w:eastAsiaTheme="majorEastAsia"/>
          <w:color w:val="auto"/>
          <w:sz w:val="24"/>
          <w:highlight w:val="none"/>
          <w:lang w:val="en-US" w:eastAsia="zh-CN"/>
        </w:rPr>
        <w:t>446</w:t>
      </w:r>
      <w:r>
        <w:rPr>
          <w:rFonts w:cs="仿宋" w:asciiTheme="majorEastAsia" w:hAnsiTheme="majorEastAsia" w:eastAsiaTheme="majorEastAsia"/>
          <w:color w:val="auto"/>
          <w:sz w:val="24"/>
          <w:highlight w:val="none"/>
        </w:rPr>
        <w:t>D</w:t>
      </w:r>
      <w:r>
        <w:rPr>
          <w:rFonts w:hint="eastAsia" w:cs="仿宋" w:asciiTheme="majorEastAsia" w:hAnsiTheme="majorEastAsia" w:eastAsiaTheme="majorEastAsia"/>
          <w:color w:val="auto"/>
          <w:sz w:val="24"/>
          <w:highlight w:val="none"/>
        </w:rPr>
        <w:t xml:space="preserve">            </w:t>
      </w:r>
      <w:r>
        <w:rPr>
          <w:rFonts w:hint="eastAsia" w:cs="仿宋" w:asciiTheme="majorEastAsia" w:hAnsiTheme="majorEastAsia" w:eastAsiaTheme="majorEastAsia"/>
          <w:b/>
          <w:color w:val="auto"/>
          <w:sz w:val="24"/>
          <w:highlight w:val="none"/>
        </w:rPr>
        <w:t>档案编号：</w:t>
      </w:r>
      <w:r>
        <w:rPr>
          <w:rFonts w:hint="eastAsia" w:cs="仿宋" w:asciiTheme="majorEastAsia" w:hAnsiTheme="majorEastAsia" w:eastAsiaTheme="majorEastAsia"/>
          <w:bCs/>
          <w:color w:val="auto"/>
          <w:sz w:val="24"/>
          <w:highlight w:val="none"/>
          <w:lang w:val="zh-CN"/>
        </w:rPr>
        <w:t>JX-243</w:t>
      </w:r>
      <w:r>
        <w:rPr>
          <w:rFonts w:hint="eastAsia" w:cs="仿宋" w:asciiTheme="majorEastAsia" w:hAnsiTheme="majorEastAsia" w:eastAsiaTheme="majorEastAsia"/>
          <w:bCs/>
          <w:color w:val="auto"/>
          <w:sz w:val="24"/>
          <w:highlight w:val="none"/>
        </w:rPr>
        <w:t>33</w:t>
      </w:r>
    </w:p>
    <w:p w14:paraId="6B67B84F">
      <w:pP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   </w:t>
      </w:r>
      <w:r>
        <w:rPr>
          <w:rFonts w:hint="eastAsia" w:cs="仿宋" w:asciiTheme="majorEastAsia" w:hAnsiTheme="majorEastAsia" w:eastAsiaTheme="majorEastAsia"/>
          <w:b/>
          <w:color w:val="auto"/>
          <w:sz w:val="24"/>
          <w:highlight w:val="none"/>
        </w:rPr>
        <w:t xml:space="preserve"> 项目名称：</w:t>
      </w:r>
      <w:r>
        <w:rPr>
          <w:rFonts w:hint="eastAsia" w:cs="仿宋" w:asciiTheme="majorEastAsia" w:hAnsiTheme="majorEastAsia" w:eastAsiaTheme="majorEastAsia"/>
          <w:bCs/>
          <w:color w:val="auto"/>
          <w:sz w:val="24"/>
          <w:highlight w:val="none"/>
        </w:rPr>
        <w:t>奉化区FH24-02-09a地块建设项目光伏系统、空气能热水系统采购项目</w:t>
      </w:r>
    </w:p>
    <w:p w14:paraId="02246E72">
      <w:pPr>
        <w:spacing w:line="360" w:lineRule="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color w:val="auto"/>
          <w:sz w:val="24"/>
          <w:highlight w:val="none"/>
        </w:rPr>
        <w:t xml:space="preserve">   </w:t>
      </w:r>
      <w:r>
        <w:rPr>
          <w:rFonts w:hint="eastAsia" w:cs="仿宋" w:asciiTheme="majorEastAsia" w:hAnsiTheme="majorEastAsia" w:eastAsiaTheme="majorEastAsia"/>
          <w:b/>
          <w:color w:val="auto"/>
          <w:sz w:val="24"/>
          <w:highlight w:val="none"/>
        </w:rPr>
        <w:t xml:space="preserve"> 预算金额（元）：1468476</w:t>
      </w:r>
    </w:p>
    <w:p w14:paraId="437A32D2">
      <w:pPr>
        <w:spacing w:line="360" w:lineRule="auto"/>
        <w:ind w:firstLine="480"/>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最高限价（元）：1350998</w:t>
      </w:r>
    </w:p>
    <w:p w14:paraId="4A96FAF8">
      <w:pPr>
        <w:pStyle w:val="2"/>
        <w:spacing w:line="360" w:lineRule="auto"/>
        <w:ind w:firstLine="480"/>
        <w:rPr>
          <w:rFonts w:cs="仿宋" w:asciiTheme="majorEastAsia" w:hAnsiTheme="majorEastAsia" w:eastAsiaTheme="majorEastAsia"/>
          <w:bCs/>
          <w:snapToGrid/>
          <w:color w:val="auto"/>
          <w:kern w:val="2"/>
          <w:sz w:val="24"/>
          <w:szCs w:val="24"/>
          <w:highlight w:val="none"/>
        </w:rPr>
      </w:pPr>
      <w:r>
        <w:rPr>
          <w:rFonts w:hint="eastAsia" w:cs="仿宋" w:asciiTheme="majorEastAsia" w:hAnsiTheme="majorEastAsia" w:eastAsiaTheme="majorEastAsia"/>
          <w:b/>
          <w:color w:val="auto"/>
          <w:sz w:val="24"/>
          <w:highlight w:val="none"/>
        </w:rPr>
        <w:t>采购需求：</w:t>
      </w:r>
      <w:r>
        <w:rPr>
          <w:rFonts w:hint="eastAsia" w:cs="仿宋" w:asciiTheme="majorEastAsia" w:hAnsiTheme="majorEastAsia" w:eastAsiaTheme="majorEastAsia"/>
          <w:bCs/>
          <w:snapToGrid/>
          <w:color w:val="auto"/>
          <w:kern w:val="2"/>
          <w:sz w:val="24"/>
          <w:szCs w:val="24"/>
          <w:highlight w:val="none"/>
        </w:rPr>
        <w:t>主要内容：光伏系统、空气能热水系统，具体详见招标文件第三部分采购需求。</w:t>
      </w:r>
    </w:p>
    <w:p w14:paraId="64500D73">
      <w:pPr>
        <w:pStyle w:val="2"/>
        <w:spacing w:line="360" w:lineRule="auto"/>
        <w:ind w:firstLine="480"/>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合同履约期限：</w:t>
      </w:r>
      <w:r>
        <w:rPr>
          <w:rFonts w:hint="eastAsia" w:cs="仿宋" w:asciiTheme="majorEastAsia" w:hAnsiTheme="majorEastAsia" w:eastAsiaTheme="majorEastAsia"/>
          <w:color w:val="auto"/>
          <w:sz w:val="24"/>
          <w:highlight w:val="none"/>
        </w:rPr>
        <w:t>详见采购文件。</w:t>
      </w:r>
    </w:p>
    <w:p w14:paraId="28693C08">
      <w:pPr>
        <w:pStyle w:val="2"/>
        <w:spacing w:line="360" w:lineRule="auto"/>
        <w:ind w:firstLine="480"/>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本项目接受联合体投标：</w:t>
      </w:r>
      <w:r>
        <w:rPr>
          <w:rFonts w:hint="eastAsia" w:ascii="MS Gothic" w:hAnsi="MS Gothic" w:eastAsia="MS Gothic" w:cs="MS Gothic"/>
          <w:color w:val="auto"/>
          <w:kern w:val="0"/>
          <w:sz w:val="24"/>
          <w:highlight w:val="none"/>
        </w:rPr>
        <w:t>☐</w:t>
      </w:r>
      <w:r>
        <w:rPr>
          <w:rFonts w:hint="eastAsia" w:cs="仿宋" w:asciiTheme="majorEastAsia" w:hAnsiTheme="majorEastAsia" w:eastAsiaTheme="majorEastAsia"/>
          <w:b/>
          <w:color w:val="auto"/>
          <w:sz w:val="24"/>
          <w:highlight w:val="none"/>
        </w:rPr>
        <w:t>是，</w:t>
      </w:r>
      <w:r>
        <w:rPr>
          <w:rFonts w:hint="eastAsia" w:cs="仿宋" w:asciiTheme="majorEastAsia" w:hAnsiTheme="majorEastAsia" w:eastAsiaTheme="majorEastAsia"/>
          <w:color w:val="auto"/>
          <w:kern w:val="0"/>
          <w:sz w:val="24"/>
          <w:highlight w:val="none"/>
        </w:rPr>
        <w:t xml:space="preserve"> </w:t>
      </w:r>
      <w:r>
        <w:rPr>
          <w:rFonts w:hint="eastAsia" w:cs="仿宋" w:asciiTheme="majorEastAsia" w:hAnsiTheme="majorEastAsia" w:eastAsiaTheme="majorEastAsia"/>
          <w:color w:val="auto"/>
          <w:kern w:val="0"/>
          <w:sz w:val="24"/>
          <w:highlight w:val="none"/>
        </w:rPr>
        <w:sym w:font="Wingdings" w:char="F0FE"/>
      </w:r>
      <w:r>
        <w:rPr>
          <w:rFonts w:hint="eastAsia" w:cs="仿宋" w:asciiTheme="majorEastAsia" w:hAnsiTheme="majorEastAsia" w:eastAsiaTheme="majorEastAsia"/>
          <w:b/>
          <w:color w:val="auto"/>
          <w:sz w:val="24"/>
          <w:highlight w:val="none"/>
        </w:rPr>
        <w:t>否</w:t>
      </w:r>
      <w:r>
        <w:rPr>
          <w:rFonts w:hint="eastAsia" w:cs="仿宋" w:asciiTheme="majorEastAsia" w:hAnsiTheme="majorEastAsia" w:eastAsiaTheme="majorEastAsia"/>
          <w:color w:val="auto"/>
          <w:kern w:val="0"/>
          <w:sz w:val="24"/>
          <w:highlight w:val="none"/>
        </w:rPr>
        <w:t>。</w:t>
      </w:r>
    </w:p>
    <w:p w14:paraId="2588EBE7">
      <w:pPr>
        <w:spacing w:line="360" w:lineRule="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二、申请人的资格要求：</w:t>
      </w:r>
    </w:p>
    <w:p w14:paraId="257FE62C">
      <w:pPr>
        <w:spacing w:line="360" w:lineRule="auto"/>
        <w:ind w:firstLine="480"/>
        <w:rPr>
          <w:rFonts w:cs="仿宋" w:asciiTheme="majorEastAsia" w:hAnsiTheme="majorEastAsia" w:eastAsiaTheme="majorEastAsia"/>
          <w:snapToGrid w:val="0"/>
          <w:color w:val="auto"/>
          <w:kern w:val="28"/>
          <w:sz w:val="24"/>
          <w:szCs w:val="20"/>
          <w:highlight w:val="none"/>
        </w:rPr>
      </w:pPr>
      <w:r>
        <w:rPr>
          <w:rFonts w:hint="eastAsia" w:cs="仿宋" w:asciiTheme="majorEastAsia" w:hAnsiTheme="majorEastAsia" w:eastAsiaTheme="majorEastAsia"/>
          <w:snapToGrid w:val="0"/>
          <w:color w:val="auto"/>
          <w:kern w:val="28"/>
          <w:sz w:val="24"/>
          <w:szCs w:val="20"/>
          <w:highlight w:val="none"/>
        </w:rPr>
        <w:t>1. 满足《中华人民共和国政府采购法》第二十二条规定；未被“信用中国”（www.creditchina.gov.cn)、中国政府采购网（www.ccgp.gov.cn）列入失信被执行人、重大税收违法失信主体、政府采购严重违法失信行为记录名单；</w:t>
      </w:r>
    </w:p>
    <w:p w14:paraId="50D4C807">
      <w:pP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snapToGrid w:val="0"/>
          <w:color w:val="auto"/>
          <w:kern w:val="28"/>
          <w:sz w:val="24"/>
          <w:szCs w:val="20"/>
          <w:highlight w:val="none"/>
        </w:rPr>
        <w:t xml:space="preserve">    2.落实政府采购政策需满足的资格要求：</w:t>
      </w:r>
      <w:r>
        <w:rPr>
          <w:rFonts w:hint="eastAsia" w:cs="仿宋" w:asciiTheme="majorEastAsia" w:hAnsiTheme="majorEastAsia" w:eastAsiaTheme="majorEastAsia"/>
          <w:color w:val="auto"/>
          <w:kern w:val="0"/>
          <w:sz w:val="24"/>
          <w:highlight w:val="none"/>
        </w:rPr>
        <w:t xml:space="preserve"> </w:t>
      </w:r>
      <w:r>
        <w:rPr>
          <w:rFonts w:hint="eastAsia" w:cs="仿宋" w:asciiTheme="majorEastAsia" w:hAnsiTheme="majorEastAsia" w:eastAsiaTheme="majorEastAsia"/>
          <w:color w:val="auto"/>
          <w:kern w:val="0"/>
          <w:sz w:val="24"/>
          <w:highlight w:val="none"/>
        </w:rPr>
        <w:sym w:font="Wingdings" w:char="F0FE"/>
      </w:r>
      <w:r>
        <w:rPr>
          <w:rFonts w:hint="eastAsia" w:cs="仿宋" w:asciiTheme="majorEastAsia" w:hAnsiTheme="majorEastAsia" w:eastAsiaTheme="majorEastAsia"/>
          <w:color w:val="auto"/>
          <w:sz w:val="24"/>
          <w:highlight w:val="none"/>
        </w:rPr>
        <w:t>无；</w:t>
      </w:r>
    </w:p>
    <w:p w14:paraId="7911A47B">
      <w:pP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3.本项目的特定资格要求：/。</w:t>
      </w:r>
    </w:p>
    <w:p w14:paraId="62E5510A">
      <w:pPr>
        <w:snapToGrid w:val="0"/>
        <w:spacing w:line="360" w:lineRule="auto"/>
        <w:ind w:firstLine="480" w:firstLineChars="200"/>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color w:val="auto"/>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FF1602D">
      <w:pPr>
        <w:spacing w:line="360" w:lineRule="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 xml:space="preserve">三、获取招标文件 </w:t>
      </w:r>
    </w:p>
    <w:p w14:paraId="38C5C0AF">
      <w:pPr>
        <w:spacing w:line="360" w:lineRule="auto"/>
        <w:ind w:firstLine="482"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时间：</w:t>
      </w:r>
      <w:r>
        <w:rPr>
          <w:rFonts w:hint="eastAsia" w:cs="仿宋" w:asciiTheme="minorEastAsia" w:hAnsiTheme="minorEastAsia" w:eastAsiaTheme="minorEastAsia"/>
          <w:color w:val="auto"/>
          <w:sz w:val="24"/>
          <w:highlight w:val="none"/>
          <w:u w:val="single"/>
        </w:rPr>
        <w:t>2024年</w:t>
      </w:r>
      <w:r>
        <w:rPr>
          <w:rFonts w:hint="eastAsia" w:cs="仿宋" w:asciiTheme="minorEastAsia" w:hAnsiTheme="minorEastAsia" w:eastAsiaTheme="minorEastAsia"/>
          <w:color w:val="auto"/>
          <w:sz w:val="24"/>
          <w:highlight w:val="none"/>
          <w:u w:val="single"/>
          <w:lang w:val="en-US" w:eastAsia="zh-CN"/>
        </w:rPr>
        <w:t>12</w:t>
      </w:r>
      <w:r>
        <w:rPr>
          <w:rFonts w:hint="eastAsia" w:cs="仿宋" w:asciiTheme="minorEastAsia" w:hAnsiTheme="minorEastAsia" w:eastAsiaTheme="minorEastAsia"/>
          <w:color w:val="auto"/>
          <w:sz w:val="24"/>
          <w:highlight w:val="none"/>
          <w:u w:val="single"/>
        </w:rPr>
        <w:t>月</w:t>
      </w:r>
      <w:r>
        <w:rPr>
          <w:rFonts w:hint="eastAsia" w:cs="仿宋" w:asciiTheme="minorEastAsia" w:hAnsiTheme="minorEastAsia" w:eastAsiaTheme="minorEastAsia"/>
          <w:color w:val="auto"/>
          <w:sz w:val="24"/>
          <w:highlight w:val="none"/>
          <w:u w:val="single"/>
          <w:lang w:val="en-US" w:eastAsia="zh-CN"/>
        </w:rPr>
        <w:t>30</w:t>
      </w:r>
      <w:r>
        <w:rPr>
          <w:rFonts w:hint="eastAsia" w:cs="仿宋" w:asciiTheme="minorEastAsia" w:hAnsiTheme="minorEastAsia" w:eastAsiaTheme="minorEastAsia"/>
          <w:color w:val="auto"/>
          <w:sz w:val="24"/>
          <w:highlight w:val="none"/>
          <w:u w:val="single"/>
        </w:rPr>
        <w:t>日</w:t>
      </w:r>
      <w:r>
        <w:rPr>
          <w:rFonts w:hint="eastAsia" w:cs="仿宋" w:asciiTheme="minorEastAsia" w:hAnsiTheme="minorEastAsia" w:eastAsiaTheme="minorEastAsia"/>
          <w:color w:val="auto"/>
          <w:sz w:val="24"/>
          <w:highlight w:val="none"/>
        </w:rPr>
        <w:t>至</w:t>
      </w:r>
      <w:r>
        <w:rPr>
          <w:rFonts w:hint="eastAsia" w:cs="仿宋" w:asciiTheme="minorEastAsia" w:hAnsiTheme="minorEastAsia" w:eastAsiaTheme="minorEastAsia"/>
          <w:color w:val="auto"/>
          <w:sz w:val="24"/>
          <w:highlight w:val="none"/>
          <w:u w:val="single"/>
        </w:rPr>
        <w:t>202</w:t>
      </w:r>
      <w:r>
        <w:rPr>
          <w:rFonts w:hint="eastAsia" w:cs="仿宋" w:asciiTheme="minorEastAsia" w:hAnsiTheme="minorEastAsia" w:eastAsiaTheme="minorEastAsia"/>
          <w:color w:val="auto"/>
          <w:sz w:val="24"/>
          <w:highlight w:val="none"/>
          <w:u w:val="single"/>
          <w:lang w:val="en-US" w:eastAsia="zh-CN"/>
        </w:rPr>
        <w:t>5</w:t>
      </w:r>
      <w:r>
        <w:rPr>
          <w:rFonts w:hint="eastAsia" w:cs="仿宋" w:asciiTheme="minorEastAsia" w:hAnsiTheme="minorEastAsia" w:eastAsiaTheme="minorEastAsia"/>
          <w:color w:val="auto"/>
          <w:sz w:val="24"/>
          <w:highlight w:val="none"/>
          <w:u w:val="single"/>
        </w:rPr>
        <w:t>年</w:t>
      </w:r>
      <w:r>
        <w:rPr>
          <w:rFonts w:hint="eastAsia" w:cs="仿宋" w:asciiTheme="minorEastAsia" w:hAnsiTheme="minorEastAsia" w:eastAsiaTheme="minorEastAsia"/>
          <w:color w:val="auto"/>
          <w:sz w:val="24"/>
          <w:highlight w:val="none"/>
          <w:u w:val="single"/>
          <w:lang w:val="en-US" w:eastAsia="zh-CN"/>
        </w:rPr>
        <w:t>01</w:t>
      </w:r>
      <w:r>
        <w:rPr>
          <w:rFonts w:hint="eastAsia" w:cs="仿宋" w:asciiTheme="minorEastAsia" w:hAnsiTheme="minorEastAsia" w:eastAsiaTheme="minorEastAsia"/>
          <w:color w:val="auto"/>
          <w:sz w:val="24"/>
          <w:highlight w:val="none"/>
          <w:u w:val="single"/>
        </w:rPr>
        <w:t>月0</w:t>
      </w:r>
      <w:r>
        <w:rPr>
          <w:rFonts w:hint="eastAsia" w:cs="仿宋" w:asciiTheme="minorEastAsia" w:hAnsiTheme="minorEastAsia" w:eastAsiaTheme="minorEastAsia"/>
          <w:color w:val="auto"/>
          <w:sz w:val="24"/>
          <w:highlight w:val="none"/>
          <w:u w:val="single"/>
          <w:lang w:val="en-US" w:eastAsia="zh-CN"/>
        </w:rPr>
        <w:t>7</w:t>
      </w:r>
      <w:r>
        <w:rPr>
          <w:rFonts w:hint="eastAsia" w:cs="仿宋" w:asciiTheme="minorEastAsia" w:hAnsiTheme="minorEastAsia" w:eastAsiaTheme="minorEastAsia"/>
          <w:color w:val="auto"/>
          <w:sz w:val="24"/>
          <w:highlight w:val="none"/>
          <w:u w:val="single"/>
        </w:rPr>
        <w:t>日</w:t>
      </w:r>
      <w:r>
        <w:rPr>
          <w:rFonts w:hint="eastAsia" w:cs="仿宋" w:asciiTheme="majorEastAsia" w:hAnsiTheme="majorEastAsia" w:eastAsiaTheme="majorEastAsia"/>
          <w:color w:val="auto"/>
          <w:sz w:val="24"/>
          <w:highlight w:val="none"/>
        </w:rPr>
        <w:t>，每天上午00:00至12:00 ，下午12:00至23:59（北京时间）。</w:t>
      </w:r>
    </w:p>
    <w:p w14:paraId="716CFB2A">
      <w:pPr>
        <w:spacing w:line="360" w:lineRule="auto"/>
        <w:ind w:firstLine="482"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地点（网址）：</w:t>
      </w:r>
      <w:r>
        <w:rPr>
          <w:rFonts w:hint="eastAsia" w:cs="仿宋" w:asciiTheme="majorEastAsia" w:hAnsiTheme="majorEastAsia" w:eastAsiaTheme="majorEastAsia"/>
          <w:color w:val="auto"/>
          <w:sz w:val="24"/>
          <w:highlight w:val="none"/>
        </w:rPr>
        <w:t>乐采云平台（</w:t>
      </w:r>
      <w:r>
        <w:rPr>
          <w:rFonts w:hint="eastAsia" w:cs="仿宋" w:asciiTheme="majorEastAsia" w:hAnsiTheme="majorEastAsia" w:eastAsiaTheme="majorEastAsia"/>
          <w:snapToGrid w:val="0"/>
          <w:color w:val="auto"/>
          <w:kern w:val="0"/>
          <w:sz w:val="24"/>
          <w:highlight w:val="none"/>
        </w:rPr>
        <w:t>https://</w:t>
      </w:r>
      <w:r>
        <w:rPr>
          <w:rStyle w:val="26"/>
          <w:rFonts w:hint="eastAsia" w:cs="仿宋" w:asciiTheme="majorEastAsia" w:hAnsiTheme="majorEastAsia" w:eastAsiaTheme="majorEastAsia"/>
          <w:color w:val="auto"/>
          <w:sz w:val="24"/>
          <w:szCs w:val="24"/>
          <w:highlight w:val="none"/>
        </w:rPr>
        <w:t>www.lecaiyun.com</w:t>
      </w:r>
      <w:r>
        <w:rPr>
          <w:rFonts w:hint="eastAsia" w:cs="仿宋" w:asciiTheme="majorEastAsia" w:hAnsiTheme="majorEastAsia" w:eastAsiaTheme="majorEastAsia"/>
          <w:snapToGrid w:val="0"/>
          <w:color w:val="auto"/>
          <w:kern w:val="0"/>
          <w:sz w:val="24"/>
          <w:highlight w:val="none"/>
        </w:rPr>
        <w:t>/</w:t>
      </w:r>
      <w:r>
        <w:rPr>
          <w:rFonts w:hint="eastAsia" w:cs="仿宋" w:asciiTheme="majorEastAsia" w:hAnsiTheme="majorEastAsia" w:eastAsiaTheme="majorEastAsia"/>
          <w:color w:val="auto"/>
          <w:sz w:val="24"/>
          <w:highlight w:val="none"/>
        </w:rPr>
        <w:t>）。</w:t>
      </w:r>
    </w:p>
    <w:p w14:paraId="2552A8FE">
      <w:pPr>
        <w:spacing w:line="360" w:lineRule="auto"/>
        <w:ind w:firstLine="482"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方式：</w:t>
      </w:r>
      <w:r>
        <w:rPr>
          <w:rFonts w:hint="eastAsia" w:cs="仿宋" w:asciiTheme="majorEastAsia" w:hAnsiTheme="majorEastAsia" w:eastAsiaTheme="majorEastAsia"/>
          <w:color w:val="auto"/>
          <w:sz w:val="24"/>
          <w:highlight w:val="none"/>
        </w:rPr>
        <w:t>供应商登录乐采云平台</w:t>
      </w:r>
      <w:r>
        <w:rPr>
          <w:rFonts w:hint="eastAsia" w:cs="仿宋" w:asciiTheme="majorEastAsia" w:hAnsiTheme="majorEastAsia" w:eastAsiaTheme="majorEastAsia"/>
          <w:snapToGrid w:val="0"/>
          <w:color w:val="auto"/>
          <w:kern w:val="0"/>
          <w:sz w:val="24"/>
          <w:highlight w:val="none"/>
        </w:rPr>
        <w:t>https://</w:t>
      </w:r>
      <w:r>
        <w:rPr>
          <w:rStyle w:val="26"/>
          <w:rFonts w:hint="eastAsia" w:cs="仿宋" w:asciiTheme="majorEastAsia" w:hAnsiTheme="majorEastAsia" w:eastAsiaTheme="majorEastAsia"/>
          <w:color w:val="auto"/>
          <w:sz w:val="24"/>
          <w:szCs w:val="24"/>
          <w:highlight w:val="none"/>
        </w:rPr>
        <w:t>www.lecaiyun.com</w:t>
      </w:r>
      <w:r>
        <w:rPr>
          <w:rFonts w:hint="eastAsia" w:cs="仿宋" w:asciiTheme="majorEastAsia" w:hAnsiTheme="majorEastAsia" w:eastAsiaTheme="majorEastAsia"/>
          <w:snapToGrid w:val="0"/>
          <w:color w:val="auto"/>
          <w:kern w:val="0"/>
          <w:sz w:val="24"/>
          <w:highlight w:val="none"/>
        </w:rPr>
        <w:t>/</w:t>
      </w:r>
      <w:r>
        <w:rPr>
          <w:rFonts w:hint="eastAsia" w:cs="仿宋" w:asciiTheme="majorEastAsia" w:hAnsiTheme="majorEastAsia" w:eastAsiaTheme="majorEastAsia"/>
          <w:color w:val="auto"/>
          <w:sz w:val="24"/>
          <w:highlight w:val="none"/>
        </w:rPr>
        <w:t xml:space="preserve">在线申请获取招标文件（进入“项目采购”应用，在获取采购文件菜单中选择项目，申请获取招标文件）。 </w:t>
      </w:r>
    </w:p>
    <w:p w14:paraId="7DDBECF5">
      <w:pPr>
        <w:spacing w:line="360" w:lineRule="auto"/>
        <w:ind w:firstLine="482"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售价（元）：</w:t>
      </w:r>
      <w:r>
        <w:rPr>
          <w:rFonts w:hint="eastAsia" w:cs="仿宋" w:asciiTheme="majorEastAsia" w:hAnsiTheme="majorEastAsia" w:eastAsiaTheme="majorEastAsia"/>
          <w:color w:val="auto"/>
          <w:sz w:val="24"/>
          <w:highlight w:val="none"/>
        </w:rPr>
        <w:t xml:space="preserve">0 </w:t>
      </w:r>
      <w:r>
        <w:rPr>
          <w:rFonts w:hint="eastAsia" w:cs="仿宋" w:asciiTheme="majorEastAsia" w:hAnsiTheme="majorEastAsia" w:eastAsiaTheme="majorEastAsia"/>
          <w:color w:val="auto"/>
          <w:sz w:val="24"/>
          <w:highlight w:val="none"/>
        </w:rPr>
        <w:tab/>
      </w:r>
    </w:p>
    <w:p w14:paraId="73A0E41E">
      <w:pPr>
        <w:spacing w:line="360" w:lineRule="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四、提交投标文件截止时间、开标时间和地点</w:t>
      </w:r>
    </w:p>
    <w:p w14:paraId="75BDA04B">
      <w:pPr>
        <w:spacing w:line="360" w:lineRule="auto"/>
        <w:ind w:firstLine="482"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提交投标文件截止时间：</w:t>
      </w:r>
      <w:r>
        <w:rPr>
          <w:rFonts w:hint="eastAsia" w:cs="仿宋" w:asciiTheme="majorEastAsia" w:hAnsiTheme="majorEastAsia" w:eastAsiaTheme="majorEastAsia"/>
          <w:color w:val="auto"/>
          <w:sz w:val="24"/>
          <w:highlight w:val="none"/>
          <w:u w:val="single"/>
        </w:rPr>
        <w:t xml:space="preserve"> 202</w:t>
      </w:r>
      <w:r>
        <w:rPr>
          <w:rFonts w:hint="eastAsia" w:cs="仿宋" w:asciiTheme="majorEastAsia" w:hAnsiTheme="majorEastAsia" w:eastAsiaTheme="majorEastAsia"/>
          <w:color w:val="auto"/>
          <w:sz w:val="24"/>
          <w:highlight w:val="none"/>
          <w:u w:val="single"/>
          <w:lang w:val="en-US" w:eastAsia="zh-CN"/>
        </w:rPr>
        <w:t>5</w:t>
      </w:r>
      <w:r>
        <w:rPr>
          <w:rFonts w:hint="eastAsia" w:cs="仿宋" w:asciiTheme="majorEastAsia" w:hAnsiTheme="majorEastAsia" w:eastAsiaTheme="majorEastAsia"/>
          <w:color w:val="auto"/>
          <w:sz w:val="24"/>
          <w:highlight w:val="none"/>
          <w:u w:val="single"/>
        </w:rPr>
        <w:t>年</w:t>
      </w:r>
      <w:r>
        <w:rPr>
          <w:rFonts w:hint="eastAsia" w:cs="仿宋" w:asciiTheme="majorEastAsia" w:hAnsiTheme="majorEastAsia" w:eastAsiaTheme="majorEastAsia"/>
          <w:color w:val="auto"/>
          <w:sz w:val="24"/>
          <w:highlight w:val="none"/>
          <w:u w:val="single"/>
          <w:lang w:val="en-US" w:eastAsia="zh-CN"/>
        </w:rPr>
        <w:t>01</w:t>
      </w:r>
      <w:r>
        <w:rPr>
          <w:rFonts w:hint="eastAsia" w:cs="仿宋" w:asciiTheme="majorEastAsia" w:hAnsiTheme="majorEastAsia" w:eastAsiaTheme="majorEastAsia"/>
          <w:color w:val="auto"/>
          <w:sz w:val="24"/>
          <w:highlight w:val="none"/>
          <w:u w:val="single"/>
        </w:rPr>
        <w:t>月</w:t>
      </w:r>
      <w:r>
        <w:rPr>
          <w:rFonts w:hint="eastAsia" w:cs="仿宋" w:asciiTheme="majorEastAsia" w:hAnsiTheme="majorEastAsia" w:eastAsiaTheme="majorEastAsia"/>
          <w:color w:val="auto"/>
          <w:sz w:val="24"/>
          <w:highlight w:val="none"/>
          <w:u w:val="single"/>
          <w:lang w:val="en-US" w:eastAsia="zh-CN"/>
        </w:rPr>
        <w:t>22</w:t>
      </w:r>
      <w:r>
        <w:rPr>
          <w:rFonts w:hint="eastAsia" w:cs="仿宋" w:asciiTheme="majorEastAsia" w:hAnsiTheme="majorEastAsia" w:eastAsiaTheme="majorEastAsia"/>
          <w:color w:val="auto"/>
          <w:sz w:val="24"/>
          <w:highlight w:val="none"/>
          <w:u w:val="single"/>
        </w:rPr>
        <w:t>日</w:t>
      </w:r>
      <w:r>
        <w:rPr>
          <w:rFonts w:hint="eastAsia" w:cs="仿宋" w:asciiTheme="majorEastAsia" w:hAnsiTheme="majorEastAsia" w:eastAsiaTheme="majorEastAsia"/>
          <w:color w:val="auto"/>
          <w:sz w:val="24"/>
          <w:highlight w:val="none"/>
          <w:u w:val="single"/>
          <w:lang w:val="en-US" w:eastAsia="zh-CN"/>
        </w:rPr>
        <w:t>13</w:t>
      </w:r>
      <w:r>
        <w:rPr>
          <w:rFonts w:hint="eastAsia" w:cs="仿宋" w:asciiTheme="majorEastAsia" w:hAnsiTheme="majorEastAsia" w:eastAsiaTheme="majorEastAsia"/>
          <w:color w:val="auto"/>
          <w:sz w:val="24"/>
          <w:highlight w:val="none"/>
          <w:u w:val="single"/>
        </w:rPr>
        <w:t>点</w:t>
      </w:r>
      <w:r>
        <w:rPr>
          <w:rFonts w:hint="eastAsia" w:cs="仿宋" w:asciiTheme="majorEastAsia" w:hAnsiTheme="majorEastAsia" w:eastAsiaTheme="majorEastAsia"/>
          <w:color w:val="auto"/>
          <w:sz w:val="24"/>
          <w:highlight w:val="none"/>
          <w:u w:val="single"/>
          <w:lang w:val="en-US" w:eastAsia="zh-CN"/>
        </w:rPr>
        <w:t>3</w:t>
      </w:r>
      <w:r>
        <w:rPr>
          <w:rFonts w:hint="eastAsia" w:cs="仿宋" w:asciiTheme="majorEastAsia" w:hAnsiTheme="majorEastAsia" w:eastAsiaTheme="majorEastAsia"/>
          <w:color w:val="auto"/>
          <w:sz w:val="24"/>
          <w:highlight w:val="none"/>
          <w:u w:val="single"/>
        </w:rPr>
        <w:t>0分</w:t>
      </w:r>
      <w:r>
        <w:rPr>
          <w:rFonts w:hint="eastAsia" w:cs="仿宋" w:asciiTheme="majorEastAsia" w:hAnsiTheme="majorEastAsia" w:eastAsiaTheme="majorEastAsia"/>
          <w:color w:val="auto"/>
          <w:sz w:val="24"/>
          <w:highlight w:val="none"/>
        </w:rPr>
        <w:t>（北京时间）。</w:t>
      </w:r>
    </w:p>
    <w:p w14:paraId="7B01D8B0">
      <w:pPr>
        <w:spacing w:line="360" w:lineRule="auto"/>
        <w:ind w:firstLine="482" w:firstLineChars="200"/>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投标地点（网址）：</w:t>
      </w:r>
      <w:r>
        <w:rPr>
          <w:rFonts w:hint="eastAsia" w:cs="仿宋" w:asciiTheme="majorEastAsia" w:hAnsiTheme="majorEastAsia" w:eastAsiaTheme="majorEastAsia"/>
          <w:color w:val="auto"/>
          <w:sz w:val="24"/>
          <w:highlight w:val="none"/>
        </w:rPr>
        <w:t>乐采云平台（</w:t>
      </w:r>
      <w:r>
        <w:rPr>
          <w:rFonts w:hint="eastAsia" w:cs="仿宋" w:asciiTheme="majorEastAsia" w:hAnsiTheme="majorEastAsia" w:eastAsiaTheme="majorEastAsia"/>
          <w:snapToGrid w:val="0"/>
          <w:color w:val="auto"/>
          <w:kern w:val="0"/>
          <w:sz w:val="24"/>
          <w:highlight w:val="none"/>
        </w:rPr>
        <w:t>https://</w:t>
      </w:r>
      <w:r>
        <w:rPr>
          <w:rStyle w:val="26"/>
          <w:rFonts w:hint="eastAsia" w:cs="仿宋" w:asciiTheme="majorEastAsia" w:hAnsiTheme="majorEastAsia" w:eastAsiaTheme="majorEastAsia"/>
          <w:color w:val="auto"/>
          <w:sz w:val="24"/>
          <w:szCs w:val="24"/>
          <w:highlight w:val="none"/>
        </w:rPr>
        <w:t>www.lecaiyun.com</w:t>
      </w:r>
      <w:r>
        <w:rPr>
          <w:rFonts w:hint="eastAsia" w:cs="仿宋" w:asciiTheme="majorEastAsia" w:hAnsiTheme="majorEastAsia" w:eastAsiaTheme="majorEastAsia"/>
          <w:snapToGrid w:val="0"/>
          <w:color w:val="auto"/>
          <w:kern w:val="0"/>
          <w:sz w:val="24"/>
          <w:highlight w:val="none"/>
        </w:rPr>
        <w:t>/</w:t>
      </w:r>
      <w:r>
        <w:rPr>
          <w:rFonts w:hint="eastAsia" w:cs="仿宋" w:asciiTheme="majorEastAsia" w:hAnsiTheme="majorEastAsia" w:eastAsiaTheme="majorEastAsia"/>
          <w:color w:val="auto"/>
          <w:sz w:val="24"/>
          <w:highlight w:val="none"/>
        </w:rPr>
        <w:t>）。</w:t>
      </w:r>
    </w:p>
    <w:p w14:paraId="73F5961C">
      <w:pPr>
        <w:spacing w:line="360" w:lineRule="auto"/>
        <w:ind w:firstLine="482" w:firstLineChars="200"/>
        <w:rPr>
          <w:rFonts w:cs="仿宋" w:asciiTheme="majorEastAsia" w:hAnsiTheme="majorEastAsia" w:eastAsiaTheme="majorEastAsia"/>
          <w:bCs/>
          <w:color w:val="auto"/>
          <w:sz w:val="24"/>
          <w:highlight w:val="none"/>
          <w:u w:val="single"/>
        </w:rPr>
      </w:pPr>
      <w:r>
        <w:rPr>
          <w:rFonts w:hint="eastAsia" w:cs="仿宋" w:asciiTheme="majorEastAsia" w:hAnsiTheme="majorEastAsia" w:eastAsiaTheme="majorEastAsia"/>
          <w:b/>
          <w:color w:val="auto"/>
          <w:sz w:val="24"/>
          <w:highlight w:val="none"/>
        </w:rPr>
        <w:t>开标时间：</w:t>
      </w:r>
      <w:r>
        <w:rPr>
          <w:rFonts w:hint="eastAsia" w:cs="仿宋" w:asciiTheme="majorEastAsia" w:hAnsiTheme="majorEastAsia" w:eastAsiaTheme="majorEastAsia"/>
          <w:color w:val="auto"/>
          <w:sz w:val="24"/>
          <w:highlight w:val="none"/>
          <w:u w:val="single"/>
        </w:rPr>
        <w:t>202</w:t>
      </w:r>
      <w:r>
        <w:rPr>
          <w:rFonts w:hint="eastAsia" w:cs="仿宋" w:asciiTheme="majorEastAsia" w:hAnsiTheme="majorEastAsia" w:eastAsiaTheme="majorEastAsia"/>
          <w:color w:val="auto"/>
          <w:sz w:val="24"/>
          <w:highlight w:val="none"/>
          <w:u w:val="single"/>
          <w:lang w:val="en-US" w:eastAsia="zh-CN"/>
        </w:rPr>
        <w:t>5</w:t>
      </w:r>
      <w:r>
        <w:rPr>
          <w:rFonts w:hint="eastAsia" w:cs="仿宋" w:asciiTheme="majorEastAsia" w:hAnsiTheme="majorEastAsia" w:eastAsiaTheme="majorEastAsia"/>
          <w:color w:val="auto"/>
          <w:sz w:val="24"/>
          <w:highlight w:val="none"/>
          <w:u w:val="single"/>
        </w:rPr>
        <w:t>年</w:t>
      </w:r>
      <w:r>
        <w:rPr>
          <w:rFonts w:hint="eastAsia" w:cs="仿宋" w:asciiTheme="majorEastAsia" w:hAnsiTheme="majorEastAsia" w:eastAsiaTheme="majorEastAsia"/>
          <w:color w:val="auto"/>
          <w:sz w:val="24"/>
          <w:highlight w:val="none"/>
          <w:u w:val="single"/>
          <w:lang w:val="en-US" w:eastAsia="zh-CN"/>
        </w:rPr>
        <w:t>01</w:t>
      </w:r>
      <w:r>
        <w:rPr>
          <w:rFonts w:hint="eastAsia" w:cs="仿宋" w:asciiTheme="majorEastAsia" w:hAnsiTheme="majorEastAsia" w:eastAsiaTheme="majorEastAsia"/>
          <w:color w:val="auto"/>
          <w:sz w:val="24"/>
          <w:highlight w:val="none"/>
          <w:u w:val="single"/>
        </w:rPr>
        <w:t>月</w:t>
      </w:r>
      <w:r>
        <w:rPr>
          <w:rFonts w:hint="eastAsia" w:cs="仿宋" w:asciiTheme="majorEastAsia" w:hAnsiTheme="majorEastAsia" w:eastAsiaTheme="majorEastAsia"/>
          <w:color w:val="auto"/>
          <w:sz w:val="24"/>
          <w:highlight w:val="none"/>
          <w:u w:val="single"/>
          <w:lang w:val="en-US" w:eastAsia="zh-CN"/>
        </w:rPr>
        <w:t>22</w:t>
      </w:r>
      <w:r>
        <w:rPr>
          <w:rFonts w:hint="eastAsia" w:cs="仿宋" w:asciiTheme="majorEastAsia" w:hAnsiTheme="majorEastAsia" w:eastAsiaTheme="majorEastAsia"/>
          <w:color w:val="auto"/>
          <w:sz w:val="24"/>
          <w:highlight w:val="none"/>
          <w:u w:val="single"/>
        </w:rPr>
        <w:t>日</w:t>
      </w:r>
      <w:r>
        <w:rPr>
          <w:rFonts w:hint="eastAsia" w:cs="仿宋" w:asciiTheme="majorEastAsia" w:hAnsiTheme="majorEastAsia" w:eastAsiaTheme="majorEastAsia"/>
          <w:color w:val="auto"/>
          <w:sz w:val="24"/>
          <w:highlight w:val="none"/>
          <w:u w:val="single"/>
          <w:lang w:val="en-US" w:eastAsia="zh-CN"/>
        </w:rPr>
        <w:t>13</w:t>
      </w:r>
      <w:r>
        <w:rPr>
          <w:rFonts w:hint="eastAsia" w:cs="仿宋" w:asciiTheme="majorEastAsia" w:hAnsiTheme="majorEastAsia" w:eastAsiaTheme="majorEastAsia"/>
          <w:color w:val="auto"/>
          <w:sz w:val="24"/>
          <w:highlight w:val="none"/>
          <w:u w:val="single"/>
        </w:rPr>
        <w:t>点</w:t>
      </w:r>
      <w:r>
        <w:rPr>
          <w:rFonts w:hint="eastAsia" w:cs="仿宋" w:asciiTheme="majorEastAsia" w:hAnsiTheme="majorEastAsia" w:eastAsiaTheme="majorEastAsia"/>
          <w:color w:val="auto"/>
          <w:sz w:val="24"/>
          <w:highlight w:val="none"/>
          <w:u w:val="single"/>
          <w:lang w:val="en-US" w:eastAsia="zh-CN"/>
        </w:rPr>
        <w:t>3</w:t>
      </w:r>
      <w:r>
        <w:rPr>
          <w:rFonts w:hint="eastAsia" w:cs="仿宋" w:asciiTheme="majorEastAsia" w:hAnsiTheme="majorEastAsia" w:eastAsiaTheme="majorEastAsia"/>
          <w:color w:val="auto"/>
          <w:sz w:val="24"/>
          <w:highlight w:val="none"/>
          <w:u w:val="single"/>
        </w:rPr>
        <w:t>0分</w:t>
      </w:r>
      <w:r>
        <w:rPr>
          <w:rFonts w:hint="eastAsia" w:cs="仿宋" w:asciiTheme="majorEastAsia" w:hAnsiTheme="majorEastAsia" w:eastAsiaTheme="majorEastAsia"/>
          <w:color w:val="auto"/>
          <w:sz w:val="24"/>
          <w:highlight w:val="none"/>
        </w:rPr>
        <w:t>（北京时间）。</w:t>
      </w:r>
    </w:p>
    <w:p w14:paraId="0244E03F">
      <w:pPr>
        <w:spacing w:line="360" w:lineRule="auto"/>
        <w:ind w:firstLine="482"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开标地点（网址）：</w:t>
      </w:r>
      <w:r>
        <w:rPr>
          <w:rFonts w:hint="eastAsia" w:cs="仿宋" w:asciiTheme="majorEastAsia" w:hAnsiTheme="majorEastAsia" w:eastAsiaTheme="majorEastAsia"/>
          <w:color w:val="auto"/>
          <w:sz w:val="24"/>
          <w:highlight w:val="none"/>
        </w:rPr>
        <w:t>乐采云平台（</w:t>
      </w:r>
      <w:r>
        <w:rPr>
          <w:rFonts w:hint="eastAsia" w:cs="仿宋" w:asciiTheme="majorEastAsia" w:hAnsiTheme="majorEastAsia" w:eastAsiaTheme="majorEastAsia"/>
          <w:snapToGrid w:val="0"/>
          <w:color w:val="auto"/>
          <w:kern w:val="0"/>
          <w:sz w:val="24"/>
          <w:highlight w:val="none"/>
        </w:rPr>
        <w:t>https://</w:t>
      </w:r>
      <w:r>
        <w:rPr>
          <w:rStyle w:val="26"/>
          <w:rFonts w:hint="eastAsia" w:cs="仿宋" w:asciiTheme="majorEastAsia" w:hAnsiTheme="majorEastAsia" w:eastAsiaTheme="majorEastAsia"/>
          <w:color w:val="auto"/>
          <w:sz w:val="24"/>
          <w:szCs w:val="24"/>
          <w:highlight w:val="none"/>
        </w:rPr>
        <w:t>www.lecaiyun.com</w:t>
      </w:r>
      <w:r>
        <w:rPr>
          <w:rFonts w:hint="eastAsia" w:cs="仿宋" w:asciiTheme="majorEastAsia" w:hAnsiTheme="majorEastAsia" w:eastAsiaTheme="majorEastAsia"/>
          <w:snapToGrid w:val="0"/>
          <w:color w:val="auto"/>
          <w:kern w:val="0"/>
          <w:sz w:val="24"/>
          <w:highlight w:val="none"/>
        </w:rPr>
        <w:t>/</w:t>
      </w:r>
      <w:r>
        <w:rPr>
          <w:rFonts w:hint="eastAsia" w:cs="仿宋" w:asciiTheme="majorEastAsia" w:hAnsiTheme="majorEastAsia" w:eastAsiaTheme="majorEastAsia"/>
          <w:color w:val="auto"/>
          <w:sz w:val="24"/>
          <w:highlight w:val="none"/>
        </w:rPr>
        <w:t>）。</w:t>
      </w:r>
    </w:p>
    <w:p w14:paraId="724A38B7">
      <w:pPr>
        <w:spacing w:line="360" w:lineRule="auto"/>
        <w:ind w:firstLine="482" w:firstLineChars="200"/>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开标地点（线下）：</w:t>
      </w:r>
      <w:r>
        <w:rPr>
          <w:rFonts w:hint="eastAsia" w:cs="仿宋" w:asciiTheme="majorEastAsia" w:hAnsiTheme="majorEastAsia" w:eastAsiaTheme="majorEastAsia"/>
          <w:bCs/>
          <w:color w:val="auto"/>
          <w:sz w:val="24"/>
          <w:highlight w:val="none"/>
        </w:rPr>
        <w:t>宁波市奉化区公共资源交易中心开标厅</w:t>
      </w:r>
      <w:r>
        <w:rPr>
          <w:rFonts w:hint="eastAsia" w:cs="仿宋" w:asciiTheme="majorEastAsia" w:hAnsiTheme="majorEastAsia" w:eastAsiaTheme="majorEastAsia"/>
          <w:bCs/>
          <w:color w:val="auto"/>
          <w:sz w:val="24"/>
          <w:highlight w:val="none"/>
          <w:lang w:val="en-US" w:eastAsia="zh-CN"/>
        </w:rPr>
        <w:t>二</w:t>
      </w:r>
      <w:r>
        <w:rPr>
          <w:rFonts w:hint="eastAsia" w:cs="仿宋" w:asciiTheme="majorEastAsia" w:hAnsiTheme="majorEastAsia" w:eastAsiaTheme="majorEastAsia"/>
          <w:bCs/>
          <w:color w:val="auto"/>
          <w:sz w:val="24"/>
          <w:highlight w:val="none"/>
        </w:rPr>
        <w:t>（宁波市奉化区大成东路277号4楼）</w:t>
      </w:r>
    </w:p>
    <w:p w14:paraId="28EB1291">
      <w:pP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 xml:space="preserve">五、公告期限 </w:t>
      </w:r>
    </w:p>
    <w:p w14:paraId="5C7AA29D">
      <w:pP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自本公告发布之日起5个工作日。</w:t>
      </w:r>
    </w:p>
    <w:p w14:paraId="5806CCD1">
      <w:pPr>
        <w:spacing w:line="360" w:lineRule="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六、其他补充事宜</w:t>
      </w:r>
    </w:p>
    <w:p w14:paraId="33C0463C">
      <w:pP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采购监督管理部门投诉。</w:t>
      </w:r>
    </w:p>
    <w:p w14:paraId="5C5C5B7C">
      <w:pP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其他事项：（1）需要落实的政府采购政策：包括节约资源、保护环境、支持创新、促进中小企业发展等。详见招标文件的第二部分总则。（2）电子招投标的说明：①电子招投标：本项目以数据电文形式，依托“政府采购云平台（</w:t>
      </w:r>
      <w:r>
        <w:rPr>
          <w:rFonts w:hint="eastAsia" w:cs="仿宋" w:asciiTheme="majorEastAsia" w:hAnsiTheme="majorEastAsia" w:eastAsiaTheme="majorEastAsia"/>
          <w:snapToGrid w:val="0"/>
          <w:color w:val="auto"/>
          <w:kern w:val="0"/>
          <w:sz w:val="24"/>
          <w:highlight w:val="none"/>
        </w:rPr>
        <w:t>https://</w:t>
      </w:r>
      <w:r>
        <w:rPr>
          <w:rStyle w:val="26"/>
          <w:rFonts w:hint="eastAsia" w:cs="仿宋" w:asciiTheme="majorEastAsia" w:hAnsiTheme="majorEastAsia" w:eastAsiaTheme="majorEastAsia"/>
          <w:color w:val="auto"/>
          <w:sz w:val="24"/>
          <w:szCs w:val="24"/>
          <w:highlight w:val="none"/>
        </w:rPr>
        <w:t>www.lecaiyun.com</w:t>
      </w:r>
      <w:r>
        <w:rPr>
          <w:rFonts w:hint="eastAsia" w:cs="仿宋" w:asciiTheme="majorEastAsia" w:hAnsiTheme="majorEastAsia" w:eastAsiaTheme="majorEastAsia"/>
          <w:snapToGrid w:val="0"/>
          <w:color w:val="auto"/>
          <w:kern w:val="0"/>
          <w:sz w:val="24"/>
          <w:highlight w:val="none"/>
        </w:rPr>
        <w:t>/</w:t>
      </w:r>
      <w:r>
        <w:rPr>
          <w:rFonts w:hint="eastAsia" w:cs="仿宋" w:asciiTheme="majorEastAsia" w:hAnsiTheme="majorEastAsia" w:eastAsiaTheme="majorEastAsia"/>
          <w:color w:val="auto"/>
          <w:sz w:val="24"/>
          <w:highlight w:val="none"/>
        </w:rPr>
        <w:t>）”进行招投标活动，不接受纸质投标文件；②投标准备：注册账号--点击“商家入驻”，进行政府采购供应商资料填写；申领CA数字证书---申领流程详见“浙江企业采购信息服务网-下载专区-电子交易客户端-CA驱动和申领流程”；安装“乐采云电子交易客户端”----前往“浙江企业采购信息服务网-下载专区-电子交易客户端（https://b.zhengcaiyun.cn/luban/category?parentId=550045&amp;childrenCode=qicaiCategory17&amp;utm=luban.luban-PC-39026.959-pc-websitegroup-navBar-front.8.ebdec73052c711ef9ade896d008b9248）”进行下载并安装；</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在开标前应确保成为浙江省政府采购网正式注册入库供应商，并完成CA数字证书办理。完成CA数字证书办理在资料齐全的情况下预计7个工作日左右，请各</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合理预估时间，及时办理。③招标文件的获取：使用账号登录或者使用CA登录乐采云平台；进入“项目采购”应用，在获取采购文件菜单中选择项目，获取招标文件；④投标文件的制作：在“乐采云电子交易客户端”中完成“填写基本信息”、“导入投标文件”、“标书关联”、“标书检查”、“电子签名”、“生成电子标书”等操作；⑤采购人、采购代理机构将依托乐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⑥对未按上述方式获取招标文件的供应商对该文件提出的质疑，采购人或采购代理机构将不予处理；⑦不提供招标文件纸质版；⑧投标文件的解密：</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按照平台提示和招标文件的规定在半小时内完成在线解密。⑨具体操作指南：详见乐采云平台“服务中心-帮助文档-项目采购-操作流程-电子招投标-政府采购项目电子交易管理操作指南-供应商”。</w:t>
      </w:r>
    </w:p>
    <w:p w14:paraId="21F3CCA5">
      <w:pPr>
        <w:spacing w:line="360" w:lineRule="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七、对本次采购提出询问、质疑、投诉，请按以下方式联系</w:t>
      </w:r>
    </w:p>
    <w:p w14:paraId="59895D41">
      <w:pP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    1.采购人信息</w:t>
      </w:r>
    </w:p>
    <w:p w14:paraId="1F78E364">
      <w:pP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    名    称：宁波市奉化区惠诚开发建设有限公司</w:t>
      </w:r>
    </w:p>
    <w:p w14:paraId="1813B4ED">
      <w:pP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    地    址：宁波市奉化区中山东路518号金城大厦B座</w:t>
      </w:r>
    </w:p>
    <w:p w14:paraId="75CD3A91">
      <w:pPr>
        <w:spacing w:line="360" w:lineRule="auto"/>
        <w:ind w:firstLine="48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传    真：/</w:t>
      </w:r>
    </w:p>
    <w:p w14:paraId="57BBC31E">
      <w:pPr>
        <w:spacing w:line="360" w:lineRule="auto"/>
        <w:ind w:firstLine="48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项目联系人：尹工</w:t>
      </w:r>
    </w:p>
    <w:p w14:paraId="268A2AD1">
      <w:pPr>
        <w:spacing w:line="360" w:lineRule="auto"/>
        <w:ind w:firstLine="48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项目联系方式：0574-88680653</w:t>
      </w:r>
    </w:p>
    <w:p w14:paraId="310865F1">
      <w:pP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    2.采购代理机构信息            </w:t>
      </w:r>
    </w:p>
    <w:p w14:paraId="564389BF">
      <w:pPr>
        <w:spacing w:line="360" w:lineRule="auto"/>
        <w:ind w:firstLine="48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名    称：宁波敬信项目管理咨询有限公司</w:t>
      </w:r>
    </w:p>
    <w:p w14:paraId="57497700">
      <w:pPr>
        <w:spacing w:line="360" w:lineRule="auto"/>
        <w:ind w:firstLine="48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地    址：</w:t>
      </w:r>
      <w:r>
        <w:rPr>
          <w:rFonts w:hint="eastAsia" w:cs="宋体" w:asciiTheme="majorEastAsia" w:hAnsiTheme="majorEastAsia" w:eastAsiaTheme="majorEastAsia"/>
          <w:bCs/>
          <w:color w:val="auto"/>
          <w:sz w:val="24"/>
          <w:highlight w:val="none"/>
        </w:rPr>
        <w:t>宁波市奉化区岳林东路商业二16幢502室（惠政丽都北门）</w:t>
      </w:r>
    </w:p>
    <w:p w14:paraId="20FB7613">
      <w:pP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    传    真：</w:t>
      </w:r>
      <w:r>
        <w:rPr>
          <w:rFonts w:hint="eastAsia" w:ascii="宋体" w:hAnsi="宋体" w:cs="宋体"/>
          <w:bCs/>
          <w:color w:val="auto"/>
          <w:sz w:val="24"/>
          <w:highlight w:val="none"/>
        </w:rPr>
        <w:t>0574-88986381</w:t>
      </w:r>
      <w:r>
        <w:rPr>
          <w:rFonts w:hint="eastAsia" w:cs="仿宋" w:asciiTheme="majorEastAsia" w:hAnsiTheme="majorEastAsia" w:eastAsiaTheme="majorEastAsia"/>
          <w:color w:val="auto"/>
          <w:sz w:val="24"/>
          <w:highlight w:val="none"/>
        </w:rPr>
        <w:t xml:space="preserve">          </w:t>
      </w:r>
    </w:p>
    <w:p w14:paraId="40ECF34E">
      <w:pP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    项目联系人（询问）：丁先生</w:t>
      </w:r>
    </w:p>
    <w:p w14:paraId="0E89FF01">
      <w:pPr>
        <w:spacing w:line="360" w:lineRule="auto"/>
        <w:rPr>
          <w:rFonts w:cs="仿宋" w:asciiTheme="majorEastAsia" w:hAnsiTheme="majorEastAsia"/>
          <w:color w:val="auto"/>
          <w:sz w:val="24"/>
          <w:highlight w:val="none"/>
        </w:rPr>
      </w:pPr>
      <w:r>
        <w:rPr>
          <w:rFonts w:hint="eastAsia" w:cs="仿宋" w:asciiTheme="majorEastAsia" w:hAnsiTheme="majorEastAsia" w:eastAsiaTheme="majorEastAsia"/>
          <w:color w:val="auto"/>
          <w:sz w:val="24"/>
          <w:highlight w:val="none"/>
        </w:rPr>
        <w:t xml:space="preserve">    项目联系方式（询问）： </w:t>
      </w:r>
      <w:r>
        <w:rPr>
          <w:rFonts w:hint="eastAsia" w:ascii="宋体" w:hAnsi="宋体" w:cs="宋体"/>
          <w:bCs/>
          <w:color w:val="auto"/>
          <w:sz w:val="24"/>
          <w:highlight w:val="none"/>
        </w:rPr>
        <w:t>0574-88986381</w:t>
      </w:r>
    </w:p>
    <w:p w14:paraId="3C57263F">
      <w:pP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    质疑联系人：唐先生  </w:t>
      </w:r>
    </w:p>
    <w:p w14:paraId="55547607">
      <w:pPr>
        <w:spacing w:line="360" w:lineRule="auto"/>
        <w:rPr>
          <w:rFonts w:cs="仿宋" w:asciiTheme="majorEastAsia" w:hAnsiTheme="majorEastAsia"/>
          <w:color w:val="auto"/>
          <w:sz w:val="24"/>
          <w:highlight w:val="none"/>
        </w:rPr>
      </w:pPr>
      <w:r>
        <w:rPr>
          <w:rFonts w:hint="eastAsia" w:cs="仿宋" w:asciiTheme="majorEastAsia" w:hAnsiTheme="majorEastAsia" w:eastAsiaTheme="majorEastAsia"/>
          <w:color w:val="auto"/>
          <w:sz w:val="24"/>
          <w:highlight w:val="none"/>
        </w:rPr>
        <w:t xml:space="preserve">    质疑联系方式： </w:t>
      </w:r>
      <w:r>
        <w:rPr>
          <w:rFonts w:hint="eastAsia" w:ascii="宋体" w:hAnsi="宋体" w:cs="宋体"/>
          <w:bCs/>
          <w:color w:val="auto"/>
          <w:sz w:val="24"/>
          <w:highlight w:val="none"/>
        </w:rPr>
        <w:t>0574-88986379</w:t>
      </w:r>
    </w:p>
    <w:p w14:paraId="3F71D615">
      <w:pP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    3.同级监督管理部门            </w:t>
      </w:r>
    </w:p>
    <w:p w14:paraId="044C8064">
      <w:pP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名    称：宁波市奉化区城市开发建设集团有限公司纪检监察室  </w:t>
      </w:r>
    </w:p>
    <w:p w14:paraId="5202FABE">
      <w:pP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地    址：宁波市奉化区中山东路 518 号金城大厦 B 座</w:t>
      </w:r>
    </w:p>
    <w:p w14:paraId="138E2DD3">
      <w:pP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联 系 人 ：应女士</w:t>
      </w:r>
    </w:p>
    <w:p w14:paraId="7B4D231A">
      <w:pP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监督投诉电话： 0574-88680587         </w:t>
      </w:r>
    </w:p>
    <w:p w14:paraId="1E5D9AF7">
      <w:pP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若对项目采购电子交易系统操作有疑问，可登录乐采云（https://www.lecaiyun.com/），点击右侧咨询小采，获取采小蜜智能服务管家帮助，或拨打乐采云服务热线95763获取热线服务帮助。</w:t>
      </w:r>
    </w:p>
    <w:p w14:paraId="4A9EB62B">
      <w:pP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CA问题联系电话（人工）：汇信CA 400-888-4636；天谷CA 400-087-8198。</w:t>
      </w:r>
    </w:p>
    <w:p w14:paraId="19A87EDD">
      <w:pPr>
        <w:pStyle w:val="11"/>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highlight w:val="none"/>
        </w:rPr>
        <w:t xml:space="preserve">                              </w:t>
      </w:r>
    </w:p>
    <w:p w14:paraId="6A26905D">
      <w:pPr>
        <w:spacing w:line="360" w:lineRule="auto"/>
        <w:jc w:val="center"/>
        <w:outlineLvl w:val="0"/>
        <w:rPr>
          <w:rFonts w:cs="仿宋" w:asciiTheme="majorEastAsia" w:hAnsiTheme="majorEastAsia" w:eastAsiaTheme="majorEastAsia"/>
          <w:b/>
          <w:color w:val="auto"/>
          <w:sz w:val="36"/>
          <w:szCs w:val="20"/>
          <w:highlight w:val="none"/>
        </w:rPr>
      </w:pPr>
      <w:r>
        <w:rPr>
          <w:rFonts w:hint="eastAsia" w:cs="仿宋" w:asciiTheme="majorEastAsia" w:hAnsiTheme="majorEastAsia" w:eastAsiaTheme="majorEastAsia"/>
          <w:b/>
          <w:color w:val="auto"/>
          <w:sz w:val="36"/>
          <w:szCs w:val="20"/>
          <w:highlight w:val="none"/>
        </w:rPr>
        <w:br w:type="page"/>
      </w:r>
      <w:r>
        <w:rPr>
          <w:rFonts w:hint="eastAsia" w:cs="仿宋" w:asciiTheme="majorEastAsia" w:hAnsiTheme="majorEastAsia" w:eastAsiaTheme="majorEastAsia"/>
          <w:b/>
          <w:color w:val="auto"/>
          <w:sz w:val="36"/>
          <w:szCs w:val="20"/>
          <w:highlight w:val="none"/>
        </w:rPr>
        <w:t>第二部分</w:t>
      </w:r>
      <w:bookmarkEnd w:id="8"/>
      <w:r>
        <w:rPr>
          <w:rFonts w:hint="eastAsia" w:cs="仿宋" w:asciiTheme="majorEastAsia" w:hAnsiTheme="majorEastAsia" w:eastAsiaTheme="majorEastAsia"/>
          <w:b/>
          <w:color w:val="auto"/>
          <w:sz w:val="36"/>
          <w:szCs w:val="20"/>
          <w:highlight w:val="none"/>
        </w:rPr>
        <w:t xml:space="preserve"> 投标须知</w:t>
      </w:r>
      <w:bookmarkEnd w:id="9"/>
    </w:p>
    <w:p w14:paraId="329726B9">
      <w:pPr>
        <w:snapToGrid w:val="0"/>
        <w:spacing w:line="360" w:lineRule="auto"/>
        <w:jc w:val="center"/>
        <w:rPr>
          <w:rFonts w:cs="仿宋" w:asciiTheme="majorEastAsia" w:hAnsiTheme="majorEastAsia" w:eastAsiaTheme="majorEastAsia"/>
          <w:b/>
          <w:color w:val="auto"/>
          <w:sz w:val="32"/>
          <w:szCs w:val="20"/>
          <w:highlight w:val="none"/>
        </w:rPr>
      </w:pPr>
      <w:r>
        <w:rPr>
          <w:rFonts w:hint="eastAsia" w:cs="仿宋" w:asciiTheme="majorEastAsia" w:hAnsiTheme="majorEastAsia" w:eastAsiaTheme="majorEastAsia"/>
          <w:b/>
          <w:color w:val="auto"/>
          <w:sz w:val="32"/>
          <w:szCs w:val="20"/>
          <w:highlight w:val="none"/>
        </w:rPr>
        <w:t>前附表</w:t>
      </w:r>
    </w:p>
    <w:tbl>
      <w:tblPr>
        <w:tblStyle w:val="21"/>
        <w:tblW w:w="913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662"/>
      </w:tblGrid>
      <w:tr w14:paraId="09C4EC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26A76251">
            <w:pP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90E9FF4">
            <w:pP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事项</w:t>
            </w:r>
          </w:p>
        </w:tc>
        <w:tc>
          <w:tcPr>
            <w:tcW w:w="6662" w:type="dxa"/>
            <w:tcBorders>
              <w:top w:val="single" w:color="000000" w:sz="8" w:space="0"/>
              <w:left w:val="single" w:color="000000" w:sz="2" w:space="0"/>
              <w:bottom w:val="single" w:color="000000" w:sz="8" w:space="0"/>
              <w:right w:val="single" w:color="000000" w:sz="8" w:space="0"/>
            </w:tcBorders>
            <w:vAlign w:val="center"/>
          </w:tcPr>
          <w:p w14:paraId="5CBBDB23">
            <w:pP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本项目的特别规定</w:t>
            </w:r>
          </w:p>
        </w:tc>
      </w:tr>
      <w:tr w14:paraId="54F0C0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72" w:hRule="atLeast"/>
          <w:tblHeader/>
        </w:trPr>
        <w:tc>
          <w:tcPr>
            <w:tcW w:w="629" w:type="dxa"/>
            <w:tcBorders>
              <w:top w:val="single" w:color="auto" w:sz="4" w:space="0"/>
              <w:left w:val="single" w:color="auto" w:sz="4" w:space="0"/>
              <w:bottom w:val="single" w:color="auto" w:sz="4" w:space="0"/>
              <w:right w:val="single" w:color="auto" w:sz="4" w:space="0"/>
            </w:tcBorders>
          </w:tcPr>
          <w:p w14:paraId="0C00F585">
            <w:pPr>
              <w:snapToGrid w:val="0"/>
              <w:spacing w:line="360" w:lineRule="auto"/>
              <w:jc w:val="center"/>
              <w:rPr>
                <w:rFonts w:cs="仿宋" w:asciiTheme="majorEastAsia" w:hAnsiTheme="majorEastAsia" w:eastAsiaTheme="majorEastAsia"/>
                <w:color w:val="auto"/>
                <w:sz w:val="24"/>
                <w:highlight w:val="none"/>
              </w:rPr>
            </w:pPr>
          </w:p>
          <w:p w14:paraId="737E1B7E">
            <w:pPr>
              <w:snapToGrid w:val="0"/>
              <w:spacing w:line="360" w:lineRule="auto"/>
              <w:jc w:val="center"/>
              <w:rPr>
                <w:rFonts w:cs="仿宋" w:asciiTheme="majorEastAsia" w:hAnsiTheme="majorEastAsia" w:eastAsiaTheme="majorEastAsia"/>
                <w:color w:val="auto"/>
                <w:sz w:val="24"/>
                <w:highlight w:val="none"/>
              </w:rPr>
            </w:pPr>
          </w:p>
          <w:p w14:paraId="5A52E41F">
            <w:pPr>
              <w:snapToGrid w:val="0"/>
              <w:spacing w:line="360" w:lineRule="auto"/>
              <w:jc w:val="center"/>
              <w:rPr>
                <w:rFonts w:cs="仿宋" w:asciiTheme="majorEastAsia" w:hAnsiTheme="majorEastAsia" w:eastAsiaTheme="majorEastAsia"/>
                <w:color w:val="auto"/>
                <w:sz w:val="24"/>
                <w:highlight w:val="none"/>
              </w:rPr>
            </w:pPr>
          </w:p>
          <w:p w14:paraId="36578163">
            <w:pPr>
              <w:snapToGrid w:val="0"/>
              <w:spacing w:line="360" w:lineRule="auto"/>
              <w:jc w:val="center"/>
              <w:rPr>
                <w:rFonts w:cs="仿宋" w:asciiTheme="majorEastAsia" w:hAnsiTheme="majorEastAsia" w:eastAsiaTheme="majorEastAsia"/>
                <w:color w:val="auto"/>
                <w:sz w:val="24"/>
                <w:highlight w:val="none"/>
              </w:rPr>
            </w:pPr>
          </w:p>
          <w:p w14:paraId="42FE7131">
            <w:pPr>
              <w:snapToGrid w:val="0"/>
              <w:spacing w:line="360" w:lineRule="auto"/>
              <w:jc w:val="center"/>
              <w:rPr>
                <w:rFonts w:cs="仿宋" w:asciiTheme="majorEastAsia" w:hAnsiTheme="majorEastAsia" w:eastAsiaTheme="majorEastAsia"/>
                <w:color w:val="auto"/>
                <w:sz w:val="24"/>
                <w:highlight w:val="none"/>
              </w:rPr>
            </w:pPr>
          </w:p>
          <w:p w14:paraId="3A141D7F">
            <w:pPr>
              <w:snapToGrid w:val="0"/>
              <w:spacing w:line="360" w:lineRule="auto"/>
              <w:jc w:val="center"/>
              <w:rPr>
                <w:rFonts w:cs="仿宋" w:asciiTheme="majorEastAsia" w:hAnsiTheme="majorEastAsia" w:eastAsiaTheme="majorEastAsia"/>
                <w:color w:val="auto"/>
                <w:sz w:val="24"/>
                <w:highlight w:val="none"/>
              </w:rPr>
            </w:pPr>
          </w:p>
          <w:p w14:paraId="38AFD8CB">
            <w:pPr>
              <w:snapToGrid w:val="0"/>
              <w:spacing w:line="360" w:lineRule="auto"/>
              <w:jc w:val="center"/>
              <w:rPr>
                <w:rFonts w:cs="仿宋" w:asciiTheme="majorEastAsia" w:hAnsiTheme="majorEastAsia" w:eastAsiaTheme="majorEastAsia"/>
                <w:color w:val="auto"/>
                <w:sz w:val="24"/>
                <w:highlight w:val="none"/>
              </w:rPr>
            </w:pPr>
          </w:p>
          <w:p w14:paraId="05896E7A">
            <w:pP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25E5DB6">
            <w:pP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报价要求</w:t>
            </w:r>
          </w:p>
        </w:tc>
        <w:tc>
          <w:tcPr>
            <w:tcW w:w="6662" w:type="dxa"/>
            <w:tcBorders>
              <w:top w:val="single" w:color="000000" w:sz="8" w:space="0"/>
              <w:left w:val="single" w:color="000000" w:sz="2" w:space="0"/>
              <w:bottom w:val="single" w:color="000000" w:sz="8" w:space="0"/>
              <w:right w:val="single" w:color="000000" w:sz="8" w:space="0"/>
            </w:tcBorders>
            <w:vAlign w:val="center"/>
          </w:tcPr>
          <w:p w14:paraId="7CAD0716">
            <w:pPr>
              <w:snapToGrid w:val="0"/>
              <w:spacing w:line="360" w:lineRule="auto"/>
              <w:jc w:val="left"/>
              <w:rPr>
                <w:rFonts w:cs="仿宋" w:asciiTheme="majorEastAsia" w:hAnsiTheme="majorEastAsia" w:eastAsiaTheme="majorEastAsia"/>
                <w:b/>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有关本项目实施所需的所有费用（含税费）均计入报价。</w:t>
            </w:r>
            <w:r>
              <w:rPr>
                <w:rFonts w:hint="eastAsia" w:cs="仿宋" w:asciiTheme="majorEastAsia" w:hAnsiTheme="majorEastAsia" w:eastAsiaTheme="majorEastAsia"/>
                <w:color w:val="auto"/>
                <w:sz w:val="24"/>
                <w:highlight w:val="none"/>
              </w:rPr>
              <w:t>开标一览表是报价的唯一载体</w:t>
            </w:r>
            <w:r>
              <w:rPr>
                <w:rFonts w:hint="eastAsia" w:cs="仿宋" w:asciiTheme="majorEastAsia" w:hAnsiTheme="majorEastAsia" w:eastAsiaTheme="majorEastAsia"/>
                <w:color w:val="auto"/>
                <w:kern w:val="0"/>
                <w:sz w:val="24"/>
                <w:highlight w:val="none"/>
                <w:lang w:val="zh-CN"/>
              </w:rPr>
              <w:t>。投标文件中价格全部采用人民币报价。招标文件未列明，而供应商认为必需的费用也需列入报价。</w:t>
            </w:r>
          </w:p>
          <w:p w14:paraId="44701051">
            <w:pPr>
              <w:snapToGrid w:val="0"/>
              <w:spacing w:line="360" w:lineRule="auto"/>
              <w:jc w:val="left"/>
              <w:rPr>
                <w:rFonts w:cs="仿宋" w:asciiTheme="majorEastAsia" w:hAnsiTheme="majorEastAsia" w:eastAsiaTheme="majorEastAsia"/>
                <w:b/>
                <w:color w:val="auto"/>
                <w:kern w:val="0"/>
                <w:sz w:val="24"/>
                <w:highlight w:val="none"/>
                <w:lang w:val="zh-CN"/>
              </w:rPr>
            </w:pPr>
            <w:r>
              <w:rPr>
                <w:rFonts w:hint="eastAsia" w:cs="仿宋" w:asciiTheme="majorEastAsia" w:hAnsiTheme="majorEastAsia" w:eastAsiaTheme="majorEastAsia"/>
                <w:b/>
                <w:color w:val="auto"/>
                <w:kern w:val="0"/>
                <w:sz w:val="24"/>
                <w:highlight w:val="none"/>
                <w:lang w:val="zh-CN"/>
              </w:rPr>
              <w:t>投标报价出现下列情形的，投标无效：</w:t>
            </w:r>
          </w:p>
          <w:p w14:paraId="76EDCBFE">
            <w:pPr>
              <w:snapToGrid w:val="0"/>
              <w:spacing w:line="360" w:lineRule="auto"/>
              <w:ind w:firstLine="241" w:firstLineChars="100"/>
              <w:jc w:val="left"/>
              <w:rPr>
                <w:rFonts w:cs="仿宋" w:asciiTheme="majorEastAsia" w:hAnsiTheme="majorEastAsia" w:eastAsiaTheme="majorEastAsia"/>
                <w:b/>
                <w:color w:val="auto"/>
                <w:kern w:val="0"/>
                <w:sz w:val="24"/>
                <w:highlight w:val="none"/>
                <w:lang w:val="zh-CN"/>
              </w:rPr>
            </w:pPr>
            <w:r>
              <w:rPr>
                <w:rFonts w:hint="eastAsia" w:cs="仿宋" w:asciiTheme="majorEastAsia" w:hAnsiTheme="majorEastAsia" w:eastAsiaTheme="majorEastAsia"/>
                <w:b/>
                <w:color w:val="auto"/>
                <w:kern w:val="0"/>
                <w:sz w:val="24"/>
                <w:highlight w:val="none"/>
                <w:lang w:val="zh-CN"/>
              </w:rPr>
              <w:t>投标文件出现不是唯一的、有选择性投标报价的；</w:t>
            </w:r>
          </w:p>
          <w:p w14:paraId="3E36F891">
            <w:pPr>
              <w:snapToGrid w:val="0"/>
              <w:spacing w:line="360" w:lineRule="auto"/>
              <w:ind w:firstLine="241" w:firstLineChars="100"/>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b/>
                <w:color w:val="auto"/>
                <w:kern w:val="0"/>
                <w:sz w:val="24"/>
                <w:highlight w:val="none"/>
                <w:lang w:val="zh-CN"/>
              </w:rPr>
              <w:t>投标报价超过招标文件中规定的预算金额或者最高限价的;</w:t>
            </w:r>
          </w:p>
          <w:p w14:paraId="579419C3">
            <w:pPr>
              <w:spacing w:line="360" w:lineRule="auto"/>
              <w:ind w:firstLine="241" w:firstLineChars="100"/>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cs="仿宋" w:asciiTheme="majorEastAsia" w:hAnsiTheme="majorEastAsia" w:eastAsiaTheme="majorEastAsia"/>
                <w:b/>
                <w:color w:val="auto"/>
                <w:sz w:val="24"/>
                <w:szCs w:val="21"/>
                <w:highlight w:val="none"/>
              </w:rPr>
              <w:t>;</w:t>
            </w:r>
          </w:p>
          <w:p w14:paraId="0ACD451F">
            <w:pPr>
              <w:spacing w:line="360" w:lineRule="auto"/>
              <w:ind w:firstLine="241" w:firstLineChars="1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kern w:val="0"/>
                <w:sz w:val="24"/>
                <w:highlight w:val="none"/>
              </w:rPr>
              <w:t>供应商对根据修正原则修正后的报价不确认的</w:t>
            </w:r>
            <w:r>
              <w:rPr>
                <w:rFonts w:hint="eastAsia" w:cs="仿宋" w:asciiTheme="majorEastAsia" w:hAnsiTheme="majorEastAsia" w:eastAsiaTheme="majorEastAsia"/>
                <w:b/>
                <w:color w:val="auto"/>
                <w:sz w:val="24"/>
                <w:highlight w:val="none"/>
              </w:rPr>
              <w:t>。</w:t>
            </w:r>
          </w:p>
        </w:tc>
      </w:tr>
      <w:tr w14:paraId="717155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E19342C">
            <w:pP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8A7EF0D">
            <w:pPr>
              <w:pStyle w:val="11"/>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kern w:val="28"/>
                <w:sz w:val="24"/>
                <w:szCs w:val="24"/>
                <w:highlight w:val="none"/>
              </w:rPr>
              <w:t>投标保证金</w:t>
            </w:r>
          </w:p>
        </w:tc>
        <w:tc>
          <w:tcPr>
            <w:tcW w:w="6662" w:type="dxa"/>
            <w:tcBorders>
              <w:top w:val="single" w:color="000000" w:sz="8" w:space="0"/>
              <w:left w:val="single" w:color="000000" w:sz="2" w:space="0"/>
              <w:bottom w:val="single" w:color="000000" w:sz="8" w:space="0"/>
              <w:right w:val="single" w:color="000000" w:sz="8" w:space="0"/>
            </w:tcBorders>
            <w:vAlign w:val="center"/>
          </w:tcPr>
          <w:p w14:paraId="14293C1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投标保证金：人民币贰万元整。投标保证金须从投标人的基本账户转出以非现金方式交纳，形式：单位网银、转账支票、银行汇票或汇兑。</w:t>
            </w:r>
          </w:p>
          <w:p w14:paraId="5F09DB22">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账户名：宁波市奉化区政务服务中心(区公共资源交易中心)</w:t>
            </w:r>
          </w:p>
          <w:p w14:paraId="787A3BEA">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账号：231000003436009010047</w:t>
            </w:r>
          </w:p>
          <w:p w14:paraId="2DA646DD">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开户行：宁波奉化农村商业银行股份有限公司锦屏支行</w:t>
            </w:r>
          </w:p>
          <w:p w14:paraId="6323CC93">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电话、传真：0574—88589092</w:t>
            </w:r>
          </w:p>
          <w:p w14:paraId="4564875D">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在本项目</w:t>
            </w:r>
            <w:r>
              <w:rPr>
                <w:rFonts w:hint="eastAsia" w:cs="仿宋" w:asciiTheme="majorEastAsia" w:hAnsiTheme="majorEastAsia" w:eastAsiaTheme="majorEastAsia"/>
                <w:b/>
                <w:color w:val="auto"/>
                <w:sz w:val="24"/>
                <w:highlight w:val="none"/>
              </w:rPr>
              <w:t>提交投标文件截止时间</w:t>
            </w:r>
            <w:r>
              <w:rPr>
                <w:rFonts w:hint="eastAsia" w:ascii="宋体" w:hAnsi="宋体"/>
                <w:color w:val="auto"/>
                <w:sz w:val="24"/>
                <w:highlight w:val="none"/>
              </w:rPr>
              <w:t>前须足额缴纳（以实际到账时间为准），并在汇款信息或转账支票中注明项目名称。</w:t>
            </w:r>
          </w:p>
          <w:p w14:paraId="069AC544">
            <w:pPr>
              <w:pStyle w:val="2"/>
              <w:spacing w:line="360" w:lineRule="auto"/>
              <w:ind w:firstLine="0"/>
              <w:jc w:val="left"/>
              <w:rPr>
                <w:rFonts w:cs="仿宋" w:asciiTheme="majorEastAsia" w:hAnsiTheme="majorEastAsia"/>
                <w:b/>
                <w:color w:val="auto"/>
                <w:kern w:val="0"/>
                <w:sz w:val="24"/>
                <w:highlight w:val="none"/>
              </w:rPr>
            </w:pPr>
            <w:r>
              <w:rPr>
                <w:rFonts w:hint="eastAsia" w:hAnsi="宋体"/>
                <w:b/>
                <w:color w:val="auto"/>
                <w:sz w:val="24"/>
                <w:highlight w:val="none"/>
              </w:rPr>
              <w:t>注：</w:t>
            </w:r>
            <w:r>
              <w:rPr>
                <w:rFonts w:hint="eastAsia" w:hAnsi="宋体"/>
                <w:color w:val="auto"/>
                <w:sz w:val="24"/>
                <w:highlight w:val="none"/>
              </w:rPr>
              <w:t>▲</w:t>
            </w:r>
            <w:r>
              <w:rPr>
                <w:rFonts w:hint="eastAsia" w:hAnsi="宋体"/>
                <w:b/>
                <w:color w:val="auto"/>
                <w:sz w:val="24"/>
                <w:highlight w:val="none"/>
              </w:rPr>
              <w:t>投标保证金按规定时间到账，超时的作无效标处理。</w:t>
            </w:r>
          </w:p>
        </w:tc>
      </w:tr>
      <w:tr w14:paraId="23EE7F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F075398">
            <w:pP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B4B1F14">
            <w:pPr>
              <w:snapToGrid w:val="0"/>
              <w:spacing w:line="360" w:lineRule="auto"/>
              <w:ind w:firstLine="482" w:firstLineChars="200"/>
              <w:jc w:val="left"/>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分包</w:t>
            </w:r>
          </w:p>
        </w:tc>
        <w:tc>
          <w:tcPr>
            <w:tcW w:w="6662" w:type="dxa"/>
            <w:tcBorders>
              <w:top w:val="single" w:color="000000" w:sz="8" w:space="0"/>
              <w:left w:val="single" w:color="000000" w:sz="2" w:space="0"/>
              <w:bottom w:val="single" w:color="000000" w:sz="8" w:space="0"/>
              <w:right w:val="single" w:color="000000" w:sz="8" w:space="0"/>
            </w:tcBorders>
            <w:vAlign w:val="center"/>
          </w:tcPr>
          <w:p w14:paraId="561BFD23">
            <w:pPr>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不同意分包。</w:t>
            </w:r>
          </w:p>
        </w:tc>
      </w:tr>
      <w:tr w14:paraId="726F01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0A6E1AA">
            <w:pP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749CB81">
            <w:pP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供应商应当提供的资格文件</w:t>
            </w:r>
          </w:p>
        </w:tc>
        <w:tc>
          <w:tcPr>
            <w:tcW w:w="6662" w:type="dxa"/>
            <w:tcBorders>
              <w:top w:val="single" w:color="000000" w:sz="8" w:space="0"/>
              <w:left w:val="single" w:color="000000" w:sz="2" w:space="0"/>
              <w:bottom w:val="single" w:color="000000" w:sz="8" w:space="0"/>
              <w:right w:val="single" w:color="000000" w:sz="8" w:space="0"/>
            </w:tcBorders>
            <w:vAlign w:val="center"/>
          </w:tcPr>
          <w:p w14:paraId="6924137D">
            <w:pP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资格证明文件：见招标文件第二部分9.1。</w:t>
            </w:r>
          </w:p>
          <w:p w14:paraId="315C2A13">
            <w:pPr>
              <w:spacing w:line="360" w:lineRule="auto"/>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sz w:val="24"/>
                <w:highlight w:val="none"/>
              </w:rPr>
              <w:t>资格证明文件不全的或者不符合招标文件标明的资格要求的</w:t>
            </w:r>
            <w:r>
              <w:rPr>
                <w:rFonts w:hint="eastAsia" w:cs="仿宋" w:asciiTheme="majorEastAsia" w:hAnsiTheme="majorEastAsia" w:eastAsiaTheme="majorEastAsia"/>
                <w:color w:val="auto"/>
                <w:sz w:val="24"/>
                <w:highlight w:val="none"/>
                <w:lang w:val="zh-CN"/>
              </w:rPr>
              <w:t>，视为供应商不具备招标文件中规定的资格要求，投标无效。</w:t>
            </w:r>
          </w:p>
        </w:tc>
      </w:tr>
      <w:tr w14:paraId="277DAA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14:paraId="3C96B8EF">
            <w:pPr>
              <w:snapToGrid w:val="0"/>
              <w:spacing w:line="360" w:lineRule="auto"/>
              <w:jc w:val="center"/>
              <w:rPr>
                <w:rFonts w:cs="仿宋" w:asciiTheme="majorEastAsia" w:hAnsiTheme="majorEastAsia" w:eastAsiaTheme="majorEastAsia"/>
                <w:color w:val="auto"/>
                <w:sz w:val="24"/>
                <w:highlight w:val="none"/>
              </w:rPr>
            </w:pPr>
          </w:p>
          <w:p w14:paraId="67CEB160">
            <w:pP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6D21F08">
            <w:pP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现场踏勘</w:t>
            </w:r>
          </w:p>
        </w:tc>
        <w:tc>
          <w:tcPr>
            <w:tcW w:w="6662" w:type="dxa"/>
            <w:tcBorders>
              <w:top w:val="single" w:color="000000" w:sz="8" w:space="0"/>
              <w:left w:val="single" w:color="000000" w:sz="2" w:space="0"/>
              <w:bottom w:val="single" w:color="000000" w:sz="8" w:space="0"/>
              <w:right w:val="single" w:color="000000" w:sz="8" w:space="0"/>
            </w:tcBorders>
            <w:vAlign w:val="center"/>
          </w:tcPr>
          <w:p w14:paraId="1F2DCE12">
            <w:pPr>
              <w:spacing w:line="360" w:lineRule="auto"/>
              <w:rPr>
                <w:rFonts w:cs="仿宋" w:asciiTheme="majorEastAsia" w:hAnsiTheme="majorEastAsia" w:eastAsiaTheme="majorEastAsia"/>
                <w:color w:val="auto"/>
                <w:sz w:val="24"/>
                <w:szCs w:val="20"/>
                <w:highlight w:val="none"/>
              </w:rPr>
            </w:pPr>
            <w:r>
              <w:rPr>
                <w:rFonts w:hint="eastAsia" w:cs="仿宋" w:asciiTheme="majorEastAsia" w:hAnsiTheme="majorEastAsia" w:eastAsiaTheme="majorEastAsia"/>
                <w:color w:val="auto"/>
                <w:sz w:val="24"/>
                <w:szCs w:val="20"/>
                <w:highlight w:val="none"/>
              </w:rPr>
              <w:t>不组织。</w:t>
            </w:r>
          </w:p>
        </w:tc>
      </w:tr>
      <w:tr w14:paraId="2010D8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4F7D0AF">
            <w:pP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A45277C">
            <w:pP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样品提供</w:t>
            </w:r>
          </w:p>
        </w:tc>
        <w:tc>
          <w:tcPr>
            <w:tcW w:w="6662" w:type="dxa"/>
            <w:tcBorders>
              <w:top w:val="single" w:color="000000" w:sz="8" w:space="0"/>
              <w:left w:val="single" w:color="000000" w:sz="2" w:space="0"/>
              <w:bottom w:val="single" w:color="000000" w:sz="8" w:space="0"/>
              <w:right w:val="single" w:color="000000" w:sz="8" w:space="0"/>
            </w:tcBorders>
            <w:vAlign w:val="center"/>
          </w:tcPr>
          <w:p w14:paraId="3A50D238">
            <w:pPr>
              <w:spacing w:line="360" w:lineRule="auto"/>
              <w:rPr>
                <w:rFonts w:cs="仿宋" w:asciiTheme="majorEastAsia" w:hAnsiTheme="majorEastAsia" w:eastAsiaTheme="minorEastAsia"/>
                <w:color w:val="auto"/>
                <w:sz w:val="24"/>
                <w:highlight w:val="none"/>
              </w:rPr>
            </w:pPr>
            <w:r>
              <w:rPr>
                <w:rFonts w:hint="eastAsia" w:cs="仿宋" w:asciiTheme="majorEastAsia" w:hAnsiTheme="majorEastAsia" w:eastAsiaTheme="majorEastAsia"/>
                <w:color w:val="auto"/>
                <w:kern w:val="0"/>
                <w:sz w:val="24"/>
                <w:highlight w:val="none"/>
              </w:rPr>
              <w:t>不</w:t>
            </w:r>
            <w:r>
              <w:rPr>
                <w:rFonts w:hint="eastAsia" w:cs="仿宋" w:asciiTheme="minorEastAsia" w:hAnsiTheme="minorEastAsia" w:eastAsiaTheme="minorEastAsia"/>
                <w:color w:val="auto"/>
                <w:kern w:val="0"/>
                <w:sz w:val="24"/>
                <w:highlight w:val="none"/>
              </w:rPr>
              <w:t>要求提供，</w:t>
            </w:r>
          </w:p>
        </w:tc>
      </w:tr>
      <w:tr w14:paraId="407F31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0C56D28">
            <w:pP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7</w:t>
            </w:r>
          </w:p>
        </w:tc>
        <w:tc>
          <w:tcPr>
            <w:tcW w:w="1843" w:type="dxa"/>
            <w:tcBorders>
              <w:top w:val="single" w:color="000000" w:sz="8" w:space="0"/>
              <w:left w:val="single" w:color="000000" w:sz="2" w:space="0"/>
              <w:bottom w:val="single" w:color="000000" w:sz="8" w:space="0"/>
              <w:right w:val="single" w:color="000000" w:sz="8" w:space="0"/>
            </w:tcBorders>
            <w:vAlign w:val="center"/>
          </w:tcPr>
          <w:p w14:paraId="51A1700A">
            <w:pPr>
              <w:snapToGrid w:val="0"/>
              <w:spacing w:line="360" w:lineRule="auto"/>
              <w:jc w:val="center"/>
              <w:rPr>
                <w:rFonts w:cs="仿宋" w:asciiTheme="majorEastAsia" w:hAnsiTheme="majorEastAsia" w:eastAsiaTheme="majorEastAsia"/>
                <w:bCs/>
                <w:color w:val="auto"/>
                <w:sz w:val="24"/>
                <w:highlight w:val="none"/>
              </w:rPr>
            </w:pPr>
            <w:r>
              <w:rPr>
                <w:rFonts w:hint="eastAsia" w:cs="仿宋" w:asciiTheme="majorEastAsia" w:hAnsiTheme="majorEastAsia" w:eastAsiaTheme="majorEastAsia"/>
                <w:b/>
                <w:color w:val="auto"/>
                <w:sz w:val="24"/>
                <w:highlight w:val="none"/>
              </w:rPr>
              <w:t>方案讲解演示</w:t>
            </w:r>
          </w:p>
        </w:tc>
        <w:tc>
          <w:tcPr>
            <w:tcW w:w="6662" w:type="dxa"/>
            <w:tcBorders>
              <w:top w:val="single" w:color="000000" w:sz="8" w:space="0"/>
              <w:left w:val="single" w:color="000000" w:sz="2" w:space="0"/>
              <w:bottom w:val="single" w:color="000000" w:sz="8" w:space="0"/>
              <w:right w:val="single" w:color="000000" w:sz="8" w:space="0"/>
            </w:tcBorders>
            <w:vAlign w:val="center"/>
          </w:tcPr>
          <w:p w14:paraId="4C604163">
            <w:pPr>
              <w:spacing w:line="360" w:lineRule="auto"/>
              <w:rPr>
                <w:color w:val="auto"/>
                <w:highlight w:val="none"/>
              </w:rPr>
            </w:pPr>
            <w:r>
              <w:rPr>
                <w:rFonts w:hint="eastAsia" w:cs="仿宋" w:asciiTheme="majorEastAsia" w:hAnsiTheme="majorEastAsia" w:eastAsiaTheme="majorEastAsia"/>
                <w:color w:val="auto"/>
                <w:sz w:val="24"/>
                <w:highlight w:val="none"/>
              </w:rPr>
              <w:t>不组织。</w:t>
            </w:r>
          </w:p>
        </w:tc>
      </w:tr>
      <w:tr w14:paraId="491B9A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327BDEF">
            <w:pP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288BE267">
            <w:pP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是否允许采购进口产品</w:t>
            </w:r>
          </w:p>
        </w:tc>
        <w:tc>
          <w:tcPr>
            <w:tcW w:w="6662" w:type="dxa"/>
            <w:tcBorders>
              <w:top w:val="single" w:color="000000" w:sz="8" w:space="0"/>
              <w:left w:val="single" w:color="000000" w:sz="2" w:space="0"/>
              <w:bottom w:val="single" w:color="000000" w:sz="8" w:space="0"/>
              <w:right w:val="single" w:color="000000" w:sz="8" w:space="0"/>
            </w:tcBorders>
            <w:vAlign w:val="center"/>
          </w:tcPr>
          <w:p w14:paraId="086B1F5C">
            <w:pPr>
              <w:spacing w:line="360" w:lineRule="auto"/>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本项目不允许采购进口产品。</w:t>
            </w:r>
          </w:p>
        </w:tc>
      </w:tr>
      <w:tr w14:paraId="27D54F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6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3BD01CB">
            <w:pP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96330AA">
            <w:pP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项目属性与核心产品</w:t>
            </w:r>
          </w:p>
        </w:tc>
        <w:tc>
          <w:tcPr>
            <w:tcW w:w="6662" w:type="dxa"/>
            <w:tcBorders>
              <w:top w:val="single" w:color="000000" w:sz="8" w:space="0"/>
              <w:left w:val="single" w:color="000000" w:sz="2" w:space="0"/>
              <w:bottom w:val="single" w:color="000000" w:sz="8" w:space="0"/>
              <w:right w:val="single" w:color="000000" w:sz="8" w:space="0"/>
            </w:tcBorders>
            <w:vAlign w:val="center"/>
          </w:tcPr>
          <w:p w14:paraId="4053A046">
            <w:pPr>
              <w:spacing w:line="360" w:lineRule="auto"/>
              <w:rPr>
                <w:rFonts w:cs="仿宋" w:asciiTheme="majorEastAsia" w:hAnsiTheme="majorEastAsia" w:eastAsiaTheme="majorEastAsia"/>
                <w:color w:val="auto"/>
                <w:sz w:val="24"/>
                <w:highlight w:val="none"/>
              </w:rPr>
            </w:pPr>
            <w:r>
              <w:rPr>
                <w:rFonts w:cs="仿宋" w:asciiTheme="majorEastAsia" w:hAnsiTheme="majorEastAsia" w:eastAsiaTheme="majorEastAsia"/>
                <w:color w:val="auto"/>
                <w:kern w:val="0"/>
                <w:sz w:val="24"/>
                <w:highlight w:val="none"/>
              </w:rPr>
              <w:t></w:t>
            </w:r>
            <w:r>
              <w:rPr>
                <w:rFonts w:hint="eastAsia" w:cs="仿宋" w:asciiTheme="majorEastAsia" w:hAnsiTheme="majorEastAsia" w:eastAsiaTheme="majorEastAsia"/>
                <w:color w:val="auto"/>
                <w:sz w:val="24"/>
                <w:highlight w:val="none"/>
              </w:rPr>
              <w:t>货物类，单一产品或</w:t>
            </w:r>
            <w:r>
              <w:rPr>
                <w:rFonts w:hint="eastAsia" w:cs="仿宋" w:asciiTheme="majorEastAsia" w:hAnsiTheme="majorEastAsia" w:eastAsiaTheme="majorEastAsia"/>
                <w:color w:val="auto"/>
                <w:kern w:val="0"/>
                <w:sz w:val="24"/>
                <w:highlight w:val="none"/>
              </w:rPr>
              <w:t>核心产品为：</w:t>
            </w:r>
            <w:r>
              <w:rPr>
                <w:rFonts w:hint="eastAsia" w:cs="仿宋" w:asciiTheme="majorEastAsia" w:hAnsiTheme="majorEastAsia" w:eastAsiaTheme="majorEastAsia"/>
                <w:color w:val="auto"/>
                <w:kern w:val="0"/>
                <w:sz w:val="24"/>
                <w:highlight w:val="none"/>
                <w:u w:val="single"/>
              </w:rPr>
              <w:t>空气源热泵机组、单晶硅电池组件</w:t>
            </w:r>
            <w:r>
              <w:rPr>
                <w:rFonts w:hint="eastAsia" w:cs="仿宋" w:asciiTheme="majorEastAsia" w:hAnsiTheme="majorEastAsia" w:eastAsiaTheme="majorEastAsia"/>
                <w:color w:val="auto"/>
                <w:sz w:val="24"/>
                <w:highlight w:val="none"/>
              </w:rPr>
              <w:t>。</w:t>
            </w:r>
          </w:p>
          <w:p w14:paraId="0979277F">
            <w:pP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rPr>
              <w:t>多家</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提供相同品牌产品（单一产品采购项目中的该产品或者非单一产品采购项目的核心产品）且通过资格审查、符合性审查的不同</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参加同一合同项下投标的，按一家</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计算，评审后得分最高的同品牌</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获得中标人推荐资格；评审得分相同的，报价评审得分最高的同品牌</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获得中标人推荐资格；评审得分和报价评审得分均相同的，由采购人或评标委员会采取随机抽取方式确定，其他同品牌</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不作为中标候选人。</w:t>
            </w:r>
          </w:p>
        </w:tc>
      </w:tr>
      <w:tr w14:paraId="258FDD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7710498">
            <w:pP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0A74F67">
            <w:pP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采购标的对应的中小企业划分标准所属行业</w:t>
            </w:r>
          </w:p>
        </w:tc>
        <w:tc>
          <w:tcPr>
            <w:tcW w:w="6662" w:type="dxa"/>
            <w:tcBorders>
              <w:top w:val="single" w:color="000000" w:sz="8" w:space="0"/>
              <w:left w:val="single" w:color="000000" w:sz="2" w:space="0"/>
              <w:bottom w:val="single" w:color="000000" w:sz="8" w:space="0"/>
              <w:right w:val="single" w:color="000000" w:sz="8" w:space="0"/>
            </w:tcBorders>
            <w:vAlign w:val="center"/>
          </w:tcPr>
          <w:p w14:paraId="1A7636E7">
            <w:pPr>
              <w:snapToGrid w:val="0"/>
              <w:spacing w:line="360" w:lineRule="auto"/>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标的：</w:t>
            </w:r>
            <w:r>
              <w:rPr>
                <w:rFonts w:hint="eastAsia" w:cs="仿宋" w:asciiTheme="majorEastAsia" w:hAnsiTheme="majorEastAsia" w:eastAsiaTheme="majorEastAsia"/>
                <w:color w:val="auto"/>
                <w:kern w:val="0"/>
                <w:sz w:val="24"/>
                <w:highlight w:val="none"/>
                <w:u w:val="single"/>
              </w:rPr>
              <w:t>详见“采购清单”</w:t>
            </w:r>
            <w:r>
              <w:rPr>
                <w:rFonts w:hint="eastAsia" w:cs="仿宋" w:asciiTheme="majorEastAsia" w:hAnsiTheme="majorEastAsia" w:eastAsiaTheme="majorEastAsia"/>
                <w:color w:val="auto"/>
                <w:kern w:val="0"/>
                <w:sz w:val="24"/>
                <w:highlight w:val="none"/>
              </w:rPr>
              <w:t>，属于</w:t>
            </w:r>
            <w:r>
              <w:rPr>
                <w:rFonts w:hint="eastAsia" w:cs="仿宋" w:asciiTheme="majorEastAsia" w:hAnsiTheme="majorEastAsia" w:eastAsiaTheme="majorEastAsia"/>
                <w:color w:val="auto"/>
                <w:kern w:val="0"/>
                <w:sz w:val="24"/>
                <w:highlight w:val="none"/>
                <w:u w:val="single"/>
              </w:rPr>
              <w:t>工业</w:t>
            </w:r>
            <w:r>
              <w:rPr>
                <w:rFonts w:hint="eastAsia" w:cs="仿宋" w:asciiTheme="majorEastAsia" w:hAnsiTheme="majorEastAsia" w:eastAsiaTheme="majorEastAsia"/>
                <w:color w:val="auto"/>
                <w:kern w:val="0"/>
                <w:sz w:val="24"/>
                <w:highlight w:val="none"/>
              </w:rPr>
              <w:t>行业；</w:t>
            </w:r>
          </w:p>
        </w:tc>
      </w:tr>
      <w:tr w14:paraId="27611B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tcBorders>
              <w:top w:val="single" w:color="auto" w:sz="4" w:space="0"/>
              <w:left w:val="single" w:color="000000" w:sz="8" w:space="0"/>
              <w:right w:val="single" w:color="000000" w:sz="2" w:space="0"/>
            </w:tcBorders>
          </w:tcPr>
          <w:p w14:paraId="318C258A">
            <w:pPr>
              <w:snapToGrid w:val="0"/>
              <w:spacing w:line="360" w:lineRule="auto"/>
              <w:rPr>
                <w:rFonts w:cs="仿宋" w:asciiTheme="majorEastAsia" w:hAnsiTheme="majorEastAsia" w:eastAsiaTheme="majorEastAsia"/>
                <w:color w:val="auto"/>
                <w:sz w:val="24"/>
                <w:highlight w:val="none"/>
              </w:rPr>
            </w:pPr>
          </w:p>
          <w:p w14:paraId="47E96640">
            <w:pP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43C222A2">
            <w:pP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中标服务费</w:t>
            </w:r>
          </w:p>
        </w:tc>
        <w:tc>
          <w:tcPr>
            <w:tcW w:w="6662" w:type="dxa"/>
            <w:tcBorders>
              <w:top w:val="single" w:color="000000" w:sz="8" w:space="0"/>
              <w:left w:val="single" w:color="000000" w:sz="2" w:space="0"/>
              <w:bottom w:val="single" w:color="000000" w:sz="8" w:space="0"/>
              <w:right w:val="single" w:color="000000" w:sz="8" w:space="0"/>
            </w:tcBorders>
            <w:vAlign w:val="center"/>
          </w:tcPr>
          <w:p w14:paraId="53039EDD">
            <w:pPr>
              <w:spacing w:line="360" w:lineRule="auto"/>
              <w:rPr>
                <w:rFonts w:cs="仿宋" w:asciiTheme="majorEastAsia" w:hAnsiTheme="majorEastAsia" w:eastAsiaTheme="majorEastAsia"/>
                <w:snapToGrid w:val="0"/>
                <w:color w:val="auto"/>
                <w:kern w:val="28"/>
                <w:sz w:val="24"/>
                <w:highlight w:val="none"/>
              </w:rPr>
            </w:pPr>
            <w:r>
              <w:rPr>
                <w:rFonts w:hint="eastAsia" w:ascii="宋体" w:hAnsi="宋体" w:cs="宋体"/>
                <w:color w:val="auto"/>
                <w:sz w:val="24"/>
                <w:highlight w:val="none"/>
              </w:rPr>
              <w:t>本项目中标服务费</w:t>
            </w:r>
            <w:r>
              <w:rPr>
                <w:rFonts w:hint="eastAsia" w:ascii="宋体" w:hAnsi="宋体" w:cs="宋体"/>
                <w:color w:val="auto"/>
                <w:sz w:val="24"/>
                <w:highlight w:val="none"/>
                <w:u w:val="single"/>
              </w:rPr>
              <w:t xml:space="preserve"> 20520 </w:t>
            </w:r>
            <w:r>
              <w:rPr>
                <w:rFonts w:hint="eastAsia" w:ascii="宋体" w:hAnsi="宋体" w:cs="宋体"/>
                <w:color w:val="auto"/>
                <w:sz w:val="24"/>
                <w:highlight w:val="none"/>
              </w:rPr>
              <w:t>元，中标人应在本公司发出中标通知书5个工作日内向本招标公司支付招标服务费。招标服务费只收现金、银行票汇款、电汇款。</w:t>
            </w:r>
          </w:p>
        </w:tc>
      </w:tr>
    </w:tbl>
    <w:p w14:paraId="601940A1">
      <w:pPr>
        <w:snapToGrid w:val="0"/>
        <w:spacing w:line="360" w:lineRule="auto"/>
        <w:jc w:val="center"/>
        <w:rPr>
          <w:rFonts w:cs="仿宋" w:asciiTheme="majorEastAsia" w:hAnsiTheme="majorEastAsia" w:eastAsiaTheme="majorEastAsia"/>
          <w:b/>
          <w:color w:val="auto"/>
          <w:sz w:val="32"/>
          <w:szCs w:val="20"/>
          <w:highlight w:val="none"/>
        </w:rPr>
      </w:pPr>
    </w:p>
    <w:bookmarkEnd w:id="10"/>
    <w:p w14:paraId="6BB5F109">
      <w:pPr>
        <w:rPr>
          <w:rFonts w:cs="仿宋" w:asciiTheme="majorEastAsia" w:hAnsiTheme="majorEastAsia" w:eastAsiaTheme="majorEastAsia"/>
          <w:b/>
          <w:color w:val="auto"/>
          <w:sz w:val="32"/>
          <w:szCs w:val="20"/>
          <w:highlight w:val="none"/>
        </w:rPr>
      </w:pPr>
      <w:bookmarkStart w:id="11" w:name="第三部分"/>
      <w:bookmarkStart w:id="12" w:name="_Toc164416483"/>
      <w:r>
        <w:rPr>
          <w:rFonts w:hint="eastAsia" w:cs="仿宋" w:asciiTheme="majorEastAsia" w:hAnsiTheme="majorEastAsia" w:eastAsiaTheme="majorEastAsia"/>
          <w:b/>
          <w:color w:val="auto"/>
          <w:sz w:val="32"/>
          <w:szCs w:val="20"/>
          <w:highlight w:val="none"/>
        </w:rPr>
        <w:br w:type="page"/>
      </w:r>
    </w:p>
    <w:p w14:paraId="73339E62">
      <w:pPr>
        <w:spacing w:line="360" w:lineRule="auto"/>
        <w:ind w:firstLine="3845" w:firstLineChars="1197"/>
        <w:outlineLvl w:val="0"/>
        <w:rPr>
          <w:rFonts w:cs="仿宋" w:asciiTheme="majorEastAsia" w:hAnsiTheme="majorEastAsia" w:eastAsiaTheme="majorEastAsia"/>
          <w:b/>
          <w:color w:val="auto"/>
          <w:sz w:val="32"/>
          <w:szCs w:val="20"/>
          <w:highlight w:val="none"/>
        </w:rPr>
      </w:pPr>
      <w:r>
        <w:rPr>
          <w:rFonts w:hint="eastAsia" w:cs="仿宋" w:asciiTheme="majorEastAsia" w:hAnsiTheme="majorEastAsia" w:eastAsiaTheme="majorEastAsia"/>
          <w:b/>
          <w:color w:val="auto"/>
          <w:sz w:val="32"/>
          <w:szCs w:val="20"/>
          <w:highlight w:val="none"/>
        </w:rPr>
        <w:t>一、总则</w:t>
      </w:r>
    </w:p>
    <w:p w14:paraId="6E5AA971">
      <w:pPr>
        <w:numPr>
          <w:ilvl w:val="0"/>
          <w:numId w:val="1"/>
        </w:numP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适用范围</w:t>
      </w:r>
    </w:p>
    <w:p w14:paraId="76FD9651">
      <w:pPr>
        <w:snapToGrid w:val="0"/>
        <w:spacing w:line="360" w:lineRule="auto"/>
        <w:ind w:firstLine="480" w:firstLineChars="200"/>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本招标文件适用于该项目的招标、投标、开标、资格审查及信用信息查询、评标、定标、合同、验收等行为（法律、法规另有规定的，从其规定）。</w:t>
      </w:r>
    </w:p>
    <w:p w14:paraId="1247413F">
      <w:pPr>
        <w:numPr>
          <w:ilvl w:val="0"/>
          <w:numId w:val="1"/>
        </w:numP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定义</w:t>
      </w:r>
    </w:p>
    <w:p w14:paraId="76943086">
      <w:pP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2.1 “采购人”系指招标公告中载明的本项目的采购人。</w:t>
      </w:r>
    </w:p>
    <w:p w14:paraId="261448D6">
      <w:pP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2.2 “采购代理机构”系指招标公告中载明的本项目的采购代理机构。</w:t>
      </w:r>
    </w:p>
    <w:p w14:paraId="5986A330">
      <w:pP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2.3 “</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”系指是指响应招标、参加投标竞争的法人、其他组织或者自然人。</w:t>
      </w:r>
    </w:p>
    <w:p w14:paraId="5C956494">
      <w:pP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2.4 “负责人”系指法人企业的法定负责人，或其他组织为法律、行政法规规定代表单位行使职权的主要负责人，或自然人本人。</w:t>
      </w:r>
    </w:p>
    <w:p w14:paraId="10B3558B">
      <w:pP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2.5“电子签名”系指数据电文中以电子形式所含、所附用于识别签名人身份并表明签名人认可其中内容的数据；“公章”系指单位法定名称章。</w:t>
      </w:r>
    </w:p>
    <w:p w14:paraId="6872B895">
      <w:pP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2.6“电子交易平台”是指本项目采购活动所依托的采购云平台（https://www.lecaiyun.com/）。</w:t>
      </w:r>
    </w:p>
    <w:p w14:paraId="1D8EFF83">
      <w:pP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2.7 “▲” 系指实质性要求条款，“</w:t>
      </w:r>
      <w:r>
        <w:rPr>
          <w:rFonts w:ascii="Wingdings" w:hAnsi="Wingdings" w:eastAsia="仿宋" w:cs="仿宋"/>
          <w:color w:val="auto"/>
          <w:kern w:val="0"/>
          <w:sz w:val="24"/>
          <w:highlight w:val="none"/>
        </w:rPr>
        <w:t></w:t>
      </w:r>
      <w:r>
        <w:rPr>
          <w:rFonts w:hint="eastAsia" w:cs="仿宋" w:asciiTheme="majorEastAsia" w:hAnsiTheme="majorEastAsia" w:eastAsiaTheme="majorEastAsia"/>
          <w:color w:val="auto"/>
          <w:sz w:val="24"/>
          <w:highlight w:val="none"/>
        </w:rPr>
        <w:t>” 系指适用本项目的要求，“</w:t>
      </w:r>
      <w:r>
        <w:rPr>
          <w:rFonts w:hint="eastAsia" w:ascii="MS Gothic" w:hAnsi="MS Gothic" w:eastAsia="MS Gothic" w:cs="MS Gothic"/>
          <w:color w:val="auto"/>
          <w:kern w:val="0"/>
          <w:sz w:val="24"/>
          <w:highlight w:val="none"/>
        </w:rPr>
        <w:t>☐</w:t>
      </w:r>
      <w:r>
        <w:rPr>
          <w:rFonts w:hint="eastAsia" w:cs="仿宋" w:asciiTheme="majorEastAsia" w:hAnsiTheme="majorEastAsia" w:eastAsiaTheme="majorEastAsia"/>
          <w:color w:val="auto"/>
          <w:sz w:val="24"/>
          <w:highlight w:val="none"/>
        </w:rPr>
        <w:t>” 系指不适用本项目的要求。</w:t>
      </w:r>
    </w:p>
    <w:p w14:paraId="138BD91A">
      <w:pPr>
        <w:numPr>
          <w:ilvl w:val="0"/>
          <w:numId w:val="1"/>
        </w:numP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采购项目需要落实的政府采购政策</w:t>
      </w:r>
    </w:p>
    <w:p w14:paraId="2C6EB530">
      <w:pP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3.1 本项目原则上采购本国生产的货物、工程和服务，不允许采购进口产品。除非采购人采购进口产品，已经在采购活动开始前向监管部门提出申请并获得监管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46C6E55D">
      <w:pP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3.2 支持节能产品</w:t>
      </w:r>
    </w:p>
    <w:p w14:paraId="387A7DC9">
      <w:pP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3.3支持中小企业发展</w:t>
      </w:r>
    </w:p>
    <w:p w14:paraId="0F7B3218">
      <w:pP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ACEAEFD">
      <w:pP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符合中小企业划分标准的个体工商户，在政府采购活动中视同中小企业。</w:t>
      </w:r>
    </w:p>
    <w:p w14:paraId="4E66795A">
      <w:pPr>
        <w:widowControl/>
        <w:spacing w:line="360" w:lineRule="auto"/>
        <w:ind w:firstLine="480" w:firstLineChars="200"/>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bCs/>
          <w:color w:val="auto"/>
          <w:sz w:val="24"/>
          <w:highlight w:val="none"/>
        </w:rPr>
        <w:t>3.3.2</w:t>
      </w:r>
      <w:r>
        <w:rPr>
          <w:rFonts w:hint="eastAsia" w:cs="仿宋" w:asciiTheme="majorEastAsia" w:hAnsiTheme="majorEastAsia" w:eastAsiaTheme="majorEastAsia"/>
          <w:color w:val="auto"/>
          <w:kern w:val="0"/>
          <w:sz w:val="24"/>
          <w:highlight w:val="none"/>
        </w:rPr>
        <w:t>在政府采购活动中，</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提供的货物、工程或者服务符合下列情形的，享受中小企业扶持政策：</w:t>
      </w:r>
    </w:p>
    <w:p w14:paraId="242D31EC">
      <w:pPr>
        <w:widowControl/>
        <w:spacing w:line="360" w:lineRule="auto"/>
        <w:ind w:firstLine="480" w:firstLineChars="200"/>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3.3.2.1在货物采购项目中，货物由中小企业制造，即货物由中小企业生产且使用该中小企业商号或者注册商标；</w:t>
      </w:r>
    </w:p>
    <w:p w14:paraId="44218049">
      <w:pPr>
        <w:widowControl/>
        <w:spacing w:line="360" w:lineRule="auto"/>
        <w:ind w:firstLine="480" w:firstLineChars="200"/>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3.3.2.2在工程采购项目中，工程由中小企业承建，即工程施工单位为中小企业；</w:t>
      </w:r>
    </w:p>
    <w:p w14:paraId="270B6AB6">
      <w:pPr>
        <w:widowControl/>
        <w:spacing w:line="360" w:lineRule="auto"/>
        <w:ind w:firstLine="480" w:firstLineChars="200"/>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3.3.2.3在服务采购项目中，服务由中小企业承接，即提供服务的人员为中小企业依照《中华人民共和国劳动合同法》订立劳动合同的从业人员。</w:t>
      </w:r>
    </w:p>
    <w:p w14:paraId="61E4D423">
      <w:pPr>
        <w:widowControl/>
        <w:spacing w:line="360" w:lineRule="auto"/>
        <w:ind w:firstLine="480" w:firstLineChars="200"/>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在货物采购项目中，</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提供的货物既有中小企业制造货物，也有大型企业制造货物的，不享受中小企业扶持政策。</w:t>
      </w:r>
    </w:p>
    <w:p w14:paraId="1BB1598A">
      <w:pPr>
        <w:widowControl/>
        <w:spacing w:line="360" w:lineRule="auto"/>
        <w:ind w:firstLine="480" w:firstLineChars="200"/>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以联合体形式参加政府采购活动，联合体各方均为中小企业的，联合体视同中小企业。其中，联合体各方均为小微企业的，联合体视同小微企业。</w:t>
      </w:r>
    </w:p>
    <w:p w14:paraId="105930CC">
      <w:pP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14:paraId="25A95B2E">
      <w:pP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3.3.4符合《关于促进残疾人就业政府采购政策的通知》（财库〔2017〕141号）规定的条件并提供《残疾人福利性单位声明函》的残疾人福利性单位视同小型、微型企业；</w:t>
      </w:r>
    </w:p>
    <w:p w14:paraId="7EA72A32">
      <w:pP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1361ECA">
      <w:pP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3.3.6可享受中小企业扶持政策的</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应按照招标文件格式要求提供《中小企业声明函》，</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提供的《中小企业声明函》与实际情况不符的，不享受中小企业扶持政策。声明内容不实的，属于提供虚假材料谋取中标、成交的，依法承担法律责任。</w:t>
      </w:r>
    </w:p>
    <w:p w14:paraId="4E351F58">
      <w:pP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3.3.7中小企业享受扶持政策获得政府采购合同的，小微企业不得将合同分包给大中型企业，中型企业不得将合同分包给大型企业。</w:t>
      </w:r>
    </w:p>
    <w:p w14:paraId="4403F015">
      <w:pPr>
        <w:numPr>
          <w:ilvl w:val="0"/>
          <w:numId w:val="1"/>
        </w:numP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特别说明</w:t>
      </w:r>
    </w:p>
    <w:p w14:paraId="62F71321">
      <w:pP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4.1关于分公司投标</w:t>
      </w:r>
    </w:p>
    <w:p w14:paraId="5B79DC50">
      <w:pP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除银行、保险、石油石化、电力、电信等特殊行业外。法人的分支机构由于不能独立承担民事责任，不能以分支机构的身份参加政府采购，只能以法人身份参加。 </w:t>
      </w:r>
    </w:p>
    <w:p w14:paraId="17BCA584">
      <w:pP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4.2关于知识产权</w:t>
      </w:r>
    </w:p>
    <w:p w14:paraId="3DF0D473">
      <w:pP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4.2.1 </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必须保证，采购人在中华人民共和国境内使用投标货物、资料、技术、服务或其任何一部分时，享有不受限制的无偿使用权，如有第三方向采购人提出侵犯其专利权、商标权或其它知识产权的主张，该责任应由</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承担。</w:t>
      </w:r>
    </w:p>
    <w:p w14:paraId="1792A8B3">
      <w:pP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4.2.2 投标报价应包含所有应向所有权人支付的专利权、商标权或其它知识产权的一切相关费用。</w:t>
      </w:r>
    </w:p>
    <w:p w14:paraId="6CBBBE53">
      <w:pP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4.2.3 系统软件、通用软件必须是具有在中国境内的合法使用权或版权的正版软件，涉及到第三方提出侵权或知识产权的起诉及支付版税等费用由</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承担所有责任及费用。</w:t>
      </w:r>
    </w:p>
    <w:p w14:paraId="43A3DEAF">
      <w:pP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4.3</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的风险</w:t>
      </w:r>
    </w:p>
    <w:p w14:paraId="7D1035D9">
      <w:pP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4.3.1 </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应详细阅读招标文件中的全部内容和要求，按照招标文件的要求提交投标文件，没有按照招标文件要求提供投标文件和资料导致的风险由</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承担,并对所提供的全部资料的真实性承担法律责任。</w:t>
      </w:r>
    </w:p>
    <w:p w14:paraId="4A0CE987">
      <w:pP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4.3.2 无论因何种原因导致本次采购活动终止致</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损失的，相关责任人均不承担任何责任。</w:t>
      </w:r>
    </w:p>
    <w:p w14:paraId="6090D9FE">
      <w:pPr>
        <w:numPr>
          <w:ilvl w:val="0"/>
          <w:numId w:val="1"/>
        </w:numP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询问、质疑、投诉</w:t>
      </w:r>
    </w:p>
    <w:p w14:paraId="5B3E11F5">
      <w:pP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.1供应商询问</w:t>
      </w:r>
    </w:p>
    <w:p w14:paraId="7AA2A963">
      <w:pP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68A0605">
      <w:pP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.2供应商质疑</w:t>
      </w:r>
    </w:p>
    <w:p w14:paraId="684259B6">
      <w:pP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w:t>
      </w:r>
      <w:r>
        <w:rPr>
          <w:rFonts w:hint="eastAsia" w:cs="仿宋" w:asciiTheme="majorEastAsia" w:hAnsiTheme="majorEastAsia" w:eastAsiaTheme="majorEastAsia"/>
          <w:color w:val="auto"/>
          <w:sz w:val="24"/>
          <w:highlight w:val="none"/>
        </w:rPr>
        <w:t>.1提出质疑的供应商应当是参与所质疑项目采购活动的供应商。潜在供应商已依法获取其可质疑的招标文件的，可以对该文件提出质疑。</w:t>
      </w:r>
    </w:p>
    <w:p w14:paraId="7D44240B">
      <w:pP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w:t>
      </w:r>
      <w:r>
        <w:rPr>
          <w:rFonts w:hint="eastAsia" w:cs="仿宋" w:asciiTheme="majorEastAsia" w:hAnsiTheme="majorEastAsia" w:eastAsiaTheme="majorEastAsia"/>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84652E4">
      <w:pP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5.2.2.1对招标文件提出质疑的，质疑期限为供应商获得招标文件之日或者招标文件公告期限届满之日起计算。</w:t>
      </w:r>
    </w:p>
    <w:p w14:paraId="0ED429AE">
      <w:pP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5.2.2.2对采购过程提出质疑的，质疑期限为各采购程序环节结束之日起计算。</w:t>
      </w:r>
    </w:p>
    <w:p w14:paraId="2BA0CA12">
      <w:pP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5.2.2.3对采购结果提出质疑的，质疑期限自采购结果公告期限届满之日起计算。</w:t>
      </w:r>
    </w:p>
    <w:p w14:paraId="212C460A">
      <w:pP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5.2.2.4对同一采购程序环节的质疑，供应商须一次性提出。</w:t>
      </w:r>
    </w:p>
    <w:p w14:paraId="37AFCB7F">
      <w:pP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.2.3</w:t>
      </w:r>
      <w:r>
        <w:rPr>
          <w:rFonts w:hint="eastAsia" w:cs="仿宋" w:asciiTheme="majorEastAsia" w:hAnsiTheme="majorEastAsia" w:eastAsiaTheme="majorEastAsia"/>
          <w:color w:val="auto"/>
          <w:sz w:val="24"/>
          <w:highlight w:val="none"/>
        </w:rPr>
        <w:t>供应商提出质疑应当提交质疑函和必要的证明材料。质疑函应当包括下列内容：</w:t>
      </w:r>
    </w:p>
    <w:p w14:paraId="763D0CF4">
      <w:pP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.2.3.1供应商的姓名或者名称、地址、邮编、联系人及联系电话；</w:t>
      </w:r>
    </w:p>
    <w:p w14:paraId="46A89EAF">
      <w:pP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.2.3.2质疑项目的名称、编号；</w:t>
      </w:r>
    </w:p>
    <w:p w14:paraId="76D2B63D">
      <w:pP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.2.3.3具体、明确的质疑事项和与质疑事项相关的请求；</w:t>
      </w:r>
    </w:p>
    <w:p w14:paraId="4F3C63F9">
      <w:pP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.2.3.4事实依据；</w:t>
      </w:r>
    </w:p>
    <w:p w14:paraId="4876D57D">
      <w:pP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.2.3.5必要的法律依据；</w:t>
      </w:r>
    </w:p>
    <w:p w14:paraId="2E7873CF">
      <w:pP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.2.3.6提出质疑的日期。</w:t>
      </w:r>
    </w:p>
    <w:p w14:paraId="60B8C5CF">
      <w:pP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5.2.3.7对招标文件提出质疑的需要提供在乐采云平台获取招标文件的截图。</w:t>
      </w:r>
    </w:p>
    <w:p w14:paraId="31BAD5F5">
      <w:pP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293CB4FC">
      <w:pP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质疑函范本请到浙江企业采购信息服务网下载专区下载。</w:t>
      </w:r>
    </w:p>
    <w:p w14:paraId="367AE3B0">
      <w:pP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w:t>
      </w:r>
      <w:r>
        <w:rPr>
          <w:rFonts w:hint="eastAsia" w:cs="仿宋" w:asciiTheme="majorEastAsia" w:hAnsiTheme="majorEastAsia" w:eastAsiaTheme="majorEastAsia"/>
          <w:color w:val="auto"/>
          <w:sz w:val="24"/>
          <w:highlight w:val="none"/>
        </w:rPr>
        <w:t>.4采购人或者采购代理机构应当在收到供应商的书面质疑后七个工作日内作出答复，并以书面形式通知质疑供应商和其他与质疑处理结果有利害关系的政府采购当事人，但答复的内容不得涉及商业秘密。</w:t>
      </w:r>
    </w:p>
    <w:p w14:paraId="204F83E9">
      <w:pP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w:t>
      </w:r>
      <w:r>
        <w:rPr>
          <w:rFonts w:hint="eastAsia" w:cs="仿宋" w:asciiTheme="majorEastAsia" w:hAnsiTheme="majorEastAsia" w:eastAsiaTheme="majorEastAsia"/>
          <w:color w:val="auto"/>
          <w:sz w:val="24"/>
          <w:highlight w:val="none"/>
        </w:rPr>
        <w:t>.5询问或者质疑事项可能影响采购结果的，采购人应当暂停签订合同，已经签订合同的，应当中止履行合同。</w:t>
      </w:r>
    </w:p>
    <w:p w14:paraId="44846DEB">
      <w:pP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.3供应商投诉</w:t>
      </w:r>
    </w:p>
    <w:p w14:paraId="49FA5387">
      <w:pP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5.3.1质疑供应商对采购人、采购代理机构的答复不满意或者采购人、采购代理机构未在规定的时间内作出答复的，可以在答复期满后十五个工作日内向监督管理部门提出投诉。监督管理部门应当在收到投诉后三十个工作日内，对投诉事项作出处理决定，并以书面形式通知投诉人和与投诉事项有关的当事人。</w:t>
      </w:r>
    </w:p>
    <w:p w14:paraId="6A653E9E">
      <w:pP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5.3.2供应商投诉的事项不得超出已质疑事项的范围，基于质疑答复内容提出的投诉事项除外。</w:t>
      </w:r>
    </w:p>
    <w:p w14:paraId="7DA1AC55">
      <w:pP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5.3.3供应商投诉应当有明确的请求和必要的证明材料。</w:t>
      </w:r>
    </w:p>
    <w:p w14:paraId="3AA558EB">
      <w:pP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5.3.4 以联合体形式参加政府采购活动的，其投诉应当由组成联合体的所有供应商共同提出。</w:t>
      </w:r>
    </w:p>
    <w:p w14:paraId="196AA9DF">
      <w:pP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5.3.5投诉人对监督管理部门的投诉处理决定不服或监督管理部门逾期未作处理的，可以向区国资管理中心反映。供应商或相关利害关系人在采购过程中发现涉及违法违纪行为或造成国有资产损失的，可以向纪检监察部门和区国资管理中心反映。举报违法行为，应提供有效线索和证明材料。</w:t>
      </w:r>
    </w:p>
    <w:p w14:paraId="7EB55761">
      <w:pP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投诉书范本请到浙江企业采购信息服务网下载专区下载。</w:t>
      </w:r>
    </w:p>
    <w:p w14:paraId="512F79B7">
      <w:pPr>
        <w:spacing w:line="360" w:lineRule="auto"/>
        <w:jc w:val="center"/>
        <w:outlineLvl w:val="0"/>
        <w:rPr>
          <w:rFonts w:cs="仿宋" w:asciiTheme="majorEastAsia" w:hAnsiTheme="majorEastAsia" w:eastAsiaTheme="majorEastAsia"/>
          <w:b/>
          <w:color w:val="auto"/>
          <w:sz w:val="32"/>
          <w:szCs w:val="20"/>
          <w:highlight w:val="none"/>
        </w:rPr>
      </w:pPr>
      <w:r>
        <w:rPr>
          <w:rFonts w:hint="eastAsia" w:cs="仿宋" w:asciiTheme="majorEastAsia" w:hAnsiTheme="majorEastAsia" w:eastAsiaTheme="majorEastAsia"/>
          <w:b/>
          <w:color w:val="auto"/>
          <w:sz w:val="32"/>
          <w:szCs w:val="20"/>
          <w:highlight w:val="none"/>
        </w:rPr>
        <w:t xml:space="preserve">      二、招标文件的构成、澄清、修改</w:t>
      </w:r>
    </w:p>
    <w:p w14:paraId="1144241B">
      <w:pPr>
        <w:numPr>
          <w:ilvl w:val="0"/>
          <w:numId w:val="1"/>
        </w:numP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招标文件的构成</w:t>
      </w:r>
    </w:p>
    <w:p w14:paraId="59FDA59A">
      <w:pPr>
        <w:pStyle w:val="11"/>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6.1 招标文件包括下列文件及附件：</w:t>
      </w:r>
    </w:p>
    <w:p w14:paraId="6587BB67">
      <w:pPr>
        <w:pStyle w:val="11"/>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6.1.1 招标公告；</w:t>
      </w:r>
    </w:p>
    <w:p w14:paraId="31E87506">
      <w:pPr>
        <w:pStyle w:val="11"/>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 xml:space="preserve">6.1.2 </w:t>
      </w:r>
      <w:r>
        <w:rPr>
          <w:rFonts w:hint="eastAsia" w:cs="仿宋" w:asciiTheme="majorEastAsia" w:hAnsiTheme="majorEastAsia" w:eastAsiaTheme="majorEastAsia"/>
          <w:color w:val="auto"/>
          <w:sz w:val="24"/>
          <w:szCs w:val="24"/>
          <w:highlight w:val="none"/>
          <w:lang w:val="zh-CN"/>
        </w:rPr>
        <w:t>投标</w:t>
      </w:r>
      <w:r>
        <w:rPr>
          <w:rFonts w:hint="eastAsia" w:cs="仿宋" w:asciiTheme="majorEastAsia" w:hAnsiTheme="majorEastAsia" w:eastAsiaTheme="majorEastAsia"/>
          <w:color w:val="auto"/>
          <w:sz w:val="24"/>
          <w:szCs w:val="24"/>
          <w:highlight w:val="none"/>
        </w:rPr>
        <w:t>须知；</w:t>
      </w:r>
    </w:p>
    <w:p w14:paraId="21231602">
      <w:pPr>
        <w:pStyle w:val="11"/>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6.1.3 采购需求；</w:t>
      </w:r>
    </w:p>
    <w:p w14:paraId="12E6DD94">
      <w:pPr>
        <w:pStyle w:val="11"/>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6.1.4 评标办法；</w:t>
      </w:r>
    </w:p>
    <w:p w14:paraId="5D22CF98">
      <w:pPr>
        <w:pStyle w:val="11"/>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6.1.5 拟签订的合同文本；</w:t>
      </w:r>
    </w:p>
    <w:p w14:paraId="08936847">
      <w:pPr>
        <w:pStyle w:val="11"/>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6.1.6 应提交的有关格式范例。</w:t>
      </w:r>
    </w:p>
    <w:p w14:paraId="6CB82961">
      <w:pPr>
        <w:pStyle w:val="11"/>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6.1.7 附件（如有）</w:t>
      </w:r>
    </w:p>
    <w:p w14:paraId="4EC262A6">
      <w:pP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6.2与本项目有关的</w:t>
      </w:r>
      <w:r>
        <w:rPr>
          <w:rFonts w:hint="eastAsia" w:cs="仿宋" w:asciiTheme="majorEastAsia" w:hAnsiTheme="majorEastAsia" w:eastAsiaTheme="majorEastAsia"/>
          <w:bCs/>
          <w:color w:val="auto"/>
          <w:sz w:val="24"/>
          <w:highlight w:val="none"/>
        </w:rPr>
        <w:t>澄清或者修改的内容为招标文件的组成部分</w:t>
      </w:r>
      <w:r>
        <w:rPr>
          <w:rFonts w:hint="eastAsia" w:cs="仿宋" w:asciiTheme="majorEastAsia" w:hAnsiTheme="majorEastAsia" w:eastAsiaTheme="majorEastAsia"/>
          <w:color w:val="auto"/>
          <w:sz w:val="24"/>
          <w:highlight w:val="none"/>
        </w:rPr>
        <w:t>。</w:t>
      </w:r>
    </w:p>
    <w:p w14:paraId="0622F327">
      <w:pPr>
        <w:numPr>
          <w:ilvl w:val="0"/>
          <w:numId w:val="1"/>
        </w:numP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招标文件的澄清、修改</w:t>
      </w:r>
    </w:p>
    <w:p w14:paraId="7F9D8B52">
      <w:pP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7.1 采购人对招标文件进行必要的澄清或者修改的，在采购信息发布网站上发布更正公告。澄清或者修改的内容可能影响投标文件编制的，更正公告在投标截止时间至少15日前发出；不足15日的，顺延提交投标文件截止时间。</w:t>
      </w:r>
    </w:p>
    <w:p w14:paraId="75290160">
      <w:pP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7.2 更正公告为招标文件的组成部分，一经在网站发布，视同已通知所有招标文件的收受人，不再采用其它方式传达相关信息, 若因未能及时了解到上述网站上发布的相关信息而导致的一切后果自行承担。</w:t>
      </w:r>
    </w:p>
    <w:p w14:paraId="5A477C4A">
      <w:pP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7.3 如更正公告有重新发布电子招标文件的，</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应下载最新发布的电子招标文件制作投标文件。</w:t>
      </w:r>
    </w:p>
    <w:p w14:paraId="6DB9DA57">
      <w:pPr>
        <w:spacing w:line="360" w:lineRule="auto"/>
        <w:ind w:firstLine="480" w:firstLineChars="200"/>
        <w:rPr>
          <w:rFonts w:cs="仿宋" w:asciiTheme="majorEastAsia" w:hAnsiTheme="majorEastAsia" w:eastAsiaTheme="majorEastAsia"/>
          <w:b/>
          <w:color w:val="auto"/>
          <w:sz w:val="30"/>
          <w:szCs w:val="20"/>
          <w:highlight w:val="none"/>
        </w:rPr>
      </w:pPr>
      <w:r>
        <w:rPr>
          <w:rFonts w:hint="eastAsia" w:cs="仿宋" w:asciiTheme="majorEastAsia" w:hAnsiTheme="majorEastAsia" w:eastAsiaTheme="majorEastAsia"/>
          <w:color w:val="auto"/>
          <w:sz w:val="24"/>
          <w:highlight w:val="none"/>
        </w:rPr>
        <w:t>7.4 已获取招标文件的潜在</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，若有问题需要澄清，应于投标截止时间前，以书面形式向采购代理机构提出。</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在规定的时间内未对招标文件提出疑问、质疑或要求澄清的，将视其为无异议。对招标文件中描述有歧义或前后不一致的地方，评标委员会有权进行评判，但对同一条款的评判应适用于每个</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w:t>
      </w:r>
    </w:p>
    <w:p w14:paraId="448A2AC8">
      <w:pPr>
        <w:spacing w:line="360" w:lineRule="auto"/>
        <w:jc w:val="center"/>
        <w:outlineLvl w:val="0"/>
        <w:rPr>
          <w:rFonts w:cs="仿宋" w:asciiTheme="majorEastAsia" w:hAnsiTheme="majorEastAsia" w:eastAsiaTheme="majorEastAsia"/>
          <w:b/>
          <w:color w:val="auto"/>
          <w:sz w:val="30"/>
          <w:szCs w:val="20"/>
          <w:highlight w:val="none"/>
        </w:rPr>
      </w:pPr>
      <w:r>
        <w:rPr>
          <w:rFonts w:hint="eastAsia" w:cs="仿宋" w:asciiTheme="majorEastAsia" w:hAnsiTheme="majorEastAsia" w:eastAsiaTheme="majorEastAsia"/>
          <w:b/>
          <w:color w:val="auto"/>
          <w:sz w:val="30"/>
          <w:szCs w:val="20"/>
          <w:highlight w:val="none"/>
        </w:rPr>
        <w:t>三、投标</w:t>
      </w:r>
    </w:p>
    <w:p w14:paraId="37F35633">
      <w:pPr>
        <w:numPr>
          <w:ilvl w:val="0"/>
          <w:numId w:val="1"/>
        </w:numP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投标文件的语言</w:t>
      </w:r>
    </w:p>
    <w:p w14:paraId="54937594">
      <w:pPr>
        <w:autoSpaceDE w:val="0"/>
        <w:autoSpaceDN w:val="0"/>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投标文件及</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与采购有关的来往通知、函件和文件均应使用中文。</w:t>
      </w:r>
    </w:p>
    <w:p w14:paraId="5FD39DD9">
      <w:pPr>
        <w:numPr>
          <w:ilvl w:val="0"/>
          <w:numId w:val="1"/>
        </w:numP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投标文件的组成</w:t>
      </w:r>
    </w:p>
    <w:p w14:paraId="10276085">
      <w:pP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9.1 </w:t>
      </w:r>
      <w:r>
        <w:rPr>
          <w:rFonts w:hint="eastAsia" w:cs="仿宋" w:asciiTheme="majorEastAsia" w:hAnsiTheme="majorEastAsia" w:eastAsiaTheme="majorEastAsia"/>
          <w:b/>
          <w:color w:val="auto"/>
          <w:sz w:val="24"/>
          <w:highlight w:val="none"/>
        </w:rPr>
        <w:t>资格文件</w:t>
      </w:r>
      <w:r>
        <w:rPr>
          <w:rFonts w:hint="eastAsia" w:cs="仿宋" w:asciiTheme="majorEastAsia" w:hAnsiTheme="majorEastAsia" w:eastAsiaTheme="majorEastAsia"/>
          <w:color w:val="auto"/>
          <w:sz w:val="24"/>
          <w:highlight w:val="none"/>
        </w:rPr>
        <w:t>：</w:t>
      </w:r>
    </w:p>
    <w:p w14:paraId="4CD2265D">
      <w:pP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9.1.1有效的企业法人营业执照（或事业法人登记证）、其他组织（个体工商户）的营业执照或者民办非企业单位登记证书；</w:t>
      </w:r>
    </w:p>
    <w:p w14:paraId="37B43660">
      <w:pP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9.1.2符合参加政府采购活动应当具备的一般条件的承诺函(格式见第六部分)；</w:t>
      </w:r>
    </w:p>
    <w:p w14:paraId="3FF69E85">
      <w:pP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9.1.3落实政府采购政策需满足的资格要求（如适用）；</w:t>
      </w:r>
    </w:p>
    <w:p w14:paraId="273F0A38">
      <w:pP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9.1.4本项目的特定资格要求（如有）。</w:t>
      </w:r>
    </w:p>
    <w:p w14:paraId="3A6DFCB5">
      <w:pPr>
        <w:snapToGrid w:val="0"/>
        <w:spacing w:line="360" w:lineRule="auto"/>
        <w:ind w:firstLine="480" w:firstLineChars="200"/>
        <w:rPr>
          <w:rFonts w:cs="仿宋" w:asciiTheme="majorEastAsia" w:hAnsiTheme="majorEastAsia" w:eastAsiaTheme="majorEastAsia"/>
          <w:b/>
          <w:bCs/>
          <w:color w:val="auto"/>
          <w:sz w:val="24"/>
          <w:highlight w:val="none"/>
          <w:lang w:val="zh-CN"/>
        </w:rPr>
      </w:pPr>
      <w:r>
        <w:rPr>
          <w:rFonts w:hint="eastAsia" w:cs="仿宋" w:asciiTheme="majorEastAsia" w:hAnsiTheme="majorEastAsia" w:eastAsiaTheme="majorEastAsia"/>
          <w:color w:val="auto"/>
          <w:sz w:val="24"/>
          <w:highlight w:val="none"/>
        </w:rPr>
        <w:t>9</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 xml:space="preserve"> </w:t>
      </w:r>
      <w:r>
        <w:rPr>
          <w:rFonts w:hint="eastAsia" w:cs="仿宋" w:asciiTheme="majorEastAsia" w:hAnsiTheme="majorEastAsia" w:eastAsiaTheme="majorEastAsia"/>
          <w:b/>
          <w:bCs/>
          <w:color w:val="auto"/>
          <w:sz w:val="24"/>
          <w:highlight w:val="none"/>
        </w:rPr>
        <w:t>商务技术</w:t>
      </w:r>
      <w:r>
        <w:rPr>
          <w:rFonts w:hint="eastAsia" w:cs="仿宋" w:asciiTheme="majorEastAsia" w:hAnsiTheme="majorEastAsia" w:eastAsiaTheme="majorEastAsia"/>
          <w:b/>
          <w:bCs/>
          <w:color w:val="auto"/>
          <w:sz w:val="24"/>
          <w:highlight w:val="none"/>
          <w:lang w:val="zh-CN"/>
        </w:rPr>
        <w:t>文件：</w:t>
      </w:r>
    </w:p>
    <w:p w14:paraId="51DB0217">
      <w:pP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9.2.1 评分索引表</w:t>
      </w:r>
    </w:p>
    <w:p w14:paraId="087720FD">
      <w:pP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9.2.2 符合性自查表；</w:t>
      </w:r>
    </w:p>
    <w:p w14:paraId="5BE3310A">
      <w:pP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9.2.3 投标函；</w:t>
      </w:r>
      <w:r>
        <w:rPr>
          <w:rFonts w:hint="eastAsia" w:cs="仿宋" w:asciiTheme="majorEastAsia" w:hAnsiTheme="majorEastAsia" w:eastAsiaTheme="majorEastAsia"/>
          <w:color w:val="auto"/>
          <w:sz w:val="24"/>
          <w:highlight w:val="none"/>
          <w:lang w:val="zh-CN"/>
        </w:rPr>
        <w:t xml:space="preserve"> </w:t>
      </w:r>
    </w:p>
    <w:p w14:paraId="4ED0B886">
      <w:pP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9.2.4 授权委托书或法定代表人（单位负责人、自然人本人）身份证明；</w:t>
      </w:r>
    </w:p>
    <w:p w14:paraId="10422162">
      <w:pP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9.2.5 投标人基本情况表；</w:t>
      </w:r>
    </w:p>
    <w:p w14:paraId="7B994F78">
      <w:pP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9.2.6 距采购人最近或者能为本项目提供最优服务的网点情况表；</w:t>
      </w:r>
    </w:p>
    <w:p w14:paraId="5C727D95">
      <w:pP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7 评标标准相应的商务技术资料；</w:t>
      </w:r>
    </w:p>
    <w:p w14:paraId="460CEA59">
      <w:pP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9.2.8 商务响应表；</w:t>
      </w:r>
    </w:p>
    <w:p w14:paraId="5DD27795">
      <w:pP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9.2.9 技术响应表；</w:t>
      </w:r>
    </w:p>
    <w:p w14:paraId="4D07A90B">
      <w:pP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9.2.10 同类业绩情况一览表；</w:t>
      </w:r>
    </w:p>
    <w:p w14:paraId="21D79DC0">
      <w:pP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9.2.11</w:t>
      </w:r>
      <w:r>
        <w:rPr>
          <w:rFonts w:hint="eastAsia" w:cs="仿宋" w:asciiTheme="majorEastAsia" w:hAnsiTheme="majorEastAsia" w:eastAsiaTheme="majorEastAsia"/>
          <w:color w:val="auto"/>
          <w:sz w:val="24"/>
          <w:highlight w:val="none"/>
          <w:lang w:val="zh-CN"/>
        </w:rPr>
        <w:t>政府采购供应商廉洁自律承诺书；</w:t>
      </w:r>
    </w:p>
    <w:p w14:paraId="7E6987F7">
      <w:pP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9.2.12其他资料（如有）。</w:t>
      </w:r>
    </w:p>
    <w:p w14:paraId="5D8617CB">
      <w:pPr>
        <w:snapToGrid w:val="0"/>
        <w:spacing w:line="360" w:lineRule="auto"/>
        <w:ind w:firstLine="480" w:firstLineChars="200"/>
        <w:rPr>
          <w:rFonts w:cs="仿宋" w:asciiTheme="majorEastAsia" w:hAnsiTheme="majorEastAsia" w:eastAsiaTheme="majorEastAsia"/>
          <w:color w:val="auto"/>
          <w:sz w:val="24"/>
          <w:highlight w:val="none"/>
          <w:u w:val="single"/>
          <w:lang w:val="zh-CN"/>
        </w:rPr>
      </w:pPr>
      <w:r>
        <w:rPr>
          <w:rFonts w:hint="eastAsia" w:cs="仿宋" w:asciiTheme="majorEastAsia" w:hAnsiTheme="majorEastAsia" w:eastAsiaTheme="majorEastAsia"/>
          <w:color w:val="auto"/>
          <w:kern w:val="0"/>
          <w:sz w:val="24"/>
          <w:highlight w:val="none"/>
        </w:rPr>
        <w:t>9</w:t>
      </w:r>
      <w:r>
        <w:rPr>
          <w:rFonts w:hint="eastAsia" w:cs="仿宋" w:asciiTheme="majorEastAsia" w:hAnsiTheme="majorEastAsia" w:eastAsiaTheme="majorEastAsia"/>
          <w:color w:val="auto"/>
          <w:kern w:val="0"/>
          <w:sz w:val="24"/>
          <w:highlight w:val="none"/>
          <w:lang w:val="zh-CN"/>
        </w:rPr>
        <w:t>.</w:t>
      </w:r>
      <w:r>
        <w:rPr>
          <w:rFonts w:hint="eastAsia" w:cs="仿宋" w:asciiTheme="majorEastAsia" w:hAnsiTheme="majorEastAsia" w:eastAsiaTheme="majorEastAsia"/>
          <w:color w:val="auto"/>
          <w:kern w:val="0"/>
          <w:sz w:val="24"/>
          <w:highlight w:val="none"/>
        </w:rPr>
        <w:t xml:space="preserve">3 </w:t>
      </w:r>
      <w:r>
        <w:rPr>
          <w:rFonts w:hint="eastAsia" w:cs="仿宋" w:asciiTheme="majorEastAsia" w:hAnsiTheme="majorEastAsia" w:eastAsiaTheme="majorEastAsia"/>
          <w:b/>
          <w:color w:val="auto"/>
          <w:sz w:val="24"/>
          <w:highlight w:val="none"/>
        </w:rPr>
        <w:t>报价文件：</w:t>
      </w:r>
      <w:r>
        <w:rPr>
          <w:rFonts w:hint="eastAsia" w:cs="仿宋" w:asciiTheme="majorEastAsia" w:hAnsiTheme="majorEastAsia" w:eastAsiaTheme="majorEastAsia"/>
          <w:color w:val="auto"/>
          <w:sz w:val="24"/>
          <w:highlight w:val="none"/>
        </w:rPr>
        <w:t xml:space="preserve"> </w:t>
      </w:r>
    </w:p>
    <w:p w14:paraId="01724097">
      <w:pP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9.3.1 开标一览表；</w:t>
      </w:r>
    </w:p>
    <w:p w14:paraId="2D50AACD">
      <w:pP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9.3.2 投标报价明细表；</w:t>
      </w:r>
    </w:p>
    <w:p w14:paraId="76570D08">
      <w:pP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9.3.3 中小企业声明函（如有）；</w:t>
      </w:r>
    </w:p>
    <w:p w14:paraId="37B1CE75">
      <w:pP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9.3.4 残疾人福利性单位声明函（如有）；</w:t>
      </w:r>
    </w:p>
    <w:p w14:paraId="42C1B959">
      <w:pP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9.3.5 监狱企业的证明文件（如有）；</w:t>
      </w:r>
    </w:p>
    <w:p w14:paraId="71517810">
      <w:pP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9.3.6 政府采购统计基础信息表；</w:t>
      </w:r>
    </w:p>
    <w:p w14:paraId="19E4556F">
      <w:pP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9.3.7其他资料（如有）。</w:t>
      </w:r>
    </w:p>
    <w:p w14:paraId="3646E57E">
      <w:pPr>
        <w:numPr>
          <w:ilvl w:val="0"/>
          <w:numId w:val="1"/>
        </w:numP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投标文件的编制</w:t>
      </w:r>
    </w:p>
    <w:p w14:paraId="5521CFF4">
      <w:pPr>
        <w:spacing w:line="360" w:lineRule="auto"/>
        <w:ind w:firstLine="480" w:firstLineChars="200"/>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color w:val="auto"/>
          <w:kern w:val="0"/>
          <w:sz w:val="24"/>
          <w:highlight w:val="none"/>
          <w:lang w:val="zh-CN"/>
        </w:rPr>
        <w:t>1</w:t>
      </w:r>
      <w:r>
        <w:rPr>
          <w:rFonts w:hint="eastAsia" w:cs="仿宋" w:asciiTheme="majorEastAsia" w:hAnsiTheme="majorEastAsia" w:eastAsiaTheme="majorEastAsia"/>
          <w:color w:val="auto"/>
          <w:kern w:val="0"/>
          <w:sz w:val="24"/>
          <w:highlight w:val="none"/>
        </w:rPr>
        <w:t>0</w:t>
      </w:r>
      <w:r>
        <w:rPr>
          <w:rFonts w:hint="eastAsia" w:cs="仿宋" w:asciiTheme="majorEastAsia" w:hAnsiTheme="majorEastAsia" w:eastAsiaTheme="majorEastAsia"/>
          <w:color w:val="auto"/>
          <w:kern w:val="0"/>
          <w:sz w:val="24"/>
          <w:highlight w:val="none"/>
          <w:lang w:val="zh-CN"/>
        </w:rPr>
        <w:t>.1投标文件分为资格文件、商务技术文件、报价文件三部分。各供应商在编制投标文件时请按照招标文件第六部分规定的格式进行。</w:t>
      </w:r>
      <w:r>
        <w:rPr>
          <w:rFonts w:hint="eastAsia" w:cs="仿宋" w:asciiTheme="majorEastAsia" w:hAnsiTheme="majorEastAsia" w:eastAsiaTheme="majorEastAsia"/>
          <w:color w:val="auto"/>
          <w:kern w:val="0"/>
          <w:sz w:val="24"/>
          <w:highlight w:val="none"/>
        </w:rPr>
        <w:t>未有规定格式的资料，</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应自行编制，但至少须包含9.投标文件组成中的内容。</w:t>
      </w:r>
      <w:r>
        <w:rPr>
          <w:rFonts w:hint="eastAsia" w:cs="仿宋" w:asciiTheme="majorEastAsia" w:hAnsiTheme="majorEastAsia" w:eastAsiaTheme="majorEastAsia"/>
          <w:color w:val="auto"/>
          <w:kern w:val="0"/>
          <w:sz w:val="24"/>
          <w:highlight w:val="none"/>
          <w:lang w:val="zh-CN"/>
        </w:rPr>
        <w:t>混乱的编排导致投标文件被误读或评标委员会查找不到有效文件是供应商的风险。</w:t>
      </w:r>
    </w:p>
    <w:p w14:paraId="52C9460F">
      <w:pPr>
        <w:spacing w:line="360" w:lineRule="auto"/>
        <w:ind w:firstLine="480" w:firstLineChars="200"/>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rPr>
        <w:t>10.2</w:t>
      </w:r>
      <w:r>
        <w:rPr>
          <w:rFonts w:hint="eastAsia" w:cs="仿宋" w:asciiTheme="majorEastAsia" w:hAnsiTheme="majorEastAsia" w:eastAsiaTheme="majorEastAsia"/>
          <w:color w:val="auto"/>
          <w:kern w:val="0"/>
          <w:sz w:val="24"/>
          <w:highlight w:val="none"/>
          <w:lang w:val="zh-CN"/>
        </w:rPr>
        <w:t>供应商进行电子投标应安装客户端软件</w:t>
      </w:r>
      <w:r>
        <w:rPr>
          <w:rFonts w:hint="eastAsia" w:cs="仿宋" w:asciiTheme="majorEastAsia" w:hAnsiTheme="majorEastAsia" w:eastAsiaTheme="majorEastAsia"/>
          <w:color w:val="auto"/>
          <w:kern w:val="0"/>
          <w:sz w:val="24"/>
          <w:highlight w:val="none"/>
        </w:rPr>
        <w:t>—“乐</w:t>
      </w:r>
      <w:r>
        <w:rPr>
          <w:rFonts w:hint="eastAsia" w:cs="仿宋" w:asciiTheme="majorEastAsia" w:hAnsiTheme="majorEastAsia" w:eastAsiaTheme="majorEastAsia"/>
          <w:color w:val="auto"/>
          <w:kern w:val="0"/>
          <w:sz w:val="24"/>
          <w:highlight w:val="none"/>
          <w:lang w:val="zh-CN"/>
        </w:rPr>
        <w:t>采云电子交易客户端</w:t>
      </w:r>
      <w:r>
        <w:rPr>
          <w:rFonts w:hint="eastAsia" w:cs="仿宋" w:asciiTheme="majorEastAsia" w:hAnsiTheme="majorEastAsia" w:eastAsiaTheme="majorEastAsia"/>
          <w:color w:val="auto"/>
          <w:kern w:val="0"/>
          <w:sz w:val="24"/>
          <w:highlight w:val="none"/>
        </w:rPr>
        <w:t>”（下载地址：https://b.zhengcaiyun.cn/luban/category?parentId=550045&amp;childrenCode=qicaiCategory17&amp;utm=luban.luban-PC-39026.959-pc-websitegroup-navBar-front.8.ebdec73052c711ef9ade896d008b9248），</w:t>
      </w:r>
      <w:r>
        <w:rPr>
          <w:rFonts w:hint="eastAsia" w:cs="仿宋" w:asciiTheme="majorEastAsia" w:hAnsiTheme="majorEastAsia" w:eastAsiaTheme="majorEastAsia"/>
          <w:color w:val="auto"/>
          <w:kern w:val="0"/>
          <w:sz w:val="24"/>
          <w:highlight w:val="none"/>
          <w:lang w:val="zh-CN"/>
        </w:rPr>
        <w:t>并按照招标文件和电子交易平台的要求编制并加密投标文件。供应商未按规定加密的投标文件，电子交易平台将拒收并提示。</w:t>
      </w:r>
    </w:p>
    <w:p w14:paraId="10F8B99F">
      <w:pPr>
        <w:spacing w:line="360" w:lineRule="auto"/>
        <w:ind w:firstLine="480" w:firstLineChars="200"/>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1</w:t>
      </w:r>
      <w:r>
        <w:rPr>
          <w:rFonts w:hint="eastAsia" w:cs="仿宋" w:asciiTheme="majorEastAsia" w:hAnsiTheme="majorEastAsia" w:eastAsiaTheme="majorEastAsia"/>
          <w:color w:val="auto"/>
          <w:kern w:val="0"/>
          <w:sz w:val="24"/>
          <w:highlight w:val="none"/>
        </w:rPr>
        <w:t>0</w:t>
      </w:r>
      <w:r>
        <w:rPr>
          <w:rFonts w:hint="eastAsia" w:cs="仿宋" w:asciiTheme="majorEastAsia" w:hAnsiTheme="majorEastAsia" w:eastAsiaTheme="majorEastAsia"/>
          <w:color w:val="auto"/>
          <w:kern w:val="0"/>
          <w:sz w:val="24"/>
          <w:highlight w:val="none"/>
          <w:lang w:val="zh-CN"/>
        </w:rPr>
        <w:t>.3使用“</w:t>
      </w:r>
      <w:r>
        <w:rPr>
          <w:rFonts w:hint="eastAsia" w:cs="仿宋" w:asciiTheme="majorEastAsia" w:hAnsiTheme="majorEastAsia" w:eastAsiaTheme="majorEastAsia"/>
          <w:color w:val="auto"/>
          <w:kern w:val="0"/>
          <w:sz w:val="24"/>
          <w:highlight w:val="none"/>
        </w:rPr>
        <w:t>乐</w:t>
      </w:r>
      <w:r>
        <w:rPr>
          <w:rFonts w:hint="eastAsia" w:cs="仿宋" w:asciiTheme="majorEastAsia" w:hAnsiTheme="majorEastAsia" w:eastAsiaTheme="majorEastAsia"/>
          <w:color w:val="auto"/>
          <w:kern w:val="0"/>
          <w:sz w:val="24"/>
          <w:highlight w:val="none"/>
          <w:lang w:val="zh-CN"/>
        </w:rPr>
        <w:t>采云电子交易客户端”需要提前申领CA数字证书，申领流程请自行前往“</w:t>
      </w:r>
      <w:r>
        <w:rPr>
          <w:rFonts w:hint="eastAsia" w:cs="仿宋" w:asciiTheme="majorEastAsia" w:hAnsiTheme="majorEastAsia" w:eastAsiaTheme="majorEastAsia"/>
          <w:color w:val="auto"/>
          <w:kern w:val="0"/>
          <w:sz w:val="24"/>
          <w:highlight w:val="none"/>
        </w:rPr>
        <w:t>浙江企业采购信息服务网</w:t>
      </w:r>
      <w:r>
        <w:rPr>
          <w:rFonts w:hint="eastAsia" w:cs="仿宋" w:asciiTheme="majorEastAsia" w:hAnsiTheme="majorEastAsia" w:eastAsiaTheme="majorEastAsia"/>
          <w:color w:val="auto"/>
          <w:kern w:val="0"/>
          <w:sz w:val="24"/>
          <w:highlight w:val="none"/>
          <w:lang w:val="zh-CN"/>
        </w:rPr>
        <w:t>-下载专区-电子交易客户端-CA驱动和申领流程”进行查阅。</w:t>
      </w:r>
    </w:p>
    <w:p w14:paraId="0D2FBFF2">
      <w:pPr>
        <w:numPr>
          <w:ilvl w:val="0"/>
          <w:numId w:val="1"/>
        </w:numP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投标文件的签署、盖章</w:t>
      </w:r>
    </w:p>
    <w:p w14:paraId="23934752">
      <w:pPr>
        <w:pStyle w:val="43"/>
        <w:snapToGrid w:val="0"/>
        <w:spacing w:before="0"/>
        <w:ind w:firstLine="480"/>
        <w:rPr>
          <w:rFonts w:cs="仿宋" w:asciiTheme="majorEastAsia" w:hAnsiTheme="majorEastAsia" w:eastAsiaTheme="majorEastAsia"/>
          <w:b/>
          <w:color w:val="auto"/>
          <w:highlight w:val="none"/>
        </w:rPr>
      </w:pPr>
      <w:r>
        <w:rPr>
          <w:rFonts w:hint="eastAsia" w:cs="仿宋" w:asciiTheme="majorEastAsia" w:hAnsiTheme="majorEastAsia" w:eastAsiaTheme="majorEastAsia"/>
          <w:color w:val="auto"/>
          <w:szCs w:val="24"/>
          <w:highlight w:val="none"/>
        </w:rPr>
        <w:t>11.1投标文件按照招标文件第六部分格式要</w:t>
      </w:r>
      <w:r>
        <w:rPr>
          <w:rFonts w:hint="eastAsia" w:cs="仿宋" w:asciiTheme="majorEastAsia" w:hAnsiTheme="majorEastAsia" w:eastAsiaTheme="majorEastAsia"/>
          <w:color w:val="auto"/>
          <w:highlight w:val="none"/>
        </w:rPr>
        <w:t>求进行签署、盖章。</w:t>
      </w:r>
      <w:r>
        <w:rPr>
          <w:rFonts w:hint="eastAsia" w:cs="仿宋" w:asciiTheme="majorEastAsia" w:hAnsiTheme="majorEastAsia" w:eastAsiaTheme="majorEastAsia"/>
          <w:b/>
          <w:color w:val="auto"/>
          <w:highlight w:val="none"/>
        </w:rPr>
        <w:t>▲供应商的投标文件未按照招标文件要求签署、盖章的，其投标无效</w:t>
      </w:r>
      <w:r>
        <w:rPr>
          <w:rFonts w:hint="eastAsia" w:cs="仿宋" w:asciiTheme="majorEastAsia" w:hAnsiTheme="majorEastAsia" w:eastAsiaTheme="majorEastAsia"/>
          <w:color w:val="auto"/>
          <w:szCs w:val="24"/>
          <w:highlight w:val="none"/>
        </w:rPr>
        <w:t>。</w:t>
      </w:r>
    </w:p>
    <w:p w14:paraId="276B7178">
      <w:pPr>
        <w:pStyle w:val="43"/>
        <w:snapToGrid w:val="0"/>
        <w:spacing w:before="0"/>
        <w:ind w:firstLine="48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11.2为确保网上操作合法、有效和安全，</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highlight w:val="none"/>
        </w:rPr>
        <w:t>应当在投标截止时间前完成在“政府采购云平台”的身份认证，确保在电子投标过程中能够对相关数据电文进行加密和使用电子签名。</w:t>
      </w:r>
    </w:p>
    <w:p w14:paraId="44AC2AF3">
      <w:pPr>
        <w:pStyle w:val="43"/>
        <w:snapToGrid w:val="0"/>
        <w:spacing w:before="0"/>
        <w:ind w:firstLine="480"/>
        <w:rPr>
          <w:rFonts w:cs="仿宋" w:asciiTheme="majorEastAsia" w:hAnsiTheme="majorEastAsia" w:eastAsiaTheme="majorEastAsia"/>
          <w:color w:val="auto"/>
          <w:szCs w:val="24"/>
          <w:highlight w:val="none"/>
        </w:rPr>
      </w:pPr>
      <w:r>
        <w:rPr>
          <w:rFonts w:hint="eastAsia" w:cs="仿宋" w:asciiTheme="majorEastAsia" w:hAnsiTheme="majorEastAsia" w:eastAsiaTheme="majorEastAsia"/>
          <w:color w:val="auto"/>
          <w:highlight w:val="none"/>
        </w:rPr>
        <w:t>11.3招标文件对投标文件签署、盖章的要求适用于电子签名。</w:t>
      </w:r>
    </w:p>
    <w:p w14:paraId="6232F8D3">
      <w:pPr>
        <w:numPr>
          <w:ilvl w:val="0"/>
          <w:numId w:val="1"/>
        </w:numP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投标文件的提交、补充、修改、撤回</w:t>
      </w:r>
    </w:p>
    <w:p w14:paraId="6F3DDEBD">
      <w:pPr>
        <w:pStyle w:val="43"/>
        <w:ind w:firstLine="480"/>
        <w:rPr>
          <w:rFonts w:cs="仿宋" w:asciiTheme="majorEastAsia" w:hAnsiTheme="majorEastAsia" w:eastAsiaTheme="majorEastAsia"/>
          <w:color w:val="auto"/>
          <w:szCs w:val="24"/>
          <w:highlight w:val="none"/>
        </w:rPr>
      </w:pPr>
      <w:r>
        <w:rPr>
          <w:rFonts w:hint="eastAsia" w:cs="仿宋" w:asciiTheme="majorEastAsia" w:hAnsiTheme="majorEastAsia" w:eastAsiaTheme="majorEastAsia"/>
          <w:color w:val="auto"/>
          <w:szCs w:val="24"/>
          <w:highlight w:val="none"/>
        </w:rPr>
        <w:t>12.1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A0E15EA">
      <w:pPr>
        <w:pStyle w:val="43"/>
        <w:spacing w:before="0"/>
        <w:ind w:firstLine="480"/>
        <w:rPr>
          <w:rFonts w:cs="仿宋" w:asciiTheme="majorEastAsia" w:hAnsiTheme="majorEastAsia" w:eastAsiaTheme="majorEastAsia"/>
          <w:color w:val="auto"/>
          <w:szCs w:val="24"/>
          <w:highlight w:val="none"/>
        </w:rPr>
      </w:pPr>
      <w:r>
        <w:rPr>
          <w:rFonts w:hint="eastAsia" w:cs="仿宋" w:asciiTheme="majorEastAsia" w:hAnsiTheme="majorEastAsia" w:eastAsiaTheme="majorEastAsia"/>
          <w:color w:val="auto"/>
          <w:szCs w:val="24"/>
          <w:highlight w:val="none"/>
        </w:rPr>
        <w:t>12.2电子交易平台收到投标文件，将妥善保存并即时向供应商发出确认回执通知。在投标截止时间前，除供应商补充、修改或者撤回投标文件外，任何单位和个人不得解密或提取投标文件。</w:t>
      </w:r>
    </w:p>
    <w:p w14:paraId="674D4112">
      <w:pPr>
        <w:pStyle w:val="43"/>
        <w:spacing w:before="0"/>
        <w:ind w:firstLine="480"/>
        <w:rPr>
          <w:rFonts w:cs="仿宋" w:asciiTheme="majorEastAsia" w:hAnsiTheme="majorEastAsia" w:eastAsiaTheme="majorEastAsia"/>
          <w:color w:val="auto"/>
          <w:szCs w:val="24"/>
          <w:highlight w:val="none"/>
        </w:rPr>
      </w:pPr>
      <w:r>
        <w:rPr>
          <w:rFonts w:hint="eastAsia" w:cs="仿宋" w:asciiTheme="majorEastAsia" w:hAnsiTheme="majorEastAsia" w:eastAsiaTheme="majorEastAsia"/>
          <w:color w:val="auto"/>
          <w:szCs w:val="24"/>
          <w:highlight w:val="none"/>
        </w:rPr>
        <w:t>12.3采购人、采购代理机构可以视情况延长投标文件提交的截止时间。在上述情况下，采购代理机构与</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szCs w:val="24"/>
          <w:highlight w:val="none"/>
        </w:rPr>
        <w:t>以前在投标截止期方面的全部权利、责任和义务，将适用于延长至新的投标截止期。</w:t>
      </w:r>
    </w:p>
    <w:p w14:paraId="00D20B25">
      <w:pPr>
        <w:numPr>
          <w:ilvl w:val="0"/>
          <w:numId w:val="1"/>
        </w:numP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投标有效期</w:t>
      </w:r>
    </w:p>
    <w:p w14:paraId="068942E6">
      <w:pPr>
        <w:spacing w:line="360" w:lineRule="auto"/>
        <w:ind w:firstLine="480" w:firstLineChars="200"/>
        <w:rPr>
          <w:rFonts w:cs="仿宋" w:asciiTheme="majorEastAsia" w:hAnsiTheme="majorEastAsia" w:eastAsiaTheme="majorEastAsia"/>
          <w:b/>
          <w:color w:val="auto"/>
          <w:sz w:val="24"/>
          <w:szCs w:val="21"/>
          <w:highlight w:val="none"/>
        </w:rPr>
      </w:pPr>
      <w:r>
        <w:rPr>
          <w:rFonts w:hint="eastAsia" w:cs="仿宋" w:asciiTheme="majorEastAsia" w:hAnsiTheme="majorEastAsia" w:eastAsiaTheme="majorEastAsia"/>
          <w:color w:val="auto"/>
          <w:sz w:val="24"/>
          <w:szCs w:val="20"/>
          <w:highlight w:val="none"/>
        </w:rPr>
        <w:t>投标有效期为从提交投标文件的截止之日起90天。▲</w:t>
      </w:r>
      <w:r>
        <w:rPr>
          <w:rFonts w:hint="eastAsia" w:cs="仿宋" w:asciiTheme="majorEastAsia" w:hAnsiTheme="majorEastAsia" w:eastAsiaTheme="majorEastAsia"/>
          <w:b/>
          <w:color w:val="auto"/>
          <w:sz w:val="24"/>
          <w:szCs w:val="20"/>
          <w:highlight w:val="none"/>
        </w:rPr>
        <w:t>供应商的投标文件中承</w:t>
      </w:r>
      <w:r>
        <w:rPr>
          <w:rFonts w:hint="eastAsia" w:cs="仿宋" w:asciiTheme="majorEastAsia" w:hAnsiTheme="majorEastAsia" w:eastAsiaTheme="majorEastAsia"/>
          <w:b/>
          <w:color w:val="auto"/>
          <w:sz w:val="24"/>
          <w:szCs w:val="21"/>
          <w:highlight w:val="none"/>
        </w:rPr>
        <w:t>诺的投标有效期少于招标文件中载明的投标有效期的，投标无效。</w:t>
      </w:r>
    </w:p>
    <w:p w14:paraId="78CE67E8">
      <w:pPr>
        <w:pStyle w:val="43"/>
        <w:spacing w:before="0"/>
        <w:ind w:firstLine="643"/>
        <w:rPr>
          <w:rFonts w:cs="仿宋" w:asciiTheme="majorEastAsia" w:hAnsiTheme="majorEastAsia" w:eastAsiaTheme="majorEastAsia"/>
          <w:b/>
          <w:color w:val="auto"/>
          <w:sz w:val="32"/>
          <w:highlight w:val="none"/>
        </w:rPr>
      </w:pPr>
    </w:p>
    <w:p w14:paraId="6E33B2E1">
      <w:pPr>
        <w:pStyle w:val="43"/>
        <w:spacing w:before="0"/>
        <w:ind w:firstLine="1928" w:firstLineChars="600"/>
        <w:rPr>
          <w:rFonts w:cs="仿宋" w:asciiTheme="majorEastAsia" w:hAnsiTheme="majorEastAsia" w:eastAsiaTheme="majorEastAsia"/>
          <w:b/>
          <w:color w:val="auto"/>
          <w:sz w:val="32"/>
          <w:highlight w:val="none"/>
        </w:rPr>
      </w:pPr>
      <w:r>
        <w:rPr>
          <w:rFonts w:hint="eastAsia" w:cs="仿宋" w:asciiTheme="majorEastAsia" w:hAnsiTheme="majorEastAsia" w:eastAsiaTheme="majorEastAsia"/>
          <w:b/>
          <w:color w:val="auto"/>
          <w:sz w:val="32"/>
          <w:highlight w:val="none"/>
        </w:rPr>
        <w:t>四、开标、资格审查与信用信息查询</w:t>
      </w:r>
    </w:p>
    <w:p w14:paraId="3EEEB5D7">
      <w:pPr>
        <w:numPr>
          <w:ilvl w:val="0"/>
          <w:numId w:val="1"/>
        </w:numP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 xml:space="preserve">开标 </w:t>
      </w:r>
    </w:p>
    <w:p w14:paraId="129EBF2D">
      <w:pPr>
        <w:pStyle w:val="38"/>
        <w:spacing w:before="0" w:line="360" w:lineRule="auto"/>
        <w:ind w:left="0" w:firstLine="480" w:firstLineChars="200"/>
        <w:contextualSpacing/>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14.1采购代理机构按照招标文件规定的时间通过电子交易平台组织开标，所有</w:t>
      </w:r>
      <w:r>
        <w:rPr>
          <w:rFonts w:hint="eastAsia" w:cs="仿宋" w:asciiTheme="majorEastAsia" w:hAnsiTheme="majorEastAsia" w:eastAsiaTheme="majorEastAsia"/>
          <w:color w:val="auto"/>
          <w:sz w:val="24"/>
          <w:highlight w:val="none"/>
          <w:lang w:val="zh-CN"/>
        </w:rPr>
        <w:t>供应商</w:t>
      </w:r>
      <w:r>
        <w:rPr>
          <w:rFonts w:hint="eastAsia" w:cs="仿宋" w:asciiTheme="majorEastAsia" w:hAnsiTheme="majorEastAsia" w:eastAsiaTheme="majorEastAsia"/>
          <w:color w:val="auto"/>
          <w:sz w:val="24"/>
          <w:highlight w:val="none"/>
        </w:rPr>
        <w:t>均应当准时在线参加。</w:t>
      </w:r>
      <w:r>
        <w:rPr>
          <w:rFonts w:hint="eastAsia" w:cs="仿宋" w:asciiTheme="majorEastAsia" w:hAnsiTheme="majorEastAsia" w:eastAsiaTheme="majorEastAsia"/>
          <w:color w:val="auto"/>
          <w:sz w:val="24"/>
          <w:highlight w:val="none"/>
          <w:lang w:val="zh-CN"/>
        </w:rPr>
        <w:t>供应商</w:t>
      </w:r>
      <w:r>
        <w:rPr>
          <w:rFonts w:hint="eastAsia" w:cs="仿宋" w:asciiTheme="majorEastAsia" w:hAnsiTheme="majorEastAsia" w:eastAsiaTheme="majorEastAsia"/>
          <w:color w:val="auto"/>
          <w:sz w:val="24"/>
          <w:highlight w:val="none"/>
        </w:rPr>
        <w:t>不足3家的，不得开标。</w:t>
      </w:r>
    </w:p>
    <w:p w14:paraId="04C6C4B8">
      <w:pPr>
        <w:pStyle w:val="38"/>
        <w:spacing w:before="0" w:line="360" w:lineRule="auto"/>
        <w:ind w:left="0" w:firstLine="240" w:firstLineChars="100"/>
        <w:contextualSpacing/>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14.2开标时，电子交易平台按开标时间自动提取所有投标文件。采购代理机构依托电子交易平台发起开始解密指令，</w:t>
      </w:r>
      <w:r>
        <w:rPr>
          <w:rFonts w:hint="eastAsia" w:cs="仿宋" w:asciiTheme="majorEastAsia" w:hAnsiTheme="majorEastAsia" w:eastAsiaTheme="majorEastAsia"/>
          <w:color w:val="auto"/>
          <w:sz w:val="24"/>
          <w:highlight w:val="none"/>
          <w:lang w:val="zh-CN"/>
        </w:rPr>
        <w:t>供应商</w:t>
      </w:r>
      <w:r>
        <w:rPr>
          <w:rFonts w:hint="eastAsia" w:cs="仿宋" w:asciiTheme="majorEastAsia" w:hAnsiTheme="majorEastAsia" w:eastAsiaTheme="majorEastAsia"/>
          <w:color w:val="auto"/>
          <w:sz w:val="24"/>
          <w:highlight w:val="none"/>
        </w:rPr>
        <w:t>按照平台提示和招标文件的规定在半小时内完成在线解密。</w:t>
      </w:r>
    </w:p>
    <w:p w14:paraId="4E401156">
      <w:pPr>
        <w:numPr>
          <w:ilvl w:val="0"/>
          <w:numId w:val="1"/>
        </w:numP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资格审查</w:t>
      </w:r>
    </w:p>
    <w:p w14:paraId="7E395586">
      <w:pPr>
        <w:pStyle w:val="43"/>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15.1开标后，采购人或采购代理机构依据法律法规和招标文件的规定，对供应商的资格条件进行审查。</w:t>
      </w:r>
    </w:p>
    <w:p w14:paraId="0275277C">
      <w:pPr>
        <w:pStyle w:val="43"/>
        <w:spacing w:before="0"/>
        <w:ind w:firstLine="48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kern w:val="0"/>
          <w:szCs w:val="24"/>
          <w:highlight w:val="none"/>
        </w:rPr>
        <w:t>15.</w:t>
      </w:r>
      <w:r>
        <w:rPr>
          <w:rFonts w:hint="eastAsia" w:cs="仿宋" w:asciiTheme="majorEastAsia" w:hAnsiTheme="majorEastAsia" w:eastAsiaTheme="majorEastAsia"/>
          <w:color w:val="auto"/>
          <w:highlight w:val="none"/>
        </w:rPr>
        <w:t>2对未通过资格审查的供应商，采购人或采购代理机构告知其未通过的原因。</w:t>
      </w:r>
    </w:p>
    <w:p w14:paraId="3CA43A0C">
      <w:pPr>
        <w:pStyle w:val="43"/>
        <w:spacing w:before="0"/>
        <w:ind w:firstLine="48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kern w:val="0"/>
          <w:szCs w:val="24"/>
          <w:highlight w:val="none"/>
        </w:rPr>
        <w:t>15.</w:t>
      </w:r>
      <w:r>
        <w:rPr>
          <w:rFonts w:hint="eastAsia" w:cs="仿宋" w:asciiTheme="majorEastAsia" w:hAnsiTheme="majorEastAsia" w:eastAsiaTheme="majorEastAsia"/>
          <w:color w:val="auto"/>
          <w:highlight w:val="none"/>
        </w:rPr>
        <w:t>3合格供应商不足3家的，不再评标。</w:t>
      </w:r>
    </w:p>
    <w:p w14:paraId="7C55AFC6">
      <w:pPr>
        <w:numPr>
          <w:ilvl w:val="0"/>
          <w:numId w:val="1"/>
        </w:numP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信用信息查询</w:t>
      </w:r>
    </w:p>
    <w:p w14:paraId="0B2A2F38">
      <w:pPr>
        <w:pStyle w:val="43"/>
        <w:spacing w:before="0"/>
        <w:ind w:firstLine="495" w:firstLineChars="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16.1信用信息查询渠道及截止时间：采购代理机构将通过“信用中国”网站(www.creditchina.gov.cn)、中国政府采购网(www.ccgp.gov.cn)渠道查询供应商投标截止时间当天的信用记录。</w:t>
      </w:r>
    </w:p>
    <w:p w14:paraId="14755356">
      <w:pPr>
        <w:pStyle w:val="43"/>
        <w:spacing w:before="0"/>
        <w:ind w:firstLine="495" w:firstLineChars="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16.2信用信息的使用规则：经查询列入失信被执行人名单、重大税收违法失信主体、政府采购严重违法失信行为记录名单的</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将被拒绝参与政府采购活动。</w:t>
      </w:r>
    </w:p>
    <w:p w14:paraId="7013286B">
      <w:pPr>
        <w:pStyle w:val="43"/>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16.3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仿宋" w:asciiTheme="majorEastAsia" w:hAnsiTheme="majorEastAsia" w:eastAsiaTheme="majorEastAsia"/>
          <w:color w:val="auto"/>
          <w:highlight w:val="none"/>
        </w:rPr>
        <w:t>。</w:t>
      </w:r>
    </w:p>
    <w:p w14:paraId="483E6232">
      <w:pPr>
        <w:snapToGrid w:val="0"/>
        <w:spacing w:line="360" w:lineRule="auto"/>
        <w:jc w:val="center"/>
        <w:outlineLvl w:val="0"/>
        <w:rPr>
          <w:rFonts w:cs="仿宋" w:asciiTheme="majorEastAsia" w:hAnsiTheme="majorEastAsia" w:eastAsiaTheme="majorEastAsia"/>
          <w:b/>
          <w:color w:val="auto"/>
          <w:sz w:val="36"/>
          <w:szCs w:val="36"/>
          <w:highlight w:val="none"/>
        </w:rPr>
      </w:pPr>
    </w:p>
    <w:p w14:paraId="1EF71900">
      <w:pPr>
        <w:snapToGrid w:val="0"/>
        <w:spacing w:line="360" w:lineRule="auto"/>
        <w:jc w:val="center"/>
        <w:outlineLvl w:val="0"/>
        <w:rPr>
          <w:rFonts w:cs="仿宋" w:asciiTheme="majorEastAsia" w:hAnsiTheme="majorEastAsia" w:eastAsiaTheme="majorEastAsia"/>
          <w:b/>
          <w:color w:val="auto"/>
          <w:sz w:val="36"/>
          <w:szCs w:val="36"/>
          <w:highlight w:val="none"/>
        </w:rPr>
      </w:pPr>
      <w:r>
        <w:rPr>
          <w:rFonts w:hint="eastAsia" w:cs="仿宋" w:asciiTheme="majorEastAsia" w:hAnsiTheme="majorEastAsia" w:eastAsiaTheme="majorEastAsia"/>
          <w:b/>
          <w:color w:val="auto"/>
          <w:sz w:val="36"/>
          <w:szCs w:val="36"/>
          <w:highlight w:val="none"/>
        </w:rPr>
        <w:t>五、评标</w:t>
      </w:r>
    </w:p>
    <w:p w14:paraId="40AABE26">
      <w:pPr>
        <w:numPr>
          <w:ilvl w:val="0"/>
          <w:numId w:val="1"/>
        </w:numP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bookmarkStart w:id="13" w:name="_Toc91899903"/>
      <w:r>
        <w:rPr>
          <w:rFonts w:hint="eastAsia" w:cs="仿宋" w:asciiTheme="majorEastAsia" w:hAnsiTheme="majorEastAsia" w:eastAsiaTheme="majorEastAsia"/>
          <w:b/>
          <w:color w:val="auto"/>
          <w:sz w:val="24"/>
          <w:highlight w:val="none"/>
        </w:rPr>
        <w:t>评标委员会</w:t>
      </w:r>
    </w:p>
    <w:p w14:paraId="7941B3B2">
      <w:pPr>
        <w:pStyle w:val="43"/>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17.1 本次招标依法组建评标委员会。评标委员会由采购人代表和评审专家组成，评审专家从专家库随机抽取。</w:t>
      </w:r>
    </w:p>
    <w:p w14:paraId="0CAEA335">
      <w:pPr>
        <w:pStyle w:val="43"/>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17.2 评标原则。评标委员会必须遵循公平、公正、客观、科学的原则和规定的程序进行评标；评标的依据为招标文件和投标文件；评审人员应独立评标，不得带有任何倾向性和启发性影响他人评审；任何单位和个人不得干扰、影响评标的正常进行；评标委员会及有关工作人员不得私下与投标人接触，不得向外界透露任何与评标有关的内容。</w:t>
      </w:r>
    </w:p>
    <w:p w14:paraId="4ABE5EB7">
      <w:pPr>
        <w:pStyle w:val="43"/>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17.3 评审专家有下列情形之一的，受到邀请应主动提出回避，采购当事人也可以要求该评审专家回避：</w:t>
      </w:r>
    </w:p>
    <w:p w14:paraId="4162B1FA">
      <w:pPr>
        <w:pStyle w:val="43"/>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17.3.1 参加采购活动前三年内，与供应商存在劳动关系，或者担任过供应商的董事、监事，或者是供应商的控股股东或实际控制人；</w:t>
      </w:r>
    </w:p>
    <w:p w14:paraId="301F7B84">
      <w:pPr>
        <w:pStyle w:val="43"/>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17.3.2 与供应商的法定代表人或者负责人有夫妻、直系血亲、三代以内旁系血亲或者近姻亲关系；</w:t>
      </w:r>
    </w:p>
    <w:p w14:paraId="3682AAF7">
      <w:pPr>
        <w:pStyle w:val="43"/>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17.3.3 任职单位与参加该采购项目供应商存在行政隶属关系；</w:t>
      </w:r>
    </w:p>
    <w:p w14:paraId="5399A58E">
      <w:pPr>
        <w:pStyle w:val="43"/>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17.3.4 曾经参加过该采购项目的进口产品或招标文件、采购需求、采购方式的论证和咨询服务工作；</w:t>
      </w:r>
    </w:p>
    <w:p w14:paraId="710546C6">
      <w:pPr>
        <w:pStyle w:val="43"/>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17.3.5 是参加该采购项目供应商的上级主管部门、控股或参股单位的工作人员，或与该供应商存在其他经济利益关系；</w:t>
      </w:r>
    </w:p>
    <w:p w14:paraId="41456F9E">
      <w:pPr>
        <w:pStyle w:val="43"/>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17.3.6 评标委员会成员之间具有配偶、近亲属关系等；</w:t>
      </w:r>
    </w:p>
    <w:p w14:paraId="3D39FA25">
      <w:pPr>
        <w:pStyle w:val="43"/>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17.3.7 法律、法规、规章规定应当回避以及其他可能影响政府采购活动公平、公正进行的关系。</w:t>
      </w:r>
    </w:p>
    <w:p w14:paraId="554AF270">
      <w:pPr>
        <w:pStyle w:val="43"/>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17.4 评标委员会判断投标文件的有效性、合格性和响应情况，仅依据投标人所递交一切文件的真实表述，不受与本项目无直接关联的外部信息、传言而影响自身的专业判断。</w:t>
      </w:r>
    </w:p>
    <w:p w14:paraId="45B2F413">
      <w:pPr>
        <w:pStyle w:val="43"/>
        <w:spacing w:before="0"/>
        <w:ind w:firstLine="480"/>
        <w:rPr>
          <w:rFonts w:asciiTheme="majorEastAsia" w:hAnsiTheme="majorEastAsia" w:eastAsiaTheme="majorEastAsia"/>
          <w:color w:val="auto"/>
          <w:highlight w:val="none"/>
        </w:rPr>
      </w:pPr>
      <w:r>
        <w:rPr>
          <w:rFonts w:hint="eastAsia" w:cs="仿宋" w:asciiTheme="majorEastAsia" w:hAnsiTheme="majorEastAsia" w:eastAsiaTheme="majorEastAsia"/>
          <w:color w:val="auto"/>
          <w:kern w:val="0"/>
          <w:szCs w:val="24"/>
          <w:highlight w:val="none"/>
        </w:rPr>
        <w:t>17.5 评委依法独立评审，并对评审意见承担个人责任。评委对需要共同认定的事项存在争议的，按照少数服从多数的原则做出结论。持不同意见的评委应当在评审报告上签署不同意见并说明理由，否则视为同意。</w:t>
      </w:r>
    </w:p>
    <w:p w14:paraId="138BB016">
      <w:pPr>
        <w:numPr>
          <w:ilvl w:val="0"/>
          <w:numId w:val="1"/>
        </w:numP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评标</w:t>
      </w:r>
    </w:p>
    <w:p w14:paraId="5E1948F0">
      <w:pPr>
        <w:pStyle w:val="43"/>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评标委员会将根据招标文件和有关规定，履行评标工作职责，并按照评标方法及评分标准，全面衡量各</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对招标文件的响应情况。对实质上响应招标文件的</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，按照评审因素的量化指标推荐综合得分排名第一的为中标候选人。</w:t>
      </w:r>
    </w:p>
    <w:p w14:paraId="45DF0B6E">
      <w:pPr>
        <w:pStyle w:val="43"/>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得分相同的，按投标报价由低到高顺序排列。得分且投标报价相同的，投标文件满足招标文件全部实质性要求，且按照评审因素的量化指标评审得分最高的</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为排名第一的中标候选人。</w:t>
      </w:r>
    </w:p>
    <w:p w14:paraId="0B87D797">
      <w:pPr>
        <w:pStyle w:val="43"/>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详见招标文件第四部分评标办法。</w:t>
      </w:r>
    </w:p>
    <w:p w14:paraId="69CC1EBD">
      <w:pPr>
        <w:spacing w:line="360" w:lineRule="auto"/>
        <w:rPr>
          <w:rFonts w:cs="仿宋" w:asciiTheme="majorEastAsia" w:hAnsiTheme="majorEastAsia" w:eastAsiaTheme="majorEastAsia"/>
          <w:b/>
          <w:color w:val="auto"/>
          <w:sz w:val="24"/>
          <w:highlight w:val="none"/>
        </w:rPr>
      </w:pPr>
    </w:p>
    <w:p w14:paraId="73335969">
      <w:pPr>
        <w:snapToGrid w:val="0"/>
        <w:spacing w:line="360" w:lineRule="auto"/>
        <w:jc w:val="center"/>
        <w:outlineLvl w:val="0"/>
        <w:rPr>
          <w:rFonts w:cs="仿宋" w:asciiTheme="majorEastAsia" w:hAnsiTheme="majorEastAsia" w:eastAsiaTheme="majorEastAsia"/>
          <w:b/>
          <w:color w:val="auto"/>
          <w:sz w:val="36"/>
          <w:szCs w:val="36"/>
          <w:highlight w:val="none"/>
        </w:rPr>
      </w:pPr>
      <w:r>
        <w:rPr>
          <w:rFonts w:hint="eastAsia" w:cs="仿宋" w:asciiTheme="majorEastAsia" w:hAnsiTheme="majorEastAsia" w:eastAsiaTheme="majorEastAsia"/>
          <w:b/>
          <w:color w:val="auto"/>
          <w:sz w:val="36"/>
          <w:szCs w:val="36"/>
          <w:highlight w:val="none"/>
        </w:rPr>
        <w:t>六、定 标</w:t>
      </w:r>
    </w:p>
    <w:p w14:paraId="7DA2D1B6">
      <w:pPr>
        <w:numPr>
          <w:ilvl w:val="0"/>
          <w:numId w:val="1"/>
        </w:numP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确定中标供应商</w:t>
      </w:r>
    </w:p>
    <w:p w14:paraId="50D5BA6A">
      <w:pPr>
        <w:pStyle w:val="43"/>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本项目由评标委员会推荐一个中标候选人，采购人不得在评标委员会推荐的中标候选人以外确定中标候选人。</w:t>
      </w:r>
    </w:p>
    <w:p w14:paraId="52E61C98">
      <w:pPr>
        <w:numPr>
          <w:ilvl w:val="0"/>
          <w:numId w:val="1"/>
        </w:numP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中标通知与中标结果公告</w:t>
      </w:r>
    </w:p>
    <w:p w14:paraId="56B97FF3">
      <w:pPr>
        <w:pStyle w:val="43"/>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20.1自中标人确定之日起2个工作日内，采购代理机构通过电子交易平台向中标人发出中标通知书，同时编制发布采购结果公告。采购代理机构也可以以纸质形式进行中标通知。</w:t>
      </w:r>
    </w:p>
    <w:p w14:paraId="253F7542">
      <w:pPr>
        <w:pStyle w:val="43"/>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20.2中标结果公告内容包括采购人及其委托的采购代理机构的名称、地址、联系方式，项目名称和项目编号，中标人名称、地址和中标金额，主要中标标的的名称、规格型号、数量、单价、服务要求，中标公告期限以及评审专家名单。</w:t>
      </w:r>
    </w:p>
    <w:p w14:paraId="0CD03B14">
      <w:pPr>
        <w:pStyle w:val="43"/>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20.3公告期限为1个工作日。</w:t>
      </w:r>
    </w:p>
    <w:p w14:paraId="41FC61A7">
      <w:pPr>
        <w:snapToGrid w:val="0"/>
        <w:spacing w:line="360" w:lineRule="auto"/>
        <w:ind w:left="120" w:leftChars="57" w:firstLine="482" w:firstLineChars="150"/>
        <w:jc w:val="center"/>
        <w:rPr>
          <w:rFonts w:cs="仿宋" w:asciiTheme="majorEastAsia" w:hAnsiTheme="majorEastAsia" w:eastAsiaTheme="majorEastAsia"/>
          <w:b/>
          <w:color w:val="auto"/>
          <w:sz w:val="32"/>
          <w:highlight w:val="none"/>
        </w:rPr>
      </w:pPr>
    </w:p>
    <w:p w14:paraId="1E74388B">
      <w:pPr>
        <w:snapToGrid w:val="0"/>
        <w:spacing w:line="360" w:lineRule="auto"/>
        <w:ind w:left="120" w:leftChars="57" w:firstLine="482" w:firstLineChars="150"/>
        <w:jc w:val="center"/>
        <w:rPr>
          <w:rFonts w:cs="仿宋" w:asciiTheme="majorEastAsia" w:hAnsiTheme="majorEastAsia" w:eastAsiaTheme="majorEastAsia"/>
          <w:b/>
          <w:color w:val="auto"/>
          <w:sz w:val="32"/>
          <w:highlight w:val="none"/>
        </w:rPr>
      </w:pPr>
      <w:r>
        <w:rPr>
          <w:rFonts w:hint="eastAsia" w:cs="仿宋" w:asciiTheme="majorEastAsia" w:hAnsiTheme="majorEastAsia" w:eastAsiaTheme="majorEastAsia"/>
          <w:b/>
          <w:color w:val="auto"/>
          <w:sz w:val="32"/>
          <w:highlight w:val="none"/>
        </w:rPr>
        <w:t>七、合同授予</w:t>
      </w:r>
    </w:p>
    <w:p w14:paraId="7D014859">
      <w:pPr>
        <w:numPr>
          <w:ilvl w:val="0"/>
          <w:numId w:val="1"/>
        </w:numP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合同授予</w:t>
      </w:r>
    </w:p>
    <w:p w14:paraId="2AB1AC5C">
      <w:pPr>
        <w:pStyle w:val="43"/>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合同主要条款详见第五部分拟签订的合同文本。</w:t>
      </w:r>
    </w:p>
    <w:p w14:paraId="17898847">
      <w:pPr>
        <w:numPr>
          <w:ilvl w:val="0"/>
          <w:numId w:val="1"/>
        </w:numP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合同的签订</w:t>
      </w:r>
    </w:p>
    <w:p w14:paraId="5DD636B6">
      <w:pPr>
        <w:pStyle w:val="43"/>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22.1 采购人与中标供应商应当通过电子交易平台在中标通知书发出之日起三十日内，按照招标文件及中标供应商的投标文件确定的事项签订政府采购合同，并在合同签订之日起2个工作日内依法发布合同公告。</w:t>
      </w:r>
    </w:p>
    <w:p w14:paraId="0CB60F62">
      <w:pPr>
        <w:pStyle w:val="43"/>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lang w:val="zh-CN"/>
        </w:rPr>
        <w:t>2</w:t>
      </w:r>
      <w:r>
        <w:rPr>
          <w:rFonts w:hint="eastAsia" w:cs="仿宋" w:asciiTheme="majorEastAsia" w:hAnsiTheme="majorEastAsia" w:eastAsiaTheme="majorEastAsia"/>
          <w:color w:val="auto"/>
          <w:kern w:val="0"/>
          <w:szCs w:val="24"/>
          <w:highlight w:val="none"/>
        </w:rPr>
        <w:t>2</w:t>
      </w:r>
      <w:r>
        <w:rPr>
          <w:rFonts w:hint="eastAsia" w:cs="仿宋" w:asciiTheme="majorEastAsia" w:hAnsiTheme="majorEastAsia" w:eastAsiaTheme="majorEastAsia"/>
          <w:color w:val="auto"/>
          <w:kern w:val="0"/>
          <w:szCs w:val="24"/>
          <w:highlight w:val="none"/>
          <w:lang w:val="zh-CN"/>
        </w:rPr>
        <w:t>.2中标供应商按规定的日期、时间、地点，由法定代表人或其授权代表与采购人代表签订合同。如中标人为联合体的，由联合体成员各方法定代表人或其授权代表与采购人代表签订合同。</w:t>
      </w:r>
    </w:p>
    <w:p w14:paraId="69DB2213">
      <w:pPr>
        <w:pStyle w:val="43"/>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22.3如签订合同并生效后，供应商无故拒绝或延期，除按照合同条款处理外，列入不良行为记录名单，并给予通报。</w:t>
      </w:r>
    </w:p>
    <w:p w14:paraId="4F1F3F90">
      <w:pPr>
        <w:pStyle w:val="43"/>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22.4中标供应商拒绝与采购人签订合同的，列入不良行为记录名单，采购人、采购代理机构重新开展政府采购活动。</w:t>
      </w:r>
    </w:p>
    <w:p w14:paraId="2BB7D59F">
      <w:pPr>
        <w:pStyle w:val="43"/>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22.5采购合同由采购人与中标供应商根据招标文件、投标文件等内容通过政府采购电子交易平台在线签订，自动备案。</w:t>
      </w:r>
    </w:p>
    <w:p w14:paraId="1251D598">
      <w:pPr>
        <w:numPr>
          <w:ilvl w:val="0"/>
          <w:numId w:val="1"/>
        </w:numP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投标保证金的交纳与退还</w:t>
      </w:r>
    </w:p>
    <w:p w14:paraId="6F226968">
      <w:pPr>
        <w:pStyle w:val="43"/>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23.1 ▲投标人须按规定提交投标保证金。否则作无效标处理。</w:t>
      </w:r>
    </w:p>
    <w:p w14:paraId="2529BB6E">
      <w:pPr>
        <w:pStyle w:val="43"/>
        <w:spacing w:before="0"/>
        <w:ind w:left="483" w:leftChars="230" w:firstLine="0" w:firstLineChars="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23.2保证金形式：单位网银、转账支票、汇票、汇兑。</w:t>
      </w:r>
      <w:r>
        <w:rPr>
          <w:rFonts w:hint="eastAsia" w:cs="仿宋" w:asciiTheme="majorEastAsia" w:hAnsiTheme="majorEastAsia" w:eastAsiaTheme="majorEastAsia"/>
          <w:color w:val="auto"/>
          <w:kern w:val="0"/>
          <w:szCs w:val="24"/>
          <w:highlight w:val="none"/>
        </w:rPr>
        <w:br w:type="textWrapping"/>
      </w:r>
      <w:r>
        <w:rPr>
          <w:rFonts w:hint="eastAsia" w:cs="仿宋" w:asciiTheme="majorEastAsia" w:hAnsiTheme="majorEastAsia" w:eastAsiaTheme="majorEastAsia"/>
          <w:color w:val="auto"/>
          <w:kern w:val="0"/>
          <w:szCs w:val="24"/>
          <w:highlight w:val="none"/>
        </w:rPr>
        <w:t>23.3未中标人的投标保证金在中标通知书发出后5个工作日内退还。</w:t>
      </w:r>
    </w:p>
    <w:p w14:paraId="552EC503">
      <w:pPr>
        <w:pStyle w:val="43"/>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highlight w:val="none"/>
        </w:rPr>
        <w:t>23.4中标人应在中标通知书发出后按招标文件规定的时间内与招标人签订合同，并交纳招标文件规定的履约保证金，中标人的投标保证金在合同签订后5个工作日内退还。</w:t>
      </w:r>
      <w:r>
        <w:rPr>
          <w:rFonts w:hint="eastAsia" w:cs="仿宋" w:asciiTheme="majorEastAsia" w:hAnsiTheme="majorEastAsia" w:eastAsiaTheme="majorEastAsia"/>
          <w:color w:val="auto"/>
          <w:kern w:val="0"/>
          <w:highlight w:val="none"/>
        </w:rPr>
        <w:br w:type="textWrapping"/>
      </w:r>
      <w:r>
        <w:rPr>
          <w:rFonts w:hint="eastAsia" w:cs="仿宋" w:asciiTheme="majorEastAsia" w:hAnsiTheme="majorEastAsia" w:eastAsiaTheme="majorEastAsia"/>
          <w:color w:val="auto"/>
          <w:kern w:val="0"/>
          <w:highlight w:val="none"/>
        </w:rPr>
        <w:t xml:space="preserve">    23.5保证金不计息。</w:t>
      </w:r>
      <w:r>
        <w:rPr>
          <w:rFonts w:hint="eastAsia" w:cs="仿宋" w:asciiTheme="majorEastAsia" w:hAnsiTheme="majorEastAsia" w:eastAsiaTheme="majorEastAsia"/>
          <w:color w:val="auto"/>
          <w:kern w:val="0"/>
          <w:highlight w:val="none"/>
        </w:rPr>
        <w:br w:type="textWrapping"/>
      </w:r>
      <w:r>
        <w:rPr>
          <w:rFonts w:hint="eastAsia" w:cs="仿宋" w:asciiTheme="majorEastAsia" w:hAnsiTheme="majorEastAsia" w:eastAsiaTheme="majorEastAsia"/>
          <w:color w:val="auto"/>
          <w:kern w:val="0"/>
          <w:highlight w:val="none"/>
        </w:rPr>
        <w:t xml:space="preserve">    23.6投标人有下列情形之一的，投标保证金将不予退还：</w:t>
      </w:r>
      <w:r>
        <w:rPr>
          <w:rFonts w:hint="eastAsia" w:cs="仿宋" w:asciiTheme="majorEastAsia" w:hAnsiTheme="majorEastAsia" w:eastAsiaTheme="majorEastAsia"/>
          <w:color w:val="auto"/>
          <w:kern w:val="0"/>
          <w:highlight w:val="none"/>
        </w:rPr>
        <w:br w:type="textWrapping"/>
      </w:r>
      <w:r>
        <w:rPr>
          <w:rFonts w:hint="eastAsia" w:cs="仿宋" w:asciiTheme="majorEastAsia" w:hAnsiTheme="majorEastAsia" w:eastAsiaTheme="majorEastAsia"/>
          <w:color w:val="auto"/>
          <w:kern w:val="0"/>
          <w:highlight w:val="none"/>
        </w:rPr>
        <w:t xml:space="preserve">    23.6.1投标人在投标有效期内撤回投标文件的；</w:t>
      </w:r>
      <w:r>
        <w:rPr>
          <w:rFonts w:hint="eastAsia" w:cs="仿宋" w:asciiTheme="majorEastAsia" w:hAnsiTheme="majorEastAsia" w:eastAsiaTheme="majorEastAsia"/>
          <w:color w:val="auto"/>
          <w:kern w:val="0"/>
          <w:highlight w:val="none"/>
        </w:rPr>
        <w:br w:type="textWrapping"/>
      </w:r>
      <w:r>
        <w:rPr>
          <w:rFonts w:hint="eastAsia" w:cs="仿宋" w:asciiTheme="majorEastAsia" w:hAnsiTheme="majorEastAsia" w:eastAsiaTheme="majorEastAsia"/>
          <w:color w:val="auto"/>
          <w:kern w:val="0"/>
          <w:highlight w:val="none"/>
        </w:rPr>
        <w:t xml:space="preserve">    23.6.2未按规定提交履约保证金的；</w:t>
      </w:r>
      <w:r>
        <w:rPr>
          <w:rFonts w:hint="eastAsia" w:cs="仿宋" w:asciiTheme="majorEastAsia" w:hAnsiTheme="majorEastAsia" w:eastAsiaTheme="majorEastAsia"/>
          <w:color w:val="auto"/>
          <w:kern w:val="0"/>
          <w:highlight w:val="none"/>
        </w:rPr>
        <w:br w:type="textWrapping"/>
      </w:r>
      <w:r>
        <w:rPr>
          <w:rFonts w:hint="eastAsia" w:cs="仿宋" w:asciiTheme="majorEastAsia" w:hAnsiTheme="majorEastAsia" w:eastAsiaTheme="majorEastAsia"/>
          <w:color w:val="auto"/>
          <w:kern w:val="0"/>
          <w:highlight w:val="none"/>
        </w:rPr>
        <w:t xml:space="preserve">    23.6.3投标人在投标过程中弄虚作假，提供虚假材料的；</w:t>
      </w:r>
      <w:r>
        <w:rPr>
          <w:rFonts w:hint="eastAsia" w:cs="仿宋" w:asciiTheme="majorEastAsia" w:hAnsiTheme="majorEastAsia" w:eastAsiaTheme="majorEastAsia"/>
          <w:color w:val="auto"/>
          <w:kern w:val="0"/>
          <w:highlight w:val="none"/>
        </w:rPr>
        <w:br w:type="textWrapping"/>
      </w:r>
      <w:r>
        <w:rPr>
          <w:rFonts w:hint="eastAsia" w:cs="仿宋" w:asciiTheme="majorEastAsia" w:hAnsiTheme="majorEastAsia" w:eastAsiaTheme="majorEastAsia"/>
          <w:color w:val="auto"/>
          <w:kern w:val="0"/>
          <w:highlight w:val="none"/>
        </w:rPr>
        <w:t xml:space="preserve">    23.6.4中标人无正当理由不与招标人签订合同的；</w:t>
      </w:r>
    </w:p>
    <w:p w14:paraId="6D6F261C">
      <w:pPr>
        <w:numPr>
          <w:ilvl w:val="0"/>
          <w:numId w:val="1"/>
        </w:numP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履约保证金</w:t>
      </w:r>
    </w:p>
    <w:p w14:paraId="6DAE7741">
      <w:pPr>
        <w:tabs>
          <w:tab w:val="left" w:pos="0"/>
        </w:tabs>
        <w:spacing w:line="360" w:lineRule="auto"/>
        <w:ind w:firstLine="482"/>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color w:val="auto"/>
          <w:kern w:val="0"/>
          <w:sz w:val="24"/>
          <w:highlight w:val="none"/>
        </w:rPr>
        <w:t>拟签订的合同文本要求中标供应商提交履约保证金的，供应商应当以支票、汇票、本票或者金融机构、担保机构出具的保函等非现金形式提交</w:t>
      </w:r>
      <w:r>
        <w:rPr>
          <w:rFonts w:hint="eastAsia" w:cs="仿宋" w:asciiTheme="majorEastAsia" w:hAnsiTheme="majorEastAsia" w:eastAsiaTheme="majorEastAsia"/>
          <w:color w:val="auto"/>
          <w:sz w:val="24"/>
          <w:highlight w:val="none"/>
        </w:rPr>
        <w:t>。</w:t>
      </w:r>
    </w:p>
    <w:p w14:paraId="5D3BFCD2">
      <w:pPr>
        <w:pStyle w:val="7"/>
        <w:rPr>
          <w:rFonts w:asciiTheme="majorEastAsia" w:hAnsiTheme="majorEastAsia" w:eastAsiaTheme="majorEastAsia"/>
          <w:color w:val="auto"/>
          <w:highlight w:val="none"/>
        </w:rPr>
      </w:pPr>
    </w:p>
    <w:p w14:paraId="0A049157">
      <w:pPr>
        <w:snapToGrid w:val="0"/>
        <w:spacing w:line="360" w:lineRule="auto"/>
        <w:ind w:firstLine="3357" w:firstLineChars="1045"/>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32"/>
          <w:highlight w:val="none"/>
        </w:rPr>
        <w:t>八、电子交易活动的中止</w:t>
      </w:r>
    </w:p>
    <w:p w14:paraId="70F22DA8">
      <w:pPr>
        <w:numPr>
          <w:ilvl w:val="0"/>
          <w:numId w:val="1"/>
        </w:numP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电子交易活动的中止</w:t>
      </w:r>
    </w:p>
    <w:p w14:paraId="7868BEB7">
      <w:pPr>
        <w:tabs>
          <w:tab w:val="left" w:pos="0"/>
        </w:tabs>
        <w:spacing w:line="360" w:lineRule="auto"/>
        <w:ind w:firstLine="48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采购过程中出现以下情形，导致电子交易平台无法正常运行，或者无法保证电子交易的公平、公正和安全时，采购代理机构可中止电子交易活动：</w:t>
      </w:r>
    </w:p>
    <w:p w14:paraId="351DACFB">
      <w:pPr>
        <w:pStyle w:val="43"/>
        <w:snapToGrid w:val="0"/>
        <w:spacing w:before="0"/>
        <w:ind w:firstLine="48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 xml:space="preserve">25.1电子交易平台发生故障而无法登录访问的； </w:t>
      </w:r>
    </w:p>
    <w:p w14:paraId="3CEB7072">
      <w:pPr>
        <w:pStyle w:val="43"/>
        <w:snapToGrid w:val="0"/>
        <w:spacing w:before="0"/>
        <w:ind w:firstLine="48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25.2电子交易平台应用或数据库出现错误，不能进行正常操作的；</w:t>
      </w:r>
    </w:p>
    <w:p w14:paraId="74A1F94B">
      <w:pPr>
        <w:pStyle w:val="43"/>
        <w:snapToGrid w:val="0"/>
        <w:spacing w:before="0"/>
        <w:ind w:firstLine="48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25.3电子交易平台发现严重安全漏洞，有潜在泄密危险的；</w:t>
      </w:r>
    </w:p>
    <w:p w14:paraId="591E69BB">
      <w:pPr>
        <w:pStyle w:val="43"/>
        <w:snapToGrid w:val="0"/>
        <w:spacing w:before="0"/>
        <w:ind w:firstLine="48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 xml:space="preserve">25.4病毒发作导致不能进行正常操作的； </w:t>
      </w:r>
    </w:p>
    <w:p w14:paraId="65C012F7">
      <w:pPr>
        <w:pStyle w:val="43"/>
        <w:snapToGrid w:val="0"/>
        <w:spacing w:before="0"/>
        <w:ind w:firstLine="48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25.5其他无法保证电子交易的公平、公正和安全的情况。</w:t>
      </w:r>
    </w:p>
    <w:p w14:paraId="4AC9A04B">
      <w:pPr>
        <w:tabs>
          <w:tab w:val="left" w:pos="0"/>
        </w:tabs>
        <w:spacing w:line="360" w:lineRule="auto"/>
        <w:ind w:firstLine="480"/>
        <w:rPr>
          <w:rFonts w:cs="仿宋" w:asciiTheme="majorEastAsia" w:hAnsiTheme="majorEastAsia" w:eastAsiaTheme="majorEastAsia"/>
          <w:color w:val="auto"/>
          <w:sz w:val="24"/>
          <w:highlight w:val="none"/>
        </w:rPr>
      </w:pPr>
    </w:p>
    <w:p w14:paraId="64534039">
      <w:pPr>
        <w:snapToGrid w:val="0"/>
        <w:spacing w:line="360" w:lineRule="auto"/>
        <w:ind w:left="120" w:leftChars="57" w:firstLine="482" w:firstLineChars="150"/>
        <w:jc w:val="center"/>
        <w:rPr>
          <w:rFonts w:cs="仿宋" w:asciiTheme="majorEastAsia" w:hAnsiTheme="majorEastAsia" w:eastAsiaTheme="majorEastAsia"/>
          <w:b/>
          <w:color w:val="auto"/>
          <w:sz w:val="32"/>
          <w:highlight w:val="none"/>
        </w:rPr>
      </w:pPr>
      <w:r>
        <w:rPr>
          <w:rFonts w:hint="eastAsia" w:cs="仿宋" w:asciiTheme="majorEastAsia" w:hAnsiTheme="majorEastAsia" w:eastAsiaTheme="majorEastAsia"/>
          <w:b/>
          <w:color w:val="auto"/>
          <w:sz w:val="32"/>
          <w:highlight w:val="none"/>
        </w:rPr>
        <w:t>九、验收</w:t>
      </w:r>
    </w:p>
    <w:p w14:paraId="43797F3C">
      <w:pPr>
        <w:numPr>
          <w:ilvl w:val="0"/>
          <w:numId w:val="1"/>
        </w:numP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验收</w:t>
      </w:r>
    </w:p>
    <w:p w14:paraId="60ABE5DF">
      <w:pPr>
        <w:tabs>
          <w:tab w:val="left" w:pos="0"/>
        </w:tabs>
        <w:spacing w:line="360" w:lineRule="auto"/>
        <w:ind w:firstLine="48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26.1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910F61A">
      <w:pPr>
        <w:tabs>
          <w:tab w:val="left" w:pos="0"/>
        </w:tabs>
        <w:spacing w:line="360" w:lineRule="auto"/>
        <w:ind w:firstLine="48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26.2严格按照采购合同开展履约验收。采购人成立验收小组（为社会公众提供的公共服务项目验收时，验收小组成员必须包含部分服务对象），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7837BFF">
      <w:pPr>
        <w:tabs>
          <w:tab w:val="left" w:pos="0"/>
        </w:tabs>
        <w:spacing w:line="360" w:lineRule="auto"/>
        <w:ind w:firstLine="48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26.3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监管部门。</w:t>
      </w:r>
      <w:bookmarkEnd w:id="11"/>
      <w:bookmarkEnd w:id="12"/>
      <w:bookmarkEnd w:id="13"/>
      <w:bookmarkStart w:id="14" w:name="_Hlt74714665"/>
      <w:bookmarkEnd w:id="14"/>
      <w:bookmarkStart w:id="15" w:name="_Hlt74729768"/>
      <w:bookmarkEnd w:id="15"/>
      <w:bookmarkStart w:id="16" w:name="_Hlt68072990"/>
      <w:bookmarkEnd w:id="16"/>
      <w:bookmarkStart w:id="17" w:name="_Hlt68072998"/>
      <w:bookmarkEnd w:id="17"/>
      <w:bookmarkStart w:id="18" w:name="_Hlt68073093"/>
      <w:bookmarkEnd w:id="18"/>
      <w:bookmarkStart w:id="19" w:name="_Hlt75236290"/>
      <w:bookmarkEnd w:id="19"/>
      <w:bookmarkStart w:id="20" w:name="_Hlt74707468"/>
      <w:bookmarkEnd w:id="20"/>
      <w:bookmarkStart w:id="21" w:name="_Hlt75236011"/>
      <w:bookmarkEnd w:id="21"/>
      <w:bookmarkStart w:id="22" w:name="_Hlt75236101"/>
      <w:bookmarkEnd w:id="22"/>
      <w:bookmarkStart w:id="23" w:name="_Hlt68057669"/>
      <w:bookmarkEnd w:id="23"/>
      <w:bookmarkStart w:id="24" w:name="_Hlt74730295"/>
      <w:bookmarkEnd w:id="24"/>
      <w:bookmarkStart w:id="25" w:name="_Hlt68403820"/>
      <w:bookmarkEnd w:id="25"/>
      <w:bookmarkStart w:id="26" w:name="第四部分"/>
    </w:p>
    <w:p w14:paraId="568A4EFA">
      <w:pPr>
        <w:pStyle w:val="28"/>
        <w:spacing w:line="360" w:lineRule="auto"/>
        <w:ind w:firstLine="480"/>
        <w:rPr>
          <w:rFonts w:asciiTheme="minorEastAsia" w:hAnsiTheme="minorEastAsia" w:eastAsiaTheme="minorEastAsia" w:cstheme="minorEastAsia"/>
          <w:color w:val="auto"/>
          <w:sz w:val="24"/>
          <w:highlight w:val="none"/>
        </w:rPr>
      </w:pPr>
      <w:bookmarkStart w:id="27" w:name="_Toc471938839"/>
    </w:p>
    <w:p w14:paraId="734D3346">
      <w:pPr>
        <w:pStyle w:val="28"/>
        <w:ind w:firstLine="0" w:firstLineChars="0"/>
        <w:rPr>
          <w:rFonts w:cs="仿宋" w:asciiTheme="majorEastAsia" w:hAnsiTheme="majorEastAsia" w:eastAsiaTheme="majorEastAsia"/>
          <w:b/>
          <w:color w:val="auto"/>
          <w:sz w:val="32"/>
          <w:highlight w:val="none"/>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p>
    <w:p w14:paraId="195F1155">
      <w:pPr>
        <w:tabs>
          <w:tab w:val="left" w:pos="0"/>
        </w:tabs>
        <w:spacing w:line="360" w:lineRule="auto"/>
        <w:jc w:val="center"/>
        <w:rPr>
          <w:rFonts w:cs="仿宋" w:asciiTheme="majorEastAsia" w:hAnsiTheme="majorEastAsia" w:eastAsiaTheme="majorEastAsia"/>
          <w:b/>
          <w:color w:val="auto"/>
          <w:sz w:val="36"/>
          <w:szCs w:val="36"/>
          <w:highlight w:val="none"/>
        </w:rPr>
      </w:pPr>
      <w:r>
        <w:rPr>
          <w:rFonts w:hint="eastAsia" w:cs="仿宋" w:asciiTheme="majorEastAsia" w:hAnsiTheme="majorEastAsia" w:eastAsiaTheme="majorEastAsia"/>
          <w:b/>
          <w:color w:val="auto"/>
          <w:sz w:val="36"/>
          <w:szCs w:val="36"/>
          <w:highlight w:val="none"/>
        </w:rPr>
        <w:t>第三部分   采购需求</w:t>
      </w:r>
    </w:p>
    <w:p w14:paraId="1B4F8A94">
      <w:pPr>
        <w:pStyle w:val="28"/>
        <w:ind w:firstLine="0" w:firstLineChars="0"/>
        <w:rPr>
          <w:rFonts w:cs="仿宋" w:asciiTheme="majorEastAsia" w:hAnsiTheme="majorEastAsia" w:eastAsiaTheme="majorEastAsia"/>
          <w:b/>
          <w:color w:val="auto"/>
          <w:sz w:val="32"/>
          <w:highlight w:val="none"/>
        </w:rPr>
      </w:pPr>
    </w:p>
    <w:p w14:paraId="2DDFAF71">
      <w:pPr>
        <w:pStyle w:val="64"/>
        <w:spacing w:line="360" w:lineRule="auto"/>
        <w:ind w:firstLine="482"/>
        <w:rPr>
          <w:rFonts w:cs="仿宋" w:asciiTheme="majorEastAsia" w:hAnsiTheme="majorEastAsia" w:eastAsiaTheme="majorEastAsia"/>
          <w:b/>
          <w:color w:val="auto"/>
          <w:sz w:val="36"/>
          <w:szCs w:val="36"/>
          <w:highlight w:val="none"/>
        </w:rPr>
      </w:pPr>
      <w:r>
        <w:rPr>
          <w:rFonts w:hint="eastAsia" w:ascii="宋体" w:hAnsi="宋体" w:cs="宋体"/>
          <w:b/>
          <w:color w:val="auto"/>
          <w:szCs w:val="24"/>
          <w:highlight w:val="none"/>
        </w:rPr>
        <w:t>一、项目名称</w:t>
      </w:r>
    </w:p>
    <w:p w14:paraId="08B687D2">
      <w:pPr>
        <w:tabs>
          <w:tab w:val="left" w:pos="851"/>
        </w:tabs>
        <w:spacing w:line="360" w:lineRule="auto"/>
        <w:ind w:firstLine="440" w:firstLineChars="200"/>
        <w:rPr>
          <w:rFonts w:ascii="宋体" w:hAnsi="宋体" w:cs="宋体"/>
          <w:color w:val="auto"/>
          <w:sz w:val="22"/>
          <w:szCs w:val="22"/>
          <w:highlight w:val="none"/>
        </w:rPr>
      </w:pPr>
      <w:bookmarkStart w:id="28" w:name="_Toc238282731"/>
      <w:bookmarkStart w:id="29" w:name="_Toc238302727"/>
      <w:bookmarkStart w:id="30" w:name="_Toc337648126"/>
      <w:bookmarkStart w:id="31" w:name="_Toc238060532"/>
      <w:bookmarkStart w:id="32" w:name="_Toc234496370"/>
      <w:bookmarkStart w:id="33" w:name="_Toc540"/>
      <w:bookmarkStart w:id="34" w:name="_Toc238060866"/>
      <w:r>
        <w:rPr>
          <w:rFonts w:hint="eastAsia" w:ascii="宋体" w:hAnsi="宋体" w:cs="宋体"/>
          <w:color w:val="auto"/>
          <w:sz w:val="22"/>
          <w:szCs w:val="22"/>
          <w:highlight w:val="none"/>
        </w:rPr>
        <w:t>奉化区FH24-02-09a地块建设项目光伏系统、空气能热水系统采购项目</w:t>
      </w:r>
    </w:p>
    <w:bookmarkEnd w:id="28"/>
    <w:bookmarkEnd w:id="29"/>
    <w:bookmarkEnd w:id="30"/>
    <w:bookmarkEnd w:id="31"/>
    <w:bookmarkEnd w:id="32"/>
    <w:bookmarkEnd w:id="33"/>
    <w:bookmarkEnd w:id="34"/>
    <w:p w14:paraId="1AF57E79">
      <w:pPr>
        <w:spacing w:line="360" w:lineRule="auto"/>
        <w:ind w:firstLine="482" w:firstLineChars="200"/>
        <w:rPr>
          <w:b/>
          <w:bCs/>
          <w:color w:val="auto"/>
          <w:sz w:val="24"/>
          <w:highlight w:val="none"/>
        </w:rPr>
      </w:pPr>
      <w:bookmarkStart w:id="35" w:name="_Toc505959567"/>
      <w:bookmarkStart w:id="36" w:name="_Toc2871"/>
      <w:bookmarkStart w:id="37" w:name="_Toc475899181"/>
      <w:bookmarkStart w:id="38" w:name="_Toc324346910"/>
      <w:bookmarkStart w:id="39" w:name="_Toc2268"/>
      <w:r>
        <w:rPr>
          <w:rFonts w:hint="eastAsia"/>
          <w:b/>
          <w:bCs/>
          <w:color w:val="auto"/>
          <w:sz w:val="24"/>
          <w:highlight w:val="none"/>
        </w:rPr>
        <w:t>二、采购范围</w:t>
      </w:r>
      <w:bookmarkEnd w:id="35"/>
      <w:bookmarkEnd w:id="36"/>
      <w:bookmarkEnd w:id="37"/>
      <w:bookmarkEnd w:id="38"/>
      <w:bookmarkEnd w:id="39"/>
    </w:p>
    <w:p w14:paraId="5C4DE6F8">
      <w:pPr>
        <w:tabs>
          <w:tab w:val="left" w:pos="851"/>
        </w:tabs>
        <w:spacing w:line="360" w:lineRule="auto"/>
        <w:ind w:firstLine="440" w:firstLineChars="200"/>
        <w:rPr>
          <w:rFonts w:ascii="宋体" w:hAnsi="宋体" w:cs="宋体"/>
          <w:color w:val="auto"/>
          <w:sz w:val="22"/>
          <w:szCs w:val="22"/>
          <w:highlight w:val="none"/>
        </w:rPr>
      </w:pPr>
      <w:bookmarkStart w:id="40" w:name="_Toc309922651"/>
      <w:bookmarkStart w:id="41" w:name="_Toc309921098"/>
      <w:bookmarkStart w:id="42" w:name="_Toc319915171"/>
      <w:bookmarkStart w:id="43" w:name="_Toc321054104"/>
      <w:bookmarkStart w:id="44" w:name="_Toc7787"/>
      <w:bookmarkStart w:id="45" w:name="_Toc26968"/>
      <w:bookmarkStart w:id="46" w:name="_Toc475899200"/>
      <w:bookmarkStart w:id="47" w:name="_Toc18703"/>
      <w:bookmarkStart w:id="48" w:name="_Toc324346919"/>
      <w:r>
        <w:rPr>
          <w:rFonts w:hint="eastAsia" w:ascii="宋体" w:hAnsi="宋体" w:cs="宋体"/>
          <w:color w:val="auto"/>
          <w:sz w:val="22"/>
          <w:szCs w:val="22"/>
          <w:highlight w:val="none"/>
        </w:rPr>
        <w:t>1、本项目包含图纸及招标文件要求范围内设备和材料采购、运输及装卸、安装施工、系统集成、调试及试运行、产品保护、竣工验收、专项检测、技术培训、保修期内的售后服务等内容。</w:t>
      </w:r>
      <w:bookmarkEnd w:id="40"/>
      <w:bookmarkEnd w:id="41"/>
    </w:p>
    <w:p w14:paraId="33B9BB5F">
      <w:pPr>
        <w:tabs>
          <w:tab w:val="left" w:pos="851"/>
        </w:tabs>
        <w:spacing w:line="360" w:lineRule="auto"/>
        <w:ind w:firstLine="440" w:firstLineChars="200"/>
        <w:rPr>
          <w:rFonts w:ascii="宋体" w:hAnsi="宋体" w:cs="宋体"/>
          <w:color w:val="auto"/>
          <w:sz w:val="22"/>
          <w:szCs w:val="22"/>
          <w:highlight w:val="none"/>
        </w:rPr>
      </w:pPr>
      <w:bookmarkStart w:id="49" w:name="_Toc309921099"/>
      <w:bookmarkStart w:id="50" w:name="_Toc309922652"/>
      <w:r>
        <w:rPr>
          <w:rFonts w:hint="eastAsia" w:ascii="宋体" w:hAnsi="宋体" w:cs="宋体"/>
          <w:color w:val="auto"/>
          <w:sz w:val="22"/>
          <w:szCs w:val="22"/>
          <w:highlight w:val="none"/>
        </w:rPr>
        <w:t>2</w:t>
      </w:r>
      <w:bookmarkEnd w:id="49"/>
      <w:bookmarkEnd w:id="50"/>
      <w:r>
        <w:rPr>
          <w:rFonts w:hint="eastAsia" w:ascii="宋体" w:hAnsi="宋体" w:cs="宋体"/>
          <w:color w:val="auto"/>
          <w:sz w:val="22"/>
          <w:szCs w:val="22"/>
          <w:highlight w:val="none"/>
        </w:rPr>
        <w:t>、项目包含以下子系统：</w:t>
      </w:r>
      <w:r>
        <w:rPr>
          <w:rFonts w:hint="eastAsia" w:ascii="宋体" w:hAnsi="宋体" w:cs="宋体"/>
          <w:color w:val="auto"/>
          <w:sz w:val="22"/>
          <w:szCs w:val="22"/>
          <w:highlight w:val="none"/>
          <w:lang w:val="zh-CN"/>
        </w:rPr>
        <w:t>详见附件</w:t>
      </w:r>
      <w:r>
        <w:rPr>
          <w:rFonts w:hint="eastAsia" w:ascii="宋体" w:hAnsi="宋体" w:cs="宋体"/>
          <w:color w:val="auto"/>
          <w:sz w:val="22"/>
          <w:szCs w:val="22"/>
          <w:highlight w:val="none"/>
        </w:rPr>
        <w:t>图纸。</w:t>
      </w:r>
    </w:p>
    <w:p w14:paraId="2240860B">
      <w:pPr>
        <w:spacing w:line="360" w:lineRule="auto"/>
        <w:ind w:firstLine="482" w:firstLineChars="200"/>
        <w:rPr>
          <w:b/>
          <w:bCs/>
          <w:color w:val="auto"/>
          <w:sz w:val="24"/>
          <w:highlight w:val="none"/>
        </w:rPr>
      </w:pPr>
      <w:bookmarkStart w:id="51" w:name="_Toc462044159"/>
      <w:bookmarkStart w:id="52" w:name="_Toc462044165"/>
      <w:r>
        <w:rPr>
          <w:rFonts w:hint="eastAsia"/>
          <w:b/>
          <w:bCs/>
          <w:color w:val="auto"/>
          <w:sz w:val="24"/>
          <w:highlight w:val="none"/>
        </w:rPr>
        <w:t>三、项目基本要求</w:t>
      </w:r>
      <w:bookmarkEnd w:id="51"/>
    </w:p>
    <w:p w14:paraId="5A7FFB5E">
      <w:pPr>
        <w:tabs>
          <w:tab w:val="left" w:pos="851"/>
        </w:tabs>
        <w:spacing w:line="360" w:lineRule="auto"/>
        <w:ind w:firstLine="440" w:firstLineChars="200"/>
        <w:rPr>
          <w:rFonts w:ascii="宋体" w:hAnsi="宋体" w:cs="宋体"/>
          <w:color w:val="auto"/>
          <w:sz w:val="22"/>
          <w:szCs w:val="22"/>
          <w:highlight w:val="none"/>
        </w:rPr>
      </w:pPr>
      <w:bookmarkStart w:id="53" w:name="_Toc309921101"/>
      <w:bookmarkStart w:id="54" w:name="_Toc309922654"/>
      <w:r>
        <w:rPr>
          <w:rFonts w:hint="eastAsia" w:ascii="宋体" w:hAnsi="宋体" w:cs="宋体"/>
          <w:color w:val="auto"/>
          <w:sz w:val="22"/>
          <w:szCs w:val="22"/>
          <w:highlight w:val="none"/>
        </w:rPr>
        <w:t>1、本系统工程所有设备和材料均应选用专业制造商生产的较新规格型号的产品。</w:t>
      </w:r>
      <w:bookmarkEnd w:id="53"/>
      <w:bookmarkEnd w:id="54"/>
    </w:p>
    <w:p w14:paraId="2D8E4CD0">
      <w:pPr>
        <w:tabs>
          <w:tab w:val="left" w:pos="851"/>
        </w:tabs>
        <w:spacing w:line="360" w:lineRule="auto"/>
        <w:ind w:firstLine="440" w:firstLineChars="200"/>
        <w:rPr>
          <w:rFonts w:ascii="宋体" w:hAnsi="宋体" w:cs="宋体"/>
          <w:color w:val="auto"/>
          <w:sz w:val="22"/>
          <w:szCs w:val="22"/>
          <w:highlight w:val="none"/>
        </w:rPr>
      </w:pPr>
      <w:bookmarkStart w:id="55" w:name="_Toc309922655"/>
      <w:bookmarkStart w:id="56" w:name="_Toc309921102"/>
      <w:r>
        <w:rPr>
          <w:rFonts w:hint="eastAsia" w:ascii="宋体" w:hAnsi="宋体" w:cs="宋体"/>
          <w:color w:val="auto"/>
          <w:sz w:val="22"/>
          <w:szCs w:val="22"/>
          <w:highlight w:val="none"/>
        </w:rPr>
        <w:t>2、设备和材料的质量必须符合中国国家标准的要求。</w:t>
      </w:r>
      <w:bookmarkEnd w:id="55"/>
      <w:bookmarkEnd w:id="56"/>
    </w:p>
    <w:p w14:paraId="4D7B7570">
      <w:pPr>
        <w:tabs>
          <w:tab w:val="left" w:pos="851"/>
        </w:tabs>
        <w:spacing w:line="360" w:lineRule="auto"/>
        <w:ind w:firstLine="440" w:firstLineChars="200"/>
        <w:rPr>
          <w:rFonts w:ascii="宋体" w:hAnsi="宋体" w:cs="宋体"/>
          <w:color w:val="auto"/>
          <w:sz w:val="22"/>
          <w:szCs w:val="22"/>
          <w:highlight w:val="none"/>
        </w:rPr>
      </w:pPr>
      <w:bookmarkStart w:id="57" w:name="_Toc309922656"/>
      <w:bookmarkStart w:id="58" w:name="_Toc309921103"/>
      <w:r>
        <w:rPr>
          <w:rFonts w:hint="eastAsia" w:ascii="宋体" w:hAnsi="宋体" w:cs="宋体"/>
          <w:color w:val="auto"/>
          <w:sz w:val="22"/>
          <w:szCs w:val="22"/>
          <w:highlight w:val="none"/>
        </w:rPr>
        <w:t>3、系统设备安装工艺要求明确系统设备安装材料、安装步骤、安装方式和安装方法等。</w:t>
      </w:r>
      <w:bookmarkEnd w:id="57"/>
      <w:bookmarkEnd w:id="58"/>
    </w:p>
    <w:p w14:paraId="6EE0993B">
      <w:pPr>
        <w:tabs>
          <w:tab w:val="left" w:pos="851"/>
        </w:tabs>
        <w:spacing w:line="360" w:lineRule="auto"/>
        <w:ind w:firstLine="440" w:firstLineChars="200"/>
        <w:rPr>
          <w:rFonts w:ascii="宋体" w:hAnsi="宋体" w:cs="宋体"/>
          <w:color w:val="auto"/>
          <w:sz w:val="22"/>
          <w:szCs w:val="22"/>
          <w:highlight w:val="none"/>
        </w:rPr>
      </w:pPr>
      <w:bookmarkStart w:id="59" w:name="_Toc309922664"/>
      <w:bookmarkStart w:id="60" w:name="_Toc309921111"/>
      <w:r>
        <w:rPr>
          <w:rFonts w:hint="eastAsia" w:ascii="宋体" w:hAnsi="宋体" w:cs="宋体"/>
          <w:color w:val="auto"/>
          <w:sz w:val="22"/>
          <w:szCs w:val="22"/>
          <w:highlight w:val="none"/>
        </w:rPr>
        <w:t>4、中标人对本项目提供的设备和材料负总责任。</w:t>
      </w:r>
      <w:bookmarkEnd w:id="59"/>
      <w:bookmarkEnd w:id="60"/>
    </w:p>
    <w:p w14:paraId="01FDFBEB">
      <w:pPr>
        <w:tabs>
          <w:tab w:val="left" w:pos="851"/>
        </w:tabs>
        <w:spacing w:line="360" w:lineRule="auto"/>
        <w:ind w:firstLine="440" w:firstLineChars="200"/>
        <w:rPr>
          <w:rFonts w:ascii="宋体" w:hAnsi="宋体" w:cs="宋体"/>
          <w:color w:val="auto"/>
          <w:sz w:val="22"/>
          <w:szCs w:val="22"/>
          <w:highlight w:val="none"/>
        </w:rPr>
      </w:pPr>
      <w:bookmarkStart w:id="61" w:name="_Toc309922666"/>
      <w:bookmarkStart w:id="62" w:name="_Toc309921113"/>
      <w:r>
        <w:rPr>
          <w:rFonts w:hint="eastAsia" w:ascii="宋体" w:hAnsi="宋体" w:cs="宋体"/>
          <w:color w:val="auto"/>
          <w:sz w:val="22"/>
          <w:szCs w:val="22"/>
          <w:highlight w:val="none"/>
        </w:rPr>
        <w:t>5、</w:t>
      </w:r>
      <w:bookmarkEnd w:id="61"/>
      <w:bookmarkEnd w:id="62"/>
      <w:r>
        <w:rPr>
          <w:rFonts w:hint="eastAsia" w:ascii="宋体" w:hAnsi="宋体" w:cs="宋体"/>
          <w:color w:val="auto"/>
          <w:sz w:val="22"/>
          <w:szCs w:val="22"/>
          <w:highlight w:val="none"/>
        </w:rPr>
        <w:t>总承包配合要求。</w:t>
      </w:r>
      <w:bookmarkStart w:id="63" w:name="_Toc309921120"/>
      <w:bookmarkStart w:id="64" w:name="_Toc309922673"/>
      <w:r>
        <w:rPr>
          <w:rFonts w:hint="eastAsia" w:ascii="宋体" w:hAnsi="宋体" w:cs="宋体"/>
          <w:color w:val="auto"/>
          <w:sz w:val="22"/>
          <w:szCs w:val="22"/>
          <w:highlight w:val="none"/>
        </w:rPr>
        <w:t xml:space="preserve"> </w:t>
      </w:r>
    </w:p>
    <w:bookmarkEnd w:id="63"/>
    <w:bookmarkEnd w:id="64"/>
    <w:p w14:paraId="704A7493">
      <w:pPr>
        <w:spacing w:line="360" w:lineRule="auto"/>
        <w:ind w:firstLine="482" w:firstLineChars="200"/>
        <w:rPr>
          <w:b/>
          <w:bCs/>
          <w:color w:val="auto"/>
          <w:sz w:val="24"/>
          <w:highlight w:val="none"/>
        </w:rPr>
      </w:pPr>
      <w:bookmarkStart w:id="65" w:name="_Toc462044160"/>
      <w:r>
        <w:rPr>
          <w:rFonts w:hint="eastAsia"/>
          <w:b/>
          <w:bCs/>
          <w:color w:val="auto"/>
          <w:sz w:val="24"/>
          <w:highlight w:val="none"/>
        </w:rPr>
        <w:t>四、项目实施方案</w:t>
      </w:r>
      <w:bookmarkEnd w:id="65"/>
    </w:p>
    <w:p w14:paraId="5EC7B382">
      <w:pPr>
        <w:tabs>
          <w:tab w:val="left" w:pos="851"/>
        </w:tabs>
        <w:spacing w:line="360" w:lineRule="auto"/>
        <w:ind w:firstLine="440" w:firstLineChars="200"/>
        <w:rPr>
          <w:rFonts w:ascii="宋体" w:hAnsi="宋体" w:cs="宋体"/>
          <w:color w:val="auto"/>
          <w:sz w:val="22"/>
          <w:szCs w:val="22"/>
          <w:highlight w:val="none"/>
        </w:rPr>
      </w:pPr>
      <w:bookmarkStart w:id="66" w:name="_Toc309922668"/>
      <w:bookmarkStart w:id="67" w:name="_Toc309921115"/>
      <w:r>
        <w:rPr>
          <w:rFonts w:hint="eastAsia" w:ascii="宋体" w:hAnsi="宋体" w:cs="宋体"/>
          <w:color w:val="auto"/>
          <w:sz w:val="22"/>
          <w:szCs w:val="22"/>
          <w:highlight w:val="none"/>
        </w:rPr>
        <w:t>1、投标单位针对本工程编制项目管理机构的配置情况，填写“项目实施人员一览表”并放入投标文件中</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格式自拟</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w:t>
      </w:r>
      <w:bookmarkEnd w:id="66"/>
      <w:bookmarkEnd w:id="67"/>
      <w:bookmarkStart w:id="68" w:name="_Toc309921116"/>
      <w:bookmarkStart w:id="69" w:name="_Toc309922669"/>
    </w:p>
    <w:p w14:paraId="1B152813">
      <w:pPr>
        <w:tabs>
          <w:tab w:val="left" w:pos="851"/>
        </w:tabs>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2、投标单位一旦中标，没有经采购人允许，不得对管理机构人员配置进行变更。</w:t>
      </w:r>
      <w:bookmarkEnd w:id="68"/>
      <w:bookmarkEnd w:id="69"/>
    </w:p>
    <w:p w14:paraId="11F31EEC">
      <w:pPr>
        <w:tabs>
          <w:tab w:val="left" w:pos="851"/>
        </w:tabs>
        <w:spacing w:line="360" w:lineRule="auto"/>
        <w:ind w:firstLine="440" w:firstLineChars="200"/>
        <w:rPr>
          <w:rFonts w:ascii="宋体" w:hAnsi="宋体" w:cs="宋体"/>
          <w:color w:val="auto"/>
          <w:sz w:val="22"/>
          <w:szCs w:val="22"/>
          <w:highlight w:val="none"/>
        </w:rPr>
      </w:pPr>
      <w:bookmarkStart w:id="70" w:name="_Toc309922671"/>
      <w:bookmarkStart w:id="71" w:name="_Toc309921118"/>
      <w:r>
        <w:rPr>
          <w:rFonts w:hint="eastAsia" w:ascii="宋体" w:hAnsi="宋体" w:cs="宋体"/>
          <w:color w:val="auto"/>
          <w:sz w:val="22"/>
          <w:szCs w:val="22"/>
          <w:highlight w:val="none"/>
        </w:rPr>
        <w:t>3、项目执行计划。投标单位应根据采购人的交付要求，在合同签订后按要求进行设备采购、安装调试、系统集成、内部测试、验收通过等，并注明时段以及每个阶段的负责人，具体在项目执行计划中体现。</w:t>
      </w:r>
      <w:bookmarkEnd w:id="70"/>
      <w:bookmarkEnd w:id="71"/>
    </w:p>
    <w:p w14:paraId="32E1F53C">
      <w:pPr>
        <w:tabs>
          <w:tab w:val="left" w:pos="851"/>
        </w:tabs>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4、</w:t>
      </w:r>
      <w:r>
        <w:rPr>
          <w:rFonts w:hint="eastAsia" w:cs="仿宋" w:asciiTheme="majorEastAsia" w:hAnsiTheme="majorEastAsia" w:eastAsiaTheme="majorEastAsia"/>
          <w:b/>
          <w:color w:val="auto"/>
          <w:highlight w:val="none"/>
        </w:rPr>
        <w:t>▲</w:t>
      </w:r>
      <w:r>
        <w:rPr>
          <w:rFonts w:hint="eastAsia" w:ascii="宋体" w:hAnsi="宋体" w:cs="宋体"/>
          <w:color w:val="auto"/>
          <w:sz w:val="22"/>
          <w:szCs w:val="22"/>
          <w:highlight w:val="none"/>
        </w:rPr>
        <w:t>项目验收要求。项目安装、调试完成后，需通过采购人验收。系统验收合格的条件必须至少满足以下三个要求：</w:t>
      </w:r>
    </w:p>
    <w:p w14:paraId="74FDDEBC">
      <w:pPr>
        <w:tabs>
          <w:tab w:val="left" w:pos="851"/>
        </w:tabs>
        <w:spacing w:line="360" w:lineRule="auto"/>
        <w:ind w:left="479" w:leftChars="228"/>
        <w:rPr>
          <w:rFonts w:ascii="宋体" w:hAnsi="宋体" w:cs="宋体"/>
          <w:color w:val="auto"/>
          <w:sz w:val="22"/>
          <w:szCs w:val="22"/>
          <w:highlight w:val="none"/>
        </w:rPr>
      </w:pPr>
      <w:r>
        <w:rPr>
          <w:rFonts w:hint="eastAsia" w:ascii="宋体" w:hAnsi="宋体" w:cs="宋体"/>
          <w:color w:val="auto"/>
          <w:sz w:val="22"/>
          <w:szCs w:val="22"/>
          <w:highlight w:val="none"/>
        </w:rPr>
        <w:t>①已提供了合同要求的全部设备和资料；</w:t>
      </w:r>
    </w:p>
    <w:p w14:paraId="000E67E3">
      <w:pPr>
        <w:tabs>
          <w:tab w:val="left" w:pos="851"/>
        </w:tabs>
        <w:spacing w:line="360" w:lineRule="auto"/>
        <w:ind w:left="479" w:leftChars="228"/>
        <w:rPr>
          <w:rFonts w:ascii="宋体" w:hAnsi="宋体" w:cs="宋体"/>
          <w:color w:val="auto"/>
          <w:sz w:val="22"/>
          <w:szCs w:val="22"/>
          <w:highlight w:val="none"/>
        </w:rPr>
      </w:pPr>
      <w:r>
        <w:rPr>
          <w:rFonts w:hint="eastAsia" w:ascii="宋体" w:hAnsi="宋体" w:cs="宋体"/>
          <w:color w:val="auto"/>
          <w:sz w:val="22"/>
          <w:szCs w:val="22"/>
          <w:highlight w:val="none"/>
        </w:rPr>
        <w:t>②试运行时性能满足合同要求；</w:t>
      </w:r>
    </w:p>
    <w:p w14:paraId="17ADBAB8">
      <w:pPr>
        <w:tabs>
          <w:tab w:val="left" w:pos="851"/>
        </w:tabs>
        <w:spacing w:line="360" w:lineRule="auto"/>
        <w:ind w:left="479" w:leftChars="228"/>
        <w:rPr>
          <w:rFonts w:ascii="宋体" w:hAnsi="宋体" w:cs="宋体"/>
          <w:color w:val="auto"/>
          <w:sz w:val="22"/>
          <w:szCs w:val="22"/>
          <w:highlight w:val="none"/>
        </w:rPr>
      </w:pPr>
      <w:r>
        <w:rPr>
          <w:rFonts w:hint="eastAsia" w:ascii="宋体" w:hAnsi="宋体" w:cs="宋体"/>
          <w:color w:val="auto"/>
          <w:sz w:val="22"/>
          <w:szCs w:val="22"/>
          <w:highlight w:val="none"/>
        </w:rPr>
        <w:t>③性能测试和试运行验收时出现的问题已被解决。</w:t>
      </w:r>
    </w:p>
    <w:p w14:paraId="2825181F">
      <w:pPr>
        <w:tabs>
          <w:tab w:val="left" w:pos="851"/>
        </w:tabs>
        <w:spacing w:line="360" w:lineRule="auto"/>
        <w:ind w:firstLine="440" w:firstLineChars="200"/>
        <w:rPr>
          <w:rFonts w:ascii="宋体" w:hAnsi="宋体" w:cs="宋体"/>
          <w:color w:val="auto"/>
          <w:sz w:val="22"/>
          <w:szCs w:val="22"/>
          <w:highlight w:val="none"/>
        </w:rPr>
      </w:pPr>
      <w:bookmarkStart w:id="72" w:name="_Toc309922674"/>
      <w:bookmarkStart w:id="73" w:name="_Toc309921121"/>
      <w:r>
        <w:rPr>
          <w:rFonts w:hint="eastAsia" w:ascii="宋体" w:hAnsi="宋体" w:cs="宋体"/>
          <w:color w:val="auto"/>
          <w:sz w:val="22"/>
          <w:szCs w:val="22"/>
          <w:highlight w:val="none"/>
        </w:rPr>
        <w:t>5、投标单位应针对本工程编制施工组织设计并放入投标文件中，施工组织设计包括以下内容：</w:t>
      </w:r>
      <w:bookmarkEnd w:id="72"/>
      <w:bookmarkEnd w:id="73"/>
    </w:p>
    <w:p w14:paraId="134688A5">
      <w:pPr>
        <w:tabs>
          <w:tab w:val="left" w:pos="851"/>
        </w:tabs>
        <w:spacing w:line="360" w:lineRule="auto"/>
        <w:ind w:left="479" w:leftChars="228"/>
        <w:rPr>
          <w:rFonts w:ascii="宋体" w:hAnsi="宋体" w:cs="宋体"/>
          <w:color w:val="auto"/>
          <w:sz w:val="22"/>
          <w:szCs w:val="22"/>
          <w:highlight w:val="none"/>
        </w:rPr>
      </w:pPr>
      <w:r>
        <w:rPr>
          <w:rFonts w:hint="eastAsia" w:ascii="宋体" w:hAnsi="宋体" w:cs="宋体"/>
          <w:color w:val="auto"/>
          <w:sz w:val="22"/>
          <w:szCs w:val="22"/>
          <w:highlight w:val="none"/>
        </w:rPr>
        <w:t>--各子系统的施工方法</w:t>
      </w:r>
    </w:p>
    <w:p w14:paraId="0F07E452">
      <w:pPr>
        <w:tabs>
          <w:tab w:val="left" w:pos="851"/>
        </w:tabs>
        <w:spacing w:line="360" w:lineRule="auto"/>
        <w:ind w:left="479" w:leftChars="228"/>
        <w:rPr>
          <w:rFonts w:ascii="宋体" w:hAnsi="宋体" w:cs="宋体"/>
          <w:color w:val="auto"/>
          <w:sz w:val="22"/>
          <w:szCs w:val="22"/>
          <w:highlight w:val="none"/>
        </w:rPr>
      </w:pPr>
      <w:r>
        <w:rPr>
          <w:rFonts w:hint="eastAsia" w:ascii="宋体" w:hAnsi="宋体" w:cs="宋体"/>
          <w:color w:val="auto"/>
          <w:sz w:val="22"/>
          <w:szCs w:val="22"/>
          <w:highlight w:val="none"/>
        </w:rPr>
        <w:t>--施工进度计划</w:t>
      </w:r>
    </w:p>
    <w:p w14:paraId="419DFF02">
      <w:pPr>
        <w:tabs>
          <w:tab w:val="left" w:pos="851"/>
        </w:tabs>
        <w:spacing w:line="360" w:lineRule="auto"/>
        <w:ind w:left="479" w:leftChars="228"/>
        <w:rPr>
          <w:rFonts w:ascii="宋体" w:hAnsi="宋体" w:cs="宋体"/>
          <w:color w:val="auto"/>
          <w:sz w:val="22"/>
          <w:szCs w:val="22"/>
          <w:highlight w:val="none"/>
        </w:rPr>
      </w:pPr>
      <w:r>
        <w:rPr>
          <w:rFonts w:hint="eastAsia" w:ascii="宋体" w:hAnsi="宋体" w:cs="宋体"/>
          <w:color w:val="auto"/>
          <w:sz w:val="22"/>
          <w:szCs w:val="22"/>
          <w:highlight w:val="none"/>
        </w:rPr>
        <w:t>--劳动力安排计划</w:t>
      </w:r>
    </w:p>
    <w:p w14:paraId="27039C01">
      <w:pPr>
        <w:tabs>
          <w:tab w:val="left" w:pos="851"/>
        </w:tabs>
        <w:spacing w:line="360" w:lineRule="auto"/>
        <w:ind w:left="479" w:leftChars="228"/>
        <w:rPr>
          <w:rFonts w:ascii="宋体" w:hAnsi="宋体" w:cs="宋体"/>
          <w:color w:val="auto"/>
          <w:sz w:val="22"/>
          <w:szCs w:val="22"/>
          <w:highlight w:val="none"/>
        </w:rPr>
      </w:pPr>
      <w:r>
        <w:rPr>
          <w:rFonts w:hint="eastAsia" w:ascii="宋体" w:hAnsi="宋体" w:cs="宋体"/>
          <w:color w:val="auto"/>
          <w:sz w:val="22"/>
          <w:szCs w:val="22"/>
          <w:highlight w:val="none"/>
        </w:rPr>
        <w:t>--重难点问题及解决方案</w:t>
      </w:r>
    </w:p>
    <w:p w14:paraId="5C204930">
      <w:pPr>
        <w:tabs>
          <w:tab w:val="left" w:pos="851"/>
        </w:tabs>
        <w:spacing w:line="360" w:lineRule="auto"/>
        <w:ind w:left="479" w:leftChars="228"/>
        <w:rPr>
          <w:rFonts w:ascii="宋体" w:hAnsi="宋体" w:cs="宋体"/>
          <w:color w:val="auto"/>
          <w:sz w:val="22"/>
          <w:szCs w:val="22"/>
          <w:highlight w:val="none"/>
        </w:rPr>
      </w:pPr>
      <w:r>
        <w:rPr>
          <w:rFonts w:hint="eastAsia" w:ascii="宋体" w:hAnsi="宋体" w:cs="宋体"/>
          <w:color w:val="auto"/>
          <w:sz w:val="22"/>
          <w:szCs w:val="22"/>
          <w:highlight w:val="none"/>
        </w:rPr>
        <w:t>--应急处理措施</w:t>
      </w:r>
    </w:p>
    <w:p w14:paraId="39C956B0">
      <w:pPr>
        <w:tabs>
          <w:tab w:val="left" w:pos="851"/>
        </w:tabs>
        <w:spacing w:line="360" w:lineRule="auto"/>
        <w:ind w:left="479" w:leftChars="228"/>
        <w:rPr>
          <w:rFonts w:ascii="宋体" w:hAnsi="宋体" w:cs="宋体"/>
          <w:color w:val="auto"/>
          <w:sz w:val="22"/>
          <w:szCs w:val="22"/>
          <w:highlight w:val="none"/>
        </w:rPr>
      </w:pPr>
      <w:r>
        <w:rPr>
          <w:rFonts w:hint="eastAsia" w:ascii="宋体" w:hAnsi="宋体" w:cs="宋体"/>
          <w:color w:val="auto"/>
          <w:sz w:val="22"/>
          <w:szCs w:val="22"/>
          <w:highlight w:val="none"/>
        </w:rPr>
        <w:t>--确保工程质量的技术组织措施</w:t>
      </w:r>
    </w:p>
    <w:p w14:paraId="3802124A">
      <w:pPr>
        <w:tabs>
          <w:tab w:val="left" w:pos="851"/>
        </w:tabs>
        <w:spacing w:line="360" w:lineRule="auto"/>
        <w:ind w:left="479" w:leftChars="228"/>
        <w:rPr>
          <w:rFonts w:ascii="宋体" w:hAnsi="宋体" w:cs="宋体"/>
          <w:color w:val="auto"/>
          <w:sz w:val="22"/>
          <w:szCs w:val="22"/>
          <w:highlight w:val="none"/>
        </w:rPr>
      </w:pPr>
      <w:r>
        <w:rPr>
          <w:rFonts w:hint="eastAsia" w:ascii="宋体" w:hAnsi="宋体" w:cs="宋体"/>
          <w:color w:val="auto"/>
          <w:sz w:val="22"/>
          <w:szCs w:val="22"/>
          <w:highlight w:val="none"/>
        </w:rPr>
        <w:t>--确保安全生产的技术组织措施</w:t>
      </w:r>
    </w:p>
    <w:p w14:paraId="024FF659">
      <w:pPr>
        <w:tabs>
          <w:tab w:val="left" w:pos="851"/>
        </w:tabs>
        <w:spacing w:line="360" w:lineRule="auto"/>
        <w:ind w:left="479" w:leftChars="228"/>
        <w:rPr>
          <w:rFonts w:ascii="宋体" w:hAnsi="宋体" w:cs="宋体"/>
          <w:color w:val="auto"/>
          <w:sz w:val="22"/>
          <w:szCs w:val="22"/>
          <w:highlight w:val="none"/>
        </w:rPr>
      </w:pPr>
      <w:r>
        <w:rPr>
          <w:rFonts w:hint="eastAsia" w:ascii="宋体" w:hAnsi="宋体" w:cs="宋体"/>
          <w:color w:val="auto"/>
          <w:sz w:val="22"/>
          <w:szCs w:val="22"/>
          <w:highlight w:val="none"/>
        </w:rPr>
        <w:t>--确保文明施工的技术组织措施</w:t>
      </w:r>
    </w:p>
    <w:p w14:paraId="5174B011">
      <w:pPr>
        <w:tabs>
          <w:tab w:val="left" w:pos="851"/>
        </w:tabs>
        <w:spacing w:line="360" w:lineRule="auto"/>
        <w:ind w:left="479" w:leftChars="228"/>
        <w:rPr>
          <w:color w:val="auto"/>
          <w:sz w:val="20"/>
          <w:szCs w:val="22"/>
          <w:highlight w:val="none"/>
        </w:rPr>
      </w:pPr>
      <w:r>
        <w:rPr>
          <w:rFonts w:hint="eastAsia" w:ascii="宋体" w:hAnsi="宋体" w:cs="宋体"/>
          <w:color w:val="auto"/>
          <w:sz w:val="22"/>
          <w:szCs w:val="22"/>
          <w:highlight w:val="none"/>
        </w:rPr>
        <w:t>--确保工期的技术组织措施</w:t>
      </w:r>
    </w:p>
    <w:p w14:paraId="3484B5E7">
      <w:pPr>
        <w:tabs>
          <w:tab w:val="left" w:pos="851"/>
        </w:tabs>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施工组织设计应采用文字并结合图表形式予以说明，内容简洁明了</w:t>
      </w:r>
    </w:p>
    <w:p w14:paraId="1E09E8D9">
      <w:pPr>
        <w:spacing w:line="360" w:lineRule="auto"/>
        <w:ind w:firstLine="482" w:firstLineChars="200"/>
        <w:rPr>
          <w:b/>
          <w:bCs/>
          <w:color w:val="auto"/>
          <w:sz w:val="24"/>
          <w:highlight w:val="none"/>
        </w:rPr>
      </w:pPr>
      <w:r>
        <w:rPr>
          <w:rFonts w:hint="eastAsia"/>
          <w:b/>
          <w:bCs/>
          <w:color w:val="auto"/>
          <w:sz w:val="24"/>
          <w:highlight w:val="none"/>
        </w:rPr>
        <w:t>五、空气源系统要求及技术规范和标准</w:t>
      </w:r>
    </w:p>
    <w:p w14:paraId="45C82127">
      <w:pPr>
        <w:tabs>
          <w:tab w:val="left" w:pos="851"/>
        </w:tabs>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5.1系统设计说明</w:t>
      </w:r>
    </w:p>
    <w:p w14:paraId="6BA4D28C">
      <w:pPr>
        <w:tabs>
          <w:tab w:val="left" w:pos="851"/>
        </w:tabs>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详见空气源图纸及采购清单。</w:t>
      </w:r>
    </w:p>
    <w:bookmarkEnd w:id="52"/>
    <w:p w14:paraId="5F4D657B">
      <w:pPr>
        <w:tabs>
          <w:tab w:val="left" w:pos="851"/>
        </w:tabs>
        <w:spacing w:line="360" w:lineRule="auto"/>
        <w:ind w:firstLine="440" w:firstLineChars="200"/>
        <w:rPr>
          <w:rFonts w:ascii="宋体" w:hAnsi="宋体" w:cs="宋体"/>
          <w:color w:val="auto"/>
          <w:sz w:val="22"/>
          <w:szCs w:val="22"/>
          <w:highlight w:val="none"/>
        </w:rPr>
      </w:pPr>
      <w:bookmarkStart w:id="74" w:name="_Toc309921133"/>
      <w:bookmarkStart w:id="75" w:name="_Toc246663049"/>
      <w:bookmarkStart w:id="76" w:name="_Toc309922686"/>
      <w:r>
        <w:rPr>
          <w:rFonts w:hint="eastAsia" w:ascii="宋体" w:hAnsi="宋体" w:cs="宋体"/>
          <w:color w:val="auto"/>
          <w:sz w:val="22"/>
          <w:szCs w:val="22"/>
          <w:highlight w:val="none"/>
        </w:rPr>
        <w:t>5.2其他要求</w:t>
      </w:r>
    </w:p>
    <w:p w14:paraId="2CE88A27">
      <w:pPr>
        <w:tabs>
          <w:tab w:val="left" w:pos="851"/>
        </w:tabs>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投标单位应认真阅读招标文件和设计图纸，踏勘现场，根据现场实际情况及采购人对质量、工期的要求提出技术方案，投标单位应结合自身产品特点和建筑条件进行校核。对图纸中提出需达到的设计要求，投标单位必须符合要求，同时应注意如下问题：</w:t>
      </w:r>
    </w:p>
    <w:p w14:paraId="2DCFC2A8">
      <w:pPr>
        <w:tabs>
          <w:tab w:val="left" w:pos="851"/>
        </w:tabs>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1）投标单位应自行考虑实施风险，任何原因导致的材料、人工费用等增加均不予以考虑；</w:t>
      </w:r>
    </w:p>
    <w:p w14:paraId="1F522A80">
      <w:pPr>
        <w:tabs>
          <w:tab w:val="left" w:pos="851"/>
        </w:tabs>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2）投标单位需采取有效的防水措施，不得破坏结构防水体系，费用不增加；</w:t>
      </w:r>
    </w:p>
    <w:p w14:paraId="09B7464E">
      <w:pPr>
        <w:pStyle w:val="7"/>
        <w:ind w:firstLine="440" w:firstLineChars="200"/>
        <w:rPr>
          <w:rFonts w:hAnsi="宋体" w:cs="宋体"/>
          <w:snapToGrid/>
          <w:color w:val="auto"/>
          <w:sz w:val="22"/>
          <w:szCs w:val="22"/>
          <w:highlight w:val="none"/>
          <w:lang w:val="en-US"/>
        </w:rPr>
      </w:pPr>
      <w:r>
        <w:rPr>
          <w:rFonts w:hint="eastAsia" w:hAnsi="宋体" w:cs="宋体"/>
          <w:snapToGrid/>
          <w:color w:val="auto"/>
          <w:sz w:val="22"/>
          <w:szCs w:val="22"/>
          <w:highlight w:val="none"/>
          <w:lang w:val="en-US"/>
        </w:rPr>
        <w:t>3）投标人须在交货时提供设备的详尽技术资料，包括软件、安装手册、操作使用说明书、设备维护保养的有关文件。</w:t>
      </w:r>
    </w:p>
    <w:p w14:paraId="257328E4">
      <w:pPr>
        <w:tabs>
          <w:tab w:val="left" w:pos="851"/>
        </w:tabs>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5.3技术规范和标准</w:t>
      </w:r>
    </w:p>
    <w:p w14:paraId="6EE9113A">
      <w:pPr>
        <w:tabs>
          <w:tab w:val="left" w:pos="851"/>
        </w:tabs>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1）《建筑给水排水设计标准》GB50015-2019</w:t>
      </w:r>
    </w:p>
    <w:p w14:paraId="657DFD5E">
      <w:pPr>
        <w:tabs>
          <w:tab w:val="left" w:pos="851"/>
        </w:tabs>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2）《太阳能与空气源热泵热水系统应用技术规程》DB 33/1034-2016</w:t>
      </w:r>
    </w:p>
    <w:p w14:paraId="2E4377FC">
      <w:pPr>
        <w:tabs>
          <w:tab w:val="left" w:pos="851"/>
        </w:tabs>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3）《绿色建筑评价标准》GB/T 50378-2019（</w:t>
      </w:r>
      <w:r>
        <w:rPr>
          <w:rFonts w:hint="eastAsia" w:ascii="宋体" w:hAnsi="宋体" w:cs="宋体"/>
          <w:color w:val="auto"/>
          <w:highlight w:val="none"/>
        </w:rPr>
        <w:t>如存在最新规范的，以最新标准为准。</w:t>
      </w:r>
      <w:r>
        <w:rPr>
          <w:rFonts w:hint="eastAsia" w:ascii="宋体" w:hAnsi="宋体" w:cs="宋体"/>
          <w:color w:val="auto"/>
          <w:sz w:val="22"/>
          <w:szCs w:val="22"/>
          <w:highlight w:val="none"/>
        </w:rPr>
        <w:t>）</w:t>
      </w:r>
    </w:p>
    <w:p w14:paraId="37B27D83">
      <w:pPr>
        <w:tabs>
          <w:tab w:val="left" w:pos="851"/>
        </w:tabs>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4）《绿色建筑设计标准》DB 33/1092-2021</w:t>
      </w:r>
    </w:p>
    <w:p w14:paraId="63FB0DEA">
      <w:pPr>
        <w:tabs>
          <w:tab w:val="left" w:pos="851"/>
        </w:tabs>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5）《建筑节能与可再生能源利用通用规范》GB 55015-2021</w:t>
      </w:r>
    </w:p>
    <w:p w14:paraId="7D0C291F">
      <w:pPr>
        <w:tabs>
          <w:tab w:val="left" w:pos="851"/>
        </w:tabs>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6）《民用建筑绿色设计规范》JGJT 229-2010</w:t>
      </w:r>
    </w:p>
    <w:p w14:paraId="6D35233E">
      <w:pPr>
        <w:tabs>
          <w:tab w:val="left" w:pos="851"/>
        </w:tabs>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7）《民用建筑节水设计标准》GB 50555-2010</w:t>
      </w:r>
    </w:p>
    <w:p w14:paraId="70EDA4E9">
      <w:pPr>
        <w:tabs>
          <w:tab w:val="left" w:pos="851"/>
        </w:tabs>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8）浙江省《居住建筑节能设计标准》DB 33/1015-2021</w:t>
      </w:r>
    </w:p>
    <w:p w14:paraId="45C3EE67">
      <w:pPr>
        <w:tabs>
          <w:tab w:val="left" w:pos="851"/>
        </w:tabs>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9）《建筑与小区雨水控制及利用工程技术规范》GB 50400-2016</w:t>
      </w:r>
    </w:p>
    <w:p w14:paraId="3FE0E0A9">
      <w:pPr>
        <w:tabs>
          <w:tab w:val="left" w:pos="851"/>
        </w:tabs>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10）《宁波市空气源热泵与太阳能热水系统应用技术细则》2019甬D×-07</w:t>
      </w:r>
    </w:p>
    <w:p w14:paraId="3331B267">
      <w:pPr>
        <w:tabs>
          <w:tab w:val="left" w:pos="851"/>
        </w:tabs>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11）《民用建筑可再生能源应用核算标准》DBJ33/T1105-2022</w:t>
      </w:r>
    </w:p>
    <w:p w14:paraId="1F677DEE">
      <w:pPr>
        <w:tabs>
          <w:tab w:val="left" w:pos="851"/>
        </w:tabs>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12）国家、省、市现行的法律、法规及其它相关标准</w:t>
      </w:r>
    </w:p>
    <w:bookmarkEnd w:id="74"/>
    <w:bookmarkEnd w:id="75"/>
    <w:bookmarkEnd w:id="76"/>
    <w:p w14:paraId="0697B0C2">
      <w:pPr>
        <w:tabs>
          <w:tab w:val="left" w:pos="851"/>
        </w:tabs>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本招标文件所提出的技术标准是基本的技术标准和使用功能，并未规定所有的技术要求和适用标准，投标单位应提供满足所列标准要求的高质量的产品及相应服务，如有最新或更高标准的，按最新或最高标准执行。</w:t>
      </w:r>
    </w:p>
    <w:p w14:paraId="01F4F2B1">
      <w:pPr>
        <w:spacing w:line="360" w:lineRule="auto"/>
        <w:ind w:firstLine="482" w:firstLineChars="200"/>
        <w:rPr>
          <w:b/>
          <w:bCs/>
          <w:color w:val="auto"/>
          <w:sz w:val="24"/>
          <w:highlight w:val="none"/>
        </w:rPr>
      </w:pPr>
      <w:r>
        <w:rPr>
          <w:rFonts w:hint="eastAsia"/>
          <w:b/>
          <w:bCs/>
          <w:color w:val="auto"/>
          <w:sz w:val="24"/>
          <w:highlight w:val="none"/>
        </w:rPr>
        <w:t>六、光伏系统要求及技术规范和标准</w:t>
      </w:r>
    </w:p>
    <w:p w14:paraId="4C7B5A1B">
      <w:pPr>
        <w:tabs>
          <w:tab w:val="left" w:pos="851"/>
        </w:tabs>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6.1其他要求</w:t>
      </w:r>
    </w:p>
    <w:p w14:paraId="7BA6CCD8">
      <w:pPr>
        <w:tabs>
          <w:tab w:val="left" w:pos="851"/>
        </w:tabs>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投标单位应认真阅读招标文件和设计图纸，踏勘现场，根据现场实际情况及招标人对质量、工期的要求提出技术方案，投标单位应结合自身产品特点和建筑条件进行校核。对图纸中提到需达到的设计要求，投标单位必须符合要求，同时应注意如下问题：</w:t>
      </w:r>
    </w:p>
    <w:p w14:paraId="42D91DD0">
      <w:pPr>
        <w:pStyle w:val="7"/>
        <w:numPr>
          <w:ilvl w:val="0"/>
          <w:numId w:val="2"/>
        </w:numPr>
        <w:ind w:firstLine="440" w:firstLineChars="200"/>
        <w:rPr>
          <w:rFonts w:hAnsi="宋体" w:cs="宋体"/>
          <w:snapToGrid/>
          <w:color w:val="auto"/>
          <w:sz w:val="22"/>
          <w:szCs w:val="22"/>
          <w:highlight w:val="none"/>
          <w:lang w:val="en-US"/>
        </w:rPr>
      </w:pPr>
      <w:r>
        <w:rPr>
          <w:rFonts w:hint="eastAsia" w:hAnsi="宋体" w:cs="宋体"/>
          <w:snapToGrid/>
          <w:color w:val="auto"/>
          <w:sz w:val="22"/>
          <w:szCs w:val="22"/>
          <w:highlight w:val="none"/>
          <w:lang w:val="en-US"/>
        </w:rPr>
        <w:t>投标人须在交货时提供设备的详尽技术资料，包括软件、样本资料、安装手册、操作使用说明书、设备维护保养的有关文件。</w:t>
      </w:r>
    </w:p>
    <w:p w14:paraId="00DC23B8">
      <w:pPr>
        <w:pStyle w:val="7"/>
        <w:ind w:firstLine="440" w:firstLineChars="200"/>
        <w:rPr>
          <w:rFonts w:hAnsi="宋体" w:cs="宋体"/>
          <w:color w:val="auto"/>
          <w:sz w:val="22"/>
          <w:szCs w:val="22"/>
          <w:highlight w:val="none"/>
          <w:lang w:val="en-US"/>
        </w:rPr>
      </w:pPr>
      <w:r>
        <w:rPr>
          <w:rFonts w:hint="eastAsia" w:hAnsi="宋体" w:cs="宋体"/>
          <w:color w:val="auto"/>
          <w:sz w:val="22"/>
          <w:szCs w:val="22"/>
          <w:highlight w:val="none"/>
          <w:lang w:val="en-US"/>
        </w:rPr>
        <w:t>2）如需有并网等要求的，则按相关职能部门要求开展后续工作。</w:t>
      </w:r>
    </w:p>
    <w:p w14:paraId="0BA298AC">
      <w:pPr>
        <w:tabs>
          <w:tab w:val="left" w:pos="851"/>
        </w:tabs>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3）在人员有可能接触或接近光伏发电系统的显要位置，应设置防触电警示标识。</w:t>
      </w:r>
    </w:p>
    <w:p w14:paraId="5E43E513">
      <w:pPr>
        <w:tabs>
          <w:tab w:val="left" w:pos="851"/>
        </w:tabs>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4）系统配电箱外壳应清晰注明光伏系统功率、并网日期、销售或安装服务单位名称以及售后服务电话。</w:t>
      </w:r>
    </w:p>
    <w:p w14:paraId="50B695BE">
      <w:pPr>
        <w:tabs>
          <w:tab w:val="left" w:pos="851"/>
        </w:tabs>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5）投标人应对采购人进行以下告知：（包含但不限于）</w:t>
      </w:r>
    </w:p>
    <w:p w14:paraId="30F348FB">
      <w:pPr>
        <w:tabs>
          <w:tab w:val="left" w:pos="851"/>
        </w:tabs>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1.光伏发电项目的基本操作、安全注意事项、使用注意事项、紧急事件处理措施等。</w:t>
      </w:r>
    </w:p>
    <w:p w14:paraId="47B90A2B">
      <w:pPr>
        <w:tabs>
          <w:tab w:val="left" w:pos="851"/>
        </w:tabs>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2.遮挡会严重影响发电收益，不要在组件上晾晒物品。</w:t>
      </w:r>
    </w:p>
    <w:p w14:paraId="246AB9D1">
      <w:pPr>
        <w:tabs>
          <w:tab w:val="left" w:pos="851"/>
        </w:tabs>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3.提醒采购人注意在停电后可能对项目发电产生的影响，以免形成收益损失。</w:t>
      </w:r>
    </w:p>
    <w:p w14:paraId="188D6590">
      <w:pPr>
        <w:tabs>
          <w:tab w:val="left" w:pos="851"/>
        </w:tabs>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4.应向采购人提供维保手册，涉及采购人自运维部分应明确无误的告知如何操作及安全注意事项。</w:t>
      </w:r>
    </w:p>
    <w:p w14:paraId="391418E1">
      <w:pPr>
        <w:tabs>
          <w:tab w:val="left" w:pos="851"/>
        </w:tabs>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6.2技术规范和标准</w:t>
      </w:r>
    </w:p>
    <w:p w14:paraId="563DD2D4">
      <w:pPr>
        <w:tabs>
          <w:tab w:val="left" w:pos="851"/>
        </w:tabs>
        <w:spacing w:line="360" w:lineRule="auto"/>
        <w:ind w:firstLine="440" w:firstLineChars="200"/>
        <w:rPr>
          <w:rFonts w:ascii="宋体" w:hAnsi="宋体" w:cs="宋体"/>
          <w:color w:val="auto"/>
          <w:sz w:val="22"/>
          <w:szCs w:val="22"/>
          <w:highlight w:val="none"/>
        </w:rPr>
      </w:pPr>
      <w:bookmarkStart w:id="77" w:name="_Toc29530"/>
      <w:r>
        <w:rPr>
          <w:rFonts w:hint="eastAsia" w:ascii="宋体" w:hAnsi="宋体" w:cs="宋体"/>
          <w:color w:val="auto"/>
          <w:sz w:val="22"/>
          <w:szCs w:val="22"/>
          <w:highlight w:val="none"/>
        </w:rPr>
        <w:t>1）《光伏发电站设计规范》GB50797-2012</w:t>
      </w:r>
    </w:p>
    <w:p w14:paraId="4D7FE088">
      <w:pPr>
        <w:tabs>
          <w:tab w:val="left" w:pos="851"/>
        </w:tabs>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2）《光伏发电接入配网设计规范》GB/T50865-2013</w:t>
      </w:r>
    </w:p>
    <w:p w14:paraId="21E7567A">
      <w:pPr>
        <w:tabs>
          <w:tab w:val="left" w:pos="851"/>
        </w:tabs>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3）《低压配电设计规范》GB50054-2011</w:t>
      </w:r>
    </w:p>
    <w:p w14:paraId="6081CFC4">
      <w:pPr>
        <w:tabs>
          <w:tab w:val="left" w:pos="851"/>
        </w:tabs>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4）《建筑太阳能光伏系统应用技术规程》DB33/1106-2015</w:t>
      </w:r>
    </w:p>
    <w:p w14:paraId="07A53797">
      <w:pPr>
        <w:tabs>
          <w:tab w:val="left" w:pos="851"/>
        </w:tabs>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5）《宁波市建筑屋顶光伏系统建筑技术细则》2019甬D×-10</w:t>
      </w:r>
    </w:p>
    <w:p w14:paraId="0EDD1D06">
      <w:pPr>
        <w:tabs>
          <w:tab w:val="left" w:pos="851"/>
        </w:tabs>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6）《民用建筑太阳能光伏系统应用技术规范》JGJ203-2010</w:t>
      </w:r>
    </w:p>
    <w:p w14:paraId="19075108">
      <w:pPr>
        <w:tabs>
          <w:tab w:val="left" w:pos="851"/>
        </w:tabs>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7）《光伏发电系统接入配电网技术规定》GB/T29319-2024</w:t>
      </w:r>
    </w:p>
    <w:p w14:paraId="6929A803">
      <w:pPr>
        <w:tabs>
          <w:tab w:val="left" w:pos="851"/>
        </w:tabs>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8）《民用建筑可再生能源应用核算标准》DBJ33/T105-2022</w:t>
      </w:r>
    </w:p>
    <w:p w14:paraId="324EC129">
      <w:pPr>
        <w:tabs>
          <w:tab w:val="left" w:pos="851"/>
        </w:tabs>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9）《建筑物防雷设计规范》 GB50057-2010</w:t>
      </w:r>
    </w:p>
    <w:p w14:paraId="0D24811B">
      <w:pPr>
        <w:tabs>
          <w:tab w:val="left" w:pos="851"/>
        </w:tabs>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10）《建筑光伏系统应用技术标准》 GB/T 51368-2019</w:t>
      </w:r>
    </w:p>
    <w:p w14:paraId="120676D8">
      <w:pPr>
        <w:tabs>
          <w:tab w:val="left" w:pos="851"/>
        </w:tabs>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11）</w:t>
      </w:r>
      <w:bookmarkEnd w:id="77"/>
      <w:bookmarkStart w:id="78" w:name="_Toc7655"/>
      <w:r>
        <w:rPr>
          <w:rFonts w:hint="eastAsia" w:ascii="宋体" w:hAnsi="宋体" w:cs="宋体"/>
          <w:color w:val="auto"/>
          <w:sz w:val="22"/>
          <w:szCs w:val="22"/>
          <w:highlight w:val="none"/>
        </w:rPr>
        <w:t>其他有关国家及地方的现行规程、规范及标准</w:t>
      </w:r>
    </w:p>
    <w:bookmarkEnd w:id="78"/>
    <w:p w14:paraId="793C792F">
      <w:pPr>
        <w:tabs>
          <w:tab w:val="left" w:pos="851"/>
        </w:tabs>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本招标文件所提出的技术标准是基本的技术标准和使用功能，并未规定所有的技术要求和适用标准，供应商应提供满足所列标准要求的高质量的产品及相应服务。如有最新或更高标准的，按最新或最高标准执行。</w:t>
      </w:r>
    </w:p>
    <w:p w14:paraId="7939E985">
      <w:pPr>
        <w:spacing w:line="360" w:lineRule="auto"/>
        <w:ind w:firstLine="482" w:firstLineChars="200"/>
        <w:rPr>
          <w:b/>
          <w:bCs/>
          <w:color w:val="auto"/>
          <w:sz w:val="24"/>
          <w:highlight w:val="none"/>
        </w:rPr>
      </w:pPr>
      <w:r>
        <w:rPr>
          <w:rFonts w:hint="eastAsia"/>
          <w:b/>
          <w:bCs/>
          <w:color w:val="auto"/>
          <w:sz w:val="24"/>
          <w:highlight w:val="none"/>
        </w:rPr>
        <w:t>七、设备基本要求</w:t>
      </w:r>
    </w:p>
    <w:bookmarkEnd w:id="42"/>
    <w:bookmarkEnd w:id="43"/>
    <w:bookmarkEnd w:id="44"/>
    <w:bookmarkEnd w:id="45"/>
    <w:bookmarkEnd w:id="46"/>
    <w:bookmarkEnd w:id="47"/>
    <w:bookmarkEnd w:id="48"/>
    <w:p w14:paraId="2A6E614D">
      <w:pPr>
        <w:tabs>
          <w:tab w:val="left" w:pos="851"/>
        </w:tabs>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7.1主要技术参数表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05"/>
        <w:gridCol w:w="2976"/>
        <w:gridCol w:w="2505"/>
      </w:tblGrid>
      <w:tr w14:paraId="4E4DB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5" w:type="dxa"/>
          </w:tcPr>
          <w:p w14:paraId="32DA9853">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招标要求</w:t>
            </w:r>
          </w:p>
        </w:tc>
        <w:tc>
          <w:tcPr>
            <w:tcW w:w="2976" w:type="dxa"/>
          </w:tcPr>
          <w:p w14:paraId="4824B444">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技术要求</w:t>
            </w:r>
          </w:p>
        </w:tc>
        <w:tc>
          <w:tcPr>
            <w:tcW w:w="2505" w:type="dxa"/>
          </w:tcPr>
          <w:p w14:paraId="69535BBE">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投标响应情况</w:t>
            </w:r>
          </w:p>
        </w:tc>
      </w:tr>
      <w:tr w14:paraId="2DDEB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3"/>
          </w:tcPr>
          <w:p w14:paraId="6BD4E240">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Cs w:val="28"/>
                <w:highlight w:val="none"/>
              </w:rPr>
              <w:t>一、光伏系统要求</w:t>
            </w:r>
          </w:p>
        </w:tc>
      </w:tr>
      <w:tr w14:paraId="36522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3"/>
          </w:tcPr>
          <w:p w14:paraId="0CF2B7AD">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1、单晶硅电池组件主要技术参数要求</w:t>
            </w:r>
          </w:p>
        </w:tc>
      </w:tr>
      <w:tr w14:paraId="6579E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5" w:type="dxa"/>
          </w:tcPr>
          <w:p w14:paraId="6E675F0B">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1.1最大功率（Wp)</w:t>
            </w:r>
          </w:p>
        </w:tc>
        <w:tc>
          <w:tcPr>
            <w:tcW w:w="2976" w:type="dxa"/>
          </w:tcPr>
          <w:p w14:paraId="7CDD71B7">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540</w:t>
            </w:r>
          </w:p>
        </w:tc>
        <w:tc>
          <w:tcPr>
            <w:tcW w:w="2505" w:type="dxa"/>
          </w:tcPr>
          <w:p w14:paraId="77588228">
            <w:pPr>
              <w:pStyle w:val="28"/>
              <w:ind w:firstLine="0" w:firstLineChars="0"/>
              <w:rPr>
                <w:rFonts w:asciiTheme="minorEastAsia" w:hAnsiTheme="minorEastAsia" w:eastAsiaTheme="minorEastAsia" w:cstheme="minorEastAsia"/>
                <w:color w:val="auto"/>
                <w:sz w:val="24"/>
                <w:highlight w:val="none"/>
              </w:rPr>
            </w:pPr>
          </w:p>
        </w:tc>
      </w:tr>
      <w:tr w14:paraId="11554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5" w:type="dxa"/>
          </w:tcPr>
          <w:p w14:paraId="762300AF">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1.2最大功率电压 (V)</w:t>
            </w:r>
          </w:p>
        </w:tc>
        <w:tc>
          <w:tcPr>
            <w:tcW w:w="2976" w:type="dxa"/>
          </w:tcPr>
          <w:p w14:paraId="2605EBA7">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41.03</w:t>
            </w:r>
          </w:p>
        </w:tc>
        <w:tc>
          <w:tcPr>
            <w:tcW w:w="2505" w:type="dxa"/>
          </w:tcPr>
          <w:p w14:paraId="73FF8BAD">
            <w:pPr>
              <w:pStyle w:val="28"/>
              <w:ind w:firstLine="0" w:firstLineChars="0"/>
              <w:rPr>
                <w:rFonts w:asciiTheme="minorEastAsia" w:hAnsiTheme="minorEastAsia" w:eastAsiaTheme="minorEastAsia" w:cstheme="minorEastAsia"/>
                <w:color w:val="auto"/>
                <w:sz w:val="24"/>
                <w:highlight w:val="none"/>
              </w:rPr>
            </w:pPr>
          </w:p>
        </w:tc>
      </w:tr>
      <w:tr w14:paraId="111EC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05" w:type="dxa"/>
          </w:tcPr>
          <w:p w14:paraId="274A2B91">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1.3最大功率电流 (A)</w:t>
            </w:r>
          </w:p>
        </w:tc>
        <w:tc>
          <w:tcPr>
            <w:tcW w:w="2976" w:type="dxa"/>
          </w:tcPr>
          <w:p w14:paraId="49E4D9C9">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13.17</w:t>
            </w:r>
          </w:p>
        </w:tc>
        <w:tc>
          <w:tcPr>
            <w:tcW w:w="2505" w:type="dxa"/>
          </w:tcPr>
          <w:p w14:paraId="2319C430">
            <w:pPr>
              <w:pStyle w:val="28"/>
              <w:ind w:firstLine="0" w:firstLineChars="0"/>
              <w:rPr>
                <w:rFonts w:asciiTheme="minorEastAsia" w:hAnsiTheme="minorEastAsia" w:eastAsiaTheme="minorEastAsia" w:cstheme="minorEastAsia"/>
                <w:color w:val="auto"/>
                <w:sz w:val="24"/>
                <w:highlight w:val="none"/>
              </w:rPr>
            </w:pPr>
          </w:p>
        </w:tc>
      </w:tr>
      <w:tr w14:paraId="4C52A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5" w:type="dxa"/>
          </w:tcPr>
          <w:p w14:paraId="2F575312">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1.4开路电压(V)</w:t>
            </w:r>
          </w:p>
        </w:tc>
        <w:tc>
          <w:tcPr>
            <w:tcW w:w="2976" w:type="dxa"/>
          </w:tcPr>
          <w:p w14:paraId="45D1856F">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49.53</w:t>
            </w:r>
          </w:p>
        </w:tc>
        <w:tc>
          <w:tcPr>
            <w:tcW w:w="2505" w:type="dxa"/>
          </w:tcPr>
          <w:p w14:paraId="4DCD5AC7">
            <w:pPr>
              <w:pStyle w:val="28"/>
              <w:ind w:firstLine="0" w:firstLineChars="0"/>
              <w:rPr>
                <w:rFonts w:asciiTheme="minorEastAsia" w:hAnsiTheme="minorEastAsia" w:eastAsiaTheme="minorEastAsia" w:cstheme="minorEastAsia"/>
                <w:color w:val="auto"/>
                <w:sz w:val="24"/>
                <w:highlight w:val="none"/>
              </w:rPr>
            </w:pPr>
          </w:p>
        </w:tc>
      </w:tr>
      <w:tr w14:paraId="50D16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5" w:type="dxa"/>
          </w:tcPr>
          <w:p w14:paraId="03268692">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1.5短路电流(A)</w:t>
            </w:r>
          </w:p>
        </w:tc>
        <w:tc>
          <w:tcPr>
            <w:tcW w:w="2976" w:type="dxa"/>
          </w:tcPr>
          <w:p w14:paraId="39BFF826">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13.63</w:t>
            </w:r>
          </w:p>
        </w:tc>
        <w:tc>
          <w:tcPr>
            <w:tcW w:w="2505" w:type="dxa"/>
          </w:tcPr>
          <w:p w14:paraId="6B230A07">
            <w:pPr>
              <w:pStyle w:val="28"/>
              <w:ind w:firstLine="0" w:firstLineChars="0"/>
              <w:rPr>
                <w:rFonts w:asciiTheme="minorEastAsia" w:hAnsiTheme="minorEastAsia" w:eastAsiaTheme="minorEastAsia" w:cstheme="minorEastAsia"/>
                <w:color w:val="auto"/>
                <w:sz w:val="24"/>
                <w:highlight w:val="none"/>
              </w:rPr>
            </w:pPr>
          </w:p>
        </w:tc>
      </w:tr>
      <w:tr w14:paraId="47ACE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5" w:type="dxa"/>
          </w:tcPr>
          <w:p w14:paraId="0BFF5D54">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1.6光伏转化效率</w:t>
            </w:r>
          </w:p>
        </w:tc>
        <w:tc>
          <w:tcPr>
            <w:tcW w:w="2976" w:type="dxa"/>
          </w:tcPr>
          <w:p w14:paraId="15AB3503">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20.7%</w:t>
            </w:r>
          </w:p>
        </w:tc>
        <w:tc>
          <w:tcPr>
            <w:tcW w:w="2505" w:type="dxa"/>
          </w:tcPr>
          <w:p w14:paraId="0950C203">
            <w:pPr>
              <w:pStyle w:val="28"/>
              <w:ind w:firstLine="0" w:firstLineChars="0"/>
              <w:rPr>
                <w:rFonts w:asciiTheme="minorEastAsia" w:hAnsiTheme="minorEastAsia" w:eastAsiaTheme="minorEastAsia" w:cstheme="minorEastAsia"/>
                <w:color w:val="auto"/>
                <w:sz w:val="24"/>
                <w:highlight w:val="none"/>
              </w:rPr>
            </w:pPr>
          </w:p>
        </w:tc>
      </w:tr>
      <w:tr w14:paraId="37999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5" w:type="dxa"/>
          </w:tcPr>
          <w:p w14:paraId="0AF19213">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1.7背板荷载（Pa）</w:t>
            </w:r>
          </w:p>
        </w:tc>
        <w:tc>
          <w:tcPr>
            <w:tcW w:w="2976" w:type="dxa"/>
          </w:tcPr>
          <w:p w14:paraId="052BA50C">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2400</w:t>
            </w:r>
          </w:p>
        </w:tc>
        <w:tc>
          <w:tcPr>
            <w:tcW w:w="2505" w:type="dxa"/>
          </w:tcPr>
          <w:p w14:paraId="10F596B2">
            <w:pPr>
              <w:pStyle w:val="28"/>
              <w:ind w:firstLine="0" w:firstLineChars="0"/>
              <w:rPr>
                <w:rFonts w:asciiTheme="minorEastAsia" w:hAnsiTheme="minorEastAsia" w:eastAsiaTheme="minorEastAsia" w:cstheme="minorEastAsia"/>
                <w:color w:val="auto"/>
                <w:sz w:val="24"/>
                <w:highlight w:val="none"/>
              </w:rPr>
            </w:pPr>
          </w:p>
        </w:tc>
      </w:tr>
      <w:tr w14:paraId="51A0E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5" w:type="dxa"/>
          </w:tcPr>
          <w:p w14:paraId="57C85D85">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1.8正面荷载（Pa）</w:t>
            </w:r>
          </w:p>
        </w:tc>
        <w:tc>
          <w:tcPr>
            <w:tcW w:w="2976" w:type="dxa"/>
          </w:tcPr>
          <w:p w14:paraId="253EDB2B">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5400</w:t>
            </w:r>
          </w:p>
        </w:tc>
        <w:tc>
          <w:tcPr>
            <w:tcW w:w="2505" w:type="dxa"/>
          </w:tcPr>
          <w:p w14:paraId="02AD669A">
            <w:pPr>
              <w:pStyle w:val="28"/>
              <w:ind w:firstLine="0" w:firstLineChars="0"/>
              <w:rPr>
                <w:rFonts w:asciiTheme="minorEastAsia" w:hAnsiTheme="minorEastAsia" w:eastAsiaTheme="minorEastAsia" w:cstheme="minorEastAsia"/>
                <w:color w:val="auto"/>
                <w:sz w:val="24"/>
                <w:highlight w:val="none"/>
              </w:rPr>
            </w:pPr>
          </w:p>
        </w:tc>
      </w:tr>
      <w:tr w14:paraId="4C6D7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5" w:type="dxa"/>
          </w:tcPr>
          <w:p w14:paraId="778FA638">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1.9外形尺寸（mm）</w:t>
            </w:r>
          </w:p>
        </w:tc>
        <w:tc>
          <w:tcPr>
            <w:tcW w:w="2976" w:type="dxa"/>
          </w:tcPr>
          <w:p w14:paraId="4FF9D8D8">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2279×1134×35</w:t>
            </w:r>
          </w:p>
        </w:tc>
        <w:tc>
          <w:tcPr>
            <w:tcW w:w="2505" w:type="dxa"/>
          </w:tcPr>
          <w:p w14:paraId="634F5366">
            <w:pPr>
              <w:pStyle w:val="28"/>
              <w:ind w:firstLine="0" w:firstLineChars="0"/>
              <w:rPr>
                <w:rFonts w:asciiTheme="minorEastAsia" w:hAnsiTheme="minorEastAsia" w:eastAsiaTheme="minorEastAsia" w:cstheme="minorEastAsia"/>
                <w:color w:val="auto"/>
                <w:sz w:val="24"/>
                <w:highlight w:val="none"/>
              </w:rPr>
            </w:pPr>
          </w:p>
        </w:tc>
      </w:tr>
      <w:tr w14:paraId="765D0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5" w:type="dxa"/>
          </w:tcPr>
          <w:p w14:paraId="019E02A2">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1.10最大功率温度系数（%/ºC）</w:t>
            </w:r>
          </w:p>
        </w:tc>
        <w:tc>
          <w:tcPr>
            <w:tcW w:w="2976" w:type="dxa"/>
          </w:tcPr>
          <w:p w14:paraId="2EC457F8">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-0.34</w:t>
            </w:r>
          </w:p>
        </w:tc>
        <w:tc>
          <w:tcPr>
            <w:tcW w:w="2505" w:type="dxa"/>
          </w:tcPr>
          <w:p w14:paraId="1E635C44">
            <w:pPr>
              <w:pStyle w:val="28"/>
              <w:ind w:firstLine="0" w:firstLineChars="0"/>
              <w:rPr>
                <w:rFonts w:asciiTheme="minorEastAsia" w:hAnsiTheme="minorEastAsia" w:eastAsiaTheme="minorEastAsia" w:cstheme="minorEastAsia"/>
                <w:color w:val="auto"/>
                <w:sz w:val="24"/>
                <w:highlight w:val="none"/>
              </w:rPr>
            </w:pPr>
          </w:p>
        </w:tc>
      </w:tr>
      <w:tr w14:paraId="73CE2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5" w:type="dxa"/>
          </w:tcPr>
          <w:p w14:paraId="754380A9">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1.11开路电压温度系数（%/ºC）</w:t>
            </w:r>
          </w:p>
        </w:tc>
        <w:tc>
          <w:tcPr>
            <w:tcW w:w="2976" w:type="dxa"/>
          </w:tcPr>
          <w:p w14:paraId="2022265B">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-0.27</w:t>
            </w:r>
          </w:p>
        </w:tc>
        <w:tc>
          <w:tcPr>
            <w:tcW w:w="2505" w:type="dxa"/>
          </w:tcPr>
          <w:p w14:paraId="7CA382ED">
            <w:pPr>
              <w:pStyle w:val="28"/>
              <w:ind w:firstLine="0" w:firstLineChars="0"/>
              <w:rPr>
                <w:rFonts w:asciiTheme="minorEastAsia" w:hAnsiTheme="minorEastAsia" w:eastAsiaTheme="minorEastAsia" w:cstheme="minorEastAsia"/>
                <w:color w:val="auto"/>
                <w:sz w:val="24"/>
                <w:highlight w:val="none"/>
              </w:rPr>
            </w:pPr>
          </w:p>
        </w:tc>
      </w:tr>
      <w:tr w14:paraId="18437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5" w:type="dxa"/>
          </w:tcPr>
          <w:p w14:paraId="7EA62EEA">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1.12工作温度（ºC）</w:t>
            </w:r>
          </w:p>
        </w:tc>
        <w:tc>
          <w:tcPr>
            <w:tcW w:w="2976" w:type="dxa"/>
          </w:tcPr>
          <w:p w14:paraId="0AFB0436">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-40～+85</w:t>
            </w:r>
          </w:p>
        </w:tc>
        <w:tc>
          <w:tcPr>
            <w:tcW w:w="2505" w:type="dxa"/>
          </w:tcPr>
          <w:p w14:paraId="3934B750">
            <w:pPr>
              <w:pStyle w:val="28"/>
              <w:ind w:firstLine="0" w:firstLineChars="0"/>
              <w:rPr>
                <w:rFonts w:asciiTheme="minorEastAsia" w:hAnsiTheme="minorEastAsia" w:eastAsiaTheme="minorEastAsia" w:cstheme="minorEastAsia"/>
                <w:color w:val="auto"/>
                <w:sz w:val="24"/>
                <w:highlight w:val="none"/>
              </w:rPr>
            </w:pPr>
          </w:p>
        </w:tc>
      </w:tr>
      <w:tr w14:paraId="7D16E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1" w:type="dxa"/>
            <w:gridSpan w:val="2"/>
          </w:tcPr>
          <w:p w14:paraId="79F889C9">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1.13本项目单晶硅电池组件的选型应遵循“安全可靠、技术先进、环境适配、经济合理、产品合规”的产品。</w:t>
            </w:r>
          </w:p>
        </w:tc>
        <w:tc>
          <w:tcPr>
            <w:tcW w:w="2505" w:type="dxa"/>
          </w:tcPr>
          <w:p w14:paraId="35C2C75E">
            <w:pPr>
              <w:pStyle w:val="28"/>
              <w:ind w:firstLine="0" w:firstLineChars="0"/>
              <w:rPr>
                <w:rFonts w:asciiTheme="minorEastAsia" w:hAnsiTheme="minorEastAsia" w:eastAsiaTheme="minorEastAsia" w:cstheme="minorEastAsia"/>
                <w:color w:val="auto"/>
                <w:sz w:val="24"/>
                <w:highlight w:val="none"/>
              </w:rPr>
            </w:pPr>
          </w:p>
        </w:tc>
      </w:tr>
      <w:tr w14:paraId="4F965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1" w:type="dxa"/>
            <w:gridSpan w:val="2"/>
          </w:tcPr>
          <w:p w14:paraId="61677541">
            <w:pPr>
              <w:pStyle w:val="28"/>
              <w:ind w:firstLine="0" w:firstLineChars="0"/>
              <w:rPr>
                <w:rFonts w:asciiTheme="majorEastAsia" w:hAnsiTheme="majorEastAsia" w:eastAsiaTheme="majorEastAsia" w:cstheme="majorEastAsia"/>
                <w:color w:val="auto"/>
                <w:sz w:val="22"/>
                <w:szCs w:val="22"/>
                <w:highlight w:val="none"/>
              </w:rPr>
            </w:pPr>
            <w:r>
              <w:rPr>
                <w:rFonts w:hint="eastAsia" w:asciiTheme="minorEastAsia" w:hAnsiTheme="minorEastAsia" w:eastAsiaTheme="minorEastAsia" w:cstheme="minorEastAsia"/>
                <w:color w:val="auto"/>
                <w:sz w:val="24"/>
                <w:highlight w:val="none"/>
              </w:rPr>
              <w:t>1.14投标文件中提供单晶硅电池组件有效期内的CQC产品认证证书。</w:t>
            </w:r>
          </w:p>
        </w:tc>
        <w:tc>
          <w:tcPr>
            <w:tcW w:w="2505" w:type="dxa"/>
          </w:tcPr>
          <w:p w14:paraId="73E828AA">
            <w:pPr>
              <w:pStyle w:val="28"/>
              <w:ind w:firstLine="0" w:firstLineChars="0"/>
              <w:rPr>
                <w:rFonts w:asciiTheme="minorEastAsia" w:hAnsiTheme="minorEastAsia" w:eastAsiaTheme="minorEastAsia" w:cstheme="minorEastAsia"/>
                <w:color w:val="auto"/>
                <w:sz w:val="24"/>
                <w:highlight w:val="none"/>
              </w:rPr>
            </w:pPr>
          </w:p>
        </w:tc>
      </w:tr>
      <w:tr w14:paraId="6AB17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3"/>
          </w:tcPr>
          <w:p w14:paraId="41166B9E">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2、逆变器主要技术参数要求</w:t>
            </w:r>
          </w:p>
        </w:tc>
      </w:tr>
      <w:tr w14:paraId="73817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3"/>
          </w:tcPr>
          <w:p w14:paraId="4AB7C195">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2.1 </w:t>
            </w:r>
            <w:r>
              <w:rPr>
                <w:rFonts w:hint="eastAsia" w:asciiTheme="minorEastAsia" w:hAnsiTheme="minorEastAsia" w:eastAsiaTheme="minorEastAsia" w:cstheme="minorEastAsia"/>
                <w:b/>
                <w:bCs/>
                <w:color w:val="auto"/>
                <w:sz w:val="24"/>
                <w:highlight w:val="none"/>
              </w:rPr>
              <w:t>8kW逆变器</w:t>
            </w:r>
          </w:p>
        </w:tc>
      </w:tr>
      <w:tr w14:paraId="06386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5" w:type="dxa"/>
          </w:tcPr>
          <w:p w14:paraId="2AFDC381">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 最大直流电压（V）</w:t>
            </w:r>
          </w:p>
        </w:tc>
        <w:tc>
          <w:tcPr>
            <w:tcW w:w="2976" w:type="dxa"/>
          </w:tcPr>
          <w:p w14:paraId="467533B6">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1100</w:t>
            </w:r>
          </w:p>
        </w:tc>
        <w:tc>
          <w:tcPr>
            <w:tcW w:w="2505" w:type="dxa"/>
          </w:tcPr>
          <w:p w14:paraId="21D9F6B4">
            <w:pPr>
              <w:pStyle w:val="28"/>
              <w:ind w:firstLine="0" w:firstLineChars="0"/>
              <w:rPr>
                <w:rFonts w:asciiTheme="minorEastAsia" w:hAnsiTheme="minorEastAsia" w:eastAsiaTheme="minorEastAsia" w:cstheme="minorEastAsia"/>
                <w:color w:val="auto"/>
                <w:sz w:val="24"/>
                <w:highlight w:val="none"/>
              </w:rPr>
            </w:pPr>
          </w:p>
        </w:tc>
      </w:tr>
      <w:tr w14:paraId="01DAC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5" w:type="dxa"/>
          </w:tcPr>
          <w:p w14:paraId="6A36D59F">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2.1.2 MPPT电压范围（V）</w:t>
            </w:r>
          </w:p>
        </w:tc>
        <w:tc>
          <w:tcPr>
            <w:tcW w:w="2976" w:type="dxa"/>
          </w:tcPr>
          <w:p w14:paraId="67BFD3F8">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160～1000</w:t>
            </w:r>
          </w:p>
        </w:tc>
        <w:tc>
          <w:tcPr>
            <w:tcW w:w="2505" w:type="dxa"/>
          </w:tcPr>
          <w:p w14:paraId="6C408CA9">
            <w:pPr>
              <w:pStyle w:val="28"/>
              <w:ind w:firstLine="0" w:firstLineChars="0"/>
              <w:rPr>
                <w:rFonts w:asciiTheme="minorEastAsia" w:hAnsiTheme="minorEastAsia" w:eastAsiaTheme="minorEastAsia" w:cstheme="minorEastAsia"/>
                <w:color w:val="auto"/>
                <w:sz w:val="24"/>
                <w:highlight w:val="none"/>
              </w:rPr>
            </w:pPr>
          </w:p>
        </w:tc>
      </w:tr>
      <w:tr w14:paraId="653EB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5" w:type="dxa"/>
          </w:tcPr>
          <w:p w14:paraId="4888353B">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2.1.3 最大直流输入功率（kW）</w:t>
            </w:r>
          </w:p>
        </w:tc>
        <w:tc>
          <w:tcPr>
            <w:tcW w:w="2976" w:type="dxa"/>
          </w:tcPr>
          <w:p w14:paraId="27BC147A">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9.6</w:t>
            </w:r>
          </w:p>
        </w:tc>
        <w:tc>
          <w:tcPr>
            <w:tcW w:w="2505" w:type="dxa"/>
          </w:tcPr>
          <w:p w14:paraId="5B4E20CB">
            <w:pPr>
              <w:pStyle w:val="28"/>
              <w:ind w:firstLine="0" w:firstLineChars="0"/>
              <w:rPr>
                <w:rFonts w:asciiTheme="minorEastAsia" w:hAnsiTheme="minorEastAsia" w:eastAsiaTheme="minorEastAsia" w:cstheme="minorEastAsia"/>
                <w:color w:val="auto"/>
                <w:sz w:val="24"/>
                <w:highlight w:val="none"/>
              </w:rPr>
            </w:pPr>
          </w:p>
        </w:tc>
      </w:tr>
      <w:tr w14:paraId="322EC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5" w:type="dxa"/>
          </w:tcPr>
          <w:p w14:paraId="02824190">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2.1.4 额定交流输出功率（KW）</w:t>
            </w:r>
          </w:p>
        </w:tc>
        <w:tc>
          <w:tcPr>
            <w:tcW w:w="2976" w:type="dxa"/>
          </w:tcPr>
          <w:p w14:paraId="2BD96350">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w:t>
            </w:r>
          </w:p>
        </w:tc>
        <w:tc>
          <w:tcPr>
            <w:tcW w:w="2505" w:type="dxa"/>
          </w:tcPr>
          <w:p w14:paraId="5C64D94E">
            <w:pPr>
              <w:pStyle w:val="28"/>
              <w:ind w:firstLine="0" w:firstLineChars="0"/>
              <w:rPr>
                <w:rFonts w:asciiTheme="minorEastAsia" w:hAnsiTheme="minorEastAsia" w:eastAsiaTheme="minorEastAsia" w:cstheme="minorEastAsia"/>
                <w:color w:val="auto"/>
                <w:sz w:val="24"/>
                <w:highlight w:val="none"/>
              </w:rPr>
            </w:pPr>
          </w:p>
        </w:tc>
      </w:tr>
      <w:tr w14:paraId="536DD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5" w:type="dxa"/>
          </w:tcPr>
          <w:p w14:paraId="4BD7E82F">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2.1.5 额定交流电压/范围（V）</w:t>
            </w:r>
          </w:p>
        </w:tc>
        <w:tc>
          <w:tcPr>
            <w:tcW w:w="2976" w:type="dxa"/>
          </w:tcPr>
          <w:p w14:paraId="25CAE3B9">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380</w:t>
            </w:r>
          </w:p>
        </w:tc>
        <w:tc>
          <w:tcPr>
            <w:tcW w:w="2505" w:type="dxa"/>
          </w:tcPr>
          <w:p w14:paraId="6ED0A671">
            <w:pPr>
              <w:pStyle w:val="28"/>
              <w:ind w:firstLine="0" w:firstLineChars="0"/>
              <w:rPr>
                <w:rFonts w:asciiTheme="minorEastAsia" w:hAnsiTheme="minorEastAsia" w:eastAsiaTheme="minorEastAsia" w:cstheme="minorEastAsia"/>
                <w:color w:val="auto"/>
                <w:sz w:val="24"/>
                <w:highlight w:val="none"/>
              </w:rPr>
            </w:pPr>
          </w:p>
        </w:tc>
      </w:tr>
      <w:tr w14:paraId="2641C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5" w:type="dxa"/>
          </w:tcPr>
          <w:p w14:paraId="3278FE86">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2.1.6 最大效率（%）</w:t>
            </w:r>
          </w:p>
        </w:tc>
        <w:tc>
          <w:tcPr>
            <w:tcW w:w="2976" w:type="dxa"/>
          </w:tcPr>
          <w:p w14:paraId="27AFE450">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98.5</w:t>
            </w:r>
          </w:p>
        </w:tc>
        <w:tc>
          <w:tcPr>
            <w:tcW w:w="2505" w:type="dxa"/>
          </w:tcPr>
          <w:p w14:paraId="0E371387">
            <w:pPr>
              <w:pStyle w:val="28"/>
              <w:ind w:firstLine="0" w:firstLineChars="0"/>
              <w:rPr>
                <w:rFonts w:asciiTheme="minorEastAsia" w:hAnsiTheme="minorEastAsia" w:eastAsiaTheme="minorEastAsia" w:cstheme="minorEastAsia"/>
                <w:color w:val="auto"/>
                <w:sz w:val="24"/>
                <w:highlight w:val="none"/>
              </w:rPr>
            </w:pPr>
          </w:p>
        </w:tc>
      </w:tr>
      <w:tr w14:paraId="1BBA5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5" w:type="dxa"/>
          </w:tcPr>
          <w:p w14:paraId="7136E116">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2.1.7 防护等级</w:t>
            </w:r>
          </w:p>
        </w:tc>
        <w:tc>
          <w:tcPr>
            <w:tcW w:w="2976" w:type="dxa"/>
          </w:tcPr>
          <w:p w14:paraId="20A23CEA">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IP65</w:t>
            </w:r>
          </w:p>
        </w:tc>
        <w:tc>
          <w:tcPr>
            <w:tcW w:w="2505" w:type="dxa"/>
          </w:tcPr>
          <w:p w14:paraId="281B2C74">
            <w:pPr>
              <w:pStyle w:val="28"/>
              <w:ind w:firstLine="0" w:firstLineChars="0"/>
              <w:rPr>
                <w:rFonts w:asciiTheme="minorEastAsia" w:hAnsiTheme="minorEastAsia" w:eastAsiaTheme="minorEastAsia" w:cstheme="minorEastAsia"/>
                <w:color w:val="auto"/>
                <w:sz w:val="24"/>
                <w:highlight w:val="none"/>
              </w:rPr>
            </w:pPr>
          </w:p>
        </w:tc>
      </w:tr>
      <w:tr w14:paraId="00FFA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5" w:type="dxa"/>
          </w:tcPr>
          <w:p w14:paraId="5FC44D27">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2.1.8 工作温度（ºC）</w:t>
            </w:r>
          </w:p>
        </w:tc>
        <w:tc>
          <w:tcPr>
            <w:tcW w:w="2976" w:type="dxa"/>
            <w:vAlign w:val="center"/>
          </w:tcPr>
          <w:p w14:paraId="2F1624F2">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-25～+60</w:t>
            </w:r>
          </w:p>
        </w:tc>
        <w:tc>
          <w:tcPr>
            <w:tcW w:w="2505" w:type="dxa"/>
          </w:tcPr>
          <w:p w14:paraId="599BE717">
            <w:pPr>
              <w:pStyle w:val="28"/>
              <w:ind w:firstLine="0" w:firstLineChars="0"/>
              <w:rPr>
                <w:rFonts w:asciiTheme="minorEastAsia" w:hAnsiTheme="minorEastAsia" w:eastAsiaTheme="minorEastAsia" w:cstheme="minorEastAsia"/>
                <w:color w:val="auto"/>
                <w:sz w:val="24"/>
                <w:highlight w:val="none"/>
              </w:rPr>
            </w:pPr>
          </w:p>
        </w:tc>
      </w:tr>
      <w:tr w14:paraId="60499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5" w:type="dxa"/>
          </w:tcPr>
          <w:p w14:paraId="79A1E6EA">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2.1.9 MPPT数量/最大输入路数</w:t>
            </w:r>
          </w:p>
        </w:tc>
        <w:tc>
          <w:tcPr>
            <w:tcW w:w="2976" w:type="dxa"/>
          </w:tcPr>
          <w:p w14:paraId="1479D88B">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w:t>
            </w:r>
          </w:p>
        </w:tc>
        <w:tc>
          <w:tcPr>
            <w:tcW w:w="2505" w:type="dxa"/>
          </w:tcPr>
          <w:p w14:paraId="7DB1CF48">
            <w:pPr>
              <w:pStyle w:val="28"/>
              <w:ind w:firstLine="0" w:firstLineChars="0"/>
              <w:rPr>
                <w:rFonts w:asciiTheme="minorEastAsia" w:hAnsiTheme="minorEastAsia" w:eastAsiaTheme="minorEastAsia" w:cstheme="minorEastAsia"/>
                <w:color w:val="auto"/>
                <w:sz w:val="24"/>
                <w:highlight w:val="none"/>
              </w:rPr>
            </w:pPr>
          </w:p>
        </w:tc>
      </w:tr>
      <w:tr w14:paraId="79A2C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3"/>
          </w:tcPr>
          <w:p w14:paraId="12D51F21">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2.2 </w:t>
            </w:r>
            <w:r>
              <w:rPr>
                <w:rFonts w:hint="eastAsia" w:asciiTheme="minorEastAsia" w:hAnsiTheme="minorEastAsia" w:eastAsiaTheme="minorEastAsia" w:cstheme="minorEastAsia"/>
                <w:b/>
                <w:bCs/>
                <w:color w:val="auto"/>
                <w:sz w:val="24"/>
                <w:highlight w:val="none"/>
              </w:rPr>
              <w:t>17kW逆变器</w:t>
            </w:r>
          </w:p>
        </w:tc>
      </w:tr>
      <w:tr w14:paraId="4F6E5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5" w:type="dxa"/>
          </w:tcPr>
          <w:p w14:paraId="310D40B1">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2.2.1 最大直流电压（V）</w:t>
            </w:r>
          </w:p>
        </w:tc>
        <w:tc>
          <w:tcPr>
            <w:tcW w:w="2976" w:type="dxa"/>
          </w:tcPr>
          <w:p w14:paraId="5054062A">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1100</w:t>
            </w:r>
          </w:p>
        </w:tc>
        <w:tc>
          <w:tcPr>
            <w:tcW w:w="2505" w:type="dxa"/>
          </w:tcPr>
          <w:p w14:paraId="4672918B">
            <w:pPr>
              <w:pStyle w:val="28"/>
              <w:ind w:firstLine="0" w:firstLineChars="0"/>
              <w:rPr>
                <w:rFonts w:asciiTheme="minorEastAsia" w:hAnsiTheme="minorEastAsia" w:eastAsiaTheme="minorEastAsia" w:cstheme="minorEastAsia"/>
                <w:color w:val="auto"/>
                <w:sz w:val="24"/>
                <w:highlight w:val="none"/>
              </w:rPr>
            </w:pPr>
          </w:p>
        </w:tc>
      </w:tr>
      <w:tr w14:paraId="09500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5" w:type="dxa"/>
          </w:tcPr>
          <w:p w14:paraId="2F3DF9D4">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2.2.2 MPPT电压范围（V）</w:t>
            </w:r>
          </w:p>
        </w:tc>
        <w:tc>
          <w:tcPr>
            <w:tcW w:w="2976" w:type="dxa"/>
          </w:tcPr>
          <w:p w14:paraId="4681012E">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160～1000</w:t>
            </w:r>
          </w:p>
        </w:tc>
        <w:tc>
          <w:tcPr>
            <w:tcW w:w="2505" w:type="dxa"/>
          </w:tcPr>
          <w:p w14:paraId="0EE12AF2">
            <w:pPr>
              <w:pStyle w:val="28"/>
              <w:ind w:firstLine="0" w:firstLineChars="0"/>
              <w:rPr>
                <w:rFonts w:asciiTheme="minorEastAsia" w:hAnsiTheme="minorEastAsia" w:eastAsiaTheme="minorEastAsia" w:cstheme="minorEastAsia"/>
                <w:color w:val="auto"/>
                <w:sz w:val="24"/>
                <w:highlight w:val="none"/>
              </w:rPr>
            </w:pPr>
          </w:p>
        </w:tc>
      </w:tr>
      <w:tr w14:paraId="62D43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5" w:type="dxa"/>
          </w:tcPr>
          <w:p w14:paraId="77E13256">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2.2.3 最大直流输入功率（kW）</w:t>
            </w:r>
          </w:p>
        </w:tc>
        <w:tc>
          <w:tcPr>
            <w:tcW w:w="2976" w:type="dxa"/>
          </w:tcPr>
          <w:p w14:paraId="1EBCC625">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20.4</w:t>
            </w:r>
          </w:p>
        </w:tc>
        <w:tc>
          <w:tcPr>
            <w:tcW w:w="2505" w:type="dxa"/>
          </w:tcPr>
          <w:p w14:paraId="326D13DB">
            <w:pPr>
              <w:pStyle w:val="28"/>
              <w:ind w:firstLine="0" w:firstLineChars="0"/>
              <w:rPr>
                <w:rFonts w:asciiTheme="minorEastAsia" w:hAnsiTheme="minorEastAsia" w:eastAsiaTheme="minorEastAsia" w:cstheme="minorEastAsia"/>
                <w:color w:val="auto"/>
                <w:sz w:val="24"/>
                <w:highlight w:val="none"/>
              </w:rPr>
            </w:pPr>
          </w:p>
        </w:tc>
      </w:tr>
      <w:tr w14:paraId="7B6B9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5" w:type="dxa"/>
          </w:tcPr>
          <w:p w14:paraId="7E414EFA">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2.2.4 额定交流输出功率（KW）</w:t>
            </w:r>
          </w:p>
        </w:tc>
        <w:tc>
          <w:tcPr>
            <w:tcW w:w="2976" w:type="dxa"/>
          </w:tcPr>
          <w:p w14:paraId="0A55AA03">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w:t>
            </w:r>
          </w:p>
        </w:tc>
        <w:tc>
          <w:tcPr>
            <w:tcW w:w="2505" w:type="dxa"/>
          </w:tcPr>
          <w:p w14:paraId="64FCC801">
            <w:pPr>
              <w:pStyle w:val="28"/>
              <w:ind w:firstLine="0" w:firstLineChars="0"/>
              <w:rPr>
                <w:rFonts w:asciiTheme="minorEastAsia" w:hAnsiTheme="minorEastAsia" w:eastAsiaTheme="minorEastAsia" w:cstheme="minorEastAsia"/>
                <w:color w:val="auto"/>
                <w:sz w:val="24"/>
                <w:highlight w:val="none"/>
              </w:rPr>
            </w:pPr>
          </w:p>
        </w:tc>
      </w:tr>
      <w:tr w14:paraId="0D815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5" w:type="dxa"/>
          </w:tcPr>
          <w:p w14:paraId="16E2CAA1">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2.2.5 额定交流电压/范围（V）</w:t>
            </w:r>
          </w:p>
        </w:tc>
        <w:tc>
          <w:tcPr>
            <w:tcW w:w="2976" w:type="dxa"/>
          </w:tcPr>
          <w:p w14:paraId="21CC909D">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380</w:t>
            </w:r>
          </w:p>
        </w:tc>
        <w:tc>
          <w:tcPr>
            <w:tcW w:w="2505" w:type="dxa"/>
          </w:tcPr>
          <w:p w14:paraId="6D913FA2">
            <w:pPr>
              <w:pStyle w:val="28"/>
              <w:ind w:firstLine="0" w:firstLineChars="0"/>
              <w:rPr>
                <w:rFonts w:asciiTheme="minorEastAsia" w:hAnsiTheme="minorEastAsia" w:eastAsiaTheme="minorEastAsia" w:cstheme="minorEastAsia"/>
                <w:color w:val="auto"/>
                <w:sz w:val="24"/>
                <w:highlight w:val="none"/>
              </w:rPr>
            </w:pPr>
          </w:p>
        </w:tc>
      </w:tr>
      <w:tr w14:paraId="1E9DC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5" w:type="dxa"/>
          </w:tcPr>
          <w:p w14:paraId="02A3DB32">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2.2.6 最大效率（%）</w:t>
            </w:r>
          </w:p>
        </w:tc>
        <w:tc>
          <w:tcPr>
            <w:tcW w:w="2976" w:type="dxa"/>
          </w:tcPr>
          <w:p w14:paraId="183B6AA4">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98.5</w:t>
            </w:r>
          </w:p>
        </w:tc>
        <w:tc>
          <w:tcPr>
            <w:tcW w:w="2505" w:type="dxa"/>
          </w:tcPr>
          <w:p w14:paraId="6766E64B">
            <w:pPr>
              <w:pStyle w:val="28"/>
              <w:ind w:firstLine="0" w:firstLineChars="0"/>
              <w:rPr>
                <w:rFonts w:asciiTheme="minorEastAsia" w:hAnsiTheme="minorEastAsia" w:eastAsiaTheme="minorEastAsia" w:cstheme="minorEastAsia"/>
                <w:color w:val="auto"/>
                <w:sz w:val="24"/>
                <w:highlight w:val="none"/>
              </w:rPr>
            </w:pPr>
          </w:p>
        </w:tc>
      </w:tr>
      <w:tr w14:paraId="54A73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5" w:type="dxa"/>
          </w:tcPr>
          <w:p w14:paraId="1FD6340C">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2.2.7 防护等级</w:t>
            </w:r>
          </w:p>
        </w:tc>
        <w:tc>
          <w:tcPr>
            <w:tcW w:w="2976" w:type="dxa"/>
          </w:tcPr>
          <w:p w14:paraId="5866559C">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IP65</w:t>
            </w:r>
          </w:p>
        </w:tc>
        <w:tc>
          <w:tcPr>
            <w:tcW w:w="2505" w:type="dxa"/>
          </w:tcPr>
          <w:p w14:paraId="05681B2B">
            <w:pPr>
              <w:pStyle w:val="28"/>
              <w:ind w:firstLine="0" w:firstLineChars="0"/>
              <w:rPr>
                <w:rFonts w:asciiTheme="minorEastAsia" w:hAnsiTheme="minorEastAsia" w:eastAsiaTheme="minorEastAsia" w:cstheme="minorEastAsia"/>
                <w:color w:val="auto"/>
                <w:sz w:val="24"/>
                <w:highlight w:val="none"/>
              </w:rPr>
            </w:pPr>
          </w:p>
        </w:tc>
      </w:tr>
      <w:tr w14:paraId="00015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5" w:type="dxa"/>
          </w:tcPr>
          <w:p w14:paraId="174FC13D">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2.2.8 工作温度（ºC）</w:t>
            </w:r>
          </w:p>
        </w:tc>
        <w:tc>
          <w:tcPr>
            <w:tcW w:w="2976" w:type="dxa"/>
            <w:vAlign w:val="center"/>
          </w:tcPr>
          <w:p w14:paraId="447E92AB">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-25～+60</w:t>
            </w:r>
          </w:p>
        </w:tc>
        <w:tc>
          <w:tcPr>
            <w:tcW w:w="2505" w:type="dxa"/>
          </w:tcPr>
          <w:p w14:paraId="34463D7F">
            <w:pPr>
              <w:pStyle w:val="28"/>
              <w:ind w:firstLine="0" w:firstLineChars="0"/>
              <w:rPr>
                <w:rFonts w:asciiTheme="minorEastAsia" w:hAnsiTheme="minorEastAsia" w:eastAsiaTheme="minorEastAsia" w:cstheme="minorEastAsia"/>
                <w:color w:val="auto"/>
                <w:sz w:val="24"/>
                <w:highlight w:val="none"/>
              </w:rPr>
            </w:pPr>
          </w:p>
        </w:tc>
      </w:tr>
      <w:tr w14:paraId="6BB70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5" w:type="dxa"/>
          </w:tcPr>
          <w:p w14:paraId="0CDBA7C5">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2.2.9 MPPT数量/最大输入路数</w:t>
            </w:r>
          </w:p>
        </w:tc>
        <w:tc>
          <w:tcPr>
            <w:tcW w:w="2976" w:type="dxa"/>
          </w:tcPr>
          <w:p w14:paraId="62472E63">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w:t>
            </w:r>
          </w:p>
        </w:tc>
        <w:tc>
          <w:tcPr>
            <w:tcW w:w="2505" w:type="dxa"/>
          </w:tcPr>
          <w:p w14:paraId="351388ED">
            <w:pPr>
              <w:pStyle w:val="28"/>
              <w:ind w:firstLine="0" w:firstLineChars="0"/>
              <w:rPr>
                <w:rFonts w:asciiTheme="minorEastAsia" w:hAnsiTheme="minorEastAsia" w:eastAsiaTheme="minorEastAsia" w:cstheme="minorEastAsia"/>
                <w:color w:val="auto"/>
                <w:sz w:val="24"/>
                <w:highlight w:val="none"/>
              </w:rPr>
            </w:pPr>
          </w:p>
        </w:tc>
      </w:tr>
      <w:tr w14:paraId="54CB9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3"/>
          </w:tcPr>
          <w:p w14:paraId="5694E510">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2.3 </w:t>
            </w:r>
            <w:r>
              <w:rPr>
                <w:rFonts w:hint="eastAsia" w:asciiTheme="minorEastAsia" w:hAnsiTheme="minorEastAsia" w:eastAsiaTheme="minorEastAsia" w:cstheme="minorEastAsia"/>
                <w:b/>
                <w:bCs/>
                <w:color w:val="auto"/>
                <w:sz w:val="24"/>
                <w:highlight w:val="none"/>
              </w:rPr>
              <w:t>23kW逆变器</w:t>
            </w:r>
          </w:p>
        </w:tc>
      </w:tr>
      <w:tr w14:paraId="2B4E0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5" w:type="dxa"/>
          </w:tcPr>
          <w:p w14:paraId="54C2A6AA">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2.3.1 最大直流电压（V）</w:t>
            </w:r>
          </w:p>
        </w:tc>
        <w:tc>
          <w:tcPr>
            <w:tcW w:w="2976" w:type="dxa"/>
          </w:tcPr>
          <w:p w14:paraId="499094B2">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1100</w:t>
            </w:r>
          </w:p>
        </w:tc>
        <w:tc>
          <w:tcPr>
            <w:tcW w:w="2505" w:type="dxa"/>
          </w:tcPr>
          <w:p w14:paraId="3E0CFED8">
            <w:pPr>
              <w:pStyle w:val="28"/>
              <w:ind w:firstLine="0" w:firstLineChars="0"/>
              <w:rPr>
                <w:rFonts w:asciiTheme="minorEastAsia" w:hAnsiTheme="minorEastAsia" w:eastAsiaTheme="minorEastAsia" w:cstheme="minorEastAsia"/>
                <w:color w:val="auto"/>
                <w:sz w:val="24"/>
                <w:highlight w:val="none"/>
              </w:rPr>
            </w:pPr>
          </w:p>
        </w:tc>
      </w:tr>
      <w:tr w14:paraId="7DA96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5" w:type="dxa"/>
          </w:tcPr>
          <w:p w14:paraId="6C85800E">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2.3.2 MPPT电压范围（V）</w:t>
            </w:r>
          </w:p>
        </w:tc>
        <w:tc>
          <w:tcPr>
            <w:tcW w:w="2976" w:type="dxa"/>
          </w:tcPr>
          <w:p w14:paraId="32B481E1">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160～1000</w:t>
            </w:r>
          </w:p>
        </w:tc>
        <w:tc>
          <w:tcPr>
            <w:tcW w:w="2505" w:type="dxa"/>
          </w:tcPr>
          <w:p w14:paraId="5833D23C">
            <w:pPr>
              <w:pStyle w:val="28"/>
              <w:ind w:firstLine="0" w:firstLineChars="0"/>
              <w:rPr>
                <w:rFonts w:asciiTheme="minorEastAsia" w:hAnsiTheme="minorEastAsia" w:eastAsiaTheme="minorEastAsia" w:cstheme="minorEastAsia"/>
                <w:color w:val="auto"/>
                <w:sz w:val="24"/>
                <w:highlight w:val="none"/>
              </w:rPr>
            </w:pPr>
          </w:p>
        </w:tc>
      </w:tr>
      <w:tr w14:paraId="6B074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5" w:type="dxa"/>
          </w:tcPr>
          <w:p w14:paraId="00EB1A37">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2.3.3 最大直流输入功率（kW）</w:t>
            </w:r>
          </w:p>
        </w:tc>
        <w:tc>
          <w:tcPr>
            <w:tcW w:w="2976" w:type="dxa"/>
          </w:tcPr>
          <w:p w14:paraId="43E98E6C">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28</w:t>
            </w:r>
          </w:p>
        </w:tc>
        <w:tc>
          <w:tcPr>
            <w:tcW w:w="2505" w:type="dxa"/>
          </w:tcPr>
          <w:p w14:paraId="7DFFE0ED">
            <w:pPr>
              <w:pStyle w:val="28"/>
              <w:ind w:firstLine="0" w:firstLineChars="0"/>
              <w:rPr>
                <w:rFonts w:asciiTheme="minorEastAsia" w:hAnsiTheme="minorEastAsia" w:eastAsiaTheme="minorEastAsia" w:cstheme="minorEastAsia"/>
                <w:color w:val="auto"/>
                <w:sz w:val="24"/>
                <w:highlight w:val="none"/>
              </w:rPr>
            </w:pPr>
          </w:p>
        </w:tc>
      </w:tr>
      <w:tr w14:paraId="10A95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5" w:type="dxa"/>
          </w:tcPr>
          <w:p w14:paraId="383A217E">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2.3.4 额定交流输出功率（KW）</w:t>
            </w:r>
          </w:p>
        </w:tc>
        <w:tc>
          <w:tcPr>
            <w:tcW w:w="2976" w:type="dxa"/>
          </w:tcPr>
          <w:p w14:paraId="52A8D092">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w:t>
            </w:r>
          </w:p>
        </w:tc>
        <w:tc>
          <w:tcPr>
            <w:tcW w:w="2505" w:type="dxa"/>
          </w:tcPr>
          <w:p w14:paraId="27882115">
            <w:pPr>
              <w:pStyle w:val="28"/>
              <w:ind w:firstLine="0" w:firstLineChars="0"/>
              <w:rPr>
                <w:rFonts w:asciiTheme="minorEastAsia" w:hAnsiTheme="minorEastAsia" w:eastAsiaTheme="minorEastAsia" w:cstheme="minorEastAsia"/>
                <w:color w:val="auto"/>
                <w:sz w:val="24"/>
                <w:highlight w:val="none"/>
              </w:rPr>
            </w:pPr>
          </w:p>
        </w:tc>
      </w:tr>
      <w:tr w14:paraId="1D711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5" w:type="dxa"/>
          </w:tcPr>
          <w:p w14:paraId="4ABC870B">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2.3.5 额定交流电压/范围（V）</w:t>
            </w:r>
          </w:p>
        </w:tc>
        <w:tc>
          <w:tcPr>
            <w:tcW w:w="2976" w:type="dxa"/>
          </w:tcPr>
          <w:p w14:paraId="08EF79E8">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380</w:t>
            </w:r>
          </w:p>
        </w:tc>
        <w:tc>
          <w:tcPr>
            <w:tcW w:w="2505" w:type="dxa"/>
          </w:tcPr>
          <w:p w14:paraId="2FE44E74">
            <w:pPr>
              <w:pStyle w:val="28"/>
              <w:ind w:firstLine="0" w:firstLineChars="0"/>
              <w:rPr>
                <w:rFonts w:asciiTheme="minorEastAsia" w:hAnsiTheme="minorEastAsia" w:eastAsiaTheme="minorEastAsia" w:cstheme="minorEastAsia"/>
                <w:color w:val="auto"/>
                <w:sz w:val="24"/>
                <w:highlight w:val="none"/>
              </w:rPr>
            </w:pPr>
          </w:p>
        </w:tc>
      </w:tr>
      <w:tr w14:paraId="5CD59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5" w:type="dxa"/>
          </w:tcPr>
          <w:p w14:paraId="6DA574A0">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2.3.6 最大效率（%）</w:t>
            </w:r>
          </w:p>
        </w:tc>
        <w:tc>
          <w:tcPr>
            <w:tcW w:w="2976" w:type="dxa"/>
          </w:tcPr>
          <w:p w14:paraId="2063746C">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98.7</w:t>
            </w:r>
          </w:p>
        </w:tc>
        <w:tc>
          <w:tcPr>
            <w:tcW w:w="2505" w:type="dxa"/>
          </w:tcPr>
          <w:p w14:paraId="678979EF">
            <w:pPr>
              <w:pStyle w:val="28"/>
              <w:ind w:firstLine="0" w:firstLineChars="0"/>
              <w:rPr>
                <w:rFonts w:asciiTheme="minorEastAsia" w:hAnsiTheme="minorEastAsia" w:eastAsiaTheme="minorEastAsia" w:cstheme="minorEastAsia"/>
                <w:color w:val="auto"/>
                <w:sz w:val="24"/>
                <w:highlight w:val="none"/>
              </w:rPr>
            </w:pPr>
          </w:p>
        </w:tc>
      </w:tr>
      <w:tr w14:paraId="0F347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5" w:type="dxa"/>
          </w:tcPr>
          <w:p w14:paraId="7E2CE9B8">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2.3.7 防护等级</w:t>
            </w:r>
          </w:p>
        </w:tc>
        <w:tc>
          <w:tcPr>
            <w:tcW w:w="2976" w:type="dxa"/>
          </w:tcPr>
          <w:p w14:paraId="464FBC32">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IP65</w:t>
            </w:r>
          </w:p>
        </w:tc>
        <w:tc>
          <w:tcPr>
            <w:tcW w:w="2505" w:type="dxa"/>
          </w:tcPr>
          <w:p w14:paraId="28EAF058">
            <w:pPr>
              <w:pStyle w:val="28"/>
              <w:ind w:firstLine="0" w:firstLineChars="0"/>
              <w:rPr>
                <w:rFonts w:asciiTheme="minorEastAsia" w:hAnsiTheme="minorEastAsia" w:eastAsiaTheme="minorEastAsia" w:cstheme="minorEastAsia"/>
                <w:color w:val="auto"/>
                <w:sz w:val="24"/>
                <w:highlight w:val="none"/>
              </w:rPr>
            </w:pPr>
          </w:p>
        </w:tc>
      </w:tr>
      <w:tr w14:paraId="44135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5" w:type="dxa"/>
          </w:tcPr>
          <w:p w14:paraId="740FEA6E">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2.3.8 工作温度（ºC）</w:t>
            </w:r>
          </w:p>
        </w:tc>
        <w:tc>
          <w:tcPr>
            <w:tcW w:w="2976" w:type="dxa"/>
            <w:vAlign w:val="center"/>
          </w:tcPr>
          <w:p w14:paraId="58CDEC6A">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-25～+60</w:t>
            </w:r>
          </w:p>
        </w:tc>
        <w:tc>
          <w:tcPr>
            <w:tcW w:w="2505" w:type="dxa"/>
          </w:tcPr>
          <w:p w14:paraId="5135FF56">
            <w:pPr>
              <w:pStyle w:val="28"/>
              <w:ind w:firstLine="0" w:firstLineChars="0"/>
              <w:rPr>
                <w:rFonts w:asciiTheme="minorEastAsia" w:hAnsiTheme="minorEastAsia" w:eastAsiaTheme="minorEastAsia" w:cstheme="minorEastAsia"/>
                <w:color w:val="auto"/>
                <w:sz w:val="24"/>
                <w:highlight w:val="none"/>
              </w:rPr>
            </w:pPr>
          </w:p>
        </w:tc>
      </w:tr>
      <w:tr w14:paraId="11C45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5" w:type="dxa"/>
          </w:tcPr>
          <w:p w14:paraId="361C8673">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2.3.9 MPPT数量/最大输入路数</w:t>
            </w:r>
          </w:p>
        </w:tc>
        <w:tc>
          <w:tcPr>
            <w:tcW w:w="2976" w:type="dxa"/>
          </w:tcPr>
          <w:p w14:paraId="73336CF2">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w:t>
            </w:r>
          </w:p>
        </w:tc>
        <w:tc>
          <w:tcPr>
            <w:tcW w:w="2505" w:type="dxa"/>
          </w:tcPr>
          <w:p w14:paraId="4E781F93">
            <w:pPr>
              <w:pStyle w:val="28"/>
              <w:ind w:firstLine="0" w:firstLineChars="0"/>
              <w:rPr>
                <w:rFonts w:asciiTheme="minorEastAsia" w:hAnsiTheme="minorEastAsia" w:eastAsiaTheme="minorEastAsia" w:cstheme="minorEastAsia"/>
                <w:color w:val="auto"/>
                <w:sz w:val="24"/>
                <w:highlight w:val="none"/>
              </w:rPr>
            </w:pPr>
          </w:p>
        </w:tc>
      </w:tr>
      <w:tr w14:paraId="072DD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3"/>
          </w:tcPr>
          <w:p w14:paraId="53A0B070">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2.4 </w:t>
            </w:r>
            <w:r>
              <w:rPr>
                <w:rFonts w:hint="eastAsia" w:asciiTheme="minorEastAsia" w:hAnsiTheme="minorEastAsia" w:eastAsiaTheme="minorEastAsia" w:cstheme="minorEastAsia"/>
                <w:b/>
                <w:bCs/>
                <w:color w:val="auto"/>
                <w:sz w:val="24"/>
                <w:highlight w:val="none"/>
              </w:rPr>
              <w:t>25kW逆变器</w:t>
            </w:r>
          </w:p>
        </w:tc>
      </w:tr>
      <w:tr w14:paraId="02687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5" w:type="dxa"/>
          </w:tcPr>
          <w:p w14:paraId="26129378">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2.4.1 最大直流电压（V）</w:t>
            </w:r>
          </w:p>
        </w:tc>
        <w:tc>
          <w:tcPr>
            <w:tcW w:w="2976" w:type="dxa"/>
          </w:tcPr>
          <w:p w14:paraId="20665EEB">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1100</w:t>
            </w:r>
          </w:p>
        </w:tc>
        <w:tc>
          <w:tcPr>
            <w:tcW w:w="2505" w:type="dxa"/>
          </w:tcPr>
          <w:p w14:paraId="494E1A0D">
            <w:pPr>
              <w:pStyle w:val="28"/>
              <w:ind w:firstLine="0" w:firstLineChars="0"/>
              <w:rPr>
                <w:rFonts w:asciiTheme="minorEastAsia" w:hAnsiTheme="minorEastAsia" w:eastAsiaTheme="minorEastAsia" w:cstheme="minorEastAsia"/>
                <w:color w:val="auto"/>
                <w:sz w:val="24"/>
                <w:highlight w:val="none"/>
              </w:rPr>
            </w:pPr>
          </w:p>
        </w:tc>
      </w:tr>
      <w:tr w14:paraId="40F03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5" w:type="dxa"/>
          </w:tcPr>
          <w:p w14:paraId="77F281B9">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2.4.2 MPPT电压范围（V）</w:t>
            </w:r>
          </w:p>
        </w:tc>
        <w:tc>
          <w:tcPr>
            <w:tcW w:w="2976" w:type="dxa"/>
          </w:tcPr>
          <w:p w14:paraId="645A03A3">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160～1000</w:t>
            </w:r>
          </w:p>
        </w:tc>
        <w:tc>
          <w:tcPr>
            <w:tcW w:w="2505" w:type="dxa"/>
          </w:tcPr>
          <w:p w14:paraId="6C1D18F1">
            <w:pPr>
              <w:pStyle w:val="28"/>
              <w:ind w:firstLine="0" w:firstLineChars="0"/>
              <w:rPr>
                <w:rFonts w:asciiTheme="minorEastAsia" w:hAnsiTheme="minorEastAsia" w:eastAsiaTheme="minorEastAsia" w:cstheme="minorEastAsia"/>
                <w:color w:val="auto"/>
                <w:sz w:val="24"/>
                <w:highlight w:val="none"/>
              </w:rPr>
            </w:pPr>
          </w:p>
        </w:tc>
      </w:tr>
      <w:tr w14:paraId="55336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5" w:type="dxa"/>
          </w:tcPr>
          <w:p w14:paraId="0B36D589">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2.4.3 最大直流输入功率（kW）</w:t>
            </w:r>
          </w:p>
        </w:tc>
        <w:tc>
          <w:tcPr>
            <w:tcW w:w="2976" w:type="dxa"/>
          </w:tcPr>
          <w:p w14:paraId="4EE39515">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30</w:t>
            </w:r>
          </w:p>
        </w:tc>
        <w:tc>
          <w:tcPr>
            <w:tcW w:w="2505" w:type="dxa"/>
          </w:tcPr>
          <w:p w14:paraId="5181B753">
            <w:pPr>
              <w:pStyle w:val="28"/>
              <w:ind w:firstLine="0" w:firstLineChars="0"/>
              <w:rPr>
                <w:rFonts w:asciiTheme="minorEastAsia" w:hAnsiTheme="minorEastAsia" w:eastAsiaTheme="minorEastAsia" w:cstheme="minorEastAsia"/>
                <w:color w:val="auto"/>
                <w:sz w:val="24"/>
                <w:highlight w:val="none"/>
              </w:rPr>
            </w:pPr>
          </w:p>
        </w:tc>
      </w:tr>
      <w:tr w14:paraId="3386E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5" w:type="dxa"/>
          </w:tcPr>
          <w:p w14:paraId="6B0C1BE2">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2.4.4 额定交流输出功率（KW）</w:t>
            </w:r>
          </w:p>
        </w:tc>
        <w:tc>
          <w:tcPr>
            <w:tcW w:w="2976" w:type="dxa"/>
          </w:tcPr>
          <w:p w14:paraId="134BB9BE">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w:t>
            </w:r>
          </w:p>
        </w:tc>
        <w:tc>
          <w:tcPr>
            <w:tcW w:w="2505" w:type="dxa"/>
          </w:tcPr>
          <w:p w14:paraId="51BDA6ED">
            <w:pPr>
              <w:pStyle w:val="28"/>
              <w:ind w:firstLine="0" w:firstLineChars="0"/>
              <w:rPr>
                <w:rFonts w:asciiTheme="minorEastAsia" w:hAnsiTheme="minorEastAsia" w:eastAsiaTheme="minorEastAsia" w:cstheme="minorEastAsia"/>
                <w:color w:val="auto"/>
                <w:sz w:val="24"/>
                <w:highlight w:val="none"/>
              </w:rPr>
            </w:pPr>
          </w:p>
        </w:tc>
      </w:tr>
      <w:tr w14:paraId="3974D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5" w:type="dxa"/>
          </w:tcPr>
          <w:p w14:paraId="34705CEC">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2.4.5 额定交流电压/范围（V）</w:t>
            </w:r>
          </w:p>
        </w:tc>
        <w:tc>
          <w:tcPr>
            <w:tcW w:w="2976" w:type="dxa"/>
          </w:tcPr>
          <w:p w14:paraId="78895600">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380</w:t>
            </w:r>
          </w:p>
        </w:tc>
        <w:tc>
          <w:tcPr>
            <w:tcW w:w="2505" w:type="dxa"/>
          </w:tcPr>
          <w:p w14:paraId="45C6C502">
            <w:pPr>
              <w:pStyle w:val="28"/>
              <w:ind w:firstLine="0" w:firstLineChars="0"/>
              <w:rPr>
                <w:rFonts w:asciiTheme="minorEastAsia" w:hAnsiTheme="minorEastAsia" w:eastAsiaTheme="minorEastAsia" w:cstheme="minorEastAsia"/>
                <w:color w:val="auto"/>
                <w:sz w:val="24"/>
                <w:highlight w:val="none"/>
              </w:rPr>
            </w:pPr>
          </w:p>
        </w:tc>
      </w:tr>
      <w:tr w14:paraId="46D86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5" w:type="dxa"/>
          </w:tcPr>
          <w:p w14:paraId="6A291374">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2.4.6 最大效率（%）</w:t>
            </w:r>
          </w:p>
        </w:tc>
        <w:tc>
          <w:tcPr>
            <w:tcW w:w="2976" w:type="dxa"/>
          </w:tcPr>
          <w:p w14:paraId="33803F6F">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98.5</w:t>
            </w:r>
          </w:p>
        </w:tc>
        <w:tc>
          <w:tcPr>
            <w:tcW w:w="2505" w:type="dxa"/>
          </w:tcPr>
          <w:p w14:paraId="18ED60C2">
            <w:pPr>
              <w:pStyle w:val="28"/>
              <w:ind w:firstLine="0" w:firstLineChars="0"/>
              <w:rPr>
                <w:rFonts w:asciiTheme="minorEastAsia" w:hAnsiTheme="minorEastAsia" w:eastAsiaTheme="minorEastAsia" w:cstheme="minorEastAsia"/>
                <w:color w:val="auto"/>
                <w:sz w:val="24"/>
                <w:highlight w:val="none"/>
              </w:rPr>
            </w:pPr>
          </w:p>
        </w:tc>
      </w:tr>
      <w:tr w14:paraId="030AB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5" w:type="dxa"/>
          </w:tcPr>
          <w:p w14:paraId="41FBAAC4">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2.4.7 防护等级</w:t>
            </w:r>
          </w:p>
        </w:tc>
        <w:tc>
          <w:tcPr>
            <w:tcW w:w="2976" w:type="dxa"/>
          </w:tcPr>
          <w:p w14:paraId="3DE26968">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IP65</w:t>
            </w:r>
          </w:p>
        </w:tc>
        <w:tc>
          <w:tcPr>
            <w:tcW w:w="2505" w:type="dxa"/>
          </w:tcPr>
          <w:p w14:paraId="1A4AC2AD">
            <w:pPr>
              <w:pStyle w:val="28"/>
              <w:ind w:firstLine="0" w:firstLineChars="0"/>
              <w:rPr>
                <w:rFonts w:asciiTheme="minorEastAsia" w:hAnsiTheme="minorEastAsia" w:eastAsiaTheme="minorEastAsia" w:cstheme="minorEastAsia"/>
                <w:color w:val="auto"/>
                <w:sz w:val="24"/>
                <w:highlight w:val="none"/>
              </w:rPr>
            </w:pPr>
          </w:p>
        </w:tc>
      </w:tr>
      <w:tr w14:paraId="3E6B7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5" w:type="dxa"/>
          </w:tcPr>
          <w:p w14:paraId="75CFB7F9">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2.4.8 工作温度（ºC）</w:t>
            </w:r>
          </w:p>
        </w:tc>
        <w:tc>
          <w:tcPr>
            <w:tcW w:w="2976" w:type="dxa"/>
            <w:vAlign w:val="center"/>
          </w:tcPr>
          <w:p w14:paraId="1E9CE221">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-25～+60</w:t>
            </w:r>
          </w:p>
        </w:tc>
        <w:tc>
          <w:tcPr>
            <w:tcW w:w="2505" w:type="dxa"/>
          </w:tcPr>
          <w:p w14:paraId="17C9B2AC">
            <w:pPr>
              <w:pStyle w:val="28"/>
              <w:ind w:firstLine="0" w:firstLineChars="0"/>
              <w:rPr>
                <w:rFonts w:asciiTheme="minorEastAsia" w:hAnsiTheme="minorEastAsia" w:eastAsiaTheme="minorEastAsia" w:cstheme="minorEastAsia"/>
                <w:color w:val="auto"/>
                <w:sz w:val="24"/>
                <w:highlight w:val="none"/>
              </w:rPr>
            </w:pPr>
          </w:p>
        </w:tc>
      </w:tr>
      <w:tr w14:paraId="76DDB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5" w:type="dxa"/>
          </w:tcPr>
          <w:p w14:paraId="3CF56181">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2.4.9 MPPT数量/最大输入路数</w:t>
            </w:r>
          </w:p>
        </w:tc>
        <w:tc>
          <w:tcPr>
            <w:tcW w:w="2976" w:type="dxa"/>
          </w:tcPr>
          <w:p w14:paraId="1A5541D4">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w:t>
            </w:r>
          </w:p>
        </w:tc>
        <w:tc>
          <w:tcPr>
            <w:tcW w:w="2505" w:type="dxa"/>
          </w:tcPr>
          <w:p w14:paraId="523AB761">
            <w:pPr>
              <w:pStyle w:val="28"/>
              <w:ind w:firstLine="0" w:firstLineChars="0"/>
              <w:rPr>
                <w:rFonts w:asciiTheme="minorEastAsia" w:hAnsiTheme="minorEastAsia" w:eastAsiaTheme="minorEastAsia" w:cstheme="minorEastAsia"/>
                <w:color w:val="auto"/>
                <w:sz w:val="24"/>
                <w:highlight w:val="none"/>
              </w:rPr>
            </w:pPr>
          </w:p>
        </w:tc>
      </w:tr>
      <w:tr w14:paraId="2C1F7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3"/>
          </w:tcPr>
          <w:p w14:paraId="51D66DC3">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2.5 </w:t>
            </w:r>
            <w:r>
              <w:rPr>
                <w:rFonts w:hint="eastAsia" w:asciiTheme="minorEastAsia" w:hAnsiTheme="minorEastAsia" w:eastAsiaTheme="minorEastAsia" w:cstheme="minorEastAsia"/>
                <w:b/>
                <w:bCs/>
                <w:color w:val="auto"/>
                <w:sz w:val="24"/>
                <w:highlight w:val="none"/>
              </w:rPr>
              <w:t>36kW逆变器</w:t>
            </w:r>
          </w:p>
        </w:tc>
      </w:tr>
      <w:tr w14:paraId="2C8A8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5" w:type="dxa"/>
          </w:tcPr>
          <w:p w14:paraId="54D86036">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2.5.1 最大直流电压（V）</w:t>
            </w:r>
          </w:p>
        </w:tc>
        <w:tc>
          <w:tcPr>
            <w:tcW w:w="2976" w:type="dxa"/>
          </w:tcPr>
          <w:p w14:paraId="0D9C0E8C">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1100</w:t>
            </w:r>
          </w:p>
        </w:tc>
        <w:tc>
          <w:tcPr>
            <w:tcW w:w="2505" w:type="dxa"/>
          </w:tcPr>
          <w:p w14:paraId="67C306C4">
            <w:pPr>
              <w:pStyle w:val="28"/>
              <w:ind w:firstLine="0" w:firstLineChars="0"/>
              <w:rPr>
                <w:rFonts w:asciiTheme="minorEastAsia" w:hAnsiTheme="minorEastAsia" w:eastAsiaTheme="minorEastAsia" w:cstheme="minorEastAsia"/>
                <w:color w:val="auto"/>
                <w:sz w:val="24"/>
                <w:highlight w:val="none"/>
              </w:rPr>
            </w:pPr>
          </w:p>
        </w:tc>
      </w:tr>
      <w:tr w14:paraId="1B280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5" w:type="dxa"/>
          </w:tcPr>
          <w:p w14:paraId="694EF8DD">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2.5.2 MPPT电压范围（V）</w:t>
            </w:r>
          </w:p>
        </w:tc>
        <w:tc>
          <w:tcPr>
            <w:tcW w:w="2976" w:type="dxa"/>
          </w:tcPr>
          <w:p w14:paraId="1F152ACD">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200～1000</w:t>
            </w:r>
          </w:p>
        </w:tc>
        <w:tc>
          <w:tcPr>
            <w:tcW w:w="2505" w:type="dxa"/>
          </w:tcPr>
          <w:p w14:paraId="47D81636">
            <w:pPr>
              <w:pStyle w:val="28"/>
              <w:ind w:firstLine="0" w:firstLineChars="0"/>
              <w:rPr>
                <w:rFonts w:asciiTheme="minorEastAsia" w:hAnsiTheme="minorEastAsia" w:eastAsiaTheme="minorEastAsia" w:cstheme="minorEastAsia"/>
                <w:color w:val="auto"/>
                <w:sz w:val="24"/>
                <w:highlight w:val="none"/>
              </w:rPr>
            </w:pPr>
          </w:p>
        </w:tc>
      </w:tr>
      <w:tr w14:paraId="7BFEC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5" w:type="dxa"/>
          </w:tcPr>
          <w:p w14:paraId="4B26E299">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2.5.3 最大直流输入功率（kW）</w:t>
            </w:r>
          </w:p>
        </w:tc>
        <w:tc>
          <w:tcPr>
            <w:tcW w:w="2976" w:type="dxa"/>
          </w:tcPr>
          <w:p w14:paraId="09B2DECE">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47</w:t>
            </w:r>
          </w:p>
        </w:tc>
        <w:tc>
          <w:tcPr>
            <w:tcW w:w="2505" w:type="dxa"/>
          </w:tcPr>
          <w:p w14:paraId="321EFCA7">
            <w:pPr>
              <w:pStyle w:val="28"/>
              <w:ind w:firstLine="0" w:firstLineChars="0"/>
              <w:rPr>
                <w:rFonts w:asciiTheme="minorEastAsia" w:hAnsiTheme="minorEastAsia" w:eastAsiaTheme="minorEastAsia" w:cstheme="minorEastAsia"/>
                <w:color w:val="auto"/>
                <w:sz w:val="24"/>
                <w:highlight w:val="none"/>
              </w:rPr>
            </w:pPr>
          </w:p>
        </w:tc>
      </w:tr>
      <w:tr w14:paraId="6851B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5" w:type="dxa"/>
          </w:tcPr>
          <w:p w14:paraId="14314BAF">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2.5.4 额定交流输出功率（KW）</w:t>
            </w:r>
          </w:p>
        </w:tc>
        <w:tc>
          <w:tcPr>
            <w:tcW w:w="2976" w:type="dxa"/>
          </w:tcPr>
          <w:p w14:paraId="5A076DFF">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36</w:t>
            </w:r>
          </w:p>
        </w:tc>
        <w:tc>
          <w:tcPr>
            <w:tcW w:w="2505" w:type="dxa"/>
          </w:tcPr>
          <w:p w14:paraId="6B6A7F4B">
            <w:pPr>
              <w:pStyle w:val="28"/>
              <w:ind w:firstLine="0" w:firstLineChars="0"/>
              <w:rPr>
                <w:rFonts w:asciiTheme="minorEastAsia" w:hAnsiTheme="minorEastAsia" w:eastAsiaTheme="minorEastAsia" w:cstheme="minorEastAsia"/>
                <w:color w:val="auto"/>
                <w:sz w:val="24"/>
                <w:highlight w:val="none"/>
              </w:rPr>
            </w:pPr>
          </w:p>
        </w:tc>
      </w:tr>
      <w:tr w14:paraId="40D36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5" w:type="dxa"/>
          </w:tcPr>
          <w:p w14:paraId="5AE273F3">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2.5.5 额定交流电压/范围（V）</w:t>
            </w:r>
          </w:p>
        </w:tc>
        <w:tc>
          <w:tcPr>
            <w:tcW w:w="2976" w:type="dxa"/>
          </w:tcPr>
          <w:p w14:paraId="2F404027">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380</w:t>
            </w:r>
          </w:p>
        </w:tc>
        <w:tc>
          <w:tcPr>
            <w:tcW w:w="2505" w:type="dxa"/>
          </w:tcPr>
          <w:p w14:paraId="0B5BD643">
            <w:pPr>
              <w:pStyle w:val="28"/>
              <w:ind w:firstLine="0" w:firstLineChars="0"/>
              <w:rPr>
                <w:rFonts w:asciiTheme="minorEastAsia" w:hAnsiTheme="minorEastAsia" w:eastAsiaTheme="minorEastAsia" w:cstheme="minorEastAsia"/>
                <w:color w:val="auto"/>
                <w:sz w:val="24"/>
                <w:highlight w:val="none"/>
              </w:rPr>
            </w:pPr>
          </w:p>
        </w:tc>
      </w:tr>
      <w:tr w14:paraId="473F4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5" w:type="dxa"/>
          </w:tcPr>
          <w:p w14:paraId="33BF6BA4">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2.5.6 最大效率（%）</w:t>
            </w:r>
          </w:p>
        </w:tc>
        <w:tc>
          <w:tcPr>
            <w:tcW w:w="2976" w:type="dxa"/>
          </w:tcPr>
          <w:p w14:paraId="0F5780BA">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98.8</w:t>
            </w:r>
          </w:p>
        </w:tc>
        <w:tc>
          <w:tcPr>
            <w:tcW w:w="2505" w:type="dxa"/>
          </w:tcPr>
          <w:p w14:paraId="485C05FA">
            <w:pPr>
              <w:pStyle w:val="28"/>
              <w:ind w:firstLine="0" w:firstLineChars="0"/>
              <w:rPr>
                <w:rFonts w:asciiTheme="minorEastAsia" w:hAnsiTheme="minorEastAsia" w:eastAsiaTheme="minorEastAsia" w:cstheme="minorEastAsia"/>
                <w:color w:val="auto"/>
                <w:sz w:val="24"/>
                <w:highlight w:val="none"/>
              </w:rPr>
            </w:pPr>
          </w:p>
        </w:tc>
      </w:tr>
      <w:tr w14:paraId="5723B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5" w:type="dxa"/>
          </w:tcPr>
          <w:p w14:paraId="6E2A32D5">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2.5.7 防护等级</w:t>
            </w:r>
          </w:p>
        </w:tc>
        <w:tc>
          <w:tcPr>
            <w:tcW w:w="2976" w:type="dxa"/>
          </w:tcPr>
          <w:p w14:paraId="3DCFEB44">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IP65</w:t>
            </w:r>
          </w:p>
        </w:tc>
        <w:tc>
          <w:tcPr>
            <w:tcW w:w="2505" w:type="dxa"/>
          </w:tcPr>
          <w:p w14:paraId="1AF72A8B">
            <w:pPr>
              <w:pStyle w:val="28"/>
              <w:ind w:firstLine="0" w:firstLineChars="0"/>
              <w:rPr>
                <w:rFonts w:asciiTheme="minorEastAsia" w:hAnsiTheme="minorEastAsia" w:eastAsiaTheme="minorEastAsia" w:cstheme="minorEastAsia"/>
                <w:color w:val="auto"/>
                <w:sz w:val="24"/>
                <w:highlight w:val="none"/>
              </w:rPr>
            </w:pPr>
          </w:p>
        </w:tc>
      </w:tr>
      <w:tr w14:paraId="7878B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5" w:type="dxa"/>
          </w:tcPr>
          <w:p w14:paraId="3D53D6DA">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2.5.8 工作温度（ºC）</w:t>
            </w:r>
          </w:p>
        </w:tc>
        <w:tc>
          <w:tcPr>
            <w:tcW w:w="2976" w:type="dxa"/>
            <w:vAlign w:val="center"/>
          </w:tcPr>
          <w:p w14:paraId="2E7A689E">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-25～+60</w:t>
            </w:r>
          </w:p>
        </w:tc>
        <w:tc>
          <w:tcPr>
            <w:tcW w:w="2505" w:type="dxa"/>
          </w:tcPr>
          <w:p w14:paraId="403E6D3F">
            <w:pPr>
              <w:pStyle w:val="28"/>
              <w:ind w:firstLine="0" w:firstLineChars="0"/>
              <w:rPr>
                <w:rFonts w:asciiTheme="minorEastAsia" w:hAnsiTheme="minorEastAsia" w:eastAsiaTheme="minorEastAsia" w:cstheme="minorEastAsia"/>
                <w:color w:val="auto"/>
                <w:sz w:val="24"/>
                <w:highlight w:val="none"/>
              </w:rPr>
            </w:pPr>
          </w:p>
        </w:tc>
      </w:tr>
      <w:tr w14:paraId="054AF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5" w:type="dxa"/>
          </w:tcPr>
          <w:p w14:paraId="466DFE95">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2.5.9 MPPT数量/最大输入路数</w:t>
            </w:r>
          </w:p>
        </w:tc>
        <w:tc>
          <w:tcPr>
            <w:tcW w:w="2976" w:type="dxa"/>
          </w:tcPr>
          <w:p w14:paraId="3E5CBA8D">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4/4</w:t>
            </w:r>
          </w:p>
        </w:tc>
        <w:tc>
          <w:tcPr>
            <w:tcW w:w="2505" w:type="dxa"/>
          </w:tcPr>
          <w:p w14:paraId="1CDE3266">
            <w:pPr>
              <w:pStyle w:val="28"/>
              <w:ind w:firstLine="0" w:firstLineChars="0"/>
              <w:rPr>
                <w:rFonts w:asciiTheme="minorEastAsia" w:hAnsiTheme="minorEastAsia" w:eastAsiaTheme="minorEastAsia" w:cstheme="minorEastAsia"/>
                <w:color w:val="auto"/>
                <w:sz w:val="24"/>
                <w:highlight w:val="none"/>
              </w:rPr>
            </w:pPr>
          </w:p>
        </w:tc>
      </w:tr>
      <w:tr w14:paraId="7D43A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3"/>
          </w:tcPr>
          <w:p w14:paraId="1EF80370">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2.6 </w:t>
            </w:r>
            <w:r>
              <w:rPr>
                <w:rFonts w:hint="eastAsia" w:asciiTheme="minorEastAsia" w:hAnsiTheme="minorEastAsia" w:eastAsiaTheme="minorEastAsia" w:cstheme="minorEastAsia"/>
                <w:b/>
                <w:bCs/>
                <w:color w:val="auto"/>
                <w:sz w:val="24"/>
                <w:highlight w:val="none"/>
              </w:rPr>
              <w:t>110kW逆变器</w:t>
            </w:r>
          </w:p>
        </w:tc>
      </w:tr>
      <w:tr w14:paraId="69E4B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5" w:type="dxa"/>
          </w:tcPr>
          <w:p w14:paraId="3A0423BC">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2.6.1 最大直流电压（V）</w:t>
            </w:r>
          </w:p>
        </w:tc>
        <w:tc>
          <w:tcPr>
            <w:tcW w:w="2976" w:type="dxa"/>
          </w:tcPr>
          <w:p w14:paraId="63D7FA91">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1100</w:t>
            </w:r>
          </w:p>
        </w:tc>
        <w:tc>
          <w:tcPr>
            <w:tcW w:w="2505" w:type="dxa"/>
          </w:tcPr>
          <w:p w14:paraId="00D139E4">
            <w:pPr>
              <w:pStyle w:val="28"/>
              <w:ind w:firstLine="0" w:firstLineChars="0"/>
              <w:rPr>
                <w:rFonts w:asciiTheme="minorEastAsia" w:hAnsiTheme="minorEastAsia" w:eastAsiaTheme="minorEastAsia" w:cstheme="minorEastAsia"/>
                <w:color w:val="auto"/>
                <w:sz w:val="24"/>
                <w:highlight w:val="none"/>
              </w:rPr>
            </w:pPr>
          </w:p>
        </w:tc>
      </w:tr>
      <w:tr w14:paraId="25D67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5" w:type="dxa"/>
          </w:tcPr>
          <w:p w14:paraId="67A297AF">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2.6.2 MPPT电压范围（V）</w:t>
            </w:r>
          </w:p>
        </w:tc>
        <w:tc>
          <w:tcPr>
            <w:tcW w:w="2976" w:type="dxa"/>
          </w:tcPr>
          <w:p w14:paraId="7DEAC77B">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180～1000</w:t>
            </w:r>
          </w:p>
        </w:tc>
        <w:tc>
          <w:tcPr>
            <w:tcW w:w="2505" w:type="dxa"/>
          </w:tcPr>
          <w:p w14:paraId="5B9E863B">
            <w:pPr>
              <w:pStyle w:val="28"/>
              <w:ind w:firstLine="0" w:firstLineChars="0"/>
              <w:rPr>
                <w:rFonts w:asciiTheme="minorEastAsia" w:hAnsiTheme="minorEastAsia" w:eastAsiaTheme="minorEastAsia" w:cstheme="minorEastAsia"/>
                <w:color w:val="auto"/>
                <w:sz w:val="24"/>
                <w:highlight w:val="none"/>
              </w:rPr>
            </w:pPr>
          </w:p>
        </w:tc>
      </w:tr>
      <w:tr w14:paraId="4B1E0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5" w:type="dxa"/>
          </w:tcPr>
          <w:p w14:paraId="1D1F540E">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2.6.3 最大直流输入功率（kW）</w:t>
            </w:r>
          </w:p>
        </w:tc>
        <w:tc>
          <w:tcPr>
            <w:tcW w:w="2976" w:type="dxa"/>
          </w:tcPr>
          <w:p w14:paraId="29DC5A76">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121</w:t>
            </w:r>
          </w:p>
        </w:tc>
        <w:tc>
          <w:tcPr>
            <w:tcW w:w="2505" w:type="dxa"/>
          </w:tcPr>
          <w:p w14:paraId="3537557F">
            <w:pPr>
              <w:pStyle w:val="28"/>
              <w:ind w:firstLine="0" w:firstLineChars="0"/>
              <w:rPr>
                <w:rFonts w:asciiTheme="minorEastAsia" w:hAnsiTheme="minorEastAsia" w:eastAsiaTheme="minorEastAsia" w:cstheme="minorEastAsia"/>
                <w:color w:val="auto"/>
                <w:sz w:val="24"/>
                <w:highlight w:val="none"/>
              </w:rPr>
            </w:pPr>
          </w:p>
        </w:tc>
      </w:tr>
      <w:tr w14:paraId="2F405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5" w:type="dxa"/>
          </w:tcPr>
          <w:p w14:paraId="69E19D36">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2.6.4 额定交流输出功率（KW）</w:t>
            </w:r>
          </w:p>
        </w:tc>
        <w:tc>
          <w:tcPr>
            <w:tcW w:w="2976" w:type="dxa"/>
          </w:tcPr>
          <w:p w14:paraId="39895C00">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110</w:t>
            </w:r>
          </w:p>
        </w:tc>
        <w:tc>
          <w:tcPr>
            <w:tcW w:w="2505" w:type="dxa"/>
          </w:tcPr>
          <w:p w14:paraId="2AD8AFCC">
            <w:pPr>
              <w:pStyle w:val="28"/>
              <w:ind w:firstLine="0" w:firstLineChars="0"/>
              <w:rPr>
                <w:rFonts w:asciiTheme="minorEastAsia" w:hAnsiTheme="minorEastAsia" w:eastAsiaTheme="minorEastAsia" w:cstheme="minorEastAsia"/>
                <w:color w:val="auto"/>
                <w:sz w:val="24"/>
                <w:highlight w:val="none"/>
              </w:rPr>
            </w:pPr>
          </w:p>
        </w:tc>
      </w:tr>
      <w:tr w14:paraId="52B36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5" w:type="dxa"/>
          </w:tcPr>
          <w:p w14:paraId="7C130E68">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2.6.5 额定交流电压/范围（V）</w:t>
            </w:r>
          </w:p>
        </w:tc>
        <w:tc>
          <w:tcPr>
            <w:tcW w:w="2976" w:type="dxa"/>
          </w:tcPr>
          <w:p w14:paraId="4500901F">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380</w:t>
            </w:r>
          </w:p>
        </w:tc>
        <w:tc>
          <w:tcPr>
            <w:tcW w:w="2505" w:type="dxa"/>
          </w:tcPr>
          <w:p w14:paraId="0315A055">
            <w:pPr>
              <w:pStyle w:val="28"/>
              <w:ind w:firstLine="0" w:firstLineChars="0"/>
              <w:rPr>
                <w:rFonts w:asciiTheme="minorEastAsia" w:hAnsiTheme="minorEastAsia" w:eastAsiaTheme="minorEastAsia" w:cstheme="minorEastAsia"/>
                <w:color w:val="auto"/>
                <w:sz w:val="24"/>
                <w:highlight w:val="none"/>
              </w:rPr>
            </w:pPr>
          </w:p>
        </w:tc>
      </w:tr>
      <w:tr w14:paraId="18E66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5" w:type="dxa"/>
          </w:tcPr>
          <w:p w14:paraId="214AE012">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2.6.6 最大效率（%）</w:t>
            </w:r>
          </w:p>
        </w:tc>
        <w:tc>
          <w:tcPr>
            <w:tcW w:w="2976" w:type="dxa"/>
          </w:tcPr>
          <w:p w14:paraId="5AFC2C06">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98.8</w:t>
            </w:r>
          </w:p>
        </w:tc>
        <w:tc>
          <w:tcPr>
            <w:tcW w:w="2505" w:type="dxa"/>
          </w:tcPr>
          <w:p w14:paraId="4F880F97">
            <w:pPr>
              <w:pStyle w:val="28"/>
              <w:ind w:firstLine="0" w:firstLineChars="0"/>
              <w:rPr>
                <w:rFonts w:asciiTheme="minorEastAsia" w:hAnsiTheme="minorEastAsia" w:eastAsiaTheme="minorEastAsia" w:cstheme="minorEastAsia"/>
                <w:color w:val="auto"/>
                <w:sz w:val="24"/>
                <w:highlight w:val="none"/>
              </w:rPr>
            </w:pPr>
          </w:p>
        </w:tc>
      </w:tr>
      <w:tr w14:paraId="2A581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5" w:type="dxa"/>
          </w:tcPr>
          <w:p w14:paraId="17043907">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2.6.7 防护等级</w:t>
            </w:r>
          </w:p>
        </w:tc>
        <w:tc>
          <w:tcPr>
            <w:tcW w:w="2976" w:type="dxa"/>
          </w:tcPr>
          <w:p w14:paraId="0B1AC114">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IP65</w:t>
            </w:r>
          </w:p>
        </w:tc>
        <w:tc>
          <w:tcPr>
            <w:tcW w:w="2505" w:type="dxa"/>
          </w:tcPr>
          <w:p w14:paraId="1EDFB789">
            <w:pPr>
              <w:pStyle w:val="28"/>
              <w:ind w:firstLine="0" w:firstLineChars="0"/>
              <w:rPr>
                <w:rFonts w:asciiTheme="minorEastAsia" w:hAnsiTheme="minorEastAsia" w:eastAsiaTheme="minorEastAsia" w:cstheme="minorEastAsia"/>
                <w:color w:val="auto"/>
                <w:sz w:val="24"/>
                <w:highlight w:val="none"/>
              </w:rPr>
            </w:pPr>
          </w:p>
        </w:tc>
      </w:tr>
      <w:tr w14:paraId="549ED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5" w:type="dxa"/>
          </w:tcPr>
          <w:p w14:paraId="53E01521">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2.6.8 工作温度（ºC）</w:t>
            </w:r>
          </w:p>
        </w:tc>
        <w:tc>
          <w:tcPr>
            <w:tcW w:w="2976" w:type="dxa"/>
            <w:vAlign w:val="center"/>
          </w:tcPr>
          <w:p w14:paraId="10D2081E">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-25～+60</w:t>
            </w:r>
          </w:p>
        </w:tc>
        <w:tc>
          <w:tcPr>
            <w:tcW w:w="2505" w:type="dxa"/>
          </w:tcPr>
          <w:p w14:paraId="27BE719B">
            <w:pPr>
              <w:pStyle w:val="28"/>
              <w:ind w:firstLine="0" w:firstLineChars="0"/>
              <w:rPr>
                <w:rFonts w:asciiTheme="minorEastAsia" w:hAnsiTheme="minorEastAsia" w:eastAsiaTheme="minorEastAsia" w:cstheme="minorEastAsia"/>
                <w:color w:val="auto"/>
                <w:sz w:val="24"/>
                <w:highlight w:val="none"/>
              </w:rPr>
            </w:pPr>
          </w:p>
        </w:tc>
      </w:tr>
      <w:tr w14:paraId="50F71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1" w:type="dxa"/>
            <w:gridSpan w:val="2"/>
          </w:tcPr>
          <w:p w14:paraId="54E7CA9C">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2.7逆变器的选型应遵循“性能可靠、技术先进、安全有效、经济合理、产品合规”的产品。应具备直流过欠压保护,直流过载保护,直流反接保护、直流防雷保护、防反放电保护；交流过压保护、交流欠压保护、频率超限保护、反序保护、缺相保护、孤岛保护、低电压穿越、输出短路保护过流保护、过载保护、过温保护、高温降额、母线短路保护、IGBT过流保护、风扇故障保护、辅助电源故障保护、绝缘超限保护等功能。</w:t>
            </w:r>
          </w:p>
        </w:tc>
        <w:tc>
          <w:tcPr>
            <w:tcW w:w="2505" w:type="dxa"/>
          </w:tcPr>
          <w:p w14:paraId="2D68DD06">
            <w:pPr>
              <w:pStyle w:val="28"/>
              <w:ind w:firstLine="0" w:firstLineChars="0"/>
              <w:rPr>
                <w:rFonts w:asciiTheme="minorEastAsia" w:hAnsiTheme="minorEastAsia" w:eastAsiaTheme="minorEastAsia" w:cstheme="minorEastAsia"/>
                <w:color w:val="auto"/>
                <w:sz w:val="24"/>
                <w:highlight w:val="none"/>
              </w:rPr>
            </w:pPr>
          </w:p>
        </w:tc>
      </w:tr>
      <w:tr w14:paraId="6E77A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1" w:type="dxa"/>
            <w:gridSpan w:val="2"/>
          </w:tcPr>
          <w:p w14:paraId="009C798C">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2.8投标文件中提供逆变器有效期内的CQC产品认证证书。</w:t>
            </w:r>
          </w:p>
        </w:tc>
        <w:tc>
          <w:tcPr>
            <w:tcW w:w="2505" w:type="dxa"/>
          </w:tcPr>
          <w:p w14:paraId="17C1313D">
            <w:pPr>
              <w:pStyle w:val="28"/>
              <w:ind w:firstLine="0" w:firstLineChars="0"/>
              <w:rPr>
                <w:rFonts w:asciiTheme="minorEastAsia" w:hAnsiTheme="minorEastAsia" w:eastAsiaTheme="minorEastAsia" w:cstheme="minorEastAsia"/>
                <w:color w:val="auto"/>
                <w:sz w:val="24"/>
                <w:highlight w:val="none"/>
              </w:rPr>
            </w:pPr>
          </w:p>
        </w:tc>
      </w:tr>
      <w:tr w14:paraId="55ED1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3"/>
          </w:tcPr>
          <w:p w14:paraId="0A1E79C8">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Cs w:val="28"/>
                <w:highlight w:val="none"/>
              </w:rPr>
              <w:t>二、空气能热水系统</w:t>
            </w:r>
          </w:p>
        </w:tc>
      </w:tr>
      <w:tr w14:paraId="7808C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3"/>
          </w:tcPr>
          <w:p w14:paraId="176F3969">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1、1#楼、3#楼空气源热泵机组技术参数要求</w:t>
            </w:r>
          </w:p>
        </w:tc>
      </w:tr>
      <w:tr w14:paraId="3A3FE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5" w:type="dxa"/>
          </w:tcPr>
          <w:p w14:paraId="1379235D">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1.1额定输入功率</w:t>
            </w:r>
          </w:p>
        </w:tc>
        <w:tc>
          <w:tcPr>
            <w:tcW w:w="2976" w:type="dxa"/>
          </w:tcPr>
          <w:p w14:paraId="1F9FAB72">
            <w:pPr>
              <w:pStyle w:val="28"/>
              <w:ind w:firstLine="0" w:firstLineChars="0"/>
              <w:rPr>
                <w:rFonts w:asciiTheme="majorEastAsia" w:hAnsiTheme="majorEastAsia" w:eastAsiaTheme="majorEastAsia" w:cstheme="majorEastAsia"/>
                <w:b/>
                <w:bCs/>
                <w:color w:val="auto"/>
                <w:sz w:val="22"/>
                <w:szCs w:val="22"/>
                <w:highlight w:val="none"/>
              </w:rPr>
            </w:pPr>
            <w:r>
              <w:rPr>
                <w:rFonts w:hint="eastAsia" w:asciiTheme="minorEastAsia" w:hAnsiTheme="minorEastAsia" w:eastAsiaTheme="minorEastAsia" w:cstheme="minorEastAsia"/>
                <w:color w:val="auto"/>
                <w:sz w:val="24"/>
                <w:highlight w:val="none"/>
              </w:rPr>
              <w:t>≥0.84kW</w:t>
            </w:r>
          </w:p>
        </w:tc>
        <w:tc>
          <w:tcPr>
            <w:tcW w:w="2505" w:type="dxa"/>
          </w:tcPr>
          <w:p w14:paraId="5FB11240">
            <w:pPr>
              <w:pStyle w:val="28"/>
              <w:ind w:firstLine="0" w:firstLineChars="0"/>
              <w:rPr>
                <w:rFonts w:asciiTheme="minorEastAsia" w:hAnsiTheme="minorEastAsia" w:eastAsiaTheme="minorEastAsia" w:cstheme="minorEastAsia"/>
                <w:color w:val="auto"/>
                <w:sz w:val="24"/>
                <w:highlight w:val="none"/>
              </w:rPr>
            </w:pPr>
          </w:p>
        </w:tc>
      </w:tr>
      <w:tr w14:paraId="6D84C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5" w:type="dxa"/>
          </w:tcPr>
          <w:p w14:paraId="2868A682">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▲1.2额定制热量</w:t>
            </w:r>
          </w:p>
        </w:tc>
        <w:tc>
          <w:tcPr>
            <w:tcW w:w="2976" w:type="dxa"/>
          </w:tcPr>
          <w:p w14:paraId="6A0114CE">
            <w:pPr>
              <w:pStyle w:val="28"/>
              <w:ind w:firstLine="0" w:firstLineChars="0"/>
              <w:rPr>
                <w:rFonts w:cs="仿宋" w:asciiTheme="majorEastAsia" w:hAnsiTheme="majorEastAsia" w:eastAsiaTheme="majorEastAsia"/>
                <w:b/>
                <w:color w:val="auto"/>
                <w:highlight w:val="none"/>
              </w:rPr>
            </w:pPr>
            <w:r>
              <w:rPr>
                <w:rFonts w:hint="eastAsia" w:asciiTheme="minorEastAsia" w:hAnsiTheme="minorEastAsia" w:eastAsiaTheme="minorEastAsia" w:cstheme="minorEastAsia"/>
                <w:color w:val="auto"/>
                <w:sz w:val="24"/>
                <w:highlight w:val="none"/>
              </w:rPr>
              <w:t>≥3.71kW</w:t>
            </w:r>
          </w:p>
        </w:tc>
        <w:tc>
          <w:tcPr>
            <w:tcW w:w="2505" w:type="dxa"/>
          </w:tcPr>
          <w:p w14:paraId="1DEFC4AD">
            <w:pPr>
              <w:pStyle w:val="28"/>
              <w:ind w:firstLine="0" w:firstLineChars="0"/>
              <w:rPr>
                <w:rFonts w:asciiTheme="minorEastAsia" w:hAnsiTheme="minorEastAsia" w:eastAsiaTheme="minorEastAsia" w:cstheme="minorEastAsia"/>
                <w:color w:val="auto"/>
                <w:sz w:val="24"/>
                <w:highlight w:val="none"/>
              </w:rPr>
            </w:pPr>
          </w:p>
        </w:tc>
      </w:tr>
      <w:tr w14:paraId="0A978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5" w:type="dxa"/>
          </w:tcPr>
          <w:p w14:paraId="0D7B1365">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 COP</w:t>
            </w:r>
          </w:p>
        </w:tc>
        <w:tc>
          <w:tcPr>
            <w:tcW w:w="2976" w:type="dxa"/>
          </w:tcPr>
          <w:p w14:paraId="59F5C3ED">
            <w:pPr>
              <w:pStyle w:val="28"/>
              <w:ind w:firstLine="0" w:firstLineChars="0"/>
              <w:rPr>
                <w:rFonts w:cs="仿宋" w:asciiTheme="majorEastAsia" w:hAnsiTheme="majorEastAsia" w:eastAsiaTheme="majorEastAsia"/>
                <w:b/>
                <w:color w:val="auto"/>
                <w:highlight w:val="none"/>
              </w:rPr>
            </w:pPr>
            <w:r>
              <w:rPr>
                <w:rFonts w:hint="eastAsia" w:asciiTheme="minorEastAsia" w:hAnsiTheme="minorEastAsia" w:eastAsiaTheme="minorEastAsia" w:cstheme="minorEastAsia"/>
                <w:color w:val="auto"/>
                <w:sz w:val="24"/>
                <w:highlight w:val="none"/>
              </w:rPr>
              <w:t>≥4.4（投标文件中提供第三方能效检测报告复印件）</w:t>
            </w:r>
          </w:p>
        </w:tc>
        <w:tc>
          <w:tcPr>
            <w:tcW w:w="2505" w:type="dxa"/>
          </w:tcPr>
          <w:p w14:paraId="419F6F0E">
            <w:pPr>
              <w:pStyle w:val="28"/>
              <w:ind w:firstLine="0" w:firstLineChars="0"/>
              <w:rPr>
                <w:rFonts w:asciiTheme="minorEastAsia" w:hAnsiTheme="minorEastAsia" w:eastAsiaTheme="minorEastAsia" w:cstheme="minorEastAsia"/>
                <w:color w:val="auto"/>
                <w:sz w:val="24"/>
                <w:highlight w:val="none"/>
              </w:rPr>
            </w:pPr>
          </w:p>
        </w:tc>
      </w:tr>
      <w:tr w14:paraId="26B86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5" w:type="dxa"/>
          </w:tcPr>
          <w:p w14:paraId="78240A55">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▲1.4水箱</w:t>
            </w:r>
          </w:p>
        </w:tc>
        <w:tc>
          <w:tcPr>
            <w:tcW w:w="2976" w:type="dxa"/>
          </w:tcPr>
          <w:p w14:paraId="38F0B942">
            <w:pPr>
              <w:pStyle w:val="28"/>
              <w:ind w:firstLine="0" w:firstLineChars="0"/>
              <w:rPr>
                <w:rFonts w:cs="仿宋" w:asciiTheme="majorEastAsia" w:hAnsiTheme="majorEastAsia" w:eastAsiaTheme="majorEastAsia"/>
                <w:b/>
                <w:color w:val="auto"/>
                <w:highlight w:val="none"/>
              </w:rPr>
            </w:pPr>
            <w:r>
              <w:rPr>
                <w:rFonts w:hint="eastAsia" w:asciiTheme="minorEastAsia" w:hAnsiTheme="minorEastAsia" w:eastAsiaTheme="minorEastAsia" w:cstheme="minorEastAsia"/>
                <w:color w:val="auto"/>
                <w:sz w:val="24"/>
                <w:highlight w:val="none"/>
              </w:rPr>
              <w:t>200L带保温承压水箱，辅助电加热功率2kw</w:t>
            </w:r>
          </w:p>
        </w:tc>
        <w:tc>
          <w:tcPr>
            <w:tcW w:w="2505" w:type="dxa"/>
          </w:tcPr>
          <w:p w14:paraId="372D1CA7">
            <w:pPr>
              <w:pStyle w:val="28"/>
              <w:ind w:firstLine="0" w:firstLineChars="0"/>
              <w:rPr>
                <w:rFonts w:asciiTheme="minorEastAsia" w:hAnsiTheme="minorEastAsia" w:eastAsiaTheme="minorEastAsia" w:cstheme="minorEastAsia"/>
                <w:color w:val="auto"/>
                <w:sz w:val="24"/>
                <w:highlight w:val="none"/>
              </w:rPr>
            </w:pPr>
          </w:p>
        </w:tc>
      </w:tr>
      <w:tr w14:paraId="62895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5" w:type="dxa"/>
          </w:tcPr>
          <w:p w14:paraId="08E0FAB9">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1.5循环泵</w:t>
            </w:r>
          </w:p>
        </w:tc>
        <w:tc>
          <w:tcPr>
            <w:tcW w:w="2976" w:type="dxa"/>
          </w:tcPr>
          <w:p w14:paraId="6EF64485">
            <w:pPr>
              <w:pStyle w:val="28"/>
              <w:ind w:firstLine="0" w:firstLineChars="0"/>
              <w:rPr>
                <w:rFonts w:cs="仿宋" w:asciiTheme="majorEastAsia" w:hAnsiTheme="majorEastAsia" w:eastAsiaTheme="majorEastAsia"/>
                <w:b/>
                <w:color w:val="auto"/>
                <w:highlight w:val="none"/>
              </w:rPr>
            </w:pPr>
            <w:r>
              <w:rPr>
                <w:rFonts w:hint="eastAsia" w:asciiTheme="minorEastAsia" w:hAnsiTheme="minorEastAsia" w:eastAsiaTheme="minorEastAsia" w:cstheme="minorEastAsia"/>
                <w:color w:val="auto"/>
                <w:sz w:val="24"/>
                <w:highlight w:val="none"/>
              </w:rPr>
              <w:t>H=7m，N=120W，Q=40L/min（采用热水型、防雨型水泵,且顶设置防雨罩）</w:t>
            </w:r>
          </w:p>
        </w:tc>
        <w:tc>
          <w:tcPr>
            <w:tcW w:w="2505" w:type="dxa"/>
          </w:tcPr>
          <w:p w14:paraId="534573C0">
            <w:pPr>
              <w:pStyle w:val="28"/>
              <w:ind w:firstLine="0" w:firstLineChars="0"/>
              <w:rPr>
                <w:rFonts w:asciiTheme="minorEastAsia" w:hAnsiTheme="minorEastAsia" w:eastAsiaTheme="minorEastAsia" w:cstheme="minorEastAsia"/>
                <w:color w:val="auto"/>
                <w:sz w:val="24"/>
                <w:highlight w:val="none"/>
              </w:rPr>
            </w:pPr>
          </w:p>
        </w:tc>
      </w:tr>
      <w:tr w14:paraId="36E4F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5" w:type="dxa"/>
          </w:tcPr>
          <w:p w14:paraId="585A1DB8">
            <w:pPr>
              <w:pStyle w:val="28"/>
              <w:ind w:firstLine="0" w:firstLineChars="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2、6#楼空气源热泵热水机组</w:t>
            </w:r>
          </w:p>
        </w:tc>
        <w:tc>
          <w:tcPr>
            <w:tcW w:w="2976" w:type="dxa"/>
          </w:tcPr>
          <w:p w14:paraId="5CD58281">
            <w:pPr>
              <w:pStyle w:val="28"/>
              <w:ind w:firstLine="0" w:firstLineChars="0"/>
              <w:rPr>
                <w:rFonts w:asciiTheme="majorEastAsia" w:hAnsiTheme="majorEastAsia" w:eastAsiaTheme="majorEastAsia" w:cstheme="majorEastAsia"/>
                <w:b/>
                <w:bCs/>
                <w:color w:val="auto"/>
                <w:sz w:val="22"/>
                <w:szCs w:val="22"/>
                <w:highlight w:val="none"/>
              </w:rPr>
            </w:pPr>
          </w:p>
        </w:tc>
        <w:tc>
          <w:tcPr>
            <w:tcW w:w="2505" w:type="dxa"/>
          </w:tcPr>
          <w:p w14:paraId="5F8B89E8">
            <w:pPr>
              <w:pStyle w:val="28"/>
              <w:ind w:firstLine="0" w:firstLineChars="0"/>
              <w:rPr>
                <w:rFonts w:asciiTheme="minorEastAsia" w:hAnsiTheme="minorEastAsia" w:eastAsiaTheme="minorEastAsia" w:cstheme="minorEastAsia"/>
                <w:color w:val="auto"/>
                <w:sz w:val="24"/>
                <w:highlight w:val="none"/>
              </w:rPr>
            </w:pPr>
          </w:p>
        </w:tc>
      </w:tr>
      <w:tr w14:paraId="7456B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5" w:type="dxa"/>
          </w:tcPr>
          <w:p w14:paraId="79CF129D">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2.1额定输入功率  </w:t>
            </w:r>
          </w:p>
        </w:tc>
        <w:tc>
          <w:tcPr>
            <w:tcW w:w="2976" w:type="dxa"/>
          </w:tcPr>
          <w:p w14:paraId="5DEFE3DB">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≥8.95kW</w:t>
            </w:r>
          </w:p>
        </w:tc>
        <w:tc>
          <w:tcPr>
            <w:tcW w:w="2505" w:type="dxa"/>
          </w:tcPr>
          <w:p w14:paraId="59B743C4">
            <w:pPr>
              <w:pStyle w:val="28"/>
              <w:ind w:firstLine="0" w:firstLineChars="0"/>
              <w:rPr>
                <w:rFonts w:asciiTheme="minorEastAsia" w:hAnsiTheme="minorEastAsia" w:eastAsiaTheme="minorEastAsia" w:cstheme="minorEastAsia"/>
                <w:color w:val="auto"/>
                <w:sz w:val="24"/>
                <w:highlight w:val="none"/>
              </w:rPr>
            </w:pPr>
          </w:p>
        </w:tc>
      </w:tr>
      <w:tr w14:paraId="02ACF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5" w:type="dxa"/>
          </w:tcPr>
          <w:p w14:paraId="7F8D892E">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▲2.2额定制热量</w:t>
            </w:r>
          </w:p>
        </w:tc>
        <w:tc>
          <w:tcPr>
            <w:tcW w:w="2976" w:type="dxa"/>
          </w:tcPr>
          <w:p w14:paraId="42693A67">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≥42kW</w:t>
            </w:r>
          </w:p>
        </w:tc>
        <w:tc>
          <w:tcPr>
            <w:tcW w:w="2505" w:type="dxa"/>
          </w:tcPr>
          <w:p w14:paraId="37DA319B">
            <w:pPr>
              <w:pStyle w:val="28"/>
              <w:ind w:firstLine="0" w:firstLineChars="0"/>
              <w:rPr>
                <w:rFonts w:asciiTheme="minorEastAsia" w:hAnsiTheme="minorEastAsia" w:eastAsiaTheme="minorEastAsia" w:cstheme="minorEastAsia"/>
                <w:color w:val="auto"/>
                <w:sz w:val="24"/>
                <w:highlight w:val="none"/>
              </w:rPr>
            </w:pPr>
          </w:p>
        </w:tc>
      </w:tr>
      <w:tr w14:paraId="3868D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5" w:type="dxa"/>
          </w:tcPr>
          <w:p w14:paraId="3038C7F2">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 COP</w:t>
            </w:r>
          </w:p>
        </w:tc>
        <w:tc>
          <w:tcPr>
            <w:tcW w:w="2976" w:type="dxa"/>
          </w:tcPr>
          <w:p w14:paraId="1133B6B1">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≥4.6（投标文件中提供第三方能效检测报告复印件）</w:t>
            </w:r>
          </w:p>
        </w:tc>
        <w:tc>
          <w:tcPr>
            <w:tcW w:w="2505" w:type="dxa"/>
          </w:tcPr>
          <w:p w14:paraId="4BBA2A92">
            <w:pPr>
              <w:pStyle w:val="28"/>
              <w:ind w:firstLine="0" w:firstLineChars="0"/>
              <w:rPr>
                <w:rFonts w:asciiTheme="minorEastAsia" w:hAnsiTheme="minorEastAsia" w:eastAsiaTheme="minorEastAsia" w:cstheme="minorEastAsia"/>
                <w:color w:val="auto"/>
                <w:sz w:val="24"/>
                <w:highlight w:val="none"/>
              </w:rPr>
            </w:pPr>
          </w:p>
        </w:tc>
      </w:tr>
      <w:tr w14:paraId="5692F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5" w:type="dxa"/>
          </w:tcPr>
          <w:p w14:paraId="060FC836">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2.4空气源热泵机组循环泵</w:t>
            </w:r>
          </w:p>
        </w:tc>
        <w:tc>
          <w:tcPr>
            <w:tcW w:w="2976" w:type="dxa"/>
          </w:tcPr>
          <w:p w14:paraId="5CF0B66F">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N=0.75kW,Q=1.2L/S,H=15m</w:t>
            </w:r>
          </w:p>
        </w:tc>
        <w:tc>
          <w:tcPr>
            <w:tcW w:w="2505" w:type="dxa"/>
          </w:tcPr>
          <w:p w14:paraId="55BF9BCB">
            <w:pPr>
              <w:pStyle w:val="28"/>
              <w:ind w:firstLine="0" w:firstLineChars="0"/>
              <w:rPr>
                <w:rFonts w:asciiTheme="minorEastAsia" w:hAnsiTheme="minorEastAsia" w:eastAsiaTheme="minorEastAsia" w:cstheme="minorEastAsia"/>
                <w:color w:val="auto"/>
                <w:sz w:val="24"/>
                <w:highlight w:val="none"/>
              </w:rPr>
            </w:pPr>
          </w:p>
        </w:tc>
      </w:tr>
      <w:tr w14:paraId="4FC74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5" w:type="dxa"/>
          </w:tcPr>
          <w:p w14:paraId="1BCE311F">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2.5热水循环泵</w:t>
            </w:r>
          </w:p>
        </w:tc>
        <w:tc>
          <w:tcPr>
            <w:tcW w:w="2976" w:type="dxa"/>
          </w:tcPr>
          <w:p w14:paraId="5D0A4D0C">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N=0.75kW,Q=2.0L/S,H=10m</w:t>
            </w:r>
          </w:p>
        </w:tc>
        <w:tc>
          <w:tcPr>
            <w:tcW w:w="2505" w:type="dxa"/>
          </w:tcPr>
          <w:p w14:paraId="74299506">
            <w:pPr>
              <w:pStyle w:val="28"/>
              <w:ind w:firstLine="0" w:firstLineChars="0"/>
              <w:rPr>
                <w:rFonts w:asciiTheme="minorEastAsia" w:hAnsiTheme="minorEastAsia" w:eastAsiaTheme="minorEastAsia" w:cstheme="minorEastAsia"/>
                <w:color w:val="auto"/>
                <w:sz w:val="24"/>
                <w:highlight w:val="none"/>
              </w:rPr>
            </w:pPr>
          </w:p>
        </w:tc>
      </w:tr>
      <w:tr w14:paraId="41FCD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5" w:type="dxa"/>
          </w:tcPr>
          <w:p w14:paraId="3E1AF61C">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2.6承压卧式储热水箱</w:t>
            </w:r>
          </w:p>
        </w:tc>
        <w:tc>
          <w:tcPr>
            <w:tcW w:w="2976" w:type="dxa"/>
          </w:tcPr>
          <w:p w14:paraId="400EC6AF">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3.0m3（304食品级不锈钢水箱），水箱附带电加热设备 N=10kW</w:t>
            </w:r>
          </w:p>
        </w:tc>
        <w:tc>
          <w:tcPr>
            <w:tcW w:w="2505" w:type="dxa"/>
          </w:tcPr>
          <w:p w14:paraId="10132553">
            <w:pPr>
              <w:pStyle w:val="28"/>
              <w:ind w:firstLine="0" w:firstLineChars="0"/>
              <w:rPr>
                <w:rFonts w:asciiTheme="minorEastAsia" w:hAnsiTheme="minorEastAsia" w:eastAsiaTheme="minorEastAsia" w:cstheme="minorEastAsia"/>
                <w:color w:val="auto"/>
                <w:sz w:val="24"/>
                <w:highlight w:val="none"/>
              </w:rPr>
            </w:pPr>
          </w:p>
        </w:tc>
      </w:tr>
      <w:tr w14:paraId="33B7D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3"/>
          </w:tcPr>
          <w:p w14:paraId="3B8A91E5">
            <w:pPr>
              <w:pStyle w:val="28"/>
              <w:ind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Cs w:val="28"/>
                <w:highlight w:val="none"/>
              </w:rPr>
              <w:t>三、其他要求</w:t>
            </w:r>
          </w:p>
        </w:tc>
      </w:tr>
      <w:tr w14:paraId="007EF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1" w:type="dxa"/>
            <w:gridSpan w:val="2"/>
          </w:tcPr>
          <w:p w14:paraId="3E78B7A2">
            <w:pPr>
              <w:pStyle w:val="28"/>
              <w:ind w:firstLine="0" w:firstLineChars="0"/>
              <w:rPr>
                <w:rFonts w:asciiTheme="minorEastAsia" w:hAnsiTheme="minorEastAsia" w:eastAsiaTheme="minorEastAsia" w:cstheme="minorEastAsia"/>
                <w:color w:val="auto"/>
                <w:sz w:val="24"/>
                <w:highlight w:val="none"/>
              </w:rPr>
            </w:pPr>
            <w:r>
              <w:rPr>
                <w:rFonts w:hint="eastAsia" w:ascii="宋体" w:hAnsi="宋体" w:cs="宋体"/>
                <w:color w:val="auto"/>
                <w:sz w:val="22"/>
                <w:szCs w:val="22"/>
                <w:highlight w:val="none"/>
              </w:rPr>
              <w:t>★</w:t>
            </w:r>
            <w:r>
              <w:rPr>
                <w:rFonts w:hint="eastAsia" w:asciiTheme="minorEastAsia" w:hAnsiTheme="minorEastAsia" w:eastAsiaTheme="minorEastAsia" w:cstheme="minorEastAsia"/>
                <w:b/>
                <w:bCs/>
                <w:color w:val="auto"/>
                <w:sz w:val="24"/>
                <w:highlight w:val="none"/>
              </w:rPr>
              <w:t>1、本项目“空气源热泵机组”和“单晶硅电池组件”为同一品牌产品。</w:t>
            </w:r>
          </w:p>
        </w:tc>
        <w:tc>
          <w:tcPr>
            <w:tcW w:w="2505" w:type="dxa"/>
          </w:tcPr>
          <w:p w14:paraId="02FF359A">
            <w:pPr>
              <w:pStyle w:val="28"/>
              <w:ind w:firstLine="0" w:firstLineChars="0"/>
              <w:rPr>
                <w:rFonts w:asciiTheme="minorEastAsia" w:hAnsiTheme="minorEastAsia" w:eastAsiaTheme="minorEastAsia" w:cstheme="minorEastAsia"/>
                <w:color w:val="auto"/>
                <w:sz w:val="24"/>
                <w:highlight w:val="none"/>
              </w:rPr>
            </w:pPr>
          </w:p>
        </w:tc>
      </w:tr>
      <w:tr w14:paraId="1C728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1" w:type="dxa"/>
            <w:gridSpan w:val="2"/>
          </w:tcPr>
          <w:p w14:paraId="6FA07F0B">
            <w:pPr>
              <w:pStyle w:val="28"/>
              <w:ind w:firstLine="0" w:firstLineChars="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2、其他技术要求详见图纸及采购清单。</w:t>
            </w:r>
          </w:p>
        </w:tc>
        <w:tc>
          <w:tcPr>
            <w:tcW w:w="2505" w:type="dxa"/>
          </w:tcPr>
          <w:p w14:paraId="3786B313">
            <w:pPr>
              <w:pStyle w:val="28"/>
              <w:ind w:firstLine="0" w:firstLineChars="0"/>
              <w:rPr>
                <w:rFonts w:asciiTheme="minorEastAsia" w:hAnsiTheme="minorEastAsia" w:eastAsiaTheme="minorEastAsia" w:cstheme="minorEastAsia"/>
                <w:color w:val="auto"/>
                <w:sz w:val="24"/>
                <w:highlight w:val="none"/>
              </w:rPr>
            </w:pPr>
          </w:p>
        </w:tc>
      </w:tr>
    </w:tbl>
    <w:p w14:paraId="77BA2B4B">
      <w:pPr>
        <w:pStyle w:val="28"/>
        <w:ind w:firstLine="588"/>
        <w:rPr>
          <w:color w:val="auto"/>
          <w:highlight w:val="none"/>
        </w:rPr>
      </w:pPr>
    </w:p>
    <w:p w14:paraId="602530C0">
      <w:pPr>
        <w:tabs>
          <w:tab w:val="left" w:pos="851"/>
        </w:tabs>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7.2主要产品参考品牌表</w:t>
      </w:r>
    </w:p>
    <w:tbl>
      <w:tblPr>
        <w:tblStyle w:val="21"/>
        <w:tblW w:w="86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92"/>
        <w:gridCol w:w="2738"/>
        <w:gridCol w:w="4465"/>
      </w:tblGrid>
      <w:tr w14:paraId="3C7A0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1" w:hRule="atLeast"/>
        </w:trPr>
        <w:tc>
          <w:tcPr>
            <w:tcW w:w="1492" w:type="dxa"/>
            <w:shd w:val="clear" w:color="auto" w:fill="auto"/>
            <w:tcMar>
              <w:top w:w="12" w:type="dxa"/>
              <w:left w:w="12" w:type="dxa"/>
              <w:right w:w="12" w:type="dxa"/>
            </w:tcMar>
            <w:vAlign w:val="center"/>
          </w:tcPr>
          <w:p w14:paraId="769D1602">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sz w:val="22"/>
                <w:szCs w:val="22"/>
                <w:highlight w:val="none"/>
              </w:rPr>
              <w:t>系统名称</w:t>
            </w:r>
          </w:p>
        </w:tc>
        <w:tc>
          <w:tcPr>
            <w:tcW w:w="2738" w:type="dxa"/>
            <w:shd w:val="clear" w:color="auto" w:fill="auto"/>
            <w:tcMar>
              <w:top w:w="12" w:type="dxa"/>
              <w:left w:w="12" w:type="dxa"/>
              <w:right w:w="12" w:type="dxa"/>
            </w:tcMar>
            <w:vAlign w:val="center"/>
          </w:tcPr>
          <w:p w14:paraId="3B6C1E44">
            <w:pPr>
              <w:widowControl/>
              <w:spacing w:line="360" w:lineRule="auto"/>
              <w:jc w:val="center"/>
              <w:textAlignment w:val="center"/>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设备名称</w:t>
            </w:r>
          </w:p>
        </w:tc>
        <w:tc>
          <w:tcPr>
            <w:tcW w:w="4465" w:type="dxa"/>
            <w:shd w:val="clear" w:color="auto" w:fill="auto"/>
            <w:tcMar>
              <w:top w:w="12" w:type="dxa"/>
              <w:left w:w="12" w:type="dxa"/>
              <w:right w:w="12" w:type="dxa"/>
            </w:tcMar>
            <w:vAlign w:val="center"/>
          </w:tcPr>
          <w:p w14:paraId="6673061A">
            <w:pPr>
              <w:widowControl/>
              <w:spacing w:line="360" w:lineRule="auto"/>
              <w:jc w:val="center"/>
              <w:textAlignment w:val="center"/>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参考品牌</w:t>
            </w:r>
          </w:p>
        </w:tc>
      </w:tr>
      <w:tr w14:paraId="67B87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3" w:hRule="atLeast"/>
        </w:trPr>
        <w:tc>
          <w:tcPr>
            <w:tcW w:w="1492" w:type="dxa"/>
            <w:shd w:val="clear" w:color="auto" w:fill="auto"/>
            <w:tcMar>
              <w:top w:w="12" w:type="dxa"/>
              <w:left w:w="12" w:type="dxa"/>
              <w:right w:w="12" w:type="dxa"/>
            </w:tcMar>
            <w:vAlign w:val="center"/>
          </w:tcPr>
          <w:p w14:paraId="735A794B">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sz w:val="22"/>
                <w:szCs w:val="22"/>
                <w:highlight w:val="none"/>
              </w:rPr>
              <w:t>空气源系统</w:t>
            </w:r>
          </w:p>
        </w:tc>
        <w:tc>
          <w:tcPr>
            <w:tcW w:w="2738" w:type="dxa"/>
            <w:shd w:val="clear" w:color="auto" w:fill="auto"/>
            <w:tcMar>
              <w:top w:w="12" w:type="dxa"/>
              <w:left w:w="12" w:type="dxa"/>
              <w:right w:w="12" w:type="dxa"/>
            </w:tcMar>
            <w:vAlign w:val="center"/>
          </w:tcPr>
          <w:p w14:paraId="7C9312F5">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sz w:val="22"/>
                <w:szCs w:val="22"/>
                <w:highlight w:val="none"/>
              </w:rPr>
              <w:t>空气源热泵机组</w:t>
            </w:r>
          </w:p>
        </w:tc>
        <w:tc>
          <w:tcPr>
            <w:tcW w:w="4465" w:type="dxa"/>
            <w:shd w:val="clear" w:color="auto" w:fill="auto"/>
            <w:tcMar>
              <w:top w:w="12" w:type="dxa"/>
              <w:left w:w="12" w:type="dxa"/>
              <w:right w:w="12" w:type="dxa"/>
            </w:tcMar>
            <w:vAlign w:val="center"/>
          </w:tcPr>
          <w:p w14:paraId="6835F5DF">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sz w:val="22"/>
                <w:szCs w:val="22"/>
                <w:highlight w:val="none"/>
              </w:rPr>
              <w:t>海尔、皇明、桑普</w:t>
            </w:r>
          </w:p>
        </w:tc>
      </w:tr>
      <w:tr w14:paraId="2A988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3" w:hRule="atLeast"/>
        </w:trPr>
        <w:tc>
          <w:tcPr>
            <w:tcW w:w="1492" w:type="dxa"/>
            <w:vMerge w:val="restart"/>
            <w:shd w:val="clear" w:color="auto" w:fill="auto"/>
            <w:tcMar>
              <w:top w:w="12" w:type="dxa"/>
              <w:left w:w="12" w:type="dxa"/>
              <w:right w:w="12" w:type="dxa"/>
            </w:tcMar>
            <w:vAlign w:val="center"/>
          </w:tcPr>
          <w:p w14:paraId="25C4221A">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sz w:val="22"/>
                <w:szCs w:val="22"/>
                <w:highlight w:val="none"/>
              </w:rPr>
              <w:t>光伏系统</w:t>
            </w:r>
          </w:p>
        </w:tc>
        <w:tc>
          <w:tcPr>
            <w:tcW w:w="2738" w:type="dxa"/>
            <w:shd w:val="clear" w:color="auto" w:fill="auto"/>
            <w:tcMar>
              <w:top w:w="12" w:type="dxa"/>
              <w:left w:w="12" w:type="dxa"/>
              <w:right w:w="12" w:type="dxa"/>
            </w:tcMar>
            <w:vAlign w:val="center"/>
          </w:tcPr>
          <w:p w14:paraId="3697A4A6">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sz w:val="22"/>
                <w:szCs w:val="22"/>
                <w:highlight w:val="none"/>
              </w:rPr>
              <w:t>单晶硅电池组件</w:t>
            </w:r>
          </w:p>
        </w:tc>
        <w:tc>
          <w:tcPr>
            <w:tcW w:w="4465" w:type="dxa"/>
            <w:shd w:val="clear" w:color="auto" w:fill="auto"/>
            <w:tcMar>
              <w:top w:w="12" w:type="dxa"/>
              <w:left w:w="12" w:type="dxa"/>
              <w:right w:w="12" w:type="dxa"/>
            </w:tcMar>
            <w:vAlign w:val="center"/>
          </w:tcPr>
          <w:p w14:paraId="19103A11">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sz w:val="22"/>
                <w:szCs w:val="22"/>
                <w:highlight w:val="none"/>
              </w:rPr>
              <w:t>海尔、皇明、桑普</w:t>
            </w:r>
          </w:p>
        </w:tc>
      </w:tr>
      <w:tr w14:paraId="10C0D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3" w:hRule="atLeast"/>
        </w:trPr>
        <w:tc>
          <w:tcPr>
            <w:tcW w:w="1492" w:type="dxa"/>
            <w:vMerge w:val="continue"/>
            <w:shd w:val="clear" w:color="auto" w:fill="auto"/>
            <w:tcMar>
              <w:top w:w="12" w:type="dxa"/>
              <w:left w:w="12" w:type="dxa"/>
              <w:right w:w="12" w:type="dxa"/>
            </w:tcMar>
            <w:vAlign w:val="center"/>
          </w:tcPr>
          <w:p w14:paraId="70388FC4">
            <w:pPr>
              <w:widowControl/>
              <w:spacing w:line="360" w:lineRule="auto"/>
              <w:jc w:val="center"/>
              <w:textAlignment w:val="center"/>
              <w:rPr>
                <w:rFonts w:ascii="宋体" w:hAnsi="宋体" w:cs="宋体"/>
                <w:color w:val="auto"/>
                <w:sz w:val="22"/>
                <w:szCs w:val="22"/>
                <w:highlight w:val="none"/>
              </w:rPr>
            </w:pPr>
          </w:p>
        </w:tc>
        <w:tc>
          <w:tcPr>
            <w:tcW w:w="2738" w:type="dxa"/>
            <w:shd w:val="clear" w:color="auto" w:fill="auto"/>
            <w:tcMar>
              <w:top w:w="12" w:type="dxa"/>
              <w:left w:w="12" w:type="dxa"/>
              <w:right w:w="12" w:type="dxa"/>
            </w:tcMar>
            <w:vAlign w:val="center"/>
          </w:tcPr>
          <w:p w14:paraId="330E5C12">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sz w:val="22"/>
                <w:szCs w:val="22"/>
                <w:highlight w:val="none"/>
              </w:rPr>
              <w:t>逆变器</w:t>
            </w:r>
          </w:p>
        </w:tc>
        <w:tc>
          <w:tcPr>
            <w:tcW w:w="4465" w:type="dxa"/>
            <w:shd w:val="clear" w:color="auto" w:fill="auto"/>
            <w:tcMar>
              <w:top w:w="12" w:type="dxa"/>
              <w:left w:w="12" w:type="dxa"/>
              <w:right w:w="12" w:type="dxa"/>
            </w:tcMar>
            <w:vAlign w:val="center"/>
          </w:tcPr>
          <w:p w14:paraId="6D3BA468">
            <w:pPr>
              <w:widowControl/>
              <w:spacing w:line="360" w:lineRule="auto"/>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固德威、锦浪、禾望</w:t>
            </w:r>
          </w:p>
        </w:tc>
      </w:tr>
    </w:tbl>
    <w:p w14:paraId="565C8008">
      <w:pPr>
        <w:tabs>
          <w:tab w:val="left" w:pos="851"/>
        </w:tabs>
        <w:spacing w:line="360" w:lineRule="auto"/>
        <w:ind w:firstLine="440" w:firstLineChars="200"/>
        <w:rPr>
          <w:rFonts w:ascii="宋体" w:hAnsi="宋体" w:cs="宋体"/>
          <w:color w:val="auto"/>
          <w:sz w:val="22"/>
          <w:szCs w:val="22"/>
          <w:highlight w:val="none"/>
        </w:rPr>
      </w:pPr>
    </w:p>
    <w:p w14:paraId="5E9E68F1">
      <w:pPr>
        <w:tabs>
          <w:tab w:val="left" w:pos="851"/>
        </w:tabs>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参考品牌仅供投标参考，不具限制性，投标产品非参考品牌的，必须在产品质量和性能上与参考品牌同档次或优于参考品牌，欢迎其他能满足本项目技术需求且性能与参考品牌相当的产品参与投标。</w:t>
      </w:r>
    </w:p>
    <w:p w14:paraId="10852C87">
      <w:pPr>
        <w:spacing w:line="360" w:lineRule="auto"/>
        <w:ind w:firstLine="482" w:firstLineChars="200"/>
        <w:rPr>
          <w:b/>
          <w:bCs/>
          <w:color w:val="auto"/>
          <w:sz w:val="24"/>
          <w:highlight w:val="none"/>
        </w:rPr>
      </w:pPr>
      <w:r>
        <w:rPr>
          <w:rFonts w:hint="eastAsia"/>
          <w:b/>
          <w:bCs/>
          <w:color w:val="auto"/>
          <w:sz w:val="24"/>
          <w:highlight w:val="none"/>
        </w:rPr>
        <w:t>八、采购清单</w:t>
      </w:r>
    </w:p>
    <w:p w14:paraId="50AD2310">
      <w:pPr>
        <w:tabs>
          <w:tab w:val="left" w:pos="851"/>
        </w:tabs>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采购清单说明：</w:t>
      </w:r>
    </w:p>
    <w:p w14:paraId="777838A8">
      <w:pPr>
        <w:tabs>
          <w:tab w:val="left" w:pos="851"/>
        </w:tabs>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1.主要系统设备详见“采购清单”，投标人需对“采购清单”中的内容进行响应。</w:t>
      </w:r>
    </w:p>
    <w:p w14:paraId="6770BB5C">
      <w:pPr>
        <w:tabs>
          <w:tab w:val="left" w:pos="851"/>
        </w:tabs>
        <w:spacing w:line="360" w:lineRule="auto"/>
        <w:ind w:firstLine="440" w:firstLineChars="200"/>
        <w:rPr>
          <w:color w:val="auto"/>
          <w:highlight w:val="none"/>
        </w:rPr>
      </w:pPr>
      <w:r>
        <w:rPr>
          <w:rFonts w:hint="eastAsia" w:ascii="宋体" w:hAnsi="宋体" w:cs="宋体"/>
          <w:color w:val="auto"/>
          <w:sz w:val="22"/>
          <w:szCs w:val="22"/>
          <w:highlight w:val="none"/>
        </w:rPr>
        <w:t>2.提供的采购清单仅供参考，各投标单位需自行复核清单内容与图纸内容是否一致，如有冲突，以图纸为准，图纸未有体现的，以清单为准。</w:t>
      </w:r>
    </w:p>
    <w:p w14:paraId="591CABE2">
      <w:pPr>
        <w:tabs>
          <w:tab w:val="left" w:pos="851"/>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1)空气能采购清单</w:t>
      </w:r>
    </w:p>
    <w:p w14:paraId="19DC4BDA">
      <w:pPr>
        <w:pStyle w:val="28"/>
        <w:ind w:firstLine="0" w:firstLineChars="0"/>
        <w:jc w:val="center"/>
        <w:rPr>
          <w:rFonts w:ascii="宋体" w:hAnsi="宋体" w:eastAsia="宋体" w:cs="宋体"/>
          <w:color w:val="auto"/>
          <w:sz w:val="24"/>
          <w:highlight w:val="none"/>
        </w:rPr>
      </w:pPr>
      <w:r>
        <w:rPr>
          <w:rFonts w:hint="eastAsia" w:ascii="宋体" w:hAnsi="宋体" w:eastAsia="宋体" w:cs="宋体"/>
          <w:color w:val="auto"/>
          <w:sz w:val="24"/>
          <w:highlight w:val="none"/>
        </w:rPr>
        <w:t>空气能热水系统汇总表</w:t>
      </w:r>
    </w:p>
    <w:tbl>
      <w:tblPr>
        <w:tblStyle w:val="21"/>
        <w:tblW w:w="4999" w:type="pct"/>
        <w:tblInd w:w="0" w:type="dxa"/>
        <w:tblLayout w:type="autofit"/>
        <w:tblCellMar>
          <w:top w:w="0" w:type="dxa"/>
          <w:left w:w="108" w:type="dxa"/>
          <w:bottom w:w="0" w:type="dxa"/>
          <w:right w:w="108" w:type="dxa"/>
        </w:tblCellMar>
      </w:tblPr>
      <w:tblGrid>
        <w:gridCol w:w="2165"/>
        <w:gridCol w:w="3463"/>
        <w:gridCol w:w="3656"/>
      </w:tblGrid>
      <w:tr w14:paraId="7DAC71F5">
        <w:tblPrEx>
          <w:tblCellMar>
            <w:top w:w="0" w:type="dxa"/>
            <w:left w:w="108" w:type="dxa"/>
            <w:bottom w:w="0" w:type="dxa"/>
            <w:right w:w="108" w:type="dxa"/>
          </w:tblCellMar>
        </w:tblPrEx>
        <w:trPr>
          <w:trHeight w:val="630" w:hRule="atLeast"/>
        </w:trPr>
        <w:tc>
          <w:tcPr>
            <w:tcW w:w="1166"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48BF6D0D">
            <w:pPr>
              <w:widowControl/>
              <w:jc w:val="center"/>
              <w:textAlignment w:val="center"/>
              <w:rPr>
                <w:rFonts w:ascii="Arial" w:hAnsi="Arial" w:cs="Arial"/>
                <w:color w:val="auto"/>
                <w:kern w:val="0"/>
                <w:szCs w:val="21"/>
                <w:highlight w:val="none"/>
              </w:rPr>
            </w:pPr>
            <w:r>
              <w:rPr>
                <w:rFonts w:hint="eastAsia" w:ascii="Arial" w:hAnsi="Arial" w:cs="Arial"/>
                <w:color w:val="auto"/>
                <w:kern w:val="0"/>
                <w:szCs w:val="21"/>
                <w:highlight w:val="none"/>
              </w:rPr>
              <w:t>序号</w:t>
            </w:r>
          </w:p>
        </w:tc>
        <w:tc>
          <w:tcPr>
            <w:tcW w:w="1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578DB">
            <w:pPr>
              <w:widowControl/>
              <w:jc w:val="center"/>
              <w:textAlignment w:val="center"/>
              <w:rPr>
                <w:rFonts w:ascii="Arial" w:hAnsi="Arial" w:cs="Arial"/>
                <w:color w:val="auto"/>
                <w:kern w:val="0"/>
                <w:szCs w:val="21"/>
                <w:highlight w:val="none"/>
              </w:rPr>
            </w:pPr>
            <w:r>
              <w:rPr>
                <w:rFonts w:hint="eastAsia" w:ascii="Arial" w:hAnsi="Arial" w:cs="Arial"/>
                <w:color w:val="auto"/>
                <w:kern w:val="0"/>
                <w:szCs w:val="21"/>
                <w:highlight w:val="none"/>
              </w:rPr>
              <w:t>楼号</w:t>
            </w:r>
          </w:p>
        </w:tc>
        <w:tc>
          <w:tcPr>
            <w:tcW w:w="1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3B340">
            <w:pPr>
              <w:widowControl/>
              <w:jc w:val="center"/>
              <w:textAlignment w:val="center"/>
              <w:rPr>
                <w:rFonts w:ascii="Arial" w:hAnsi="Arial" w:cs="Arial"/>
                <w:color w:val="auto"/>
                <w:kern w:val="0"/>
                <w:szCs w:val="21"/>
                <w:highlight w:val="none"/>
              </w:rPr>
            </w:pPr>
            <w:r>
              <w:rPr>
                <w:rFonts w:hint="eastAsia" w:ascii="Arial" w:hAnsi="Arial" w:cs="Arial"/>
                <w:color w:val="auto"/>
                <w:kern w:val="0"/>
                <w:szCs w:val="21"/>
                <w:highlight w:val="none"/>
              </w:rPr>
              <w:t>户数</w:t>
            </w:r>
          </w:p>
        </w:tc>
      </w:tr>
      <w:tr w14:paraId="3881ECEF">
        <w:tblPrEx>
          <w:tblCellMar>
            <w:top w:w="0" w:type="dxa"/>
            <w:left w:w="108" w:type="dxa"/>
            <w:bottom w:w="0" w:type="dxa"/>
            <w:right w:w="108" w:type="dxa"/>
          </w:tblCellMar>
        </w:tblPrEx>
        <w:trPr>
          <w:trHeight w:val="630" w:hRule="atLeast"/>
        </w:trPr>
        <w:tc>
          <w:tcPr>
            <w:tcW w:w="1166"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0098239E">
            <w:pPr>
              <w:widowControl/>
              <w:jc w:val="center"/>
              <w:textAlignment w:val="center"/>
              <w:rPr>
                <w:rFonts w:ascii="Arial" w:hAnsi="Arial" w:cs="Arial"/>
                <w:color w:val="auto"/>
                <w:szCs w:val="21"/>
                <w:highlight w:val="none"/>
              </w:rPr>
            </w:pPr>
            <w:r>
              <w:rPr>
                <w:rFonts w:ascii="Arial" w:hAnsi="Arial" w:cs="Arial"/>
                <w:color w:val="auto"/>
                <w:kern w:val="0"/>
                <w:szCs w:val="21"/>
                <w:highlight w:val="none"/>
              </w:rPr>
              <w:t>1</w:t>
            </w:r>
          </w:p>
        </w:tc>
        <w:tc>
          <w:tcPr>
            <w:tcW w:w="1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11F0F">
            <w:pPr>
              <w:widowControl/>
              <w:jc w:val="center"/>
              <w:textAlignment w:val="center"/>
              <w:rPr>
                <w:rFonts w:ascii="Arial" w:hAnsi="Arial" w:cs="Arial"/>
                <w:color w:val="auto"/>
                <w:szCs w:val="21"/>
                <w:highlight w:val="none"/>
              </w:rPr>
            </w:pPr>
            <w:r>
              <w:rPr>
                <w:rFonts w:ascii="Arial" w:hAnsi="Arial" w:cs="Arial"/>
                <w:color w:val="auto"/>
                <w:kern w:val="0"/>
                <w:szCs w:val="21"/>
                <w:highlight w:val="none"/>
              </w:rPr>
              <w:t>1#</w:t>
            </w:r>
          </w:p>
        </w:tc>
        <w:tc>
          <w:tcPr>
            <w:tcW w:w="1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DDDEA">
            <w:pPr>
              <w:widowControl/>
              <w:jc w:val="center"/>
              <w:textAlignment w:val="center"/>
              <w:rPr>
                <w:rFonts w:ascii="Arial" w:hAnsi="Arial" w:cs="Arial"/>
                <w:color w:val="auto"/>
                <w:szCs w:val="21"/>
                <w:highlight w:val="none"/>
              </w:rPr>
            </w:pPr>
            <w:r>
              <w:rPr>
                <w:rFonts w:ascii="Arial" w:hAnsi="Arial" w:cs="Arial"/>
                <w:color w:val="auto"/>
                <w:kern w:val="0"/>
                <w:szCs w:val="21"/>
                <w:highlight w:val="none"/>
              </w:rPr>
              <w:t>46.00</w:t>
            </w:r>
          </w:p>
        </w:tc>
      </w:tr>
      <w:tr w14:paraId="7760A3ED">
        <w:tblPrEx>
          <w:tblCellMar>
            <w:top w:w="0" w:type="dxa"/>
            <w:left w:w="108" w:type="dxa"/>
            <w:bottom w:w="0" w:type="dxa"/>
            <w:right w:w="108" w:type="dxa"/>
          </w:tblCellMar>
        </w:tblPrEx>
        <w:trPr>
          <w:trHeight w:val="630" w:hRule="atLeast"/>
        </w:trPr>
        <w:tc>
          <w:tcPr>
            <w:tcW w:w="1166"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25D137B6">
            <w:pPr>
              <w:widowControl/>
              <w:jc w:val="center"/>
              <w:textAlignment w:val="center"/>
              <w:rPr>
                <w:rFonts w:ascii="Arial" w:hAnsi="Arial" w:cs="Arial"/>
                <w:color w:val="auto"/>
                <w:szCs w:val="21"/>
                <w:highlight w:val="none"/>
              </w:rPr>
            </w:pPr>
            <w:r>
              <w:rPr>
                <w:rFonts w:ascii="Arial" w:hAnsi="Arial" w:cs="Arial"/>
                <w:color w:val="auto"/>
                <w:kern w:val="0"/>
                <w:szCs w:val="21"/>
                <w:highlight w:val="none"/>
              </w:rPr>
              <w:t>2</w:t>
            </w:r>
          </w:p>
        </w:tc>
        <w:tc>
          <w:tcPr>
            <w:tcW w:w="1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34A56">
            <w:pPr>
              <w:widowControl/>
              <w:jc w:val="center"/>
              <w:textAlignment w:val="center"/>
              <w:rPr>
                <w:rFonts w:ascii="Arial" w:hAnsi="Arial" w:cs="Arial"/>
                <w:color w:val="auto"/>
                <w:szCs w:val="21"/>
                <w:highlight w:val="none"/>
              </w:rPr>
            </w:pPr>
            <w:r>
              <w:rPr>
                <w:rFonts w:ascii="Arial" w:hAnsi="Arial" w:cs="Arial"/>
                <w:color w:val="auto"/>
                <w:kern w:val="0"/>
                <w:szCs w:val="21"/>
                <w:highlight w:val="none"/>
              </w:rPr>
              <w:t>3#</w:t>
            </w:r>
          </w:p>
        </w:tc>
        <w:tc>
          <w:tcPr>
            <w:tcW w:w="1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EEA59">
            <w:pPr>
              <w:widowControl/>
              <w:jc w:val="center"/>
              <w:textAlignment w:val="center"/>
              <w:rPr>
                <w:rFonts w:ascii="Arial" w:hAnsi="Arial" w:cs="Arial"/>
                <w:color w:val="auto"/>
                <w:szCs w:val="21"/>
                <w:highlight w:val="none"/>
              </w:rPr>
            </w:pPr>
            <w:r>
              <w:rPr>
                <w:rFonts w:ascii="Arial" w:hAnsi="Arial" w:cs="Arial"/>
                <w:color w:val="auto"/>
                <w:kern w:val="0"/>
                <w:szCs w:val="21"/>
                <w:highlight w:val="none"/>
              </w:rPr>
              <w:t>20.00</w:t>
            </w:r>
          </w:p>
        </w:tc>
      </w:tr>
      <w:tr w14:paraId="6CB680F5">
        <w:tblPrEx>
          <w:tblCellMar>
            <w:top w:w="0" w:type="dxa"/>
            <w:left w:w="108" w:type="dxa"/>
            <w:bottom w:w="0" w:type="dxa"/>
            <w:right w:w="108" w:type="dxa"/>
          </w:tblCellMar>
        </w:tblPrEx>
        <w:trPr>
          <w:trHeight w:val="630" w:hRule="atLeast"/>
        </w:trPr>
        <w:tc>
          <w:tcPr>
            <w:tcW w:w="1166"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08C1DD0F">
            <w:pPr>
              <w:widowControl/>
              <w:jc w:val="center"/>
              <w:textAlignment w:val="center"/>
              <w:rPr>
                <w:rFonts w:ascii="Arial" w:hAnsi="Arial" w:cs="Arial"/>
                <w:color w:val="auto"/>
                <w:szCs w:val="21"/>
                <w:highlight w:val="none"/>
              </w:rPr>
            </w:pPr>
            <w:r>
              <w:rPr>
                <w:rFonts w:ascii="Arial" w:hAnsi="Arial" w:cs="Arial"/>
                <w:color w:val="auto"/>
                <w:kern w:val="0"/>
                <w:szCs w:val="21"/>
                <w:highlight w:val="none"/>
              </w:rPr>
              <w:t>3</w:t>
            </w:r>
          </w:p>
        </w:tc>
        <w:tc>
          <w:tcPr>
            <w:tcW w:w="1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860C3">
            <w:pPr>
              <w:widowControl/>
              <w:jc w:val="center"/>
              <w:textAlignment w:val="center"/>
              <w:rPr>
                <w:rFonts w:ascii="Arial" w:hAnsi="Arial" w:cs="Arial"/>
                <w:color w:val="auto"/>
                <w:szCs w:val="21"/>
                <w:highlight w:val="none"/>
              </w:rPr>
            </w:pPr>
            <w:r>
              <w:rPr>
                <w:rFonts w:ascii="Arial" w:hAnsi="Arial" w:cs="Arial"/>
                <w:color w:val="auto"/>
                <w:kern w:val="0"/>
                <w:szCs w:val="21"/>
                <w:highlight w:val="none"/>
              </w:rPr>
              <w:t>6#</w:t>
            </w:r>
          </w:p>
        </w:tc>
        <w:tc>
          <w:tcPr>
            <w:tcW w:w="1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71BAE">
            <w:pPr>
              <w:widowControl/>
              <w:jc w:val="center"/>
              <w:textAlignment w:val="center"/>
              <w:rPr>
                <w:rFonts w:ascii="Arial" w:hAnsi="Arial" w:cs="Arial"/>
                <w:color w:val="auto"/>
                <w:szCs w:val="21"/>
                <w:highlight w:val="none"/>
              </w:rPr>
            </w:pPr>
            <w:r>
              <w:rPr>
                <w:rFonts w:ascii="Arial" w:hAnsi="Arial" w:cs="Arial"/>
                <w:color w:val="auto"/>
                <w:kern w:val="0"/>
                <w:szCs w:val="21"/>
                <w:highlight w:val="none"/>
              </w:rPr>
              <w:t>1.00</w:t>
            </w:r>
          </w:p>
        </w:tc>
      </w:tr>
    </w:tbl>
    <w:p w14:paraId="297EC16A">
      <w:pPr>
        <w:tabs>
          <w:tab w:val="left" w:pos="851"/>
        </w:tabs>
        <w:spacing w:line="360" w:lineRule="auto"/>
        <w:ind w:firstLine="442" w:firstLineChars="200"/>
        <w:rPr>
          <w:rFonts w:cs="仿宋" w:asciiTheme="majorEastAsia" w:hAnsiTheme="majorEastAsia" w:eastAsiaTheme="majorEastAsia"/>
          <w:b/>
          <w:color w:val="auto"/>
          <w:sz w:val="22"/>
          <w:szCs w:val="28"/>
          <w:highlight w:val="none"/>
        </w:rPr>
      </w:pPr>
    </w:p>
    <w:p w14:paraId="69F59223">
      <w:pPr>
        <w:tabs>
          <w:tab w:val="left" w:pos="851"/>
        </w:tabs>
        <w:spacing w:line="360" w:lineRule="auto"/>
        <w:ind w:firstLine="442" w:firstLineChars="200"/>
        <w:rPr>
          <w:rFonts w:cs="仿宋" w:asciiTheme="majorEastAsia" w:hAnsiTheme="majorEastAsia" w:eastAsiaTheme="majorEastAsia"/>
          <w:b/>
          <w:color w:val="auto"/>
          <w:sz w:val="22"/>
          <w:szCs w:val="28"/>
          <w:highlight w:val="none"/>
        </w:rPr>
      </w:pPr>
      <w:r>
        <w:rPr>
          <w:rFonts w:hint="eastAsia" w:cs="仿宋" w:asciiTheme="majorEastAsia" w:hAnsiTheme="majorEastAsia" w:eastAsiaTheme="majorEastAsia"/>
          <w:b/>
          <w:color w:val="auto"/>
          <w:sz w:val="22"/>
          <w:szCs w:val="28"/>
          <w:highlight w:val="none"/>
        </w:rPr>
        <w:t>以下为每幢楼单户所需空气能清单：</w:t>
      </w:r>
    </w:p>
    <w:tbl>
      <w:tblPr>
        <w:tblStyle w:val="21"/>
        <w:tblW w:w="8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6"/>
        <w:gridCol w:w="4544"/>
        <w:gridCol w:w="650"/>
        <w:gridCol w:w="975"/>
        <w:gridCol w:w="780"/>
      </w:tblGrid>
      <w:tr w14:paraId="449B5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265" w:type="dxa"/>
            <w:gridSpan w:val="5"/>
            <w:shd w:val="clear" w:color="auto" w:fill="auto"/>
            <w:noWrap/>
            <w:vAlign w:val="center"/>
          </w:tcPr>
          <w:p w14:paraId="7F7A514B">
            <w:pPr>
              <w:rPr>
                <w:rFonts w:ascii="宋体" w:hAnsi="宋体" w:cs="宋体"/>
                <w:color w:val="auto"/>
                <w:sz w:val="18"/>
                <w:szCs w:val="18"/>
                <w:highlight w:val="none"/>
              </w:rPr>
            </w:pPr>
            <w:r>
              <w:rPr>
                <w:rFonts w:hint="eastAsia" w:ascii="宋体" w:hAnsi="宋体" w:cs="宋体"/>
                <w:color w:val="auto"/>
                <w:kern w:val="0"/>
                <w:sz w:val="20"/>
                <w:szCs w:val="20"/>
                <w:highlight w:val="none"/>
              </w:rPr>
              <w:t>工程名称：奉化区FH24-02-09a地块建设项目空气能热水系统-1#楼</w:t>
            </w:r>
          </w:p>
        </w:tc>
      </w:tr>
      <w:tr w14:paraId="1ED3A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316" w:type="dxa"/>
            <w:vMerge w:val="restart"/>
            <w:shd w:val="clear" w:color="auto" w:fill="auto"/>
            <w:vAlign w:val="center"/>
          </w:tcPr>
          <w:p w14:paraId="36E735B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序号</w:t>
            </w:r>
          </w:p>
        </w:tc>
        <w:tc>
          <w:tcPr>
            <w:tcW w:w="4544" w:type="dxa"/>
            <w:vMerge w:val="restart"/>
            <w:shd w:val="clear" w:color="auto" w:fill="auto"/>
            <w:vAlign w:val="center"/>
          </w:tcPr>
          <w:p w14:paraId="3F24A24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项目名称及内容</w:t>
            </w:r>
          </w:p>
        </w:tc>
        <w:tc>
          <w:tcPr>
            <w:tcW w:w="650" w:type="dxa"/>
            <w:vMerge w:val="restart"/>
            <w:shd w:val="clear" w:color="auto" w:fill="auto"/>
            <w:vAlign w:val="center"/>
          </w:tcPr>
          <w:p w14:paraId="5BF4D37E">
            <w:pPr>
              <w:widowControl/>
              <w:jc w:val="center"/>
              <w:textAlignment w:val="center"/>
              <w:rPr>
                <w:rFonts w:ascii="Arial" w:hAnsi="Arial" w:cs="Arial"/>
                <w:color w:val="auto"/>
                <w:sz w:val="20"/>
                <w:szCs w:val="20"/>
                <w:highlight w:val="none"/>
              </w:rPr>
            </w:pPr>
            <w:r>
              <w:rPr>
                <w:rFonts w:hint="eastAsia" w:ascii="宋体" w:hAnsi="宋体" w:cs="宋体"/>
                <w:color w:val="auto"/>
                <w:kern w:val="0"/>
                <w:sz w:val="20"/>
                <w:szCs w:val="20"/>
                <w:highlight w:val="none"/>
              </w:rPr>
              <w:t>计量</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单位</w:t>
            </w:r>
          </w:p>
        </w:tc>
        <w:tc>
          <w:tcPr>
            <w:tcW w:w="975" w:type="dxa"/>
            <w:vMerge w:val="restart"/>
            <w:shd w:val="clear" w:color="auto" w:fill="auto"/>
            <w:vAlign w:val="center"/>
          </w:tcPr>
          <w:p w14:paraId="22B75355">
            <w:pPr>
              <w:widowControl/>
              <w:jc w:val="center"/>
              <w:textAlignment w:val="center"/>
              <w:rPr>
                <w:rFonts w:ascii="Arial" w:hAnsi="Arial" w:cs="Arial"/>
                <w:color w:val="auto"/>
                <w:sz w:val="20"/>
                <w:szCs w:val="20"/>
                <w:highlight w:val="none"/>
              </w:rPr>
            </w:pPr>
            <w:r>
              <w:rPr>
                <w:rFonts w:hint="eastAsia" w:ascii="宋体" w:hAnsi="宋体" w:cs="宋体"/>
                <w:color w:val="auto"/>
                <w:kern w:val="0"/>
                <w:sz w:val="20"/>
                <w:szCs w:val="20"/>
                <w:highlight w:val="none"/>
              </w:rPr>
              <w:t>工程量</w:t>
            </w:r>
          </w:p>
        </w:tc>
        <w:tc>
          <w:tcPr>
            <w:tcW w:w="0" w:type="auto"/>
            <w:vMerge w:val="restart"/>
            <w:shd w:val="clear" w:color="auto" w:fill="auto"/>
            <w:noWrap/>
            <w:vAlign w:val="center"/>
          </w:tcPr>
          <w:p w14:paraId="011FE1E3">
            <w:pPr>
              <w:widowControl/>
              <w:jc w:val="center"/>
              <w:textAlignment w:val="center"/>
              <w:rPr>
                <w:rFonts w:ascii="Arial" w:hAnsi="Arial" w:cs="Arial"/>
                <w:b/>
                <w:bCs/>
                <w:color w:val="auto"/>
                <w:sz w:val="20"/>
                <w:szCs w:val="20"/>
                <w:highlight w:val="none"/>
              </w:rPr>
            </w:pPr>
            <w:r>
              <w:rPr>
                <w:rFonts w:hint="eastAsia" w:ascii="宋体" w:hAnsi="宋体" w:cs="宋体"/>
                <w:b/>
                <w:bCs/>
                <w:color w:val="auto"/>
                <w:kern w:val="0"/>
                <w:sz w:val="20"/>
                <w:szCs w:val="20"/>
                <w:highlight w:val="none"/>
              </w:rPr>
              <w:t>备注</w:t>
            </w:r>
          </w:p>
        </w:tc>
      </w:tr>
      <w:tr w14:paraId="75521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316" w:type="dxa"/>
            <w:vMerge w:val="continue"/>
            <w:shd w:val="clear" w:color="auto" w:fill="auto"/>
            <w:vAlign w:val="center"/>
          </w:tcPr>
          <w:p w14:paraId="5E90D9CB">
            <w:pPr>
              <w:jc w:val="center"/>
              <w:rPr>
                <w:rFonts w:ascii="宋体" w:hAnsi="宋体" w:cs="宋体"/>
                <w:color w:val="auto"/>
                <w:sz w:val="20"/>
                <w:szCs w:val="20"/>
                <w:highlight w:val="none"/>
              </w:rPr>
            </w:pPr>
          </w:p>
        </w:tc>
        <w:tc>
          <w:tcPr>
            <w:tcW w:w="4544" w:type="dxa"/>
            <w:vMerge w:val="continue"/>
            <w:shd w:val="clear" w:color="auto" w:fill="auto"/>
            <w:vAlign w:val="center"/>
          </w:tcPr>
          <w:p w14:paraId="66CF62C6">
            <w:pPr>
              <w:jc w:val="center"/>
              <w:rPr>
                <w:rFonts w:ascii="宋体" w:hAnsi="宋体" w:cs="宋体"/>
                <w:color w:val="auto"/>
                <w:sz w:val="20"/>
                <w:szCs w:val="20"/>
                <w:highlight w:val="none"/>
              </w:rPr>
            </w:pPr>
          </w:p>
        </w:tc>
        <w:tc>
          <w:tcPr>
            <w:tcW w:w="650" w:type="dxa"/>
            <w:vMerge w:val="continue"/>
            <w:shd w:val="clear" w:color="auto" w:fill="auto"/>
            <w:vAlign w:val="center"/>
          </w:tcPr>
          <w:p w14:paraId="705772FF">
            <w:pPr>
              <w:jc w:val="center"/>
              <w:rPr>
                <w:rFonts w:ascii="Arial" w:hAnsi="Arial" w:cs="Arial"/>
                <w:color w:val="auto"/>
                <w:sz w:val="20"/>
                <w:szCs w:val="20"/>
                <w:highlight w:val="none"/>
              </w:rPr>
            </w:pPr>
          </w:p>
        </w:tc>
        <w:tc>
          <w:tcPr>
            <w:tcW w:w="975" w:type="dxa"/>
            <w:vMerge w:val="continue"/>
            <w:shd w:val="clear" w:color="auto" w:fill="auto"/>
            <w:vAlign w:val="center"/>
          </w:tcPr>
          <w:p w14:paraId="3A90A2A6">
            <w:pPr>
              <w:jc w:val="center"/>
              <w:rPr>
                <w:rFonts w:ascii="Arial" w:hAnsi="Arial" w:cs="Arial"/>
                <w:color w:val="auto"/>
                <w:sz w:val="20"/>
                <w:szCs w:val="20"/>
                <w:highlight w:val="none"/>
              </w:rPr>
            </w:pPr>
          </w:p>
        </w:tc>
        <w:tc>
          <w:tcPr>
            <w:tcW w:w="0" w:type="auto"/>
            <w:vMerge w:val="continue"/>
            <w:shd w:val="clear" w:color="auto" w:fill="auto"/>
            <w:noWrap/>
            <w:vAlign w:val="center"/>
          </w:tcPr>
          <w:p w14:paraId="56FE6C2A">
            <w:pPr>
              <w:jc w:val="center"/>
              <w:rPr>
                <w:rFonts w:ascii="Arial" w:hAnsi="Arial" w:cs="Arial"/>
                <w:b/>
                <w:bCs/>
                <w:color w:val="auto"/>
                <w:sz w:val="20"/>
                <w:szCs w:val="20"/>
                <w:highlight w:val="none"/>
              </w:rPr>
            </w:pPr>
          </w:p>
        </w:tc>
      </w:tr>
      <w:tr w14:paraId="1B1E4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1316" w:type="dxa"/>
            <w:shd w:val="clear" w:color="auto" w:fill="FFFFFF"/>
            <w:vAlign w:val="center"/>
          </w:tcPr>
          <w:p w14:paraId="2E4AE630">
            <w:pPr>
              <w:widowControl/>
              <w:jc w:val="center"/>
              <w:textAlignment w:val="center"/>
              <w:rPr>
                <w:rFonts w:ascii="Arial" w:hAnsi="Arial" w:cs="Arial"/>
                <w:color w:val="auto"/>
                <w:sz w:val="20"/>
                <w:szCs w:val="20"/>
                <w:highlight w:val="none"/>
              </w:rPr>
            </w:pPr>
            <w:r>
              <w:rPr>
                <w:rFonts w:ascii="Arial" w:hAnsi="Arial" w:cs="Arial"/>
                <w:color w:val="auto"/>
                <w:kern w:val="0"/>
                <w:sz w:val="20"/>
                <w:szCs w:val="20"/>
                <w:highlight w:val="none"/>
              </w:rPr>
              <w:t>1</w:t>
            </w:r>
          </w:p>
        </w:tc>
        <w:tc>
          <w:tcPr>
            <w:tcW w:w="4544" w:type="dxa"/>
            <w:shd w:val="clear" w:color="auto" w:fill="FFFFFF"/>
            <w:vAlign w:val="center"/>
          </w:tcPr>
          <w:p w14:paraId="014D9A77">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空气源热泵机组（含空气源热泵主机输入功率0.84kW，制热量3.71kW、200L带保温承压水箱、水箱上安全阀、排气阀、控制面板、控制线、水箱上电接点温度计及主机至水箱的热媒管道）</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工程内容</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1.空气源热泵成套安装</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2.完成空气源热泵安装的其他一切相关工程内容及材料费用</w:t>
            </w:r>
          </w:p>
        </w:tc>
        <w:tc>
          <w:tcPr>
            <w:tcW w:w="650" w:type="dxa"/>
            <w:shd w:val="clear" w:color="auto" w:fill="FFFFFF"/>
            <w:vAlign w:val="center"/>
          </w:tcPr>
          <w:p w14:paraId="56085C1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套</w:t>
            </w:r>
          </w:p>
        </w:tc>
        <w:tc>
          <w:tcPr>
            <w:tcW w:w="975" w:type="dxa"/>
            <w:shd w:val="clear" w:color="auto" w:fill="FFFFFF"/>
            <w:vAlign w:val="center"/>
          </w:tcPr>
          <w:p w14:paraId="229768AB">
            <w:pPr>
              <w:widowControl/>
              <w:jc w:val="center"/>
              <w:textAlignment w:val="center"/>
              <w:rPr>
                <w:rFonts w:ascii="Arial" w:hAnsi="Arial" w:cs="Arial"/>
                <w:color w:val="auto"/>
                <w:sz w:val="20"/>
                <w:szCs w:val="20"/>
                <w:highlight w:val="none"/>
              </w:rPr>
            </w:pPr>
            <w:r>
              <w:rPr>
                <w:rFonts w:ascii="Arial" w:hAnsi="Arial" w:cs="Arial"/>
                <w:color w:val="auto"/>
                <w:kern w:val="0"/>
                <w:sz w:val="20"/>
                <w:szCs w:val="20"/>
                <w:highlight w:val="none"/>
              </w:rPr>
              <w:t xml:space="preserve"> 1.00 </w:t>
            </w:r>
          </w:p>
        </w:tc>
        <w:tc>
          <w:tcPr>
            <w:tcW w:w="0" w:type="auto"/>
            <w:shd w:val="clear" w:color="auto" w:fill="auto"/>
            <w:noWrap/>
            <w:vAlign w:val="center"/>
          </w:tcPr>
          <w:p w14:paraId="2961D5B8">
            <w:pPr>
              <w:jc w:val="center"/>
              <w:rPr>
                <w:rFonts w:ascii="Arial" w:hAnsi="Arial" w:cs="Arial"/>
                <w:color w:val="auto"/>
                <w:sz w:val="20"/>
                <w:szCs w:val="20"/>
                <w:highlight w:val="none"/>
              </w:rPr>
            </w:pPr>
          </w:p>
        </w:tc>
      </w:tr>
      <w:tr w14:paraId="13405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1316" w:type="dxa"/>
            <w:shd w:val="clear" w:color="auto" w:fill="FFFFFF"/>
            <w:vAlign w:val="center"/>
          </w:tcPr>
          <w:p w14:paraId="32F89B3D">
            <w:pPr>
              <w:widowControl/>
              <w:jc w:val="center"/>
              <w:textAlignment w:val="center"/>
              <w:rPr>
                <w:rFonts w:ascii="Arial" w:hAnsi="Arial" w:cs="Arial"/>
                <w:color w:val="auto"/>
                <w:sz w:val="20"/>
                <w:szCs w:val="20"/>
                <w:highlight w:val="none"/>
              </w:rPr>
            </w:pPr>
            <w:r>
              <w:rPr>
                <w:rFonts w:ascii="Arial" w:hAnsi="Arial" w:cs="Arial"/>
                <w:color w:val="auto"/>
                <w:kern w:val="0"/>
                <w:sz w:val="20"/>
                <w:szCs w:val="20"/>
                <w:highlight w:val="none"/>
              </w:rPr>
              <w:t>2</w:t>
            </w:r>
          </w:p>
        </w:tc>
        <w:tc>
          <w:tcPr>
            <w:tcW w:w="4544" w:type="dxa"/>
            <w:shd w:val="clear" w:color="auto" w:fill="FFFFFF"/>
            <w:vAlign w:val="center"/>
          </w:tcPr>
          <w:p w14:paraId="79BBAC49">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循环泵H=7m，N=120W，Q=40L/min（采用热水型、防雨型水泵,且顶设置防雨罩）</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工程内容</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1.安装</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2.水压试验</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3.完成循环泵安装的其他一切相关工程内容及材料费用</w:t>
            </w:r>
          </w:p>
        </w:tc>
        <w:tc>
          <w:tcPr>
            <w:tcW w:w="650" w:type="dxa"/>
            <w:shd w:val="clear" w:color="auto" w:fill="FFFFFF"/>
            <w:vAlign w:val="center"/>
          </w:tcPr>
          <w:p w14:paraId="4CBE247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套</w:t>
            </w:r>
          </w:p>
        </w:tc>
        <w:tc>
          <w:tcPr>
            <w:tcW w:w="975" w:type="dxa"/>
            <w:shd w:val="clear" w:color="auto" w:fill="FFFFFF"/>
            <w:vAlign w:val="center"/>
          </w:tcPr>
          <w:p w14:paraId="612687E7">
            <w:pPr>
              <w:widowControl/>
              <w:jc w:val="center"/>
              <w:textAlignment w:val="center"/>
              <w:rPr>
                <w:rFonts w:ascii="Arial" w:hAnsi="Arial" w:cs="Arial"/>
                <w:color w:val="auto"/>
                <w:sz w:val="20"/>
                <w:szCs w:val="20"/>
                <w:highlight w:val="none"/>
              </w:rPr>
            </w:pPr>
            <w:r>
              <w:rPr>
                <w:rFonts w:ascii="Arial" w:hAnsi="Arial" w:cs="Arial"/>
                <w:color w:val="auto"/>
                <w:kern w:val="0"/>
                <w:sz w:val="20"/>
                <w:szCs w:val="20"/>
                <w:highlight w:val="none"/>
              </w:rPr>
              <w:t xml:space="preserve"> 2.00 </w:t>
            </w:r>
          </w:p>
        </w:tc>
        <w:tc>
          <w:tcPr>
            <w:tcW w:w="0" w:type="auto"/>
            <w:shd w:val="clear" w:color="auto" w:fill="auto"/>
            <w:noWrap/>
            <w:vAlign w:val="center"/>
          </w:tcPr>
          <w:p w14:paraId="0BD5E8FE">
            <w:pPr>
              <w:jc w:val="center"/>
              <w:rPr>
                <w:rFonts w:ascii="Arial" w:hAnsi="Arial" w:cs="Arial"/>
                <w:color w:val="auto"/>
                <w:sz w:val="20"/>
                <w:szCs w:val="20"/>
                <w:highlight w:val="none"/>
              </w:rPr>
            </w:pPr>
          </w:p>
        </w:tc>
      </w:tr>
      <w:tr w14:paraId="22BDD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316" w:type="dxa"/>
            <w:shd w:val="clear" w:color="auto" w:fill="FFFFFF"/>
            <w:vAlign w:val="center"/>
          </w:tcPr>
          <w:p w14:paraId="2C1A4AF6">
            <w:pPr>
              <w:widowControl/>
              <w:jc w:val="center"/>
              <w:textAlignment w:val="center"/>
              <w:rPr>
                <w:rFonts w:ascii="Arial" w:hAnsi="Arial" w:cs="Arial"/>
                <w:color w:val="auto"/>
                <w:sz w:val="20"/>
                <w:szCs w:val="20"/>
                <w:highlight w:val="none"/>
              </w:rPr>
            </w:pPr>
            <w:r>
              <w:rPr>
                <w:rFonts w:ascii="Arial" w:hAnsi="Arial" w:cs="Arial"/>
                <w:color w:val="auto"/>
                <w:kern w:val="0"/>
                <w:sz w:val="20"/>
                <w:szCs w:val="20"/>
                <w:highlight w:val="none"/>
              </w:rPr>
              <w:t>3</w:t>
            </w:r>
          </w:p>
        </w:tc>
        <w:tc>
          <w:tcPr>
            <w:tcW w:w="4544" w:type="dxa"/>
            <w:shd w:val="clear" w:color="auto" w:fill="FFFFFF"/>
            <w:vAlign w:val="center"/>
          </w:tcPr>
          <w:p w14:paraId="6A8E511F">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PP-R冷水管Φ25(热熔连接)</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工程内容</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1、管道、管件、止水环、伸缩节、阻火圈、堵头等及弯管的制作.安装</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2、综合考虑在砖墙、混凝土、各类砌体上凿槽、刨沟及修补，板槽施工及修补，孔洞打凿及修补</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3、支架制作安装</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4、除锈、刷油、防腐</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5、挖填土方</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6、管道消毒、冲洗</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7、水压及泄漏试验</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8、系统调试</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9、完成管道安装的其他一切相关工程内容及材料费用</w:t>
            </w:r>
          </w:p>
        </w:tc>
        <w:tc>
          <w:tcPr>
            <w:tcW w:w="650" w:type="dxa"/>
            <w:shd w:val="clear" w:color="auto" w:fill="FFFFFF"/>
            <w:vAlign w:val="center"/>
          </w:tcPr>
          <w:p w14:paraId="74A64B5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m</w:t>
            </w:r>
          </w:p>
        </w:tc>
        <w:tc>
          <w:tcPr>
            <w:tcW w:w="975" w:type="dxa"/>
            <w:shd w:val="clear" w:color="auto" w:fill="FFFFFF"/>
            <w:vAlign w:val="center"/>
          </w:tcPr>
          <w:p w14:paraId="093F07D0">
            <w:pPr>
              <w:widowControl/>
              <w:jc w:val="center"/>
              <w:textAlignment w:val="center"/>
              <w:rPr>
                <w:rFonts w:ascii="Arial" w:hAnsi="Arial" w:cs="Arial"/>
                <w:color w:val="auto"/>
                <w:sz w:val="20"/>
                <w:szCs w:val="20"/>
                <w:highlight w:val="none"/>
              </w:rPr>
            </w:pPr>
            <w:r>
              <w:rPr>
                <w:rFonts w:ascii="Arial" w:hAnsi="Arial" w:cs="Arial"/>
                <w:color w:val="auto"/>
                <w:kern w:val="0"/>
                <w:sz w:val="20"/>
                <w:szCs w:val="20"/>
                <w:highlight w:val="none"/>
              </w:rPr>
              <w:t xml:space="preserve"> 4.00 </w:t>
            </w:r>
          </w:p>
        </w:tc>
        <w:tc>
          <w:tcPr>
            <w:tcW w:w="0" w:type="auto"/>
            <w:shd w:val="clear" w:color="auto" w:fill="auto"/>
            <w:noWrap/>
            <w:vAlign w:val="center"/>
          </w:tcPr>
          <w:p w14:paraId="7E051020">
            <w:pPr>
              <w:jc w:val="center"/>
              <w:rPr>
                <w:rFonts w:ascii="Arial" w:hAnsi="Arial" w:cs="Arial"/>
                <w:color w:val="auto"/>
                <w:sz w:val="20"/>
                <w:szCs w:val="20"/>
                <w:highlight w:val="none"/>
              </w:rPr>
            </w:pPr>
          </w:p>
        </w:tc>
      </w:tr>
      <w:tr w14:paraId="7FEDC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316" w:type="dxa"/>
            <w:shd w:val="clear" w:color="auto" w:fill="FFFFFF"/>
            <w:vAlign w:val="center"/>
          </w:tcPr>
          <w:p w14:paraId="006A94A5">
            <w:pPr>
              <w:widowControl/>
              <w:jc w:val="center"/>
              <w:textAlignment w:val="center"/>
              <w:rPr>
                <w:rFonts w:ascii="Arial" w:hAnsi="Arial" w:cs="Arial"/>
                <w:color w:val="auto"/>
                <w:sz w:val="20"/>
                <w:szCs w:val="20"/>
                <w:highlight w:val="none"/>
              </w:rPr>
            </w:pPr>
            <w:r>
              <w:rPr>
                <w:rFonts w:ascii="Arial" w:hAnsi="Arial" w:cs="Arial"/>
                <w:color w:val="auto"/>
                <w:kern w:val="0"/>
                <w:sz w:val="20"/>
                <w:szCs w:val="20"/>
                <w:highlight w:val="none"/>
              </w:rPr>
              <w:t>4</w:t>
            </w:r>
          </w:p>
        </w:tc>
        <w:tc>
          <w:tcPr>
            <w:tcW w:w="4544" w:type="dxa"/>
            <w:shd w:val="clear" w:color="auto" w:fill="FFFFFF"/>
            <w:vAlign w:val="center"/>
          </w:tcPr>
          <w:p w14:paraId="02322E0B">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PP-R热水管Φ20(热熔连接)</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工程内容</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1、管道、管件、止水环、伸缩节、阻火圈、堵头等及弯管的制作.安装</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2、综合考虑在砖墙、混凝土、各类砌体上凿槽、刨沟及修补，板槽施工及修补，孔洞打凿及修补</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3、支架制作安装</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4、除锈、刷油、防腐</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5、挖填土方</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6、管道消毒、冲洗</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7、水压及泄漏试验</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8、系统调试</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9、完成管道安装的其他一切相关工程内容及材料费用</w:t>
            </w:r>
          </w:p>
        </w:tc>
        <w:tc>
          <w:tcPr>
            <w:tcW w:w="650" w:type="dxa"/>
            <w:shd w:val="clear" w:color="auto" w:fill="FFFFFF"/>
            <w:vAlign w:val="center"/>
          </w:tcPr>
          <w:p w14:paraId="6CE931B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m</w:t>
            </w:r>
          </w:p>
        </w:tc>
        <w:tc>
          <w:tcPr>
            <w:tcW w:w="975" w:type="dxa"/>
            <w:shd w:val="clear" w:color="auto" w:fill="FFFFFF"/>
            <w:vAlign w:val="center"/>
          </w:tcPr>
          <w:p w14:paraId="4D0D1209">
            <w:pPr>
              <w:widowControl/>
              <w:jc w:val="center"/>
              <w:textAlignment w:val="center"/>
              <w:rPr>
                <w:rFonts w:ascii="Arial" w:hAnsi="Arial" w:cs="Arial"/>
                <w:color w:val="auto"/>
                <w:sz w:val="20"/>
                <w:szCs w:val="20"/>
                <w:highlight w:val="none"/>
              </w:rPr>
            </w:pPr>
            <w:r>
              <w:rPr>
                <w:rFonts w:ascii="Arial" w:hAnsi="Arial" w:cs="Arial"/>
                <w:color w:val="auto"/>
                <w:kern w:val="0"/>
                <w:sz w:val="20"/>
                <w:szCs w:val="20"/>
                <w:highlight w:val="none"/>
              </w:rPr>
              <w:t xml:space="preserve"> 4.00 </w:t>
            </w:r>
          </w:p>
        </w:tc>
        <w:tc>
          <w:tcPr>
            <w:tcW w:w="0" w:type="auto"/>
            <w:shd w:val="clear" w:color="auto" w:fill="auto"/>
            <w:noWrap/>
            <w:vAlign w:val="center"/>
          </w:tcPr>
          <w:p w14:paraId="7BCE1BB8">
            <w:pPr>
              <w:jc w:val="center"/>
              <w:rPr>
                <w:rFonts w:ascii="Arial" w:hAnsi="Arial" w:cs="Arial"/>
                <w:color w:val="auto"/>
                <w:sz w:val="20"/>
                <w:szCs w:val="20"/>
                <w:highlight w:val="none"/>
              </w:rPr>
            </w:pPr>
          </w:p>
        </w:tc>
      </w:tr>
      <w:tr w14:paraId="5EED9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316" w:type="dxa"/>
            <w:shd w:val="clear" w:color="auto" w:fill="FFFFFF"/>
            <w:vAlign w:val="center"/>
          </w:tcPr>
          <w:p w14:paraId="5DF31393">
            <w:pPr>
              <w:widowControl/>
              <w:jc w:val="center"/>
              <w:textAlignment w:val="center"/>
              <w:rPr>
                <w:rFonts w:ascii="Arial" w:hAnsi="Arial" w:cs="Arial"/>
                <w:color w:val="auto"/>
                <w:sz w:val="20"/>
                <w:szCs w:val="20"/>
                <w:highlight w:val="none"/>
              </w:rPr>
            </w:pPr>
            <w:r>
              <w:rPr>
                <w:rFonts w:ascii="Arial" w:hAnsi="Arial" w:cs="Arial"/>
                <w:color w:val="auto"/>
                <w:kern w:val="0"/>
                <w:sz w:val="20"/>
                <w:szCs w:val="20"/>
                <w:highlight w:val="none"/>
              </w:rPr>
              <w:t>5</w:t>
            </w:r>
          </w:p>
        </w:tc>
        <w:tc>
          <w:tcPr>
            <w:tcW w:w="4544" w:type="dxa"/>
            <w:shd w:val="clear" w:color="auto" w:fill="FFFFFF"/>
            <w:vAlign w:val="center"/>
          </w:tcPr>
          <w:p w14:paraId="59D5CD8F">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PP-R热水管Φ25(热熔连接)</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工程内容</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1、管道、管件、止水环、伸缩节、阻火圈、堵头等及弯管的制作.安装</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2、综合考虑在砖墙、混凝土、各类砌体上凿槽、刨沟及修补，板槽施工及修补，孔洞打凿及修补</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3、支架制作安装</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4、除锈、刷油、防腐</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5、挖填土方</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6、管道消毒、冲洗</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7、水压及泄漏试验</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8、系统调试</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9、完成管道安装的其他一切相关工程内容及材料费用</w:t>
            </w:r>
          </w:p>
        </w:tc>
        <w:tc>
          <w:tcPr>
            <w:tcW w:w="650" w:type="dxa"/>
            <w:shd w:val="clear" w:color="auto" w:fill="FFFFFF"/>
            <w:vAlign w:val="center"/>
          </w:tcPr>
          <w:p w14:paraId="431928C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m</w:t>
            </w:r>
          </w:p>
        </w:tc>
        <w:tc>
          <w:tcPr>
            <w:tcW w:w="975" w:type="dxa"/>
            <w:shd w:val="clear" w:color="auto" w:fill="FFFFFF"/>
            <w:vAlign w:val="center"/>
          </w:tcPr>
          <w:p w14:paraId="32D310C0">
            <w:pPr>
              <w:widowControl/>
              <w:jc w:val="center"/>
              <w:textAlignment w:val="center"/>
              <w:rPr>
                <w:rFonts w:ascii="Arial" w:hAnsi="Arial" w:cs="Arial"/>
                <w:color w:val="auto"/>
                <w:sz w:val="20"/>
                <w:szCs w:val="20"/>
                <w:highlight w:val="none"/>
              </w:rPr>
            </w:pPr>
            <w:r>
              <w:rPr>
                <w:rFonts w:ascii="Arial" w:hAnsi="Arial" w:cs="Arial"/>
                <w:color w:val="auto"/>
                <w:kern w:val="0"/>
                <w:sz w:val="20"/>
                <w:szCs w:val="20"/>
                <w:highlight w:val="none"/>
              </w:rPr>
              <w:t xml:space="preserve"> 4.00 </w:t>
            </w:r>
          </w:p>
        </w:tc>
        <w:tc>
          <w:tcPr>
            <w:tcW w:w="0" w:type="auto"/>
            <w:shd w:val="clear" w:color="auto" w:fill="auto"/>
            <w:noWrap/>
            <w:vAlign w:val="center"/>
          </w:tcPr>
          <w:p w14:paraId="462989F4">
            <w:pPr>
              <w:jc w:val="center"/>
              <w:rPr>
                <w:rFonts w:ascii="Arial" w:hAnsi="Arial" w:cs="Arial"/>
                <w:color w:val="auto"/>
                <w:sz w:val="20"/>
                <w:szCs w:val="20"/>
                <w:highlight w:val="none"/>
              </w:rPr>
            </w:pPr>
          </w:p>
        </w:tc>
      </w:tr>
      <w:tr w14:paraId="1CB81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1316" w:type="dxa"/>
            <w:shd w:val="clear" w:color="auto" w:fill="FFFFFF"/>
            <w:vAlign w:val="center"/>
          </w:tcPr>
          <w:p w14:paraId="539E4CF4">
            <w:pPr>
              <w:widowControl/>
              <w:jc w:val="center"/>
              <w:textAlignment w:val="center"/>
              <w:rPr>
                <w:rFonts w:ascii="Arial" w:hAnsi="Arial" w:cs="Arial"/>
                <w:color w:val="auto"/>
                <w:sz w:val="20"/>
                <w:szCs w:val="20"/>
                <w:highlight w:val="none"/>
              </w:rPr>
            </w:pPr>
            <w:r>
              <w:rPr>
                <w:rFonts w:ascii="Arial" w:hAnsi="Arial" w:cs="Arial"/>
                <w:color w:val="auto"/>
                <w:kern w:val="0"/>
                <w:sz w:val="20"/>
                <w:szCs w:val="20"/>
                <w:highlight w:val="none"/>
              </w:rPr>
              <w:t>6</w:t>
            </w:r>
          </w:p>
        </w:tc>
        <w:tc>
          <w:tcPr>
            <w:tcW w:w="4544" w:type="dxa"/>
            <w:shd w:val="clear" w:color="auto" w:fill="auto"/>
            <w:vAlign w:val="center"/>
          </w:tcPr>
          <w:p w14:paraId="10826641">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管道保温  橡塑保温保温厚度30mm，外部采用铝皮保护</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工程内容</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1、管道绝热及保护层安装、除锈、刷油 </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2、系统调试</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3、完成管道保温安装及其他一切相关工作内容及材料费用</w:t>
            </w:r>
          </w:p>
        </w:tc>
        <w:tc>
          <w:tcPr>
            <w:tcW w:w="650" w:type="dxa"/>
            <w:shd w:val="clear" w:color="auto" w:fill="auto"/>
            <w:vAlign w:val="center"/>
          </w:tcPr>
          <w:p w14:paraId="768D5898">
            <w:pPr>
              <w:widowControl/>
              <w:jc w:val="center"/>
              <w:textAlignment w:val="center"/>
              <w:rPr>
                <w:rFonts w:ascii="Arial" w:hAnsi="Arial" w:cs="Arial"/>
                <w:color w:val="auto"/>
                <w:sz w:val="20"/>
                <w:szCs w:val="20"/>
                <w:highlight w:val="none"/>
              </w:rPr>
            </w:pPr>
            <w:r>
              <w:rPr>
                <w:rFonts w:ascii="Arial" w:hAnsi="Arial" w:cs="Arial"/>
                <w:color w:val="auto"/>
                <w:kern w:val="0"/>
                <w:sz w:val="20"/>
                <w:szCs w:val="20"/>
                <w:highlight w:val="none"/>
              </w:rPr>
              <w:t>m</w:t>
            </w:r>
          </w:p>
        </w:tc>
        <w:tc>
          <w:tcPr>
            <w:tcW w:w="975" w:type="dxa"/>
            <w:shd w:val="clear" w:color="auto" w:fill="auto"/>
            <w:vAlign w:val="center"/>
          </w:tcPr>
          <w:p w14:paraId="56533D4F">
            <w:pPr>
              <w:widowControl/>
              <w:jc w:val="center"/>
              <w:textAlignment w:val="center"/>
              <w:rPr>
                <w:rFonts w:ascii="Arial" w:hAnsi="Arial" w:cs="Arial"/>
                <w:color w:val="auto"/>
                <w:sz w:val="20"/>
                <w:szCs w:val="20"/>
                <w:highlight w:val="none"/>
              </w:rPr>
            </w:pPr>
            <w:r>
              <w:rPr>
                <w:rFonts w:ascii="Arial" w:hAnsi="Arial" w:cs="Arial"/>
                <w:color w:val="auto"/>
                <w:kern w:val="0"/>
                <w:sz w:val="20"/>
                <w:szCs w:val="20"/>
                <w:highlight w:val="none"/>
              </w:rPr>
              <w:t xml:space="preserve"> 12.00 </w:t>
            </w:r>
          </w:p>
        </w:tc>
        <w:tc>
          <w:tcPr>
            <w:tcW w:w="0" w:type="auto"/>
            <w:shd w:val="clear" w:color="auto" w:fill="auto"/>
            <w:noWrap/>
            <w:vAlign w:val="center"/>
          </w:tcPr>
          <w:p w14:paraId="76B262B6">
            <w:pPr>
              <w:jc w:val="center"/>
              <w:rPr>
                <w:rFonts w:ascii="Arial" w:hAnsi="Arial" w:cs="Arial"/>
                <w:color w:val="auto"/>
                <w:sz w:val="20"/>
                <w:szCs w:val="20"/>
                <w:highlight w:val="none"/>
              </w:rPr>
            </w:pPr>
          </w:p>
        </w:tc>
      </w:tr>
      <w:tr w14:paraId="27D65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1316" w:type="dxa"/>
            <w:shd w:val="clear" w:color="auto" w:fill="FFFFFF"/>
            <w:vAlign w:val="center"/>
          </w:tcPr>
          <w:p w14:paraId="799F0A76">
            <w:pPr>
              <w:widowControl/>
              <w:jc w:val="center"/>
              <w:textAlignment w:val="center"/>
              <w:rPr>
                <w:rFonts w:ascii="Arial" w:hAnsi="Arial" w:cs="Arial"/>
                <w:color w:val="auto"/>
                <w:sz w:val="20"/>
                <w:szCs w:val="20"/>
                <w:highlight w:val="none"/>
              </w:rPr>
            </w:pPr>
            <w:r>
              <w:rPr>
                <w:rFonts w:ascii="Arial" w:hAnsi="Arial" w:cs="Arial"/>
                <w:color w:val="auto"/>
                <w:kern w:val="0"/>
                <w:sz w:val="20"/>
                <w:szCs w:val="20"/>
                <w:highlight w:val="none"/>
              </w:rPr>
              <w:t>7</w:t>
            </w:r>
          </w:p>
        </w:tc>
        <w:tc>
          <w:tcPr>
            <w:tcW w:w="4544" w:type="dxa"/>
            <w:shd w:val="clear" w:color="auto" w:fill="FFFFFF"/>
            <w:vAlign w:val="center"/>
          </w:tcPr>
          <w:p w14:paraId="534A0B9F">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球阀 DN20</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工程内容</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1、安装</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2、水压试验</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3、系统调试</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4、完成阀门安装的其他一切相关工程内容及材料费用</w:t>
            </w:r>
          </w:p>
        </w:tc>
        <w:tc>
          <w:tcPr>
            <w:tcW w:w="650" w:type="dxa"/>
            <w:shd w:val="clear" w:color="auto" w:fill="FFFFFF"/>
            <w:vAlign w:val="center"/>
          </w:tcPr>
          <w:p w14:paraId="025C66F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个</w:t>
            </w:r>
          </w:p>
        </w:tc>
        <w:tc>
          <w:tcPr>
            <w:tcW w:w="975" w:type="dxa"/>
            <w:shd w:val="clear" w:color="auto" w:fill="FFFFFF"/>
            <w:vAlign w:val="center"/>
          </w:tcPr>
          <w:p w14:paraId="42A66E9F">
            <w:pPr>
              <w:widowControl/>
              <w:jc w:val="center"/>
              <w:textAlignment w:val="center"/>
              <w:rPr>
                <w:rFonts w:ascii="Arial" w:hAnsi="Arial" w:cs="Arial"/>
                <w:color w:val="auto"/>
                <w:sz w:val="20"/>
                <w:szCs w:val="20"/>
                <w:highlight w:val="none"/>
              </w:rPr>
            </w:pPr>
            <w:r>
              <w:rPr>
                <w:rFonts w:ascii="Arial" w:hAnsi="Arial" w:cs="Arial"/>
                <w:color w:val="auto"/>
                <w:kern w:val="0"/>
                <w:sz w:val="20"/>
                <w:szCs w:val="20"/>
                <w:highlight w:val="none"/>
              </w:rPr>
              <w:t xml:space="preserve"> 4.00 </w:t>
            </w:r>
          </w:p>
        </w:tc>
        <w:tc>
          <w:tcPr>
            <w:tcW w:w="0" w:type="auto"/>
            <w:shd w:val="clear" w:color="auto" w:fill="auto"/>
            <w:noWrap/>
            <w:vAlign w:val="center"/>
          </w:tcPr>
          <w:p w14:paraId="59BDE3F3">
            <w:pPr>
              <w:jc w:val="center"/>
              <w:rPr>
                <w:rFonts w:ascii="Arial" w:hAnsi="Arial" w:cs="Arial"/>
                <w:color w:val="auto"/>
                <w:sz w:val="20"/>
                <w:szCs w:val="20"/>
                <w:highlight w:val="none"/>
              </w:rPr>
            </w:pPr>
          </w:p>
        </w:tc>
      </w:tr>
      <w:tr w14:paraId="0DDDA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1316" w:type="dxa"/>
            <w:shd w:val="clear" w:color="auto" w:fill="FFFFFF"/>
            <w:vAlign w:val="center"/>
          </w:tcPr>
          <w:p w14:paraId="3B3D6F9C">
            <w:pPr>
              <w:widowControl/>
              <w:jc w:val="center"/>
              <w:textAlignment w:val="center"/>
              <w:rPr>
                <w:rFonts w:ascii="Arial" w:hAnsi="Arial" w:cs="Arial"/>
                <w:color w:val="auto"/>
                <w:sz w:val="20"/>
                <w:szCs w:val="20"/>
                <w:highlight w:val="none"/>
              </w:rPr>
            </w:pPr>
            <w:r>
              <w:rPr>
                <w:rFonts w:ascii="Arial" w:hAnsi="Arial" w:cs="Arial"/>
                <w:color w:val="auto"/>
                <w:kern w:val="0"/>
                <w:sz w:val="20"/>
                <w:szCs w:val="20"/>
                <w:highlight w:val="none"/>
              </w:rPr>
              <w:t>8</w:t>
            </w:r>
          </w:p>
        </w:tc>
        <w:tc>
          <w:tcPr>
            <w:tcW w:w="4544" w:type="dxa"/>
            <w:shd w:val="clear" w:color="auto" w:fill="FFFFFF"/>
            <w:vAlign w:val="center"/>
          </w:tcPr>
          <w:p w14:paraId="60A17D95">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球阀 DN25</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工程内容</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1、安装</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2、水压试验</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3、系统调试</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4、完成阀门安装的其他一切相关工程内容及材料费用</w:t>
            </w:r>
          </w:p>
        </w:tc>
        <w:tc>
          <w:tcPr>
            <w:tcW w:w="650" w:type="dxa"/>
            <w:shd w:val="clear" w:color="auto" w:fill="FFFFFF"/>
            <w:vAlign w:val="center"/>
          </w:tcPr>
          <w:p w14:paraId="166C1C5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个</w:t>
            </w:r>
          </w:p>
        </w:tc>
        <w:tc>
          <w:tcPr>
            <w:tcW w:w="975" w:type="dxa"/>
            <w:shd w:val="clear" w:color="auto" w:fill="FFFFFF"/>
            <w:vAlign w:val="center"/>
          </w:tcPr>
          <w:p w14:paraId="21208853">
            <w:pPr>
              <w:widowControl/>
              <w:jc w:val="center"/>
              <w:textAlignment w:val="center"/>
              <w:rPr>
                <w:rFonts w:ascii="Arial" w:hAnsi="Arial" w:cs="Arial"/>
                <w:color w:val="auto"/>
                <w:sz w:val="20"/>
                <w:szCs w:val="20"/>
                <w:highlight w:val="none"/>
              </w:rPr>
            </w:pPr>
            <w:r>
              <w:rPr>
                <w:rFonts w:ascii="Arial" w:hAnsi="Arial" w:cs="Arial"/>
                <w:color w:val="auto"/>
                <w:kern w:val="0"/>
                <w:sz w:val="20"/>
                <w:szCs w:val="20"/>
                <w:highlight w:val="none"/>
              </w:rPr>
              <w:t xml:space="preserve"> 2.00 </w:t>
            </w:r>
          </w:p>
        </w:tc>
        <w:tc>
          <w:tcPr>
            <w:tcW w:w="0" w:type="auto"/>
            <w:shd w:val="clear" w:color="auto" w:fill="auto"/>
            <w:noWrap/>
            <w:vAlign w:val="center"/>
          </w:tcPr>
          <w:p w14:paraId="533F20CD">
            <w:pPr>
              <w:jc w:val="center"/>
              <w:rPr>
                <w:rFonts w:ascii="Arial" w:hAnsi="Arial" w:cs="Arial"/>
                <w:color w:val="auto"/>
                <w:sz w:val="20"/>
                <w:szCs w:val="20"/>
                <w:highlight w:val="none"/>
              </w:rPr>
            </w:pPr>
          </w:p>
        </w:tc>
      </w:tr>
      <w:tr w14:paraId="26CD0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1316" w:type="dxa"/>
            <w:shd w:val="clear" w:color="auto" w:fill="FFFFFF"/>
            <w:vAlign w:val="center"/>
          </w:tcPr>
          <w:p w14:paraId="5429B4D0">
            <w:pPr>
              <w:widowControl/>
              <w:jc w:val="center"/>
              <w:textAlignment w:val="center"/>
              <w:rPr>
                <w:rFonts w:ascii="Arial" w:hAnsi="Arial" w:cs="Arial"/>
                <w:color w:val="auto"/>
                <w:sz w:val="20"/>
                <w:szCs w:val="20"/>
                <w:highlight w:val="none"/>
              </w:rPr>
            </w:pPr>
            <w:r>
              <w:rPr>
                <w:rFonts w:ascii="Arial" w:hAnsi="Arial" w:cs="Arial"/>
                <w:color w:val="auto"/>
                <w:kern w:val="0"/>
                <w:sz w:val="20"/>
                <w:szCs w:val="20"/>
                <w:highlight w:val="none"/>
              </w:rPr>
              <w:t>9</w:t>
            </w:r>
          </w:p>
        </w:tc>
        <w:tc>
          <w:tcPr>
            <w:tcW w:w="4544" w:type="dxa"/>
            <w:shd w:val="clear" w:color="auto" w:fill="FFFFFF"/>
            <w:vAlign w:val="center"/>
          </w:tcPr>
          <w:p w14:paraId="5A275D0C">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螺纹止回阀 DN20</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工程内容</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1、安装</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2、水压试验</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3、系统调试</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4、完成阀门安装的其他一切相关工程内容及材料费用</w:t>
            </w:r>
          </w:p>
        </w:tc>
        <w:tc>
          <w:tcPr>
            <w:tcW w:w="650" w:type="dxa"/>
            <w:shd w:val="clear" w:color="auto" w:fill="FFFFFF"/>
            <w:vAlign w:val="center"/>
          </w:tcPr>
          <w:p w14:paraId="1B8A0E4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个</w:t>
            </w:r>
          </w:p>
        </w:tc>
        <w:tc>
          <w:tcPr>
            <w:tcW w:w="975" w:type="dxa"/>
            <w:shd w:val="clear" w:color="auto" w:fill="FFFFFF"/>
            <w:vAlign w:val="center"/>
          </w:tcPr>
          <w:p w14:paraId="2D71F51F">
            <w:pPr>
              <w:widowControl/>
              <w:jc w:val="center"/>
              <w:textAlignment w:val="center"/>
              <w:rPr>
                <w:rFonts w:ascii="Arial" w:hAnsi="Arial" w:cs="Arial"/>
                <w:color w:val="auto"/>
                <w:sz w:val="20"/>
                <w:szCs w:val="20"/>
                <w:highlight w:val="none"/>
              </w:rPr>
            </w:pPr>
            <w:r>
              <w:rPr>
                <w:rFonts w:ascii="Arial" w:hAnsi="Arial" w:cs="Arial"/>
                <w:color w:val="auto"/>
                <w:kern w:val="0"/>
                <w:sz w:val="20"/>
                <w:szCs w:val="20"/>
                <w:highlight w:val="none"/>
              </w:rPr>
              <w:t xml:space="preserve"> 2.00 </w:t>
            </w:r>
          </w:p>
        </w:tc>
        <w:tc>
          <w:tcPr>
            <w:tcW w:w="0" w:type="auto"/>
            <w:shd w:val="clear" w:color="auto" w:fill="auto"/>
            <w:noWrap/>
            <w:vAlign w:val="center"/>
          </w:tcPr>
          <w:p w14:paraId="7F57897A">
            <w:pPr>
              <w:jc w:val="center"/>
              <w:rPr>
                <w:rFonts w:ascii="Arial" w:hAnsi="Arial" w:cs="Arial"/>
                <w:color w:val="auto"/>
                <w:sz w:val="20"/>
                <w:szCs w:val="20"/>
                <w:highlight w:val="none"/>
              </w:rPr>
            </w:pPr>
          </w:p>
        </w:tc>
      </w:tr>
      <w:tr w14:paraId="75109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1316" w:type="dxa"/>
            <w:shd w:val="clear" w:color="auto" w:fill="FFFFFF"/>
            <w:vAlign w:val="center"/>
          </w:tcPr>
          <w:p w14:paraId="0C03BA0A">
            <w:pPr>
              <w:widowControl/>
              <w:jc w:val="center"/>
              <w:textAlignment w:val="center"/>
              <w:rPr>
                <w:rFonts w:ascii="Arial" w:hAnsi="Arial" w:cs="Arial"/>
                <w:color w:val="auto"/>
                <w:sz w:val="20"/>
                <w:szCs w:val="20"/>
                <w:highlight w:val="none"/>
              </w:rPr>
            </w:pPr>
            <w:r>
              <w:rPr>
                <w:rFonts w:ascii="Arial" w:hAnsi="Arial" w:cs="Arial"/>
                <w:color w:val="auto"/>
                <w:kern w:val="0"/>
                <w:sz w:val="20"/>
                <w:szCs w:val="20"/>
                <w:highlight w:val="none"/>
              </w:rPr>
              <w:t>10</w:t>
            </w:r>
          </w:p>
        </w:tc>
        <w:tc>
          <w:tcPr>
            <w:tcW w:w="4544" w:type="dxa"/>
            <w:shd w:val="clear" w:color="auto" w:fill="FFFFFF"/>
            <w:vAlign w:val="center"/>
          </w:tcPr>
          <w:p w14:paraId="5FAD0DF1">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螺纹止回阀 DN25</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工程内容</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1、安装</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2、水压试验</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3、系统调试</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4、完成阀门安装的其他一切相关工程内容及材料费用</w:t>
            </w:r>
          </w:p>
        </w:tc>
        <w:tc>
          <w:tcPr>
            <w:tcW w:w="650" w:type="dxa"/>
            <w:shd w:val="clear" w:color="auto" w:fill="FFFFFF"/>
            <w:vAlign w:val="center"/>
          </w:tcPr>
          <w:p w14:paraId="1DA23A4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个</w:t>
            </w:r>
          </w:p>
        </w:tc>
        <w:tc>
          <w:tcPr>
            <w:tcW w:w="975" w:type="dxa"/>
            <w:shd w:val="clear" w:color="auto" w:fill="FFFFFF"/>
            <w:vAlign w:val="center"/>
          </w:tcPr>
          <w:p w14:paraId="499B9055">
            <w:pPr>
              <w:widowControl/>
              <w:jc w:val="center"/>
              <w:textAlignment w:val="center"/>
              <w:rPr>
                <w:rFonts w:ascii="Arial" w:hAnsi="Arial" w:cs="Arial"/>
                <w:color w:val="auto"/>
                <w:sz w:val="20"/>
                <w:szCs w:val="20"/>
                <w:highlight w:val="none"/>
              </w:rPr>
            </w:pPr>
            <w:r>
              <w:rPr>
                <w:rFonts w:ascii="Arial" w:hAnsi="Arial" w:cs="Arial"/>
                <w:color w:val="auto"/>
                <w:kern w:val="0"/>
                <w:sz w:val="20"/>
                <w:szCs w:val="20"/>
                <w:highlight w:val="none"/>
              </w:rPr>
              <w:t xml:space="preserve"> 1.00 </w:t>
            </w:r>
          </w:p>
        </w:tc>
        <w:tc>
          <w:tcPr>
            <w:tcW w:w="0" w:type="auto"/>
            <w:shd w:val="clear" w:color="auto" w:fill="auto"/>
            <w:noWrap/>
            <w:vAlign w:val="center"/>
          </w:tcPr>
          <w:p w14:paraId="7B9AF7B7">
            <w:pPr>
              <w:jc w:val="center"/>
              <w:rPr>
                <w:rFonts w:ascii="Arial" w:hAnsi="Arial" w:cs="Arial"/>
                <w:color w:val="auto"/>
                <w:sz w:val="20"/>
                <w:szCs w:val="20"/>
                <w:highlight w:val="none"/>
              </w:rPr>
            </w:pPr>
          </w:p>
        </w:tc>
      </w:tr>
      <w:tr w14:paraId="723D2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1316" w:type="dxa"/>
            <w:shd w:val="clear" w:color="auto" w:fill="FFFFFF"/>
            <w:vAlign w:val="center"/>
          </w:tcPr>
          <w:p w14:paraId="72484F66">
            <w:pPr>
              <w:widowControl/>
              <w:jc w:val="center"/>
              <w:textAlignment w:val="center"/>
              <w:rPr>
                <w:rFonts w:ascii="Arial" w:hAnsi="Arial" w:cs="Arial"/>
                <w:color w:val="auto"/>
                <w:sz w:val="20"/>
                <w:szCs w:val="20"/>
                <w:highlight w:val="none"/>
              </w:rPr>
            </w:pPr>
            <w:r>
              <w:rPr>
                <w:rFonts w:ascii="Arial" w:hAnsi="Arial" w:cs="Arial"/>
                <w:color w:val="auto"/>
                <w:kern w:val="0"/>
                <w:sz w:val="20"/>
                <w:szCs w:val="20"/>
                <w:highlight w:val="none"/>
              </w:rPr>
              <w:t>11</w:t>
            </w:r>
          </w:p>
        </w:tc>
        <w:tc>
          <w:tcPr>
            <w:tcW w:w="4544" w:type="dxa"/>
            <w:shd w:val="clear" w:color="auto" w:fill="FFFFFF"/>
            <w:vAlign w:val="center"/>
          </w:tcPr>
          <w:p w14:paraId="5BE7627C">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电接点压力表(已包含弯管表阀)</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工程内容</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1、压力表、表弯、表阀、取源部件安装</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2、试水</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3、系统调试</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4、完成压力表安装的其他一切相关工程内容及材料费用</w:t>
            </w:r>
          </w:p>
        </w:tc>
        <w:tc>
          <w:tcPr>
            <w:tcW w:w="650" w:type="dxa"/>
            <w:shd w:val="clear" w:color="auto" w:fill="FFFFFF"/>
            <w:vAlign w:val="center"/>
          </w:tcPr>
          <w:p w14:paraId="4465206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个</w:t>
            </w:r>
          </w:p>
        </w:tc>
        <w:tc>
          <w:tcPr>
            <w:tcW w:w="975" w:type="dxa"/>
            <w:shd w:val="clear" w:color="auto" w:fill="FFFFFF"/>
            <w:vAlign w:val="center"/>
          </w:tcPr>
          <w:p w14:paraId="309785E7">
            <w:pPr>
              <w:widowControl/>
              <w:jc w:val="center"/>
              <w:textAlignment w:val="center"/>
              <w:rPr>
                <w:rFonts w:ascii="Arial" w:hAnsi="Arial" w:cs="Arial"/>
                <w:color w:val="auto"/>
                <w:sz w:val="20"/>
                <w:szCs w:val="20"/>
                <w:highlight w:val="none"/>
              </w:rPr>
            </w:pPr>
            <w:r>
              <w:rPr>
                <w:rFonts w:ascii="Arial" w:hAnsi="Arial" w:cs="Arial"/>
                <w:color w:val="auto"/>
                <w:kern w:val="0"/>
                <w:sz w:val="20"/>
                <w:szCs w:val="20"/>
                <w:highlight w:val="none"/>
              </w:rPr>
              <w:t xml:space="preserve"> 2.00 </w:t>
            </w:r>
          </w:p>
        </w:tc>
        <w:tc>
          <w:tcPr>
            <w:tcW w:w="0" w:type="auto"/>
            <w:shd w:val="clear" w:color="auto" w:fill="auto"/>
            <w:noWrap/>
            <w:vAlign w:val="center"/>
          </w:tcPr>
          <w:p w14:paraId="25730BAE">
            <w:pPr>
              <w:jc w:val="center"/>
              <w:rPr>
                <w:rFonts w:ascii="Arial" w:hAnsi="Arial" w:cs="Arial"/>
                <w:color w:val="auto"/>
                <w:sz w:val="20"/>
                <w:szCs w:val="20"/>
                <w:highlight w:val="none"/>
              </w:rPr>
            </w:pPr>
          </w:p>
        </w:tc>
      </w:tr>
    </w:tbl>
    <w:p w14:paraId="487A1BD3">
      <w:pPr>
        <w:pStyle w:val="2"/>
        <w:rPr>
          <w:color w:val="auto"/>
          <w:highlight w:val="none"/>
        </w:rPr>
      </w:pPr>
    </w:p>
    <w:tbl>
      <w:tblPr>
        <w:tblStyle w:val="21"/>
        <w:tblW w:w="8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6"/>
        <w:gridCol w:w="4544"/>
        <w:gridCol w:w="650"/>
        <w:gridCol w:w="975"/>
        <w:gridCol w:w="780"/>
      </w:tblGrid>
      <w:tr w14:paraId="7C9E4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265" w:type="dxa"/>
            <w:gridSpan w:val="5"/>
            <w:shd w:val="clear" w:color="auto" w:fill="auto"/>
            <w:noWrap/>
            <w:vAlign w:val="center"/>
          </w:tcPr>
          <w:p w14:paraId="6084C574">
            <w:pPr>
              <w:rPr>
                <w:rFonts w:ascii="宋体" w:hAnsi="宋体" w:cs="宋体"/>
                <w:color w:val="auto"/>
                <w:sz w:val="18"/>
                <w:szCs w:val="18"/>
                <w:highlight w:val="none"/>
              </w:rPr>
            </w:pPr>
            <w:r>
              <w:rPr>
                <w:rFonts w:hint="eastAsia" w:ascii="宋体" w:hAnsi="宋体" w:cs="宋体"/>
                <w:color w:val="auto"/>
                <w:kern w:val="0"/>
                <w:sz w:val="20"/>
                <w:szCs w:val="20"/>
                <w:highlight w:val="none"/>
              </w:rPr>
              <w:t>工程名称：奉化区FH24-02-09a地块建设项目空气能热水系统-3#楼</w:t>
            </w:r>
          </w:p>
        </w:tc>
      </w:tr>
      <w:tr w14:paraId="249E1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316" w:type="dxa"/>
            <w:vMerge w:val="restart"/>
            <w:shd w:val="clear" w:color="auto" w:fill="auto"/>
            <w:vAlign w:val="center"/>
          </w:tcPr>
          <w:p w14:paraId="0B1E244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序号</w:t>
            </w:r>
          </w:p>
        </w:tc>
        <w:tc>
          <w:tcPr>
            <w:tcW w:w="4544" w:type="dxa"/>
            <w:vMerge w:val="restart"/>
            <w:shd w:val="clear" w:color="auto" w:fill="auto"/>
            <w:vAlign w:val="center"/>
          </w:tcPr>
          <w:p w14:paraId="7D260A8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项目名称</w:t>
            </w:r>
          </w:p>
        </w:tc>
        <w:tc>
          <w:tcPr>
            <w:tcW w:w="650" w:type="dxa"/>
            <w:vMerge w:val="restart"/>
            <w:shd w:val="clear" w:color="auto" w:fill="auto"/>
            <w:vAlign w:val="center"/>
          </w:tcPr>
          <w:p w14:paraId="4292DE9E">
            <w:pPr>
              <w:widowControl/>
              <w:jc w:val="center"/>
              <w:textAlignment w:val="center"/>
              <w:rPr>
                <w:rFonts w:ascii="Arial" w:hAnsi="Arial" w:cs="Arial"/>
                <w:color w:val="auto"/>
                <w:sz w:val="20"/>
                <w:szCs w:val="20"/>
                <w:highlight w:val="none"/>
              </w:rPr>
            </w:pPr>
            <w:r>
              <w:rPr>
                <w:rFonts w:hint="eastAsia" w:ascii="宋体" w:hAnsi="宋体" w:cs="宋体"/>
                <w:color w:val="auto"/>
                <w:kern w:val="0"/>
                <w:sz w:val="20"/>
                <w:szCs w:val="20"/>
                <w:highlight w:val="none"/>
              </w:rPr>
              <w:t>计量</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单位</w:t>
            </w:r>
          </w:p>
        </w:tc>
        <w:tc>
          <w:tcPr>
            <w:tcW w:w="975" w:type="dxa"/>
            <w:vMerge w:val="restart"/>
            <w:shd w:val="clear" w:color="auto" w:fill="auto"/>
            <w:vAlign w:val="center"/>
          </w:tcPr>
          <w:p w14:paraId="4CA20E63">
            <w:pPr>
              <w:widowControl/>
              <w:jc w:val="center"/>
              <w:textAlignment w:val="center"/>
              <w:rPr>
                <w:rFonts w:ascii="Arial" w:hAnsi="Arial" w:cs="Arial"/>
                <w:color w:val="auto"/>
                <w:sz w:val="20"/>
                <w:szCs w:val="20"/>
                <w:highlight w:val="none"/>
              </w:rPr>
            </w:pPr>
            <w:r>
              <w:rPr>
                <w:rFonts w:hint="eastAsia" w:ascii="宋体" w:hAnsi="宋体" w:cs="宋体"/>
                <w:color w:val="auto"/>
                <w:kern w:val="0"/>
                <w:sz w:val="20"/>
                <w:szCs w:val="20"/>
                <w:highlight w:val="none"/>
              </w:rPr>
              <w:t>工程量</w:t>
            </w:r>
          </w:p>
        </w:tc>
        <w:tc>
          <w:tcPr>
            <w:tcW w:w="0" w:type="auto"/>
            <w:vMerge w:val="restart"/>
            <w:shd w:val="clear" w:color="auto" w:fill="auto"/>
            <w:noWrap/>
            <w:vAlign w:val="center"/>
          </w:tcPr>
          <w:p w14:paraId="380DFEE2">
            <w:pPr>
              <w:widowControl/>
              <w:jc w:val="center"/>
              <w:textAlignment w:val="center"/>
              <w:rPr>
                <w:rFonts w:ascii="Arial" w:hAnsi="Arial" w:cs="Arial"/>
                <w:b/>
                <w:bCs/>
                <w:color w:val="auto"/>
                <w:sz w:val="20"/>
                <w:szCs w:val="20"/>
                <w:highlight w:val="none"/>
              </w:rPr>
            </w:pPr>
            <w:r>
              <w:rPr>
                <w:rFonts w:hint="eastAsia" w:ascii="宋体" w:hAnsi="宋体" w:cs="宋体"/>
                <w:b/>
                <w:bCs/>
                <w:color w:val="auto"/>
                <w:kern w:val="0"/>
                <w:sz w:val="20"/>
                <w:szCs w:val="20"/>
                <w:highlight w:val="none"/>
              </w:rPr>
              <w:t>备注</w:t>
            </w:r>
          </w:p>
        </w:tc>
      </w:tr>
      <w:tr w14:paraId="23675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316" w:type="dxa"/>
            <w:vMerge w:val="continue"/>
            <w:shd w:val="clear" w:color="auto" w:fill="auto"/>
            <w:vAlign w:val="center"/>
          </w:tcPr>
          <w:p w14:paraId="7747C12F">
            <w:pPr>
              <w:jc w:val="center"/>
              <w:rPr>
                <w:rFonts w:ascii="宋体" w:hAnsi="宋体" w:cs="宋体"/>
                <w:color w:val="auto"/>
                <w:sz w:val="20"/>
                <w:szCs w:val="20"/>
                <w:highlight w:val="none"/>
              </w:rPr>
            </w:pPr>
          </w:p>
        </w:tc>
        <w:tc>
          <w:tcPr>
            <w:tcW w:w="4544" w:type="dxa"/>
            <w:vMerge w:val="continue"/>
            <w:shd w:val="clear" w:color="auto" w:fill="auto"/>
            <w:vAlign w:val="center"/>
          </w:tcPr>
          <w:p w14:paraId="2B59B1D3">
            <w:pPr>
              <w:jc w:val="center"/>
              <w:rPr>
                <w:rFonts w:ascii="宋体" w:hAnsi="宋体" w:cs="宋体"/>
                <w:color w:val="auto"/>
                <w:sz w:val="20"/>
                <w:szCs w:val="20"/>
                <w:highlight w:val="none"/>
              </w:rPr>
            </w:pPr>
          </w:p>
        </w:tc>
        <w:tc>
          <w:tcPr>
            <w:tcW w:w="650" w:type="dxa"/>
            <w:vMerge w:val="continue"/>
            <w:shd w:val="clear" w:color="auto" w:fill="auto"/>
            <w:vAlign w:val="center"/>
          </w:tcPr>
          <w:p w14:paraId="11E8D653">
            <w:pPr>
              <w:jc w:val="center"/>
              <w:rPr>
                <w:rFonts w:ascii="Arial" w:hAnsi="Arial" w:cs="Arial"/>
                <w:color w:val="auto"/>
                <w:sz w:val="20"/>
                <w:szCs w:val="20"/>
                <w:highlight w:val="none"/>
              </w:rPr>
            </w:pPr>
          </w:p>
        </w:tc>
        <w:tc>
          <w:tcPr>
            <w:tcW w:w="975" w:type="dxa"/>
            <w:vMerge w:val="continue"/>
            <w:shd w:val="clear" w:color="auto" w:fill="auto"/>
            <w:vAlign w:val="center"/>
          </w:tcPr>
          <w:p w14:paraId="3676F23E">
            <w:pPr>
              <w:jc w:val="center"/>
              <w:rPr>
                <w:rFonts w:ascii="Arial" w:hAnsi="Arial" w:cs="Arial"/>
                <w:color w:val="auto"/>
                <w:sz w:val="20"/>
                <w:szCs w:val="20"/>
                <w:highlight w:val="none"/>
              </w:rPr>
            </w:pPr>
          </w:p>
        </w:tc>
        <w:tc>
          <w:tcPr>
            <w:tcW w:w="0" w:type="auto"/>
            <w:vMerge w:val="continue"/>
            <w:shd w:val="clear" w:color="auto" w:fill="auto"/>
            <w:noWrap/>
            <w:vAlign w:val="center"/>
          </w:tcPr>
          <w:p w14:paraId="203899D3">
            <w:pPr>
              <w:jc w:val="center"/>
              <w:rPr>
                <w:rFonts w:ascii="Arial" w:hAnsi="Arial" w:cs="Arial"/>
                <w:b/>
                <w:bCs/>
                <w:color w:val="auto"/>
                <w:sz w:val="20"/>
                <w:szCs w:val="20"/>
                <w:highlight w:val="none"/>
              </w:rPr>
            </w:pPr>
          </w:p>
        </w:tc>
      </w:tr>
      <w:tr w14:paraId="2F965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1316" w:type="dxa"/>
            <w:shd w:val="clear" w:color="auto" w:fill="FFFFFF"/>
            <w:vAlign w:val="center"/>
          </w:tcPr>
          <w:p w14:paraId="32046819">
            <w:pPr>
              <w:widowControl/>
              <w:jc w:val="center"/>
              <w:textAlignment w:val="center"/>
              <w:rPr>
                <w:rFonts w:ascii="Arial" w:hAnsi="Arial" w:cs="Arial"/>
                <w:color w:val="auto"/>
                <w:sz w:val="20"/>
                <w:szCs w:val="20"/>
                <w:highlight w:val="none"/>
              </w:rPr>
            </w:pPr>
            <w:r>
              <w:rPr>
                <w:rFonts w:ascii="Arial" w:hAnsi="Arial" w:cs="Arial"/>
                <w:color w:val="auto"/>
                <w:kern w:val="0"/>
                <w:sz w:val="20"/>
                <w:szCs w:val="20"/>
                <w:highlight w:val="none"/>
              </w:rPr>
              <w:t>1</w:t>
            </w:r>
          </w:p>
        </w:tc>
        <w:tc>
          <w:tcPr>
            <w:tcW w:w="4544" w:type="dxa"/>
            <w:shd w:val="clear" w:color="auto" w:fill="FFFFFF"/>
            <w:vAlign w:val="center"/>
          </w:tcPr>
          <w:p w14:paraId="30AEF95F">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空气源热泵机组（含空气源热泵主机输入功率0.84kW，制热量3.71kW、200L带保温承压水箱、水箱上安全阀、排气阀、控制面板、控制线、水箱上电接点温度计及主机至水箱的热媒管道）</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工程内容</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1.空气源热泵成套安装</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2.完成空气源热泵安装的其他一切相关工程内容及材料费用</w:t>
            </w:r>
          </w:p>
        </w:tc>
        <w:tc>
          <w:tcPr>
            <w:tcW w:w="650" w:type="dxa"/>
            <w:shd w:val="clear" w:color="auto" w:fill="FFFFFF"/>
            <w:vAlign w:val="center"/>
          </w:tcPr>
          <w:p w14:paraId="71740E6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套</w:t>
            </w:r>
          </w:p>
        </w:tc>
        <w:tc>
          <w:tcPr>
            <w:tcW w:w="975" w:type="dxa"/>
            <w:shd w:val="clear" w:color="auto" w:fill="FFFFFF"/>
            <w:vAlign w:val="center"/>
          </w:tcPr>
          <w:p w14:paraId="641CF341">
            <w:pPr>
              <w:widowControl/>
              <w:jc w:val="center"/>
              <w:textAlignment w:val="center"/>
              <w:rPr>
                <w:rFonts w:ascii="Arial" w:hAnsi="Arial" w:cs="Arial"/>
                <w:color w:val="auto"/>
                <w:sz w:val="20"/>
                <w:szCs w:val="20"/>
                <w:highlight w:val="none"/>
              </w:rPr>
            </w:pPr>
            <w:r>
              <w:rPr>
                <w:rFonts w:ascii="Arial" w:hAnsi="Arial" w:cs="Arial"/>
                <w:color w:val="auto"/>
                <w:kern w:val="0"/>
                <w:sz w:val="20"/>
                <w:szCs w:val="20"/>
                <w:highlight w:val="none"/>
              </w:rPr>
              <w:t xml:space="preserve"> 1.00 </w:t>
            </w:r>
          </w:p>
        </w:tc>
        <w:tc>
          <w:tcPr>
            <w:tcW w:w="0" w:type="auto"/>
            <w:shd w:val="clear" w:color="auto" w:fill="auto"/>
            <w:noWrap/>
            <w:vAlign w:val="center"/>
          </w:tcPr>
          <w:p w14:paraId="7FBC2297">
            <w:pPr>
              <w:jc w:val="center"/>
              <w:rPr>
                <w:rFonts w:ascii="Arial" w:hAnsi="Arial" w:cs="Arial"/>
                <w:color w:val="auto"/>
                <w:sz w:val="20"/>
                <w:szCs w:val="20"/>
                <w:highlight w:val="none"/>
              </w:rPr>
            </w:pPr>
          </w:p>
        </w:tc>
      </w:tr>
      <w:tr w14:paraId="0BCBD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1316" w:type="dxa"/>
            <w:shd w:val="clear" w:color="auto" w:fill="FFFFFF"/>
            <w:vAlign w:val="center"/>
          </w:tcPr>
          <w:p w14:paraId="4EBF3CD5">
            <w:pPr>
              <w:widowControl/>
              <w:jc w:val="center"/>
              <w:textAlignment w:val="center"/>
              <w:rPr>
                <w:rFonts w:ascii="Arial" w:hAnsi="Arial" w:cs="Arial"/>
                <w:color w:val="auto"/>
                <w:sz w:val="20"/>
                <w:szCs w:val="20"/>
                <w:highlight w:val="none"/>
              </w:rPr>
            </w:pPr>
            <w:r>
              <w:rPr>
                <w:rFonts w:ascii="Arial" w:hAnsi="Arial" w:cs="Arial"/>
                <w:color w:val="auto"/>
                <w:kern w:val="0"/>
                <w:sz w:val="20"/>
                <w:szCs w:val="20"/>
                <w:highlight w:val="none"/>
              </w:rPr>
              <w:t>2</w:t>
            </w:r>
          </w:p>
        </w:tc>
        <w:tc>
          <w:tcPr>
            <w:tcW w:w="4544" w:type="dxa"/>
            <w:shd w:val="clear" w:color="auto" w:fill="FFFFFF"/>
            <w:vAlign w:val="center"/>
          </w:tcPr>
          <w:p w14:paraId="37662462">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循环泵H=7m，N=120W，Q=40L/min（采用热水型、防雨型水泵,且顶设置防雨罩）</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工程内容</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1.安装</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2.水压试验</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3.完成循环泵安装的其他一切相关工程内容及材料费用</w:t>
            </w:r>
          </w:p>
        </w:tc>
        <w:tc>
          <w:tcPr>
            <w:tcW w:w="650" w:type="dxa"/>
            <w:shd w:val="clear" w:color="auto" w:fill="FFFFFF"/>
            <w:vAlign w:val="center"/>
          </w:tcPr>
          <w:p w14:paraId="3BCA95D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套</w:t>
            </w:r>
          </w:p>
        </w:tc>
        <w:tc>
          <w:tcPr>
            <w:tcW w:w="975" w:type="dxa"/>
            <w:shd w:val="clear" w:color="auto" w:fill="FFFFFF"/>
            <w:vAlign w:val="center"/>
          </w:tcPr>
          <w:p w14:paraId="29A21414">
            <w:pPr>
              <w:widowControl/>
              <w:jc w:val="center"/>
              <w:textAlignment w:val="center"/>
              <w:rPr>
                <w:rFonts w:ascii="Arial" w:hAnsi="Arial" w:cs="Arial"/>
                <w:color w:val="auto"/>
                <w:sz w:val="20"/>
                <w:szCs w:val="20"/>
                <w:highlight w:val="none"/>
              </w:rPr>
            </w:pPr>
            <w:r>
              <w:rPr>
                <w:rFonts w:ascii="Arial" w:hAnsi="Arial" w:cs="Arial"/>
                <w:color w:val="auto"/>
                <w:kern w:val="0"/>
                <w:sz w:val="20"/>
                <w:szCs w:val="20"/>
                <w:highlight w:val="none"/>
              </w:rPr>
              <w:t xml:space="preserve"> 2.00 </w:t>
            </w:r>
          </w:p>
        </w:tc>
        <w:tc>
          <w:tcPr>
            <w:tcW w:w="0" w:type="auto"/>
            <w:shd w:val="clear" w:color="auto" w:fill="auto"/>
            <w:noWrap/>
            <w:vAlign w:val="center"/>
          </w:tcPr>
          <w:p w14:paraId="6E08A7EA">
            <w:pPr>
              <w:jc w:val="center"/>
              <w:rPr>
                <w:rFonts w:ascii="Arial" w:hAnsi="Arial" w:cs="Arial"/>
                <w:color w:val="auto"/>
                <w:sz w:val="20"/>
                <w:szCs w:val="20"/>
                <w:highlight w:val="none"/>
              </w:rPr>
            </w:pPr>
          </w:p>
        </w:tc>
      </w:tr>
      <w:tr w14:paraId="10219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316" w:type="dxa"/>
            <w:shd w:val="clear" w:color="auto" w:fill="FFFFFF"/>
            <w:vAlign w:val="center"/>
          </w:tcPr>
          <w:p w14:paraId="2229C0FA">
            <w:pPr>
              <w:widowControl/>
              <w:jc w:val="center"/>
              <w:textAlignment w:val="center"/>
              <w:rPr>
                <w:rFonts w:ascii="Arial" w:hAnsi="Arial" w:cs="Arial"/>
                <w:color w:val="auto"/>
                <w:sz w:val="20"/>
                <w:szCs w:val="20"/>
                <w:highlight w:val="none"/>
              </w:rPr>
            </w:pPr>
            <w:r>
              <w:rPr>
                <w:rFonts w:ascii="Arial" w:hAnsi="Arial" w:cs="Arial"/>
                <w:color w:val="auto"/>
                <w:kern w:val="0"/>
                <w:sz w:val="20"/>
                <w:szCs w:val="20"/>
                <w:highlight w:val="none"/>
              </w:rPr>
              <w:t>3</w:t>
            </w:r>
          </w:p>
        </w:tc>
        <w:tc>
          <w:tcPr>
            <w:tcW w:w="4544" w:type="dxa"/>
            <w:shd w:val="clear" w:color="auto" w:fill="FFFFFF"/>
            <w:vAlign w:val="center"/>
          </w:tcPr>
          <w:p w14:paraId="52615910">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PP-R冷水管Φ25(热熔连接)</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工程内容</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1、管道、管件、止水环、伸缩节、阻火圈、堵头等及弯管的制作.安装</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2、综合考虑在砖墙、混凝土、各类砌体上凿槽、刨沟及修补，板槽施工及修补，孔洞打凿及修补</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3、支架制作安装</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4、除锈、刷油、防腐</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5、挖填土方</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6、管道消毒、冲洗</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7、水压及泄漏试验</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8、系统调试</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9、完成管道安装的其他一切相关工程内容及材料费用</w:t>
            </w:r>
          </w:p>
        </w:tc>
        <w:tc>
          <w:tcPr>
            <w:tcW w:w="650" w:type="dxa"/>
            <w:shd w:val="clear" w:color="auto" w:fill="FFFFFF"/>
            <w:vAlign w:val="center"/>
          </w:tcPr>
          <w:p w14:paraId="46190A7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m</w:t>
            </w:r>
          </w:p>
        </w:tc>
        <w:tc>
          <w:tcPr>
            <w:tcW w:w="975" w:type="dxa"/>
            <w:shd w:val="clear" w:color="auto" w:fill="FFFFFF"/>
            <w:vAlign w:val="center"/>
          </w:tcPr>
          <w:p w14:paraId="7BEE7B26">
            <w:pPr>
              <w:widowControl/>
              <w:jc w:val="center"/>
              <w:textAlignment w:val="center"/>
              <w:rPr>
                <w:rFonts w:ascii="Arial" w:hAnsi="Arial" w:cs="Arial"/>
                <w:color w:val="auto"/>
                <w:sz w:val="20"/>
                <w:szCs w:val="20"/>
                <w:highlight w:val="none"/>
              </w:rPr>
            </w:pPr>
            <w:r>
              <w:rPr>
                <w:rFonts w:ascii="Arial" w:hAnsi="Arial" w:cs="Arial"/>
                <w:color w:val="auto"/>
                <w:kern w:val="0"/>
                <w:sz w:val="20"/>
                <w:szCs w:val="20"/>
                <w:highlight w:val="none"/>
              </w:rPr>
              <w:t xml:space="preserve"> 4.00 </w:t>
            </w:r>
          </w:p>
        </w:tc>
        <w:tc>
          <w:tcPr>
            <w:tcW w:w="0" w:type="auto"/>
            <w:shd w:val="clear" w:color="auto" w:fill="auto"/>
            <w:noWrap/>
            <w:vAlign w:val="center"/>
          </w:tcPr>
          <w:p w14:paraId="5BE99D63">
            <w:pPr>
              <w:jc w:val="center"/>
              <w:rPr>
                <w:rFonts w:ascii="Arial" w:hAnsi="Arial" w:cs="Arial"/>
                <w:color w:val="auto"/>
                <w:sz w:val="20"/>
                <w:szCs w:val="20"/>
                <w:highlight w:val="none"/>
              </w:rPr>
            </w:pPr>
          </w:p>
        </w:tc>
      </w:tr>
      <w:tr w14:paraId="6E6EA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316" w:type="dxa"/>
            <w:shd w:val="clear" w:color="auto" w:fill="FFFFFF"/>
            <w:vAlign w:val="center"/>
          </w:tcPr>
          <w:p w14:paraId="410D7059">
            <w:pPr>
              <w:widowControl/>
              <w:jc w:val="center"/>
              <w:textAlignment w:val="center"/>
              <w:rPr>
                <w:rFonts w:ascii="Arial" w:hAnsi="Arial" w:cs="Arial"/>
                <w:color w:val="auto"/>
                <w:sz w:val="20"/>
                <w:szCs w:val="20"/>
                <w:highlight w:val="none"/>
              </w:rPr>
            </w:pPr>
            <w:r>
              <w:rPr>
                <w:rFonts w:ascii="Arial" w:hAnsi="Arial" w:cs="Arial"/>
                <w:color w:val="auto"/>
                <w:kern w:val="0"/>
                <w:sz w:val="20"/>
                <w:szCs w:val="20"/>
                <w:highlight w:val="none"/>
              </w:rPr>
              <w:t>4</w:t>
            </w:r>
          </w:p>
        </w:tc>
        <w:tc>
          <w:tcPr>
            <w:tcW w:w="4544" w:type="dxa"/>
            <w:shd w:val="clear" w:color="auto" w:fill="FFFFFF"/>
            <w:vAlign w:val="center"/>
          </w:tcPr>
          <w:p w14:paraId="37EA24B9">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PP-R热水管Φ20(热熔连接)</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工程内容</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1、管道、管件、止水环、伸缩节、阻火圈、堵头等及弯管的制作.安装</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2、综合考虑在砖墙、混凝土、各类砌体上凿槽、刨沟及修补，板槽施工及修补，孔洞打凿及修补</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3、支架制作安装</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4、除锈、刷油、防腐</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5、挖填土方</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6、管道消毒、冲洗</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7、水压及泄漏试验</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8、系统调试</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9、完成管道安装的其他一切相关工程内容及材料费用</w:t>
            </w:r>
          </w:p>
        </w:tc>
        <w:tc>
          <w:tcPr>
            <w:tcW w:w="650" w:type="dxa"/>
            <w:shd w:val="clear" w:color="auto" w:fill="FFFFFF"/>
            <w:vAlign w:val="center"/>
          </w:tcPr>
          <w:p w14:paraId="5BCCCCA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m</w:t>
            </w:r>
          </w:p>
        </w:tc>
        <w:tc>
          <w:tcPr>
            <w:tcW w:w="975" w:type="dxa"/>
            <w:shd w:val="clear" w:color="auto" w:fill="FFFFFF"/>
            <w:vAlign w:val="center"/>
          </w:tcPr>
          <w:p w14:paraId="1F3F042A">
            <w:pPr>
              <w:widowControl/>
              <w:jc w:val="center"/>
              <w:textAlignment w:val="center"/>
              <w:rPr>
                <w:rFonts w:ascii="Arial" w:hAnsi="Arial" w:cs="Arial"/>
                <w:color w:val="auto"/>
                <w:sz w:val="20"/>
                <w:szCs w:val="20"/>
                <w:highlight w:val="none"/>
              </w:rPr>
            </w:pPr>
            <w:r>
              <w:rPr>
                <w:rFonts w:ascii="Arial" w:hAnsi="Arial" w:cs="Arial"/>
                <w:color w:val="auto"/>
                <w:kern w:val="0"/>
                <w:sz w:val="20"/>
                <w:szCs w:val="20"/>
                <w:highlight w:val="none"/>
              </w:rPr>
              <w:t xml:space="preserve"> 4.00 </w:t>
            </w:r>
          </w:p>
        </w:tc>
        <w:tc>
          <w:tcPr>
            <w:tcW w:w="0" w:type="auto"/>
            <w:shd w:val="clear" w:color="auto" w:fill="auto"/>
            <w:noWrap/>
            <w:vAlign w:val="center"/>
          </w:tcPr>
          <w:p w14:paraId="191A6899">
            <w:pPr>
              <w:jc w:val="center"/>
              <w:rPr>
                <w:rFonts w:ascii="Arial" w:hAnsi="Arial" w:cs="Arial"/>
                <w:color w:val="auto"/>
                <w:sz w:val="20"/>
                <w:szCs w:val="20"/>
                <w:highlight w:val="none"/>
              </w:rPr>
            </w:pPr>
          </w:p>
        </w:tc>
      </w:tr>
      <w:tr w14:paraId="5A896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316" w:type="dxa"/>
            <w:shd w:val="clear" w:color="auto" w:fill="FFFFFF"/>
            <w:vAlign w:val="center"/>
          </w:tcPr>
          <w:p w14:paraId="11B62467">
            <w:pPr>
              <w:widowControl/>
              <w:jc w:val="center"/>
              <w:textAlignment w:val="center"/>
              <w:rPr>
                <w:rFonts w:ascii="Arial" w:hAnsi="Arial" w:cs="Arial"/>
                <w:color w:val="auto"/>
                <w:sz w:val="20"/>
                <w:szCs w:val="20"/>
                <w:highlight w:val="none"/>
              </w:rPr>
            </w:pPr>
            <w:r>
              <w:rPr>
                <w:rFonts w:ascii="Arial" w:hAnsi="Arial" w:cs="Arial"/>
                <w:color w:val="auto"/>
                <w:kern w:val="0"/>
                <w:sz w:val="20"/>
                <w:szCs w:val="20"/>
                <w:highlight w:val="none"/>
              </w:rPr>
              <w:t>5</w:t>
            </w:r>
          </w:p>
        </w:tc>
        <w:tc>
          <w:tcPr>
            <w:tcW w:w="4544" w:type="dxa"/>
            <w:shd w:val="clear" w:color="auto" w:fill="FFFFFF"/>
            <w:vAlign w:val="center"/>
          </w:tcPr>
          <w:p w14:paraId="0145B5AA">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PP-R热水管Φ25(热熔连接)</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工程内容</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1、管道、管件、止水环、伸缩节、阻火圈、堵头等及弯管的制作.安装</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2、综合考虑在砖墙、混凝土、各类砌体上凿槽、刨沟及修补，板槽施工及修补，孔洞打凿及修补</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3、支架制作安装</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4、除锈、刷油、防腐</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5、挖填土方</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6、管道消毒、冲洗</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7、水压及泄漏试验</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8、系统调试</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9、完成管道安装的其他一切相关工程内容及材料费用</w:t>
            </w:r>
          </w:p>
        </w:tc>
        <w:tc>
          <w:tcPr>
            <w:tcW w:w="650" w:type="dxa"/>
            <w:shd w:val="clear" w:color="auto" w:fill="FFFFFF"/>
            <w:vAlign w:val="center"/>
          </w:tcPr>
          <w:p w14:paraId="594DAEA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m</w:t>
            </w:r>
          </w:p>
        </w:tc>
        <w:tc>
          <w:tcPr>
            <w:tcW w:w="975" w:type="dxa"/>
            <w:shd w:val="clear" w:color="auto" w:fill="FFFFFF"/>
            <w:vAlign w:val="center"/>
          </w:tcPr>
          <w:p w14:paraId="556FACB4">
            <w:pPr>
              <w:widowControl/>
              <w:jc w:val="center"/>
              <w:textAlignment w:val="center"/>
              <w:rPr>
                <w:rFonts w:ascii="Arial" w:hAnsi="Arial" w:cs="Arial"/>
                <w:color w:val="auto"/>
                <w:sz w:val="20"/>
                <w:szCs w:val="20"/>
                <w:highlight w:val="none"/>
              </w:rPr>
            </w:pPr>
            <w:r>
              <w:rPr>
                <w:rFonts w:ascii="Arial" w:hAnsi="Arial" w:cs="Arial"/>
                <w:color w:val="auto"/>
                <w:kern w:val="0"/>
                <w:sz w:val="20"/>
                <w:szCs w:val="20"/>
                <w:highlight w:val="none"/>
              </w:rPr>
              <w:t xml:space="preserve"> 4.00 </w:t>
            </w:r>
          </w:p>
        </w:tc>
        <w:tc>
          <w:tcPr>
            <w:tcW w:w="0" w:type="auto"/>
            <w:shd w:val="clear" w:color="auto" w:fill="auto"/>
            <w:noWrap/>
            <w:vAlign w:val="center"/>
          </w:tcPr>
          <w:p w14:paraId="3E155CD3">
            <w:pPr>
              <w:jc w:val="center"/>
              <w:rPr>
                <w:rFonts w:ascii="Arial" w:hAnsi="Arial" w:cs="Arial"/>
                <w:color w:val="auto"/>
                <w:sz w:val="20"/>
                <w:szCs w:val="20"/>
                <w:highlight w:val="none"/>
              </w:rPr>
            </w:pPr>
          </w:p>
        </w:tc>
      </w:tr>
      <w:tr w14:paraId="42426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1316" w:type="dxa"/>
            <w:shd w:val="clear" w:color="auto" w:fill="FFFFFF"/>
            <w:vAlign w:val="center"/>
          </w:tcPr>
          <w:p w14:paraId="00F97411">
            <w:pPr>
              <w:widowControl/>
              <w:jc w:val="center"/>
              <w:textAlignment w:val="center"/>
              <w:rPr>
                <w:rFonts w:ascii="Arial" w:hAnsi="Arial" w:cs="Arial"/>
                <w:color w:val="auto"/>
                <w:sz w:val="20"/>
                <w:szCs w:val="20"/>
                <w:highlight w:val="none"/>
              </w:rPr>
            </w:pPr>
            <w:r>
              <w:rPr>
                <w:rFonts w:ascii="Arial" w:hAnsi="Arial" w:cs="Arial"/>
                <w:color w:val="auto"/>
                <w:kern w:val="0"/>
                <w:sz w:val="20"/>
                <w:szCs w:val="20"/>
                <w:highlight w:val="none"/>
              </w:rPr>
              <w:t>6</w:t>
            </w:r>
          </w:p>
        </w:tc>
        <w:tc>
          <w:tcPr>
            <w:tcW w:w="4544" w:type="dxa"/>
            <w:shd w:val="clear" w:color="auto" w:fill="auto"/>
            <w:vAlign w:val="center"/>
          </w:tcPr>
          <w:p w14:paraId="4A65262A">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管道保温  橡塑保温保温厚度30mm，外部采用铝皮保护</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工程内容</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1、管道绝热及保护层安装、除锈、刷油 </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2、系统调试</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3、完成管道保温安装及其他一切相关工作内容及材料费用</w:t>
            </w:r>
          </w:p>
        </w:tc>
        <w:tc>
          <w:tcPr>
            <w:tcW w:w="650" w:type="dxa"/>
            <w:shd w:val="clear" w:color="auto" w:fill="auto"/>
            <w:vAlign w:val="center"/>
          </w:tcPr>
          <w:p w14:paraId="21D37D65">
            <w:pPr>
              <w:widowControl/>
              <w:jc w:val="center"/>
              <w:textAlignment w:val="center"/>
              <w:rPr>
                <w:rFonts w:ascii="Arial" w:hAnsi="Arial" w:cs="Arial"/>
                <w:color w:val="auto"/>
                <w:sz w:val="20"/>
                <w:szCs w:val="20"/>
                <w:highlight w:val="none"/>
              </w:rPr>
            </w:pPr>
            <w:r>
              <w:rPr>
                <w:rFonts w:ascii="Arial" w:hAnsi="Arial" w:cs="Arial"/>
                <w:color w:val="auto"/>
                <w:kern w:val="0"/>
                <w:sz w:val="20"/>
                <w:szCs w:val="20"/>
                <w:highlight w:val="none"/>
              </w:rPr>
              <w:t>m</w:t>
            </w:r>
          </w:p>
        </w:tc>
        <w:tc>
          <w:tcPr>
            <w:tcW w:w="975" w:type="dxa"/>
            <w:shd w:val="clear" w:color="auto" w:fill="auto"/>
            <w:vAlign w:val="center"/>
          </w:tcPr>
          <w:p w14:paraId="7E992688">
            <w:pPr>
              <w:widowControl/>
              <w:jc w:val="center"/>
              <w:textAlignment w:val="center"/>
              <w:rPr>
                <w:rFonts w:ascii="Arial" w:hAnsi="Arial" w:cs="Arial"/>
                <w:color w:val="auto"/>
                <w:sz w:val="20"/>
                <w:szCs w:val="20"/>
                <w:highlight w:val="none"/>
              </w:rPr>
            </w:pPr>
            <w:r>
              <w:rPr>
                <w:rFonts w:ascii="Arial" w:hAnsi="Arial" w:cs="Arial"/>
                <w:color w:val="auto"/>
                <w:kern w:val="0"/>
                <w:sz w:val="20"/>
                <w:szCs w:val="20"/>
                <w:highlight w:val="none"/>
              </w:rPr>
              <w:t xml:space="preserve"> 12.00 </w:t>
            </w:r>
          </w:p>
        </w:tc>
        <w:tc>
          <w:tcPr>
            <w:tcW w:w="0" w:type="auto"/>
            <w:shd w:val="clear" w:color="auto" w:fill="auto"/>
            <w:noWrap/>
            <w:vAlign w:val="center"/>
          </w:tcPr>
          <w:p w14:paraId="00949B39">
            <w:pPr>
              <w:jc w:val="center"/>
              <w:rPr>
                <w:rFonts w:ascii="Arial" w:hAnsi="Arial" w:cs="Arial"/>
                <w:color w:val="auto"/>
                <w:sz w:val="20"/>
                <w:szCs w:val="20"/>
                <w:highlight w:val="none"/>
              </w:rPr>
            </w:pPr>
          </w:p>
        </w:tc>
      </w:tr>
      <w:tr w14:paraId="75182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1316" w:type="dxa"/>
            <w:shd w:val="clear" w:color="auto" w:fill="FFFFFF"/>
            <w:vAlign w:val="center"/>
          </w:tcPr>
          <w:p w14:paraId="20FF17AC">
            <w:pPr>
              <w:widowControl/>
              <w:jc w:val="center"/>
              <w:textAlignment w:val="center"/>
              <w:rPr>
                <w:rFonts w:ascii="Arial" w:hAnsi="Arial" w:cs="Arial"/>
                <w:color w:val="auto"/>
                <w:sz w:val="20"/>
                <w:szCs w:val="20"/>
                <w:highlight w:val="none"/>
              </w:rPr>
            </w:pPr>
            <w:r>
              <w:rPr>
                <w:rFonts w:ascii="Arial" w:hAnsi="Arial" w:cs="Arial"/>
                <w:color w:val="auto"/>
                <w:kern w:val="0"/>
                <w:sz w:val="20"/>
                <w:szCs w:val="20"/>
                <w:highlight w:val="none"/>
              </w:rPr>
              <w:t>7</w:t>
            </w:r>
          </w:p>
        </w:tc>
        <w:tc>
          <w:tcPr>
            <w:tcW w:w="4544" w:type="dxa"/>
            <w:shd w:val="clear" w:color="auto" w:fill="FFFFFF"/>
            <w:vAlign w:val="center"/>
          </w:tcPr>
          <w:p w14:paraId="459B108C">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球阀 DN20</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工程内容</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1、安装</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2、水压试验</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3、系统调试</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4、完成阀门安装的其他一切相关工程内容及材料费用</w:t>
            </w:r>
          </w:p>
        </w:tc>
        <w:tc>
          <w:tcPr>
            <w:tcW w:w="650" w:type="dxa"/>
            <w:shd w:val="clear" w:color="auto" w:fill="FFFFFF"/>
            <w:vAlign w:val="center"/>
          </w:tcPr>
          <w:p w14:paraId="55AB480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个</w:t>
            </w:r>
          </w:p>
        </w:tc>
        <w:tc>
          <w:tcPr>
            <w:tcW w:w="975" w:type="dxa"/>
            <w:shd w:val="clear" w:color="auto" w:fill="FFFFFF"/>
            <w:vAlign w:val="center"/>
          </w:tcPr>
          <w:p w14:paraId="0D35E0E4">
            <w:pPr>
              <w:widowControl/>
              <w:jc w:val="center"/>
              <w:textAlignment w:val="center"/>
              <w:rPr>
                <w:rFonts w:ascii="Arial" w:hAnsi="Arial" w:cs="Arial"/>
                <w:color w:val="auto"/>
                <w:sz w:val="20"/>
                <w:szCs w:val="20"/>
                <w:highlight w:val="none"/>
              </w:rPr>
            </w:pPr>
            <w:r>
              <w:rPr>
                <w:rFonts w:ascii="Arial" w:hAnsi="Arial" w:cs="Arial"/>
                <w:color w:val="auto"/>
                <w:kern w:val="0"/>
                <w:sz w:val="20"/>
                <w:szCs w:val="20"/>
                <w:highlight w:val="none"/>
              </w:rPr>
              <w:t xml:space="preserve"> 4.00 </w:t>
            </w:r>
          </w:p>
        </w:tc>
        <w:tc>
          <w:tcPr>
            <w:tcW w:w="0" w:type="auto"/>
            <w:shd w:val="clear" w:color="auto" w:fill="auto"/>
            <w:noWrap/>
            <w:vAlign w:val="center"/>
          </w:tcPr>
          <w:p w14:paraId="5F2A0B8D">
            <w:pPr>
              <w:jc w:val="center"/>
              <w:rPr>
                <w:rFonts w:ascii="Arial" w:hAnsi="Arial" w:cs="Arial"/>
                <w:color w:val="auto"/>
                <w:sz w:val="20"/>
                <w:szCs w:val="20"/>
                <w:highlight w:val="none"/>
              </w:rPr>
            </w:pPr>
          </w:p>
        </w:tc>
      </w:tr>
      <w:tr w14:paraId="536B5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1316" w:type="dxa"/>
            <w:shd w:val="clear" w:color="auto" w:fill="FFFFFF"/>
            <w:vAlign w:val="center"/>
          </w:tcPr>
          <w:p w14:paraId="0230E98C">
            <w:pPr>
              <w:widowControl/>
              <w:jc w:val="center"/>
              <w:textAlignment w:val="center"/>
              <w:rPr>
                <w:rFonts w:ascii="Arial" w:hAnsi="Arial" w:cs="Arial"/>
                <w:color w:val="auto"/>
                <w:sz w:val="20"/>
                <w:szCs w:val="20"/>
                <w:highlight w:val="none"/>
              </w:rPr>
            </w:pPr>
            <w:r>
              <w:rPr>
                <w:rFonts w:ascii="Arial" w:hAnsi="Arial" w:cs="Arial"/>
                <w:color w:val="auto"/>
                <w:kern w:val="0"/>
                <w:sz w:val="20"/>
                <w:szCs w:val="20"/>
                <w:highlight w:val="none"/>
              </w:rPr>
              <w:t>8</w:t>
            </w:r>
          </w:p>
        </w:tc>
        <w:tc>
          <w:tcPr>
            <w:tcW w:w="4544" w:type="dxa"/>
            <w:shd w:val="clear" w:color="auto" w:fill="FFFFFF"/>
            <w:vAlign w:val="center"/>
          </w:tcPr>
          <w:p w14:paraId="66C0740B">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球阀 DN25</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工程内容</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1、安装</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2、水压试验</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3、系统调试</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4、完成阀门安装的其他一切相关工程内容及材料费用</w:t>
            </w:r>
          </w:p>
        </w:tc>
        <w:tc>
          <w:tcPr>
            <w:tcW w:w="650" w:type="dxa"/>
            <w:shd w:val="clear" w:color="auto" w:fill="FFFFFF"/>
            <w:vAlign w:val="center"/>
          </w:tcPr>
          <w:p w14:paraId="2232F77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个</w:t>
            </w:r>
          </w:p>
        </w:tc>
        <w:tc>
          <w:tcPr>
            <w:tcW w:w="975" w:type="dxa"/>
            <w:shd w:val="clear" w:color="auto" w:fill="FFFFFF"/>
            <w:vAlign w:val="center"/>
          </w:tcPr>
          <w:p w14:paraId="68C1873F">
            <w:pPr>
              <w:widowControl/>
              <w:jc w:val="center"/>
              <w:textAlignment w:val="center"/>
              <w:rPr>
                <w:rFonts w:ascii="Arial" w:hAnsi="Arial" w:cs="Arial"/>
                <w:color w:val="auto"/>
                <w:sz w:val="20"/>
                <w:szCs w:val="20"/>
                <w:highlight w:val="none"/>
              </w:rPr>
            </w:pPr>
            <w:r>
              <w:rPr>
                <w:rFonts w:ascii="Arial" w:hAnsi="Arial" w:cs="Arial"/>
                <w:color w:val="auto"/>
                <w:kern w:val="0"/>
                <w:sz w:val="20"/>
                <w:szCs w:val="20"/>
                <w:highlight w:val="none"/>
              </w:rPr>
              <w:t xml:space="preserve"> 2.00 </w:t>
            </w:r>
          </w:p>
        </w:tc>
        <w:tc>
          <w:tcPr>
            <w:tcW w:w="0" w:type="auto"/>
            <w:shd w:val="clear" w:color="auto" w:fill="auto"/>
            <w:noWrap/>
            <w:vAlign w:val="center"/>
          </w:tcPr>
          <w:p w14:paraId="10E4A38F">
            <w:pPr>
              <w:jc w:val="center"/>
              <w:rPr>
                <w:rFonts w:ascii="Arial" w:hAnsi="Arial" w:cs="Arial"/>
                <w:color w:val="auto"/>
                <w:sz w:val="20"/>
                <w:szCs w:val="20"/>
                <w:highlight w:val="none"/>
              </w:rPr>
            </w:pPr>
          </w:p>
        </w:tc>
      </w:tr>
      <w:tr w14:paraId="44B7D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1316" w:type="dxa"/>
            <w:shd w:val="clear" w:color="auto" w:fill="FFFFFF"/>
            <w:vAlign w:val="center"/>
          </w:tcPr>
          <w:p w14:paraId="1DBE84D2">
            <w:pPr>
              <w:widowControl/>
              <w:jc w:val="center"/>
              <w:textAlignment w:val="center"/>
              <w:rPr>
                <w:rFonts w:ascii="Arial" w:hAnsi="Arial" w:cs="Arial"/>
                <w:color w:val="auto"/>
                <w:sz w:val="20"/>
                <w:szCs w:val="20"/>
                <w:highlight w:val="none"/>
              </w:rPr>
            </w:pPr>
            <w:r>
              <w:rPr>
                <w:rFonts w:ascii="Arial" w:hAnsi="Arial" w:cs="Arial"/>
                <w:color w:val="auto"/>
                <w:kern w:val="0"/>
                <w:sz w:val="20"/>
                <w:szCs w:val="20"/>
                <w:highlight w:val="none"/>
              </w:rPr>
              <w:t>9</w:t>
            </w:r>
          </w:p>
        </w:tc>
        <w:tc>
          <w:tcPr>
            <w:tcW w:w="4544" w:type="dxa"/>
            <w:shd w:val="clear" w:color="auto" w:fill="FFFFFF"/>
            <w:vAlign w:val="center"/>
          </w:tcPr>
          <w:p w14:paraId="66C91F0A">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螺纹止回阀 DN20</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工程内容</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1、安装</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2、水压试验</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3、系统调试</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4、完成阀门安装的其他一切相关工程内容及材料费用</w:t>
            </w:r>
          </w:p>
        </w:tc>
        <w:tc>
          <w:tcPr>
            <w:tcW w:w="650" w:type="dxa"/>
            <w:shd w:val="clear" w:color="auto" w:fill="FFFFFF"/>
            <w:vAlign w:val="center"/>
          </w:tcPr>
          <w:p w14:paraId="11ED19C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个</w:t>
            </w:r>
          </w:p>
        </w:tc>
        <w:tc>
          <w:tcPr>
            <w:tcW w:w="975" w:type="dxa"/>
            <w:shd w:val="clear" w:color="auto" w:fill="FFFFFF"/>
            <w:vAlign w:val="center"/>
          </w:tcPr>
          <w:p w14:paraId="400755DD">
            <w:pPr>
              <w:widowControl/>
              <w:jc w:val="center"/>
              <w:textAlignment w:val="center"/>
              <w:rPr>
                <w:rFonts w:ascii="Arial" w:hAnsi="Arial" w:cs="Arial"/>
                <w:color w:val="auto"/>
                <w:sz w:val="20"/>
                <w:szCs w:val="20"/>
                <w:highlight w:val="none"/>
              </w:rPr>
            </w:pPr>
            <w:r>
              <w:rPr>
                <w:rFonts w:ascii="Arial" w:hAnsi="Arial" w:cs="Arial"/>
                <w:color w:val="auto"/>
                <w:kern w:val="0"/>
                <w:sz w:val="20"/>
                <w:szCs w:val="20"/>
                <w:highlight w:val="none"/>
              </w:rPr>
              <w:t xml:space="preserve"> 2.00 </w:t>
            </w:r>
          </w:p>
        </w:tc>
        <w:tc>
          <w:tcPr>
            <w:tcW w:w="0" w:type="auto"/>
            <w:shd w:val="clear" w:color="auto" w:fill="auto"/>
            <w:noWrap/>
            <w:vAlign w:val="center"/>
          </w:tcPr>
          <w:p w14:paraId="03871FF8">
            <w:pPr>
              <w:jc w:val="center"/>
              <w:rPr>
                <w:rFonts w:ascii="Arial" w:hAnsi="Arial" w:cs="Arial"/>
                <w:color w:val="auto"/>
                <w:sz w:val="20"/>
                <w:szCs w:val="20"/>
                <w:highlight w:val="none"/>
              </w:rPr>
            </w:pPr>
          </w:p>
        </w:tc>
      </w:tr>
      <w:tr w14:paraId="036DE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1316" w:type="dxa"/>
            <w:shd w:val="clear" w:color="auto" w:fill="FFFFFF"/>
            <w:vAlign w:val="center"/>
          </w:tcPr>
          <w:p w14:paraId="18AF7DF5">
            <w:pPr>
              <w:widowControl/>
              <w:jc w:val="center"/>
              <w:textAlignment w:val="center"/>
              <w:rPr>
                <w:rFonts w:ascii="Arial" w:hAnsi="Arial" w:cs="Arial"/>
                <w:color w:val="auto"/>
                <w:sz w:val="20"/>
                <w:szCs w:val="20"/>
                <w:highlight w:val="none"/>
              </w:rPr>
            </w:pPr>
            <w:r>
              <w:rPr>
                <w:rFonts w:ascii="Arial" w:hAnsi="Arial" w:cs="Arial"/>
                <w:color w:val="auto"/>
                <w:kern w:val="0"/>
                <w:sz w:val="20"/>
                <w:szCs w:val="20"/>
                <w:highlight w:val="none"/>
              </w:rPr>
              <w:t>10</w:t>
            </w:r>
          </w:p>
        </w:tc>
        <w:tc>
          <w:tcPr>
            <w:tcW w:w="4544" w:type="dxa"/>
            <w:shd w:val="clear" w:color="auto" w:fill="FFFFFF"/>
            <w:vAlign w:val="center"/>
          </w:tcPr>
          <w:p w14:paraId="510D3BE9">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螺纹止回阀 DN25</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工程内容</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1、安装</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2、水压试验</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3、系统调试</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4、完成阀门安装的其他一切相关工程内容及材料费用</w:t>
            </w:r>
          </w:p>
        </w:tc>
        <w:tc>
          <w:tcPr>
            <w:tcW w:w="650" w:type="dxa"/>
            <w:shd w:val="clear" w:color="auto" w:fill="FFFFFF"/>
            <w:vAlign w:val="center"/>
          </w:tcPr>
          <w:p w14:paraId="358E81D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个</w:t>
            </w:r>
          </w:p>
        </w:tc>
        <w:tc>
          <w:tcPr>
            <w:tcW w:w="975" w:type="dxa"/>
            <w:shd w:val="clear" w:color="auto" w:fill="FFFFFF"/>
            <w:vAlign w:val="center"/>
          </w:tcPr>
          <w:p w14:paraId="06FC9958">
            <w:pPr>
              <w:widowControl/>
              <w:jc w:val="center"/>
              <w:textAlignment w:val="center"/>
              <w:rPr>
                <w:rFonts w:ascii="Arial" w:hAnsi="Arial" w:cs="Arial"/>
                <w:color w:val="auto"/>
                <w:sz w:val="20"/>
                <w:szCs w:val="20"/>
                <w:highlight w:val="none"/>
              </w:rPr>
            </w:pPr>
            <w:r>
              <w:rPr>
                <w:rFonts w:ascii="Arial" w:hAnsi="Arial" w:cs="Arial"/>
                <w:color w:val="auto"/>
                <w:kern w:val="0"/>
                <w:sz w:val="20"/>
                <w:szCs w:val="20"/>
                <w:highlight w:val="none"/>
              </w:rPr>
              <w:t xml:space="preserve"> 1.00 </w:t>
            </w:r>
          </w:p>
        </w:tc>
        <w:tc>
          <w:tcPr>
            <w:tcW w:w="0" w:type="auto"/>
            <w:shd w:val="clear" w:color="auto" w:fill="auto"/>
            <w:noWrap/>
            <w:vAlign w:val="center"/>
          </w:tcPr>
          <w:p w14:paraId="6F87CDE6">
            <w:pPr>
              <w:jc w:val="center"/>
              <w:rPr>
                <w:rFonts w:ascii="Arial" w:hAnsi="Arial" w:cs="Arial"/>
                <w:color w:val="auto"/>
                <w:sz w:val="20"/>
                <w:szCs w:val="20"/>
                <w:highlight w:val="none"/>
              </w:rPr>
            </w:pPr>
          </w:p>
        </w:tc>
      </w:tr>
      <w:tr w14:paraId="6A3D2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1316" w:type="dxa"/>
            <w:shd w:val="clear" w:color="auto" w:fill="FFFFFF"/>
            <w:vAlign w:val="center"/>
          </w:tcPr>
          <w:p w14:paraId="289750BD">
            <w:pPr>
              <w:widowControl/>
              <w:jc w:val="center"/>
              <w:textAlignment w:val="center"/>
              <w:rPr>
                <w:rFonts w:ascii="Arial" w:hAnsi="Arial" w:cs="Arial"/>
                <w:color w:val="auto"/>
                <w:sz w:val="20"/>
                <w:szCs w:val="20"/>
                <w:highlight w:val="none"/>
              </w:rPr>
            </w:pPr>
            <w:r>
              <w:rPr>
                <w:rFonts w:ascii="Arial" w:hAnsi="Arial" w:cs="Arial"/>
                <w:color w:val="auto"/>
                <w:kern w:val="0"/>
                <w:sz w:val="20"/>
                <w:szCs w:val="20"/>
                <w:highlight w:val="none"/>
              </w:rPr>
              <w:t>11</w:t>
            </w:r>
          </w:p>
        </w:tc>
        <w:tc>
          <w:tcPr>
            <w:tcW w:w="4544" w:type="dxa"/>
            <w:shd w:val="clear" w:color="auto" w:fill="FFFFFF"/>
            <w:vAlign w:val="center"/>
          </w:tcPr>
          <w:p w14:paraId="5B6C624A">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电接点压力表(已包含弯管表阀)</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工程内容</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1、压力表、表弯、表阀、取源部件安装</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2、试水</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3、系统调试</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4、完成压力表安装的其他一切相关工程内容及材料费用</w:t>
            </w:r>
          </w:p>
        </w:tc>
        <w:tc>
          <w:tcPr>
            <w:tcW w:w="650" w:type="dxa"/>
            <w:shd w:val="clear" w:color="auto" w:fill="FFFFFF"/>
            <w:vAlign w:val="center"/>
          </w:tcPr>
          <w:p w14:paraId="1C78316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个</w:t>
            </w:r>
          </w:p>
        </w:tc>
        <w:tc>
          <w:tcPr>
            <w:tcW w:w="975" w:type="dxa"/>
            <w:shd w:val="clear" w:color="auto" w:fill="FFFFFF"/>
            <w:vAlign w:val="center"/>
          </w:tcPr>
          <w:p w14:paraId="22B3F055">
            <w:pPr>
              <w:widowControl/>
              <w:jc w:val="center"/>
              <w:textAlignment w:val="center"/>
              <w:rPr>
                <w:rFonts w:ascii="Arial" w:hAnsi="Arial" w:cs="Arial"/>
                <w:color w:val="auto"/>
                <w:sz w:val="20"/>
                <w:szCs w:val="20"/>
                <w:highlight w:val="none"/>
              </w:rPr>
            </w:pPr>
            <w:r>
              <w:rPr>
                <w:rFonts w:ascii="Arial" w:hAnsi="Arial" w:cs="Arial"/>
                <w:color w:val="auto"/>
                <w:kern w:val="0"/>
                <w:sz w:val="20"/>
                <w:szCs w:val="20"/>
                <w:highlight w:val="none"/>
              </w:rPr>
              <w:t xml:space="preserve"> 2.00 </w:t>
            </w:r>
          </w:p>
        </w:tc>
        <w:tc>
          <w:tcPr>
            <w:tcW w:w="0" w:type="auto"/>
            <w:shd w:val="clear" w:color="auto" w:fill="auto"/>
            <w:noWrap/>
            <w:vAlign w:val="center"/>
          </w:tcPr>
          <w:p w14:paraId="29B31F63">
            <w:pPr>
              <w:jc w:val="center"/>
              <w:rPr>
                <w:rFonts w:ascii="Arial" w:hAnsi="Arial" w:cs="Arial"/>
                <w:color w:val="auto"/>
                <w:sz w:val="20"/>
                <w:szCs w:val="20"/>
                <w:highlight w:val="none"/>
              </w:rPr>
            </w:pPr>
          </w:p>
        </w:tc>
      </w:tr>
    </w:tbl>
    <w:p w14:paraId="0715CBA3">
      <w:pPr>
        <w:rPr>
          <w:color w:val="auto"/>
          <w:highlight w:val="none"/>
        </w:rPr>
      </w:pPr>
    </w:p>
    <w:tbl>
      <w:tblPr>
        <w:tblStyle w:val="21"/>
        <w:tblW w:w="8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6"/>
        <w:gridCol w:w="4612"/>
        <w:gridCol w:w="618"/>
        <w:gridCol w:w="939"/>
        <w:gridCol w:w="780"/>
      </w:tblGrid>
      <w:tr w14:paraId="2EC4B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265" w:type="dxa"/>
            <w:gridSpan w:val="5"/>
            <w:shd w:val="clear" w:color="auto" w:fill="auto"/>
            <w:noWrap/>
            <w:vAlign w:val="center"/>
          </w:tcPr>
          <w:p w14:paraId="5D535004">
            <w:pPr>
              <w:rPr>
                <w:rFonts w:ascii="宋体" w:hAnsi="宋体" w:cs="宋体"/>
                <w:color w:val="auto"/>
                <w:sz w:val="18"/>
                <w:szCs w:val="18"/>
                <w:highlight w:val="none"/>
              </w:rPr>
            </w:pPr>
            <w:r>
              <w:rPr>
                <w:rFonts w:hint="eastAsia" w:ascii="宋体" w:hAnsi="宋体" w:cs="宋体"/>
                <w:color w:val="auto"/>
                <w:kern w:val="0"/>
                <w:sz w:val="20"/>
                <w:szCs w:val="20"/>
                <w:highlight w:val="none"/>
              </w:rPr>
              <w:t>工程名称：奉化区FH24-02-09a地块建设项目空气能热水系统-6#楼</w:t>
            </w:r>
          </w:p>
        </w:tc>
      </w:tr>
      <w:tr w14:paraId="45571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316" w:type="dxa"/>
            <w:vMerge w:val="restart"/>
            <w:shd w:val="clear" w:color="auto" w:fill="auto"/>
            <w:vAlign w:val="center"/>
          </w:tcPr>
          <w:p w14:paraId="09FC5F6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序号</w:t>
            </w:r>
          </w:p>
        </w:tc>
        <w:tc>
          <w:tcPr>
            <w:tcW w:w="4612" w:type="dxa"/>
            <w:vMerge w:val="restart"/>
            <w:shd w:val="clear" w:color="auto" w:fill="auto"/>
            <w:vAlign w:val="center"/>
          </w:tcPr>
          <w:p w14:paraId="50541AC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项目名称</w:t>
            </w:r>
          </w:p>
        </w:tc>
        <w:tc>
          <w:tcPr>
            <w:tcW w:w="618" w:type="dxa"/>
            <w:vMerge w:val="restart"/>
            <w:shd w:val="clear" w:color="auto" w:fill="auto"/>
            <w:vAlign w:val="center"/>
          </w:tcPr>
          <w:p w14:paraId="5203548E">
            <w:pPr>
              <w:widowControl/>
              <w:jc w:val="center"/>
              <w:textAlignment w:val="center"/>
              <w:rPr>
                <w:rFonts w:ascii="Arial" w:hAnsi="Arial" w:cs="Arial"/>
                <w:color w:val="auto"/>
                <w:sz w:val="20"/>
                <w:szCs w:val="20"/>
                <w:highlight w:val="none"/>
              </w:rPr>
            </w:pPr>
            <w:r>
              <w:rPr>
                <w:rFonts w:hint="eastAsia" w:ascii="宋体" w:hAnsi="宋体" w:cs="宋体"/>
                <w:color w:val="auto"/>
                <w:kern w:val="0"/>
                <w:sz w:val="20"/>
                <w:szCs w:val="20"/>
                <w:highlight w:val="none"/>
              </w:rPr>
              <w:t>计量</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单位</w:t>
            </w:r>
          </w:p>
        </w:tc>
        <w:tc>
          <w:tcPr>
            <w:tcW w:w="939" w:type="dxa"/>
            <w:vMerge w:val="restart"/>
            <w:shd w:val="clear" w:color="auto" w:fill="auto"/>
            <w:vAlign w:val="center"/>
          </w:tcPr>
          <w:p w14:paraId="1D81B9EC">
            <w:pPr>
              <w:widowControl/>
              <w:jc w:val="center"/>
              <w:textAlignment w:val="center"/>
              <w:rPr>
                <w:rFonts w:ascii="Arial" w:hAnsi="Arial" w:cs="Arial"/>
                <w:color w:val="auto"/>
                <w:sz w:val="20"/>
                <w:szCs w:val="20"/>
                <w:highlight w:val="none"/>
              </w:rPr>
            </w:pPr>
            <w:r>
              <w:rPr>
                <w:rFonts w:hint="eastAsia" w:ascii="宋体" w:hAnsi="宋体" w:cs="宋体"/>
                <w:color w:val="auto"/>
                <w:kern w:val="0"/>
                <w:sz w:val="20"/>
                <w:szCs w:val="20"/>
                <w:highlight w:val="none"/>
              </w:rPr>
              <w:t>工程量</w:t>
            </w:r>
          </w:p>
        </w:tc>
        <w:tc>
          <w:tcPr>
            <w:tcW w:w="0" w:type="auto"/>
            <w:vMerge w:val="restart"/>
            <w:shd w:val="clear" w:color="auto" w:fill="auto"/>
            <w:noWrap/>
            <w:vAlign w:val="center"/>
          </w:tcPr>
          <w:p w14:paraId="0B515554">
            <w:pPr>
              <w:widowControl/>
              <w:jc w:val="center"/>
              <w:textAlignment w:val="center"/>
              <w:rPr>
                <w:rFonts w:ascii="Arial" w:hAnsi="Arial" w:cs="Arial"/>
                <w:b/>
                <w:bCs/>
                <w:color w:val="auto"/>
                <w:sz w:val="20"/>
                <w:szCs w:val="20"/>
                <w:highlight w:val="none"/>
              </w:rPr>
            </w:pPr>
            <w:r>
              <w:rPr>
                <w:rFonts w:hint="eastAsia" w:ascii="宋体" w:hAnsi="宋体" w:cs="宋体"/>
                <w:b/>
                <w:bCs/>
                <w:color w:val="auto"/>
                <w:kern w:val="0"/>
                <w:sz w:val="20"/>
                <w:szCs w:val="20"/>
                <w:highlight w:val="none"/>
              </w:rPr>
              <w:t>备注</w:t>
            </w:r>
          </w:p>
        </w:tc>
      </w:tr>
      <w:tr w14:paraId="02118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316" w:type="dxa"/>
            <w:vMerge w:val="continue"/>
            <w:shd w:val="clear" w:color="auto" w:fill="auto"/>
            <w:vAlign w:val="center"/>
          </w:tcPr>
          <w:p w14:paraId="1C55D902">
            <w:pPr>
              <w:jc w:val="center"/>
              <w:rPr>
                <w:rFonts w:ascii="宋体" w:hAnsi="宋体" w:cs="宋体"/>
                <w:color w:val="auto"/>
                <w:sz w:val="20"/>
                <w:szCs w:val="20"/>
                <w:highlight w:val="none"/>
              </w:rPr>
            </w:pPr>
          </w:p>
        </w:tc>
        <w:tc>
          <w:tcPr>
            <w:tcW w:w="4612" w:type="dxa"/>
            <w:vMerge w:val="continue"/>
            <w:shd w:val="clear" w:color="auto" w:fill="auto"/>
            <w:vAlign w:val="center"/>
          </w:tcPr>
          <w:p w14:paraId="4332C990">
            <w:pPr>
              <w:jc w:val="center"/>
              <w:rPr>
                <w:rFonts w:ascii="宋体" w:hAnsi="宋体" w:cs="宋体"/>
                <w:color w:val="auto"/>
                <w:sz w:val="20"/>
                <w:szCs w:val="20"/>
                <w:highlight w:val="none"/>
              </w:rPr>
            </w:pPr>
          </w:p>
        </w:tc>
        <w:tc>
          <w:tcPr>
            <w:tcW w:w="618" w:type="dxa"/>
            <w:vMerge w:val="continue"/>
            <w:shd w:val="clear" w:color="auto" w:fill="auto"/>
            <w:vAlign w:val="center"/>
          </w:tcPr>
          <w:p w14:paraId="21726F7A">
            <w:pPr>
              <w:jc w:val="center"/>
              <w:rPr>
                <w:rFonts w:ascii="Arial" w:hAnsi="Arial" w:cs="Arial"/>
                <w:color w:val="auto"/>
                <w:sz w:val="20"/>
                <w:szCs w:val="20"/>
                <w:highlight w:val="none"/>
              </w:rPr>
            </w:pPr>
          </w:p>
        </w:tc>
        <w:tc>
          <w:tcPr>
            <w:tcW w:w="939" w:type="dxa"/>
            <w:vMerge w:val="continue"/>
            <w:shd w:val="clear" w:color="auto" w:fill="auto"/>
            <w:vAlign w:val="center"/>
          </w:tcPr>
          <w:p w14:paraId="39DE6C86">
            <w:pPr>
              <w:jc w:val="center"/>
              <w:rPr>
                <w:rFonts w:ascii="Arial" w:hAnsi="Arial" w:cs="Arial"/>
                <w:color w:val="auto"/>
                <w:sz w:val="20"/>
                <w:szCs w:val="20"/>
                <w:highlight w:val="none"/>
              </w:rPr>
            </w:pPr>
          </w:p>
        </w:tc>
        <w:tc>
          <w:tcPr>
            <w:tcW w:w="0" w:type="auto"/>
            <w:vMerge w:val="continue"/>
            <w:shd w:val="clear" w:color="auto" w:fill="auto"/>
            <w:noWrap/>
            <w:vAlign w:val="center"/>
          </w:tcPr>
          <w:p w14:paraId="524A1888">
            <w:pPr>
              <w:jc w:val="center"/>
              <w:rPr>
                <w:rFonts w:ascii="Arial" w:hAnsi="Arial" w:cs="Arial"/>
                <w:b/>
                <w:bCs/>
                <w:color w:val="auto"/>
                <w:sz w:val="20"/>
                <w:szCs w:val="20"/>
                <w:highlight w:val="none"/>
              </w:rPr>
            </w:pPr>
          </w:p>
        </w:tc>
      </w:tr>
      <w:tr w14:paraId="438B7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1316" w:type="dxa"/>
            <w:shd w:val="clear" w:color="auto" w:fill="FFFFFF"/>
            <w:vAlign w:val="center"/>
          </w:tcPr>
          <w:p w14:paraId="4347B9AC">
            <w:pPr>
              <w:widowControl/>
              <w:jc w:val="center"/>
              <w:textAlignment w:val="center"/>
              <w:rPr>
                <w:rFonts w:ascii="Arial" w:hAnsi="Arial" w:cs="Arial"/>
                <w:color w:val="auto"/>
                <w:sz w:val="20"/>
                <w:szCs w:val="20"/>
                <w:highlight w:val="none"/>
              </w:rPr>
            </w:pPr>
            <w:r>
              <w:rPr>
                <w:rFonts w:ascii="Arial" w:hAnsi="Arial" w:cs="Arial"/>
                <w:color w:val="auto"/>
                <w:kern w:val="0"/>
                <w:sz w:val="20"/>
                <w:szCs w:val="20"/>
                <w:highlight w:val="none"/>
              </w:rPr>
              <w:t>1</w:t>
            </w:r>
          </w:p>
        </w:tc>
        <w:tc>
          <w:tcPr>
            <w:tcW w:w="4612" w:type="dxa"/>
            <w:shd w:val="clear" w:color="auto" w:fill="auto"/>
            <w:vAlign w:val="center"/>
          </w:tcPr>
          <w:p w14:paraId="1349142E">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空气源热泵热水机组（N=8.95kW 制热量42kW 电源380V 三相）</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工程内容</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1.空气源热泵热水机组成套安装</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2.隔振垫安装</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3.完成空气源热泵安装的其他一切相关工程内容及材料费用</w:t>
            </w:r>
          </w:p>
        </w:tc>
        <w:tc>
          <w:tcPr>
            <w:tcW w:w="618" w:type="dxa"/>
            <w:shd w:val="clear" w:color="auto" w:fill="auto"/>
            <w:vAlign w:val="center"/>
          </w:tcPr>
          <w:p w14:paraId="3A4E23A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套</w:t>
            </w:r>
          </w:p>
        </w:tc>
        <w:tc>
          <w:tcPr>
            <w:tcW w:w="939" w:type="dxa"/>
            <w:shd w:val="clear" w:color="auto" w:fill="auto"/>
            <w:vAlign w:val="center"/>
          </w:tcPr>
          <w:p w14:paraId="431D8491">
            <w:pPr>
              <w:widowControl/>
              <w:jc w:val="center"/>
              <w:textAlignment w:val="center"/>
              <w:rPr>
                <w:rFonts w:ascii="Arial" w:hAnsi="Arial" w:cs="Arial"/>
                <w:color w:val="auto"/>
                <w:sz w:val="20"/>
                <w:szCs w:val="20"/>
                <w:highlight w:val="none"/>
              </w:rPr>
            </w:pPr>
            <w:r>
              <w:rPr>
                <w:rFonts w:ascii="Arial" w:hAnsi="Arial" w:cs="Arial"/>
                <w:color w:val="auto"/>
                <w:kern w:val="0"/>
                <w:sz w:val="20"/>
                <w:szCs w:val="20"/>
                <w:highlight w:val="none"/>
              </w:rPr>
              <w:t xml:space="preserve"> 1.00 </w:t>
            </w:r>
          </w:p>
        </w:tc>
        <w:tc>
          <w:tcPr>
            <w:tcW w:w="0" w:type="auto"/>
            <w:shd w:val="clear" w:color="auto" w:fill="auto"/>
            <w:noWrap/>
            <w:vAlign w:val="center"/>
          </w:tcPr>
          <w:p w14:paraId="6E578146">
            <w:pPr>
              <w:jc w:val="center"/>
              <w:rPr>
                <w:rFonts w:ascii="Arial" w:hAnsi="Arial" w:cs="Arial"/>
                <w:color w:val="auto"/>
                <w:sz w:val="20"/>
                <w:szCs w:val="20"/>
                <w:highlight w:val="none"/>
              </w:rPr>
            </w:pPr>
          </w:p>
        </w:tc>
      </w:tr>
      <w:tr w14:paraId="39810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1316" w:type="dxa"/>
            <w:shd w:val="clear" w:color="auto" w:fill="FFFFFF"/>
            <w:vAlign w:val="center"/>
          </w:tcPr>
          <w:p w14:paraId="0B4ED30B">
            <w:pPr>
              <w:widowControl/>
              <w:jc w:val="center"/>
              <w:textAlignment w:val="center"/>
              <w:rPr>
                <w:rFonts w:ascii="Arial" w:hAnsi="Arial" w:cs="Arial"/>
                <w:color w:val="auto"/>
                <w:sz w:val="20"/>
                <w:szCs w:val="20"/>
                <w:highlight w:val="none"/>
              </w:rPr>
            </w:pPr>
            <w:r>
              <w:rPr>
                <w:rFonts w:ascii="Arial" w:hAnsi="Arial" w:cs="Arial"/>
                <w:color w:val="auto"/>
                <w:kern w:val="0"/>
                <w:sz w:val="20"/>
                <w:szCs w:val="20"/>
                <w:highlight w:val="none"/>
              </w:rPr>
              <w:t>2</w:t>
            </w:r>
          </w:p>
        </w:tc>
        <w:tc>
          <w:tcPr>
            <w:tcW w:w="4612" w:type="dxa"/>
            <w:shd w:val="clear" w:color="auto" w:fill="auto"/>
            <w:vAlign w:val="center"/>
          </w:tcPr>
          <w:p w14:paraId="5E70652B">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空气源热泵机组循环泵（N=0.75kW,Q=1.2L/S,H=15m）</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工程内容</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1.安装</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2.水压试验</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3.隔振垫安装</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4.完成空气源热泵机组循环泵安装的其他一切相关工程内容及材料费用</w:t>
            </w:r>
          </w:p>
        </w:tc>
        <w:tc>
          <w:tcPr>
            <w:tcW w:w="618" w:type="dxa"/>
            <w:shd w:val="clear" w:color="auto" w:fill="auto"/>
            <w:vAlign w:val="center"/>
          </w:tcPr>
          <w:p w14:paraId="4256632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套</w:t>
            </w:r>
          </w:p>
        </w:tc>
        <w:tc>
          <w:tcPr>
            <w:tcW w:w="939" w:type="dxa"/>
            <w:shd w:val="clear" w:color="auto" w:fill="auto"/>
            <w:vAlign w:val="center"/>
          </w:tcPr>
          <w:p w14:paraId="2D80BC81">
            <w:pPr>
              <w:widowControl/>
              <w:jc w:val="center"/>
              <w:textAlignment w:val="center"/>
              <w:rPr>
                <w:rFonts w:ascii="Arial" w:hAnsi="Arial" w:cs="Arial"/>
                <w:color w:val="auto"/>
                <w:sz w:val="20"/>
                <w:szCs w:val="20"/>
                <w:highlight w:val="none"/>
              </w:rPr>
            </w:pPr>
            <w:r>
              <w:rPr>
                <w:rFonts w:ascii="Arial" w:hAnsi="Arial" w:cs="Arial"/>
                <w:color w:val="auto"/>
                <w:kern w:val="0"/>
                <w:sz w:val="20"/>
                <w:szCs w:val="20"/>
                <w:highlight w:val="none"/>
              </w:rPr>
              <w:t xml:space="preserve"> 2.00 </w:t>
            </w:r>
          </w:p>
        </w:tc>
        <w:tc>
          <w:tcPr>
            <w:tcW w:w="0" w:type="auto"/>
            <w:shd w:val="clear" w:color="auto" w:fill="auto"/>
            <w:noWrap/>
            <w:vAlign w:val="center"/>
          </w:tcPr>
          <w:p w14:paraId="5ADA1BCC">
            <w:pPr>
              <w:jc w:val="center"/>
              <w:rPr>
                <w:rFonts w:ascii="Arial" w:hAnsi="Arial" w:cs="Arial"/>
                <w:color w:val="auto"/>
                <w:sz w:val="20"/>
                <w:szCs w:val="20"/>
                <w:highlight w:val="none"/>
              </w:rPr>
            </w:pPr>
          </w:p>
        </w:tc>
      </w:tr>
      <w:tr w14:paraId="5C929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1316" w:type="dxa"/>
            <w:shd w:val="clear" w:color="auto" w:fill="FFFFFF"/>
            <w:vAlign w:val="center"/>
          </w:tcPr>
          <w:p w14:paraId="3379B4EC">
            <w:pPr>
              <w:widowControl/>
              <w:jc w:val="center"/>
              <w:textAlignment w:val="center"/>
              <w:rPr>
                <w:rFonts w:ascii="Arial" w:hAnsi="Arial" w:cs="Arial"/>
                <w:color w:val="auto"/>
                <w:sz w:val="20"/>
                <w:szCs w:val="20"/>
                <w:highlight w:val="none"/>
              </w:rPr>
            </w:pPr>
            <w:r>
              <w:rPr>
                <w:rFonts w:ascii="Arial" w:hAnsi="Arial" w:cs="Arial"/>
                <w:color w:val="auto"/>
                <w:kern w:val="0"/>
                <w:sz w:val="20"/>
                <w:szCs w:val="20"/>
                <w:highlight w:val="none"/>
              </w:rPr>
              <w:t>3</w:t>
            </w:r>
          </w:p>
        </w:tc>
        <w:tc>
          <w:tcPr>
            <w:tcW w:w="4612" w:type="dxa"/>
            <w:shd w:val="clear" w:color="auto" w:fill="auto"/>
            <w:vAlign w:val="center"/>
          </w:tcPr>
          <w:p w14:paraId="5D2FE9F8">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热水循环泵（N=0.75kW,Q=2.0L/S,H=10m）</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工程内容</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1.安装</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2.水压试验</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3.隔振垫安装</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4.完成热水循环泵安装的其他一切相关工程内容及材料费用</w:t>
            </w:r>
          </w:p>
        </w:tc>
        <w:tc>
          <w:tcPr>
            <w:tcW w:w="618" w:type="dxa"/>
            <w:shd w:val="clear" w:color="auto" w:fill="auto"/>
            <w:vAlign w:val="center"/>
          </w:tcPr>
          <w:p w14:paraId="2CCBA76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套</w:t>
            </w:r>
          </w:p>
        </w:tc>
        <w:tc>
          <w:tcPr>
            <w:tcW w:w="939" w:type="dxa"/>
            <w:shd w:val="clear" w:color="auto" w:fill="auto"/>
            <w:vAlign w:val="center"/>
          </w:tcPr>
          <w:p w14:paraId="0ABA4ACA">
            <w:pPr>
              <w:widowControl/>
              <w:jc w:val="center"/>
              <w:textAlignment w:val="center"/>
              <w:rPr>
                <w:rFonts w:ascii="Arial" w:hAnsi="Arial" w:cs="Arial"/>
                <w:color w:val="auto"/>
                <w:sz w:val="20"/>
                <w:szCs w:val="20"/>
                <w:highlight w:val="none"/>
              </w:rPr>
            </w:pPr>
            <w:r>
              <w:rPr>
                <w:rFonts w:ascii="Arial" w:hAnsi="Arial" w:cs="Arial"/>
                <w:color w:val="auto"/>
                <w:kern w:val="0"/>
                <w:sz w:val="20"/>
                <w:szCs w:val="20"/>
                <w:highlight w:val="none"/>
              </w:rPr>
              <w:t xml:space="preserve"> 2.00 </w:t>
            </w:r>
          </w:p>
        </w:tc>
        <w:tc>
          <w:tcPr>
            <w:tcW w:w="0" w:type="auto"/>
            <w:shd w:val="clear" w:color="auto" w:fill="auto"/>
            <w:noWrap/>
            <w:vAlign w:val="center"/>
          </w:tcPr>
          <w:p w14:paraId="01A1B406">
            <w:pPr>
              <w:jc w:val="center"/>
              <w:rPr>
                <w:rFonts w:ascii="Arial" w:hAnsi="Arial" w:cs="Arial"/>
                <w:color w:val="auto"/>
                <w:sz w:val="20"/>
                <w:szCs w:val="20"/>
                <w:highlight w:val="none"/>
              </w:rPr>
            </w:pPr>
          </w:p>
        </w:tc>
      </w:tr>
      <w:tr w14:paraId="62228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jc w:val="center"/>
        </w:trPr>
        <w:tc>
          <w:tcPr>
            <w:tcW w:w="1316" w:type="dxa"/>
            <w:shd w:val="clear" w:color="auto" w:fill="FFFFFF"/>
            <w:vAlign w:val="center"/>
          </w:tcPr>
          <w:p w14:paraId="592AD259">
            <w:pPr>
              <w:widowControl/>
              <w:jc w:val="center"/>
              <w:textAlignment w:val="center"/>
              <w:rPr>
                <w:rFonts w:ascii="Arial" w:hAnsi="Arial" w:cs="Arial"/>
                <w:color w:val="auto"/>
                <w:sz w:val="20"/>
                <w:szCs w:val="20"/>
                <w:highlight w:val="none"/>
              </w:rPr>
            </w:pPr>
            <w:r>
              <w:rPr>
                <w:rFonts w:ascii="Arial" w:hAnsi="Arial" w:cs="Arial"/>
                <w:color w:val="auto"/>
                <w:kern w:val="0"/>
                <w:sz w:val="20"/>
                <w:szCs w:val="20"/>
                <w:highlight w:val="none"/>
              </w:rPr>
              <w:t>4</w:t>
            </w:r>
          </w:p>
        </w:tc>
        <w:tc>
          <w:tcPr>
            <w:tcW w:w="4612" w:type="dxa"/>
            <w:shd w:val="clear" w:color="auto" w:fill="auto"/>
            <w:vAlign w:val="center"/>
          </w:tcPr>
          <w:p w14:paraId="23F1ECA5">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水泵控制箱</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工程内容</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1.控制箱箱体及箱内所有元件安装                                                                            </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2.箱体基础制安</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3.箱体内电线回路编码                                                                                4.接线、接地                                                                                         5.电气系统调试、通电检测验收     </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6.完成控制箱安装的其他一切相关工程内容及材料费用</w:t>
            </w:r>
          </w:p>
        </w:tc>
        <w:tc>
          <w:tcPr>
            <w:tcW w:w="618" w:type="dxa"/>
            <w:shd w:val="clear" w:color="auto" w:fill="auto"/>
            <w:vAlign w:val="center"/>
          </w:tcPr>
          <w:p w14:paraId="69A7767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套</w:t>
            </w:r>
          </w:p>
        </w:tc>
        <w:tc>
          <w:tcPr>
            <w:tcW w:w="939" w:type="dxa"/>
            <w:shd w:val="clear" w:color="auto" w:fill="auto"/>
            <w:vAlign w:val="center"/>
          </w:tcPr>
          <w:p w14:paraId="43B5E389">
            <w:pPr>
              <w:widowControl/>
              <w:jc w:val="center"/>
              <w:textAlignment w:val="center"/>
              <w:rPr>
                <w:rFonts w:ascii="Arial" w:hAnsi="Arial" w:cs="Arial"/>
                <w:color w:val="auto"/>
                <w:sz w:val="20"/>
                <w:szCs w:val="20"/>
                <w:highlight w:val="none"/>
              </w:rPr>
            </w:pPr>
            <w:r>
              <w:rPr>
                <w:rFonts w:ascii="Arial" w:hAnsi="Arial" w:cs="Arial"/>
                <w:color w:val="auto"/>
                <w:kern w:val="0"/>
                <w:sz w:val="20"/>
                <w:szCs w:val="20"/>
                <w:highlight w:val="none"/>
              </w:rPr>
              <w:t xml:space="preserve"> 2.00 </w:t>
            </w:r>
          </w:p>
        </w:tc>
        <w:tc>
          <w:tcPr>
            <w:tcW w:w="0" w:type="auto"/>
            <w:shd w:val="clear" w:color="auto" w:fill="auto"/>
            <w:noWrap/>
            <w:vAlign w:val="center"/>
          </w:tcPr>
          <w:p w14:paraId="161B93E3">
            <w:pPr>
              <w:jc w:val="center"/>
              <w:rPr>
                <w:rFonts w:ascii="Arial" w:hAnsi="Arial" w:cs="Arial"/>
                <w:color w:val="auto"/>
                <w:sz w:val="20"/>
                <w:szCs w:val="20"/>
                <w:highlight w:val="none"/>
              </w:rPr>
            </w:pPr>
          </w:p>
        </w:tc>
      </w:tr>
      <w:tr w14:paraId="5819D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jc w:val="center"/>
        </w:trPr>
        <w:tc>
          <w:tcPr>
            <w:tcW w:w="1316" w:type="dxa"/>
            <w:shd w:val="clear" w:color="auto" w:fill="FFFFFF"/>
            <w:vAlign w:val="center"/>
          </w:tcPr>
          <w:p w14:paraId="0698E758">
            <w:pPr>
              <w:widowControl/>
              <w:jc w:val="center"/>
              <w:textAlignment w:val="center"/>
              <w:rPr>
                <w:rFonts w:ascii="Arial" w:hAnsi="Arial" w:cs="Arial"/>
                <w:color w:val="auto"/>
                <w:sz w:val="20"/>
                <w:szCs w:val="20"/>
                <w:highlight w:val="none"/>
              </w:rPr>
            </w:pPr>
            <w:r>
              <w:rPr>
                <w:rFonts w:ascii="Arial" w:hAnsi="Arial" w:cs="Arial"/>
                <w:color w:val="auto"/>
                <w:kern w:val="0"/>
                <w:sz w:val="20"/>
                <w:szCs w:val="20"/>
                <w:highlight w:val="none"/>
              </w:rPr>
              <w:t>5</w:t>
            </w:r>
          </w:p>
        </w:tc>
        <w:tc>
          <w:tcPr>
            <w:tcW w:w="4612" w:type="dxa"/>
            <w:shd w:val="clear" w:color="auto" w:fill="auto"/>
            <w:vAlign w:val="center"/>
          </w:tcPr>
          <w:p w14:paraId="004CE174">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承压卧式储热水箱 3.0m3（304食品级不锈钢水箱）</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工程内容</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1.承压卧式储热水箱安装、连接、固定</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2.水箱附带电加热设备 N=10kW安装</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3.水箱附带50mm橡塑板保温安装</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4.3.水箱附带水箱上安全泄压阀、压力表、电接点温度计T1、泄水管安装</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5.完成水箱安装的其他一切相关工程内容及材料费用</w:t>
            </w:r>
          </w:p>
        </w:tc>
        <w:tc>
          <w:tcPr>
            <w:tcW w:w="618" w:type="dxa"/>
            <w:shd w:val="clear" w:color="auto" w:fill="auto"/>
            <w:vAlign w:val="center"/>
          </w:tcPr>
          <w:p w14:paraId="5469BAB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套</w:t>
            </w:r>
          </w:p>
        </w:tc>
        <w:tc>
          <w:tcPr>
            <w:tcW w:w="939" w:type="dxa"/>
            <w:shd w:val="clear" w:color="auto" w:fill="auto"/>
            <w:vAlign w:val="center"/>
          </w:tcPr>
          <w:p w14:paraId="71FB6F67">
            <w:pPr>
              <w:widowControl/>
              <w:jc w:val="center"/>
              <w:textAlignment w:val="center"/>
              <w:rPr>
                <w:rFonts w:ascii="Arial" w:hAnsi="Arial" w:cs="Arial"/>
                <w:color w:val="auto"/>
                <w:sz w:val="20"/>
                <w:szCs w:val="20"/>
                <w:highlight w:val="none"/>
              </w:rPr>
            </w:pPr>
            <w:r>
              <w:rPr>
                <w:rFonts w:ascii="Arial" w:hAnsi="Arial" w:cs="Arial"/>
                <w:color w:val="auto"/>
                <w:kern w:val="0"/>
                <w:sz w:val="20"/>
                <w:szCs w:val="20"/>
                <w:highlight w:val="none"/>
              </w:rPr>
              <w:t xml:space="preserve"> 1.00 </w:t>
            </w:r>
          </w:p>
        </w:tc>
        <w:tc>
          <w:tcPr>
            <w:tcW w:w="0" w:type="auto"/>
            <w:shd w:val="clear" w:color="auto" w:fill="auto"/>
            <w:noWrap/>
            <w:vAlign w:val="center"/>
          </w:tcPr>
          <w:p w14:paraId="5A6FFE12">
            <w:pPr>
              <w:jc w:val="center"/>
              <w:rPr>
                <w:rFonts w:ascii="Arial" w:hAnsi="Arial" w:cs="Arial"/>
                <w:color w:val="auto"/>
                <w:sz w:val="20"/>
                <w:szCs w:val="20"/>
                <w:highlight w:val="none"/>
              </w:rPr>
            </w:pPr>
          </w:p>
        </w:tc>
      </w:tr>
      <w:tr w14:paraId="116B7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1316" w:type="dxa"/>
            <w:shd w:val="clear" w:color="auto" w:fill="FFFFFF"/>
            <w:vAlign w:val="center"/>
          </w:tcPr>
          <w:p w14:paraId="383B967D">
            <w:pPr>
              <w:widowControl/>
              <w:jc w:val="center"/>
              <w:textAlignment w:val="center"/>
              <w:rPr>
                <w:rFonts w:ascii="Arial" w:hAnsi="Arial" w:cs="Arial"/>
                <w:color w:val="auto"/>
                <w:sz w:val="20"/>
                <w:szCs w:val="20"/>
                <w:highlight w:val="none"/>
              </w:rPr>
            </w:pPr>
            <w:r>
              <w:rPr>
                <w:rFonts w:ascii="Arial" w:hAnsi="Arial" w:cs="Arial"/>
                <w:color w:val="auto"/>
                <w:kern w:val="0"/>
                <w:sz w:val="20"/>
                <w:szCs w:val="20"/>
                <w:highlight w:val="none"/>
              </w:rPr>
              <w:t>6</w:t>
            </w:r>
          </w:p>
        </w:tc>
        <w:tc>
          <w:tcPr>
            <w:tcW w:w="4612" w:type="dxa"/>
            <w:shd w:val="clear" w:color="auto" w:fill="auto"/>
            <w:vAlign w:val="center"/>
          </w:tcPr>
          <w:p w14:paraId="113B1550">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紫外线消毒器 处理量Q=3m3/h,N=85w</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工程内容</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1.紫外线消毒器安装、连接、固定</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2.水箱附带电加热设备 N=10Kw安装</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3.水箱附带50mm橡塑板保温安装</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4.水箱连接的冷、热水连接安装</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5.完成紫外线消毒器安装的其他一切相关工程内容及材料费用</w:t>
            </w:r>
          </w:p>
        </w:tc>
        <w:tc>
          <w:tcPr>
            <w:tcW w:w="618" w:type="dxa"/>
            <w:shd w:val="clear" w:color="auto" w:fill="auto"/>
            <w:vAlign w:val="center"/>
          </w:tcPr>
          <w:p w14:paraId="752D783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套</w:t>
            </w:r>
          </w:p>
        </w:tc>
        <w:tc>
          <w:tcPr>
            <w:tcW w:w="939" w:type="dxa"/>
            <w:shd w:val="clear" w:color="auto" w:fill="auto"/>
            <w:vAlign w:val="center"/>
          </w:tcPr>
          <w:p w14:paraId="35497298">
            <w:pPr>
              <w:widowControl/>
              <w:jc w:val="center"/>
              <w:textAlignment w:val="center"/>
              <w:rPr>
                <w:rFonts w:ascii="Arial" w:hAnsi="Arial" w:cs="Arial"/>
                <w:color w:val="auto"/>
                <w:sz w:val="20"/>
                <w:szCs w:val="20"/>
                <w:highlight w:val="none"/>
              </w:rPr>
            </w:pPr>
            <w:r>
              <w:rPr>
                <w:rFonts w:ascii="Arial" w:hAnsi="Arial" w:cs="Arial"/>
                <w:color w:val="auto"/>
                <w:kern w:val="0"/>
                <w:sz w:val="20"/>
                <w:szCs w:val="20"/>
                <w:highlight w:val="none"/>
              </w:rPr>
              <w:t xml:space="preserve"> 1.00 </w:t>
            </w:r>
          </w:p>
        </w:tc>
        <w:tc>
          <w:tcPr>
            <w:tcW w:w="0" w:type="auto"/>
            <w:shd w:val="clear" w:color="auto" w:fill="auto"/>
            <w:noWrap/>
            <w:vAlign w:val="center"/>
          </w:tcPr>
          <w:p w14:paraId="12CE794F">
            <w:pPr>
              <w:jc w:val="center"/>
              <w:rPr>
                <w:rFonts w:ascii="Arial" w:hAnsi="Arial" w:cs="Arial"/>
                <w:color w:val="auto"/>
                <w:sz w:val="20"/>
                <w:szCs w:val="20"/>
                <w:highlight w:val="none"/>
              </w:rPr>
            </w:pPr>
          </w:p>
        </w:tc>
      </w:tr>
      <w:tr w14:paraId="654D0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316" w:type="dxa"/>
            <w:shd w:val="clear" w:color="auto" w:fill="FFFFFF"/>
            <w:vAlign w:val="center"/>
          </w:tcPr>
          <w:p w14:paraId="12353F89">
            <w:pPr>
              <w:widowControl/>
              <w:jc w:val="center"/>
              <w:textAlignment w:val="center"/>
              <w:rPr>
                <w:rFonts w:ascii="Arial" w:hAnsi="Arial" w:cs="Arial"/>
                <w:color w:val="auto"/>
                <w:sz w:val="20"/>
                <w:szCs w:val="20"/>
                <w:highlight w:val="none"/>
              </w:rPr>
            </w:pPr>
            <w:r>
              <w:rPr>
                <w:rFonts w:ascii="Arial" w:hAnsi="Arial" w:cs="Arial"/>
                <w:color w:val="auto"/>
                <w:kern w:val="0"/>
                <w:sz w:val="20"/>
                <w:szCs w:val="20"/>
                <w:highlight w:val="none"/>
              </w:rPr>
              <w:t>7</w:t>
            </w:r>
          </w:p>
        </w:tc>
        <w:tc>
          <w:tcPr>
            <w:tcW w:w="4612" w:type="dxa"/>
            <w:shd w:val="clear" w:color="auto" w:fill="auto"/>
            <w:vAlign w:val="center"/>
          </w:tcPr>
          <w:p w14:paraId="2545F129">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热媒管（薄壁不锈钢管DN40）</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工程内容</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1、管道、管件、止水环、伸缩节、阻火圈、堵头等及弯管的制作.安装                                                                       2、凿刨沟槽及修补、板槽施工及修补、孔洞打凿及修补</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3、支架制作安装</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4、除锈、刷油、防腐</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5、挖填土方</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6、管网冲洗</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7、水压及泄漏试验</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8、完成管道安装的其他一切相关工程内容及材料费用</w:t>
            </w:r>
          </w:p>
        </w:tc>
        <w:tc>
          <w:tcPr>
            <w:tcW w:w="618" w:type="dxa"/>
            <w:shd w:val="clear" w:color="auto" w:fill="auto"/>
            <w:vAlign w:val="center"/>
          </w:tcPr>
          <w:p w14:paraId="45DF762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m</w:t>
            </w:r>
          </w:p>
        </w:tc>
        <w:tc>
          <w:tcPr>
            <w:tcW w:w="939" w:type="dxa"/>
            <w:shd w:val="clear" w:color="auto" w:fill="auto"/>
            <w:vAlign w:val="center"/>
          </w:tcPr>
          <w:p w14:paraId="7A27F99D">
            <w:pPr>
              <w:widowControl/>
              <w:jc w:val="center"/>
              <w:textAlignment w:val="center"/>
              <w:rPr>
                <w:rFonts w:ascii="Arial" w:hAnsi="Arial" w:cs="Arial"/>
                <w:color w:val="auto"/>
                <w:sz w:val="20"/>
                <w:szCs w:val="20"/>
                <w:highlight w:val="none"/>
              </w:rPr>
            </w:pPr>
            <w:r>
              <w:rPr>
                <w:rFonts w:ascii="Arial" w:hAnsi="Arial" w:cs="Arial"/>
                <w:color w:val="auto"/>
                <w:kern w:val="0"/>
                <w:sz w:val="20"/>
                <w:szCs w:val="20"/>
                <w:highlight w:val="none"/>
              </w:rPr>
              <w:t xml:space="preserve"> 45.00 </w:t>
            </w:r>
          </w:p>
        </w:tc>
        <w:tc>
          <w:tcPr>
            <w:tcW w:w="0" w:type="auto"/>
            <w:shd w:val="clear" w:color="auto" w:fill="auto"/>
            <w:noWrap/>
            <w:vAlign w:val="center"/>
          </w:tcPr>
          <w:p w14:paraId="7705F3D1">
            <w:pPr>
              <w:jc w:val="center"/>
              <w:rPr>
                <w:rFonts w:ascii="Arial" w:hAnsi="Arial" w:cs="Arial"/>
                <w:color w:val="auto"/>
                <w:sz w:val="20"/>
                <w:szCs w:val="20"/>
                <w:highlight w:val="none"/>
              </w:rPr>
            </w:pPr>
          </w:p>
        </w:tc>
      </w:tr>
      <w:tr w14:paraId="45222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jc w:val="center"/>
        </w:trPr>
        <w:tc>
          <w:tcPr>
            <w:tcW w:w="1316" w:type="dxa"/>
            <w:shd w:val="clear" w:color="auto" w:fill="FFFFFF"/>
            <w:vAlign w:val="center"/>
          </w:tcPr>
          <w:p w14:paraId="5FE3EFAB">
            <w:pPr>
              <w:widowControl/>
              <w:jc w:val="center"/>
              <w:textAlignment w:val="center"/>
              <w:rPr>
                <w:rFonts w:ascii="Arial" w:hAnsi="Arial" w:cs="Arial"/>
                <w:color w:val="auto"/>
                <w:sz w:val="20"/>
                <w:szCs w:val="20"/>
                <w:highlight w:val="none"/>
              </w:rPr>
            </w:pPr>
            <w:r>
              <w:rPr>
                <w:rFonts w:ascii="Arial" w:hAnsi="Arial" w:cs="Arial"/>
                <w:color w:val="auto"/>
                <w:kern w:val="0"/>
                <w:sz w:val="20"/>
                <w:szCs w:val="20"/>
                <w:highlight w:val="none"/>
              </w:rPr>
              <w:t>8</w:t>
            </w:r>
          </w:p>
        </w:tc>
        <w:tc>
          <w:tcPr>
            <w:tcW w:w="4612" w:type="dxa"/>
            <w:shd w:val="clear" w:color="auto" w:fill="auto"/>
            <w:vAlign w:val="center"/>
          </w:tcPr>
          <w:p w14:paraId="41BFB0D1">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热媒管（薄壁不锈钢管DN50）</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工程内容</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1、管道、管件、止水环、伸缩节、阻火圈、堵头等及弯管的制作.安装                                                                       2、凿刨沟槽及修补、板槽施工及修补、孔洞打凿及修补</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3、支架制作安装</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4、除锈、刷油、防腐</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5、挖填土方</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6、管网冲洗</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7、水压及泄漏试验</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8、完成管道安装的其他一切相关工程内容及材料费用</w:t>
            </w:r>
          </w:p>
        </w:tc>
        <w:tc>
          <w:tcPr>
            <w:tcW w:w="618" w:type="dxa"/>
            <w:shd w:val="clear" w:color="auto" w:fill="auto"/>
            <w:vAlign w:val="center"/>
          </w:tcPr>
          <w:p w14:paraId="450F58E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m</w:t>
            </w:r>
          </w:p>
        </w:tc>
        <w:tc>
          <w:tcPr>
            <w:tcW w:w="939" w:type="dxa"/>
            <w:shd w:val="clear" w:color="auto" w:fill="auto"/>
            <w:vAlign w:val="center"/>
          </w:tcPr>
          <w:p w14:paraId="6E355740">
            <w:pPr>
              <w:widowControl/>
              <w:jc w:val="center"/>
              <w:textAlignment w:val="center"/>
              <w:rPr>
                <w:rFonts w:ascii="Arial" w:hAnsi="Arial" w:cs="Arial"/>
                <w:color w:val="auto"/>
                <w:sz w:val="20"/>
                <w:szCs w:val="20"/>
                <w:highlight w:val="none"/>
              </w:rPr>
            </w:pPr>
            <w:r>
              <w:rPr>
                <w:rFonts w:ascii="Arial" w:hAnsi="Arial" w:cs="Arial"/>
                <w:color w:val="auto"/>
                <w:kern w:val="0"/>
                <w:sz w:val="20"/>
                <w:szCs w:val="20"/>
                <w:highlight w:val="none"/>
              </w:rPr>
              <w:t xml:space="preserve"> 9.00 </w:t>
            </w:r>
          </w:p>
        </w:tc>
        <w:tc>
          <w:tcPr>
            <w:tcW w:w="0" w:type="auto"/>
            <w:shd w:val="clear" w:color="auto" w:fill="auto"/>
            <w:noWrap/>
            <w:vAlign w:val="center"/>
          </w:tcPr>
          <w:p w14:paraId="76A63404">
            <w:pPr>
              <w:jc w:val="center"/>
              <w:rPr>
                <w:rFonts w:ascii="Arial" w:hAnsi="Arial" w:cs="Arial"/>
                <w:color w:val="auto"/>
                <w:sz w:val="20"/>
                <w:szCs w:val="20"/>
                <w:highlight w:val="none"/>
              </w:rPr>
            </w:pPr>
          </w:p>
        </w:tc>
      </w:tr>
      <w:tr w14:paraId="536CD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1316" w:type="dxa"/>
            <w:shd w:val="clear" w:color="auto" w:fill="FFFFFF"/>
            <w:vAlign w:val="center"/>
          </w:tcPr>
          <w:p w14:paraId="1AF56063">
            <w:pPr>
              <w:widowControl/>
              <w:jc w:val="center"/>
              <w:textAlignment w:val="center"/>
              <w:rPr>
                <w:rFonts w:ascii="Arial" w:hAnsi="Arial" w:cs="Arial"/>
                <w:color w:val="auto"/>
                <w:sz w:val="20"/>
                <w:szCs w:val="20"/>
                <w:highlight w:val="none"/>
              </w:rPr>
            </w:pPr>
            <w:r>
              <w:rPr>
                <w:rFonts w:ascii="Arial" w:hAnsi="Arial" w:cs="Arial"/>
                <w:color w:val="auto"/>
                <w:kern w:val="0"/>
                <w:sz w:val="20"/>
                <w:szCs w:val="20"/>
                <w:highlight w:val="none"/>
              </w:rPr>
              <w:t>9</w:t>
            </w:r>
          </w:p>
        </w:tc>
        <w:tc>
          <w:tcPr>
            <w:tcW w:w="4612" w:type="dxa"/>
            <w:shd w:val="clear" w:color="auto" w:fill="auto"/>
            <w:vAlign w:val="center"/>
          </w:tcPr>
          <w:p w14:paraId="10E3A4BE">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止回阀 DN40</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工程内容</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1、安装</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2、水压试验</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3、系统调试</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4、完成阀门安装的其他一切相关工程内容及材料费用</w:t>
            </w:r>
          </w:p>
        </w:tc>
        <w:tc>
          <w:tcPr>
            <w:tcW w:w="618" w:type="dxa"/>
            <w:shd w:val="clear" w:color="auto" w:fill="auto"/>
            <w:vAlign w:val="center"/>
          </w:tcPr>
          <w:p w14:paraId="26353F4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个</w:t>
            </w:r>
          </w:p>
        </w:tc>
        <w:tc>
          <w:tcPr>
            <w:tcW w:w="939" w:type="dxa"/>
            <w:shd w:val="clear" w:color="auto" w:fill="auto"/>
            <w:vAlign w:val="center"/>
          </w:tcPr>
          <w:p w14:paraId="3475845D">
            <w:pPr>
              <w:widowControl/>
              <w:jc w:val="center"/>
              <w:textAlignment w:val="center"/>
              <w:rPr>
                <w:rFonts w:ascii="Arial" w:hAnsi="Arial" w:cs="Arial"/>
                <w:color w:val="auto"/>
                <w:sz w:val="20"/>
                <w:szCs w:val="20"/>
                <w:highlight w:val="none"/>
              </w:rPr>
            </w:pPr>
            <w:r>
              <w:rPr>
                <w:rFonts w:ascii="Arial" w:hAnsi="Arial" w:cs="Arial"/>
                <w:color w:val="auto"/>
                <w:kern w:val="0"/>
                <w:sz w:val="20"/>
                <w:szCs w:val="20"/>
                <w:highlight w:val="none"/>
              </w:rPr>
              <w:t xml:space="preserve"> 4.00 </w:t>
            </w:r>
          </w:p>
        </w:tc>
        <w:tc>
          <w:tcPr>
            <w:tcW w:w="0" w:type="auto"/>
            <w:shd w:val="clear" w:color="auto" w:fill="auto"/>
            <w:noWrap/>
            <w:vAlign w:val="center"/>
          </w:tcPr>
          <w:p w14:paraId="6451E5BC">
            <w:pPr>
              <w:jc w:val="center"/>
              <w:rPr>
                <w:rFonts w:ascii="宋体" w:hAnsi="宋体" w:cs="宋体"/>
                <w:color w:val="auto"/>
                <w:sz w:val="20"/>
                <w:szCs w:val="20"/>
                <w:highlight w:val="none"/>
              </w:rPr>
            </w:pPr>
          </w:p>
        </w:tc>
      </w:tr>
      <w:tr w14:paraId="27768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1316" w:type="dxa"/>
            <w:shd w:val="clear" w:color="auto" w:fill="FFFFFF"/>
            <w:vAlign w:val="center"/>
          </w:tcPr>
          <w:p w14:paraId="4813CB0F">
            <w:pPr>
              <w:widowControl/>
              <w:jc w:val="center"/>
              <w:textAlignment w:val="center"/>
              <w:rPr>
                <w:rFonts w:ascii="Arial" w:hAnsi="Arial" w:cs="Arial"/>
                <w:color w:val="auto"/>
                <w:sz w:val="20"/>
                <w:szCs w:val="20"/>
                <w:highlight w:val="none"/>
              </w:rPr>
            </w:pPr>
            <w:r>
              <w:rPr>
                <w:rFonts w:ascii="Arial" w:hAnsi="Arial" w:cs="Arial"/>
                <w:color w:val="auto"/>
                <w:kern w:val="0"/>
                <w:sz w:val="20"/>
                <w:szCs w:val="20"/>
                <w:highlight w:val="none"/>
              </w:rPr>
              <w:t>10</w:t>
            </w:r>
          </w:p>
        </w:tc>
        <w:tc>
          <w:tcPr>
            <w:tcW w:w="4612" w:type="dxa"/>
            <w:shd w:val="clear" w:color="auto" w:fill="auto"/>
            <w:vAlign w:val="center"/>
          </w:tcPr>
          <w:p w14:paraId="69348E28">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止回阀 DN50</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工程内容</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1、安装</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2、水压试验</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3、系统调试</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4、完成阀门安装的其他一切相关工程内容及材料费用</w:t>
            </w:r>
          </w:p>
        </w:tc>
        <w:tc>
          <w:tcPr>
            <w:tcW w:w="618" w:type="dxa"/>
            <w:shd w:val="clear" w:color="auto" w:fill="auto"/>
            <w:vAlign w:val="center"/>
          </w:tcPr>
          <w:p w14:paraId="24C7909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个</w:t>
            </w:r>
          </w:p>
        </w:tc>
        <w:tc>
          <w:tcPr>
            <w:tcW w:w="939" w:type="dxa"/>
            <w:shd w:val="clear" w:color="auto" w:fill="auto"/>
            <w:vAlign w:val="center"/>
          </w:tcPr>
          <w:p w14:paraId="43D24DC6">
            <w:pPr>
              <w:widowControl/>
              <w:jc w:val="center"/>
              <w:textAlignment w:val="center"/>
              <w:rPr>
                <w:rFonts w:ascii="Arial" w:hAnsi="Arial" w:cs="Arial"/>
                <w:color w:val="auto"/>
                <w:sz w:val="20"/>
                <w:szCs w:val="20"/>
                <w:highlight w:val="none"/>
              </w:rPr>
            </w:pPr>
            <w:r>
              <w:rPr>
                <w:rFonts w:ascii="Arial" w:hAnsi="Arial" w:cs="Arial"/>
                <w:color w:val="auto"/>
                <w:kern w:val="0"/>
                <w:sz w:val="20"/>
                <w:szCs w:val="20"/>
                <w:highlight w:val="none"/>
              </w:rPr>
              <w:t xml:space="preserve"> 1.00 </w:t>
            </w:r>
          </w:p>
        </w:tc>
        <w:tc>
          <w:tcPr>
            <w:tcW w:w="0" w:type="auto"/>
            <w:shd w:val="clear" w:color="auto" w:fill="auto"/>
            <w:noWrap/>
            <w:vAlign w:val="center"/>
          </w:tcPr>
          <w:p w14:paraId="103E02DE">
            <w:pPr>
              <w:jc w:val="center"/>
              <w:rPr>
                <w:rFonts w:ascii="宋体" w:hAnsi="宋体" w:cs="宋体"/>
                <w:color w:val="auto"/>
                <w:sz w:val="20"/>
                <w:szCs w:val="20"/>
                <w:highlight w:val="none"/>
              </w:rPr>
            </w:pPr>
          </w:p>
        </w:tc>
      </w:tr>
      <w:tr w14:paraId="75132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1316" w:type="dxa"/>
            <w:shd w:val="clear" w:color="auto" w:fill="FFFFFF"/>
            <w:vAlign w:val="center"/>
          </w:tcPr>
          <w:p w14:paraId="6550E09C">
            <w:pPr>
              <w:widowControl/>
              <w:jc w:val="center"/>
              <w:textAlignment w:val="center"/>
              <w:rPr>
                <w:rFonts w:ascii="Arial" w:hAnsi="Arial" w:cs="Arial"/>
                <w:color w:val="auto"/>
                <w:sz w:val="20"/>
                <w:szCs w:val="20"/>
                <w:highlight w:val="none"/>
              </w:rPr>
            </w:pPr>
            <w:r>
              <w:rPr>
                <w:rFonts w:ascii="Arial" w:hAnsi="Arial" w:cs="Arial"/>
                <w:color w:val="auto"/>
                <w:kern w:val="0"/>
                <w:sz w:val="20"/>
                <w:szCs w:val="20"/>
                <w:highlight w:val="none"/>
              </w:rPr>
              <w:t>11</w:t>
            </w:r>
          </w:p>
        </w:tc>
        <w:tc>
          <w:tcPr>
            <w:tcW w:w="4612" w:type="dxa"/>
            <w:shd w:val="clear" w:color="auto" w:fill="auto"/>
            <w:vAlign w:val="center"/>
          </w:tcPr>
          <w:p w14:paraId="027F5D06">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Y型过滤器 DN50</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工程内容</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1、安装</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2、水压试验</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3、系统调试</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4、完成阀门安装的其他一切相关工程内容及材料费用</w:t>
            </w:r>
          </w:p>
        </w:tc>
        <w:tc>
          <w:tcPr>
            <w:tcW w:w="618" w:type="dxa"/>
            <w:shd w:val="clear" w:color="auto" w:fill="auto"/>
            <w:vAlign w:val="center"/>
          </w:tcPr>
          <w:p w14:paraId="7DEB799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个</w:t>
            </w:r>
          </w:p>
        </w:tc>
        <w:tc>
          <w:tcPr>
            <w:tcW w:w="939" w:type="dxa"/>
            <w:shd w:val="clear" w:color="auto" w:fill="auto"/>
            <w:vAlign w:val="center"/>
          </w:tcPr>
          <w:p w14:paraId="0998CAF8">
            <w:pPr>
              <w:widowControl/>
              <w:jc w:val="center"/>
              <w:textAlignment w:val="center"/>
              <w:rPr>
                <w:rFonts w:ascii="Arial" w:hAnsi="Arial" w:cs="Arial"/>
                <w:color w:val="auto"/>
                <w:sz w:val="20"/>
                <w:szCs w:val="20"/>
                <w:highlight w:val="none"/>
              </w:rPr>
            </w:pPr>
            <w:r>
              <w:rPr>
                <w:rFonts w:ascii="Arial" w:hAnsi="Arial" w:cs="Arial"/>
                <w:color w:val="auto"/>
                <w:kern w:val="0"/>
                <w:sz w:val="20"/>
                <w:szCs w:val="20"/>
                <w:highlight w:val="none"/>
              </w:rPr>
              <w:t xml:space="preserve"> 1.00 </w:t>
            </w:r>
          </w:p>
        </w:tc>
        <w:tc>
          <w:tcPr>
            <w:tcW w:w="0" w:type="auto"/>
            <w:shd w:val="clear" w:color="auto" w:fill="auto"/>
            <w:noWrap/>
            <w:vAlign w:val="center"/>
          </w:tcPr>
          <w:p w14:paraId="2586134F">
            <w:pPr>
              <w:jc w:val="center"/>
              <w:rPr>
                <w:rFonts w:ascii="宋体" w:hAnsi="宋体" w:cs="宋体"/>
                <w:color w:val="auto"/>
                <w:sz w:val="20"/>
                <w:szCs w:val="20"/>
                <w:highlight w:val="none"/>
              </w:rPr>
            </w:pPr>
          </w:p>
        </w:tc>
      </w:tr>
      <w:tr w14:paraId="5A247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1316" w:type="dxa"/>
            <w:shd w:val="clear" w:color="auto" w:fill="FFFFFF"/>
            <w:vAlign w:val="center"/>
          </w:tcPr>
          <w:p w14:paraId="1E1E1E98">
            <w:pPr>
              <w:widowControl/>
              <w:jc w:val="center"/>
              <w:textAlignment w:val="center"/>
              <w:rPr>
                <w:rFonts w:ascii="Arial" w:hAnsi="Arial" w:cs="Arial"/>
                <w:color w:val="auto"/>
                <w:sz w:val="20"/>
                <w:szCs w:val="20"/>
                <w:highlight w:val="none"/>
              </w:rPr>
            </w:pPr>
            <w:r>
              <w:rPr>
                <w:rFonts w:ascii="Arial" w:hAnsi="Arial" w:cs="Arial"/>
                <w:color w:val="auto"/>
                <w:kern w:val="0"/>
                <w:sz w:val="20"/>
                <w:szCs w:val="20"/>
                <w:highlight w:val="none"/>
              </w:rPr>
              <w:t>12</w:t>
            </w:r>
          </w:p>
        </w:tc>
        <w:tc>
          <w:tcPr>
            <w:tcW w:w="4612" w:type="dxa"/>
            <w:shd w:val="clear" w:color="auto" w:fill="auto"/>
            <w:vAlign w:val="center"/>
          </w:tcPr>
          <w:p w14:paraId="4B49E3B5">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可曲挠橡胶接头 DN40</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工程内容</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1、安装</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2、水压试验</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3、系统调试</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4、完成可曲挠橡胶接头安装的其他一切相关工程内容及材料费用</w:t>
            </w:r>
          </w:p>
        </w:tc>
        <w:tc>
          <w:tcPr>
            <w:tcW w:w="618" w:type="dxa"/>
            <w:shd w:val="clear" w:color="auto" w:fill="auto"/>
            <w:vAlign w:val="center"/>
          </w:tcPr>
          <w:p w14:paraId="64BC940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个</w:t>
            </w:r>
          </w:p>
        </w:tc>
        <w:tc>
          <w:tcPr>
            <w:tcW w:w="939" w:type="dxa"/>
            <w:shd w:val="clear" w:color="auto" w:fill="auto"/>
            <w:vAlign w:val="center"/>
          </w:tcPr>
          <w:p w14:paraId="41F36A04">
            <w:pPr>
              <w:widowControl/>
              <w:jc w:val="center"/>
              <w:textAlignment w:val="center"/>
              <w:rPr>
                <w:rFonts w:ascii="Arial" w:hAnsi="Arial" w:cs="Arial"/>
                <w:color w:val="auto"/>
                <w:sz w:val="20"/>
                <w:szCs w:val="20"/>
                <w:highlight w:val="none"/>
              </w:rPr>
            </w:pPr>
            <w:r>
              <w:rPr>
                <w:rFonts w:ascii="Arial" w:hAnsi="Arial" w:cs="Arial"/>
                <w:color w:val="auto"/>
                <w:kern w:val="0"/>
                <w:sz w:val="20"/>
                <w:szCs w:val="20"/>
                <w:highlight w:val="none"/>
              </w:rPr>
              <w:t xml:space="preserve"> 8.00 </w:t>
            </w:r>
          </w:p>
        </w:tc>
        <w:tc>
          <w:tcPr>
            <w:tcW w:w="0" w:type="auto"/>
            <w:shd w:val="clear" w:color="auto" w:fill="auto"/>
            <w:noWrap/>
            <w:vAlign w:val="center"/>
          </w:tcPr>
          <w:p w14:paraId="63C9E89D">
            <w:pPr>
              <w:jc w:val="center"/>
              <w:rPr>
                <w:rFonts w:ascii="宋体" w:hAnsi="宋体" w:cs="宋体"/>
                <w:color w:val="auto"/>
                <w:sz w:val="20"/>
                <w:szCs w:val="20"/>
                <w:highlight w:val="none"/>
              </w:rPr>
            </w:pPr>
          </w:p>
        </w:tc>
      </w:tr>
      <w:tr w14:paraId="7C5AA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1316" w:type="dxa"/>
            <w:shd w:val="clear" w:color="auto" w:fill="FFFFFF"/>
            <w:vAlign w:val="center"/>
          </w:tcPr>
          <w:p w14:paraId="4A9B86EA">
            <w:pPr>
              <w:widowControl/>
              <w:jc w:val="center"/>
              <w:textAlignment w:val="center"/>
              <w:rPr>
                <w:rFonts w:ascii="Arial" w:hAnsi="Arial" w:cs="Arial"/>
                <w:color w:val="auto"/>
                <w:sz w:val="20"/>
                <w:szCs w:val="20"/>
                <w:highlight w:val="none"/>
              </w:rPr>
            </w:pPr>
            <w:r>
              <w:rPr>
                <w:rFonts w:ascii="Arial" w:hAnsi="Arial" w:cs="Arial"/>
                <w:color w:val="auto"/>
                <w:kern w:val="0"/>
                <w:sz w:val="20"/>
                <w:szCs w:val="20"/>
                <w:highlight w:val="none"/>
              </w:rPr>
              <w:t>13</w:t>
            </w:r>
          </w:p>
        </w:tc>
        <w:tc>
          <w:tcPr>
            <w:tcW w:w="4612" w:type="dxa"/>
            <w:shd w:val="clear" w:color="auto" w:fill="auto"/>
            <w:vAlign w:val="center"/>
          </w:tcPr>
          <w:p w14:paraId="791014CD">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旁通阀 DN50</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工程内容</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1、安装</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2、水压试验</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3、系统调试</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4、完成阀门安装的其他一切相关工程内容及材料费用</w:t>
            </w:r>
          </w:p>
        </w:tc>
        <w:tc>
          <w:tcPr>
            <w:tcW w:w="618" w:type="dxa"/>
            <w:shd w:val="clear" w:color="auto" w:fill="auto"/>
            <w:vAlign w:val="center"/>
          </w:tcPr>
          <w:p w14:paraId="22012DC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个</w:t>
            </w:r>
          </w:p>
        </w:tc>
        <w:tc>
          <w:tcPr>
            <w:tcW w:w="939" w:type="dxa"/>
            <w:shd w:val="clear" w:color="auto" w:fill="auto"/>
            <w:vAlign w:val="center"/>
          </w:tcPr>
          <w:p w14:paraId="7629F1DC">
            <w:pPr>
              <w:widowControl/>
              <w:jc w:val="center"/>
              <w:textAlignment w:val="center"/>
              <w:rPr>
                <w:rFonts w:ascii="Arial" w:hAnsi="Arial" w:cs="Arial"/>
                <w:color w:val="auto"/>
                <w:sz w:val="20"/>
                <w:szCs w:val="20"/>
                <w:highlight w:val="none"/>
              </w:rPr>
            </w:pPr>
            <w:r>
              <w:rPr>
                <w:rFonts w:ascii="Arial" w:hAnsi="Arial" w:cs="Arial"/>
                <w:color w:val="auto"/>
                <w:kern w:val="0"/>
                <w:sz w:val="20"/>
                <w:szCs w:val="20"/>
                <w:highlight w:val="none"/>
              </w:rPr>
              <w:t xml:space="preserve"> 1.00 </w:t>
            </w:r>
          </w:p>
        </w:tc>
        <w:tc>
          <w:tcPr>
            <w:tcW w:w="0" w:type="auto"/>
            <w:shd w:val="clear" w:color="auto" w:fill="auto"/>
            <w:noWrap/>
            <w:vAlign w:val="center"/>
          </w:tcPr>
          <w:p w14:paraId="6D156648">
            <w:pPr>
              <w:jc w:val="center"/>
              <w:rPr>
                <w:rFonts w:ascii="Arial" w:hAnsi="Arial" w:cs="Arial"/>
                <w:color w:val="auto"/>
                <w:sz w:val="20"/>
                <w:szCs w:val="20"/>
                <w:highlight w:val="none"/>
              </w:rPr>
            </w:pPr>
          </w:p>
        </w:tc>
      </w:tr>
      <w:tr w14:paraId="16013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1316" w:type="dxa"/>
            <w:shd w:val="clear" w:color="auto" w:fill="FFFFFF"/>
            <w:vAlign w:val="center"/>
          </w:tcPr>
          <w:p w14:paraId="15FDC68E">
            <w:pPr>
              <w:widowControl/>
              <w:jc w:val="center"/>
              <w:textAlignment w:val="center"/>
              <w:rPr>
                <w:rFonts w:ascii="Arial" w:hAnsi="Arial" w:cs="Arial"/>
                <w:color w:val="auto"/>
                <w:sz w:val="20"/>
                <w:szCs w:val="20"/>
                <w:highlight w:val="none"/>
              </w:rPr>
            </w:pPr>
            <w:r>
              <w:rPr>
                <w:rFonts w:ascii="Arial" w:hAnsi="Arial" w:cs="Arial"/>
                <w:color w:val="auto"/>
                <w:kern w:val="0"/>
                <w:sz w:val="20"/>
                <w:szCs w:val="20"/>
                <w:highlight w:val="none"/>
              </w:rPr>
              <w:t>14</w:t>
            </w:r>
          </w:p>
        </w:tc>
        <w:tc>
          <w:tcPr>
            <w:tcW w:w="4612" w:type="dxa"/>
            <w:shd w:val="clear" w:color="auto" w:fill="auto"/>
            <w:vAlign w:val="center"/>
          </w:tcPr>
          <w:p w14:paraId="6CC37763">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安全泄压阀 DN50</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工程内容</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1、安装</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2、水压试验</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3、系统调试</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4、完成阀门安装的其他一切相关工程内容及材料费用</w:t>
            </w:r>
          </w:p>
        </w:tc>
        <w:tc>
          <w:tcPr>
            <w:tcW w:w="618" w:type="dxa"/>
            <w:shd w:val="clear" w:color="auto" w:fill="auto"/>
            <w:vAlign w:val="center"/>
          </w:tcPr>
          <w:p w14:paraId="4BA894B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个</w:t>
            </w:r>
          </w:p>
        </w:tc>
        <w:tc>
          <w:tcPr>
            <w:tcW w:w="939" w:type="dxa"/>
            <w:shd w:val="clear" w:color="auto" w:fill="auto"/>
            <w:vAlign w:val="center"/>
          </w:tcPr>
          <w:p w14:paraId="0D9DC91B">
            <w:pPr>
              <w:widowControl/>
              <w:jc w:val="center"/>
              <w:textAlignment w:val="center"/>
              <w:rPr>
                <w:rFonts w:ascii="Arial" w:hAnsi="Arial" w:cs="Arial"/>
                <w:color w:val="auto"/>
                <w:sz w:val="20"/>
                <w:szCs w:val="20"/>
                <w:highlight w:val="none"/>
              </w:rPr>
            </w:pPr>
            <w:r>
              <w:rPr>
                <w:rFonts w:ascii="Arial" w:hAnsi="Arial" w:cs="Arial"/>
                <w:color w:val="auto"/>
                <w:kern w:val="0"/>
                <w:sz w:val="20"/>
                <w:szCs w:val="20"/>
                <w:highlight w:val="none"/>
              </w:rPr>
              <w:t xml:space="preserve"> 1.00 </w:t>
            </w:r>
          </w:p>
        </w:tc>
        <w:tc>
          <w:tcPr>
            <w:tcW w:w="0" w:type="auto"/>
            <w:shd w:val="clear" w:color="auto" w:fill="auto"/>
            <w:noWrap/>
            <w:vAlign w:val="center"/>
          </w:tcPr>
          <w:p w14:paraId="27BB57F1">
            <w:pPr>
              <w:jc w:val="center"/>
              <w:rPr>
                <w:rFonts w:ascii="Arial" w:hAnsi="Arial" w:cs="Arial"/>
                <w:color w:val="auto"/>
                <w:sz w:val="20"/>
                <w:szCs w:val="20"/>
                <w:highlight w:val="none"/>
              </w:rPr>
            </w:pPr>
          </w:p>
        </w:tc>
      </w:tr>
      <w:tr w14:paraId="73BA2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1316" w:type="dxa"/>
            <w:shd w:val="clear" w:color="auto" w:fill="FFFFFF"/>
            <w:vAlign w:val="center"/>
          </w:tcPr>
          <w:p w14:paraId="643F0805">
            <w:pPr>
              <w:widowControl/>
              <w:jc w:val="center"/>
              <w:textAlignment w:val="center"/>
              <w:rPr>
                <w:rFonts w:ascii="Arial" w:hAnsi="Arial" w:cs="Arial"/>
                <w:color w:val="auto"/>
                <w:sz w:val="20"/>
                <w:szCs w:val="20"/>
                <w:highlight w:val="none"/>
              </w:rPr>
            </w:pPr>
            <w:r>
              <w:rPr>
                <w:rFonts w:ascii="Arial" w:hAnsi="Arial" w:cs="Arial"/>
                <w:color w:val="auto"/>
                <w:kern w:val="0"/>
                <w:sz w:val="20"/>
                <w:szCs w:val="20"/>
                <w:highlight w:val="none"/>
              </w:rPr>
              <w:t>15</w:t>
            </w:r>
          </w:p>
        </w:tc>
        <w:tc>
          <w:tcPr>
            <w:tcW w:w="4612" w:type="dxa"/>
            <w:shd w:val="clear" w:color="auto" w:fill="auto"/>
            <w:vAlign w:val="center"/>
          </w:tcPr>
          <w:p w14:paraId="1D0D2789">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水表安装DN50</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工程内容</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1、水表安装</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2、检验调试</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3、系统调试</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4、完成水表安装的其他一切相关工程内容及材料费用 </w:t>
            </w:r>
          </w:p>
        </w:tc>
        <w:tc>
          <w:tcPr>
            <w:tcW w:w="618" w:type="dxa"/>
            <w:shd w:val="clear" w:color="auto" w:fill="auto"/>
            <w:vAlign w:val="center"/>
          </w:tcPr>
          <w:p w14:paraId="40FA4AA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个</w:t>
            </w:r>
          </w:p>
        </w:tc>
        <w:tc>
          <w:tcPr>
            <w:tcW w:w="939" w:type="dxa"/>
            <w:shd w:val="clear" w:color="auto" w:fill="auto"/>
            <w:vAlign w:val="center"/>
          </w:tcPr>
          <w:p w14:paraId="470A4E2D">
            <w:pPr>
              <w:widowControl/>
              <w:jc w:val="center"/>
              <w:textAlignment w:val="center"/>
              <w:rPr>
                <w:rFonts w:ascii="Arial" w:hAnsi="Arial" w:cs="Arial"/>
                <w:color w:val="auto"/>
                <w:sz w:val="20"/>
                <w:szCs w:val="20"/>
                <w:highlight w:val="none"/>
              </w:rPr>
            </w:pPr>
            <w:r>
              <w:rPr>
                <w:rFonts w:ascii="Arial" w:hAnsi="Arial" w:cs="Arial"/>
                <w:color w:val="auto"/>
                <w:kern w:val="0"/>
                <w:sz w:val="20"/>
                <w:szCs w:val="20"/>
                <w:highlight w:val="none"/>
              </w:rPr>
              <w:t xml:space="preserve"> 1.00 </w:t>
            </w:r>
          </w:p>
        </w:tc>
        <w:tc>
          <w:tcPr>
            <w:tcW w:w="0" w:type="auto"/>
            <w:shd w:val="clear" w:color="auto" w:fill="auto"/>
            <w:noWrap/>
            <w:vAlign w:val="center"/>
          </w:tcPr>
          <w:p w14:paraId="7080BD9E">
            <w:pPr>
              <w:jc w:val="center"/>
              <w:rPr>
                <w:rFonts w:ascii="Arial" w:hAnsi="Arial" w:cs="Arial"/>
                <w:color w:val="auto"/>
                <w:sz w:val="20"/>
                <w:szCs w:val="20"/>
                <w:highlight w:val="none"/>
              </w:rPr>
            </w:pPr>
          </w:p>
        </w:tc>
      </w:tr>
      <w:tr w14:paraId="63964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1316" w:type="dxa"/>
            <w:shd w:val="clear" w:color="auto" w:fill="FFFFFF"/>
            <w:vAlign w:val="center"/>
          </w:tcPr>
          <w:p w14:paraId="1ED01339">
            <w:pPr>
              <w:widowControl/>
              <w:jc w:val="center"/>
              <w:textAlignment w:val="center"/>
              <w:rPr>
                <w:rFonts w:ascii="Arial" w:hAnsi="Arial" w:cs="Arial"/>
                <w:color w:val="auto"/>
                <w:sz w:val="20"/>
                <w:szCs w:val="20"/>
                <w:highlight w:val="none"/>
              </w:rPr>
            </w:pPr>
            <w:r>
              <w:rPr>
                <w:rFonts w:ascii="Arial" w:hAnsi="Arial" w:cs="Arial"/>
                <w:color w:val="auto"/>
                <w:kern w:val="0"/>
                <w:sz w:val="20"/>
                <w:szCs w:val="20"/>
                <w:highlight w:val="none"/>
              </w:rPr>
              <w:t>16</w:t>
            </w:r>
          </w:p>
        </w:tc>
        <w:tc>
          <w:tcPr>
            <w:tcW w:w="4612" w:type="dxa"/>
            <w:shd w:val="clear" w:color="auto" w:fill="auto"/>
            <w:vAlign w:val="center"/>
          </w:tcPr>
          <w:p w14:paraId="6F50222B">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截止阀 DN40</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工程内容</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1、安装</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2、水压试验</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3、系统调试</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4、完成阀门安装的其他一切相关工程内容及材料费用</w:t>
            </w:r>
          </w:p>
        </w:tc>
        <w:tc>
          <w:tcPr>
            <w:tcW w:w="618" w:type="dxa"/>
            <w:shd w:val="clear" w:color="auto" w:fill="auto"/>
            <w:vAlign w:val="center"/>
          </w:tcPr>
          <w:p w14:paraId="2F4A383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个</w:t>
            </w:r>
          </w:p>
        </w:tc>
        <w:tc>
          <w:tcPr>
            <w:tcW w:w="939" w:type="dxa"/>
            <w:shd w:val="clear" w:color="auto" w:fill="auto"/>
            <w:vAlign w:val="center"/>
          </w:tcPr>
          <w:p w14:paraId="07AD84FF">
            <w:pPr>
              <w:widowControl/>
              <w:jc w:val="center"/>
              <w:textAlignment w:val="center"/>
              <w:rPr>
                <w:rFonts w:ascii="Arial" w:hAnsi="Arial" w:cs="Arial"/>
                <w:color w:val="auto"/>
                <w:sz w:val="20"/>
                <w:szCs w:val="20"/>
                <w:highlight w:val="none"/>
              </w:rPr>
            </w:pPr>
            <w:r>
              <w:rPr>
                <w:rFonts w:ascii="Arial" w:hAnsi="Arial" w:cs="Arial"/>
                <w:color w:val="auto"/>
                <w:kern w:val="0"/>
                <w:sz w:val="20"/>
                <w:szCs w:val="20"/>
                <w:highlight w:val="none"/>
              </w:rPr>
              <w:t xml:space="preserve"> 3.00 </w:t>
            </w:r>
          </w:p>
        </w:tc>
        <w:tc>
          <w:tcPr>
            <w:tcW w:w="0" w:type="auto"/>
            <w:shd w:val="clear" w:color="auto" w:fill="auto"/>
            <w:noWrap/>
            <w:vAlign w:val="center"/>
          </w:tcPr>
          <w:p w14:paraId="6A2B44A2">
            <w:pPr>
              <w:jc w:val="center"/>
              <w:rPr>
                <w:rFonts w:ascii="Arial" w:hAnsi="Arial" w:cs="Arial"/>
                <w:color w:val="auto"/>
                <w:sz w:val="20"/>
                <w:szCs w:val="20"/>
                <w:highlight w:val="none"/>
              </w:rPr>
            </w:pPr>
          </w:p>
        </w:tc>
      </w:tr>
      <w:tr w14:paraId="10EDE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1316" w:type="dxa"/>
            <w:shd w:val="clear" w:color="auto" w:fill="FFFFFF"/>
            <w:vAlign w:val="center"/>
          </w:tcPr>
          <w:p w14:paraId="2FCEE77A">
            <w:pPr>
              <w:widowControl/>
              <w:jc w:val="center"/>
              <w:textAlignment w:val="center"/>
              <w:rPr>
                <w:rFonts w:ascii="Arial" w:hAnsi="Arial" w:cs="Arial"/>
                <w:color w:val="auto"/>
                <w:sz w:val="20"/>
                <w:szCs w:val="20"/>
                <w:highlight w:val="none"/>
              </w:rPr>
            </w:pPr>
            <w:r>
              <w:rPr>
                <w:rFonts w:ascii="Arial" w:hAnsi="Arial" w:cs="Arial"/>
                <w:color w:val="auto"/>
                <w:kern w:val="0"/>
                <w:sz w:val="20"/>
                <w:szCs w:val="20"/>
                <w:highlight w:val="none"/>
              </w:rPr>
              <w:t>17</w:t>
            </w:r>
          </w:p>
        </w:tc>
        <w:tc>
          <w:tcPr>
            <w:tcW w:w="4612" w:type="dxa"/>
            <w:shd w:val="clear" w:color="auto" w:fill="auto"/>
            <w:vAlign w:val="center"/>
          </w:tcPr>
          <w:p w14:paraId="3D24F8E4">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截止阀 DN50</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工程内容</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1、安装</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2、水压试验</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3、系统调试</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4、完成阀门安装的其他一切相关工程内容及材料费用</w:t>
            </w:r>
          </w:p>
        </w:tc>
        <w:tc>
          <w:tcPr>
            <w:tcW w:w="618" w:type="dxa"/>
            <w:shd w:val="clear" w:color="auto" w:fill="auto"/>
            <w:vAlign w:val="center"/>
          </w:tcPr>
          <w:p w14:paraId="396D4F2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个</w:t>
            </w:r>
          </w:p>
        </w:tc>
        <w:tc>
          <w:tcPr>
            <w:tcW w:w="939" w:type="dxa"/>
            <w:shd w:val="clear" w:color="auto" w:fill="auto"/>
            <w:vAlign w:val="center"/>
          </w:tcPr>
          <w:p w14:paraId="1237D054">
            <w:pPr>
              <w:widowControl/>
              <w:jc w:val="center"/>
              <w:textAlignment w:val="center"/>
              <w:rPr>
                <w:rFonts w:ascii="Arial" w:hAnsi="Arial" w:cs="Arial"/>
                <w:color w:val="auto"/>
                <w:sz w:val="20"/>
                <w:szCs w:val="20"/>
                <w:highlight w:val="none"/>
              </w:rPr>
            </w:pPr>
            <w:r>
              <w:rPr>
                <w:rFonts w:ascii="Arial" w:hAnsi="Arial" w:cs="Arial"/>
                <w:color w:val="auto"/>
                <w:kern w:val="0"/>
                <w:sz w:val="20"/>
                <w:szCs w:val="20"/>
                <w:highlight w:val="none"/>
              </w:rPr>
              <w:t xml:space="preserve"> 2.00 </w:t>
            </w:r>
          </w:p>
        </w:tc>
        <w:tc>
          <w:tcPr>
            <w:tcW w:w="0" w:type="auto"/>
            <w:shd w:val="clear" w:color="auto" w:fill="auto"/>
            <w:noWrap/>
            <w:vAlign w:val="center"/>
          </w:tcPr>
          <w:p w14:paraId="5EC94A9E">
            <w:pPr>
              <w:jc w:val="center"/>
              <w:rPr>
                <w:rFonts w:ascii="Arial" w:hAnsi="Arial" w:cs="Arial"/>
                <w:color w:val="auto"/>
                <w:sz w:val="20"/>
                <w:szCs w:val="20"/>
                <w:highlight w:val="none"/>
              </w:rPr>
            </w:pPr>
          </w:p>
        </w:tc>
      </w:tr>
      <w:tr w14:paraId="45DB8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1316" w:type="dxa"/>
            <w:shd w:val="clear" w:color="auto" w:fill="FFFFFF"/>
            <w:vAlign w:val="center"/>
          </w:tcPr>
          <w:p w14:paraId="702EBDCC">
            <w:pPr>
              <w:widowControl/>
              <w:jc w:val="center"/>
              <w:textAlignment w:val="center"/>
              <w:rPr>
                <w:rFonts w:ascii="Arial" w:hAnsi="Arial" w:cs="Arial"/>
                <w:color w:val="auto"/>
                <w:sz w:val="20"/>
                <w:szCs w:val="20"/>
                <w:highlight w:val="none"/>
              </w:rPr>
            </w:pPr>
            <w:r>
              <w:rPr>
                <w:rFonts w:ascii="Arial" w:hAnsi="Arial" w:cs="Arial"/>
                <w:color w:val="auto"/>
                <w:kern w:val="0"/>
                <w:sz w:val="20"/>
                <w:szCs w:val="20"/>
                <w:highlight w:val="none"/>
              </w:rPr>
              <w:t>18</w:t>
            </w:r>
          </w:p>
        </w:tc>
        <w:tc>
          <w:tcPr>
            <w:tcW w:w="4612" w:type="dxa"/>
            <w:shd w:val="clear" w:color="auto" w:fill="auto"/>
            <w:vAlign w:val="center"/>
          </w:tcPr>
          <w:p w14:paraId="5DFDC8C3">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闸阀 DN40</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工程内容</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1、安装</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2、水压试验</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3、系统调试</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4、完成阀门安装的其他一切相关工程内容及材料费用</w:t>
            </w:r>
          </w:p>
        </w:tc>
        <w:tc>
          <w:tcPr>
            <w:tcW w:w="618" w:type="dxa"/>
            <w:shd w:val="clear" w:color="auto" w:fill="auto"/>
            <w:vAlign w:val="center"/>
          </w:tcPr>
          <w:p w14:paraId="6F952DF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个</w:t>
            </w:r>
          </w:p>
        </w:tc>
        <w:tc>
          <w:tcPr>
            <w:tcW w:w="939" w:type="dxa"/>
            <w:shd w:val="clear" w:color="auto" w:fill="auto"/>
            <w:vAlign w:val="center"/>
          </w:tcPr>
          <w:p w14:paraId="5687E05B">
            <w:pPr>
              <w:widowControl/>
              <w:jc w:val="center"/>
              <w:textAlignment w:val="center"/>
              <w:rPr>
                <w:rFonts w:ascii="Arial" w:hAnsi="Arial" w:cs="Arial"/>
                <w:color w:val="auto"/>
                <w:sz w:val="20"/>
                <w:szCs w:val="20"/>
                <w:highlight w:val="none"/>
              </w:rPr>
            </w:pPr>
            <w:r>
              <w:rPr>
                <w:rFonts w:ascii="Arial" w:hAnsi="Arial" w:cs="Arial"/>
                <w:color w:val="auto"/>
                <w:kern w:val="0"/>
                <w:sz w:val="20"/>
                <w:szCs w:val="20"/>
                <w:highlight w:val="none"/>
              </w:rPr>
              <w:t xml:space="preserve"> 8.00 </w:t>
            </w:r>
          </w:p>
        </w:tc>
        <w:tc>
          <w:tcPr>
            <w:tcW w:w="0" w:type="auto"/>
            <w:shd w:val="clear" w:color="auto" w:fill="auto"/>
            <w:noWrap/>
            <w:vAlign w:val="center"/>
          </w:tcPr>
          <w:p w14:paraId="71F3A1BC">
            <w:pPr>
              <w:jc w:val="center"/>
              <w:rPr>
                <w:rFonts w:ascii="Arial" w:hAnsi="Arial" w:cs="Arial"/>
                <w:color w:val="auto"/>
                <w:sz w:val="20"/>
                <w:szCs w:val="20"/>
                <w:highlight w:val="none"/>
              </w:rPr>
            </w:pPr>
          </w:p>
        </w:tc>
      </w:tr>
      <w:tr w14:paraId="5C023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1316" w:type="dxa"/>
            <w:shd w:val="clear" w:color="auto" w:fill="FFFFFF"/>
            <w:vAlign w:val="center"/>
          </w:tcPr>
          <w:p w14:paraId="7CEA516C">
            <w:pPr>
              <w:widowControl/>
              <w:jc w:val="center"/>
              <w:textAlignment w:val="center"/>
              <w:rPr>
                <w:rFonts w:ascii="Arial" w:hAnsi="Arial" w:cs="Arial"/>
                <w:color w:val="auto"/>
                <w:sz w:val="20"/>
                <w:szCs w:val="20"/>
                <w:highlight w:val="none"/>
              </w:rPr>
            </w:pPr>
            <w:r>
              <w:rPr>
                <w:rFonts w:ascii="Arial" w:hAnsi="Arial" w:cs="Arial"/>
                <w:color w:val="auto"/>
                <w:kern w:val="0"/>
                <w:sz w:val="20"/>
                <w:szCs w:val="20"/>
                <w:highlight w:val="none"/>
              </w:rPr>
              <w:t>19</w:t>
            </w:r>
          </w:p>
        </w:tc>
        <w:tc>
          <w:tcPr>
            <w:tcW w:w="4612" w:type="dxa"/>
            <w:shd w:val="clear" w:color="auto" w:fill="auto"/>
            <w:vAlign w:val="center"/>
          </w:tcPr>
          <w:p w14:paraId="30B639EA">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闸阀 DN50</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工程内容</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1、安装</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2、水压试验</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3、系统调试</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4、完成阀门安装的其他一切相关工程内容及材料费用</w:t>
            </w:r>
          </w:p>
        </w:tc>
        <w:tc>
          <w:tcPr>
            <w:tcW w:w="618" w:type="dxa"/>
            <w:shd w:val="clear" w:color="auto" w:fill="auto"/>
            <w:vAlign w:val="center"/>
          </w:tcPr>
          <w:p w14:paraId="40CB7A2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个</w:t>
            </w:r>
          </w:p>
        </w:tc>
        <w:tc>
          <w:tcPr>
            <w:tcW w:w="939" w:type="dxa"/>
            <w:shd w:val="clear" w:color="auto" w:fill="auto"/>
            <w:vAlign w:val="center"/>
          </w:tcPr>
          <w:p w14:paraId="1A6CC873">
            <w:pPr>
              <w:widowControl/>
              <w:jc w:val="center"/>
              <w:textAlignment w:val="center"/>
              <w:rPr>
                <w:rFonts w:ascii="Arial" w:hAnsi="Arial" w:cs="Arial"/>
                <w:color w:val="auto"/>
                <w:sz w:val="20"/>
                <w:szCs w:val="20"/>
                <w:highlight w:val="none"/>
              </w:rPr>
            </w:pPr>
            <w:r>
              <w:rPr>
                <w:rFonts w:ascii="Arial" w:hAnsi="Arial" w:cs="Arial"/>
                <w:color w:val="auto"/>
                <w:kern w:val="0"/>
                <w:sz w:val="20"/>
                <w:szCs w:val="20"/>
                <w:highlight w:val="none"/>
              </w:rPr>
              <w:t xml:space="preserve"> 2.00 </w:t>
            </w:r>
          </w:p>
        </w:tc>
        <w:tc>
          <w:tcPr>
            <w:tcW w:w="0" w:type="auto"/>
            <w:shd w:val="clear" w:color="auto" w:fill="auto"/>
            <w:noWrap/>
            <w:vAlign w:val="center"/>
          </w:tcPr>
          <w:p w14:paraId="44E65085">
            <w:pPr>
              <w:jc w:val="center"/>
              <w:rPr>
                <w:rFonts w:ascii="宋体" w:hAnsi="宋体" w:cs="宋体"/>
                <w:color w:val="auto"/>
                <w:sz w:val="20"/>
                <w:szCs w:val="20"/>
                <w:highlight w:val="none"/>
              </w:rPr>
            </w:pPr>
          </w:p>
        </w:tc>
      </w:tr>
      <w:tr w14:paraId="6D923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1316" w:type="dxa"/>
            <w:shd w:val="clear" w:color="auto" w:fill="FFFFFF"/>
            <w:vAlign w:val="center"/>
          </w:tcPr>
          <w:p w14:paraId="0F249199">
            <w:pPr>
              <w:widowControl/>
              <w:jc w:val="center"/>
              <w:textAlignment w:val="center"/>
              <w:rPr>
                <w:rFonts w:ascii="Arial" w:hAnsi="Arial" w:cs="Arial"/>
                <w:color w:val="auto"/>
                <w:sz w:val="20"/>
                <w:szCs w:val="20"/>
                <w:highlight w:val="none"/>
              </w:rPr>
            </w:pPr>
            <w:r>
              <w:rPr>
                <w:rFonts w:ascii="Arial" w:hAnsi="Arial" w:cs="Arial"/>
                <w:color w:val="auto"/>
                <w:kern w:val="0"/>
                <w:sz w:val="20"/>
                <w:szCs w:val="20"/>
                <w:highlight w:val="none"/>
              </w:rPr>
              <w:t>20</w:t>
            </w:r>
          </w:p>
        </w:tc>
        <w:tc>
          <w:tcPr>
            <w:tcW w:w="4612" w:type="dxa"/>
            <w:shd w:val="clear" w:color="auto" w:fill="auto"/>
            <w:vAlign w:val="center"/>
          </w:tcPr>
          <w:p w14:paraId="3B409B43">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DN20自动排气阀</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工程内容</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1、安装</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2、水压试验</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3、系统调试</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4、完成阀门安装的其他一切相关工程内容及材料费用</w:t>
            </w:r>
          </w:p>
        </w:tc>
        <w:tc>
          <w:tcPr>
            <w:tcW w:w="618" w:type="dxa"/>
            <w:shd w:val="clear" w:color="auto" w:fill="auto"/>
            <w:vAlign w:val="center"/>
          </w:tcPr>
          <w:p w14:paraId="72FD1D3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个</w:t>
            </w:r>
          </w:p>
        </w:tc>
        <w:tc>
          <w:tcPr>
            <w:tcW w:w="939" w:type="dxa"/>
            <w:shd w:val="clear" w:color="auto" w:fill="auto"/>
            <w:vAlign w:val="center"/>
          </w:tcPr>
          <w:p w14:paraId="05429A97">
            <w:pPr>
              <w:widowControl/>
              <w:jc w:val="center"/>
              <w:textAlignment w:val="center"/>
              <w:rPr>
                <w:rFonts w:ascii="Arial" w:hAnsi="Arial" w:cs="Arial"/>
                <w:color w:val="auto"/>
                <w:sz w:val="20"/>
                <w:szCs w:val="20"/>
                <w:highlight w:val="none"/>
              </w:rPr>
            </w:pPr>
            <w:r>
              <w:rPr>
                <w:rFonts w:ascii="Arial" w:hAnsi="Arial" w:cs="Arial"/>
                <w:color w:val="auto"/>
                <w:kern w:val="0"/>
                <w:sz w:val="20"/>
                <w:szCs w:val="20"/>
                <w:highlight w:val="none"/>
              </w:rPr>
              <w:t xml:space="preserve"> 2.00 </w:t>
            </w:r>
          </w:p>
        </w:tc>
        <w:tc>
          <w:tcPr>
            <w:tcW w:w="0" w:type="auto"/>
            <w:shd w:val="clear" w:color="auto" w:fill="auto"/>
            <w:noWrap/>
            <w:vAlign w:val="center"/>
          </w:tcPr>
          <w:p w14:paraId="362017B2">
            <w:pPr>
              <w:jc w:val="center"/>
              <w:rPr>
                <w:rFonts w:ascii="宋体" w:hAnsi="宋体" w:cs="宋体"/>
                <w:color w:val="auto"/>
                <w:sz w:val="20"/>
                <w:szCs w:val="20"/>
                <w:highlight w:val="none"/>
              </w:rPr>
            </w:pPr>
          </w:p>
        </w:tc>
      </w:tr>
      <w:tr w14:paraId="742FD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1316" w:type="dxa"/>
            <w:shd w:val="clear" w:color="auto" w:fill="FFFFFF"/>
            <w:vAlign w:val="center"/>
          </w:tcPr>
          <w:p w14:paraId="5F841891">
            <w:pPr>
              <w:widowControl/>
              <w:jc w:val="center"/>
              <w:textAlignment w:val="center"/>
              <w:rPr>
                <w:rFonts w:ascii="Arial" w:hAnsi="Arial" w:cs="Arial"/>
                <w:color w:val="auto"/>
                <w:sz w:val="20"/>
                <w:szCs w:val="20"/>
                <w:highlight w:val="none"/>
              </w:rPr>
            </w:pPr>
            <w:r>
              <w:rPr>
                <w:rFonts w:ascii="Arial" w:hAnsi="Arial" w:cs="Arial"/>
                <w:color w:val="auto"/>
                <w:kern w:val="0"/>
                <w:sz w:val="20"/>
                <w:szCs w:val="20"/>
                <w:highlight w:val="none"/>
              </w:rPr>
              <w:t>21</w:t>
            </w:r>
          </w:p>
        </w:tc>
        <w:tc>
          <w:tcPr>
            <w:tcW w:w="4612" w:type="dxa"/>
            <w:shd w:val="clear" w:color="auto" w:fill="auto"/>
            <w:vAlign w:val="center"/>
          </w:tcPr>
          <w:p w14:paraId="1B1B73B5">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电接点压力表(已包含弯管表阀)</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工程内容</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1、压力表、表弯、表阀、取源部件安装</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2、试水</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3、系统调试</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4、完成压力表安装的其他一切相关工程内容及材料费用</w:t>
            </w:r>
          </w:p>
        </w:tc>
        <w:tc>
          <w:tcPr>
            <w:tcW w:w="618" w:type="dxa"/>
            <w:shd w:val="clear" w:color="auto" w:fill="auto"/>
            <w:vAlign w:val="center"/>
          </w:tcPr>
          <w:p w14:paraId="5FEA7FF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个</w:t>
            </w:r>
          </w:p>
        </w:tc>
        <w:tc>
          <w:tcPr>
            <w:tcW w:w="939" w:type="dxa"/>
            <w:shd w:val="clear" w:color="auto" w:fill="auto"/>
            <w:vAlign w:val="center"/>
          </w:tcPr>
          <w:p w14:paraId="73FF4890">
            <w:pPr>
              <w:widowControl/>
              <w:jc w:val="center"/>
              <w:textAlignment w:val="center"/>
              <w:rPr>
                <w:rFonts w:ascii="Arial" w:hAnsi="Arial" w:cs="Arial"/>
                <w:color w:val="auto"/>
                <w:sz w:val="20"/>
                <w:szCs w:val="20"/>
                <w:highlight w:val="none"/>
              </w:rPr>
            </w:pPr>
            <w:r>
              <w:rPr>
                <w:rFonts w:ascii="Arial" w:hAnsi="Arial" w:cs="Arial"/>
                <w:color w:val="auto"/>
                <w:kern w:val="0"/>
                <w:sz w:val="20"/>
                <w:szCs w:val="20"/>
                <w:highlight w:val="none"/>
              </w:rPr>
              <w:t xml:space="preserve"> 8.00 </w:t>
            </w:r>
          </w:p>
        </w:tc>
        <w:tc>
          <w:tcPr>
            <w:tcW w:w="0" w:type="auto"/>
            <w:shd w:val="clear" w:color="auto" w:fill="auto"/>
            <w:noWrap/>
            <w:vAlign w:val="center"/>
          </w:tcPr>
          <w:p w14:paraId="2320BE37">
            <w:pPr>
              <w:jc w:val="center"/>
              <w:rPr>
                <w:rFonts w:ascii="Arial" w:hAnsi="Arial" w:cs="Arial"/>
                <w:color w:val="auto"/>
                <w:sz w:val="20"/>
                <w:szCs w:val="20"/>
                <w:highlight w:val="none"/>
              </w:rPr>
            </w:pPr>
          </w:p>
        </w:tc>
      </w:tr>
      <w:tr w14:paraId="636F1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1316" w:type="dxa"/>
            <w:shd w:val="clear" w:color="auto" w:fill="FFFFFF"/>
            <w:vAlign w:val="center"/>
          </w:tcPr>
          <w:p w14:paraId="7CEFB8E3">
            <w:pPr>
              <w:widowControl/>
              <w:jc w:val="center"/>
              <w:textAlignment w:val="center"/>
              <w:rPr>
                <w:rFonts w:ascii="Arial" w:hAnsi="Arial" w:cs="Arial"/>
                <w:color w:val="auto"/>
                <w:sz w:val="20"/>
                <w:szCs w:val="20"/>
                <w:highlight w:val="none"/>
              </w:rPr>
            </w:pPr>
            <w:r>
              <w:rPr>
                <w:rFonts w:ascii="Arial" w:hAnsi="Arial" w:cs="Arial"/>
                <w:color w:val="auto"/>
                <w:kern w:val="0"/>
                <w:sz w:val="20"/>
                <w:szCs w:val="20"/>
                <w:highlight w:val="none"/>
              </w:rPr>
              <w:t>22</w:t>
            </w:r>
          </w:p>
        </w:tc>
        <w:tc>
          <w:tcPr>
            <w:tcW w:w="4612" w:type="dxa"/>
            <w:shd w:val="clear" w:color="auto" w:fill="auto"/>
            <w:vAlign w:val="center"/>
          </w:tcPr>
          <w:p w14:paraId="35ADF891">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电气配线 控制线</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工程内容</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1.电线敷设</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2.接线端子制作、安装</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3.完成电气配线的其他一切相关工程内容及材料费用</w:t>
            </w:r>
          </w:p>
        </w:tc>
        <w:tc>
          <w:tcPr>
            <w:tcW w:w="618" w:type="dxa"/>
            <w:shd w:val="clear" w:color="auto" w:fill="auto"/>
            <w:vAlign w:val="center"/>
          </w:tcPr>
          <w:p w14:paraId="02534307">
            <w:pPr>
              <w:widowControl/>
              <w:jc w:val="center"/>
              <w:textAlignment w:val="center"/>
              <w:rPr>
                <w:rFonts w:ascii="Arial" w:hAnsi="Arial" w:cs="Arial"/>
                <w:color w:val="auto"/>
                <w:sz w:val="20"/>
                <w:szCs w:val="20"/>
                <w:highlight w:val="none"/>
              </w:rPr>
            </w:pPr>
            <w:r>
              <w:rPr>
                <w:rFonts w:ascii="Arial" w:hAnsi="Arial" w:cs="Arial"/>
                <w:color w:val="auto"/>
                <w:kern w:val="0"/>
                <w:sz w:val="20"/>
                <w:szCs w:val="20"/>
                <w:highlight w:val="none"/>
              </w:rPr>
              <w:t>m</w:t>
            </w:r>
          </w:p>
        </w:tc>
        <w:tc>
          <w:tcPr>
            <w:tcW w:w="939" w:type="dxa"/>
            <w:shd w:val="clear" w:color="auto" w:fill="auto"/>
            <w:vAlign w:val="center"/>
          </w:tcPr>
          <w:p w14:paraId="3E049A14">
            <w:pPr>
              <w:widowControl/>
              <w:jc w:val="center"/>
              <w:textAlignment w:val="center"/>
              <w:rPr>
                <w:rFonts w:ascii="Arial" w:hAnsi="Arial" w:cs="Arial"/>
                <w:color w:val="auto"/>
                <w:sz w:val="20"/>
                <w:szCs w:val="20"/>
                <w:highlight w:val="none"/>
              </w:rPr>
            </w:pPr>
            <w:r>
              <w:rPr>
                <w:rFonts w:ascii="Arial" w:hAnsi="Arial" w:cs="Arial"/>
                <w:color w:val="auto"/>
                <w:kern w:val="0"/>
                <w:sz w:val="20"/>
                <w:szCs w:val="20"/>
                <w:highlight w:val="none"/>
              </w:rPr>
              <w:t xml:space="preserve"> 15.00 </w:t>
            </w:r>
          </w:p>
        </w:tc>
        <w:tc>
          <w:tcPr>
            <w:tcW w:w="0" w:type="auto"/>
            <w:shd w:val="clear" w:color="auto" w:fill="auto"/>
            <w:noWrap/>
            <w:vAlign w:val="center"/>
          </w:tcPr>
          <w:p w14:paraId="438445BE">
            <w:pPr>
              <w:jc w:val="center"/>
              <w:rPr>
                <w:rFonts w:ascii="宋体" w:hAnsi="宋体" w:cs="宋体"/>
                <w:color w:val="auto"/>
                <w:sz w:val="20"/>
                <w:szCs w:val="20"/>
                <w:highlight w:val="none"/>
              </w:rPr>
            </w:pPr>
          </w:p>
        </w:tc>
      </w:tr>
      <w:tr w14:paraId="6C207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1316" w:type="dxa"/>
            <w:shd w:val="clear" w:color="auto" w:fill="FFFFFF"/>
            <w:vAlign w:val="center"/>
          </w:tcPr>
          <w:p w14:paraId="4F8F7323">
            <w:pPr>
              <w:widowControl/>
              <w:jc w:val="center"/>
              <w:textAlignment w:val="center"/>
              <w:rPr>
                <w:rFonts w:ascii="Arial" w:hAnsi="Arial" w:cs="Arial"/>
                <w:color w:val="auto"/>
                <w:sz w:val="20"/>
                <w:szCs w:val="20"/>
                <w:highlight w:val="none"/>
              </w:rPr>
            </w:pPr>
            <w:r>
              <w:rPr>
                <w:rFonts w:ascii="Arial" w:hAnsi="Arial" w:cs="Arial"/>
                <w:color w:val="auto"/>
                <w:kern w:val="0"/>
                <w:sz w:val="20"/>
                <w:szCs w:val="20"/>
                <w:highlight w:val="none"/>
              </w:rPr>
              <w:t>23</w:t>
            </w:r>
          </w:p>
        </w:tc>
        <w:tc>
          <w:tcPr>
            <w:tcW w:w="4612" w:type="dxa"/>
            <w:shd w:val="clear" w:color="auto" w:fill="auto"/>
            <w:vAlign w:val="center"/>
          </w:tcPr>
          <w:p w14:paraId="44B8FB67">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管道保温  橡塑保温保温厚度30mm，外部采用铝皮保护</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工程内容</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1、管道绝热及保护层安装、除锈、刷油 </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2、系统调试</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3、完成管道保温安装及其他一切相关工作内容及材料费用</w:t>
            </w:r>
          </w:p>
        </w:tc>
        <w:tc>
          <w:tcPr>
            <w:tcW w:w="618" w:type="dxa"/>
            <w:shd w:val="clear" w:color="auto" w:fill="auto"/>
            <w:vAlign w:val="center"/>
          </w:tcPr>
          <w:p w14:paraId="09C4B0C2">
            <w:pPr>
              <w:widowControl/>
              <w:jc w:val="center"/>
              <w:textAlignment w:val="center"/>
              <w:rPr>
                <w:rFonts w:ascii="Arial" w:hAnsi="Arial" w:cs="Arial"/>
                <w:color w:val="auto"/>
                <w:sz w:val="20"/>
                <w:szCs w:val="20"/>
                <w:highlight w:val="none"/>
              </w:rPr>
            </w:pPr>
            <w:r>
              <w:rPr>
                <w:rFonts w:ascii="Arial" w:hAnsi="Arial" w:cs="Arial"/>
                <w:color w:val="auto"/>
                <w:kern w:val="0"/>
                <w:sz w:val="20"/>
                <w:szCs w:val="20"/>
                <w:highlight w:val="none"/>
              </w:rPr>
              <w:t>m</w:t>
            </w:r>
          </w:p>
        </w:tc>
        <w:tc>
          <w:tcPr>
            <w:tcW w:w="939" w:type="dxa"/>
            <w:shd w:val="clear" w:color="auto" w:fill="auto"/>
            <w:vAlign w:val="center"/>
          </w:tcPr>
          <w:p w14:paraId="1A64E561">
            <w:pPr>
              <w:widowControl/>
              <w:jc w:val="center"/>
              <w:textAlignment w:val="center"/>
              <w:rPr>
                <w:rFonts w:ascii="Arial" w:hAnsi="Arial" w:cs="Arial"/>
                <w:color w:val="auto"/>
                <w:sz w:val="20"/>
                <w:szCs w:val="20"/>
                <w:highlight w:val="none"/>
              </w:rPr>
            </w:pPr>
            <w:r>
              <w:rPr>
                <w:rFonts w:ascii="Arial" w:hAnsi="Arial" w:cs="Arial"/>
                <w:color w:val="auto"/>
                <w:kern w:val="0"/>
                <w:sz w:val="20"/>
                <w:szCs w:val="20"/>
                <w:highlight w:val="none"/>
              </w:rPr>
              <w:t xml:space="preserve"> 54.00 </w:t>
            </w:r>
          </w:p>
        </w:tc>
        <w:tc>
          <w:tcPr>
            <w:tcW w:w="0" w:type="auto"/>
            <w:shd w:val="clear" w:color="auto" w:fill="auto"/>
            <w:noWrap/>
            <w:vAlign w:val="center"/>
          </w:tcPr>
          <w:p w14:paraId="19C760B9">
            <w:pPr>
              <w:jc w:val="center"/>
              <w:rPr>
                <w:rFonts w:ascii="Arial" w:hAnsi="Arial" w:cs="Arial"/>
                <w:color w:val="auto"/>
                <w:sz w:val="20"/>
                <w:szCs w:val="20"/>
                <w:highlight w:val="none"/>
              </w:rPr>
            </w:pPr>
          </w:p>
        </w:tc>
      </w:tr>
    </w:tbl>
    <w:p w14:paraId="6D44112B">
      <w:pPr>
        <w:rPr>
          <w:color w:val="auto"/>
          <w:highlight w:val="none"/>
        </w:rPr>
      </w:pPr>
    </w:p>
    <w:p w14:paraId="6E416DCF">
      <w:pPr>
        <w:rPr>
          <w:rFonts w:ascii="宋体" w:hAnsi="宋体" w:cs="宋体"/>
          <w:color w:val="auto"/>
          <w:sz w:val="24"/>
          <w:highlight w:val="none"/>
        </w:rPr>
      </w:pPr>
      <w:r>
        <w:rPr>
          <w:rFonts w:hint="eastAsia" w:ascii="宋体" w:hAnsi="宋体" w:cs="宋体"/>
          <w:color w:val="auto"/>
          <w:sz w:val="24"/>
          <w:highlight w:val="none"/>
        </w:rPr>
        <w:br w:type="page"/>
      </w:r>
    </w:p>
    <w:p w14:paraId="0787A5EF">
      <w:pPr>
        <w:tabs>
          <w:tab w:val="left" w:pos="851"/>
        </w:tabs>
        <w:spacing w:line="360" w:lineRule="auto"/>
        <w:ind w:firstLine="480" w:firstLineChars="200"/>
        <w:rPr>
          <w:color w:val="auto"/>
          <w:highlight w:val="none"/>
        </w:rPr>
      </w:pPr>
      <w:r>
        <w:rPr>
          <w:rFonts w:hint="eastAsia" w:ascii="宋体" w:hAnsi="宋体" w:cs="宋体"/>
          <w:color w:val="auto"/>
          <w:sz w:val="24"/>
          <w:highlight w:val="none"/>
        </w:rPr>
        <w:t>2)光伏采购清单</w:t>
      </w:r>
    </w:p>
    <w:tbl>
      <w:tblPr>
        <w:tblStyle w:val="21"/>
        <w:tblW w:w="834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4"/>
        <w:gridCol w:w="2691"/>
        <w:gridCol w:w="2712"/>
        <w:gridCol w:w="613"/>
        <w:gridCol w:w="1240"/>
      </w:tblGrid>
      <w:tr w14:paraId="31EDB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340" w:type="dxa"/>
            <w:gridSpan w:val="5"/>
            <w:shd w:val="clear" w:color="FFFFFF" w:fill="FFFFFF"/>
            <w:vAlign w:val="bottom"/>
          </w:tcPr>
          <w:p w14:paraId="0DE71D82">
            <w:pPr>
              <w:rPr>
                <w:rFonts w:ascii="宋体" w:hAnsi="宋体" w:cs="宋体"/>
                <w:color w:val="auto"/>
                <w:sz w:val="20"/>
                <w:szCs w:val="20"/>
                <w:highlight w:val="none"/>
              </w:rPr>
            </w:pPr>
            <w:r>
              <w:rPr>
                <w:rFonts w:hint="eastAsia" w:ascii="宋体" w:hAnsi="宋体" w:cs="宋体"/>
                <w:color w:val="auto"/>
                <w:kern w:val="0"/>
                <w:sz w:val="20"/>
                <w:szCs w:val="20"/>
                <w:highlight w:val="none"/>
              </w:rPr>
              <w:t>单位（专业）工程名称：光伏专项-并网柜</w:t>
            </w:r>
          </w:p>
        </w:tc>
      </w:tr>
      <w:tr w14:paraId="06C06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084" w:type="dxa"/>
            <w:vMerge w:val="restart"/>
            <w:shd w:val="clear" w:color="FFFFFF" w:fill="FFFFFF"/>
            <w:vAlign w:val="center"/>
          </w:tcPr>
          <w:p w14:paraId="5BF8A97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序号</w:t>
            </w:r>
          </w:p>
        </w:tc>
        <w:tc>
          <w:tcPr>
            <w:tcW w:w="2691" w:type="dxa"/>
            <w:vMerge w:val="restart"/>
            <w:shd w:val="clear" w:color="FFFFFF" w:fill="FFFFFF"/>
            <w:vAlign w:val="center"/>
          </w:tcPr>
          <w:p w14:paraId="5CE30C3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项目名称</w:t>
            </w:r>
          </w:p>
        </w:tc>
        <w:tc>
          <w:tcPr>
            <w:tcW w:w="2712" w:type="dxa"/>
            <w:vMerge w:val="restart"/>
            <w:shd w:val="clear" w:color="FFFFFF" w:fill="FFFFFF"/>
            <w:vAlign w:val="center"/>
          </w:tcPr>
          <w:p w14:paraId="24EFEC2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项目特征</w:t>
            </w:r>
          </w:p>
        </w:tc>
        <w:tc>
          <w:tcPr>
            <w:tcW w:w="613" w:type="dxa"/>
            <w:vMerge w:val="restart"/>
            <w:shd w:val="clear" w:color="FFFFFF" w:fill="FFFFFF"/>
            <w:vAlign w:val="center"/>
          </w:tcPr>
          <w:p w14:paraId="2494B8D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计量单位</w:t>
            </w:r>
          </w:p>
        </w:tc>
        <w:tc>
          <w:tcPr>
            <w:tcW w:w="1240" w:type="dxa"/>
            <w:vMerge w:val="restart"/>
            <w:shd w:val="clear" w:color="FFFFFF" w:fill="FFFFFF"/>
            <w:vAlign w:val="center"/>
          </w:tcPr>
          <w:p w14:paraId="1159E20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工程量</w:t>
            </w:r>
          </w:p>
        </w:tc>
      </w:tr>
      <w:tr w14:paraId="5E76D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084" w:type="dxa"/>
            <w:vMerge w:val="continue"/>
            <w:shd w:val="clear" w:color="FFFFFF" w:fill="FFFFFF"/>
            <w:vAlign w:val="center"/>
          </w:tcPr>
          <w:p w14:paraId="596F65DA">
            <w:pPr>
              <w:jc w:val="center"/>
              <w:rPr>
                <w:rFonts w:ascii="宋体" w:hAnsi="宋体" w:cs="宋体"/>
                <w:color w:val="auto"/>
                <w:sz w:val="20"/>
                <w:szCs w:val="20"/>
                <w:highlight w:val="none"/>
              </w:rPr>
            </w:pPr>
          </w:p>
        </w:tc>
        <w:tc>
          <w:tcPr>
            <w:tcW w:w="2691" w:type="dxa"/>
            <w:vMerge w:val="continue"/>
            <w:shd w:val="clear" w:color="FFFFFF" w:fill="FFFFFF"/>
            <w:vAlign w:val="center"/>
          </w:tcPr>
          <w:p w14:paraId="1205AAEF">
            <w:pPr>
              <w:jc w:val="center"/>
              <w:rPr>
                <w:rFonts w:ascii="宋体" w:hAnsi="宋体" w:cs="宋体"/>
                <w:color w:val="auto"/>
                <w:sz w:val="20"/>
                <w:szCs w:val="20"/>
                <w:highlight w:val="none"/>
              </w:rPr>
            </w:pPr>
          </w:p>
        </w:tc>
        <w:tc>
          <w:tcPr>
            <w:tcW w:w="2712" w:type="dxa"/>
            <w:vMerge w:val="continue"/>
            <w:shd w:val="clear" w:color="FFFFFF" w:fill="FFFFFF"/>
            <w:vAlign w:val="center"/>
          </w:tcPr>
          <w:p w14:paraId="7463C460">
            <w:pPr>
              <w:jc w:val="center"/>
              <w:rPr>
                <w:rFonts w:ascii="宋体" w:hAnsi="宋体" w:cs="宋体"/>
                <w:color w:val="auto"/>
                <w:sz w:val="20"/>
                <w:szCs w:val="20"/>
                <w:highlight w:val="none"/>
              </w:rPr>
            </w:pPr>
          </w:p>
        </w:tc>
        <w:tc>
          <w:tcPr>
            <w:tcW w:w="613" w:type="dxa"/>
            <w:vMerge w:val="continue"/>
            <w:shd w:val="clear" w:color="FFFFFF" w:fill="FFFFFF"/>
            <w:vAlign w:val="center"/>
          </w:tcPr>
          <w:p w14:paraId="2E6F0694">
            <w:pPr>
              <w:jc w:val="center"/>
              <w:rPr>
                <w:rFonts w:ascii="宋体" w:hAnsi="宋体" w:cs="宋体"/>
                <w:color w:val="auto"/>
                <w:sz w:val="20"/>
                <w:szCs w:val="20"/>
                <w:highlight w:val="none"/>
              </w:rPr>
            </w:pPr>
          </w:p>
        </w:tc>
        <w:tc>
          <w:tcPr>
            <w:tcW w:w="1240" w:type="dxa"/>
            <w:vMerge w:val="continue"/>
            <w:shd w:val="clear" w:color="FFFFFF" w:fill="FFFFFF"/>
            <w:vAlign w:val="center"/>
          </w:tcPr>
          <w:p w14:paraId="3F0E6618">
            <w:pPr>
              <w:jc w:val="center"/>
              <w:rPr>
                <w:rFonts w:ascii="宋体" w:hAnsi="宋体" w:cs="宋体"/>
                <w:color w:val="auto"/>
                <w:sz w:val="20"/>
                <w:szCs w:val="20"/>
                <w:highlight w:val="none"/>
              </w:rPr>
            </w:pPr>
          </w:p>
        </w:tc>
      </w:tr>
      <w:tr w14:paraId="58DB3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084" w:type="dxa"/>
            <w:vMerge w:val="continue"/>
            <w:shd w:val="clear" w:color="FFFFFF" w:fill="FFFFFF"/>
            <w:vAlign w:val="center"/>
          </w:tcPr>
          <w:p w14:paraId="4FA43465">
            <w:pPr>
              <w:jc w:val="center"/>
              <w:rPr>
                <w:rFonts w:ascii="宋体" w:hAnsi="宋体" w:cs="宋体"/>
                <w:color w:val="auto"/>
                <w:sz w:val="20"/>
                <w:szCs w:val="20"/>
                <w:highlight w:val="none"/>
              </w:rPr>
            </w:pPr>
          </w:p>
        </w:tc>
        <w:tc>
          <w:tcPr>
            <w:tcW w:w="2691" w:type="dxa"/>
            <w:vMerge w:val="continue"/>
            <w:shd w:val="clear" w:color="FFFFFF" w:fill="FFFFFF"/>
            <w:vAlign w:val="center"/>
          </w:tcPr>
          <w:p w14:paraId="349492AC">
            <w:pPr>
              <w:jc w:val="center"/>
              <w:rPr>
                <w:rFonts w:ascii="宋体" w:hAnsi="宋体" w:cs="宋体"/>
                <w:color w:val="auto"/>
                <w:sz w:val="20"/>
                <w:szCs w:val="20"/>
                <w:highlight w:val="none"/>
              </w:rPr>
            </w:pPr>
          </w:p>
        </w:tc>
        <w:tc>
          <w:tcPr>
            <w:tcW w:w="2712" w:type="dxa"/>
            <w:vMerge w:val="continue"/>
            <w:shd w:val="clear" w:color="FFFFFF" w:fill="FFFFFF"/>
            <w:vAlign w:val="center"/>
          </w:tcPr>
          <w:p w14:paraId="00990C89">
            <w:pPr>
              <w:jc w:val="center"/>
              <w:rPr>
                <w:rFonts w:ascii="宋体" w:hAnsi="宋体" w:cs="宋体"/>
                <w:color w:val="auto"/>
                <w:sz w:val="20"/>
                <w:szCs w:val="20"/>
                <w:highlight w:val="none"/>
              </w:rPr>
            </w:pPr>
          </w:p>
        </w:tc>
        <w:tc>
          <w:tcPr>
            <w:tcW w:w="613" w:type="dxa"/>
            <w:vMerge w:val="continue"/>
            <w:shd w:val="clear" w:color="FFFFFF" w:fill="FFFFFF"/>
            <w:vAlign w:val="center"/>
          </w:tcPr>
          <w:p w14:paraId="5D92BD2F">
            <w:pPr>
              <w:jc w:val="center"/>
              <w:rPr>
                <w:rFonts w:ascii="宋体" w:hAnsi="宋体" w:cs="宋体"/>
                <w:color w:val="auto"/>
                <w:sz w:val="20"/>
                <w:szCs w:val="20"/>
                <w:highlight w:val="none"/>
              </w:rPr>
            </w:pPr>
          </w:p>
        </w:tc>
        <w:tc>
          <w:tcPr>
            <w:tcW w:w="1240" w:type="dxa"/>
            <w:vMerge w:val="continue"/>
            <w:shd w:val="clear" w:color="FFFFFF" w:fill="FFFFFF"/>
            <w:vAlign w:val="center"/>
          </w:tcPr>
          <w:p w14:paraId="23D22EE4">
            <w:pPr>
              <w:jc w:val="center"/>
              <w:rPr>
                <w:rFonts w:ascii="宋体" w:hAnsi="宋体" w:cs="宋体"/>
                <w:color w:val="auto"/>
                <w:sz w:val="20"/>
                <w:szCs w:val="20"/>
                <w:highlight w:val="none"/>
              </w:rPr>
            </w:pPr>
          </w:p>
        </w:tc>
      </w:tr>
      <w:tr w14:paraId="0C78C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84" w:type="dxa"/>
            <w:shd w:val="clear" w:color="FFFFFF" w:fill="FFFFFF"/>
            <w:vAlign w:val="center"/>
          </w:tcPr>
          <w:p w14:paraId="2244BC1F">
            <w:pPr>
              <w:jc w:val="right"/>
              <w:rPr>
                <w:rFonts w:ascii="宋体" w:hAnsi="宋体" w:cs="宋体"/>
                <w:color w:val="auto"/>
                <w:sz w:val="20"/>
                <w:szCs w:val="20"/>
                <w:highlight w:val="none"/>
              </w:rPr>
            </w:pPr>
          </w:p>
        </w:tc>
        <w:tc>
          <w:tcPr>
            <w:tcW w:w="2691" w:type="dxa"/>
            <w:shd w:val="clear" w:color="FFFFFF" w:fill="FFFFFF"/>
            <w:vAlign w:val="center"/>
          </w:tcPr>
          <w:p w14:paraId="040A6F35">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低压配电室</w:t>
            </w:r>
          </w:p>
        </w:tc>
        <w:tc>
          <w:tcPr>
            <w:tcW w:w="2712" w:type="dxa"/>
            <w:shd w:val="clear" w:color="FFFFFF" w:fill="FFFFFF"/>
            <w:vAlign w:val="center"/>
          </w:tcPr>
          <w:p w14:paraId="7AAAC6DB">
            <w:pPr>
              <w:jc w:val="left"/>
              <w:rPr>
                <w:rFonts w:ascii="宋体" w:hAnsi="宋体" w:cs="宋体"/>
                <w:color w:val="auto"/>
                <w:sz w:val="20"/>
                <w:szCs w:val="20"/>
                <w:highlight w:val="none"/>
              </w:rPr>
            </w:pPr>
          </w:p>
        </w:tc>
        <w:tc>
          <w:tcPr>
            <w:tcW w:w="613" w:type="dxa"/>
            <w:shd w:val="clear" w:color="FFFFFF" w:fill="FFFFFF"/>
            <w:vAlign w:val="center"/>
          </w:tcPr>
          <w:p w14:paraId="70BA783F">
            <w:pPr>
              <w:jc w:val="left"/>
              <w:rPr>
                <w:rFonts w:ascii="宋体" w:hAnsi="宋体" w:cs="宋体"/>
                <w:color w:val="auto"/>
                <w:sz w:val="20"/>
                <w:szCs w:val="20"/>
                <w:highlight w:val="none"/>
              </w:rPr>
            </w:pPr>
          </w:p>
        </w:tc>
        <w:tc>
          <w:tcPr>
            <w:tcW w:w="1240" w:type="dxa"/>
            <w:shd w:val="clear" w:color="FFFFFF" w:fill="FFFFFF"/>
            <w:vAlign w:val="center"/>
          </w:tcPr>
          <w:p w14:paraId="6621247F">
            <w:pPr>
              <w:jc w:val="left"/>
              <w:rPr>
                <w:rFonts w:ascii="宋体" w:hAnsi="宋体" w:cs="宋体"/>
                <w:color w:val="auto"/>
                <w:sz w:val="20"/>
                <w:szCs w:val="20"/>
                <w:highlight w:val="none"/>
              </w:rPr>
            </w:pPr>
          </w:p>
        </w:tc>
      </w:tr>
      <w:tr w14:paraId="336D9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1084" w:type="dxa"/>
            <w:shd w:val="clear" w:color="FFFFFF" w:fill="FFFFFF"/>
            <w:vAlign w:val="center"/>
          </w:tcPr>
          <w:p w14:paraId="6665E79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2691" w:type="dxa"/>
            <w:shd w:val="clear" w:color="FFFFFF" w:fill="FFFFFF"/>
            <w:vAlign w:val="center"/>
          </w:tcPr>
          <w:p w14:paraId="2932B489">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低压开关柜（屏）</w:t>
            </w:r>
          </w:p>
        </w:tc>
        <w:tc>
          <w:tcPr>
            <w:tcW w:w="2712" w:type="dxa"/>
            <w:shd w:val="clear" w:color="FFFFFF" w:fill="FFFFFF"/>
            <w:vAlign w:val="center"/>
          </w:tcPr>
          <w:p w14:paraId="3752E36B">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1.名称:交流并网柜BW01</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2.安装方式:落地安装,10#槽钢抬起</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3.基础形式、材质、规格:10#基础槽钢制作、安装、除锈、刷油</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4.其他:含箱体接地，箱内元器件详见设计</w:t>
            </w:r>
          </w:p>
        </w:tc>
        <w:tc>
          <w:tcPr>
            <w:tcW w:w="613" w:type="dxa"/>
            <w:shd w:val="clear" w:color="FFFFFF" w:fill="FFFFFF"/>
            <w:vAlign w:val="center"/>
          </w:tcPr>
          <w:p w14:paraId="2581066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台</w:t>
            </w:r>
          </w:p>
        </w:tc>
        <w:tc>
          <w:tcPr>
            <w:tcW w:w="1240" w:type="dxa"/>
            <w:shd w:val="clear" w:color="FFFFFF" w:fill="FFFFFF"/>
            <w:vAlign w:val="center"/>
          </w:tcPr>
          <w:p w14:paraId="4B167625">
            <w:pPr>
              <w:widowControl/>
              <w:jc w:val="righ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14:paraId="0B250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1084" w:type="dxa"/>
            <w:shd w:val="clear" w:color="FFFFFF" w:fill="FFFFFF"/>
            <w:vAlign w:val="center"/>
          </w:tcPr>
          <w:p w14:paraId="25E7863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2691" w:type="dxa"/>
            <w:shd w:val="clear" w:color="FFFFFF" w:fill="FFFFFF"/>
            <w:vAlign w:val="center"/>
          </w:tcPr>
          <w:p w14:paraId="5CEC0335">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低压开关柜（屏）</w:t>
            </w:r>
          </w:p>
        </w:tc>
        <w:tc>
          <w:tcPr>
            <w:tcW w:w="2712" w:type="dxa"/>
            <w:shd w:val="clear" w:color="FFFFFF" w:fill="FFFFFF"/>
            <w:vAlign w:val="center"/>
          </w:tcPr>
          <w:p w14:paraId="75406486">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1.名称:交流并网柜BW02</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2.安装方式:落地安装,10#槽钢抬起</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3.基础形式、材质、规格:10#基础槽钢制作、安装、除锈、刷油</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4.其他:含箱体接地，箱内元器件详见设计</w:t>
            </w:r>
          </w:p>
        </w:tc>
        <w:tc>
          <w:tcPr>
            <w:tcW w:w="613" w:type="dxa"/>
            <w:shd w:val="clear" w:color="FFFFFF" w:fill="FFFFFF"/>
            <w:vAlign w:val="center"/>
          </w:tcPr>
          <w:p w14:paraId="665184A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台</w:t>
            </w:r>
          </w:p>
        </w:tc>
        <w:tc>
          <w:tcPr>
            <w:tcW w:w="1240" w:type="dxa"/>
            <w:shd w:val="clear" w:color="FFFFFF" w:fill="FFFFFF"/>
            <w:vAlign w:val="center"/>
          </w:tcPr>
          <w:p w14:paraId="3B1D115C">
            <w:pPr>
              <w:widowControl/>
              <w:jc w:val="righ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14:paraId="51078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1084" w:type="dxa"/>
            <w:shd w:val="clear" w:color="FFFFFF" w:fill="FFFFFF"/>
            <w:vAlign w:val="center"/>
          </w:tcPr>
          <w:p w14:paraId="24AB0CD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3</w:t>
            </w:r>
          </w:p>
        </w:tc>
        <w:tc>
          <w:tcPr>
            <w:tcW w:w="2691" w:type="dxa"/>
            <w:shd w:val="clear" w:color="FFFFFF" w:fill="FFFFFF"/>
            <w:vAlign w:val="center"/>
          </w:tcPr>
          <w:p w14:paraId="2464075F">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低压开关柜（屏）</w:t>
            </w:r>
          </w:p>
        </w:tc>
        <w:tc>
          <w:tcPr>
            <w:tcW w:w="2712" w:type="dxa"/>
            <w:shd w:val="clear" w:color="FFFFFF" w:fill="FFFFFF"/>
            <w:vAlign w:val="center"/>
          </w:tcPr>
          <w:p w14:paraId="027A82A2">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1.名称:交流并网柜BW03</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2.安装方式:落地安装,10#槽钢抬起</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3.基础形式、材质、规格:10#基础槽钢制作、安装、除锈、刷油</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4.其他:含箱体接地，箱内元器件详见设计</w:t>
            </w:r>
          </w:p>
        </w:tc>
        <w:tc>
          <w:tcPr>
            <w:tcW w:w="613" w:type="dxa"/>
            <w:shd w:val="clear" w:color="FFFFFF" w:fill="FFFFFF"/>
            <w:vAlign w:val="center"/>
          </w:tcPr>
          <w:p w14:paraId="151D10D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台</w:t>
            </w:r>
          </w:p>
        </w:tc>
        <w:tc>
          <w:tcPr>
            <w:tcW w:w="1240" w:type="dxa"/>
            <w:shd w:val="clear" w:color="FFFFFF" w:fill="FFFFFF"/>
            <w:vAlign w:val="center"/>
          </w:tcPr>
          <w:p w14:paraId="7AB7BE57">
            <w:pPr>
              <w:widowControl/>
              <w:jc w:val="righ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14:paraId="703F6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trPr>
        <w:tc>
          <w:tcPr>
            <w:tcW w:w="1084" w:type="dxa"/>
            <w:shd w:val="clear" w:color="FFFFFF" w:fill="FFFFFF"/>
            <w:vAlign w:val="center"/>
          </w:tcPr>
          <w:p w14:paraId="01A1918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w:t>
            </w:r>
          </w:p>
        </w:tc>
        <w:tc>
          <w:tcPr>
            <w:tcW w:w="2691" w:type="dxa"/>
            <w:shd w:val="clear" w:color="FFFFFF" w:fill="FFFFFF"/>
            <w:vAlign w:val="center"/>
          </w:tcPr>
          <w:p w14:paraId="5F84B7F1">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电力电缆</w:t>
            </w:r>
          </w:p>
        </w:tc>
        <w:tc>
          <w:tcPr>
            <w:tcW w:w="2712" w:type="dxa"/>
            <w:shd w:val="clear" w:color="FFFFFF" w:fill="FFFFFF"/>
            <w:vAlign w:val="center"/>
          </w:tcPr>
          <w:p w14:paraId="7239CB60">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1.名称:铜芯电力电缆</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2.型号、规格:WDZ-YJY-4*70+1*35</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3.敷设方式或部位:桥架或穿管内敷设</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4.电压等级（kv）:1kv以下</w:t>
            </w:r>
          </w:p>
        </w:tc>
        <w:tc>
          <w:tcPr>
            <w:tcW w:w="613" w:type="dxa"/>
            <w:shd w:val="clear" w:color="FFFFFF" w:fill="FFFFFF"/>
            <w:vAlign w:val="center"/>
          </w:tcPr>
          <w:p w14:paraId="22D2112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m</w:t>
            </w:r>
          </w:p>
        </w:tc>
        <w:tc>
          <w:tcPr>
            <w:tcW w:w="1240" w:type="dxa"/>
            <w:shd w:val="clear" w:color="FFFFFF" w:fill="FFFFFF"/>
            <w:vAlign w:val="center"/>
          </w:tcPr>
          <w:p w14:paraId="031160CD">
            <w:pPr>
              <w:widowControl/>
              <w:jc w:val="righ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20</w:t>
            </w:r>
          </w:p>
        </w:tc>
      </w:tr>
      <w:tr w14:paraId="4A91C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trPr>
        <w:tc>
          <w:tcPr>
            <w:tcW w:w="1084" w:type="dxa"/>
            <w:shd w:val="clear" w:color="FFFFFF" w:fill="FFFFFF"/>
            <w:vAlign w:val="center"/>
          </w:tcPr>
          <w:p w14:paraId="28E2F5E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5</w:t>
            </w:r>
          </w:p>
        </w:tc>
        <w:tc>
          <w:tcPr>
            <w:tcW w:w="2691" w:type="dxa"/>
            <w:shd w:val="clear" w:color="FFFFFF" w:fill="FFFFFF"/>
            <w:vAlign w:val="center"/>
          </w:tcPr>
          <w:p w14:paraId="4A42C729">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电力电缆</w:t>
            </w:r>
          </w:p>
        </w:tc>
        <w:tc>
          <w:tcPr>
            <w:tcW w:w="2712" w:type="dxa"/>
            <w:shd w:val="clear" w:color="FFFFFF" w:fill="FFFFFF"/>
            <w:vAlign w:val="center"/>
          </w:tcPr>
          <w:p w14:paraId="2F9C280D">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1.名称:铜芯电力电缆</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2.型号、规格:WDZ-YJY-4*50+1*25</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3.敷设方式或部位:桥架或穿管内敷设</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4.电压等级（kv）:1kv以下</w:t>
            </w:r>
          </w:p>
        </w:tc>
        <w:tc>
          <w:tcPr>
            <w:tcW w:w="613" w:type="dxa"/>
            <w:shd w:val="clear" w:color="FFFFFF" w:fill="FFFFFF"/>
            <w:vAlign w:val="center"/>
          </w:tcPr>
          <w:p w14:paraId="1114293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m</w:t>
            </w:r>
          </w:p>
        </w:tc>
        <w:tc>
          <w:tcPr>
            <w:tcW w:w="1240" w:type="dxa"/>
            <w:shd w:val="clear" w:color="FFFFFF" w:fill="FFFFFF"/>
            <w:vAlign w:val="center"/>
          </w:tcPr>
          <w:p w14:paraId="3AB89B98">
            <w:pPr>
              <w:widowControl/>
              <w:jc w:val="righ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20</w:t>
            </w:r>
          </w:p>
        </w:tc>
      </w:tr>
      <w:tr w14:paraId="19069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trPr>
        <w:tc>
          <w:tcPr>
            <w:tcW w:w="1084" w:type="dxa"/>
            <w:shd w:val="clear" w:color="FFFFFF" w:fill="FFFFFF"/>
            <w:vAlign w:val="center"/>
          </w:tcPr>
          <w:p w14:paraId="76AFC06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6</w:t>
            </w:r>
          </w:p>
        </w:tc>
        <w:tc>
          <w:tcPr>
            <w:tcW w:w="2691" w:type="dxa"/>
            <w:shd w:val="clear" w:color="FFFFFF" w:fill="FFFFFF"/>
            <w:vAlign w:val="center"/>
          </w:tcPr>
          <w:p w14:paraId="583821CE">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电力电缆</w:t>
            </w:r>
          </w:p>
        </w:tc>
        <w:tc>
          <w:tcPr>
            <w:tcW w:w="2712" w:type="dxa"/>
            <w:shd w:val="clear" w:color="FFFFFF" w:fill="FFFFFF"/>
            <w:vAlign w:val="center"/>
          </w:tcPr>
          <w:p w14:paraId="23C694FD">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1.名称:铜芯电力电缆</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2.型号、规格:WDZ-YJY-4*35+1*16</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3.敷设方式或部位:桥架或穿管内敷设</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4.电压等级（kv）:1kv以下</w:t>
            </w:r>
          </w:p>
        </w:tc>
        <w:tc>
          <w:tcPr>
            <w:tcW w:w="613" w:type="dxa"/>
            <w:shd w:val="clear" w:color="FFFFFF" w:fill="FFFFFF"/>
            <w:vAlign w:val="center"/>
          </w:tcPr>
          <w:p w14:paraId="232F3CE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m</w:t>
            </w:r>
          </w:p>
        </w:tc>
        <w:tc>
          <w:tcPr>
            <w:tcW w:w="1240" w:type="dxa"/>
            <w:shd w:val="clear" w:color="FFFFFF" w:fill="FFFFFF"/>
            <w:vAlign w:val="center"/>
          </w:tcPr>
          <w:p w14:paraId="18DFEA50">
            <w:pPr>
              <w:widowControl/>
              <w:jc w:val="righ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20</w:t>
            </w:r>
          </w:p>
        </w:tc>
      </w:tr>
      <w:tr w14:paraId="6A974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trPr>
        <w:tc>
          <w:tcPr>
            <w:tcW w:w="1084" w:type="dxa"/>
            <w:shd w:val="clear" w:color="FFFFFF" w:fill="FFFFFF"/>
            <w:vAlign w:val="center"/>
          </w:tcPr>
          <w:p w14:paraId="541D0A8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7</w:t>
            </w:r>
          </w:p>
        </w:tc>
        <w:tc>
          <w:tcPr>
            <w:tcW w:w="2691" w:type="dxa"/>
            <w:shd w:val="clear" w:color="FFFFFF" w:fill="FFFFFF"/>
            <w:vAlign w:val="center"/>
          </w:tcPr>
          <w:p w14:paraId="5FE5668A">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电力电缆头</w:t>
            </w:r>
          </w:p>
        </w:tc>
        <w:tc>
          <w:tcPr>
            <w:tcW w:w="2712" w:type="dxa"/>
            <w:shd w:val="clear" w:color="FFFFFF" w:fill="FFFFFF"/>
            <w:vAlign w:val="center"/>
          </w:tcPr>
          <w:p w14:paraId="18A6B18A">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1.名称:电缆终端头制安</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2.型号、规格:三芯及以上，截面120mm2及以下</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3.材质、类型:户内干包式</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4.电压等级（kV）:1kV以下</w:t>
            </w:r>
          </w:p>
        </w:tc>
        <w:tc>
          <w:tcPr>
            <w:tcW w:w="613" w:type="dxa"/>
            <w:shd w:val="clear" w:color="FFFFFF" w:fill="FFFFFF"/>
            <w:vAlign w:val="center"/>
          </w:tcPr>
          <w:p w14:paraId="244EA1A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个</w:t>
            </w:r>
          </w:p>
        </w:tc>
        <w:tc>
          <w:tcPr>
            <w:tcW w:w="1240" w:type="dxa"/>
            <w:shd w:val="clear" w:color="FFFFFF" w:fill="FFFFFF"/>
            <w:vAlign w:val="center"/>
          </w:tcPr>
          <w:p w14:paraId="17238C76">
            <w:pPr>
              <w:widowControl/>
              <w:jc w:val="righ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w:t>
            </w:r>
          </w:p>
        </w:tc>
      </w:tr>
      <w:tr w14:paraId="2FC85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trPr>
        <w:tc>
          <w:tcPr>
            <w:tcW w:w="1084" w:type="dxa"/>
            <w:shd w:val="clear" w:color="FFFFFF" w:fill="FFFFFF"/>
            <w:vAlign w:val="center"/>
          </w:tcPr>
          <w:p w14:paraId="568A961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8</w:t>
            </w:r>
          </w:p>
        </w:tc>
        <w:tc>
          <w:tcPr>
            <w:tcW w:w="2691" w:type="dxa"/>
            <w:shd w:val="clear" w:color="FFFFFF" w:fill="FFFFFF"/>
            <w:vAlign w:val="center"/>
          </w:tcPr>
          <w:p w14:paraId="2C48189D">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电力电缆头</w:t>
            </w:r>
          </w:p>
        </w:tc>
        <w:tc>
          <w:tcPr>
            <w:tcW w:w="2712" w:type="dxa"/>
            <w:shd w:val="clear" w:color="FFFFFF" w:fill="FFFFFF"/>
            <w:vAlign w:val="center"/>
          </w:tcPr>
          <w:p w14:paraId="1CD11201">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1.名称:电缆终端头制安</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2.型号、规格:三芯及以上，截面35mm2及以下</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3.材质、类型:户内干包式</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4.电压等级（kV）:1kV以下</w:t>
            </w:r>
          </w:p>
        </w:tc>
        <w:tc>
          <w:tcPr>
            <w:tcW w:w="613" w:type="dxa"/>
            <w:shd w:val="clear" w:color="FFFFFF" w:fill="FFFFFF"/>
            <w:vAlign w:val="center"/>
          </w:tcPr>
          <w:p w14:paraId="0811B54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个</w:t>
            </w:r>
          </w:p>
        </w:tc>
        <w:tc>
          <w:tcPr>
            <w:tcW w:w="1240" w:type="dxa"/>
            <w:shd w:val="clear" w:color="FFFFFF" w:fill="FFFFFF"/>
            <w:vAlign w:val="center"/>
          </w:tcPr>
          <w:p w14:paraId="7108A4E9">
            <w:pPr>
              <w:widowControl/>
              <w:jc w:val="righ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w:t>
            </w:r>
          </w:p>
        </w:tc>
      </w:tr>
    </w:tbl>
    <w:p w14:paraId="2BF396D5">
      <w:pPr>
        <w:tabs>
          <w:tab w:val="left" w:pos="851"/>
        </w:tabs>
        <w:spacing w:line="360" w:lineRule="auto"/>
        <w:ind w:firstLine="420" w:firstLineChars="200"/>
        <w:rPr>
          <w:rFonts w:cs="仿宋" w:asciiTheme="majorEastAsia" w:hAnsiTheme="majorEastAsia" w:eastAsiaTheme="majorEastAsia"/>
          <w:bCs/>
          <w:color w:val="auto"/>
          <w:highlight w:val="none"/>
        </w:rPr>
      </w:pPr>
    </w:p>
    <w:tbl>
      <w:tblPr>
        <w:tblStyle w:val="21"/>
        <w:tblW w:w="834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3"/>
        <w:gridCol w:w="2691"/>
        <w:gridCol w:w="2712"/>
        <w:gridCol w:w="613"/>
        <w:gridCol w:w="1241"/>
      </w:tblGrid>
      <w:tr w14:paraId="2FEEE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340" w:type="dxa"/>
            <w:gridSpan w:val="5"/>
            <w:shd w:val="clear" w:color="FFFFFF" w:fill="FFFFFF"/>
            <w:vAlign w:val="bottom"/>
          </w:tcPr>
          <w:p w14:paraId="6B1B7B65">
            <w:pPr>
              <w:rPr>
                <w:rFonts w:ascii="宋体" w:hAnsi="宋体" w:cs="宋体"/>
                <w:color w:val="auto"/>
                <w:sz w:val="20"/>
                <w:szCs w:val="20"/>
                <w:highlight w:val="none"/>
              </w:rPr>
            </w:pPr>
            <w:r>
              <w:rPr>
                <w:rFonts w:hint="eastAsia" w:ascii="宋体" w:hAnsi="宋体" w:cs="宋体"/>
                <w:color w:val="auto"/>
                <w:kern w:val="0"/>
                <w:sz w:val="20"/>
                <w:szCs w:val="20"/>
                <w:highlight w:val="none"/>
              </w:rPr>
              <w:t>单位（专业）工程名称：光伏专项-1#楼光伏系统</w:t>
            </w:r>
          </w:p>
        </w:tc>
      </w:tr>
      <w:tr w14:paraId="3F6E3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083" w:type="dxa"/>
            <w:vMerge w:val="restart"/>
            <w:shd w:val="clear" w:color="FFFFFF" w:fill="FFFFFF"/>
            <w:vAlign w:val="center"/>
          </w:tcPr>
          <w:p w14:paraId="60B8F66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序号</w:t>
            </w:r>
          </w:p>
        </w:tc>
        <w:tc>
          <w:tcPr>
            <w:tcW w:w="2691" w:type="dxa"/>
            <w:vMerge w:val="restart"/>
            <w:shd w:val="clear" w:color="FFFFFF" w:fill="FFFFFF"/>
            <w:vAlign w:val="center"/>
          </w:tcPr>
          <w:p w14:paraId="4DB24E5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项目名称</w:t>
            </w:r>
          </w:p>
        </w:tc>
        <w:tc>
          <w:tcPr>
            <w:tcW w:w="2712" w:type="dxa"/>
            <w:vMerge w:val="restart"/>
            <w:shd w:val="clear" w:color="FFFFFF" w:fill="FFFFFF"/>
            <w:vAlign w:val="center"/>
          </w:tcPr>
          <w:p w14:paraId="3516E46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项目特征</w:t>
            </w:r>
          </w:p>
        </w:tc>
        <w:tc>
          <w:tcPr>
            <w:tcW w:w="613" w:type="dxa"/>
            <w:vMerge w:val="restart"/>
            <w:shd w:val="clear" w:color="FFFFFF" w:fill="FFFFFF"/>
            <w:vAlign w:val="center"/>
          </w:tcPr>
          <w:p w14:paraId="022E739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计量单位</w:t>
            </w:r>
          </w:p>
        </w:tc>
        <w:tc>
          <w:tcPr>
            <w:tcW w:w="1241" w:type="dxa"/>
            <w:vMerge w:val="restart"/>
            <w:shd w:val="clear" w:color="FFFFFF" w:fill="FFFFFF"/>
            <w:vAlign w:val="center"/>
          </w:tcPr>
          <w:p w14:paraId="3B56637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工程量</w:t>
            </w:r>
          </w:p>
        </w:tc>
      </w:tr>
      <w:tr w14:paraId="1CBF1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083" w:type="dxa"/>
            <w:vMerge w:val="continue"/>
            <w:shd w:val="clear" w:color="FFFFFF" w:fill="FFFFFF"/>
            <w:vAlign w:val="center"/>
          </w:tcPr>
          <w:p w14:paraId="709ADBC3">
            <w:pPr>
              <w:jc w:val="center"/>
              <w:rPr>
                <w:rFonts w:ascii="宋体" w:hAnsi="宋体" w:cs="宋体"/>
                <w:color w:val="auto"/>
                <w:sz w:val="20"/>
                <w:szCs w:val="20"/>
                <w:highlight w:val="none"/>
              </w:rPr>
            </w:pPr>
          </w:p>
        </w:tc>
        <w:tc>
          <w:tcPr>
            <w:tcW w:w="2691" w:type="dxa"/>
            <w:vMerge w:val="continue"/>
            <w:shd w:val="clear" w:color="FFFFFF" w:fill="FFFFFF"/>
            <w:vAlign w:val="center"/>
          </w:tcPr>
          <w:p w14:paraId="2927571A">
            <w:pPr>
              <w:jc w:val="center"/>
              <w:rPr>
                <w:rFonts w:ascii="宋体" w:hAnsi="宋体" w:cs="宋体"/>
                <w:color w:val="auto"/>
                <w:sz w:val="20"/>
                <w:szCs w:val="20"/>
                <w:highlight w:val="none"/>
              </w:rPr>
            </w:pPr>
          </w:p>
        </w:tc>
        <w:tc>
          <w:tcPr>
            <w:tcW w:w="2712" w:type="dxa"/>
            <w:vMerge w:val="continue"/>
            <w:shd w:val="clear" w:color="FFFFFF" w:fill="FFFFFF"/>
            <w:vAlign w:val="center"/>
          </w:tcPr>
          <w:p w14:paraId="5A8C2200">
            <w:pPr>
              <w:jc w:val="center"/>
              <w:rPr>
                <w:rFonts w:ascii="宋体" w:hAnsi="宋体" w:cs="宋体"/>
                <w:color w:val="auto"/>
                <w:sz w:val="20"/>
                <w:szCs w:val="20"/>
                <w:highlight w:val="none"/>
              </w:rPr>
            </w:pPr>
          </w:p>
        </w:tc>
        <w:tc>
          <w:tcPr>
            <w:tcW w:w="613" w:type="dxa"/>
            <w:vMerge w:val="continue"/>
            <w:shd w:val="clear" w:color="FFFFFF" w:fill="FFFFFF"/>
            <w:vAlign w:val="center"/>
          </w:tcPr>
          <w:p w14:paraId="39D3CE2A">
            <w:pPr>
              <w:jc w:val="center"/>
              <w:rPr>
                <w:rFonts w:ascii="宋体" w:hAnsi="宋体" w:cs="宋体"/>
                <w:color w:val="auto"/>
                <w:sz w:val="20"/>
                <w:szCs w:val="20"/>
                <w:highlight w:val="none"/>
              </w:rPr>
            </w:pPr>
          </w:p>
        </w:tc>
        <w:tc>
          <w:tcPr>
            <w:tcW w:w="1241" w:type="dxa"/>
            <w:vMerge w:val="continue"/>
            <w:shd w:val="clear" w:color="FFFFFF" w:fill="FFFFFF"/>
            <w:vAlign w:val="center"/>
          </w:tcPr>
          <w:p w14:paraId="05F5343A">
            <w:pPr>
              <w:jc w:val="center"/>
              <w:rPr>
                <w:rFonts w:ascii="宋体" w:hAnsi="宋体" w:cs="宋体"/>
                <w:color w:val="auto"/>
                <w:sz w:val="20"/>
                <w:szCs w:val="20"/>
                <w:highlight w:val="none"/>
              </w:rPr>
            </w:pPr>
          </w:p>
        </w:tc>
      </w:tr>
      <w:tr w14:paraId="2DEA3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083" w:type="dxa"/>
            <w:vMerge w:val="continue"/>
            <w:shd w:val="clear" w:color="FFFFFF" w:fill="FFFFFF"/>
            <w:vAlign w:val="center"/>
          </w:tcPr>
          <w:p w14:paraId="29F083D4">
            <w:pPr>
              <w:jc w:val="center"/>
              <w:rPr>
                <w:rFonts w:ascii="宋体" w:hAnsi="宋体" w:cs="宋体"/>
                <w:color w:val="auto"/>
                <w:sz w:val="20"/>
                <w:szCs w:val="20"/>
                <w:highlight w:val="none"/>
              </w:rPr>
            </w:pPr>
          </w:p>
        </w:tc>
        <w:tc>
          <w:tcPr>
            <w:tcW w:w="2691" w:type="dxa"/>
            <w:vMerge w:val="continue"/>
            <w:shd w:val="clear" w:color="FFFFFF" w:fill="FFFFFF"/>
            <w:vAlign w:val="center"/>
          </w:tcPr>
          <w:p w14:paraId="2C580F72">
            <w:pPr>
              <w:jc w:val="center"/>
              <w:rPr>
                <w:rFonts w:ascii="宋体" w:hAnsi="宋体" w:cs="宋体"/>
                <w:color w:val="auto"/>
                <w:sz w:val="20"/>
                <w:szCs w:val="20"/>
                <w:highlight w:val="none"/>
              </w:rPr>
            </w:pPr>
          </w:p>
        </w:tc>
        <w:tc>
          <w:tcPr>
            <w:tcW w:w="2712" w:type="dxa"/>
            <w:vMerge w:val="continue"/>
            <w:shd w:val="clear" w:color="FFFFFF" w:fill="FFFFFF"/>
            <w:vAlign w:val="center"/>
          </w:tcPr>
          <w:p w14:paraId="1E07D8FF">
            <w:pPr>
              <w:jc w:val="center"/>
              <w:rPr>
                <w:rFonts w:ascii="宋体" w:hAnsi="宋体" w:cs="宋体"/>
                <w:color w:val="auto"/>
                <w:sz w:val="20"/>
                <w:szCs w:val="20"/>
                <w:highlight w:val="none"/>
              </w:rPr>
            </w:pPr>
          </w:p>
        </w:tc>
        <w:tc>
          <w:tcPr>
            <w:tcW w:w="613" w:type="dxa"/>
            <w:vMerge w:val="continue"/>
            <w:shd w:val="clear" w:color="FFFFFF" w:fill="FFFFFF"/>
            <w:vAlign w:val="center"/>
          </w:tcPr>
          <w:p w14:paraId="62163837">
            <w:pPr>
              <w:jc w:val="center"/>
              <w:rPr>
                <w:rFonts w:ascii="宋体" w:hAnsi="宋体" w:cs="宋体"/>
                <w:color w:val="auto"/>
                <w:sz w:val="20"/>
                <w:szCs w:val="20"/>
                <w:highlight w:val="none"/>
              </w:rPr>
            </w:pPr>
          </w:p>
        </w:tc>
        <w:tc>
          <w:tcPr>
            <w:tcW w:w="1241" w:type="dxa"/>
            <w:vMerge w:val="continue"/>
            <w:shd w:val="clear" w:color="FFFFFF" w:fill="FFFFFF"/>
            <w:vAlign w:val="center"/>
          </w:tcPr>
          <w:p w14:paraId="4FE1B6D6">
            <w:pPr>
              <w:jc w:val="center"/>
              <w:rPr>
                <w:rFonts w:ascii="宋体" w:hAnsi="宋体" w:cs="宋体"/>
                <w:color w:val="auto"/>
                <w:sz w:val="20"/>
                <w:szCs w:val="20"/>
                <w:highlight w:val="none"/>
              </w:rPr>
            </w:pPr>
          </w:p>
        </w:tc>
      </w:tr>
      <w:tr w14:paraId="11770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83" w:type="dxa"/>
            <w:shd w:val="clear" w:color="FFFFFF" w:fill="FFFFFF"/>
            <w:vAlign w:val="center"/>
          </w:tcPr>
          <w:p w14:paraId="48E22E66">
            <w:pPr>
              <w:jc w:val="right"/>
              <w:rPr>
                <w:rFonts w:ascii="宋体" w:hAnsi="宋体" w:cs="宋体"/>
                <w:color w:val="auto"/>
                <w:sz w:val="20"/>
                <w:szCs w:val="20"/>
                <w:highlight w:val="none"/>
              </w:rPr>
            </w:pPr>
          </w:p>
        </w:tc>
        <w:tc>
          <w:tcPr>
            <w:tcW w:w="2691" w:type="dxa"/>
            <w:shd w:val="clear" w:color="FFFFFF" w:fill="FFFFFF"/>
            <w:vAlign w:val="center"/>
          </w:tcPr>
          <w:p w14:paraId="49D1D398">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1#楼光伏</w:t>
            </w:r>
          </w:p>
        </w:tc>
        <w:tc>
          <w:tcPr>
            <w:tcW w:w="2712" w:type="dxa"/>
            <w:shd w:val="clear" w:color="FFFFFF" w:fill="FFFFFF"/>
            <w:vAlign w:val="center"/>
          </w:tcPr>
          <w:p w14:paraId="551EF26D">
            <w:pPr>
              <w:jc w:val="left"/>
              <w:rPr>
                <w:rFonts w:ascii="宋体" w:hAnsi="宋体" w:cs="宋体"/>
                <w:color w:val="auto"/>
                <w:sz w:val="20"/>
                <w:szCs w:val="20"/>
                <w:highlight w:val="none"/>
              </w:rPr>
            </w:pPr>
          </w:p>
        </w:tc>
        <w:tc>
          <w:tcPr>
            <w:tcW w:w="613" w:type="dxa"/>
            <w:shd w:val="clear" w:color="FFFFFF" w:fill="FFFFFF"/>
            <w:vAlign w:val="center"/>
          </w:tcPr>
          <w:p w14:paraId="2BEE8003">
            <w:pPr>
              <w:jc w:val="left"/>
              <w:rPr>
                <w:rFonts w:ascii="宋体" w:hAnsi="宋体" w:cs="宋体"/>
                <w:color w:val="auto"/>
                <w:sz w:val="20"/>
                <w:szCs w:val="20"/>
                <w:highlight w:val="none"/>
              </w:rPr>
            </w:pPr>
          </w:p>
        </w:tc>
        <w:tc>
          <w:tcPr>
            <w:tcW w:w="1241" w:type="dxa"/>
            <w:shd w:val="clear" w:color="FFFFFF" w:fill="FFFFFF"/>
            <w:vAlign w:val="center"/>
          </w:tcPr>
          <w:p w14:paraId="4BD65BE9">
            <w:pPr>
              <w:jc w:val="left"/>
              <w:rPr>
                <w:rFonts w:ascii="宋体" w:hAnsi="宋体" w:cs="宋体"/>
                <w:color w:val="auto"/>
                <w:sz w:val="20"/>
                <w:szCs w:val="20"/>
                <w:highlight w:val="none"/>
              </w:rPr>
            </w:pPr>
          </w:p>
        </w:tc>
      </w:tr>
      <w:tr w14:paraId="03C3F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1083" w:type="dxa"/>
            <w:shd w:val="clear" w:color="FFFFFF" w:fill="FFFFFF"/>
            <w:vAlign w:val="center"/>
          </w:tcPr>
          <w:p w14:paraId="52FE421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2691" w:type="dxa"/>
            <w:shd w:val="clear" w:color="FFFFFF" w:fill="FFFFFF"/>
            <w:vAlign w:val="center"/>
          </w:tcPr>
          <w:p w14:paraId="4BE3870F">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太阳能电池</w:t>
            </w:r>
          </w:p>
        </w:tc>
        <w:tc>
          <w:tcPr>
            <w:tcW w:w="2712" w:type="dxa"/>
            <w:shd w:val="clear" w:color="FFFFFF" w:fill="FFFFFF"/>
            <w:vAlign w:val="center"/>
          </w:tcPr>
          <w:p w14:paraId="5A093F45">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1.名称:单晶硅电池组件</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2.规格:2279*1134*35mm</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3.最大功率:540Wp</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4.安装方式:太阳能电池板钢架安装 屋面安装</w:t>
            </w:r>
          </w:p>
        </w:tc>
        <w:tc>
          <w:tcPr>
            <w:tcW w:w="613" w:type="dxa"/>
            <w:shd w:val="clear" w:color="FFFFFF" w:fill="FFFFFF"/>
            <w:vAlign w:val="center"/>
          </w:tcPr>
          <w:p w14:paraId="59E791A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组</w:t>
            </w:r>
          </w:p>
        </w:tc>
        <w:tc>
          <w:tcPr>
            <w:tcW w:w="1241" w:type="dxa"/>
            <w:shd w:val="clear" w:color="FFFFFF" w:fill="FFFFFF"/>
            <w:vAlign w:val="center"/>
          </w:tcPr>
          <w:p w14:paraId="71B2C1AD">
            <w:pPr>
              <w:widowControl/>
              <w:jc w:val="righ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102</w:t>
            </w:r>
          </w:p>
        </w:tc>
      </w:tr>
      <w:tr w14:paraId="0DBF7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083" w:type="dxa"/>
            <w:shd w:val="clear" w:color="FFFFFF" w:fill="FFFFFF"/>
            <w:vAlign w:val="center"/>
          </w:tcPr>
          <w:p w14:paraId="0BE23DF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2691" w:type="dxa"/>
            <w:shd w:val="clear" w:color="FFFFFF" w:fill="FFFFFF"/>
            <w:vAlign w:val="center"/>
          </w:tcPr>
          <w:p w14:paraId="06F2E1B7">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桥架</w:t>
            </w:r>
          </w:p>
        </w:tc>
        <w:tc>
          <w:tcPr>
            <w:tcW w:w="2712" w:type="dxa"/>
            <w:shd w:val="clear" w:color="FFFFFF" w:fill="FFFFFF"/>
            <w:vAlign w:val="center"/>
          </w:tcPr>
          <w:p w14:paraId="35D6AD46">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1.名称:直流金属线槽（防雨型）</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2.规格:100*50</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3.接地:跨接接地</w:t>
            </w:r>
          </w:p>
        </w:tc>
        <w:tc>
          <w:tcPr>
            <w:tcW w:w="613" w:type="dxa"/>
            <w:shd w:val="clear" w:color="FFFFFF" w:fill="FFFFFF"/>
            <w:vAlign w:val="center"/>
          </w:tcPr>
          <w:p w14:paraId="7B668B7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m</w:t>
            </w:r>
          </w:p>
        </w:tc>
        <w:tc>
          <w:tcPr>
            <w:tcW w:w="1241" w:type="dxa"/>
            <w:shd w:val="clear" w:color="FFFFFF" w:fill="FFFFFF"/>
            <w:vAlign w:val="center"/>
          </w:tcPr>
          <w:p w14:paraId="684BD970">
            <w:pPr>
              <w:widowControl/>
              <w:jc w:val="righ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39.5</w:t>
            </w:r>
          </w:p>
        </w:tc>
      </w:tr>
      <w:tr w14:paraId="79479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83" w:type="dxa"/>
            <w:shd w:val="clear" w:color="FFFFFF" w:fill="FFFFFF"/>
            <w:vAlign w:val="center"/>
          </w:tcPr>
          <w:p w14:paraId="5835D16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3</w:t>
            </w:r>
          </w:p>
        </w:tc>
        <w:tc>
          <w:tcPr>
            <w:tcW w:w="2691" w:type="dxa"/>
            <w:shd w:val="clear" w:color="FFFFFF" w:fill="FFFFFF"/>
            <w:vAlign w:val="center"/>
          </w:tcPr>
          <w:p w14:paraId="68A02565">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铁构件</w:t>
            </w:r>
          </w:p>
        </w:tc>
        <w:tc>
          <w:tcPr>
            <w:tcW w:w="2712" w:type="dxa"/>
            <w:shd w:val="clear" w:color="FFFFFF" w:fill="FFFFFF"/>
            <w:vAlign w:val="center"/>
          </w:tcPr>
          <w:p w14:paraId="1230C093">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1.名称:一般铁构件制作、安装</w:t>
            </w:r>
          </w:p>
        </w:tc>
        <w:tc>
          <w:tcPr>
            <w:tcW w:w="613" w:type="dxa"/>
            <w:shd w:val="clear" w:color="FFFFFF" w:fill="FFFFFF"/>
            <w:vAlign w:val="center"/>
          </w:tcPr>
          <w:p w14:paraId="3CF98B8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kg</w:t>
            </w:r>
          </w:p>
        </w:tc>
        <w:tc>
          <w:tcPr>
            <w:tcW w:w="1241" w:type="dxa"/>
            <w:shd w:val="clear" w:color="FFFFFF" w:fill="FFFFFF"/>
            <w:vAlign w:val="center"/>
          </w:tcPr>
          <w:p w14:paraId="27976EE0">
            <w:pPr>
              <w:widowControl/>
              <w:jc w:val="righ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14.11</w:t>
            </w:r>
          </w:p>
        </w:tc>
      </w:tr>
      <w:tr w14:paraId="09A9F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1083" w:type="dxa"/>
            <w:shd w:val="clear" w:color="FFFFFF" w:fill="FFFFFF"/>
            <w:vAlign w:val="center"/>
          </w:tcPr>
          <w:p w14:paraId="3F5DB56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w:t>
            </w:r>
          </w:p>
        </w:tc>
        <w:tc>
          <w:tcPr>
            <w:tcW w:w="2691" w:type="dxa"/>
            <w:shd w:val="clear" w:color="FFFFFF" w:fill="FFFFFF"/>
            <w:vAlign w:val="center"/>
          </w:tcPr>
          <w:p w14:paraId="40F6C32B">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金属结构刷油</w:t>
            </w:r>
          </w:p>
        </w:tc>
        <w:tc>
          <w:tcPr>
            <w:tcW w:w="2712" w:type="dxa"/>
            <w:shd w:val="clear" w:color="FFFFFF" w:fill="FFFFFF"/>
            <w:vAlign w:val="center"/>
          </w:tcPr>
          <w:p w14:paraId="34C53E60">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1.除锈:一般铁构件除轻锈</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2.调配、涂刷:一般铁构件刷防锈漆两遍，刷调和漆两遍</w:t>
            </w:r>
          </w:p>
        </w:tc>
        <w:tc>
          <w:tcPr>
            <w:tcW w:w="613" w:type="dxa"/>
            <w:shd w:val="clear" w:color="FFFFFF" w:fill="FFFFFF"/>
            <w:vAlign w:val="center"/>
          </w:tcPr>
          <w:p w14:paraId="713E443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kg</w:t>
            </w:r>
          </w:p>
        </w:tc>
        <w:tc>
          <w:tcPr>
            <w:tcW w:w="1241" w:type="dxa"/>
            <w:shd w:val="clear" w:color="FFFFFF" w:fill="FFFFFF"/>
            <w:vAlign w:val="center"/>
          </w:tcPr>
          <w:p w14:paraId="1B7A484E">
            <w:pPr>
              <w:widowControl/>
              <w:jc w:val="righ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14.11</w:t>
            </w:r>
          </w:p>
        </w:tc>
      </w:tr>
      <w:tr w14:paraId="1D2FC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83" w:type="dxa"/>
            <w:shd w:val="clear" w:color="FFFFFF" w:fill="FFFFFF"/>
            <w:vAlign w:val="center"/>
          </w:tcPr>
          <w:p w14:paraId="1E0505E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5</w:t>
            </w:r>
          </w:p>
        </w:tc>
        <w:tc>
          <w:tcPr>
            <w:tcW w:w="2691" w:type="dxa"/>
            <w:shd w:val="clear" w:color="FFFFFF" w:fill="FFFFFF"/>
            <w:vAlign w:val="center"/>
          </w:tcPr>
          <w:p w14:paraId="6F823058">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电力电缆</w:t>
            </w:r>
          </w:p>
        </w:tc>
        <w:tc>
          <w:tcPr>
            <w:tcW w:w="2712" w:type="dxa"/>
            <w:shd w:val="clear" w:color="FFFFFF" w:fill="FFFFFF"/>
            <w:vAlign w:val="center"/>
          </w:tcPr>
          <w:p w14:paraId="3C282CD5">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1.名称:直流电缆</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2.规格:PV1-F/1*4</w:t>
            </w:r>
          </w:p>
        </w:tc>
        <w:tc>
          <w:tcPr>
            <w:tcW w:w="613" w:type="dxa"/>
            <w:shd w:val="clear" w:color="FFFFFF" w:fill="FFFFFF"/>
            <w:vAlign w:val="center"/>
          </w:tcPr>
          <w:p w14:paraId="39FFA87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m</w:t>
            </w:r>
          </w:p>
        </w:tc>
        <w:tc>
          <w:tcPr>
            <w:tcW w:w="1241" w:type="dxa"/>
            <w:shd w:val="clear" w:color="FFFFFF" w:fill="FFFFFF"/>
            <w:vAlign w:val="center"/>
          </w:tcPr>
          <w:p w14:paraId="29A5B902">
            <w:pPr>
              <w:widowControl/>
              <w:jc w:val="righ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127.47</w:t>
            </w:r>
          </w:p>
        </w:tc>
      </w:tr>
      <w:tr w14:paraId="4488B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083" w:type="dxa"/>
            <w:shd w:val="clear" w:color="FFFFFF" w:fill="FFFFFF"/>
            <w:vAlign w:val="center"/>
          </w:tcPr>
          <w:p w14:paraId="54FE839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6</w:t>
            </w:r>
          </w:p>
        </w:tc>
        <w:tc>
          <w:tcPr>
            <w:tcW w:w="2691" w:type="dxa"/>
            <w:shd w:val="clear" w:color="FFFFFF" w:fill="FFFFFF"/>
            <w:vAlign w:val="center"/>
          </w:tcPr>
          <w:p w14:paraId="265F6CB9">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太阳能电池</w:t>
            </w:r>
          </w:p>
        </w:tc>
        <w:tc>
          <w:tcPr>
            <w:tcW w:w="2712" w:type="dxa"/>
            <w:shd w:val="clear" w:color="FFFFFF" w:fill="FFFFFF"/>
            <w:vAlign w:val="center"/>
          </w:tcPr>
          <w:p w14:paraId="1E51FC5F">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1.名称:光伏逆变器</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2.规格:Pe=35.64kW</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3.安装方式:底边距地1米明装</w:t>
            </w:r>
          </w:p>
        </w:tc>
        <w:tc>
          <w:tcPr>
            <w:tcW w:w="613" w:type="dxa"/>
            <w:shd w:val="clear" w:color="FFFFFF" w:fill="FFFFFF"/>
            <w:vAlign w:val="center"/>
          </w:tcPr>
          <w:p w14:paraId="46C11C3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组</w:t>
            </w:r>
          </w:p>
        </w:tc>
        <w:tc>
          <w:tcPr>
            <w:tcW w:w="1241" w:type="dxa"/>
            <w:shd w:val="clear" w:color="FFFFFF" w:fill="FFFFFF"/>
            <w:vAlign w:val="center"/>
          </w:tcPr>
          <w:p w14:paraId="0F756F4C">
            <w:pPr>
              <w:widowControl/>
              <w:jc w:val="righ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14:paraId="4E204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083" w:type="dxa"/>
            <w:shd w:val="clear" w:color="FFFFFF" w:fill="FFFFFF"/>
            <w:vAlign w:val="center"/>
          </w:tcPr>
          <w:p w14:paraId="013A5D6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7</w:t>
            </w:r>
          </w:p>
        </w:tc>
        <w:tc>
          <w:tcPr>
            <w:tcW w:w="2691" w:type="dxa"/>
            <w:shd w:val="clear" w:color="FFFFFF" w:fill="FFFFFF"/>
            <w:vAlign w:val="center"/>
          </w:tcPr>
          <w:p w14:paraId="729575BE">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太阳能电池</w:t>
            </w:r>
          </w:p>
        </w:tc>
        <w:tc>
          <w:tcPr>
            <w:tcW w:w="2712" w:type="dxa"/>
            <w:shd w:val="clear" w:color="FFFFFF" w:fill="FFFFFF"/>
            <w:vAlign w:val="center"/>
          </w:tcPr>
          <w:p w14:paraId="508EF5C6">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1.名称:光伏逆变器</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2.规格:Pe=19.44kW</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3.安装方式:底边距地1米明装</w:t>
            </w:r>
          </w:p>
        </w:tc>
        <w:tc>
          <w:tcPr>
            <w:tcW w:w="613" w:type="dxa"/>
            <w:shd w:val="clear" w:color="FFFFFF" w:fill="FFFFFF"/>
            <w:vAlign w:val="center"/>
          </w:tcPr>
          <w:p w14:paraId="672845C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组</w:t>
            </w:r>
          </w:p>
        </w:tc>
        <w:tc>
          <w:tcPr>
            <w:tcW w:w="1241" w:type="dxa"/>
            <w:shd w:val="clear" w:color="FFFFFF" w:fill="FFFFFF"/>
            <w:vAlign w:val="center"/>
          </w:tcPr>
          <w:p w14:paraId="16C4C9C1">
            <w:pPr>
              <w:widowControl/>
              <w:jc w:val="righ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14:paraId="24FFE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trPr>
        <w:tc>
          <w:tcPr>
            <w:tcW w:w="1083" w:type="dxa"/>
            <w:shd w:val="clear" w:color="FFFFFF" w:fill="FFFFFF"/>
            <w:vAlign w:val="center"/>
          </w:tcPr>
          <w:p w14:paraId="70148E7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8</w:t>
            </w:r>
          </w:p>
        </w:tc>
        <w:tc>
          <w:tcPr>
            <w:tcW w:w="2691" w:type="dxa"/>
            <w:shd w:val="clear" w:color="FFFFFF" w:fill="FFFFFF"/>
            <w:vAlign w:val="center"/>
          </w:tcPr>
          <w:p w14:paraId="7FBDC59E">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配电箱</w:t>
            </w:r>
          </w:p>
        </w:tc>
        <w:tc>
          <w:tcPr>
            <w:tcW w:w="2712" w:type="dxa"/>
            <w:shd w:val="clear" w:color="FFFFFF" w:fill="FFFFFF"/>
            <w:vAlign w:val="center"/>
          </w:tcPr>
          <w:p w14:paraId="75E6ECD6">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1.名称:交流配电箱（IP65）</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2.型号:1#-AP1</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3.安装方式:底边距地1米明装</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4.其他:含箱体接地，箱内元器件详见设计</w:t>
            </w:r>
          </w:p>
        </w:tc>
        <w:tc>
          <w:tcPr>
            <w:tcW w:w="613" w:type="dxa"/>
            <w:shd w:val="clear" w:color="FFFFFF" w:fill="FFFFFF"/>
            <w:vAlign w:val="center"/>
          </w:tcPr>
          <w:p w14:paraId="123B0CE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台</w:t>
            </w:r>
          </w:p>
        </w:tc>
        <w:tc>
          <w:tcPr>
            <w:tcW w:w="1241" w:type="dxa"/>
            <w:shd w:val="clear" w:color="FFFFFF" w:fill="FFFFFF"/>
            <w:vAlign w:val="center"/>
          </w:tcPr>
          <w:p w14:paraId="4B2A78AD">
            <w:pPr>
              <w:widowControl/>
              <w:jc w:val="righ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14:paraId="6299D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trPr>
        <w:tc>
          <w:tcPr>
            <w:tcW w:w="1083" w:type="dxa"/>
            <w:shd w:val="clear" w:color="FFFFFF" w:fill="FFFFFF"/>
            <w:vAlign w:val="center"/>
          </w:tcPr>
          <w:p w14:paraId="64284BD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9</w:t>
            </w:r>
          </w:p>
        </w:tc>
        <w:tc>
          <w:tcPr>
            <w:tcW w:w="2691" w:type="dxa"/>
            <w:shd w:val="clear" w:color="FFFFFF" w:fill="FFFFFF"/>
            <w:vAlign w:val="center"/>
          </w:tcPr>
          <w:p w14:paraId="6EBC5093">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电力电缆</w:t>
            </w:r>
          </w:p>
        </w:tc>
        <w:tc>
          <w:tcPr>
            <w:tcW w:w="2712" w:type="dxa"/>
            <w:shd w:val="clear" w:color="FFFFFF" w:fill="FFFFFF"/>
            <w:vAlign w:val="center"/>
          </w:tcPr>
          <w:p w14:paraId="0620592F">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1.名称:铜芯电力电缆</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2.型号、规格:WDZ-YJY-5*16</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3.敷设方式或部位:桥架或穿管内敷设</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4.电压等级（kv）:1kv以下</w:t>
            </w:r>
          </w:p>
        </w:tc>
        <w:tc>
          <w:tcPr>
            <w:tcW w:w="613" w:type="dxa"/>
            <w:shd w:val="clear" w:color="FFFFFF" w:fill="FFFFFF"/>
            <w:vAlign w:val="center"/>
          </w:tcPr>
          <w:p w14:paraId="663B4CE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m</w:t>
            </w:r>
          </w:p>
        </w:tc>
        <w:tc>
          <w:tcPr>
            <w:tcW w:w="1241" w:type="dxa"/>
            <w:shd w:val="clear" w:color="FFFFFF" w:fill="FFFFFF"/>
            <w:vAlign w:val="center"/>
          </w:tcPr>
          <w:p w14:paraId="30A3EF91">
            <w:pPr>
              <w:widowControl/>
              <w:jc w:val="righ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10</w:t>
            </w:r>
          </w:p>
        </w:tc>
      </w:tr>
      <w:tr w14:paraId="7B07B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trPr>
        <w:tc>
          <w:tcPr>
            <w:tcW w:w="1083" w:type="dxa"/>
            <w:shd w:val="clear" w:color="FFFFFF" w:fill="FFFFFF"/>
            <w:vAlign w:val="center"/>
          </w:tcPr>
          <w:p w14:paraId="18AD4A5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10</w:t>
            </w:r>
          </w:p>
        </w:tc>
        <w:tc>
          <w:tcPr>
            <w:tcW w:w="2691" w:type="dxa"/>
            <w:shd w:val="clear" w:color="FFFFFF" w:fill="FFFFFF"/>
            <w:vAlign w:val="center"/>
          </w:tcPr>
          <w:p w14:paraId="0DA9BDE5">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电力电缆</w:t>
            </w:r>
          </w:p>
        </w:tc>
        <w:tc>
          <w:tcPr>
            <w:tcW w:w="2712" w:type="dxa"/>
            <w:shd w:val="clear" w:color="FFFFFF" w:fill="FFFFFF"/>
            <w:vAlign w:val="center"/>
          </w:tcPr>
          <w:p w14:paraId="251656B5">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1.名称:铜芯电力电缆</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2.型号、规格:WDZ-YJY-4*35+1*16</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3.敷设方式或部位:桥架或穿管内敷设</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4.电压等级（kv）:1kv以下</w:t>
            </w:r>
          </w:p>
        </w:tc>
        <w:tc>
          <w:tcPr>
            <w:tcW w:w="613" w:type="dxa"/>
            <w:shd w:val="clear" w:color="FFFFFF" w:fill="FFFFFF"/>
            <w:vAlign w:val="center"/>
          </w:tcPr>
          <w:p w14:paraId="2C43B82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m</w:t>
            </w:r>
          </w:p>
        </w:tc>
        <w:tc>
          <w:tcPr>
            <w:tcW w:w="1241" w:type="dxa"/>
            <w:shd w:val="clear" w:color="FFFFFF" w:fill="FFFFFF"/>
            <w:vAlign w:val="center"/>
          </w:tcPr>
          <w:p w14:paraId="6DBE94F0">
            <w:pPr>
              <w:widowControl/>
              <w:jc w:val="righ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241.76</w:t>
            </w:r>
          </w:p>
        </w:tc>
      </w:tr>
      <w:tr w14:paraId="5DA0E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trPr>
        <w:tc>
          <w:tcPr>
            <w:tcW w:w="1083" w:type="dxa"/>
            <w:shd w:val="clear" w:color="FFFFFF" w:fill="FFFFFF"/>
            <w:vAlign w:val="center"/>
          </w:tcPr>
          <w:p w14:paraId="287A290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11</w:t>
            </w:r>
          </w:p>
        </w:tc>
        <w:tc>
          <w:tcPr>
            <w:tcW w:w="2691" w:type="dxa"/>
            <w:shd w:val="clear" w:color="FFFFFF" w:fill="FFFFFF"/>
            <w:vAlign w:val="center"/>
          </w:tcPr>
          <w:p w14:paraId="7A1F6C86">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电力电缆头</w:t>
            </w:r>
          </w:p>
        </w:tc>
        <w:tc>
          <w:tcPr>
            <w:tcW w:w="2712" w:type="dxa"/>
            <w:shd w:val="clear" w:color="FFFFFF" w:fill="FFFFFF"/>
            <w:vAlign w:val="center"/>
          </w:tcPr>
          <w:p w14:paraId="1913F170">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1.名称:电缆终端头制安</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2.型号、规格:三芯及以上，截面35mm2及以下</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3.材质、类型:户内干包式</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4.电压等级（kV）:1kV以下</w:t>
            </w:r>
          </w:p>
        </w:tc>
        <w:tc>
          <w:tcPr>
            <w:tcW w:w="613" w:type="dxa"/>
            <w:shd w:val="clear" w:color="FFFFFF" w:fill="FFFFFF"/>
            <w:vAlign w:val="center"/>
          </w:tcPr>
          <w:p w14:paraId="1EB320E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个</w:t>
            </w:r>
          </w:p>
        </w:tc>
        <w:tc>
          <w:tcPr>
            <w:tcW w:w="1241" w:type="dxa"/>
            <w:shd w:val="clear" w:color="FFFFFF" w:fill="FFFFFF"/>
            <w:vAlign w:val="center"/>
          </w:tcPr>
          <w:p w14:paraId="2B106DE3">
            <w:pPr>
              <w:widowControl/>
              <w:jc w:val="righ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w:t>
            </w:r>
          </w:p>
        </w:tc>
      </w:tr>
      <w:tr w14:paraId="46E26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trPr>
        <w:tc>
          <w:tcPr>
            <w:tcW w:w="1083" w:type="dxa"/>
            <w:shd w:val="clear" w:color="FFFFFF" w:fill="FFFFFF"/>
            <w:vAlign w:val="center"/>
          </w:tcPr>
          <w:p w14:paraId="13E8B86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12</w:t>
            </w:r>
          </w:p>
        </w:tc>
        <w:tc>
          <w:tcPr>
            <w:tcW w:w="2691" w:type="dxa"/>
            <w:shd w:val="clear" w:color="FFFFFF" w:fill="FFFFFF"/>
            <w:vAlign w:val="center"/>
          </w:tcPr>
          <w:p w14:paraId="5A58F562">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电力电缆头</w:t>
            </w:r>
          </w:p>
        </w:tc>
        <w:tc>
          <w:tcPr>
            <w:tcW w:w="2712" w:type="dxa"/>
            <w:shd w:val="clear" w:color="FFFFFF" w:fill="FFFFFF"/>
            <w:vAlign w:val="center"/>
          </w:tcPr>
          <w:p w14:paraId="0BC5CB8A">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1.名称:电缆终端头制安</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2.型号、规格:三芯及以上，截面25mm2及以下</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3.材质、类型:户内干包式</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4.电压等级（kV）:1kV以下</w:t>
            </w:r>
          </w:p>
        </w:tc>
        <w:tc>
          <w:tcPr>
            <w:tcW w:w="613" w:type="dxa"/>
            <w:shd w:val="clear" w:color="FFFFFF" w:fill="FFFFFF"/>
            <w:vAlign w:val="center"/>
          </w:tcPr>
          <w:p w14:paraId="5FFF8D8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个</w:t>
            </w:r>
          </w:p>
        </w:tc>
        <w:tc>
          <w:tcPr>
            <w:tcW w:w="1241" w:type="dxa"/>
            <w:shd w:val="clear" w:color="FFFFFF" w:fill="FFFFFF"/>
            <w:vAlign w:val="center"/>
          </w:tcPr>
          <w:p w14:paraId="6C55E8C5">
            <w:pPr>
              <w:widowControl/>
              <w:jc w:val="righ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w:t>
            </w:r>
          </w:p>
        </w:tc>
      </w:tr>
      <w:tr w14:paraId="108F8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083" w:type="dxa"/>
            <w:shd w:val="clear" w:color="FFFFFF" w:fill="FFFFFF"/>
            <w:vAlign w:val="center"/>
          </w:tcPr>
          <w:p w14:paraId="2E662EB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13</w:t>
            </w:r>
          </w:p>
        </w:tc>
        <w:tc>
          <w:tcPr>
            <w:tcW w:w="2691" w:type="dxa"/>
            <w:shd w:val="clear" w:color="FFFFFF" w:fill="FFFFFF"/>
            <w:vAlign w:val="center"/>
          </w:tcPr>
          <w:p w14:paraId="6E70B7F8">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配线</w:t>
            </w:r>
          </w:p>
        </w:tc>
        <w:tc>
          <w:tcPr>
            <w:tcW w:w="2712" w:type="dxa"/>
            <w:shd w:val="clear" w:color="FFFFFF" w:fill="FFFFFF"/>
            <w:vAlign w:val="center"/>
          </w:tcPr>
          <w:p w14:paraId="4E04123D">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1.名称:管内穿线</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2.型号、规格:WDZB-RYJSP-2*1.5</w:t>
            </w:r>
          </w:p>
        </w:tc>
        <w:tc>
          <w:tcPr>
            <w:tcW w:w="613" w:type="dxa"/>
            <w:shd w:val="clear" w:color="FFFFFF" w:fill="FFFFFF"/>
            <w:vAlign w:val="center"/>
          </w:tcPr>
          <w:p w14:paraId="1892ABF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m</w:t>
            </w:r>
          </w:p>
        </w:tc>
        <w:tc>
          <w:tcPr>
            <w:tcW w:w="1241" w:type="dxa"/>
            <w:shd w:val="clear" w:color="FFFFFF" w:fill="FFFFFF"/>
            <w:vAlign w:val="center"/>
          </w:tcPr>
          <w:p w14:paraId="0330B062">
            <w:pPr>
              <w:widowControl/>
              <w:jc w:val="righ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241.76</w:t>
            </w:r>
          </w:p>
        </w:tc>
      </w:tr>
    </w:tbl>
    <w:p w14:paraId="4CB46C3B">
      <w:pPr>
        <w:pStyle w:val="28"/>
        <w:ind w:firstLine="588"/>
        <w:rPr>
          <w:color w:val="auto"/>
          <w:highlight w:val="none"/>
        </w:rPr>
      </w:pPr>
    </w:p>
    <w:p w14:paraId="7F81EC48">
      <w:pPr>
        <w:pStyle w:val="28"/>
        <w:ind w:firstLine="588"/>
        <w:rPr>
          <w:color w:val="auto"/>
          <w:highlight w:val="none"/>
        </w:rPr>
      </w:pPr>
    </w:p>
    <w:p w14:paraId="4BD3A0FB">
      <w:pPr>
        <w:pStyle w:val="28"/>
        <w:ind w:firstLine="588"/>
        <w:rPr>
          <w:color w:val="auto"/>
          <w:highlight w:val="none"/>
        </w:rPr>
      </w:pPr>
    </w:p>
    <w:tbl>
      <w:tblPr>
        <w:tblStyle w:val="21"/>
        <w:tblW w:w="834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3"/>
        <w:gridCol w:w="2691"/>
        <w:gridCol w:w="2712"/>
        <w:gridCol w:w="613"/>
        <w:gridCol w:w="1241"/>
      </w:tblGrid>
      <w:tr w14:paraId="6BDB6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340" w:type="dxa"/>
            <w:gridSpan w:val="5"/>
            <w:shd w:val="clear" w:color="FFFFFF" w:fill="FFFFFF"/>
            <w:vAlign w:val="bottom"/>
          </w:tcPr>
          <w:p w14:paraId="3A102BE1">
            <w:pPr>
              <w:rPr>
                <w:rFonts w:ascii="宋体" w:hAnsi="宋体" w:cs="宋体"/>
                <w:color w:val="auto"/>
                <w:sz w:val="20"/>
                <w:szCs w:val="20"/>
                <w:highlight w:val="none"/>
              </w:rPr>
            </w:pPr>
            <w:r>
              <w:rPr>
                <w:rFonts w:hint="eastAsia" w:ascii="宋体" w:hAnsi="宋体" w:cs="宋体"/>
                <w:color w:val="auto"/>
                <w:kern w:val="0"/>
                <w:sz w:val="20"/>
                <w:szCs w:val="20"/>
                <w:highlight w:val="none"/>
              </w:rPr>
              <w:t>单位（专业）工程名称：光伏专项-3#楼光伏系统</w:t>
            </w:r>
          </w:p>
        </w:tc>
      </w:tr>
      <w:tr w14:paraId="072B6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083" w:type="dxa"/>
            <w:vMerge w:val="restart"/>
            <w:shd w:val="clear" w:color="FFFFFF" w:fill="FFFFFF"/>
            <w:vAlign w:val="center"/>
          </w:tcPr>
          <w:p w14:paraId="4E3398B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序号</w:t>
            </w:r>
          </w:p>
        </w:tc>
        <w:tc>
          <w:tcPr>
            <w:tcW w:w="2691" w:type="dxa"/>
            <w:vMerge w:val="restart"/>
            <w:shd w:val="clear" w:color="FFFFFF" w:fill="FFFFFF"/>
            <w:vAlign w:val="center"/>
          </w:tcPr>
          <w:p w14:paraId="3E25244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项目名称</w:t>
            </w:r>
          </w:p>
        </w:tc>
        <w:tc>
          <w:tcPr>
            <w:tcW w:w="2712" w:type="dxa"/>
            <w:vMerge w:val="restart"/>
            <w:shd w:val="clear" w:color="FFFFFF" w:fill="FFFFFF"/>
            <w:vAlign w:val="center"/>
          </w:tcPr>
          <w:p w14:paraId="249B44C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项目特征</w:t>
            </w:r>
          </w:p>
        </w:tc>
        <w:tc>
          <w:tcPr>
            <w:tcW w:w="613" w:type="dxa"/>
            <w:vMerge w:val="restart"/>
            <w:shd w:val="clear" w:color="FFFFFF" w:fill="FFFFFF"/>
            <w:vAlign w:val="center"/>
          </w:tcPr>
          <w:p w14:paraId="5EC3A54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计量单位</w:t>
            </w:r>
          </w:p>
        </w:tc>
        <w:tc>
          <w:tcPr>
            <w:tcW w:w="1241" w:type="dxa"/>
            <w:vMerge w:val="restart"/>
            <w:shd w:val="clear" w:color="FFFFFF" w:fill="FFFFFF"/>
            <w:vAlign w:val="center"/>
          </w:tcPr>
          <w:p w14:paraId="6A31D0D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工程量</w:t>
            </w:r>
          </w:p>
        </w:tc>
      </w:tr>
      <w:tr w14:paraId="343C4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083" w:type="dxa"/>
            <w:vMerge w:val="continue"/>
            <w:shd w:val="clear" w:color="FFFFFF" w:fill="FFFFFF"/>
            <w:vAlign w:val="center"/>
          </w:tcPr>
          <w:p w14:paraId="39DA732C">
            <w:pPr>
              <w:jc w:val="center"/>
              <w:rPr>
                <w:rFonts w:ascii="宋体" w:hAnsi="宋体" w:cs="宋体"/>
                <w:color w:val="auto"/>
                <w:sz w:val="20"/>
                <w:szCs w:val="20"/>
                <w:highlight w:val="none"/>
              </w:rPr>
            </w:pPr>
          </w:p>
        </w:tc>
        <w:tc>
          <w:tcPr>
            <w:tcW w:w="2691" w:type="dxa"/>
            <w:vMerge w:val="continue"/>
            <w:shd w:val="clear" w:color="FFFFFF" w:fill="FFFFFF"/>
            <w:vAlign w:val="center"/>
          </w:tcPr>
          <w:p w14:paraId="35DF4F13">
            <w:pPr>
              <w:jc w:val="center"/>
              <w:rPr>
                <w:rFonts w:ascii="宋体" w:hAnsi="宋体" w:cs="宋体"/>
                <w:color w:val="auto"/>
                <w:sz w:val="20"/>
                <w:szCs w:val="20"/>
                <w:highlight w:val="none"/>
              </w:rPr>
            </w:pPr>
          </w:p>
        </w:tc>
        <w:tc>
          <w:tcPr>
            <w:tcW w:w="2712" w:type="dxa"/>
            <w:vMerge w:val="continue"/>
            <w:shd w:val="clear" w:color="FFFFFF" w:fill="FFFFFF"/>
            <w:vAlign w:val="center"/>
          </w:tcPr>
          <w:p w14:paraId="013803D2">
            <w:pPr>
              <w:jc w:val="center"/>
              <w:rPr>
                <w:rFonts w:ascii="宋体" w:hAnsi="宋体" w:cs="宋体"/>
                <w:color w:val="auto"/>
                <w:sz w:val="20"/>
                <w:szCs w:val="20"/>
                <w:highlight w:val="none"/>
              </w:rPr>
            </w:pPr>
          </w:p>
        </w:tc>
        <w:tc>
          <w:tcPr>
            <w:tcW w:w="613" w:type="dxa"/>
            <w:vMerge w:val="continue"/>
            <w:shd w:val="clear" w:color="FFFFFF" w:fill="FFFFFF"/>
            <w:vAlign w:val="center"/>
          </w:tcPr>
          <w:p w14:paraId="25030757">
            <w:pPr>
              <w:jc w:val="center"/>
              <w:rPr>
                <w:rFonts w:ascii="宋体" w:hAnsi="宋体" w:cs="宋体"/>
                <w:color w:val="auto"/>
                <w:sz w:val="20"/>
                <w:szCs w:val="20"/>
                <w:highlight w:val="none"/>
              </w:rPr>
            </w:pPr>
          </w:p>
        </w:tc>
        <w:tc>
          <w:tcPr>
            <w:tcW w:w="1241" w:type="dxa"/>
            <w:vMerge w:val="continue"/>
            <w:shd w:val="clear" w:color="FFFFFF" w:fill="FFFFFF"/>
            <w:vAlign w:val="center"/>
          </w:tcPr>
          <w:p w14:paraId="0F93567C">
            <w:pPr>
              <w:jc w:val="center"/>
              <w:rPr>
                <w:rFonts w:ascii="宋体" w:hAnsi="宋体" w:cs="宋体"/>
                <w:color w:val="auto"/>
                <w:sz w:val="20"/>
                <w:szCs w:val="20"/>
                <w:highlight w:val="none"/>
              </w:rPr>
            </w:pPr>
          </w:p>
        </w:tc>
      </w:tr>
      <w:tr w14:paraId="508D9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083" w:type="dxa"/>
            <w:vMerge w:val="continue"/>
            <w:shd w:val="clear" w:color="FFFFFF" w:fill="FFFFFF"/>
            <w:vAlign w:val="center"/>
          </w:tcPr>
          <w:p w14:paraId="75BF4DFB">
            <w:pPr>
              <w:jc w:val="center"/>
              <w:rPr>
                <w:rFonts w:ascii="宋体" w:hAnsi="宋体" w:cs="宋体"/>
                <w:color w:val="auto"/>
                <w:sz w:val="20"/>
                <w:szCs w:val="20"/>
                <w:highlight w:val="none"/>
              </w:rPr>
            </w:pPr>
          </w:p>
        </w:tc>
        <w:tc>
          <w:tcPr>
            <w:tcW w:w="2691" w:type="dxa"/>
            <w:vMerge w:val="continue"/>
            <w:shd w:val="clear" w:color="FFFFFF" w:fill="FFFFFF"/>
            <w:vAlign w:val="center"/>
          </w:tcPr>
          <w:p w14:paraId="0D4CBDD7">
            <w:pPr>
              <w:jc w:val="center"/>
              <w:rPr>
                <w:rFonts w:ascii="宋体" w:hAnsi="宋体" w:cs="宋体"/>
                <w:color w:val="auto"/>
                <w:sz w:val="20"/>
                <w:szCs w:val="20"/>
                <w:highlight w:val="none"/>
              </w:rPr>
            </w:pPr>
          </w:p>
        </w:tc>
        <w:tc>
          <w:tcPr>
            <w:tcW w:w="2712" w:type="dxa"/>
            <w:vMerge w:val="continue"/>
            <w:shd w:val="clear" w:color="FFFFFF" w:fill="FFFFFF"/>
            <w:vAlign w:val="center"/>
          </w:tcPr>
          <w:p w14:paraId="768240E8">
            <w:pPr>
              <w:jc w:val="center"/>
              <w:rPr>
                <w:rFonts w:ascii="宋体" w:hAnsi="宋体" w:cs="宋体"/>
                <w:color w:val="auto"/>
                <w:sz w:val="20"/>
                <w:szCs w:val="20"/>
                <w:highlight w:val="none"/>
              </w:rPr>
            </w:pPr>
          </w:p>
        </w:tc>
        <w:tc>
          <w:tcPr>
            <w:tcW w:w="613" w:type="dxa"/>
            <w:vMerge w:val="continue"/>
            <w:shd w:val="clear" w:color="FFFFFF" w:fill="FFFFFF"/>
            <w:vAlign w:val="center"/>
          </w:tcPr>
          <w:p w14:paraId="3FE4FAE1">
            <w:pPr>
              <w:jc w:val="center"/>
              <w:rPr>
                <w:rFonts w:ascii="宋体" w:hAnsi="宋体" w:cs="宋体"/>
                <w:color w:val="auto"/>
                <w:sz w:val="20"/>
                <w:szCs w:val="20"/>
                <w:highlight w:val="none"/>
              </w:rPr>
            </w:pPr>
          </w:p>
        </w:tc>
        <w:tc>
          <w:tcPr>
            <w:tcW w:w="1241" w:type="dxa"/>
            <w:vMerge w:val="continue"/>
            <w:shd w:val="clear" w:color="FFFFFF" w:fill="FFFFFF"/>
            <w:vAlign w:val="center"/>
          </w:tcPr>
          <w:p w14:paraId="6D6B830E">
            <w:pPr>
              <w:jc w:val="center"/>
              <w:rPr>
                <w:rFonts w:ascii="宋体" w:hAnsi="宋体" w:cs="宋体"/>
                <w:color w:val="auto"/>
                <w:sz w:val="20"/>
                <w:szCs w:val="20"/>
                <w:highlight w:val="none"/>
              </w:rPr>
            </w:pPr>
          </w:p>
        </w:tc>
      </w:tr>
      <w:tr w14:paraId="68A77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83" w:type="dxa"/>
            <w:shd w:val="clear" w:color="FFFFFF" w:fill="FFFFFF"/>
            <w:vAlign w:val="center"/>
          </w:tcPr>
          <w:p w14:paraId="569FE26C">
            <w:pPr>
              <w:jc w:val="right"/>
              <w:rPr>
                <w:rFonts w:ascii="宋体" w:hAnsi="宋体" w:cs="宋体"/>
                <w:color w:val="auto"/>
                <w:sz w:val="20"/>
                <w:szCs w:val="20"/>
                <w:highlight w:val="none"/>
              </w:rPr>
            </w:pPr>
          </w:p>
        </w:tc>
        <w:tc>
          <w:tcPr>
            <w:tcW w:w="2691" w:type="dxa"/>
            <w:shd w:val="clear" w:color="FFFFFF" w:fill="FFFFFF"/>
            <w:vAlign w:val="center"/>
          </w:tcPr>
          <w:p w14:paraId="11CE0A0C">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3#楼光伏</w:t>
            </w:r>
          </w:p>
        </w:tc>
        <w:tc>
          <w:tcPr>
            <w:tcW w:w="2712" w:type="dxa"/>
            <w:shd w:val="clear" w:color="FFFFFF" w:fill="FFFFFF"/>
            <w:vAlign w:val="center"/>
          </w:tcPr>
          <w:p w14:paraId="592B478B">
            <w:pPr>
              <w:jc w:val="left"/>
              <w:rPr>
                <w:rFonts w:ascii="宋体" w:hAnsi="宋体" w:cs="宋体"/>
                <w:color w:val="auto"/>
                <w:sz w:val="20"/>
                <w:szCs w:val="20"/>
                <w:highlight w:val="none"/>
              </w:rPr>
            </w:pPr>
          </w:p>
        </w:tc>
        <w:tc>
          <w:tcPr>
            <w:tcW w:w="613" w:type="dxa"/>
            <w:shd w:val="clear" w:color="FFFFFF" w:fill="FFFFFF"/>
            <w:vAlign w:val="center"/>
          </w:tcPr>
          <w:p w14:paraId="18E68876">
            <w:pPr>
              <w:jc w:val="left"/>
              <w:rPr>
                <w:rFonts w:ascii="宋体" w:hAnsi="宋体" w:cs="宋体"/>
                <w:color w:val="auto"/>
                <w:sz w:val="20"/>
                <w:szCs w:val="20"/>
                <w:highlight w:val="none"/>
              </w:rPr>
            </w:pPr>
          </w:p>
        </w:tc>
        <w:tc>
          <w:tcPr>
            <w:tcW w:w="1241" w:type="dxa"/>
            <w:shd w:val="clear" w:color="FFFFFF" w:fill="FFFFFF"/>
            <w:vAlign w:val="center"/>
          </w:tcPr>
          <w:p w14:paraId="09910C08">
            <w:pPr>
              <w:jc w:val="left"/>
              <w:rPr>
                <w:rFonts w:ascii="宋体" w:hAnsi="宋体" w:cs="宋体"/>
                <w:color w:val="auto"/>
                <w:sz w:val="20"/>
                <w:szCs w:val="20"/>
                <w:highlight w:val="none"/>
              </w:rPr>
            </w:pPr>
          </w:p>
        </w:tc>
      </w:tr>
      <w:tr w14:paraId="3AB8E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1083" w:type="dxa"/>
            <w:shd w:val="clear" w:color="FFFFFF" w:fill="FFFFFF"/>
            <w:vAlign w:val="center"/>
          </w:tcPr>
          <w:p w14:paraId="6499DDA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2691" w:type="dxa"/>
            <w:shd w:val="clear" w:color="FFFFFF" w:fill="FFFFFF"/>
            <w:vAlign w:val="center"/>
          </w:tcPr>
          <w:p w14:paraId="74046481">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太阳能电池</w:t>
            </w:r>
          </w:p>
        </w:tc>
        <w:tc>
          <w:tcPr>
            <w:tcW w:w="2712" w:type="dxa"/>
            <w:shd w:val="clear" w:color="FFFFFF" w:fill="FFFFFF"/>
            <w:vAlign w:val="center"/>
          </w:tcPr>
          <w:p w14:paraId="79C24E3E">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1.名称:单晶硅电池组件</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2.规格:2279*1134*35mm</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3.最大功率:540Wp</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4.安装方式:太阳能电池板钢架安装 屋面安装</w:t>
            </w:r>
          </w:p>
        </w:tc>
        <w:tc>
          <w:tcPr>
            <w:tcW w:w="613" w:type="dxa"/>
            <w:shd w:val="clear" w:color="FFFFFF" w:fill="FFFFFF"/>
            <w:vAlign w:val="center"/>
          </w:tcPr>
          <w:p w14:paraId="7DA649A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组</w:t>
            </w:r>
          </w:p>
        </w:tc>
        <w:tc>
          <w:tcPr>
            <w:tcW w:w="1241" w:type="dxa"/>
            <w:shd w:val="clear" w:color="FFFFFF" w:fill="FFFFFF"/>
            <w:vAlign w:val="center"/>
          </w:tcPr>
          <w:p w14:paraId="048D770B">
            <w:pPr>
              <w:widowControl/>
              <w:jc w:val="righ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49</w:t>
            </w:r>
          </w:p>
        </w:tc>
      </w:tr>
      <w:tr w14:paraId="0150B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083" w:type="dxa"/>
            <w:shd w:val="clear" w:color="FFFFFF" w:fill="FFFFFF"/>
            <w:vAlign w:val="center"/>
          </w:tcPr>
          <w:p w14:paraId="4D88BBA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2691" w:type="dxa"/>
            <w:shd w:val="clear" w:color="FFFFFF" w:fill="FFFFFF"/>
            <w:vAlign w:val="center"/>
          </w:tcPr>
          <w:p w14:paraId="5B40186D">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桥架</w:t>
            </w:r>
          </w:p>
        </w:tc>
        <w:tc>
          <w:tcPr>
            <w:tcW w:w="2712" w:type="dxa"/>
            <w:shd w:val="clear" w:color="FFFFFF" w:fill="FFFFFF"/>
            <w:vAlign w:val="center"/>
          </w:tcPr>
          <w:p w14:paraId="30B248F0">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1.名称:直流金属线槽（防雨型）</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2.规格:100*50</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3.接地:跨接接地</w:t>
            </w:r>
          </w:p>
        </w:tc>
        <w:tc>
          <w:tcPr>
            <w:tcW w:w="613" w:type="dxa"/>
            <w:shd w:val="clear" w:color="FFFFFF" w:fill="FFFFFF"/>
            <w:vAlign w:val="center"/>
          </w:tcPr>
          <w:p w14:paraId="2FD62FA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m</w:t>
            </w:r>
          </w:p>
        </w:tc>
        <w:tc>
          <w:tcPr>
            <w:tcW w:w="1241" w:type="dxa"/>
            <w:shd w:val="clear" w:color="FFFFFF" w:fill="FFFFFF"/>
            <w:vAlign w:val="center"/>
          </w:tcPr>
          <w:p w14:paraId="5AB17659">
            <w:pPr>
              <w:widowControl/>
              <w:jc w:val="righ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58.24</w:t>
            </w:r>
          </w:p>
        </w:tc>
      </w:tr>
      <w:tr w14:paraId="42F6A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83" w:type="dxa"/>
            <w:shd w:val="clear" w:color="FFFFFF" w:fill="FFFFFF"/>
            <w:vAlign w:val="center"/>
          </w:tcPr>
          <w:p w14:paraId="7ED4765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3</w:t>
            </w:r>
          </w:p>
        </w:tc>
        <w:tc>
          <w:tcPr>
            <w:tcW w:w="2691" w:type="dxa"/>
            <w:shd w:val="clear" w:color="FFFFFF" w:fill="FFFFFF"/>
            <w:vAlign w:val="center"/>
          </w:tcPr>
          <w:p w14:paraId="140F2B1B">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铁构件</w:t>
            </w:r>
          </w:p>
        </w:tc>
        <w:tc>
          <w:tcPr>
            <w:tcW w:w="2712" w:type="dxa"/>
            <w:shd w:val="clear" w:color="FFFFFF" w:fill="FFFFFF"/>
            <w:vAlign w:val="center"/>
          </w:tcPr>
          <w:p w14:paraId="6A20BE5D">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1.名称:一般铁构件制作、安装</w:t>
            </w:r>
          </w:p>
        </w:tc>
        <w:tc>
          <w:tcPr>
            <w:tcW w:w="613" w:type="dxa"/>
            <w:shd w:val="clear" w:color="FFFFFF" w:fill="FFFFFF"/>
            <w:vAlign w:val="center"/>
          </w:tcPr>
          <w:p w14:paraId="5074F4F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kg</w:t>
            </w:r>
          </w:p>
        </w:tc>
        <w:tc>
          <w:tcPr>
            <w:tcW w:w="1241" w:type="dxa"/>
            <w:shd w:val="clear" w:color="FFFFFF" w:fill="FFFFFF"/>
            <w:vAlign w:val="center"/>
          </w:tcPr>
          <w:p w14:paraId="317EE748">
            <w:pPr>
              <w:widowControl/>
              <w:jc w:val="righ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11.19</w:t>
            </w:r>
          </w:p>
        </w:tc>
      </w:tr>
      <w:tr w14:paraId="0215F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1083" w:type="dxa"/>
            <w:shd w:val="clear" w:color="FFFFFF" w:fill="FFFFFF"/>
            <w:vAlign w:val="center"/>
          </w:tcPr>
          <w:p w14:paraId="4D003B7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w:t>
            </w:r>
          </w:p>
        </w:tc>
        <w:tc>
          <w:tcPr>
            <w:tcW w:w="2691" w:type="dxa"/>
            <w:shd w:val="clear" w:color="FFFFFF" w:fill="FFFFFF"/>
            <w:vAlign w:val="center"/>
          </w:tcPr>
          <w:p w14:paraId="10388382">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金属结构刷油</w:t>
            </w:r>
          </w:p>
        </w:tc>
        <w:tc>
          <w:tcPr>
            <w:tcW w:w="2712" w:type="dxa"/>
            <w:shd w:val="clear" w:color="FFFFFF" w:fill="FFFFFF"/>
            <w:vAlign w:val="center"/>
          </w:tcPr>
          <w:p w14:paraId="6D973068">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1.除锈:一般铁构件除轻锈</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2.调配、涂刷:一般铁构件刷防锈漆两遍，刷调和漆两遍</w:t>
            </w:r>
          </w:p>
        </w:tc>
        <w:tc>
          <w:tcPr>
            <w:tcW w:w="613" w:type="dxa"/>
            <w:shd w:val="clear" w:color="FFFFFF" w:fill="FFFFFF"/>
            <w:vAlign w:val="center"/>
          </w:tcPr>
          <w:p w14:paraId="15748CA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kg</w:t>
            </w:r>
          </w:p>
        </w:tc>
        <w:tc>
          <w:tcPr>
            <w:tcW w:w="1241" w:type="dxa"/>
            <w:shd w:val="clear" w:color="FFFFFF" w:fill="FFFFFF"/>
            <w:vAlign w:val="center"/>
          </w:tcPr>
          <w:p w14:paraId="4D2CA590">
            <w:pPr>
              <w:widowControl/>
              <w:jc w:val="righ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11.19</w:t>
            </w:r>
          </w:p>
        </w:tc>
      </w:tr>
      <w:tr w14:paraId="73D93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83" w:type="dxa"/>
            <w:shd w:val="clear" w:color="FFFFFF" w:fill="FFFFFF"/>
            <w:vAlign w:val="center"/>
          </w:tcPr>
          <w:p w14:paraId="1B6BDCE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5</w:t>
            </w:r>
          </w:p>
        </w:tc>
        <w:tc>
          <w:tcPr>
            <w:tcW w:w="2691" w:type="dxa"/>
            <w:shd w:val="clear" w:color="FFFFFF" w:fill="FFFFFF"/>
            <w:vAlign w:val="center"/>
          </w:tcPr>
          <w:p w14:paraId="153ACB51">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电力电缆</w:t>
            </w:r>
          </w:p>
        </w:tc>
        <w:tc>
          <w:tcPr>
            <w:tcW w:w="2712" w:type="dxa"/>
            <w:shd w:val="clear" w:color="FFFFFF" w:fill="FFFFFF"/>
            <w:vAlign w:val="center"/>
          </w:tcPr>
          <w:p w14:paraId="25BE3D80">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1.名称:直流电缆</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2.规格:PV1-F/1*4</w:t>
            </w:r>
          </w:p>
        </w:tc>
        <w:tc>
          <w:tcPr>
            <w:tcW w:w="613" w:type="dxa"/>
            <w:shd w:val="clear" w:color="FFFFFF" w:fill="FFFFFF"/>
            <w:vAlign w:val="center"/>
          </w:tcPr>
          <w:p w14:paraId="7A5F183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m</w:t>
            </w:r>
          </w:p>
        </w:tc>
        <w:tc>
          <w:tcPr>
            <w:tcW w:w="1241" w:type="dxa"/>
            <w:shd w:val="clear" w:color="FFFFFF" w:fill="FFFFFF"/>
            <w:vAlign w:val="center"/>
          </w:tcPr>
          <w:p w14:paraId="04FF8EAA">
            <w:pPr>
              <w:widowControl/>
              <w:jc w:val="righ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74.04</w:t>
            </w:r>
          </w:p>
        </w:tc>
      </w:tr>
      <w:tr w14:paraId="30BE3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083" w:type="dxa"/>
            <w:shd w:val="clear" w:color="FFFFFF" w:fill="FFFFFF"/>
            <w:vAlign w:val="center"/>
          </w:tcPr>
          <w:p w14:paraId="4CF1406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6</w:t>
            </w:r>
          </w:p>
        </w:tc>
        <w:tc>
          <w:tcPr>
            <w:tcW w:w="2691" w:type="dxa"/>
            <w:shd w:val="clear" w:color="FFFFFF" w:fill="FFFFFF"/>
            <w:vAlign w:val="center"/>
          </w:tcPr>
          <w:p w14:paraId="5F4A89B5">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太阳能电池</w:t>
            </w:r>
          </w:p>
        </w:tc>
        <w:tc>
          <w:tcPr>
            <w:tcW w:w="2712" w:type="dxa"/>
            <w:shd w:val="clear" w:color="FFFFFF" w:fill="FFFFFF"/>
            <w:vAlign w:val="center"/>
          </w:tcPr>
          <w:p w14:paraId="4FDD0BFE">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1.名称:光伏逆变器</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2.规格:Pe=26.46kW</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3.安装方式:底边距地1米明装</w:t>
            </w:r>
          </w:p>
        </w:tc>
        <w:tc>
          <w:tcPr>
            <w:tcW w:w="613" w:type="dxa"/>
            <w:shd w:val="clear" w:color="FFFFFF" w:fill="FFFFFF"/>
            <w:vAlign w:val="center"/>
          </w:tcPr>
          <w:p w14:paraId="104FF84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组</w:t>
            </w:r>
          </w:p>
        </w:tc>
        <w:tc>
          <w:tcPr>
            <w:tcW w:w="1241" w:type="dxa"/>
            <w:shd w:val="clear" w:color="FFFFFF" w:fill="FFFFFF"/>
            <w:vAlign w:val="center"/>
          </w:tcPr>
          <w:p w14:paraId="242D5D5E">
            <w:pPr>
              <w:widowControl/>
              <w:jc w:val="righ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14:paraId="0CF47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trPr>
        <w:tc>
          <w:tcPr>
            <w:tcW w:w="1083" w:type="dxa"/>
            <w:shd w:val="clear" w:color="FFFFFF" w:fill="FFFFFF"/>
            <w:vAlign w:val="center"/>
          </w:tcPr>
          <w:p w14:paraId="2B49ECF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7</w:t>
            </w:r>
          </w:p>
        </w:tc>
        <w:tc>
          <w:tcPr>
            <w:tcW w:w="2691" w:type="dxa"/>
            <w:shd w:val="clear" w:color="FFFFFF" w:fill="FFFFFF"/>
            <w:vAlign w:val="center"/>
          </w:tcPr>
          <w:p w14:paraId="7D563E8D">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配电箱</w:t>
            </w:r>
          </w:p>
        </w:tc>
        <w:tc>
          <w:tcPr>
            <w:tcW w:w="2712" w:type="dxa"/>
            <w:shd w:val="clear" w:color="FFFFFF" w:fill="FFFFFF"/>
            <w:vAlign w:val="center"/>
          </w:tcPr>
          <w:p w14:paraId="3D63957D">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1.名称:交流配电箱（IP65）</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2.型号:2#-AP1</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3.安装方式:底边距地1米明装</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4.其他:含箱体接地，箱内元器件详见设计</w:t>
            </w:r>
          </w:p>
        </w:tc>
        <w:tc>
          <w:tcPr>
            <w:tcW w:w="613" w:type="dxa"/>
            <w:shd w:val="clear" w:color="FFFFFF" w:fill="FFFFFF"/>
            <w:vAlign w:val="center"/>
          </w:tcPr>
          <w:p w14:paraId="24B154B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台</w:t>
            </w:r>
          </w:p>
        </w:tc>
        <w:tc>
          <w:tcPr>
            <w:tcW w:w="1241" w:type="dxa"/>
            <w:shd w:val="clear" w:color="FFFFFF" w:fill="FFFFFF"/>
            <w:vAlign w:val="center"/>
          </w:tcPr>
          <w:p w14:paraId="0CAD553E">
            <w:pPr>
              <w:widowControl/>
              <w:jc w:val="righ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14:paraId="38AC2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trPr>
        <w:tc>
          <w:tcPr>
            <w:tcW w:w="1083" w:type="dxa"/>
            <w:shd w:val="clear" w:color="FFFFFF" w:fill="FFFFFF"/>
            <w:vAlign w:val="center"/>
          </w:tcPr>
          <w:p w14:paraId="12B4493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8</w:t>
            </w:r>
          </w:p>
        </w:tc>
        <w:tc>
          <w:tcPr>
            <w:tcW w:w="2691" w:type="dxa"/>
            <w:shd w:val="clear" w:color="FFFFFF" w:fill="FFFFFF"/>
            <w:vAlign w:val="center"/>
          </w:tcPr>
          <w:p w14:paraId="1FFA487F">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电力电缆</w:t>
            </w:r>
          </w:p>
        </w:tc>
        <w:tc>
          <w:tcPr>
            <w:tcW w:w="2712" w:type="dxa"/>
            <w:shd w:val="clear" w:color="FFFFFF" w:fill="FFFFFF"/>
            <w:vAlign w:val="center"/>
          </w:tcPr>
          <w:p w14:paraId="56683F05">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1.名称:铜芯电力电缆</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2.型号、规格:WDZ-YJY-5*16</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3.敷设方式或部位:桥架或穿管内敷设</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4.电压等级（kv）:1kv以下</w:t>
            </w:r>
          </w:p>
        </w:tc>
        <w:tc>
          <w:tcPr>
            <w:tcW w:w="613" w:type="dxa"/>
            <w:shd w:val="clear" w:color="FFFFFF" w:fill="FFFFFF"/>
            <w:vAlign w:val="center"/>
          </w:tcPr>
          <w:p w14:paraId="061EBD0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m</w:t>
            </w:r>
          </w:p>
        </w:tc>
        <w:tc>
          <w:tcPr>
            <w:tcW w:w="1241" w:type="dxa"/>
            <w:shd w:val="clear" w:color="FFFFFF" w:fill="FFFFFF"/>
            <w:vAlign w:val="center"/>
          </w:tcPr>
          <w:p w14:paraId="67E33C32">
            <w:pPr>
              <w:widowControl/>
              <w:jc w:val="righ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5</w:t>
            </w:r>
          </w:p>
        </w:tc>
      </w:tr>
      <w:tr w14:paraId="2625E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trPr>
        <w:tc>
          <w:tcPr>
            <w:tcW w:w="1083" w:type="dxa"/>
            <w:shd w:val="clear" w:color="FFFFFF" w:fill="FFFFFF"/>
            <w:vAlign w:val="center"/>
          </w:tcPr>
          <w:p w14:paraId="6A545C6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9</w:t>
            </w:r>
          </w:p>
        </w:tc>
        <w:tc>
          <w:tcPr>
            <w:tcW w:w="2691" w:type="dxa"/>
            <w:shd w:val="clear" w:color="FFFFFF" w:fill="FFFFFF"/>
            <w:vAlign w:val="center"/>
          </w:tcPr>
          <w:p w14:paraId="1D065A66">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电力电缆</w:t>
            </w:r>
          </w:p>
        </w:tc>
        <w:tc>
          <w:tcPr>
            <w:tcW w:w="2712" w:type="dxa"/>
            <w:shd w:val="clear" w:color="FFFFFF" w:fill="FFFFFF"/>
            <w:vAlign w:val="center"/>
          </w:tcPr>
          <w:p w14:paraId="60F46FBA">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1.名称:铜芯电力电缆</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2.型号、规格:WDZ-YJY-4*25+1*16</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3.敷设方式或部位:桥架或穿管内敷设</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4.电压等级（kv）:1kv以下</w:t>
            </w:r>
          </w:p>
        </w:tc>
        <w:tc>
          <w:tcPr>
            <w:tcW w:w="613" w:type="dxa"/>
            <w:shd w:val="clear" w:color="FFFFFF" w:fill="FFFFFF"/>
            <w:vAlign w:val="center"/>
          </w:tcPr>
          <w:p w14:paraId="13199F3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m</w:t>
            </w:r>
          </w:p>
        </w:tc>
        <w:tc>
          <w:tcPr>
            <w:tcW w:w="1241" w:type="dxa"/>
            <w:shd w:val="clear" w:color="FFFFFF" w:fill="FFFFFF"/>
            <w:vAlign w:val="center"/>
          </w:tcPr>
          <w:p w14:paraId="7990492C">
            <w:pPr>
              <w:widowControl/>
              <w:jc w:val="righ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182.29</w:t>
            </w:r>
          </w:p>
        </w:tc>
      </w:tr>
      <w:tr w14:paraId="71268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trPr>
        <w:tc>
          <w:tcPr>
            <w:tcW w:w="1083" w:type="dxa"/>
            <w:shd w:val="clear" w:color="FFFFFF" w:fill="FFFFFF"/>
            <w:vAlign w:val="center"/>
          </w:tcPr>
          <w:p w14:paraId="4E03CE5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10</w:t>
            </w:r>
          </w:p>
        </w:tc>
        <w:tc>
          <w:tcPr>
            <w:tcW w:w="2691" w:type="dxa"/>
            <w:shd w:val="clear" w:color="FFFFFF" w:fill="FFFFFF"/>
            <w:vAlign w:val="center"/>
          </w:tcPr>
          <w:p w14:paraId="3F8CE5AB">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电力电缆头</w:t>
            </w:r>
          </w:p>
        </w:tc>
        <w:tc>
          <w:tcPr>
            <w:tcW w:w="2712" w:type="dxa"/>
            <w:shd w:val="clear" w:color="FFFFFF" w:fill="FFFFFF"/>
            <w:vAlign w:val="center"/>
          </w:tcPr>
          <w:p w14:paraId="3290457F">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1.名称:电缆终端头制安</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2.型号、规格:三芯及以上，截面25mm2及以下</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3.材质、类型:户内干包式</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4.电压等级（kV）:1kV以下</w:t>
            </w:r>
          </w:p>
        </w:tc>
        <w:tc>
          <w:tcPr>
            <w:tcW w:w="613" w:type="dxa"/>
            <w:shd w:val="clear" w:color="FFFFFF" w:fill="FFFFFF"/>
            <w:vAlign w:val="center"/>
          </w:tcPr>
          <w:p w14:paraId="71443FD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个</w:t>
            </w:r>
          </w:p>
        </w:tc>
        <w:tc>
          <w:tcPr>
            <w:tcW w:w="1241" w:type="dxa"/>
            <w:shd w:val="clear" w:color="FFFFFF" w:fill="FFFFFF"/>
            <w:vAlign w:val="center"/>
          </w:tcPr>
          <w:p w14:paraId="1D0875DF">
            <w:pPr>
              <w:widowControl/>
              <w:jc w:val="righ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w:t>
            </w:r>
          </w:p>
        </w:tc>
      </w:tr>
      <w:tr w14:paraId="2E389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trPr>
        <w:tc>
          <w:tcPr>
            <w:tcW w:w="1083" w:type="dxa"/>
            <w:shd w:val="clear" w:color="FFFFFF" w:fill="FFFFFF"/>
            <w:vAlign w:val="center"/>
          </w:tcPr>
          <w:p w14:paraId="0CC0C0C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11</w:t>
            </w:r>
          </w:p>
        </w:tc>
        <w:tc>
          <w:tcPr>
            <w:tcW w:w="2691" w:type="dxa"/>
            <w:shd w:val="clear" w:color="FFFFFF" w:fill="FFFFFF"/>
            <w:vAlign w:val="center"/>
          </w:tcPr>
          <w:p w14:paraId="7EF53BE8">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电力电缆头</w:t>
            </w:r>
          </w:p>
        </w:tc>
        <w:tc>
          <w:tcPr>
            <w:tcW w:w="2712" w:type="dxa"/>
            <w:shd w:val="clear" w:color="FFFFFF" w:fill="FFFFFF"/>
            <w:vAlign w:val="center"/>
          </w:tcPr>
          <w:p w14:paraId="041433B0">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1.名称:电缆终端头制安</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2.型号、规格:三芯及以上，截面25mm2及以下</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3.材质、类型:户内干包式</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4.电压等级（kV）:1kV以下</w:t>
            </w:r>
          </w:p>
        </w:tc>
        <w:tc>
          <w:tcPr>
            <w:tcW w:w="613" w:type="dxa"/>
            <w:shd w:val="clear" w:color="FFFFFF" w:fill="FFFFFF"/>
            <w:vAlign w:val="center"/>
          </w:tcPr>
          <w:p w14:paraId="7979E66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个</w:t>
            </w:r>
          </w:p>
        </w:tc>
        <w:tc>
          <w:tcPr>
            <w:tcW w:w="1241" w:type="dxa"/>
            <w:shd w:val="clear" w:color="FFFFFF" w:fill="FFFFFF"/>
            <w:vAlign w:val="center"/>
          </w:tcPr>
          <w:p w14:paraId="6E18D45D">
            <w:pPr>
              <w:widowControl/>
              <w:jc w:val="righ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w:t>
            </w:r>
          </w:p>
        </w:tc>
      </w:tr>
      <w:tr w14:paraId="1BFAC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083" w:type="dxa"/>
            <w:shd w:val="clear" w:color="FFFFFF" w:fill="FFFFFF"/>
            <w:vAlign w:val="center"/>
          </w:tcPr>
          <w:p w14:paraId="7E66FA9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12</w:t>
            </w:r>
          </w:p>
        </w:tc>
        <w:tc>
          <w:tcPr>
            <w:tcW w:w="2691" w:type="dxa"/>
            <w:shd w:val="clear" w:color="FFFFFF" w:fill="FFFFFF"/>
            <w:vAlign w:val="center"/>
          </w:tcPr>
          <w:p w14:paraId="046EE788">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配线</w:t>
            </w:r>
          </w:p>
        </w:tc>
        <w:tc>
          <w:tcPr>
            <w:tcW w:w="2712" w:type="dxa"/>
            <w:shd w:val="clear" w:color="FFFFFF" w:fill="FFFFFF"/>
            <w:vAlign w:val="center"/>
          </w:tcPr>
          <w:p w14:paraId="2316ED96">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1.名称:管内穿线</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2.型号、规格:WDZB-RYJSP-2*1.5</w:t>
            </w:r>
          </w:p>
        </w:tc>
        <w:tc>
          <w:tcPr>
            <w:tcW w:w="613" w:type="dxa"/>
            <w:shd w:val="clear" w:color="FFFFFF" w:fill="FFFFFF"/>
            <w:vAlign w:val="center"/>
          </w:tcPr>
          <w:p w14:paraId="560E261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m</w:t>
            </w:r>
          </w:p>
        </w:tc>
        <w:tc>
          <w:tcPr>
            <w:tcW w:w="1241" w:type="dxa"/>
            <w:shd w:val="clear" w:color="FFFFFF" w:fill="FFFFFF"/>
            <w:vAlign w:val="center"/>
          </w:tcPr>
          <w:p w14:paraId="20D6474C">
            <w:pPr>
              <w:widowControl/>
              <w:jc w:val="righ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182.29</w:t>
            </w:r>
          </w:p>
        </w:tc>
      </w:tr>
    </w:tbl>
    <w:p w14:paraId="2DE7DC67">
      <w:pPr>
        <w:pStyle w:val="28"/>
        <w:ind w:firstLine="588"/>
        <w:rPr>
          <w:color w:val="auto"/>
          <w:highlight w:val="none"/>
        </w:rPr>
      </w:pPr>
    </w:p>
    <w:tbl>
      <w:tblPr>
        <w:tblStyle w:val="21"/>
        <w:tblW w:w="834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3"/>
        <w:gridCol w:w="2691"/>
        <w:gridCol w:w="2712"/>
        <w:gridCol w:w="613"/>
        <w:gridCol w:w="1241"/>
      </w:tblGrid>
      <w:tr w14:paraId="1196B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340" w:type="dxa"/>
            <w:gridSpan w:val="5"/>
            <w:shd w:val="clear" w:color="FFFFFF" w:fill="FFFFFF"/>
            <w:vAlign w:val="bottom"/>
          </w:tcPr>
          <w:p w14:paraId="417886A8">
            <w:pPr>
              <w:rPr>
                <w:rFonts w:ascii="宋体" w:hAnsi="宋体" w:cs="宋体"/>
                <w:color w:val="auto"/>
                <w:sz w:val="20"/>
                <w:szCs w:val="20"/>
                <w:highlight w:val="none"/>
              </w:rPr>
            </w:pPr>
            <w:r>
              <w:rPr>
                <w:rFonts w:hint="eastAsia" w:ascii="宋体" w:hAnsi="宋体" w:cs="宋体"/>
                <w:color w:val="auto"/>
                <w:kern w:val="0"/>
                <w:sz w:val="20"/>
                <w:szCs w:val="20"/>
                <w:highlight w:val="none"/>
              </w:rPr>
              <w:t>单位（专业）工程名称：光伏专项-4#楼光伏系统</w:t>
            </w:r>
          </w:p>
        </w:tc>
      </w:tr>
      <w:tr w14:paraId="6D88C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083" w:type="dxa"/>
            <w:vMerge w:val="restart"/>
            <w:shd w:val="clear" w:color="FFFFFF" w:fill="FFFFFF"/>
            <w:vAlign w:val="center"/>
          </w:tcPr>
          <w:p w14:paraId="32165B6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序号</w:t>
            </w:r>
          </w:p>
        </w:tc>
        <w:tc>
          <w:tcPr>
            <w:tcW w:w="2691" w:type="dxa"/>
            <w:vMerge w:val="restart"/>
            <w:shd w:val="clear" w:color="FFFFFF" w:fill="FFFFFF"/>
            <w:vAlign w:val="center"/>
          </w:tcPr>
          <w:p w14:paraId="26C0AA1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项目名称</w:t>
            </w:r>
          </w:p>
        </w:tc>
        <w:tc>
          <w:tcPr>
            <w:tcW w:w="2712" w:type="dxa"/>
            <w:vMerge w:val="restart"/>
            <w:shd w:val="clear" w:color="FFFFFF" w:fill="FFFFFF"/>
            <w:vAlign w:val="center"/>
          </w:tcPr>
          <w:p w14:paraId="132F9BB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项目特征</w:t>
            </w:r>
          </w:p>
        </w:tc>
        <w:tc>
          <w:tcPr>
            <w:tcW w:w="613" w:type="dxa"/>
            <w:vMerge w:val="restart"/>
            <w:shd w:val="clear" w:color="FFFFFF" w:fill="FFFFFF"/>
            <w:vAlign w:val="center"/>
          </w:tcPr>
          <w:p w14:paraId="7C0B797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计量单位</w:t>
            </w:r>
          </w:p>
        </w:tc>
        <w:tc>
          <w:tcPr>
            <w:tcW w:w="1241" w:type="dxa"/>
            <w:vMerge w:val="restart"/>
            <w:shd w:val="clear" w:color="FFFFFF" w:fill="FFFFFF"/>
            <w:vAlign w:val="center"/>
          </w:tcPr>
          <w:p w14:paraId="6EBE601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工程量</w:t>
            </w:r>
          </w:p>
        </w:tc>
      </w:tr>
      <w:tr w14:paraId="441F7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083" w:type="dxa"/>
            <w:vMerge w:val="continue"/>
            <w:shd w:val="clear" w:color="FFFFFF" w:fill="FFFFFF"/>
            <w:vAlign w:val="center"/>
          </w:tcPr>
          <w:p w14:paraId="7C147EED">
            <w:pPr>
              <w:jc w:val="center"/>
              <w:rPr>
                <w:rFonts w:ascii="宋体" w:hAnsi="宋体" w:cs="宋体"/>
                <w:color w:val="auto"/>
                <w:sz w:val="20"/>
                <w:szCs w:val="20"/>
                <w:highlight w:val="none"/>
              </w:rPr>
            </w:pPr>
          </w:p>
        </w:tc>
        <w:tc>
          <w:tcPr>
            <w:tcW w:w="2691" w:type="dxa"/>
            <w:vMerge w:val="continue"/>
            <w:shd w:val="clear" w:color="FFFFFF" w:fill="FFFFFF"/>
            <w:vAlign w:val="center"/>
          </w:tcPr>
          <w:p w14:paraId="3746F05D">
            <w:pPr>
              <w:jc w:val="center"/>
              <w:rPr>
                <w:rFonts w:ascii="宋体" w:hAnsi="宋体" w:cs="宋体"/>
                <w:color w:val="auto"/>
                <w:sz w:val="20"/>
                <w:szCs w:val="20"/>
                <w:highlight w:val="none"/>
              </w:rPr>
            </w:pPr>
          </w:p>
        </w:tc>
        <w:tc>
          <w:tcPr>
            <w:tcW w:w="2712" w:type="dxa"/>
            <w:vMerge w:val="continue"/>
            <w:shd w:val="clear" w:color="FFFFFF" w:fill="FFFFFF"/>
            <w:vAlign w:val="center"/>
          </w:tcPr>
          <w:p w14:paraId="73D00514">
            <w:pPr>
              <w:jc w:val="center"/>
              <w:rPr>
                <w:rFonts w:ascii="宋体" w:hAnsi="宋体" w:cs="宋体"/>
                <w:color w:val="auto"/>
                <w:sz w:val="20"/>
                <w:szCs w:val="20"/>
                <w:highlight w:val="none"/>
              </w:rPr>
            </w:pPr>
          </w:p>
        </w:tc>
        <w:tc>
          <w:tcPr>
            <w:tcW w:w="613" w:type="dxa"/>
            <w:vMerge w:val="continue"/>
            <w:shd w:val="clear" w:color="FFFFFF" w:fill="FFFFFF"/>
            <w:vAlign w:val="center"/>
          </w:tcPr>
          <w:p w14:paraId="3BA4D241">
            <w:pPr>
              <w:jc w:val="center"/>
              <w:rPr>
                <w:rFonts w:ascii="宋体" w:hAnsi="宋体" w:cs="宋体"/>
                <w:color w:val="auto"/>
                <w:sz w:val="20"/>
                <w:szCs w:val="20"/>
                <w:highlight w:val="none"/>
              </w:rPr>
            </w:pPr>
          </w:p>
        </w:tc>
        <w:tc>
          <w:tcPr>
            <w:tcW w:w="1241" w:type="dxa"/>
            <w:vMerge w:val="continue"/>
            <w:shd w:val="clear" w:color="FFFFFF" w:fill="FFFFFF"/>
            <w:vAlign w:val="center"/>
          </w:tcPr>
          <w:p w14:paraId="36BEB61D">
            <w:pPr>
              <w:jc w:val="center"/>
              <w:rPr>
                <w:rFonts w:ascii="宋体" w:hAnsi="宋体" w:cs="宋体"/>
                <w:color w:val="auto"/>
                <w:sz w:val="20"/>
                <w:szCs w:val="20"/>
                <w:highlight w:val="none"/>
              </w:rPr>
            </w:pPr>
          </w:p>
        </w:tc>
      </w:tr>
      <w:tr w14:paraId="4AB32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083" w:type="dxa"/>
            <w:vMerge w:val="continue"/>
            <w:shd w:val="clear" w:color="FFFFFF" w:fill="FFFFFF"/>
            <w:vAlign w:val="center"/>
          </w:tcPr>
          <w:p w14:paraId="3415914F">
            <w:pPr>
              <w:jc w:val="center"/>
              <w:rPr>
                <w:rFonts w:ascii="宋体" w:hAnsi="宋体" w:cs="宋体"/>
                <w:color w:val="auto"/>
                <w:sz w:val="20"/>
                <w:szCs w:val="20"/>
                <w:highlight w:val="none"/>
              </w:rPr>
            </w:pPr>
          </w:p>
        </w:tc>
        <w:tc>
          <w:tcPr>
            <w:tcW w:w="2691" w:type="dxa"/>
            <w:vMerge w:val="continue"/>
            <w:shd w:val="clear" w:color="FFFFFF" w:fill="FFFFFF"/>
            <w:vAlign w:val="center"/>
          </w:tcPr>
          <w:p w14:paraId="4C61D88F">
            <w:pPr>
              <w:jc w:val="center"/>
              <w:rPr>
                <w:rFonts w:ascii="宋体" w:hAnsi="宋体" w:cs="宋体"/>
                <w:color w:val="auto"/>
                <w:sz w:val="20"/>
                <w:szCs w:val="20"/>
                <w:highlight w:val="none"/>
              </w:rPr>
            </w:pPr>
          </w:p>
        </w:tc>
        <w:tc>
          <w:tcPr>
            <w:tcW w:w="2712" w:type="dxa"/>
            <w:vMerge w:val="continue"/>
            <w:shd w:val="clear" w:color="FFFFFF" w:fill="FFFFFF"/>
            <w:vAlign w:val="center"/>
          </w:tcPr>
          <w:p w14:paraId="22B722FD">
            <w:pPr>
              <w:jc w:val="center"/>
              <w:rPr>
                <w:rFonts w:ascii="宋体" w:hAnsi="宋体" w:cs="宋体"/>
                <w:color w:val="auto"/>
                <w:sz w:val="20"/>
                <w:szCs w:val="20"/>
                <w:highlight w:val="none"/>
              </w:rPr>
            </w:pPr>
          </w:p>
        </w:tc>
        <w:tc>
          <w:tcPr>
            <w:tcW w:w="613" w:type="dxa"/>
            <w:vMerge w:val="continue"/>
            <w:shd w:val="clear" w:color="FFFFFF" w:fill="FFFFFF"/>
            <w:vAlign w:val="center"/>
          </w:tcPr>
          <w:p w14:paraId="2A76819F">
            <w:pPr>
              <w:jc w:val="center"/>
              <w:rPr>
                <w:rFonts w:ascii="宋体" w:hAnsi="宋体" w:cs="宋体"/>
                <w:color w:val="auto"/>
                <w:sz w:val="20"/>
                <w:szCs w:val="20"/>
                <w:highlight w:val="none"/>
              </w:rPr>
            </w:pPr>
          </w:p>
        </w:tc>
        <w:tc>
          <w:tcPr>
            <w:tcW w:w="1241" w:type="dxa"/>
            <w:vMerge w:val="continue"/>
            <w:shd w:val="clear" w:color="FFFFFF" w:fill="FFFFFF"/>
            <w:vAlign w:val="center"/>
          </w:tcPr>
          <w:p w14:paraId="08BD7F39">
            <w:pPr>
              <w:jc w:val="center"/>
              <w:rPr>
                <w:rFonts w:ascii="宋体" w:hAnsi="宋体" w:cs="宋体"/>
                <w:color w:val="auto"/>
                <w:sz w:val="20"/>
                <w:szCs w:val="20"/>
                <w:highlight w:val="none"/>
              </w:rPr>
            </w:pPr>
          </w:p>
        </w:tc>
      </w:tr>
      <w:tr w14:paraId="1E302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83" w:type="dxa"/>
            <w:shd w:val="clear" w:color="FFFFFF" w:fill="FFFFFF"/>
            <w:vAlign w:val="center"/>
          </w:tcPr>
          <w:p w14:paraId="1B4A35B6">
            <w:pPr>
              <w:jc w:val="right"/>
              <w:rPr>
                <w:rFonts w:ascii="宋体" w:hAnsi="宋体" w:cs="宋体"/>
                <w:color w:val="auto"/>
                <w:sz w:val="20"/>
                <w:szCs w:val="20"/>
                <w:highlight w:val="none"/>
              </w:rPr>
            </w:pPr>
          </w:p>
        </w:tc>
        <w:tc>
          <w:tcPr>
            <w:tcW w:w="2691" w:type="dxa"/>
            <w:shd w:val="clear" w:color="FFFFFF" w:fill="FFFFFF"/>
            <w:vAlign w:val="center"/>
          </w:tcPr>
          <w:p w14:paraId="684AC44B">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4#楼光伏</w:t>
            </w:r>
          </w:p>
        </w:tc>
        <w:tc>
          <w:tcPr>
            <w:tcW w:w="2712" w:type="dxa"/>
            <w:shd w:val="clear" w:color="FFFFFF" w:fill="FFFFFF"/>
            <w:vAlign w:val="center"/>
          </w:tcPr>
          <w:p w14:paraId="5AA8EB2E">
            <w:pPr>
              <w:jc w:val="left"/>
              <w:rPr>
                <w:rFonts w:ascii="宋体" w:hAnsi="宋体" w:cs="宋体"/>
                <w:color w:val="auto"/>
                <w:sz w:val="20"/>
                <w:szCs w:val="20"/>
                <w:highlight w:val="none"/>
              </w:rPr>
            </w:pPr>
          </w:p>
        </w:tc>
        <w:tc>
          <w:tcPr>
            <w:tcW w:w="613" w:type="dxa"/>
            <w:shd w:val="clear" w:color="FFFFFF" w:fill="FFFFFF"/>
            <w:vAlign w:val="center"/>
          </w:tcPr>
          <w:p w14:paraId="7A05C353">
            <w:pPr>
              <w:jc w:val="left"/>
              <w:rPr>
                <w:rFonts w:ascii="宋体" w:hAnsi="宋体" w:cs="宋体"/>
                <w:color w:val="auto"/>
                <w:sz w:val="20"/>
                <w:szCs w:val="20"/>
                <w:highlight w:val="none"/>
              </w:rPr>
            </w:pPr>
          </w:p>
        </w:tc>
        <w:tc>
          <w:tcPr>
            <w:tcW w:w="1241" w:type="dxa"/>
            <w:shd w:val="clear" w:color="FFFFFF" w:fill="FFFFFF"/>
            <w:vAlign w:val="center"/>
          </w:tcPr>
          <w:p w14:paraId="2669982D">
            <w:pPr>
              <w:jc w:val="left"/>
              <w:rPr>
                <w:rFonts w:ascii="宋体" w:hAnsi="宋体" w:cs="宋体"/>
                <w:color w:val="auto"/>
                <w:sz w:val="20"/>
                <w:szCs w:val="20"/>
                <w:highlight w:val="none"/>
              </w:rPr>
            </w:pPr>
          </w:p>
        </w:tc>
      </w:tr>
      <w:tr w14:paraId="7DF20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1083" w:type="dxa"/>
            <w:shd w:val="clear" w:color="FFFFFF" w:fill="FFFFFF"/>
            <w:vAlign w:val="center"/>
          </w:tcPr>
          <w:p w14:paraId="45D8D0C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2691" w:type="dxa"/>
            <w:shd w:val="clear" w:color="FFFFFF" w:fill="FFFFFF"/>
            <w:vAlign w:val="center"/>
          </w:tcPr>
          <w:p w14:paraId="1C637663">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太阳能电池</w:t>
            </w:r>
          </w:p>
        </w:tc>
        <w:tc>
          <w:tcPr>
            <w:tcW w:w="2712" w:type="dxa"/>
            <w:shd w:val="clear" w:color="FFFFFF" w:fill="FFFFFF"/>
            <w:vAlign w:val="center"/>
          </w:tcPr>
          <w:p w14:paraId="7F1E8AE4">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1.名称:单晶硅电池组件</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2.规格:2279*1134*35mm</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3.最大功率:540Wp</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4.安装方式:太阳能电池板钢架安装 屋面安装</w:t>
            </w:r>
          </w:p>
        </w:tc>
        <w:tc>
          <w:tcPr>
            <w:tcW w:w="613" w:type="dxa"/>
            <w:shd w:val="clear" w:color="FFFFFF" w:fill="FFFFFF"/>
            <w:vAlign w:val="center"/>
          </w:tcPr>
          <w:p w14:paraId="2682C75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组</w:t>
            </w:r>
          </w:p>
        </w:tc>
        <w:tc>
          <w:tcPr>
            <w:tcW w:w="1241" w:type="dxa"/>
            <w:shd w:val="clear" w:color="FFFFFF" w:fill="FFFFFF"/>
            <w:vAlign w:val="center"/>
          </w:tcPr>
          <w:p w14:paraId="35B7F879">
            <w:pPr>
              <w:widowControl/>
              <w:jc w:val="righ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112</w:t>
            </w:r>
          </w:p>
        </w:tc>
      </w:tr>
      <w:tr w14:paraId="5E03A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083" w:type="dxa"/>
            <w:shd w:val="clear" w:color="FFFFFF" w:fill="FFFFFF"/>
            <w:vAlign w:val="center"/>
          </w:tcPr>
          <w:p w14:paraId="3C35C66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2691" w:type="dxa"/>
            <w:shd w:val="clear" w:color="FFFFFF" w:fill="FFFFFF"/>
            <w:vAlign w:val="center"/>
          </w:tcPr>
          <w:p w14:paraId="4072770A">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桥架</w:t>
            </w:r>
          </w:p>
        </w:tc>
        <w:tc>
          <w:tcPr>
            <w:tcW w:w="2712" w:type="dxa"/>
            <w:shd w:val="clear" w:color="FFFFFF" w:fill="FFFFFF"/>
            <w:vAlign w:val="center"/>
          </w:tcPr>
          <w:p w14:paraId="3EA43B41">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1.名称:直流金属线槽（防雨型）</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2.规格:100*50</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3.接地:跨接接地</w:t>
            </w:r>
          </w:p>
        </w:tc>
        <w:tc>
          <w:tcPr>
            <w:tcW w:w="613" w:type="dxa"/>
            <w:shd w:val="clear" w:color="FFFFFF" w:fill="FFFFFF"/>
            <w:vAlign w:val="center"/>
          </w:tcPr>
          <w:p w14:paraId="6DC584C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m</w:t>
            </w:r>
          </w:p>
        </w:tc>
        <w:tc>
          <w:tcPr>
            <w:tcW w:w="1241" w:type="dxa"/>
            <w:shd w:val="clear" w:color="FFFFFF" w:fill="FFFFFF"/>
            <w:vAlign w:val="center"/>
          </w:tcPr>
          <w:p w14:paraId="1D4C58E8">
            <w:pPr>
              <w:widowControl/>
              <w:jc w:val="righ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34.34</w:t>
            </w:r>
          </w:p>
        </w:tc>
      </w:tr>
      <w:tr w14:paraId="1B75D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83" w:type="dxa"/>
            <w:shd w:val="clear" w:color="FFFFFF" w:fill="FFFFFF"/>
            <w:vAlign w:val="center"/>
          </w:tcPr>
          <w:p w14:paraId="0DE87B3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3</w:t>
            </w:r>
          </w:p>
        </w:tc>
        <w:tc>
          <w:tcPr>
            <w:tcW w:w="2691" w:type="dxa"/>
            <w:shd w:val="clear" w:color="FFFFFF" w:fill="FFFFFF"/>
            <w:vAlign w:val="center"/>
          </w:tcPr>
          <w:p w14:paraId="211969FE">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铁构件</w:t>
            </w:r>
          </w:p>
        </w:tc>
        <w:tc>
          <w:tcPr>
            <w:tcW w:w="2712" w:type="dxa"/>
            <w:shd w:val="clear" w:color="FFFFFF" w:fill="FFFFFF"/>
            <w:vAlign w:val="center"/>
          </w:tcPr>
          <w:p w14:paraId="3FD1A2F3">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1.名称:一般铁构件制作、安装</w:t>
            </w:r>
          </w:p>
        </w:tc>
        <w:tc>
          <w:tcPr>
            <w:tcW w:w="613" w:type="dxa"/>
            <w:shd w:val="clear" w:color="FFFFFF" w:fill="FFFFFF"/>
            <w:vAlign w:val="center"/>
          </w:tcPr>
          <w:p w14:paraId="65B49B0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kg</w:t>
            </w:r>
          </w:p>
        </w:tc>
        <w:tc>
          <w:tcPr>
            <w:tcW w:w="1241" w:type="dxa"/>
            <w:shd w:val="clear" w:color="FFFFFF" w:fill="FFFFFF"/>
            <w:vAlign w:val="center"/>
          </w:tcPr>
          <w:p w14:paraId="56F13A3D">
            <w:pPr>
              <w:widowControl/>
              <w:jc w:val="righ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12.52</w:t>
            </w:r>
          </w:p>
        </w:tc>
      </w:tr>
      <w:tr w14:paraId="150DE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1083" w:type="dxa"/>
            <w:shd w:val="clear" w:color="FFFFFF" w:fill="FFFFFF"/>
            <w:vAlign w:val="center"/>
          </w:tcPr>
          <w:p w14:paraId="40F0F86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w:t>
            </w:r>
          </w:p>
        </w:tc>
        <w:tc>
          <w:tcPr>
            <w:tcW w:w="2691" w:type="dxa"/>
            <w:shd w:val="clear" w:color="FFFFFF" w:fill="FFFFFF"/>
            <w:vAlign w:val="center"/>
          </w:tcPr>
          <w:p w14:paraId="25B1592D">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金属结构刷油</w:t>
            </w:r>
          </w:p>
        </w:tc>
        <w:tc>
          <w:tcPr>
            <w:tcW w:w="2712" w:type="dxa"/>
            <w:shd w:val="clear" w:color="FFFFFF" w:fill="FFFFFF"/>
            <w:vAlign w:val="center"/>
          </w:tcPr>
          <w:p w14:paraId="0C51DDF3">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1.除锈:一般铁构件除轻锈</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2.调配、涂刷:一般铁构件刷防锈漆两遍，刷调和漆两遍</w:t>
            </w:r>
          </w:p>
        </w:tc>
        <w:tc>
          <w:tcPr>
            <w:tcW w:w="613" w:type="dxa"/>
            <w:shd w:val="clear" w:color="FFFFFF" w:fill="FFFFFF"/>
            <w:vAlign w:val="center"/>
          </w:tcPr>
          <w:p w14:paraId="007DAA0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kg</w:t>
            </w:r>
          </w:p>
        </w:tc>
        <w:tc>
          <w:tcPr>
            <w:tcW w:w="1241" w:type="dxa"/>
            <w:shd w:val="clear" w:color="FFFFFF" w:fill="FFFFFF"/>
            <w:vAlign w:val="center"/>
          </w:tcPr>
          <w:p w14:paraId="64A674B3">
            <w:pPr>
              <w:widowControl/>
              <w:jc w:val="righ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12.52</w:t>
            </w:r>
          </w:p>
        </w:tc>
      </w:tr>
      <w:tr w14:paraId="10CEF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83" w:type="dxa"/>
            <w:shd w:val="clear" w:color="FFFFFF" w:fill="FFFFFF"/>
            <w:vAlign w:val="center"/>
          </w:tcPr>
          <w:p w14:paraId="3C0054E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5</w:t>
            </w:r>
          </w:p>
        </w:tc>
        <w:tc>
          <w:tcPr>
            <w:tcW w:w="2691" w:type="dxa"/>
            <w:shd w:val="clear" w:color="FFFFFF" w:fill="FFFFFF"/>
            <w:vAlign w:val="center"/>
          </w:tcPr>
          <w:p w14:paraId="44D179C2">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电力电缆</w:t>
            </w:r>
          </w:p>
        </w:tc>
        <w:tc>
          <w:tcPr>
            <w:tcW w:w="2712" w:type="dxa"/>
            <w:shd w:val="clear" w:color="FFFFFF" w:fill="FFFFFF"/>
            <w:vAlign w:val="center"/>
          </w:tcPr>
          <w:p w14:paraId="36556B7E">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1.名称:直流电缆</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2.规格:PV1-F/1*4</w:t>
            </w:r>
          </w:p>
        </w:tc>
        <w:tc>
          <w:tcPr>
            <w:tcW w:w="613" w:type="dxa"/>
            <w:shd w:val="clear" w:color="FFFFFF" w:fill="FFFFFF"/>
            <w:vAlign w:val="center"/>
          </w:tcPr>
          <w:p w14:paraId="4E7DD9D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m</w:t>
            </w:r>
          </w:p>
        </w:tc>
        <w:tc>
          <w:tcPr>
            <w:tcW w:w="1241" w:type="dxa"/>
            <w:shd w:val="clear" w:color="FFFFFF" w:fill="FFFFFF"/>
            <w:vAlign w:val="center"/>
          </w:tcPr>
          <w:p w14:paraId="7E6A3ABB">
            <w:pPr>
              <w:widowControl/>
              <w:jc w:val="righ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139.85</w:t>
            </w:r>
          </w:p>
        </w:tc>
      </w:tr>
      <w:tr w14:paraId="26523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083" w:type="dxa"/>
            <w:shd w:val="clear" w:color="FFFFFF" w:fill="FFFFFF"/>
            <w:vAlign w:val="center"/>
          </w:tcPr>
          <w:p w14:paraId="4D3E765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6</w:t>
            </w:r>
          </w:p>
        </w:tc>
        <w:tc>
          <w:tcPr>
            <w:tcW w:w="2691" w:type="dxa"/>
            <w:shd w:val="clear" w:color="FFFFFF" w:fill="FFFFFF"/>
            <w:vAlign w:val="center"/>
          </w:tcPr>
          <w:p w14:paraId="621CB8D1">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太阳能电池</w:t>
            </w:r>
          </w:p>
        </w:tc>
        <w:tc>
          <w:tcPr>
            <w:tcW w:w="2712" w:type="dxa"/>
            <w:shd w:val="clear" w:color="FFFFFF" w:fill="FFFFFF"/>
            <w:vAlign w:val="center"/>
          </w:tcPr>
          <w:p w14:paraId="090A908E">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1.名称:光伏逆变器</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2.规格:Pe=27.22kW</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3.安装方式:底边距地1米明装</w:t>
            </w:r>
          </w:p>
        </w:tc>
        <w:tc>
          <w:tcPr>
            <w:tcW w:w="613" w:type="dxa"/>
            <w:shd w:val="clear" w:color="FFFFFF" w:fill="FFFFFF"/>
            <w:vAlign w:val="center"/>
          </w:tcPr>
          <w:p w14:paraId="443E1CE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组</w:t>
            </w:r>
          </w:p>
        </w:tc>
        <w:tc>
          <w:tcPr>
            <w:tcW w:w="1241" w:type="dxa"/>
            <w:shd w:val="clear" w:color="FFFFFF" w:fill="FFFFFF"/>
            <w:vAlign w:val="center"/>
          </w:tcPr>
          <w:p w14:paraId="0B1E32C5">
            <w:pPr>
              <w:widowControl/>
              <w:jc w:val="righ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w:t>
            </w:r>
          </w:p>
        </w:tc>
      </w:tr>
      <w:tr w14:paraId="6CB96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trPr>
        <w:tc>
          <w:tcPr>
            <w:tcW w:w="1083" w:type="dxa"/>
            <w:shd w:val="clear" w:color="FFFFFF" w:fill="FFFFFF"/>
            <w:vAlign w:val="center"/>
          </w:tcPr>
          <w:p w14:paraId="5C68236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7</w:t>
            </w:r>
          </w:p>
        </w:tc>
        <w:tc>
          <w:tcPr>
            <w:tcW w:w="2691" w:type="dxa"/>
            <w:shd w:val="clear" w:color="FFFFFF" w:fill="FFFFFF"/>
            <w:vAlign w:val="center"/>
          </w:tcPr>
          <w:p w14:paraId="58C65D5B">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配电箱</w:t>
            </w:r>
          </w:p>
        </w:tc>
        <w:tc>
          <w:tcPr>
            <w:tcW w:w="2712" w:type="dxa"/>
            <w:shd w:val="clear" w:color="FFFFFF" w:fill="FFFFFF"/>
            <w:vAlign w:val="center"/>
          </w:tcPr>
          <w:p w14:paraId="319D1795">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1.名称:交流配电箱（IP65）</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2.型号:4#-AP1</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3.安装方式:底边距地1米明装</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4.其他:含箱体接地，箱内元器件详见设计</w:t>
            </w:r>
          </w:p>
        </w:tc>
        <w:tc>
          <w:tcPr>
            <w:tcW w:w="613" w:type="dxa"/>
            <w:shd w:val="clear" w:color="FFFFFF" w:fill="FFFFFF"/>
            <w:vAlign w:val="center"/>
          </w:tcPr>
          <w:p w14:paraId="10AABF3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台</w:t>
            </w:r>
          </w:p>
        </w:tc>
        <w:tc>
          <w:tcPr>
            <w:tcW w:w="1241" w:type="dxa"/>
            <w:shd w:val="clear" w:color="FFFFFF" w:fill="FFFFFF"/>
            <w:vAlign w:val="center"/>
          </w:tcPr>
          <w:p w14:paraId="2F9E6594">
            <w:pPr>
              <w:widowControl/>
              <w:jc w:val="righ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14:paraId="4E6DE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trPr>
        <w:tc>
          <w:tcPr>
            <w:tcW w:w="1083" w:type="dxa"/>
            <w:shd w:val="clear" w:color="FFFFFF" w:fill="FFFFFF"/>
            <w:vAlign w:val="center"/>
          </w:tcPr>
          <w:p w14:paraId="4E4F20D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8</w:t>
            </w:r>
          </w:p>
        </w:tc>
        <w:tc>
          <w:tcPr>
            <w:tcW w:w="2691" w:type="dxa"/>
            <w:shd w:val="clear" w:color="FFFFFF" w:fill="FFFFFF"/>
            <w:vAlign w:val="center"/>
          </w:tcPr>
          <w:p w14:paraId="6327E028">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电力电缆</w:t>
            </w:r>
          </w:p>
        </w:tc>
        <w:tc>
          <w:tcPr>
            <w:tcW w:w="2712" w:type="dxa"/>
            <w:shd w:val="clear" w:color="FFFFFF" w:fill="FFFFFF"/>
            <w:vAlign w:val="center"/>
          </w:tcPr>
          <w:p w14:paraId="37ED3B87">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1.名称:铜芯电力电缆</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2.型号、规格:WDZ-YJY-5*16</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3.敷设方式或部位:桥架或穿管内敷设</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4.电压等级（kv）:1kv以下</w:t>
            </w:r>
          </w:p>
        </w:tc>
        <w:tc>
          <w:tcPr>
            <w:tcW w:w="613" w:type="dxa"/>
            <w:shd w:val="clear" w:color="FFFFFF" w:fill="FFFFFF"/>
            <w:vAlign w:val="center"/>
          </w:tcPr>
          <w:p w14:paraId="24AFB28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m</w:t>
            </w:r>
          </w:p>
        </w:tc>
        <w:tc>
          <w:tcPr>
            <w:tcW w:w="1241" w:type="dxa"/>
            <w:shd w:val="clear" w:color="FFFFFF" w:fill="FFFFFF"/>
            <w:vAlign w:val="center"/>
          </w:tcPr>
          <w:p w14:paraId="06D7E304">
            <w:pPr>
              <w:widowControl/>
              <w:jc w:val="righ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10</w:t>
            </w:r>
          </w:p>
        </w:tc>
      </w:tr>
      <w:tr w14:paraId="016D5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trPr>
        <w:tc>
          <w:tcPr>
            <w:tcW w:w="1083" w:type="dxa"/>
            <w:shd w:val="clear" w:color="FFFFFF" w:fill="FFFFFF"/>
            <w:vAlign w:val="center"/>
          </w:tcPr>
          <w:p w14:paraId="03CAA3C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9</w:t>
            </w:r>
          </w:p>
        </w:tc>
        <w:tc>
          <w:tcPr>
            <w:tcW w:w="2691" w:type="dxa"/>
            <w:shd w:val="clear" w:color="FFFFFF" w:fill="FFFFFF"/>
            <w:vAlign w:val="center"/>
          </w:tcPr>
          <w:p w14:paraId="6CB9BD14">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电力电缆</w:t>
            </w:r>
          </w:p>
        </w:tc>
        <w:tc>
          <w:tcPr>
            <w:tcW w:w="2712" w:type="dxa"/>
            <w:shd w:val="clear" w:color="FFFFFF" w:fill="FFFFFF"/>
            <w:vAlign w:val="center"/>
          </w:tcPr>
          <w:p w14:paraId="7F2854CF">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1.名称:铜芯电力电缆</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2.型号、规格:WDZ-YJY-4*35+1*16</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3.敷设方式或部位:桥架或穿管内敷设</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4.电压等级（kv）:1kv以下</w:t>
            </w:r>
          </w:p>
        </w:tc>
        <w:tc>
          <w:tcPr>
            <w:tcW w:w="613" w:type="dxa"/>
            <w:shd w:val="clear" w:color="FFFFFF" w:fill="FFFFFF"/>
            <w:vAlign w:val="center"/>
          </w:tcPr>
          <w:p w14:paraId="03D79EE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m</w:t>
            </w:r>
          </w:p>
        </w:tc>
        <w:tc>
          <w:tcPr>
            <w:tcW w:w="1241" w:type="dxa"/>
            <w:shd w:val="clear" w:color="FFFFFF" w:fill="FFFFFF"/>
            <w:vAlign w:val="center"/>
          </w:tcPr>
          <w:p w14:paraId="5A5DC8C6">
            <w:pPr>
              <w:widowControl/>
              <w:jc w:val="righ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146.95</w:t>
            </w:r>
          </w:p>
        </w:tc>
      </w:tr>
      <w:tr w14:paraId="2A765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trPr>
        <w:tc>
          <w:tcPr>
            <w:tcW w:w="1083" w:type="dxa"/>
            <w:shd w:val="clear" w:color="FFFFFF" w:fill="FFFFFF"/>
            <w:vAlign w:val="center"/>
          </w:tcPr>
          <w:p w14:paraId="0F5AFAA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10</w:t>
            </w:r>
          </w:p>
        </w:tc>
        <w:tc>
          <w:tcPr>
            <w:tcW w:w="2691" w:type="dxa"/>
            <w:shd w:val="clear" w:color="FFFFFF" w:fill="FFFFFF"/>
            <w:vAlign w:val="center"/>
          </w:tcPr>
          <w:p w14:paraId="49991E6D">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电力电缆头</w:t>
            </w:r>
          </w:p>
        </w:tc>
        <w:tc>
          <w:tcPr>
            <w:tcW w:w="2712" w:type="dxa"/>
            <w:shd w:val="clear" w:color="FFFFFF" w:fill="FFFFFF"/>
            <w:vAlign w:val="center"/>
          </w:tcPr>
          <w:p w14:paraId="542FF975">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1.名称:电缆终端头制安</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2.型号、规格:三芯及以上，截面35mm2及以下</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3.材质、类型:户内干包式</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4.电压等级（kV）:1kV以下</w:t>
            </w:r>
          </w:p>
        </w:tc>
        <w:tc>
          <w:tcPr>
            <w:tcW w:w="613" w:type="dxa"/>
            <w:shd w:val="clear" w:color="FFFFFF" w:fill="FFFFFF"/>
            <w:vAlign w:val="center"/>
          </w:tcPr>
          <w:p w14:paraId="02C451C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个</w:t>
            </w:r>
          </w:p>
        </w:tc>
        <w:tc>
          <w:tcPr>
            <w:tcW w:w="1241" w:type="dxa"/>
            <w:shd w:val="clear" w:color="FFFFFF" w:fill="FFFFFF"/>
            <w:vAlign w:val="center"/>
          </w:tcPr>
          <w:p w14:paraId="0886556D">
            <w:pPr>
              <w:widowControl/>
              <w:jc w:val="righ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w:t>
            </w:r>
          </w:p>
        </w:tc>
      </w:tr>
      <w:tr w14:paraId="11D01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trPr>
        <w:tc>
          <w:tcPr>
            <w:tcW w:w="1083" w:type="dxa"/>
            <w:shd w:val="clear" w:color="FFFFFF" w:fill="FFFFFF"/>
            <w:vAlign w:val="center"/>
          </w:tcPr>
          <w:p w14:paraId="3535F96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11</w:t>
            </w:r>
          </w:p>
        </w:tc>
        <w:tc>
          <w:tcPr>
            <w:tcW w:w="2691" w:type="dxa"/>
            <w:shd w:val="clear" w:color="FFFFFF" w:fill="FFFFFF"/>
            <w:vAlign w:val="center"/>
          </w:tcPr>
          <w:p w14:paraId="2E68B429">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电力电缆头</w:t>
            </w:r>
          </w:p>
        </w:tc>
        <w:tc>
          <w:tcPr>
            <w:tcW w:w="2712" w:type="dxa"/>
            <w:shd w:val="clear" w:color="FFFFFF" w:fill="FFFFFF"/>
            <w:vAlign w:val="center"/>
          </w:tcPr>
          <w:p w14:paraId="2050307D">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1.名称:电缆终端头制安</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2.型号、规格:三芯及以上，截面25mm2及以下</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3.材质、类型:户内干包式</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4.电压等级（kV）:1kV以下</w:t>
            </w:r>
          </w:p>
        </w:tc>
        <w:tc>
          <w:tcPr>
            <w:tcW w:w="613" w:type="dxa"/>
            <w:shd w:val="clear" w:color="FFFFFF" w:fill="FFFFFF"/>
            <w:vAlign w:val="center"/>
          </w:tcPr>
          <w:p w14:paraId="45DF720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个</w:t>
            </w:r>
          </w:p>
        </w:tc>
        <w:tc>
          <w:tcPr>
            <w:tcW w:w="1241" w:type="dxa"/>
            <w:shd w:val="clear" w:color="FFFFFF" w:fill="FFFFFF"/>
            <w:vAlign w:val="center"/>
          </w:tcPr>
          <w:p w14:paraId="63202927">
            <w:pPr>
              <w:widowControl/>
              <w:jc w:val="righ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w:t>
            </w:r>
          </w:p>
        </w:tc>
      </w:tr>
      <w:tr w14:paraId="4ACEE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083" w:type="dxa"/>
            <w:shd w:val="clear" w:color="FFFFFF" w:fill="FFFFFF"/>
            <w:vAlign w:val="center"/>
          </w:tcPr>
          <w:p w14:paraId="092B52B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12</w:t>
            </w:r>
          </w:p>
        </w:tc>
        <w:tc>
          <w:tcPr>
            <w:tcW w:w="2691" w:type="dxa"/>
            <w:shd w:val="clear" w:color="FFFFFF" w:fill="FFFFFF"/>
            <w:vAlign w:val="center"/>
          </w:tcPr>
          <w:p w14:paraId="08EB0046">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配线</w:t>
            </w:r>
          </w:p>
        </w:tc>
        <w:tc>
          <w:tcPr>
            <w:tcW w:w="2712" w:type="dxa"/>
            <w:shd w:val="clear" w:color="FFFFFF" w:fill="FFFFFF"/>
            <w:vAlign w:val="center"/>
          </w:tcPr>
          <w:p w14:paraId="5B21A2E1">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1.名称:管内穿线</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2.型号、规格:WDZB-RYJSP-2*1.5</w:t>
            </w:r>
          </w:p>
        </w:tc>
        <w:tc>
          <w:tcPr>
            <w:tcW w:w="613" w:type="dxa"/>
            <w:shd w:val="clear" w:color="FFFFFF" w:fill="FFFFFF"/>
            <w:vAlign w:val="center"/>
          </w:tcPr>
          <w:p w14:paraId="14BAE91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m</w:t>
            </w:r>
          </w:p>
        </w:tc>
        <w:tc>
          <w:tcPr>
            <w:tcW w:w="1241" w:type="dxa"/>
            <w:shd w:val="clear" w:color="FFFFFF" w:fill="FFFFFF"/>
            <w:vAlign w:val="center"/>
          </w:tcPr>
          <w:p w14:paraId="7A89FA0C">
            <w:pPr>
              <w:widowControl/>
              <w:jc w:val="righ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146.95</w:t>
            </w:r>
          </w:p>
        </w:tc>
      </w:tr>
    </w:tbl>
    <w:p w14:paraId="311CE740">
      <w:pPr>
        <w:pStyle w:val="28"/>
        <w:ind w:firstLine="588"/>
        <w:rPr>
          <w:color w:val="auto"/>
          <w:highlight w:val="none"/>
        </w:rPr>
      </w:pPr>
    </w:p>
    <w:tbl>
      <w:tblPr>
        <w:tblStyle w:val="21"/>
        <w:tblW w:w="834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3"/>
        <w:gridCol w:w="2691"/>
        <w:gridCol w:w="2712"/>
        <w:gridCol w:w="613"/>
        <w:gridCol w:w="1241"/>
      </w:tblGrid>
      <w:tr w14:paraId="6D7F6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340" w:type="dxa"/>
            <w:gridSpan w:val="5"/>
            <w:shd w:val="clear" w:color="FFFFFF" w:fill="FFFFFF"/>
            <w:vAlign w:val="bottom"/>
          </w:tcPr>
          <w:p w14:paraId="6D5BD13F">
            <w:pPr>
              <w:rPr>
                <w:rFonts w:ascii="宋体" w:hAnsi="宋体" w:cs="宋体"/>
                <w:color w:val="auto"/>
                <w:sz w:val="20"/>
                <w:szCs w:val="20"/>
                <w:highlight w:val="none"/>
              </w:rPr>
            </w:pPr>
            <w:r>
              <w:rPr>
                <w:rFonts w:hint="eastAsia" w:ascii="宋体" w:hAnsi="宋体" w:cs="宋体"/>
                <w:color w:val="auto"/>
                <w:kern w:val="0"/>
                <w:sz w:val="20"/>
                <w:szCs w:val="20"/>
                <w:highlight w:val="none"/>
              </w:rPr>
              <w:t>单位（专业）工程名称：光伏专项-5#楼光伏系统</w:t>
            </w:r>
          </w:p>
        </w:tc>
      </w:tr>
      <w:tr w14:paraId="32BBC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083" w:type="dxa"/>
            <w:vMerge w:val="restart"/>
            <w:shd w:val="clear" w:color="FFFFFF" w:fill="FFFFFF"/>
            <w:vAlign w:val="center"/>
          </w:tcPr>
          <w:p w14:paraId="5BAEED5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序号</w:t>
            </w:r>
          </w:p>
        </w:tc>
        <w:tc>
          <w:tcPr>
            <w:tcW w:w="2691" w:type="dxa"/>
            <w:vMerge w:val="restart"/>
            <w:shd w:val="clear" w:color="FFFFFF" w:fill="FFFFFF"/>
            <w:vAlign w:val="center"/>
          </w:tcPr>
          <w:p w14:paraId="588BD46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项目名称</w:t>
            </w:r>
          </w:p>
        </w:tc>
        <w:tc>
          <w:tcPr>
            <w:tcW w:w="2712" w:type="dxa"/>
            <w:vMerge w:val="restart"/>
            <w:shd w:val="clear" w:color="FFFFFF" w:fill="FFFFFF"/>
            <w:vAlign w:val="center"/>
          </w:tcPr>
          <w:p w14:paraId="64E9E95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项目特征</w:t>
            </w:r>
          </w:p>
        </w:tc>
        <w:tc>
          <w:tcPr>
            <w:tcW w:w="613" w:type="dxa"/>
            <w:vMerge w:val="restart"/>
            <w:shd w:val="clear" w:color="FFFFFF" w:fill="FFFFFF"/>
            <w:vAlign w:val="center"/>
          </w:tcPr>
          <w:p w14:paraId="10FF635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计量单位</w:t>
            </w:r>
          </w:p>
        </w:tc>
        <w:tc>
          <w:tcPr>
            <w:tcW w:w="1241" w:type="dxa"/>
            <w:vMerge w:val="restart"/>
            <w:shd w:val="clear" w:color="FFFFFF" w:fill="FFFFFF"/>
            <w:vAlign w:val="center"/>
          </w:tcPr>
          <w:p w14:paraId="2CA40C7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工程量</w:t>
            </w:r>
          </w:p>
        </w:tc>
      </w:tr>
      <w:tr w14:paraId="3EDDD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083" w:type="dxa"/>
            <w:vMerge w:val="continue"/>
            <w:shd w:val="clear" w:color="FFFFFF" w:fill="FFFFFF"/>
            <w:vAlign w:val="center"/>
          </w:tcPr>
          <w:p w14:paraId="34C4AA12">
            <w:pPr>
              <w:jc w:val="center"/>
              <w:rPr>
                <w:rFonts w:ascii="宋体" w:hAnsi="宋体" w:cs="宋体"/>
                <w:color w:val="auto"/>
                <w:sz w:val="20"/>
                <w:szCs w:val="20"/>
                <w:highlight w:val="none"/>
              </w:rPr>
            </w:pPr>
          </w:p>
        </w:tc>
        <w:tc>
          <w:tcPr>
            <w:tcW w:w="2691" w:type="dxa"/>
            <w:vMerge w:val="continue"/>
            <w:shd w:val="clear" w:color="FFFFFF" w:fill="FFFFFF"/>
            <w:vAlign w:val="center"/>
          </w:tcPr>
          <w:p w14:paraId="78D09FB5">
            <w:pPr>
              <w:jc w:val="center"/>
              <w:rPr>
                <w:rFonts w:ascii="宋体" w:hAnsi="宋体" w:cs="宋体"/>
                <w:color w:val="auto"/>
                <w:sz w:val="20"/>
                <w:szCs w:val="20"/>
                <w:highlight w:val="none"/>
              </w:rPr>
            </w:pPr>
          </w:p>
        </w:tc>
        <w:tc>
          <w:tcPr>
            <w:tcW w:w="2712" w:type="dxa"/>
            <w:vMerge w:val="continue"/>
            <w:shd w:val="clear" w:color="FFFFFF" w:fill="FFFFFF"/>
            <w:vAlign w:val="center"/>
          </w:tcPr>
          <w:p w14:paraId="62053E9A">
            <w:pPr>
              <w:jc w:val="center"/>
              <w:rPr>
                <w:rFonts w:ascii="宋体" w:hAnsi="宋体" w:cs="宋体"/>
                <w:color w:val="auto"/>
                <w:sz w:val="20"/>
                <w:szCs w:val="20"/>
                <w:highlight w:val="none"/>
              </w:rPr>
            </w:pPr>
          </w:p>
        </w:tc>
        <w:tc>
          <w:tcPr>
            <w:tcW w:w="613" w:type="dxa"/>
            <w:vMerge w:val="continue"/>
            <w:shd w:val="clear" w:color="FFFFFF" w:fill="FFFFFF"/>
            <w:vAlign w:val="center"/>
          </w:tcPr>
          <w:p w14:paraId="6587F61C">
            <w:pPr>
              <w:jc w:val="center"/>
              <w:rPr>
                <w:rFonts w:ascii="宋体" w:hAnsi="宋体" w:cs="宋体"/>
                <w:color w:val="auto"/>
                <w:sz w:val="20"/>
                <w:szCs w:val="20"/>
                <w:highlight w:val="none"/>
              </w:rPr>
            </w:pPr>
          </w:p>
        </w:tc>
        <w:tc>
          <w:tcPr>
            <w:tcW w:w="1241" w:type="dxa"/>
            <w:vMerge w:val="continue"/>
            <w:shd w:val="clear" w:color="FFFFFF" w:fill="FFFFFF"/>
            <w:vAlign w:val="center"/>
          </w:tcPr>
          <w:p w14:paraId="0B044A06">
            <w:pPr>
              <w:jc w:val="center"/>
              <w:rPr>
                <w:rFonts w:ascii="宋体" w:hAnsi="宋体" w:cs="宋体"/>
                <w:color w:val="auto"/>
                <w:sz w:val="20"/>
                <w:szCs w:val="20"/>
                <w:highlight w:val="none"/>
              </w:rPr>
            </w:pPr>
          </w:p>
        </w:tc>
      </w:tr>
      <w:tr w14:paraId="077EA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083" w:type="dxa"/>
            <w:vMerge w:val="continue"/>
            <w:shd w:val="clear" w:color="FFFFFF" w:fill="FFFFFF"/>
            <w:vAlign w:val="center"/>
          </w:tcPr>
          <w:p w14:paraId="62242CA3">
            <w:pPr>
              <w:jc w:val="center"/>
              <w:rPr>
                <w:rFonts w:ascii="宋体" w:hAnsi="宋体" w:cs="宋体"/>
                <w:color w:val="auto"/>
                <w:sz w:val="20"/>
                <w:szCs w:val="20"/>
                <w:highlight w:val="none"/>
              </w:rPr>
            </w:pPr>
          </w:p>
        </w:tc>
        <w:tc>
          <w:tcPr>
            <w:tcW w:w="2691" w:type="dxa"/>
            <w:vMerge w:val="continue"/>
            <w:shd w:val="clear" w:color="FFFFFF" w:fill="FFFFFF"/>
            <w:vAlign w:val="center"/>
          </w:tcPr>
          <w:p w14:paraId="0F270776">
            <w:pPr>
              <w:jc w:val="center"/>
              <w:rPr>
                <w:rFonts w:ascii="宋体" w:hAnsi="宋体" w:cs="宋体"/>
                <w:color w:val="auto"/>
                <w:sz w:val="20"/>
                <w:szCs w:val="20"/>
                <w:highlight w:val="none"/>
              </w:rPr>
            </w:pPr>
          </w:p>
        </w:tc>
        <w:tc>
          <w:tcPr>
            <w:tcW w:w="2712" w:type="dxa"/>
            <w:vMerge w:val="continue"/>
            <w:shd w:val="clear" w:color="FFFFFF" w:fill="FFFFFF"/>
            <w:vAlign w:val="center"/>
          </w:tcPr>
          <w:p w14:paraId="238FCB0B">
            <w:pPr>
              <w:jc w:val="center"/>
              <w:rPr>
                <w:rFonts w:ascii="宋体" w:hAnsi="宋体" w:cs="宋体"/>
                <w:color w:val="auto"/>
                <w:sz w:val="20"/>
                <w:szCs w:val="20"/>
                <w:highlight w:val="none"/>
              </w:rPr>
            </w:pPr>
          </w:p>
        </w:tc>
        <w:tc>
          <w:tcPr>
            <w:tcW w:w="613" w:type="dxa"/>
            <w:vMerge w:val="continue"/>
            <w:shd w:val="clear" w:color="FFFFFF" w:fill="FFFFFF"/>
            <w:vAlign w:val="center"/>
          </w:tcPr>
          <w:p w14:paraId="440512E0">
            <w:pPr>
              <w:jc w:val="center"/>
              <w:rPr>
                <w:rFonts w:ascii="宋体" w:hAnsi="宋体" w:cs="宋体"/>
                <w:color w:val="auto"/>
                <w:sz w:val="20"/>
                <w:szCs w:val="20"/>
                <w:highlight w:val="none"/>
              </w:rPr>
            </w:pPr>
          </w:p>
        </w:tc>
        <w:tc>
          <w:tcPr>
            <w:tcW w:w="1241" w:type="dxa"/>
            <w:vMerge w:val="continue"/>
            <w:shd w:val="clear" w:color="FFFFFF" w:fill="FFFFFF"/>
            <w:vAlign w:val="center"/>
          </w:tcPr>
          <w:p w14:paraId="3953DDE9">
            <w:pPr>
              <w:jc w:val="center"/>
              <w:rPr>
                <w:rFonts w:ascii="宋体" w:hAnsi="宋体" w:cs="宋体"/>
                <w:color w:val="auto"/>
                <w:sz w:val="20"/>
                <w:szCs w:val="20"/>
                <w:highlight w:val="none"/>
              </w:rPr>
            </w:pPr>
          </w:p>
        </w:tc>
      </w:tr>
      <w:tr w14:paraId="6ADB0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83" w:type="dxa"/>
            <w:shd w:val="clear" w:color="FFFFFF" w:fill="FFFFFF"/>
            <w:vAlign w:val="center"/>
          </w:tcPr>
          <w:p w14:paraId="5C3E4CFE">
            <w:pPr>
              <w:jc w:val="right"/>
              <w:rPr>
                <w:rFonts w:ascii="宋体" w:hAnsi="宋体" w:cs="宋体"/>
                <w:color w:val="auto"/>
                <w:sz w:val="20"/>
                <w:szCs w:val="20"/>
                <w:highlight w:val="none"/>
              </w:rPr>
            </w:pPr>
          </w:p>
        </w:tc>
        <w:tc>
          <w:tcPr>
            <w:tcW w:w="2691" w:type="dxa"/>
            <w:shd w:val="clear" w:color="FFFFFF" w:fill="FFFFFF"/>
            <w:vAlign w:val="center"/>
          </w:tcPr>
          <w:p w14:paraId="7547C515">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5#楼光伏</w:t>
            </w:r>
          </w:p>
        </w:tc>
        <w:tc>
          <w:tcPr>
            <w:tcW w:w="2712" w:type="dxa"/>
            <w:shd w:val="clear" w:color="FFFFFF" w:fill="FFFFFF"/>
            <w:vAlign w:val="center"/>
          </w:tcPr>
          <w:p w14:paraId="57145EF1">
            <w:pPr>
              <w:jc w:val="left"/>
              <w:rPr>
                <w:rFonts w:ascii="宋体" w:hAnsi="宋体" w:cs="宋体"/>
                <w:color w:val="auto"/>
                <w:sz w:val="20"/>
                <w:szCs w:val="20"/>
                <w:highlight w:val="none"/>
              </w:rPr>
            </w:pPr>
          </w:p>
        </w:tc>
        <w:tc>
          <w:tcPr>
            <w:tcW w:w="613" w:type="dxa"/>
            <w:shd w:val="clear" w:color="FFFFFF" w:fill="FFFFFF"/>
            <w:vAlign w:val="center"/>
          </w:tcPr>
          <w:p w14:paraId="1B278690">
            <w:pPr>
              <w:jc w:val="left"/>
              <w:rPr>
                <w:rFonts w:ascii="宋体" w:hAnsi="宋体" w:cs="宋体"/>
                <w:color w:val="auto"/>
                <w:sz w:val="20"/>
                <w:szCs w:val="20"/>
                <w:highlight w:val="none"/>
              </w:rPr>
            </w:pPr>
          </w:p>
        </w:tc>
        <w:tc>
          <w:tcPr>
            <w:tcW w:w="1241" w:type="dxa"/>
            <w:shd w:val="clear" w:color="FFFFFF" w:fill="FFFFFF"/>
            <w:vAlign w:val="center"/>
          </w:tcPr>
          <w:p w14:paraId="4193C27E">
            <w:pPr>
              <w:jc w:val="left"/>
              <w:rPr>
                <w:rFonts w:ascii="宋体" w:hAnsi="宋体" w:cs="宋体"/>
                <w:color w:val="auto"/>
                <w:sz w:val="20"/>
                <w:szCs w:val="20"/>
                <w:highlight w:val="none"/>
              </w:rPr>
            </w:pPr>
          </w:p>
        </w:tc>
      </w:tr>
      <w:tr w14:paraId="15D8A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1083" w:type="dxa"/>
            <w:shd w:val="clear" w:color="FFFFFF" w:fill="FFFFFF"/>
            <w:vAlign w:val="center"/>
          </w:tcPr>
          <w:p w14:paraId="5126868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2691" w:type="dxa"/>
            <w:shd w:val="clear" w:color="FFFFFF" w:fill="FFFFFF"/>
            <w:vAlign w:val="center"/>
          </w:tcPr>
          <w:p w14:paraId="5417D690">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太阳能电池</w:t>
            </w:r>
          </w:p>
        </w:tc>
        <w:tc>
          <w:tcPr>
            <w:tcW w:w="2712" w:type="dxa"/>
            <w:shd w:val="clear" w:color="FFFFFF" w:fill="FFFFFF"/>
            <w:vAlign w:val="center"/>
          </w:tcPr>
          <w:p w14:paraId="1F434875">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1.名称:单晶硅电池组件</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2.规格:2279*1134*35mm</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3.最大功率:540Wp</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4.安装方式:太阳能电池板钢架安装 屋面安装</w:t>
            </w:r>
          </w:p>
        </w:tc>
        <w:tc>
          <w:tcPr>
            <w:tcW w:w="613" w:type="dxa"/>
            <w:shd w:val="clear" w:color="FFFFFF" w:fill="FFFFFF"/>
            <w:vAlign w:val="center"/>
          </w:tcPr>
          <w:p w14:paraId="0C46EE6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组</w:t>
            </w:r>
          </w:p>
        </w:tc>
        <w:tc>
          <w:tcPr>
            <w:tcW w:w="1241" w:type="dxa"/>
            <w:shd w:val="clear" w:color="FFFFFF" w:fill="FFFFFF"/>
            <w:vAlign w:val="center"/>
          </w:tcPr>
          <w:p w14:paraId="50508256">
            <w:pPr>
              <w:widowControl/>
              <w:jc w:val="righ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112</w:t>
            </w:r>
          </w:p>
        </w:tc>
      </w:tr>
      <w:tr w14:paraId="0491C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083" w:type="dxa"/>
            <w:shd w:val="clear" w:color="FFFFFF" w:fill="FFFFFF"/>
            <w:vAlign w:val="center"/>
          </w:tcPr>
          <w:p w14:paraId="017F3F3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2691" w:type="dxa"/>
            <w:shd w:val="clear" w:color="FFFFFF" w:fill="FFFFFF"/>
            <w:vAlign w:val="center"/>
          </w:tcPr>
          <w:p w14:paraId="6D4280C4">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桥架</w:t>
            </w:r>
          </w:p>
        </w:tc>
        <w:tc>
          <w:tcPr>
            <w:tcW w:w="2712" w:type="dxa"/>
            <w:shd w:val="clear" w:color="FFFFFF" w:fill="FFFFFF"/>
            <w:vAlign w:val="center"/>
          </w:tcPr>
          <w:p w14:paraId="1396584F">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1.名称:直流金属线槽（防雨型）</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2.规格:100*50</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3.接地:跨接接地</w:t>
            </w:r>
          </w:p>
        </w:tc>
        <w:tc>
          <w:tcPr>
            <w:tcW w:w="613" w:type="dxa"/>
            <w:shd w:val="clear" w:color="FFFFFF" w:fill="FFFFFF"/>
            <w:vAlign w:val="center"/>
          </w:tcPr>
          <w:p w14:paraId="0148DBC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m</w:t>
            </w:r>
          </w:p>
        </w:tc>
        <w:tc>
          <w:tcPr>
            <w:tcW w:w="1241" w:type="dxa"/>
            <w:shd w:val="clear" w:color="FFFFFF" w:fill="FFFFFF"/>
            <w:vAlign w:val="center"/>
          </w:tcPr>
          <w:p w14:paraId="58357952">
            <w:pPr>
              <w:widowControl/>
              <w:jc w:val="righ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35.42</w:t>
            </w:r>
          </w:p>
        </w:tc>
      </w:tr>
      <w:tr w14:paraId="72278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83" w:type="dxa"/>
            <w:shd w:val="clear" w:color="FFFFFF" w:fill="FFFFFF"/>
            <w:vAlign w:val="center"/>
          </w:tcPr>
          <w:p w14:paraId="7BB2DB3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3</w:t>
            </w:r>
          </w:p>
        </w:tc>
        <w:tc>
          <w:tcPr>
            <w:tcW w:w="2691" w:type="dxa"/>
            <w:shd w:val="clear" w:color="FFFFFF" w:fill="FFFFFF"/>
            <w:vAlign w:val="center"/>
          </w:tcPr>
          <w:p w14:paraId="0BABF7D0">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铁构件</w:t>
            </w:r>
          </w:p>
        </w:tc>
        <w:tc>
          <w:tcPr>
            <w:tcW w:w="2712" w:type="dxa"/>
            <w:shd w:val="clear" w:color="FFFFFF" w:fill="FFFFFF"/>
            <w:vAlign w:val="center"/>
          </w:tcPr>
          <w:p w14:paraId="439F7378">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1.名称:一般铁构件制作、安装</w:t>
            </w:r>
          </w:p>
        </w:tc>
        <w:tc>
          <w:tcPr>
            <w:tcW w:w="613" w:type="dxa"/>
            <w:shd w:val="clear" w:color="FFFFFF" w:fill="FFFFFF"/>
            <w:vAlign w:val="center"/>
          </w:tcPr>
          <w:p w14:paraId="5BC4C50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kg</w:t>
            </w:r>
          </w:p>
        </w:tc>
        <w:tc>
          <w:tcPr>
            <w:tcW w:w="1241" w:type="dxa"/>
            <w:shd w:val="clear" w:color="FFFFFF" w:fill="FFFFFF"/>
            <w:vAlign w:val="center"/>
          </w:tcPr>
          <w:p w14:paraId="4609B747">
            <w:pPr>
              <w:widowControl/>
              <w:jc w:val="righ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12.86</w:t>
            </w:r>
          </w:p>
        </w:tc>
      </w:tr>
      <w:tr w14:paraId="12074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1083" w:type="dxa"/>
            <w:shd w:val="clear" w:color="FFFFFF" w:fill="FFFFFF"/>
            <w:vAlign w:val="center"/>
          </w:tcPr>
          <w:p w14:paraId="124861F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w:t>
            </w:r>
          </w:p>
        </w:tc>
        <w:tc>
          <w:tcPr>
            <w:tcW w:w="2691" w:type="dxa"/>
            <w:shd w:val="clear" w:color="FFFFFF" w:fill="FFFFFF"/>
            <w:vAlign w:val="center"/>
          </w:tcPr>
          <w:p w14:paraId="42EE3D3C">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金属结构刷油</w:t>
            </w:r>
          </w:p>
        </w:tc>
        <w:tc>
          <w:tcPr>
            <w:tcW w:w="2712" w:type="dxa"/>
            <w:shd w:val="clear" w:color="FFFFFF" w:fill="FFFFFF"/>
            <w:vAlign w:val="center"/>
          </w:tcPr>
          <w:p w14:paraId="6F35FF4F">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1.除锈:一般铁构件除轻锈</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2.调配、涂刷:一般铁构件刷防锈漆两遍，刷调和漆两遍</w:t>
            </w:r>
          </w:p>
        </w:tc>
        <w:tc>
          <w:tcPr>
            <w:tcW w:w="613" w:type="dxa"/>
            <w:shd w:val="clear" w:color="FFFFFF" w:fill="FFFFFF"/>
            <w:vAlign w:val="center"/>
          </w:tcPr>
          <w:p w14:paraId="0C7DA41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kg</w:t>
            </w:r>
          </w:p>
        </w:tc>
        <w:tc>
          <w:tcPr>
            <w:tcW w:w="1241" w:type="dxa"/>
            <w:shd w:val="clear" w:color="FFFFFF" w:fill="FFFFFF"/>
            <w:vAlign w:val="center"/>
          </w:tcPr>
          <w:p w14:paraId="62EEB462">
            <w:pPr>
              <w:widowControl/>
              <w:jc w:val="righ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12.86</w:t>
            </w:r>
          </w:p>
        </w:tc>
      </w:tr>
      <w:tr w14:paraId="317D5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83" w:type="dxa"/>
            <w:shd w:val="clear" w:color="FFFFFF" w:fill="FFFFFF"/>
            <w:vAlign w:val="center"/>
          </w:tcPr>
          <w:p w14:paraId="51084D4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5</w:t>
            </w:r>
          </w:p>
        </w:tc>
        <w:tc>
          <w:tcPr>
            <w:tcW w:w="2691" w:type="dxa"/>
            <w:shd w:val="clear" w:color="FFFFFF" w:fill="FFFFFF"/>
            <w:vAlign w:val="center"/>
          </w:tcPr>
          <w:p w14:paraId="66326D0B">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电力电缆</w:t>
            </w:r>
          </w:p>
        </w:tc>
        <w:tc>
          <w:tcPr>
            <w:tcW w:w="2712" w:type="dxa"/>
            <w:shd w:val="clear" w:color="FFFFFF" w:fill="FFFFFF"/>
            <w:vAlign w:val="center"/>
          </w:tcPr>
          <w:p w14:paraId="775F2DBC">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1.名称:直流电缆</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2.规格:PV1-F/1*4</w:t>
            </w:r>
          </w:p>
        </w:tc>
        <w:tc>
          <w:tcPr>
            <w:tcW w:w="613" w:type="dxa"/>
            <w:shd w:val="clear" w:color="FFFFFF" w:fill="FFFFFF"/>
            <w:vAlign w:val="center"/>
          </w:tcPr>
          <w:p w14:paraId="0830471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m</w:t>
            </w:r>
          </w:p>
        </w:tc>
        <w:tc>
          <w:tcPr>
            <w:tcW w:w="1241" w:type="dxa"/>
            <w:shd w:val="clear" w:color="FFFFFF" w:fill="FFFFFF"/>
            <w:vAlign w:val="center"/>
          </w:tcPr>
          <w:p w14:paraId="339C765E">
            <w:pPr>
              <w:widowControl/>
              <w:jc w:val="righ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138.31</w:t>
            </w:r>
          </w:p>
        </w:tc>
      </w:tr>
      <w:tr w14:paraId="6E845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083" w:type="dxa"/>
            <w:shd w:val="clear" w:color="FFFFFF" w:fill="FFFFFF"/>
            <w:vAlign w:val="center"/>
          </w:tcPr>
          <w:p w14:paraId="0A4296B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6</w:t>
            </w:r>
          </w:p>
        </w:tc>
        <w:tc>
          <w:tcPr>
            <w:tcW w:w="2691" w:type="dxa"/>
            <w:shd w:val="clear" w:color="FFFFFF" w:fill="FFFFFF"/>
            <w:vAlign w:val="center"/>
          </w:tcPr>
          <w:p w14:paraId="4AA674BD">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太阳能电池</w:t>
            </w:r>
          </w:p>
        </w:tc>
        <w:tc>
          <w:tcPr>
            <w:tcW w:w="2712" w:type="dxa"/>
            <w:shd w:val="clear" w:color="FFFFFF" w:fill="FFFFFF"/>
            <w:vAlign w:val="center"/>
          </w:tcPr>
          <w:p w14:paraId="5C68E8B0">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1.名称:光伏逆变器</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2.规格:Pe=27.22kW</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3.安装方式:底边距地1米明装</w:t>
            </w:r>
          </w:p>
        </w:tc>
        <w:tc>
          <w:tcPr>
            <w:tcW w:w="613" w:type="dxa"/>
            <w:shd w:val="clear" w:color="FFFFFF" w:fill="FFFFFF"/>
            <w:vAlign w:val="center"/>
          </w:tcPr>
          <w:p w14:paraId="6EB9ED0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组</w:t>
            </w:r>
          </w:p>
        </w:tc>
        <w:tc>
          <w:tcPr>
            <w:tcW w:w="1241" w:type="dxa"/>
            <w:shd w:val="clear" w:color="FFFFFF" w:fill="FFFFFF"/>
            <w:vAlign w:val="center"/>
          </w:tcPr>
          <w:p w14:paraId="5D59DE11">
            <w:pPr>
              <w:widowControl/>
              <w:jc w:val="righ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w:t>
            </w:r>
          </w:p>
        </w:tc>
      </w:tr>
      <w:tr w14:paraId="26BB9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trPr>
        <w:tc>
          <w:tcPr>
            <w:tcW w:w="1083" w:type="dxa"/>
            <w:shd w:val="clear" w:color="FFFFFF" w:fill="FFFFFF"/>
            <w:vAlign w:val="center"/>
          </w:tcPr>
          <w:p w14:paraId="7DF74AE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7</w:t>
            </w:r>
          </w:p>
        </w:tc>
        <w:tc>
          <w:tcPr>
            <w:tcW w:w="2691" w:type="dxa"/>
            <w:shd w:val="clear" w:color="FFFFFF" w:fill="FFFFFF"/>
            <w:vAlign w:val="center"/>
          </w:tcPr>
          <w:p w14:paraId="2415496F">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配电箱</w:t>
            </w:r>
          </w:p>
        </w:tc>
        <w:tc>
          <w:tcPr>
            <w:tcW w:w="2712" w:type="dxa"/>
            <w:shd w:val="clear" w:color="FFFFFF" w:fill="FFFFFF"/>
            <w:vAlign w:val="center"/>
          </w:tcPr>
          <w:p w14:paraId="52EB47A8">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1.名称:交流配电箱（IP65）</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2.型号:5#-AP1</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3.安装方式:底边距地1米明装</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4.其他:含箱体接地，箱内元器件详见设计</w:t>
            </w:r>
          </w:p>
        </w:tc>
        <w:tc>
          <w:tcPr>
            <w:tcW w:w="613" w:type="dxa"/>
            <w:shd w:val="clear" w:color="FFFFFF" w:fill="FFFFFF"/>
            <w:vAlign w:val="center"/>
          </w:tcPr>
          <w:p w14:paraId="646A403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台</w:t>
            </w:r>
          </w:p>
        </w:tc>
        <w:tc>
          <w:tcPr>
            <w:tcW w:w="1241" w:type="dxa"/>
            <w:shd w:val="clear" w:color="FFFFFF" w:fill="FFFFFF"/>
            <w:vAlign w:val="center"/>
          </w:tcPr>
          <w:p w14:paraId="326248F1">
            <w:pPr>
              <w:widowControl/>
              <w:jc w:val="righ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14:paraId="0F0BB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trPr>
        <w:tc>
          <w:tcPr>
            <w:tcW w:w="1083" w:type="dxa"/>
            <w:shd w:val="clear" w:color="FFFFFF" w:fill="FFFFFF"/>
            <w:vAlign w:val="center"/>
          </w:tcPr>
          <w:p w14:paraId="54FE90D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8</w:t>
            </w:r>
          </w:p>
        </w:tc>
        <w:tc>
          <w:tcPr>
            <w:tcW w:w="2691" w:type="dxa"/>
            <w:shd w:val="clear" w:color="FFFFFF" w:fill="FFFFFF"/>
            <w:vAlign w:val="center"/>
          </w:tcPr>
          <w:p w14:paraId="201DCF85">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电力电缆</w:t>
            </w:r>
          </w:p>
        </w:tc>
        <w:tc>
          <w:tcPr>
            <w:tcW w:w="2712" w:type="dxa"/>
            <w:shd w:val="clear" w:color="FFFFFF" w:fill="FFFFFF"/>
            <w:vAlign w:val="center"/>
          </w:tcPr>
          <w:p w14:paraId="713651B8">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1.名称:铜芯电力电缆</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2.型号、规格:WDZ-YJY-4*35+1*16</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3.敷设方式或部位:桥架或穿管内敷设</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4.电压等级（kv）:1kv以下</w:t>
            </w:r>
          </w:p>
        </w:tc>
        <w:tc>
          <w:tcPr>
            <w:tcW w:w="613" w:type="dxa"/>
            <w:shd w:val="clear" w:color="FFFFFF" w:fill="FFFFFF"/>
            <w:vAlign w:val="center"/>
          </w:tcPr>
          <w:p w14:paraId="091EE8B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m</w:t>
            </w:r>
          </w:p>
        </w:tc>
        <w:tc>
          <w:tcPr>
            <w:tcW w:w="1241" w:type="dxa"/>
            <w:shd w:val="clear" w:color="FFFFFF" w:fill="FFFFFF"/>
            <w:vAlign w:val="center"/>
          </w:tcPr>
          <w:p w14:paraId="14A898E5">
            <w:pPr>
              <w:widowControl/>
              <w:jc w:val="righ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150.25</w:t>
            </w:r>
          </w:p>
        </w:tc>
      </w:tr>
      <w:tr w14:paraId="7E29B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trPr>
        <w:tc>
          <w:tcPr>
            <w:tcW w:w="1083" w:type="dxa"/>
            <w:shd w:val="clear" w:color="FFFFFF" w:fill="FFFFFF"/>
            <w:vAlign w:val="center"/>
          </w:tcPr>
          <w:p w14:paraId="1AB75CA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9</w:t>
            </w:r>
          </w:p>
        </w:tc>
        <w:tc>
          <w:tcPr>
            <w:tcW w:w="2691" w:type="dxa"/>
            <w:shd w:val="clear" w:color="FFFFFF" w:fill="FFFFFF"/>
            <w:vAlign w:val="center"/>
          </w:tcPr>
          <w:p w14:paraId="2B8DADD9">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电力电缆</w:t>
            </w:r>
          </w:p>
        </w:tc>
        <w:tc>
          <w:tcPr>
            <w:tcW w:w="2712" w:type="dxa"/>
            <w:shd w:val="clear" w:color="FFFFFF" w:fill="FFFFFF"/>
            <w:vAlign w:val="center"/>
          </w:tcPr>
          <w:p w14:paraId="0E00C208">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1.名称:铜芯电力电缆</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2.型号、规格:WDZ-YJY-5*16</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3.敷设方式或部位:桥架或穿管内敷设</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4.电压等级（kv）:1kv以下</w:t>
            </w:r>
          </w:p>
        </w:tc>
        <w:tc>
          <w:tcPr>
            <w:tcW w:w="613" w:type="dxa"/>
            <w:shd w:val="clear" w:color="FFFFFF" w:fill="FFFFFF"/>
            <w:vAlign w:val="center"/>
          </w:tcPr>
          <w:p w14:paraId="55A297C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m</w:t>
            </w:r>
          </w:p>
        </w:tc>
        <w:tc>
          <w:tcPr>
            <w:tcW w:w="1241" w:type="dxa"/>
            <w:shd w:val="clear" w:color="FFFFFF" w:fill="FFFFFF"/>
            <w:vAlign w:val="center"/>
          </w:tcPr>
          <w:p w14:paraId="710933FC">
            <w:pPr>
              <w:widowControl/>
              <w:jc w:val="righ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10</w:t>
            </w:r>
          </w:p>
        </w:tc>
      </w:tr>
      <w:tr w14:paraId="0BDD9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trPr>
        <w:tc>
          <w:tcPr>
            <w:tcW w:w="1083" w:type="dxa"/>
            <w:shd w:val="clear" w:color="FFFFFF" w:fill="FFFFFF"/>
            <w:vAlign w:val="center"/>
          </w:tcPr>
          <w:p w14:paraId="2BABC66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10</w:t>
            </w:r>
          </w:p>
        </w:tc>
        <w:tc>
          <w:tcPr>
            <w:tcW w:w="2691" w:type="dxa"/>
            <w:shd w:val="clear" w:color="FFFFFF" w:fill="FFFFFF"/>
            <w:vAlign w:val="center"/>
          </w:tcPr>
          <w:p w14:paraId="6BD9D1B6">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电力电缆头</w:t>
            </w:r>
          </w:p>
        </w:tc>
        <w:tc>
          <w:tcPr>
            <w:tcW w:w="2712" w:type="dxa"/>
            <w:shd w:val="clear" w:color="FFFFFF" w:fill="FFFFFF"/>
            <w:vAlign w:val="center"/>
          </w:tcPr>
          <w:p w14:paraId="02EC9A7F">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1.名称:电缆终端头制安</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2.型号、规格:三芯及以上，截面35mm2及以下</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3.材质、类型:户内干包式</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4.电压等级（kV）:1kV以下</w:t>
            </w:r>
          </w:p>
        </w:tc>
        <w:tc>
          <w:tcPr>
            <w:tcW w:w="613" w:type="dxa"/>
            <w:shd w:val="clear" w:color="FFFFFF" w:fill="FFFFFF"/>
            <w:vAlign w:val="center"/>
          </w:tcPr>
          <w:p w14:paraId="55D1B97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个</w:t>
            </w:r>
          </w:p>
        </w:tc>
        <w:tc>
          <w:tcPr>
            <w:tcW w:w="1241" w:type="dxa"/>
            <w:shd w:val="clear" w:color="FFFFFF" w:fill="FFFFFF"/>
            <w:vAlign w:val="center"/>
          </w:tcPr>
          <w:p w14:paraId="27AB2497">
            <w:pPr>
              <w:widowControl/>
              <w:jc w:val="righ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w:t>
            </w:r>
          </w:p>
        </w:tc>
      </w:tr>
      <w:tr w14:paraId="3044C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trPr>
        <w:tc>
          <w:tcPr>
            <w:tcW w:w="1083" w:type="dxa"/>
            <w:shd w:val="clear" w:color="FFFFFF" w:fill="FFFFFF"/>
            <w:vAlign w:val="center"/>
          </w:tcPr>
          <w:p w14:paraId="40A1F25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11</w:t>
            </w:r>
          </w:p>
        </w:tc>
        <w:tc>
          <w:tcPr>
            <w:tcW w:w="2691" w:type="dxa"/>
            <w:shd w:val="clear" w:color="FFFFFF" w:fill="FFFFFF"/>
            <w:vAlign w:val="center"/>
          </w:tcPr>
          <w:p w14:paraId="2ABF3158">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电力电缆头</w:t>
            </w:r>
          </w:p>
        </w:tc>
        <w:tc>
          <w:tcPr>
            <w:tcW w:w="2712" w:type="dxa"/>
            <w:shd w:val="clear" w:color="FFFFFF" w:fill="FFFFFF"/>
            <w:vAlign w:val="center"/>
          </w:tcPr>
          <w:p w14:paraId="5CA432C5">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1.名称:电缆终端头制安</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2.型号、规格:三芯及以上，截面25mm2及以下</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3.材质、类型:户内干包式</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4.电压等级（kV）:1kV以下</w:t>
            </w:r>
          </w:p>
        </w:tc>
        <w:tc>
          <w:tcPr>
            <w:tcW w:w="613" w:type="dxa"/>
            <w:shd w:val="clear" w:color="FFFFFF" w:fill="FFFFFF"/>
            <w:vAlign w:val="center"/>
          </w:tcPr>
          <w:p w14:paraId="38CEE8C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个</w:t>
            </w:r>
          </w:p>
        </w:tc>
        <w:tc>
          <w:tcPr>
            <w:tcW w:w="1241" w:type="dxa"/>
            <w:shd w:val="clear" w:color="FFFFFF" w:fill="FFFFFF"/>
            <w:vAlign w:val="center"/>
          </w:tcPr>
          <w:p w14:paraId="4AB1EBE8">
            <w:pPr>
              <w:widowControl/>
              <w:jc w:val="righ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w:t>
            </w:r>
          </w:p>
        </w:tc>
      </w:tr>
      <w:tr w14:paraId="518B3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083" w:type="dxa"/>
            <w:shd w:val="clear" w:color="FFFFFF" w:fill="FFFFFF"/>
            <w:vAlign w:val="center"/>
          </w:tcPr>
          <w:p w14:paraId="55FB832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12</w:t>
            </w:r>
          </w:p>
        </w:tc>
        <w:tc>
          <w:tcPr>
            <w:tcW w:w="2691" w:type="dxa"/>
            <w:shd w:val="clear" w:color="FFFFFF" w:fill="FFFFFF"/>
            <w:vAlign w:val="center"/>
          </w:tcPr>
          <w:p w14:paraId="4201691A">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配线</w:t>
            </w:r>
          </w:p>
        </w:tc>
        <w:tc>
          <w:tcPr>
            <w:tcW w:w="2712" w:type="dxa"/>
            <w:shd w:val="clear" w:color="FFFFFF" w:fill="FFFFFF"/>
            <w:vAlign w:val="center"/>
          </w:tcPr>
          <w:p w14:paraId="53B0CFC8">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1.名称:管内穿线</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2.型号、规格:WDZB-RYJSP-2*1.5</w:t>
            </w:r>
          </w:p>
        </w:tc>
        <w:tc>
          <w:tcPr>
            <w:tcW w:w="613" w:type="dxa"/>
            <w:shd w:val="clear" w:color="FFFFFF" w:fill="FFFFFF"/>
            <w:vAlign w:val="center"/>
          </w:tcPr>
          <w:p w14:paraId="2EF2395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m</w:t>
            </w:r>
          </w:p>
        </w:tc>
        <w:tc>
          <w:tcPr>
            <w:tcW w:w="1241" w:type="dxa"/>
            <w:shd w:val="clear" w:color="FFFFFF" w:fill="FFFFFF"/>
            <w:vAlign w:val="center"/>
          </w:tcPr>
          <w:p w14:paraId="00564558">
            <w:pPr>
              <w:widowControl/>
              <w:jc w:val="righ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150.25</w:t>
            </w:r>
          </w:p>
        </w:tc>
      </w:tr>
    </w:tbl>
    <w:p w14:paraId="7D3EACB9">
      <w:pPr>
        <w:pStyle w:val="28"/>
        <w:ind w:firstLine="588"/>
        <w:rPr>
          <w:color w:val="auto"/>
          <w:highlight w:val="none"/>
        </w:rPr>
      </w:pPr>
    </w:p>
    <w:tbl>
      <w:tblPr>
        <w:tblStyle w:val="21"/>
        <w:tblW w:w="834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3"/>
        <w:gridCol w:w="2691"/>
        <w:gridCol w:w="2712"/>
        <w:gridCol w:w="613"/>
        <w:gridCol w:w="1241"/>
      </w:tblGrid>
      <w:tr w14:paraId="13D9B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340" w:type="dxa"/>
            <w:gridSpan w:val="5"/>
            <w:shd w:val="clear" w:color="FFFFFF" w:fill="FFFFFF"/>
            <w:vAlign w:val="bottom"/>
          </w:tcPr>
          <w:p w14:paraId="1BAB5318">
            <w:pPr>
              <w:rPr>
                <w:rFonts w:ascii="宋体" w:hAnsi="宋体" w:cs="宋体"/>
                <w:color w:val="auto"/>
                <w:sz w:val="20"/>
                <w:szCs w:val="20"/>
                <w:highlight w:val="none"/>
              </w:rPr>
            </w:pPr>
            <w:r>
              <w:rPr>
                <w:rFonts w:hint="eastAsia" w:ascii="宋体" w:hAnsi="宋体" w:cs="宋体"/>
                <w:color w:val="auto"/>
                <w:kern w:val="0"/>
                <w:sz w:val="20"/>
                <w:szCs w:val="20"/>
                <w:highlight w:val="none"/>
              </w:rPr>
              <w:t>单位（专业）工程名称：光伏专项-6#楼光伏系统</w:t>
            </w:r>
          </w:p>
        </w:tc>
      </w:tr>
      <w:tr w14:paraId="78DFA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083" w:type="dxa"/>
            <w:vMerge w:val="restart"/>
            <w:shd w:val="clear" w:color="FFFFFF" w:fill="FFFFFF"/>
            <w:vAlign w:val="center"/>
          </w:tcPr>
          <w:p w14:paraId="653F303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序号</w:t>
            </w:r>
          </w:p>
        </w:tc>
        <w:tc>
          <w:tcPr>
            <w:tcW w:w="2691" w:type="dxa"/>
            <w:vMerge w:val="restart"/>
            <w:shd w:val="clear" w:color="FFFFFF" w:fill="FFFFFF"/>
            <w:vAlign w:val="center"/>
          </w:tcPr>
          <w:p w14:paraId="37A041F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项目名称</w:t>
            </w:r>
          </w:p>
        </w:tc>
        <w:tc>
          <w:tcPr>
            <w:tcW w:w="2712" w:type="dxa"/>
            <w:vMerge w:val="restart"/>
            <w:shd w:val="clear" w:color="FFFFFF" w:fill="FFFFFF"/>
            <w:vAlign w:val="center"/>
          </w:tcPr>
          <w:p w14:paraId="00F2EE9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项目特征</w:t>
            </w:r>
          </w:p>
        </w:tc>
        <w:tc>
          <w:tcPr>
            <w:tcW w:w="613" w:type="dxa"/>
            <w:vMerge w:val="restart"/>
            <w:shd w:val="clear" w:color="FFFFFF" w:fill="FFFFFF"/>
            <w:vAlign w:val="center"/>
          </w:tcPr>
          <w:p w14:paraId="61BEC4E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计量单位</w:t>
            </w:r>
          </w:p>
        </w:tc>
        <w:tc>
          <w:tcPr>
            <w:tcW w:w="1241" w:type="dxa"/>
            <w:vMerge w:val="restart"/>
            <w:shd w:val="clear" w:color="FFFFFF" w:fill="FFFFFF"/>
            <w:vAlign w:val="center"/>
          </w:tcPr>
          <w:p w14:paraId="7832BF5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工程量</w:t>
            </w:r>
          </w:p>
        </w:tc>
      </w:tr>
      <w:tr w14:paraId="212CB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083" w:type="dxa"/>
            <w:vMerge w:val="continue"/>
            <w:shd w:val="clear" w:color="FFFFFF" w:fill="FFFFFF"/>
            <w:vAlign w:val="center"/>
          </w:tcPr>
          <w:p w14:paraId="6DB9B0AC">
            <w:pPr>
              <w:jc w:val="center"/>
              <w:rPr>
                <w:rFonts w:ascii="宋体" w:hAnsi="宋体" w:cs="宋体"/>
                <w:color w:val="auto"/>
                <w:sz w:val="20"/>
                <w:szCs w:val="20"/>
                <w:highlight w:val="none"/>
              </w:rPr>
            </w:pPr>
          </w:p>
        </w:tc>
        <w:tc>
          <w:tcPr>
            <w:tcW w:w="2691" w:type="dxa"/>
            <w:vMerge w:val="continue"/>
            <w:shd w:val="clear" w:color="FFFFFF" w:fill="FFFFFF"/>
            <w:vAlign w:val="center"/>
          </w:tcPr>
          <w:p w14:paraId="6159F7BF">
            <w:pPr>
              <w:jc w:val="center"/>
              <w:rPr>
                <w:rFonts w:ascii="宋体" w:hAnsi="宋体" w:cs="宋体"/>
                <w:color w:val="auto"/>
                <w:sz w:val="20"/>
                <w:szCs w:val="20"/>
                <w:highlight w:val="none"/>
              </w:rPr>
            </w:pPr>
          </w:p>
        </w:tc>
        <w:tc>
          <w:tcPr>
            <w:tcW w:w="2712" w:type="dxa"/>
            <w:vMerge w:val="continue"/>
            <w:shd w:val="clear" w:color="FFFFFF" w:fill="FFFFFF"/>
            <w:vAlign w:val="center"/>
          </w:tcPr>
          <w:p w14:paraId="2E5047F1">
            <w:pPr>
              <w:jc w:val="center"/>
              <w:rPr>
                <w:rFonts w:ascii="宋体" w:hAnsi="宋体" w:cs="宋体"/>
                <w:color w:val="auto"/>
                <w:sz w:val="20"/>
                <w:szCs w:val="20"/>
                <w:highlight w:val="none"/>
              </w:rPr>
            </w:pPr>
          </w:p>
        </w:tc>
        <w:tc>
          <w:tcPr>
            <w:tcW w:w="613" w:type="dxa"/>
            <w:vMerge w:val="continue"/>
            <w:shd w:val="clear" w:color="FFFFFF" w:fill="FFFFFF"/>
            <w:vAlign w:val="center"/>
          </w:tcPr>
          <w:p w14:paraId="46CF8FF7">
            <w:pPr>
              <w:jc w:val="center"/>
              <w:rPr>
                <w:rFonts w:ascii="宋体" w:hAnsi="宋体" w:cs="宋体"/>
                <w:color w:val="auto"/>
                <w:sz w:val="20"/>
                <w:szCs w:val="20"/>
                <w:highlight w:val="none"/>
              </w:rPr>
            </w:pPr>
          </w:p>
        </w:tc>
        <w:tc>
          <w:tcPr>
            <w:tcW w:w="1241" w:type="dxa"/>
            <w:vMerge w:val="continue"/>
            <w:shd w:val="clear" w:color="FFFFFF" w:fill="FFFFFF"/>
            <w:vAlign w:val="center"/>
          </w:tcPr>
          <w:p w14:paraId="7D5D90B3">
            <w:pPr>
              <w:jc w:val="center"/>
              <w:rPr>
                <w:rFonts w:ascii="宋体" w:hAnsi="宋体" w:cs="宋体"/>
                <w:color w:val="auto"/>
                <w:sz w:val="20"/>
                <w:szCs w:val="20"/>
                <w:highlight w:val="none"/>
              </w:rPr>
            </w:pPr>
          </w:p>
        </w:tc>
      </w:tr>
      <w:tr w14:paraId="3DDCD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083" w:type="dxa"/>
            <w:vMerge w:val="continue"/>
            <w:shd w:val="clear" w:color="FFFFFF" w:fill="FFFFFF"/>
            <w:vAlign w:val="center"/>
          </w:tcPr>
          <w:p w14:paraId="1E8D0033">
            <w:pPr>
              <w:jc w:val="center"/>
              <w:rPr>
                <w:rFonts w:ascii="宋体" w:hAnsi="宋体" w:cs="宋体"/>
                <w:color w:val="auto"/>
                <w:sz w:val="20"/>
                <w:szCs w:val="20"/>
                <w:highlight w:val="none"/>
              </w:rPr>
            </w:pPr>
          </w:p>
        </w:tc>
        <w:tc>
          <w:tcPr>
            <w:tcW w:w="2691" w:type="dxa"/>
            <w:vMerge w:val="continue"/>
            <w:shd w:val="clear" w:color="FFFFFF" w:fill="FFFFFF"/>
            <w:vAlign w:val="center"/>
          </w:tcPr>
          <w:p w14:paraId="0160B4A7">
            <w:pPr>
              <w:jc w:val="center"/>
              <w:rPr>
                <w:rFonts w:ascii="宋体" w:hAnsi="宋体" w:cs="宋体"/>
                <w:color w:val="auto"/>
                <w:sz w:val="20"/>
                <w:szCs w:val="20"/>
                <w:highlight w:val="none"/>
              </w:rPr>
            </w:pPr>
          </w:p>
        </w:tc>
        <w:tc>
          <w:tcPr>
            <w:tcW w:w="2712" w:type="dxa"/>
            <w:vMerge w:val="continue"/>
            <w:shd w:val="clear" w:color="FFFFFF" w:fill="FFFFFF"/>
            <w:vAlign w:val="center"/>
          </w:tcPr>
          <w:p w14:paraId="0BDA0290">
            <w:pPr>
              <w:jc w:val="center"/>
              <w:rPr>
                <w:rFonts w:ascii="宋体" w:hAnsi="宋体" w:cs="宋体"/>
                <w:color w:val="auto"/>
                <w:sz w:val="20"/>
                <w:szCs w:val="20"/>
                <w:highlight w:val="none"/>
              </w:rPr>
            </w:pPr>
          </w:p>
        </w:tc>
        <w:tc>
          <w:tcPr>
            <w:tcW w:w="613" w:type="dxa"/>
            <w:vMerge w:val="continue"/>
            <w:shd w:val="clear" w:color="FFFFFF" w:fill="FFFFFF"/>
            <w:vAlign w:val="center"/>
          </w:tcPr>
          <w:p w14:paraId="343933DF">
            <w:pPr>
              <w:jc w:val="center"/>
              <w:rPr>
                <w:rFonts w:ascii="宋体" w:hAnsi="宋体" w:cs="宋体"/>
                <w:color w:val="auto"/>
                <w:sz w:val="20"/>
                <w:szCs w:val="20"/>
                <w:highlight w:val="none"/>
              </w:rPr>
            </w:pPr>
          </w:p>
        </w:tc>
        <w:tc>
          <w:tcPr>
            <w:tcW w:w="1241" w:type="dxa"/>
            <w:vMerge w:val="continue"/>
            <w:shd w:val="clear" w:color="FFFFFF" w:fill="FFFFFF"/>
            <w:vAlign w:val="center"/>
          </w:tcPr>
          <w:p w14:paraId="1FA7B324">
            <w:pPr>
              <w:jc w:val="center"/>
              <w:rPr>
                <w:rFonts w:ascii="宋体" w:hAnsi="宋体" w:cs="宋体"/>
                <w:color w:val="auto"/>
                <w:sz w:val="20"/>
                <w:szCs w:val="20"/>
                <w:highlight w:val="none"/>
              </w:rPr>
            </w:pPr>
          </w:p>
        </w:tc>
      </w:tr>
      <w:tr w14:paraId="71386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83" w:type="dxa"/>
            <w:shd w:val="clear" w:color="FFFFFF" w:fill="FFFFFF"/>
            <w:vAlign w:val="center"/>
          </w:tcPr>
          <w:p w14:paraId="53302DE1">
            <w:pPr>
              <w:jc w:val="right"/>
              <w:rPr>
                <w:rFonts w:ascii="宋体" w:hAnsi="宋体" w:cs="宋体"/>
                <w:color w:val="auto"/>
                <w:sz w:val="20"/>
                <w:szCs w:val="20"/>
                <w:highlight w:val="none"/>
              </w:rPr>
            </w:pPr>
          </w:p>
        </w:tc>
        <w:tc>
          <w:tcPr>
            <w:tcW w:w="2691" w:type="dxa"/>
            <w:shd w:val="clear" w:color="FFFFFF" w:fill="FFFFFF"/>
            <w:vAlign w:val="center"/>
          </w:tcPr>
          <w:p w14:paraId="6A26077E">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6#楼光伏</w:t>
            </w:r>
          </w:p>
        </w:tc>
        <w:tc>
          <w:tcPr>
            <w:tcW w:w="2712" w:type="dxa"/>
            <w:shd w:val="clear" w:color="FFFFFF" w:fill="FFFFFF"/>
            <w:vAlign w:val="center"/>
          </w:tcPr>
          <w:p w14:paraId="154E2555">
            <w:pPr>
              <w:jc w:val="left"/>
              <w:rPr>
                <w:rFonts w:ascii="宋体" w:hAnsi="宋体" w:cs="宋体"/>
                <w:color w:val="auto"/>
                <w:sz w:val="20"/>
                <w:szCs w:val="20"/>
                <w:highlight w:val="none"/>
              </w:rPr>
            </w:pPr>
          </w:p>
        </w:tc>
        <w:tc>
          <w:tcPr>
            <w:tcW w:w="613" w:type="dxa"/>
            <w:shd w:val="clear" w:color="FFFFFF" w:fill="FFFFFF"/>
            <w:vAlign w:val="center"/>
          </w:tcPr>
          <w:p w14:paraId="122A06FA">
            <w:pPr>
              <w:jc w:val="left"/>
              <w:rPr>
                <w:rFonts w:ascii="宋体" w:hAnsi="宋体" w:cs="宋体"/>
                <w:color w:val="auto"/>
                <w:sz w:val="20"/>
                <w:szCs w:val="20"/>
                <w:highlight w:val="none"/>
              </w:rPr>
            </w:pPr>
          </w:p>
        </w:tc>
        <w:tc>
          <w:tcPr>
            <w:tcW w:w="1241" w:type="dxa"/>
            <w:shd w:val="clear" w:color="FFFFFF" w:fill="FFFFFF"/>
            <w:vAlign w:val="center"/>
          </w:tcPr>
          <w:p w14:paraId="7D89C692">
            <w:pPr>
              <w:jc w:val="left"/>
              <w:rPr>
                <w:rFonts w:ascii="宋体" w:hAnsi="宋体" w:cs="宋体"/>
                <w:color w:val="auto"/>
                <w:sz w:val="20"/>
                <w:szCs w:val="20"/>
                <w:highlight w:val="none"/>
              </w:rPr>
            </w:pPr>
          </w:p>
        </w:tc>
      </w:tr>
      <w:tr w14:paraId="6081A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1083" w:type="dxa"/>
            <w:shd w:val="clear" w:color="FFFFFF" w:fill="FFFFFF"/>
            <w:vAlign w:val="center"/>
          </w:tcPr>
          <w:p w14:paraId="36C5135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2691" w:type="dxa"/>
            <w:shd w:val="clear" w:color="FFFFFF" w:fill="FFFFFF"/>
            <w:vAlign w:val="center"/>
          </w:tcPr>
          <w:p w14:paraId="5F62A965">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太阳能电池</w:t>
            </w:r>
          </w:p>
        </w:tc>
        <w:tc>
          <w:tcPr>
            <w:tcW w:w="2712" w:type="dxa"/>
            <w:shd w:val="clear" w:color="FFFFFF" w:fill="FFFFFF"/>
            <w:vAlign w:val="center"/>
          </w:tcPr>
          <w:p w14:paraId="26AE70FB">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1.名称:单晶硅电池组件</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2.规格:2279*1134*35mm</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3.最大功率:540Wp</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4.安装方式:太阳能电池板钢架安装 屋面安装</w:t>
            </w:r>
          </w:p>
        </w:tc>
        <w:tc>
          <w:tcPr>
            <w:tcW w:w="613" w:type="dxa"/>
            <w:shd w:val="clear" w:color="FFFFFF" w:fill="FFFFFF"/>
            <w:vAlign w:val="center"/>
          </w:tcPr>
          <w:p w14:paraId="19B2507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组</w:t>
            </w:r>
          </w:p>
        </w:tc>
        <w:tc>
          <w:tcPr>
            <w:tcW w:w="1241" w:type="dxa"/>
            <w:shd w:val="clear" w:color="FFFFFF" w:fill="FFFFFF"/>
            <w:vAlign w:val="center"/>
          </w:tcPr>
          <w:p w14:paraId="019A14DE">
            <w:pPr>
              <w:widowControl/>
              <w:jc w:val="righ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64</w:t>
            </w:r>
          </w:p>
        </w:tc>
      </w:tr>
      <w:tr w14:paraId="5E0BD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083" w:type="dxa"/>
            <w:shd w:val="clear" w:color="FFFFFF" w:fill="FFFFFF"/>
            <w:vAlign w:val="center"/>
          </w:tcPr>
          <w:p w14:paraId="53B4C80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2691" w:type="dxa"/>
            <w:shd w:val="clear" w:color="FFFFFF" w:fill="FFFFFF"/>
            <w:vAlign w:val="center"/>
          </w:tcPr>
          <w:p w14:paraId="36421B18">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桥架</w:t>
            </w:r>
          </w:p>
        </w:tc>
        <w:tc>
          <w:tcPr>
            <w:tcW w:w="2712" w:type="dxa"/>
            <w:shd w:val="clear" w:color="FFFFFF" w:fill="FFFFFF"/>
            <w:vAlign w:val="center"/>
          </w:tcPr>
          <w:p w14:paraId="1B91CA7A">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1.名称:直流金属线槽（防雨型）</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2.规格:100*50</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3.接地:跨接接地</w:t>
            </w:r>
          </w:p>
        </w:tc>
        <w:tc>
          <w:tcPr>
            <w:tcW w:w="613" w:type="dxa"/>
            <w:shd w:val="clear" w:color="FFFFFF" w:fill="FFFFFF"/>
            <w:vAlign w:val="center"/>
          </w:tcPr>
          <w:p w14:paraId="7389631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m</w:t>
            </w:r>
          </w:p>
        </w:tc>
        <w:tc>
          <w:tcPr>
            <w:tcW w:w="1241" w:type="dxa"/>
            <w:shd w:val="clear" w:color="FFFFFF" w:fill="FFFFFF"/>
            <w:vAlign w:val="center"/>
          </w:tcPr>
          <w:p w14:paraId="67898B7D">
            <w:pPr>
              <w:widowControl/>
              <w:jc w:val="righ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86.8</w:t>
            </w:r>
          </w:p>
        </w:tc>
      </w:tr>
      <w:tr w14:paraId="74CA8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83" w:type="dxa"/>
            <w:shd w:val="clear" w:color="FFFFFF" w:fill="FFFFFF"/>
            <w:vAlign w:val="center"/>
          </w:tcPr>
          <w:p w14:paraId="613691C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3</w:t>
            </w:r>
          </w:p>
        </w:tc>
        <w:tc>
          <w:tcPr>
            <w:tcW w:w="2691" w:type="dxa"/>
            <w:shd w:val="clear" w:color="FFFFFF" w:fill="FFFFFF"/>
            <w:vAlign w:val="center"/>
          </w:tcPr>
          <w:p w14:paraId="0404C8BC">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铁构件</w:t>
            </w:r>
          </w:p>
        </w:tc>
        <w:tc>
          <w:tcPr>
            <w:tcW w:w="2712" w:type="dxa"/>
            <w:shd w:val="clear" w:color="FFFFFF" w:fill="FFFFFF"/>
            <w:vAlign w:val="center"/>
          </w:tcPr>
          <w:p w14:paraId="180C1DCA">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1.名称:一般铁构件制作、安装</w:t>
            </w:r>
          </w:p>
        </w:tc>
        <w:tc>
          <w:tcPr>
            <w:tcW w:w="613" w:type="dxa"/>
            <w:shd w:val="clear" w:color="FFFFFF" w:fill="FFFFFF"/>
            <w:vAlign w:val="center"/>
          </w:tcPr>
          <w:p w14:paraId="4B6B5C1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kg</w:t>
            </w:r>
          </w:p>
        </w:tc>
        <w:tc>
          <w:tcPr>
            <w:tcW w:w="1241" w:type="dxa"/>
            <w:shd w:val="clear" w:color="FFFFFF" w:fill="FFFFFF"/>
            <w:vAlign w:val="center"/>
          </w:tcPr>
          <w:p w14:paraId="5BFC26E6">
            <w:pPr>
              <w:widowControl/>
              <w:jc w:val="righ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32.54</w:t>
            </w:r>
          </w:p>
        </w:tc>
      </w:tr>
      <w:tr w14:paraId="06281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1083" w:type="dxa"/>
            <w:shd w:val="clear" w:color="FFFFFF" w:fill="FFFFFF"/>
            <w:vAlign w:val="center"/>
          </w:tcPr>
          <w:p w14:paraId="035FB93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w:t>
            </w:r>
          </w:p>
        </w:tc>
        <w:tc>
          <w:tcPr>
            <w:tcW w:w="2691" w:type="dxa"/>
            <w:shd w:val="clear" w:color="FFFFFF" w:fill="FFFFFF"/>
            <w:vAlign w:val="center"/>
          </w:tcPr>
          <w:p w14:paraId="2C73FFF5">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金属结构刷油</w:t>
            </w:r>
          </w:p>
        </w:tc>
        <w:tc>
          <w:tcPr>
            <w:tcW w:w="2712" w:type="dxa"/>
            <w:shd w:val="clear" w:color="FFFFFF" w:fill="FFFFFF"/>
            <w:vAlign w:val="center"/>
          </w:tcPr>
          <w:p w14:paraId="36C2B766">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1.除锈:一般铁构件除轻锈</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2.调配、涂刷:一般铁构件刷防锈漆两遍，刷调和漆两遍</w:t>
            </w:r>
          </w:p>
        </w:tc>
        <w:tc>
          <w:tcPr>
            <w:tcW w:w="613" w:type="dxa"/>
            <w:shd w:val="clear" w:color="FFFFFF" w:fill="FFFFFF"/>
            <w:vAlign w:val="center"/>
          </w:tcPr>
          <w:p w14:paraId="0B099E0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kg</w:t>
            </w:r>
          </w:p>
        </w:tc>
        <w:tc>
          <w:tcPr>
            <w:tcW w:w="1241" w:type="dxa"/>
            <w:shd w:val="clear" w:color="FFFFFF" w:fill="FFFFFF"/>
            <w:vAlign w:val="center"/>
          </w:tcPr>
          <w:p w14:paraId="3325C118">
            <w:pPr>
              <w:widowControl/>
              <w:jc w:val="righ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32.54</w:t>
            </w:r>
          </w:p>
        </w:tc>
      </w:tr>
      <w:tr w14:paraId="091F8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83" w:type="dxa"/>
            <w:shd w:val="clear" w:color="FFFFFF" w:fill="FFFFFF"/>
            <w:vAlign w:val="center"/>
          </w:tcPr>
          <w:p w14:paraId="0B74496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5</w:t>
            </w:r>
          </w:p>
        </w:tc>
        <w:tc>
          <w:tcPr>
            <w:tcW w:w="2691" w:type="dxa"/>
            <w:shd w:val="clear" w:color="FFFFFF" w:fill="FFFFFF"/>
            <w:vAlign w:val="center"/>
          </w:tcPr>
          <w:p w14:paraId="2FC1C620">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电力电缆</w:t>
            </w:r>
          </w:p>
        </w:tc>
        <w:tc>
          <w:tcPr>
            <w:tcW w:w="2712" w:type="dxa"/>
            <w:shd w:val="clear" w:color="FFFFFF" w:fill="FFFFFF"/>
            <w:vAlign w:val="center"/>
          </w:tcPr>
          <w:p w14:paraId="5B3DD708">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1.名称:直流电缆</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2.规格:PV1-F/1*4</w:t>
            </w:r>
          </w:p>
        </w:tc>
        <w:tc>
          <w:tcPr>
            <w:tcW w:w="613" w:type="dxa"/>
            <w:shd w:val="clear" w:color="FFFFFF" w:fill="FFFFFF"/>
            <w:vAlign w:val="center"/>
          </w:tcPr>
          <w:p w14:paraId="3024356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m</w:t>
            </w:r>
          </w:p>
        </w:tc>
        <w:tc>
          <w:tcPr>
            <w:tcW w:w="1241" w:type="dxa"/>
            <w:shd w:val="clear" w:color="FFFFFF" w:fill="FFFFFF"/>
            <w:vAlign w:val="center"/>
          </w:tcPr>
          <w:p w14:paraId="228235AB">
            <w:pPr>
              <w:widowControl/>
              <w:jc w:val="righ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81.46</w:t>
            </w:r>
          </w:p>
        </w:tc>
      </w:tr>
      <w:tr w14:paraId="263CA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083" w:type="dxa"/>
            <w:shd w:val="clear" w:color="FFFFFF" w:fill="FFFFFF"/>
            <w:vAlign w:val="center"/>
          </w:tcPr>
          <w:p w14:paraId="3C1F3BB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6</w:t>
            </w:r>
          </w:p>
        </w:tc>
        <w:tc>
          <w:tcPr>
            <w:tcW w:w="2691" w:type="dxa"/>
            <w:shd w:val="clear" w:color="FFFFFF" w:fill="FFFFFF"/>
            <w:vAlign w:val="center"/>
          </w:tcPr>
          <w:p w14:paraId="4A60878E">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太阳能电池</w:t>
            </w:r>
          </w:p>
        </w:tc>
        <w:tc>
          <w:tcPr>
            <w:tcW w:w="2712" w:type="dxa"/>
            <w:shd w:val="clear" w:color="FFFFFF" w:fill="FFFFFF"/>
            <w:vAlign w:val="center"/>
          </w:tcPr>
          <w:p w14:paraId="24416205">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1.名称:光伏逆变器</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2.规格:Pe=34.56kW</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3.安装方式:底边距地1米明装</w:t>
            </w:r>
          </w:p>
        </w:tc>
        <w:tc>
          <w:tcPr>
            <w:tcW w:w="613" w:type="dxa"/>
            <w:shd w:val="clear" w:color="FFFFFF" w:fill="FFFFFF"/>
            <w:vAlign w:val="center"/>
          </w:tcPr>
          <w:p w14:paraId="1C6853C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组</w:t>
            </w:r>
          </w:p>
        </w:tc>
        <w:tc>
          <w:tcPr>
            <w:tcW w:w="1241" w:type="dxa"/>
            <w:shd w:val="clear" w:color="FFFFFF" w:fill="FFFFFF"/>
            <w:vAlign w:val="center"/>
          </w:tcPr>
          <w:p w14:paraId="2820C4C6">
            <w:pPr>
              <w:widowControl/>
              <w:jc w:val="righ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14:paraId="2EAA4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trPr>
        <w:tc>
          <w:tcPr>
            <w:tcW w:w="1083" w:type="dxa"/>
            <w:shd w:val="clear" w:color="FFFFFF" w:fill="FFFFFF"/>
            <w:vAlign w:val="center"/>
          </w:tcPr>
          <w:p w14:paraId="0DF2CAB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7</w:t>
            </w:r>
          </w:p>
        </w:tc>
        <w:tc>
          <w:tcPr>
            <w:tcW w:w="2691" w:type="dxa"/>
            <w:shd w:val="clear" w:color="FFFFFF" w:fill="FFFFFF"/>
            <w:vAlign w:val="center"/>
          </w:tcPr>
          <w:p w14:paraId="66257C92">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配电箱</w:t>
            </w:r>
          </w:p>
        </w:tc>
        <w:tc>
          <w:tcPr>
            <w:tcW w:w="2712" w:type="dxa"/>
            <w:shd w:val="clear" w:color="FFFFFF" w:fill="FFFFFF"/>
            <w:vAlign w:val="center"/>
          </w:tcPr>
          <w:p w14:paraId="7DC483AC">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1.名称:交流配电箱（IP65）</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2.型号:6#-AP1</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3.安装方式:底边距地1米明装</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4.其他:含箱体接地，箱内元器件详见设计</w:t>
            </w:r>
          </w:p>
        </w:tc>
        <w:tc>
          <w:tcPr>
            <w:tcW w:w="613" w:type="dxa"/>
            <w:shd w:val="clear" w:color="FFFFFF" w:fill="FFFFFF"/>
            <w:vAlign w:val="center"/>
          </w:tcPr>
          <w:p w14:paraId="7146644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台</w:t>
            </w:r>
          </w:p>
        </w:tc>
        <w:tc>
          <w:tcPr>
            <w:tcW w:w="1241" w:type="dxa"/>
            <w:shd w:val="clear" w:color="FFFFFF" w:fill="FFFFFF"/>
            <w:vAlign w:val="center"/>
          </w:tcPr>
          <w:p w14:paraId="5CD26915">
            <w:pPr>
              <w:widowControl/>
              <w:jc w:val="righ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14:paraId="4EEEA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trPr>
        <w:tc>
          <w:tcPr>
            <w:tcW w:w="1083" w:type="dxa"/>
            <w:shd w:val="clear" w:color="FFFFFF" w:fill="FFFFFF"/>
            <w:vAlign w:val="center"/>
          </w:tcPr>
          <w:p w14:paraId="53AE599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8</w:t>
            </w:r>
          </w:p>
        </w:tc>
        <w:tc>
          <w:tcPr>
            <w:tcW w:w="2691" w:type="dxa"/>
            <w:shd w:val="clear" w:color="FFFFFF" w:fill="FFFFFF"/>
            <w:vAlign w:val="center"/>
          </w:tcPr>
          <w:p w14:paraId="0C7A0FF7">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电力电缆</w:t>
            </w:r>
          </w:p>
        </w:tc>
        <w:tc>
          <w:tcPr>
            <w:tcW w:w="2712" w:type="dxa"/>
            <w:shd w:val="clear" w:color="FFFFFF" w:fill="FFFFFF"/>
            <w:vAlign w:val="center"/>
          </w:tcPr>
          <w:p w14:paraId="7EA6CF49">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1.名称:铜芯电力电缆</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2.型号、规格:WDZ-YJY-5*16</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3.敷设方式或部位:桥架或穿管内敷设</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4.电压等级（kv）:1kv以下</w:t>
            </w:r>
          </w:p>
        </w:tc>
        <w:tc>
          <w:tcPr>
            <w:tcW w:w="613" w:type="dxa"/>
            <w:shd w:val="clear" w:color="FFFFFF" w:fill="FFFFFF"/>
            <w:vAlign w:val="center"/>
          </w:tcPr>
          <w:p w14:paraId="1312750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m</w:t>
            </w:r>
          </w:p>
        </w:tc>
        <w:tc>
          <w:tcPr>
            <w:tcW w:w="1241" w:type="dxa"/>
            <w:shd w:val="clear" w:color="FFFFFF" w:fill="FFFFFF"/>
            <w:vAlign w:val="center"/>
          </w:tcPr>
          <w:p w14:paraId="0273D705">
            <w:pPr>
              <w:widowControl/>
              <w:jc w:val="righ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5</w:t>
            </w:r>
          </w:p>
        </w:tc>
      </w:tr>
      <w:tr w14:paraId="4929E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trPr>
        <w:tc>
          <w:tcPr>
            <w:tcW w:w="1083" w:type="dxa"/>
            <w:shd w:val="clear" w:color="FFFFFF" w:fill="FFFFFF"/>
            <w:vAlign w:val="center"/>
          </w:tcPr>
          <w:p w14:paraId="1E08549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9</w:t>
            </w:r>
          </w:p>
        </w:tc>
        <w:tc>
          <w:tcPr>
            <w:tcW w:w="2691" w:type="dxa"/>
            <w:shd w:val="clear" w:color="FFFFFF" w:fill="FFFFFF"/>
            <w:vAlign w:val="center"/>
          </w:tcPr>
          <w:p w14:paraId="1C86C488">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电力电缆</w:t>
            </w:r>
          </w:p>
        </w:tc>
        <w:tc>
          <w:tcPr>
            <w:tcW w:w="2712" w:type="dxa"/>
            <w:shd w:val="clear" w:color="FFFFFF" w:fill="FFFFFF"/>
            <w:vAlign w:val="center"/>
          </w:tcPr>
          <w:p w14:paraId="44498257">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1.名称:铜芯电力电缆</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2.型号、规格:WDZ-YJY-4*35+1*16</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3.敷设方式或部位:桥架或穿管内敷设</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4.电压等级（kv）:1kv以下</w:t>
            </w:r>
          </w:p>
        </w:tc>
        <w:tc>
          <w:tcPr>
            <w:tcW w:w="613" w:type="dxa"/>
            <w:shd w:val="clear" w:color="FFFFFF" w:fill="FFFFFF"/>
            <w:vAlign w:val="center"/>
          </w:tcPr>
          <w:p w14:paraId="40B0A45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m</w:t>
            </w:r>
          </w:p>
        </w:tc>
        <w:tc>
          <w:tcPr>
            <w:tcW w:w="1241" w:type="dxa"/>
            <w:shd w:val="clear" w:color="FFFFFF" w:fill="FFFFFF"/>
            <w:vAlign w:val="center"/>
          </w:tcPr>
          <w:p w14:paraId="54FCF930">
            <w:pPr>
              <w:widowControl/>
              <w:jc w:val="righ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65.25</w:t>
            </w:r>
          </w:p>
        </w:tc>
      </w:tr>
      <w:tr w14:paraId="5254A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trPr>
        <w:tc>
          <w:tcPr>
            <w:tcW w:w="1083" w:type="dxa"/>
            <w:shd w:val="clear" w:color="FFFFFF" w:fill="FFFFFF"/>
            <w:vAlign w:val="center"/>
          </w:tcPr>
          <w:p w14:paraId="6F73AF2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10</w:t>
            </w:r>
          </w:p>
        </w:tc>
        <w:tc>
          <w:tcPr>
            <w:tcW w:w="2691" w:type="dxa"/>
            <w:shd w:val="clear" w:color="FFFFFF" w:fill="FFFFFF"/>
            <w:vAlign w:val="center"/>
          </w:tcPr>
          <w:p w14:paraId="3C3E947E">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电力电缆头</w:t>
            </w:r>
          </w:p>
        </w:tc>
        <w:tc>
          <w:tcPr>
            <w:tcW w:w="2712" w:type="dxa"/>
            <w:shd w:val="clear" w:color="FFFFFF" w:fill="FFFFFF"/>
            <w:vAlign w:val="center"/>
          </w:tcPr>
          <w:p w14:paraId="5B9010C2">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1.名称:电缆终端头制安</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2.型号、规格:三芯及以上，截面25mm2及以下</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3.材质、类型:户内干包式</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4.电压等级（kV）:1kV以下</w:t>
            </w:r>
          </w:p>
        </w:tc>
        <w:tc>
          <w:tcPr>
            <w:tcW w:w="613" w:type="dxa"/>
            <w:shd w:val="clear" w:color="FFFFFF" w:fill="FFFFFF"/>
            <w:vAlign w:val="center"/>
          </w:tcPr>
          <w:p w14:paraId="3C5D032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个</w:t>
            </w:r>
          </w:p>
        </w:tc>
        <w:tc>
          <w:tcPr>
            <w:tcW w:w="1241" w:type="dxa"/>
            <w:shd w:val="clear" w:color="FFFFFF" w:fill="FFFFFF"/>
            <w:vAlign w:val="center"/>
          </w:tcPr>
          <w:p w14:paraId="7C336002">
            <w:pPr>
              <w:widowControl/>
              <w:jc w:val="righ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w:t>
            </w:r>
          </w:p>
        </w:tc>
      </w:tr>
      <w:tr w14:paraId="5BF41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trPr>
        <w:tc>
          <w:tcPr>
            <w:tcW w:w="1083" w:type="dxa"/>
            <w:shd w:val="clear" w:color="FFFFFF" w:fill="FFFFFF"/>
            <w:vAlign w:val="center"/>
          </w:tcPr>
          <w:p w14:paraId="7A3B562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11</w:t>
            </w:r>
          </w:p>
        </w:tc>
        <w:tc>
          <w:tcPr>
            <w:tcW w:w="2691" w:type="dxa"/>
            <w:shd w:val="clear" w:color="FFFFFF" w:fill="FFFFFF"/>
            <w:vAlign w:val="center"/>
          </w:tcPr>
          <w:p w14:paraId="35A60034">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电力电缆头</w:t>
            </w:r>
          </w:p>
        </w:tc>
        <w:tc>
          <w:tcPr>
            <w:tcW w:w="2712" w:type="dxa"/>
            <w:shd w:val="clear" w:color="FFFFFF" w:fill="FFFFFF"/>
            <w:vAlign w:val="center"/>
          </w:tcPr>
          <w:p w14:paraId="6FEA7879">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1.名称:电缆终端头制安</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2.型号、规格:三芯及以上，截面35mm2及以下</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3.材质、类型:户内干包式</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4.电压等级（kV）:1kV以下</w:t>
            </w:r>
          </w:p>
        </w:tc>
        <w:tc>
          <w:tcPr>
            <w:tcW w:w="613" w:type="dxa"/>
            <w:shd w:val="clear" w:color="FFFFFF" w:fill="FFFFFF"/>
            <w:vAlign w:val="center"/>
          </w:tcPr>
          <w:p w14:paraId="5C87847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个</w:t>
            </w:r>
          </w:p>
        </w:tc>
        <w:tc>
          <w:tcPr>
            <w:tcW w:w="1241" w:type="dxa"/>
            <w:shd w:val="clear" w:color="FFFFFF" w:fill="FFFFFF"/>
            <w:vAlign w:val="center"/>
          </w:tcPr>
          <w:p w14:paraId="665A1BEF">
            <w:pPr>
              <w:widowControl/>
              <w:jc w:val="righ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w:t>
            </w:r>
          </w:p>
        </w:tc>
      </w:tr>
      <w:tr w14:paraId="7CADB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083" w:type="dxa"/>
            <w:shd w:val="clear" w:color="FFFFFF" w:fill="FFFFFF"/>
            <w:vAlign w:val="center"/>
          </w:tcPr>
          <w:p w14:paraId="0253380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12</w:t>
            </w:r>
          </w:p>
        </w:tc>
        <w:tc>
          <w:tcPr>
            <w:tcW w:w="2691" w:type="dxa"/>
            <w:shd w:val="clear" w:color="FFFFFF" w:fill="FFFFFF"/>
            <w:vAlign w:val="center"/>
          </w:tcPr>
          <w:p w14:paraId="62A49378">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配线</w:t>
            </w:r>
          </w:p>
        </w:tc>
        <w:tc>
          <w:tcPr>
            <w:tcW w:w="2712" w:type="dxa"/>
            <w:shd w:val="clear" w:color="FFFFFF" w:fill="FFFFFF"/>
            <w:vAlign w:val="center"/>
          </w:tcPr>
          <w:p w14:paraId="5CD438D5">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1.名称:管内穿线</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2.型号、规格:WDZB-RYJSP-2*1.5</w:t>
            </w:r>
          </w:p>
        </w:tc>
        <w:tc>
          <w:tcPr>
            <w:tcW w:w="613" w:type="dxa"/>
            <w:shd w:val="clear" w:color="FFFFFF" w:fill="FFFFFF"/>
            <w:vAlign w:val="center"/>
          </w:tcPr>
          <w:p w14:paraId="2510A5D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m</w:t>
            </w:r>
          </w:p>
        </w:tc>
        <w:tc>
          <w:tcPr>
            <w:tcW w:w="1241" w:type="dxa"/>
            <w:shd w:val="clear" w:color="FFFFFF" w:fill="FFFFFF"/>
            <w:vAlign w:val="center"/>
          </w:tcPr>
          <w:p w14:paraId="47B227DB">
            <w:pPr>
              <w:widowControl/>
              <w:jc w:val="righ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65.25</w:t>
            </w:r>
          </w:p>
        </w:tc>
      </w:tr>
    </w:tbl>
    <w:p w14:paraId="724B6272">
      <w:pPr>
        <w:pStyle w:val="28"/>
        <w:ind w:firstLine="588"/>
        <w:rPr>
          <w:color w:val="auto"/>
          <w:highlight w:val="none"/>
        </w:rPr>
      </w:pPr>
    </w:p>
    <w:tbl>
      <w:tblPr>
        <w:tblStyle w:val="21"/>
        <w:tblW w:w="834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3"/>
        <w:gridCol w:w="2691"/>
        <w:gridCol w:w="2712"/>
        <w:gridCol w:w="613"/>
        <w:gridCol w:w="1241"/>
      </w:tblGrid>
      <w:tr w14:paraId="4CEA7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340" w:type="dxa"/>
            <w:gridSpan w:val="5"/>
            <w:shd w:val="clear" w:color="FFFFFF" w:fill="FFFFFF"/>
            <w:vAlign w:val="bottom"/>
          </w:tcPr>
          <w:p w14:paraId="377B7D16">
            <w:pPr>
              <w:rPr>
                <w:rFonts w:ascii="宋体" w:hAnsi="宋体" w:cs="宋体"/>
                <w:color w:val="auto"/>
                <w:sz w:val="20"/>
                <w:szCs w:val="20"/>
                <w:highlight w:val="none"/>
              </w:rPr>
            </w:pPr>
            <w:r>
              <w:rPr>
                <w:rFonts w:hint="eastAsia" w:ascii="宋体" w:hAnsi="宋体" w:cs="宋体"/>
                <w:color w:val="auto"/>
                <w:kern w:val="0"/>
                <w:sz w:val="20"/>
                <w:szCs w:val="20"/>
                <w:highlight w:val="none"/>
              </w:rPr>
              <w:t>单位（专业）工程名称：光伏专项-7#楼光伏系统</w:t>
            </w:r>
          </w:p>
        </w:tc>
      </w:tr>
      <w:tr w14:paraId="2958D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083" w:type="dxa"/>
            <w:vMerge w:val="restart"/>
            <w:shd w:val="clear" w:color="FFFFFF" w:fill="FFFFFF"/>
            <w:vAlign w:val="center"/>
          </w:tcPr>
          <w:p w14:paraId="1ED537E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序号</w:t>
            </w:r>
          </w:p>
        </w:tc>
        <w:tc>
          <w:tcPr>
            <w:tcW w:w="2691" w:type="dxa"/>
            <w:vMerge w:val="restart"/>
            <w:shd w:val="clear" w:color="FFFFFF" w:fill="FFFFFF"/>
            <w:vAlign w:val="center"/>
          </w:tcPr>
          <w:p w14:paraId="4CEE4DB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项目名称</w:t>
            </w:r>
          </w:p>
        </w:tc>
        <w:tc>
          <w:tcPr>
            <w:tcW w:w="2712" w:type="dxa"/>
            <w:vMerge w:val="restart"/>
            <w:shd w:val="clear" w:color="FFFFFF" w:fill="FFFFFF"/>
            <w:vAlign w:val="center"/>
          </w:tcPr>
          <w:p w14:paraId="01BDA46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项目特征</w:t>
            </w:r>
          </w:p>
        </w:tc>
        <w:tc>
          <w:tcPr>
            <w:tcW w:w="613" w:type="dxa"/>
            <w:vMerge w:val="restart"/>
            <w:shd w:val="clear" w:color="FFFFFF" w:fill="FFFFFF"/>
            <w:vAlign w:val="center"/>
          </w:tcPr>
          <w:p w14:paraId="6DED665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计量单位</w:t>
            </w:r>
          </w:p>
        </w:tc>
        <w:tc>
          <w:tcPr>
            <w:tcW w:w="1241" w:type="dxa"/>
            <w:vMerge w:val="restart"/>
            <w:shd w:val="clear" w:color="FFFFFF" w:fill="FFFFFF"/>
            <w:vAlign w:val="center"/>
          </w:tcPr>
          <w:p w14:paraId="6A7D8F1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工程量</w:t>
            </w:r>
          </w:p>
        </w:tc>
      </w:tr>
      <w:tr w14:paraId="48585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083" w:type="dxa"/>
            <w:vMerge w:val="continue"/>
            <w:shd w:val="clear" w:color="FFFFFF" w:fill="FFFFFF"/>
            <w:vAlign w:val="center"/>
          </w:tcPr>
          <w:p w14:paraId="1C1600BB">
            <w:pPr>
              <w:jc w:val="center"/>
              <w:rPr>
                <w:rFonts w:ascii="宋体" w:hAnsi="宋体" w:cs="宋体"/>
                <w:color w:val="auto"/>
                <w:sz w:val="20"/>
                <w:szCs w:val="20"/>
                <w:highlight w:val="none"/>
              </w:rPr>
            </w:pPr>
          </w:p>
        </w:tc>
        <w:tc>
          <w:tcPr>
            <w:tcW w:w="2691" w:type="dxa"/>
            <w:vMerge w:val="continue"/>
            <w:shd w:val="clear" w:color="FFFFFF" w:fill="FFFFFF"/>
            <w:vAlign w:val="center"/>
          </w:tcPr>
          <w:p w14:paraId="2EBFF34A">
            <w:pPr>
              <w:jc w:val="center"/>
              <w:rPr>
                <w:rFonts w:ascii="宋体" w:hAnsi="宋体" w:cs="宋体"/>
                <w:color w:val="auto"/>
                <w:sz w:val="20"/>
                <w:szCs w:val="20"/>
                <w:highlight w:val="none"/>
              </w:rPr>
            </w:pPr>
          </w:p>
        </w:tc>
        <w:tc>
          <w:tcPr>
            <w:tcW w:w="2712" w:type="dxa"/>
            <w:vMerge w:val="continue"/>
            <w:shd w:val="clear" w:color="FFFFFF" w:fill="FFFFFF"/>
            <w:vAlign w:val="center"/>
          </w:tcPr>
          <w:p w14:paraId="51245C9A">
            <w:pPr>
              <w:jc w:val="center"/>
              <w:rPr>
                <w:rFonts w:ascii="宋体" w:hAnsi="宋体" w:cs="宋体"/>
                <w:color w:val="auto"/>
                <w:sz w:val="20"/>
                <w:szCs w:val="20"/>
                <w:highlight w:val="none"/>
              </w:rPr>
            </w:pPr>
          </w:p>
        </w:tc>
        <w:tc>
          <w:tcPr>
            <w:tcW w:w="613" w:type="dxa"/>
            <w:vMerge w:val="continue"/>
            <w:shd w:val="clear" w:color="FFFFFF" w:fill="FFFFFF"/>
            <w:vAlign w:val="center"/>
          </w:tcPr>
          <w:p w14:paraId="117B165D">
            <w:pPr>
              <w:jc w:val="center"/>
              <w:rPr>
                <w:rFonts w:ascii="宋体" w:hAnsi="宋体" w:cs="宋体"/>
                <w:color w:val="auto"/>
                <w:sz w:val="20"/>
                <w:szCs w:val="20"/>
                <w:highlight w:val="none"/>
              </w:rPr>
            </w:pPr>
          </w:p>
        </w:tc>
        <w:tc>
          <w:tcPr>
            <w:tcW w:w="1241" w:type="dxa"/>
            <w:vMerge w:val="continue"/>
            <w:shd w:val="clear" w:color="FFFFFF" w:fill="FFFFFF"/>
            <w:vAlign w:val="center"/>
          </w:tcPr>
          <w:p w14:paraId="5ECC0C90">
            <w:pPr>
              <w:jc w:val="center"/>
              <w:rPr>
                <w:rFonts w:ascii="宋体" w:hAnsi="宋体" w:cs="宋体"/>
                <w:color w:val="auto"/>
                <w:sz w:val="20"/>
                <w:szCs w:val="20"/>
                <w:highlight w:val="none"/>
              </w:rPr>
            </w:pPr>
          </w:p>
        </w:tc>
      </w:tr>
      <w:tr w14:paraId="60302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083" w:type="dxa"/>
            <w:vMerge w:val="continue"/>
            <w:shd w:val="clear" w:color="FFFFFF" w:fill="FFFFFF"/>
            <w:vAlign w:val="center"/>
          </w:tcPr>
          <w:p w14:paraId="10197799">
            <w:pPr>
              <w:jc w:val="center"/>
              <w:rPr>
                <w:rFonts w:ascii="宋体" w:hAnsi="宋体" w:cs="宋体"/>
                <w:color w:val="auto"/>
                <w:sz w:val="20"/>
                <w:szCs w:val="20"/>
                <w:highlight w:val="none"/>
              </w:rPr>
            </w:pPr>
          </w:p>
        </w:tc>
        <w:tc>
          <w:tcPr>
            <w:tcW w:w="2691" w:type="dxa"/>
            <w:vMerge w:val="continue"/>
            <w:shd w:val="clear" w:color="FFFFFF" w:fill="FFFFFF"/>
            <w:vAlign w:val="center"/>
          </w:tcPr>
          <w:p w14:paraId="009367EB">
            <w:pPr>
              <w:jc w:val="center"/>
              <w:rPr>
                <w:rFonts w:ascii="宋体" w:hAnsi="宋体" w:cs="宋体"/>
                <w:color w:val="auto"/>
                <w:sz w:val="20"/>
                <w:szCs w:val="20"/>
                <w:highlight w:val="none"/>
              </w:rPr>
            </w:pPr>
          </w:p>
        </w:tc>
        <w:tc>
          <w:tcPr>
            <w:tcW w:w="2712" w:type="dxa"/>
            <w:vMerge w:val="continue"/>
            <w:shd w:val="clear" w:color="FFFFFF" w:fill="FFFFFF"/>
            <w:vAlign w:val="center"/>
          </w:tcPr>
          <w:p w14:paraId="76362AEE">
            <w:pPr>
              <w:jc w:val="center"/>
              <w:rPr>
                <w:rFonts w:ascii="宋体" w:hAnsi="宋体" w:cs="宋体"/>
                <w:color w:val="auto"/>
                <w:sz w:val="20"/>
                <w:szCs w:val="20"/>
                <w:highlight w:val="none"/>
              </w:rPr>
            </w:pPr>
          </w:p>
        </w:tc>
        <w:tc>
          <w:tcPr>
            <w:tcW w:w="613" w:type="dxa"/>
            <w:vMerge w:val="continue"/>
            <w:shd w:val="clear" w:color="FFFFFF" w:fill="FFFFFF"/>
            <w:vAlign w:val="center"/>
          </w:tcPr>
          <w:p w14:paraId="47E0B2B9">
            <w:pPr>
              <w:jc w:val="center"/>
              <w:rPr>
                <w:rFonts w:ascii="宋体" w:hAnsi="宋体" w:cs="宋体"/>
                <w:color w:val="auto"/>
                <w:sz w:val="20"/>
                <w:szCs w:val="20"/>
                <w:highlight w:val="none"/>
              </w:rPr>
            </w:pPr>
          </w:p>
        </w:tc>
        <w:tc>
          <w:tcPr>
            <w:tcW w:w="1241" w:type="dxa"/>
            <w:vMerge w:val="continue"/>
            <w:shd w:val="clear" w:color="FFFFFF" w:fill="FFFFFF"/>
            <w:vAlign w:val="center"/>
          </w:tcPr>
          <w:p w14:paraId="2467B476">
            <w:pPr>
              <w:jc w:val="center"/>
              <w:rPr>
                <w:rFonts w:ascii="宋体" w:hAnsi="宋体" w:cs="宋体"/>
                <w:color w:val="auto"/>
                <w:sz w:val="20"/>
                <w:szCs w:val="20"/>
                <w:highlight w:val="none"/>
              </w:rPr>
            </w:pPr>
          </w:p>
        </w:tc>
      </w:tr>
      <w:tr w14:paraId="44C61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83" w:type="dxa"/>
            <w:shd w:val="clear" w:color="FFFFFF" w:fill="FFFFFF"/>
            <w:vAlign w:val="center"/>
          </w:tcPr>
          <w:p w14:paraId="289D37DC">
            <w:pPr>
              <w:jc w:val="right"/>
              <w:rPr>
                <w:rFonts w:ascii="宋体" w:hAnsi="宋体" w:cs="宋体"/>
                <w:color w:val="auto"/>
                <w:sz w:val="20"/>
                <w:szCs w:val="20"/>
                <w:highlight w:val="none"/>
              </w:rPr>
            </w:pPr>
          </w:p>
        </w:tc>
        <w:tc>
          <w:tcPr>
            <w:tcW w:w="2691" w:type="dxa"/>
            <w:shd w:val="clear" w:color="FFFFFF" w:fill="FFFFFF"/>
            <w:vAlign w:val="center"/>
          </w:tcPr>
          <w:p w14:paraId="3906D7D8">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7#楼光伏</w:t>
            </w:r>
          </w:p>
        </w:tc>
        <w:tc>
          <w:tcPr>
            <w:tcW w:w="2712" w:type="dxa"/>
            <w:shd w:val="clear" w:color="FFFFFF" w:fill="FFFFFF"/>
            <w:vAlign w:val="center"/>
          </w:tcPr>
          <w:p w14:paraId="03D41007">
            <w:pPr>
              <w:jc w:val="left"/>
              <w:rPr>
                <w:rFonts w:ascii="宋体" w:hAnsi="宋体" w:cs="宋体"/>
                <w:color w:val="auto"/>
                <w:sz w:val="20"/>
                <w:szCs w:val="20"/>
                <w:highlight w:val="none"/>
              </w:rPr>
            </w:pPr>
          </w:p>
        </w:tc>
        <w:tc>
          <w:tcPr>
            <w:tcW w:w="613" w:type="dxa"/>
            <w:shd w:val="clear" w:color="FFFFFF" w:fill="FFFFFF"/>
            <w:vAlign w:val="center"/>
          </w:tcPr>
          <w:p w14:paraId="38085320">
            <w:pPr>
              <w:jc w:val="left"/>
              <w:rPr>
                <w:rFonts w:ascii="宋体" w:hAnsi="宋体" w:cs="宋体"/>
                <w:color w:val="auto"/>
                <w:sz w:val="20"/>
                <w:szCs w:val="20"/>
                <w:highlight w:val="none"/>
              </w:rPr>
            </w:pPr>
          </w:p>
        </w:tc>
        <w:tc>
          <w:tcPr>
            <w:tcW w:w="1241" w:type="dxa"/>
            <w:shd w:val="clear" w:color="FFFFFF" w:fill="FFFFFF"/>
            <w:vAlign w:val="center"/>
          </w:tcPr>
          <w:p w14:paraId="6D809EBB">
            <w:pPr>
              <w:jc w:val="left"/>
              <w:rPr>
                <w:rFonts w:ascii="宋体" w:hAnsi="宋体" w:cs="宋体"/>
                <w:color w:val="auto"/>
                <w:sz w:val="20"/>
                <w:szCs w:val="20"/>
                <w:highlight w:val="none"/>
              </w:rPr>
            </w:pPr>
          </w:p>
        </w:tc>
      </w:tr>
      <w:tr w14:paraId="4491D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1083" w:type="dxa"/>
            <w:shd w:val="clear" w:color="FFFFFF" w:fill="FFFFFF"/>
            <w:vAlign w:val="center"/>
          </w:tcPr>
          <w:p w14:paraId="71A2372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2691" w:type="dxa"/>
            <w:shd w:val="clear" w:color="FFFFFF" w:fill="FFFFFF"/>
            <w:vAlign w:val="center"/>
          </w:tcPr>
          <w:p w14:paraId="0CAE0A06">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太阳能电池</w:t>
            </w:r>
          </w:p>
        </w:tc>
        <w:tc>
          <w:tcPr>
            <w:tcW w:w="2712" w:type="dxa"/>
            <w:shd w:val="clear" w:color="FFFFFF" w:fill="FFFFFF"/>
            <w:vAlign w:val="center"/>
          </w:tcPr>
          <w:p w14:paraId="72990F7F">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1.名称:单晶硅电池组件</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2.规格:2279*1134*35mm</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3.最大功率:540Wp</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4.安装方式:太阳能电池板钢架安装 屋面安装</w:t>
            </w:r>
          </w:p>
        </w:tc>
        <w:tc>
          <w:tcPr>
            <w:tcW w:w="613" w:type="dxa"/>
            <w:shd w:val="clear" w:color="FFFFFF" w:fill="FFFFFF"/>
            <w:vAlign w:val="center"/>
          </w:tcPr>
          <w:p w14:paraId="3085456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组</w:t>
            </w:r>
          </w:p>
        </w:tc>
        <w:tc>
          <w:tcPr>
            <w:tcW w:w="1241" w:type="dxa"/>
            <w:shd w:val="clear" w:color="FFFFFF" w:fill="FFFFFF"/>
            <w:vAlign w:val="center"/>
          </w:tcPr>
          <w:p w14:paraId="52E98E8B">
            <w:pPr>
              <w:widowControl/>
              <w:jc w:val="righ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16</w:t>
            </w:r>
          </w:p>
        </w:tc>
      </w:tr>
      <w:tr w14:paraId="61DE5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083" w:type="dxa"/>
            <w:shd w:val="clear" w:color="FFFFFF" w:fill="FFFFFF"/>
            <w:vAlign w:val="center"/>
          </w:tcPr>
          <w:p w14:paraId="72FED34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2691" w:type="dxa"/>
            <w:shd w:val="clear" w:color="FFFFFF" w:fill="FFFFFF"/>
            <w:vAlign w:val="center"/>
          </w:tcPr>
          <w:p w14:paraId="5F2316C8">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桥架</w:t>
            </w:r>
          </w:p>
        </w:tc>
        <w:tc>
          <w:tcPr>
            <w:tcW w:w="2712" w:type="dxa"/>
            <w:shd w:val="clear" w:color="FFFFFF" w:fill="FFFFFF"/>
            <w:vAlign w:val="center"/>
          </w:tcPr>
          <w:p w14:paraId="54490A9E">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1.名称:直流金属线槽（防雨型）</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2.规格:100*50</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3.接地:跨接接地</w:t>
            </w:r>
          </w:p>
        </w:tc>
        <w:tc>
          <w:tcPr>
            <w:tcW w:w="613" w:type="dxa"/>
            <w:shd w:val="clear" w:color="FFFFFF" w:fill="FFFFFF"/>
            <w:vAlign w:val="center"/>
          </w:tcPr>
          <w:p w14:paraId="3737C05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m</w:t>
            </w:r>
          </w:p>
        </w:tc>
        <w:tc>
          <w:tcPr>
            <w:tcW w:w="1241" w:type="dxa"/>
            <w:shd w:val="clear" w:color="FFFFFF" w:fill="FFFFFF"/>
            <w:vAlign w:val="center"/>
          </w:tcPr>
          <w:p w14:paraId="1C949409">
            <w:pPr>
              <w:widowControl/>
              <w:jc w:val="righ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7.4</w:t>
            </w:r>
          </w:p>
        </w:tc>
      </w:tr>
      <w:tr w14:paraId="1A53A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83" w:type="dxa"/>
            <w:shd w:val="clear" w:color="FFFFFF" w:fill="FFFFFF"/>
            <w:vAlign w:val="center"/>
          </w:tcPr>
          <w:p w14:paraId="5D98B78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3</w:t>
            </w:r>
          </w:p>
        </w:tc>
        <w:tc>
          <w:tcPr>
            <w:tcW w:w="2691" w:type="dxa"/>
            <w:shd w:val="clear" w:color="FFFFFF" w:fill="FFFFFF"/>
            <w:vAlign w:val="center"/>
          </w:tcPr>
          <w:p w14:paraId="460BB617">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铁构件</w:t>
            </w:r>
          </w:p>
        </w:tc>
        <w:tc>
          <w:tcPr>
            <w:tcW w:w="2712" w:type="dxa"/>
            <w:shd w:val="clear" w:color="FFFFFF" w:fill="FFFFFF"/>
            <w:vAlign w:val="center"/>
          </w:tcPr>
          <w:p w14:paraId="392010C4">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1.名称:一般铁构件制作、安装</w:t>
            </w:r>
          </w:p>
        </w:tc>
        <w:tc>
          <w:tcPr>
            <w:tcW w:w="613" w:type="dxa"/>
            <w:shd w:val="clear" w:color="FFFFFF" w:fill="FFFFFF"/>
            <w:vAlign w:val="center"/>
          </w:tcPr>
          <w:p w14:paraId="4D3817E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kg</w:t>
            </w:r>
          </w:p>
        </w:tc>
        <w:tc>
          <w:tcPr>
            <w:tcW w:w="1241" w:type="dxa"/>
            <w:shd w:val="clear" w:color="FFFFFF" w:fill="FFFFFF"/>
            <w:vAlign w:val="center"/>
          </w:tcPr>
          <w:p w14:paraId="14A9ACC5">
            <w:pPr>
              <w:widowControl/>
              <w:jc w:val="righ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2.83</w:t>
            </w:r>
          </w:p>
        </w:tc>
      </w:tr>
      <w:tr w14:paraId="50446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1083" w:type="dxa"/>
            <w:shd w:val="clear" w:color="FFFFFF" w:fill="FFFFFF"/>
            <w:vAlign w:val="center"/>
          </w:tcPr>
          <w:p w14:paraId="38F7CD5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w:t>
            </w:r>
          </w:p>
        </w:tc>
        <w:tc>
          <w:tcPr>
            <w:tcW w:w="2691" w:type="dxa"/>
            <w:shd w:val="clear" w:color="FFFFFF" w:fill="FFFFFF"/>
            <w:vAlign w:val="center"/>
          </w:tcPr>
          <w:p w14:paraId="3673AB98">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金属结构刷油</w:t>
            </w:r>
          </w:p>
        </w:tc>
        <w:tc>
          <w:tcPr>
            <w:tcW w:w="2712" w:type="dxa"/>
            <w:shd w:val="clear" w:color="FFFFFF" w:fill="FFFFFF"/>
            <w:vAlign w:val="center"/>
          </w:tcPr>
          <w:p w14:paraId="47AA4448">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1.除锈:一般铁构件除轻锈</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2.调配、涂刷:一般铁构件刷防锈漆两遍，刷调和漆两遍</w:t>
            </w:r>
          </w:p>
        </w:tc>
        <w:tc>
          <w:tcPr>
            <w:tcW w:w="613" w:type="dxa"/>
            <w:shd w:val="clear" w:color="FFFFFF" w:fill="FFFFFF"/>
            <w:vAlign w:val="center"/>
          </w:tcPr>
          <w:p w14:paraId="1653B59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kg</w:t>
            </w:r>
          </w:p>
        </w:tc>
        <w:tc>
          <w:tcPr>
            <w:tcW w:w="1241" w:type="dxa"/>
            <w:shd w:val="clear" w:color="FFFFFF" w:fill="FFFFFF"/>
            <w:vAlign w:val="center"/>
          </w:tcPr>
          <w:p w14:paraId="6F8C7EA8">
            <w:pPr>
              <w:widowControl/>
              <w:jc w:val="righ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2.83</w:t>
            </w:r>
          </w:p>
        </w:tc>
      </w:tr>
      <w:tr w14:paraId="6EB86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83" w:type="dxa"/>
            <w:shd w:val="clear" w:color="FFFFFF" w:fill="FFFFFF"/>
            <w:vAlign w:val="center"/>
          </w:tcPr>
          <w:p w14:paraId="316A32A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5</w:t>
            </w:r>
          </w:p>
        </w:tc>
        <w:tc>
          <w:tcPr>
            <w:tcW w:w="2691" w:type="dxa"/>
            <w:shd w:val="clear" w:color="FFFFFF" w:fill="FFFFFF"/>
            <w:vAlign w:val="center"/>
          </w:tcPr>
          <w:p w14:paraId="55F536D3">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电力电缆</w:t>
            </w:r>
          </w:p>
        </w:tc>
        <w:tc>
          <w:tcPr>
            <w:tcW w:w="2712" w:type="dxa"/>
            <w:shd w:val="clear" w:color="FFFFFF" w:fill="FFFFFF"/>
            <w:vAlign w:val="center"/>
          </w:tcPr>
          <w:p w14:paraId="790FD4CC">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1.名称:直流电缆</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2.规格:PV1-F/1*4</w:t>
            </w:r>
          </w:p>
        </w:tc>
        <w:tc>
          <w:tcPr>
            <w:tcW w:w="613" w:type="dxa"/>
            <w:shd w:val="clear" w:color="FFFFFF" w:fill="FFFFFF"/>
            <w:vAlign w:val="center"/>
          </w:tcPr>
          <w:p w14:paraId="436FF56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m</w:t>
            </w:r>
          </w:p>
        </w:tc>
        <w:tc>
          <w:tcPr>
            <w:tcW w:w="1241" w:type="dxa"/>
            <w:shd w:val="clear" w:color="FFFFFF" w:fill="FFFFFF"/>
            <w:vAlign w:val="center"/>
          </w:tcPr>
          <w:p w14:paraId="03FA4139">
            <w:pPr>
              <w:widowControl/>
              <w:jc w:val="righ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20.15</w:t>
            </w:r>
          </w:p>
        </w:tc>
      </w:tr>
      <w:tr w14:paraId="0431B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083" w:type="dxa"/>
            <w:shd w:val="clear" w:color="FFFFFF" w:fill="FFFFFF"/>
            <w:vAlign w:val="center"/>
          </w:tcPr>
          <w:p w14:paraId="1A380F7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6</w:t>
            </w:r>
          </w:p>
        </w:tc>
        <w:tc>
          <w:tcPr>
            <w:tcW w:w="2691" w:type="dxa"/>
            <w:shd w:val="clear" w:color="FFFFFF" w:fill="FFFFFF"/>
            <w:vAlign w:val="center"/>
          </w:tcPr>
          <w:p w14:paraId="67E25BA7">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太阳能电池</w:t>
            </w:r>
          </w:p>
        </w:tc>
        <w:tc>
          <w:tcPr>
            <w:tcW w:w="2712" w:type="dxa"/>
            <w:shd w:val="clear" w:color="FFFFFF" w:fill="FFFFFF"/>
            <w:vAlign w:val="center"/>
          </w:tcPr>
          <w:p w14:paraId="4EF64327">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1.名称:光伏逆变器</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2.规格:Pe=8.64kW</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3.安装方式:底边距地1米明装</w:t>
            </w:r>
          </w:p>
        </w:tc>
        <w:tc>
          <w:tcPr>
            <w:tcW w:w="613" w:type="dxa"/>
            <w:shd w:val="clear" w:color="FFFFFF" w:fill="FFFFFF"/>
            <w:vAlign w:val="center"/>
          </w:tcPr>
          <w:p w14:paraId="044185E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组</w:t>
            </w:r>
          </w:p>
        </w:tc>
        <w:tc>
          <w:tcPr>
            <w:tcW w:w="1241" w:type="dxa"/>
            <w:shd w:val="clear" w:color="FFFFFF" w:fill="FFFFFF"/>
            <w:vAlign w:val="center"/>
          </w:tcPr>
          <w:p w14:paraId="6966DBBF">
            <w:pPr>
              <w:widowControl/>
              <w:jc w:val="righ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14:paraId="42689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trPr>
        <w:tc>
          <w:tcPr>
            <w:tcW w:w="1083" w:type="dxa"/>
            <w:shd w:val="clear" w:color="FFFFFF" w:fill="FFFFFF"/>
            <w:vAlign w:val="center"/>
          </w:tcPr>
          <w:p w14:paraId="47293E4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7</w:t>
            </w:r>
          </w:p>
        </w:tc>
        <w:tc>
          <w:tcPr>
            <w:tcW w:w="2691" w:type="dxa"/>
            <w:shd w:val="clear" w:color="FFFFFF" w:fill="FFFFFF"/>
            <w:vAlign w:val="center"/>
          </w:tcPr>
          <w:p w14:paraId="7A7AD643">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配电箱</w:t>
            </w:r>
          </w:p>
        </w:tc>
        <w:tc>
          <w:tcPr>
            <w:tcW w:w="2712" w:type="dxa"/>
            <w:shd w:val="clear" w:color="FFFFFF" w:fill="FFFFFF"/>
            <w:vAlign w:val="center"/>
          </w:tcPr>
          <w:p w14:paraId="3AE617B1">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1.名称:交流配电箱（IP65）</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2.型号:7#-AP1</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3.安装方式:底边距地1米明装</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4.其他:含箱体接地，箱内元器件详见设计</w:t>
            </w:r>
          </w:p>
        </w:tc>
        <w:tc>
          <w:tcPr>
            <w:tcW w:w="613" w:type="dxa"/>
            <w:shd w:val="clear" w:color="FFFFFF" w:fill="FFFFFF"/>
            <w:vAlign w:val="center"/>
          </w:tcPr>
          <w:p w14:paraId="2805887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台</w:t>
            </w:r>
          </w:p>
        </w:tc>
        <w:tc>
          <w:tcPr>
            <w:tcW w:w="1241" w:type="dxa"/>
            <w:shd w:val="clear" w:color="FFFFFF" w:fill="FFFFFF"/>
            <w:vAlign w:val="center"/>
          </w:tcPr>
          <w:p w14:paraId="3EEA5F23">
            <w:pPr>
              <w:widowControl/>
              <w:jc w:val="righ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14:paraId="5E421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trPr>
        <w:tc>
          <w:tcPr>
            <w:tcW w:w="1083" w:type="dxa"/>
            <w:shd w:val="clear" w:color="FFFFFF" w:fill="FFFFFF"/>
            <w:vAlign w:val="center"/>
          </w:tcPr>
          <w:p w14:paraId="7EB20A6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8</w:t>
            </w:r>
          </w:p>
        </w:tc>
        <w:tc>
          <w:tcPr>
            <w:tcW w:w="2691" w:type="dxa"/>
            <w:shd w:val="clear" w:color="FFFFFF" w:fill="FFFFFF"/>
            <w:vAlign w:val="center"/>
          </w:tcPr>
          <w:p w14:paraId="2DE86A62">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电力电缆</w:t>
            </w:r>
          </w:p>
        </w:tc>
        <w:tc>
          <w:tcPr>
            <w:tcW w:w="2712" w:type="dxa"/>
            <w:shd w:val="clear" w:color="FFFFFF" w:fill="FFFFFF"/>
            <w:vAlign w:val="center"/>
          </w:tcPr>
          <w:p w14:paraId="36106B6C">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1.名称:铜芯电力电缆</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2.型号、规格:WDZ-YJY-5*16</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3.敷设方式或部位:桥架或穿管内敷设</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4.电压等级（kv）:1kv以下</w:t>
            </w:r>
          </w:p>
        </w:tc>
        <w:tc>
          <w:tcPr>
            <w:tcW w:w="613" w:type="dxa"/>
            <w:shd w:val="clear" w:color="FFFFFF" w:fill="FFFFFF"/>
            <w:vAlign w:val="center"/>
          </w:tcPr>
          <w:p w14:paraId="1BC7FFF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m</w:t>
            </w:r>
          </w:p>
        </w:tc>
        <w:tc>
          <w:tcPr>
            <w:tcW w:w="1241" w:type="dxa"/>
            <w:shd w:val="clear" w:color="FFFFFF" w:fill="FFFFFF"/>
            <w:vAlign w:val="center"/>
          </w:tcPr>
          <w:p w14:paraId="2F4A6773">
            <w:pPr>
              <w:widowControl/>
              <w:jc w:val="righ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5</w:t>
            </w:r>
          </w:p>
        </w:tc>
      </w:tr>
      <w:tr w14:paraId="2A969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trPr>
        <w:tc>
          <w:tcPr>
            <w:tcW w:w="1083" w:type="dxa"/>
            <w:shd w:val="clear" w:color="FFFFFF" w:fill="FFFFFF"/>
            <w:vAlign w:val="center"/>
          </w:tcPr>
          <w:p w14:paraId="62BCE7A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9</w:t>
            </w:r>
          </w:p>
        </w:tc>
        <w:tc>
          <w:tcPr>
            <w:tcW w:w="2691" w:type="dxa"/>
            <w:shd w:val="clear" w:color="FFFFFF" w:fill="FFFFFF"/>
            <w:vAlign w:val="center"/>
          </w:tcPr>
          <w:p w14:paraId="4E7FBCC2">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电力电缆</w:t>
            </w:r>
          </w:p>
        </w:tc>
        <w:tc>
          <w:tcPr>
            <w:tcW w:w="2712" w:type="dxa"/>
            <w:shd w:val="clear" w:color="FFFFFF" w:fill="FFFFFF"/>
            <w:vAlign w:val="center"/>
          </w:tcPr>
          <w:p w14:paraId="385B21DD">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1.名称:铜芯电力电缆</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2.型号、规格:WDZ-YJY-5*10</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3.敷设方式或部位:桥架或穿管内敷设</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4.电压等级（kv）:1kv以下</w:t>
            </w:r>
          </w:p>
        </w:tc>
        <w:tc>
          <w:tcPr>
            <w:tcW w:w="613" w:type="dxa"/>
            <w:shd w:val="clear" w:color="FFFFFF" w:fill="FFFFFF"/>
            <w:vAlign w:val="center"/>
          </w:tcPr>
          <w:p w14:paraId="2F15A4C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m</w:t>
            </w:r>
          </w:p>
        </w:tc>
        <w:tc>
          <w:tcPr>
            <w:tcW w:w="1241" w:type="dxa"/>
            <w:shd w:val="clear" w:color="FFFFFF" w:fill="FFFFFF"/>
            <w:vAlign w:val="center"/>
          </w:tcPr>
          <w:p w14:paraId="0D074104">
            <w:pPr>
              <w:widowControl/>
              <w:jc w:val="righ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27.25</w:t>
            </w:r>
          </w:p>
        </w:tc>
      </w:tr>
      <w:tr w14:paraId="3260C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trPr>
        <w:tc>
          <w:tcPr>
            <w:tcW w:w="1083" w:type="dxa"/>
            <w:shd w:val="clear" w:color="FFFFFF" w:fill="FFFFFF"/>
            <w:vAlign w:val="center"/>
          </w:tcPr>
          <w:p w14:paraId="4C084FF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10</w:t>
            </w:r>
          </w:p>
        </w:tc>
        <w:tc>
          <w:tcPr>
            <w:tcW w:w="2691" w:type="dxa"/>
            <w:shd w:val="clear" w:color="FFFFFF" w:fill="FFFFFF"/>
            <w:vAlign w:val="center"/>
          </w:tcPr>
          <w:p w14:paraId="66082333">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电力电缆头</w:t>
            </w:r>
          </w:p>
        </w:tc>
        <w:tc>
          <w:tcPr>
            <w:tcW w:w="2712" w:type="dxa"/>
            <w:shd w:val="clear" w:color="FFFFFF" w:fill="FFFFFF"/>
            <w:vAlign w:val="center"/>
          </w:tcPr>
          <w:p w14:paraId="0826B349">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1.名称:电缆终端头制安</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2.型号、规格:三芯及以上，截面25mm2及以下</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3.材质、类型:户内干包式</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4.电压等级（kV）:1kV以下</w:t>
            </w:r>
          </w:p>
        </w:tc>
        <w:tc>
          <w:tcPr>
            <w:tcW w:w="613" w:type="dxa"/>
            <w:shd w:val="clear" w:color="FFFFFF" w:fill="FFFFFF"/>
            <w:vAlign w:val="center"/>
          </w:tcPr>
          <w:p w14:paraId="6C35444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个</w:t>
            </w:r>
          </w:p>
        </w:tc>
        <w:tc>
          <w:tcPr>
            <w:tcW w:w="1241" w:type="dxa"/>
            <w:shd w:val="clear" w:color="FFFFFF" w:fill="FFFFFF"/>
            <w:vAlign w:val="center"/>
          </w:tcPr>
          <w:p w14:paraId="0F526214">
            <w:pPr>
              <w:widowControl/>
              <w:jc w:val="righ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w:t>
            </w:r>
          </w:p>
        </w:tc>
      </w:tr>
      <w:tr w14:paraId="46038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trPr>
        <w:tc>
          <w:tcPr>
            <w:tcW w:w="1083" w:type="dxa"/>
            <w:shd w:val="clear" w:color="FFFFFF" w:fill="FFFFFF"/>
            <w:vAlign w:val="center"/>
          </w:tcPr>
          <w:p w14:paraId="5F2EA0F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11</w:t>
            </w:r>
          </w:p>
        </w:tc>
        <w:tc>
          <w:tcPr>
            <w:tcW w:w="2691" w:type="dxa"/>
            <w:shd w:val="clear" w:color="FFFFFF" w:fill="FFFFFF"/>
            <w:vAlign w:val="center"/>
          </w:tcPr>
          <w:p w14:paraId="532F29E8">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电力电缆头</w:t>
            </w:r>
          </w:p>
        </w:tc>
        <w:tc>
          <w:tcPr>
            <w:tcW w:w="2712" w:type="dxa"/>
            <w:shd w:val="clear" w:color="FFFFFF" w:fill="FFFFFF"/>
            <w:vAlign w:val="center"/>
          </w:tcPr>
          <w:p w14:paraId="1905DE12">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1.名称:电缆终端头制安</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2.型号、规格:三芯及以上，截面10mm2及以下</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3.材质、类型:户内干包式</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4.电压等级（kV）:1kV以下</w:t>
            </w:r>
          </w:p>
        </w:tc>
        <w:tc>
          <w:tcPr>
            <w:tcW w:w="613" w:type="dxa"/>
            <w:shd w:val="clear" w:color="FFFFFF" w:fill="FFFFFF"/>
            <w:vAlign w:val="center"/>
          </w:tcPr>
          <w:p w14:paraId="07A07B4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个</w:t>
            </w:r>
          </w:p>
        </w:tc>
        <w:tc>
          <w:tcPr>
            <w:tcW w:w="1241" w:type="dxa"/>
            <w:shd w:val="clear" w:color="FFFFFF" w:fill="FFFFFF"/>
            <w:vAlign w:val="center"/>
          </w:tcPr>
          <w:p w14:paraId="46C1B624">
            <w:pPr>
              <w:widowControl/>
              <w:jc w:val="righ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w:t>
            </w:r>
          </w:p>
        </w:tc>
      </w:tr>
      <w:tr w14:paraId="40982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083" w:type="dxa"/>
            <w:shd w:val="clear" w:color="FFFFFF" w:fill="FFFFFF"/>
            <w:vAlign w:val="center"/>
          </w:tcPr>
          <w:p w14:paraId="6D1C409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12</w:t>
            </w:r>
          </w:p>
        </w:tc>
        <w:tc>
          <w:tcPr>
            <w:tcW w:w="2691" w:type="dxa"/>
            <w:shd w:val="clear" w:color="FFFFFF" w:fill="FFFFFF"/>
            <w:vAlign w:val="center"/>
          </w:tcPr>
          <w:p w14:paraId="72B294FB">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配线</w:t>
            </w:r>
          </w:p>
        </w:tc>
        <w:tc>
          <w:tcPr>
            <w:tcW w:w="2712" w:type="dxa"/>
            <w:shd w:val="clear" w:color="FFFFFF" w:fill="FFFFFF"/>
            <w:vAlign w:val="center"/>
          </w:tcPr>
          <w:p w14:paraId="3347C08A">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1.名称:管内穿线</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2.型号、规格:WDZB-RYJSP-2*1.5</w:t>
            </w:r>
          </w:p>
        </w:tc>
        <w:tc>
          <w:tcPr>
            <w:tcW w:w="613" w:type="dxa"/>
            <w:shd w:val="clear" w:color="FFFFFF" w:fill="FFFFFF"/>
            <w:vAlign w:val="center"/>
          </w:tcPr>
          <w:p w14:paraId="14B7201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m</w:t>
            </w:r>
          </w:p>
        </w:tc>
        <w:tc>
          <w:tcPr>
            <w:tcW w:w="1241" w:type="dxa"/>
            <w:shd w:val="clear" w:color="FFFFFF" w:fill="FFFFFF"/>
            <w:vAlign w:val="center"/>
          </w:tcPr>
          <w:p w14:paraId="5B887C19">
            <w:pPr>
              <w:widowControl/>
              <w:jc w:val="righ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27.25</w:t>
            </w:r>
          </w:p>
        </w:tc>
      </w:tr>
    </w:tbl>
    <w:p w14:paraId="0E50A314">
      <w:pPr>
        <w:pStyle w:val="28"/>
        <w:ind w:firstLine="588"/>
        <w:rPr>
          <w:color w:val="auto"/>
          <w:highlight w:val="none"/>
        </w:rPr>
      </w:pPr>
    </w:p>
    <w:p w14:paraId="7E9378B7">
      <w:pPr>
        <w:tabs>
          <w:tab w:val="left" w:pos="851"/>
        </w:tabs>
        <w:spacing w:line="360" w:lineRule="auto"/>
        <w:ind w:firstLine="420" w:firstLineChars="200"/>
        <w:rPr>
          <w:rFonts w:cs="仿宋" w:asciiTheme="majorEastAsia" w:hAnsiTheme="majorEastAsia" w:eastAsiaTheme="majorEastAsia"/>
          <w:bCs/>
          <w:color w:val="auto"/>
          <w:highlight w:val="none"/>
        </w:rPr>
      </w:pPr>
      <w:r>
        <w:rPr>
          <w:rFonts w:hint="eastAsia" w:cs="仿宋" w:asciiTheme="majorEastAsia" w:hAnsiTheme="majorEastAsia" w:eastAsiaTheme="majorEastAsia"/>
          <w:bCs/>
          <w:color w:val="auto"/>
          <w:highlight w:val="none"/>
        </w:rPr>
        <w:t>注：1、光伏逆变器功率选用以图纸要求为准。</w:t>
      </w:r>
    </w:p>
    <w:p w14:paraId="1EF31191">
      <w:pPr>
        <w:tabs>
          <w:tab w:val="left" w:pos="851"/>
        </w:tabs>
        <w:spacing w:line="360" w:lineRule="auto"/>
        <w:ind w:firstLine="420" w:firstLineChars="200"/>
        <w:rPr>
          <w:rFonts w:cs="仿宋" w:asciiTheme="majorEastAsia" w:hAnsiTheme="majorEastAsia" w:eastAsiaTheme="majorEastAsia"/>
          <w:bCs/>
          <w:color w:val="auto"/>
          <w:highlight w:val="none"/>
        </w:rPr>
      </w:pPr>
      <w:r>
        <w:rPr>
          <w:rFonts w:hint="eastAsia" w:cs="仿宋" w:asciiTheme="majorEastAsia" w:hAnsiTheme="majorEastAsia" w:eastAsiaTheme="majorEastAsia"/>
          <w:bCs/>
          <w:color w:val="auto"/>
          <w:highlight w:val="none"/>
        </w:rPr>
        <w:t>2、投标人需对接电力部门完成并网手续，所有并网的手续及相关费用均由投标人自行承担，相关费用包含在投标总价中，中标后不予调整。</w:t>
      </w:r>
    </w:p>
    <w:p w14:paraId="0ACB7E0A">
      <w:pPr>
        <w:pStyle w:val="5"/>
        <w:spacing w:before="120" w:line="340" w:lineRule="exact"/>
        <w:ind w:firstLine="480"/>
        <w:rPr>
          <w:rFonts w:ascii="宋体" w:hAnsi="宋体" w:cs="宋体"/>
          <w:color w:val="auto"/>
          <w:sz w:val="24"/>
          <w:szCs w:val="24"/>
          <w:highlight w:val="none"/>
        </w:rPr>
      </w:pPr>
      <w:r>
        <w:rPr>
          <w:rFonts w:hint="eastAsia" w:ascii="宋体" w:hAnsi="宋体" w:cs="宋体"/>
          <w:color w:val="auto"/>
          <w:sz w:val="24"/>
          <w:szCs w:val="24"/>
          <w:highlight w:val="none"/>
        </w:rPr>
        <w:t>九、商务要求</w:t>
      </w:r>
    </w:p>
    <w:tbl>
      <w:tblPr>
        <w:tblStyle w:val="21"/>
        <w:tblW w:w="9755"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939"/>
        <w:gridCol w:w="7816"/>
      </w:tblGrid>
      <w:tr w14:paraId="7D4E314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99" w:hRule="atLeast"/>
        </w:trPr>
        <w:tc>
          <w:tcPr>
            <w:tcW w:w="1939" w:type="dxa"/>
            <w:tcBorders>
              <w:top w:val="single" w:color="auto" w:sz="4" w:space="0"/>
              <w:bottom w:val="single" w:color="auto" w:sz="4" w:space="0"/>
            </w:tcBorders>
            <w:vAlign w:val="center"/>
          </w:tcPr>
          <w:p w14:paraId="6A8C9BA5">
            <w:pPr>
              <w:widowControl/>
              <w:spacing w:line="0" w:lineRule="atLeast"/>
              <w:jc w:val="center"/>
              <w:rPr>
                <w:rFonts w:ascii="宋体" w:hAnsi="宋体" w:cs="宋体"/>
                <w:color w:val="auto"/>
                <w:sz w:val="24"/>
                <w:highlight w:val="none"/>
              </w:rPr>
            </w:pPr>
            <w:r>
              <w:rPr>
                <w:rFonts w:ascii="宋体" w:hAnsi="宋体" w:cs="宋体"/>
                <w:color w:val="auto"/>
                <w:sz w:val="24"/>
                <w:highlight w:val="none"/>
              </w:rPr>
              <w:t>商务要求项目</w:t>
            </w:r>
          </w:p>
        </w:tc>
        <w:tc>
          <w:tcPr>
            <w:tcW w:w="7816" w:type="dxa"/>
            <w:tcBorders>
              <w:top w:val="single" w:color="auto" w:sz="4" w:space="0"/>
              <w:bottom w:val="single" w:color="auto" w:sz="4" w:space="0"/>
            </w:tcBorders>
            <w:vAlign w:val="center"/>
          </w:tcPr>
          <w:p w14:paraId="5355D28A">
            <w:pPr>
              <w:widowControl/>
              <w:spacing w:line="0" w:lineRule="atLeast"/>
              <w:jc w:val="center"/>
              <w:rPr>
                <w:rFonts w:ascii="宋体" w:hAnsi="宋体" w:cs="宋体"/>
                <w:color w:val="auto"/>
                <w:sz w:val="24"/>
                <w:highlight w:val="none"/>
              </w:rPr>
            </w:pPr>
            <w:r>
              <w:rPr>
                <w:rFonts w:ascii="宋体" w:hAnsi="宋体" w:cs="宋体"/>
                <w:color w:val="auto"/>
                <w:sz w:val="24"/>
                <w:highlight w:val="none"/>
              </w:rPr>
              <w:t>采购文件要求</w:t>
            </w:r>
          </w:p>
        </w:tc>
      </w:tr>
      <w:tr w14:paraId="1EE287A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20" w:hRule="atLeast"/>
        </w:trPr>
        <w:tc>
          <w:tcPr>
            <w:tcW w:w="1939" w:type="dxa"/>
            <w:tcBorders>
              <w:top w:val="single" w:color="auto" w:sz="4" w:space="0"/>
            </w:tcBorders>
            <w:vAlign w:val="center"/>
          </w:tcPr>
          <w:p w14:paraId="7098F243">
            <w:pPr>
              <w:widowControl/>
              <w:spacing w:line="0" w:lineRule="atLeast"/>
              <w:jc w:val="center"/>
              <w:rPr>
                <w:rFonts w:ascii="宋体" w:hAnsi="宋体" w:cs="宋体"/>
                <w:color w:val="auto"/>
                <w:sz w:val="24"/>
                <w:highlight w:val="none"/>
              </w:rPr>
            </w:pPr>
            <w:r>
              <w:rPr>
                <w:rFonts w:ascii="宋体" w:hAnsi="宋体" w:cs="宋体"/>
                <w:color w:val="auto"/>
                <w:sz w:val="24"/>
                <w:highlight w:val="none"/>
              </w:rPr>
              <w:t>质保期</w:t>
            </w:r>
          </w:p>
        </w:tc>
        <w:tc>
          <w:tcPr>
            <w:tcW w:w="7816" w:type="dxa"/>
            <w:tcBorders>
              <w:top w:val="single" w:color="auto" w:sz="4" w:space="0"/>
            </w:tcBorders>
            <w:vAlign w:val="center"/>
          </w:tcPr>
          <w:p w14:paraId="6292ECDB">
            <w:pPr>
              <w:snapToGrid w:val="0"/>
              <w:ind w:right="-108"/>
              <w:rPr>
                <w:rFonts w:ascii="宋体" w:hAnsi="宋体" w:cs="宋体"/>
                <w:color w:val="auto"/>
                <w:sz w:val="24"/>
                <w:highlight w:val="none"/>
              </w:rPr>
            </w:pPr>
            <w:r>
              <w:rPr>
                <w:rFonts w:hint="eastAsia" w:ascii="宋体" w:hAnsi="宋体" w:cs="宋体"/>
                <w:color w:val="auto"/>
                <w:sz w:val="24"/>
                <w:highlight w:val="none"/>
              </w:rPr>
              <w:t>项目整体通过验收并完成移交之日起24个月。质保期内被免费更换的零部件质量保证：自更换之日起计24个月。</w:t>
            </w:r>
          </w:p>
        </w:tc>
      </w:tr>
      <w:tr w14:paraId="69F6F64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20" w:hRule="atLeast"/>
        </w:trPr>
        <w:tc>
          <w:tcPr>
            <w:tcW w:w="1939" w:type="dxa"/>
            <w:tcBorders>
              <w:top w:val="single" w:color="auto" w:sz="4" w:space="0"/>
            </w:tcBorders>
            <w:vAlign w:val="center"/>
          </w:tcPr>
          <w:p w14:paraId="6473F48F">
            <w:pPr>
              <w:widowControl/>
              <w:spacing w:line="0" w:lineRule="atLeast"/>
              <w:jc w:val="center"/>
              <w:rPr>
                <w:rFonts w:ascii="宋体" w:hAnsi="宋体" w:cs="宋体"/>
                <w:color w:val="auto"/>
                <w:sz w:val="24"/>
                <w:highlight w:val="none"/>
              </w:rPr>
            </w:pPr>
            <w:r>
              <w:rPr>
                <w:rFonts w:ascii="宋体" w:hAnsi="宋体" w:cs="宋体"/>
                <w:color w:val="auto"/>
                <w:sz w:val="24"/>
                <w:highlight w:val="none"/>
              </w:rPr>
              <w:t>售后技术</w:t>
            </w:r>
            <w:r>
              <w:rPr>
                <w:rFonts w:ascii="宋体" w:hAnsi="宋体" w:cs="宋体"/>
                <w:color w:val="auto"/>
                <w:sz w:val="24"/>
                <w:highlight w:val="none"/>
              </w:rPr>
              <w:br w:type="textWrapping"/>
            </w:r>
            <w:r>
              <w:rPr>
                <w:rFonts w:ascii="宋体" w:hAnsi="宋体" w:cs="宋体"/>
                <w:color w:val="auto"/>
                <w:sz w:val="24"/>
                <w:highlight w:val="none"/>
              </w:rPr>
              <w:t>服务要求</w:t>
            </w:r>
          </w:p>
        </w:tc>
        <w:tc>
          <w:tcPr>
            <w:tcW w:w="7816" w:type="dxa"/>
            <w:tcBorders>
              <w:top w:val="single" w:color="auto" w:sz="4" w:space="0"/>
            </w:tcBorders>
            <w:vAlign w:val="center"/>
          </w:tcPr>
          <w:p w14:paraId="74DC027A">
            <w:pPr>
              <w:snapToGrid w:val="0"/>
              <w:rPr>
                <w:rFonts w:ascii="宋体" w:hAnsi="宋体" w:cs="宋体"/>
                <w:color w:val="auto"/>
                <w:sz w:val="24"/>
                <w:highlight w:val="none"/>
              </w:rPr>
            </w:pPr>
            <w:r>
              <w:rPr>
                <w:rFonts w:hint="eastAsia" w:ascii="宋体" w:hAnsi="宋体" w:cs="宋体"/>
                <w:color w:val="auto"/>
                <w:sz w:val="24"/>
                <w:highlight w:val="none"/>
              </w:rPr>
              <w:t>接到要求提供服务的电话（或传真）后30分钟内做出响应。60分钟内派出合格的服务人员到达业主设备使用现场。一般故障4小时内修复，重大故障12小时内修复。规定时间内不能修复的免费提供同档次产品供甲方使用。</w:t>
            </w:r>
          </w:p>
        </w:tc>
      </w:tr>
      <w:tr w14:paraId="12D2BD1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20" w:hRule="atLeast"/>
        </w:trPr>
        <w:tc>
          <w:tcPr>
            <w:tcW w:w="1939" w:type="dxa"/>
            <w:tcBorders>
              <w:top w:val="single" w:color="auto" w:sz="4" w:space="0"/>
            </w:tcBorders>
            <w:vAlign w:val="center"/>
          </w:tcPr>
          <w:p w14:paraId="3ECFF6D3">
            <w:pPr>
              <w:widowControl/>
              <w:spacing w:line="0" w:lineRule="atLeast"/>
              <w:jc w:val="center"/>
              <w:rPr>
                <w:rFonts w:ascii="宋体" w:hAnsi="宋体" w:cs="宋体"/>
                <w:color w:val="auto"/>
                <w:sz w:val="24"/>
                <w:highlight w:val="none"/>
              </w:rPr>
            </w:pPr>
            <w:r>
              <w:rPr>
                <w:rFonts w:hint="eastAsia" w:ascii="宋体" w:hAnsi="宋体" w:cs="宋体"/>
                <w:color w:val="auto"/>
                <w:sz w:val="24"/>
                <w:highlight w:val="none"/>
              </w:rPr>
              <w:t>验收要求</w:t>
            </w:r>
          </w:p>
        </w:tc>
        <w:tc>
          <w:tcPr>
            <w:tcW w:w="7816" w:type="dxa"/>
            <w:tcBorders>
              <w:top w:val="single" w:color="auto" w:sz="4" w:space="0"/>
            </w:tcBorders>
            <w:vAlign w:val="center"/>
          </w:tcPr>
          <w:p w14:paraId="27F30643">
            <w:pPr>
              <w:widowControl/>
              <w:spacing w:line="0" w:lineRule="atLeast"/>
              <w:jc w:val="left"/>
              <w:rPr>
                <w:rFonts w:ascii="宋体" w:hAnsi="宋体" w:cs="宋体"/>
                <w:color w:val="auto"/>
                <w:sz w:val="24"/>
                <w:highlight w:val="none"/>
              </w:rPr>
            </w:pPr>
            <w:r>
              <w:rPr>
                <w:rFonts w:hint="eastAsia" w:ascii="宋体" w:hAnsi="宋体" w:cs="宋体"/>
                <w:color w:val="auto"/>
                <w:sz w:val="24"/>
                <w:highlight w:val="none"/>
              </w:rPr>
              <w:t>（1）各软硬件满足招投标文件中所有相关性能指标要求；</w:t>
            </w:r>
          </w:p>
          <w:p w14:paraId="11637DFA">
            <w:pPr>
              <w:widowControl/>
              <w:spacing w:line="0" w:lineRule="atLeast"/>
              <w:jc w:val="left"/>
              <w:rPr>
                <w:rFonts w:ascii="宋体" w:hAnsi="宋体" w:cs="宋体"/>
                <w:color w:val="auto"/>
                <w:sz w:val="24"/>
                <w:highlight w:val="none"/>
              </w:rPr>
            </w:pPr>
            <w:r>
              <w:rPr>
                <w:rFonts w:hint="eastAsia" w:ascii="宋体" w:hAnsi="宋体" w:cs="宋体"/>
                <w:color w:val="auto"/>
                <w:sz w:val="24"/>
                <w:highlight w:val="none"/>
              </w:rPr>
              <w:t>（2）项目中部分系统或设备根据相关要求能够接入相关平台，并符合相关职能要求；</w:t>
            </w:r>
          </w:p>
          <w:p w14:paraId="2DEE5917">
            <w:pPr>
              <w:widowControl/>
              <w:spacing w:line="0" w:lineRule="atLeast"/>
              <w:jc w:val="left"/>
              <w:rPr>
                <w:rFonts w:ascii="宋体" w:hAnsi="宋体" w:cs="宋体"/>
                <w:color w:val="auto"/>
                <w:sz w:val="24"/>
                <w:highlight w:val="none"/>
              </w:rPr>
            </w:pPr>
            <w:r>
              <w:rPr>
                <w:rFonts w:hint="eastAsia" w:ascii="宋体" w:hAnsi="宋体" w:cs="宋体"/>
                <w:color w:val="auto"/>
                <w:sz w:val="24"/>
                <w:highlight w:val="none"/>
              </w:rPr>
              <w:t>（3）验收环节中采购人有权对所供产品进行现场抽样检测。</w:t>
            </w:r>
          </w:p>
        </w:tc>
      </w:tr>
      <w:tr w14:paraId="0154EC5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292" w:hRule="atLeast"/>
        </w:trPr>
        <w:tc>
          <w:tcPr>
            <w:tcW w:w="1939" w:type="dxa"/>
            <w:vAlign w:val="center"/>
          </w:tcPr>
          <w:p w14:paraId="3E47B50B">
            <w:pPr>
              <w:widowControl/>
              <w:spacing w:line="0" w:lineRule="atLeast"/>
              <w:ind w:left="-108" w:right="-120"/>
              <w:jc w:val="center"/>
              <w:rPr>
                <w:rFonts w:ascii="宋体" w:hAnsi="宋体" w:cs="宋体"/>
                <w:color w:val="auto"/>
                <w:sz w:val="24"/>
                <w:highlight w:val="none"/>
              </w:rPr>
            </w:pPr>
            <w:r>
              <w:rPr>
                <w:rFonts w:hint="eastAsia" w:ascii="宋体" w:hAnsi="宋体" w:cs="宋体"/>
                <w:color w:val="auto"/>
                <w:sz w:val="24"/>
                <w:highlight w:val="none"/>
              </w:rPr>
              <w:t>工期</w:t>
            </w:r>
            <w:r>
              <w:rPr>
                <w:rFonts w:ascii="宋体" w:hAnsi="宋体" w:cs="宋体"/>
                <w:color w:val="auto"/>
                <w:sz w:val="24"/>
                <w:highlight w:val="none"/>
              </w:rPr>
              <w:t>及地点</w:t>
            </w:r>
          </w:p>
        </w:tc>
        <w:tc>
          <w:tcPr>
            <w:tcW w:w="7816" w:type="dxa"/>
            <w:vAlign w:val="center"/>
          </w:tcPr>
          <w:p w14:paraId="755AE629">
            <w:pPr>
              <w:jc w:val="left"/>
              <w:rPr>
                <w:rFonts w:ascii="宋体" w:hAnsi="宋体" w:cs="宋体"/>
                <w:color w:val="auto"/>
                <w:sz w:val="24"/>
                <w:highlight w:val="none"/>
              </w:rPr>
            </w:pPr>
            <w:r>
              <w:rPr>
                <w:rFonts w:hint="eastAsia" w:ascii="宋体" w:hAnsi="宋体" w:cs="宋体"/>
                <w:color w:val="auto"/>
                <w:sz w:val="24"/>
                <w:highlight w:val="none"/>
              </w:rPr>
              <w:t>工期：与总体工程进度同步；</w:t>
            </w:r>
          </w:p>
          <w:p w14:paraId="0A7054B0">
            <w:pPr>
              <w:jc w:val="left"/>
              <w:rPr>
                <w:rFonts w:ascii="宋体" w:hAnsi="宋体" w:cs="宋体"/>
                <w:color w:val="auto"/>
                <w:sz w:val="24"/>
                <w:highlight w:val="none"/>
              </w:rPr>
            </w:pPr>
            <w:r>
              <w:rPr>
                <w:rFonts w:ascii="宋体" w:hAnsi="宋体" w:cs="宋体"/>
                <w:color w:val="auto"/>
                <w:sz w:val="24"/>
                <w:highlight w:val="none"/>
              </w:rPr>
              <w:t>地点：</w:t>
            </w:r>
            <w:r>
              <w:rPr>
                <w:rFonts w:hint="eastAsia" w:ascii="宋体" w:hAnsi="宋体" w:cs="宋体"/>
                <w:color w:val="auto"/>
                <w:sz w:val="24"/>
                <w:highlight w:val="none"/>
              </w:rPr>
              <w:t>业主指定地点。</w:t>
            </w:r>
          </w:p>
        </w:tc>
      </w:tr>
      <w:tr w14:paraId="042A787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065" w:hRule="atLeast"/>
        </w:trPr>
        <w:tc>
          <w:tcPr>
            <w:tcW w:w="1939" w:type="dxa"/>
            <w:vAlign w:val="center"/>
          </w:tcPr>
          <w:p w14:paraId="4CF9132B">
            <w:pPr>
              <w:widowControl/>
              <w:spacing w:line="0" w:lineRule="atLeast"/>
              <w:ind w:left="-108" w:right="-120"/>
              <w:jc w:val="center"/>
              <w:rPr>
                <w:rFonts w:ascii="宋体" w:hAnsi="宋体" w:cs="宋体"/>
                <w:color w:val="auto"/>
                <w:sz w:val="24"/>
                <w:highlight w:val="none"/>
              </w:rPr>
            </w:pPr>
            <w:r>
              <w:rPr>
                <w:rFonts w:hint="eastAsia" w:ascii="宋体" w:hAnsi="宋体" w:cs="宋体"/>
                <w:color w:val="auto"/>
                <w:sz w:val="24"/>
                <w:highlight w:val="none"/>
              </w:rPr>
              <w:t>履约担保</w:t>
            </w:r>
          </w:p>
        </w:tc>
        <w:tc>
          <w:tcPr>
            <w:tcW w:w="7816" w:type="dxa"/>
            <w:vAlign w:val="center"/>
          </w:tcPr>
          <w:p w14:paraId="7BA01298">
            <w:pPr>
              <w:widowControl/>
              <w:spacing w:line="0" w:lineRule="atLeast"/>
              <w:ind w:left="-108" w:right="-120"/>
              <w:jc w:val="left"/>
              <w:rPr>
                <w:rFonts w:ascii="宋体" w:hAnsi="宋体" w:cs="宋体"/>
                <w:color w:val="auto"/>
                <w:sz w:val="24"/>
                <w:highlight w:val="none"/>
              </w:rPr>
            </w:pPr>
            <w:r>
              <w:rPr>
                <w:rFonts w:hint="eastAsia" w:ascii="宋体" w:hAnsi="宋体" w:cs="宋体"/>
                <w:color w:val="auto"/>
                <w:sz w:val="24"/>
                <w:highlight w:val="none"/>
              </w:rPr>
              <w:t>履约担保</w:t>
            </w:r>
            <w:r>
              <w:rPr>
                <w:rFonts w:ascii="宋体" w:hAnsi="宋体" w:cs="宋体"/>
                <w:color w:val="auto"/>
                <w:sz w:val="24"/>
                <w:highlight w:val="none"/>
              </w:rPr>
              <w:t>形式：</w:t>
            </w:r>
            <w:r>
              <w:rPr>
                <w:rFonts w:hint="eastAsia" w:ascii="宋体" w:hAnsi="宋体" w:cs="宋体"/>
                <w:color w:val="auto"/>
                <w:sz w:val="24"/>
                <w:highlight w:val="none"/>
              </w:rPr>
              <w:t>电汇、银行保函、保险公司保函。</w:t>
            </w:r>
          </w:p>
          <w:p w14:paraId="7204EE99">
            <w:pPr>
              <w:widowControl/>
              <w:spacing w:line="0" w:lineRule="atLeast"/>
              <w:ind w:left="-108" w:right="-120"/>
              <w:jc w:val="left"/>
              <w:rPr>
                <w:rFonts w:ascii="宋体" w:hAnsi="宋体" w:cs="宋体"/>
                <w:color w:val="auto"/>
                <w:sz w:val="24"/>
                <w:highlight w:val="none"/>
              </w:rPr>
            </w:pPr>
            <w:r>
              <w:rPr>
                <w:rFonts w:hint="eastAsia" w:ascii="宋体" w:hAnsi="宋体" w:cs="宋体"/>
                <w:color w:val="auto"/>
                <w:sz w:val="24"/>
                <w:highlight w:val="none"/>
              </w:rPr>
              <w:t>履约担保</w:t>
            </w:r>
            <w:r>
              <w:rPr>
                <w:rFonts w:ascii="宋体" w:hAnsi="宋体" w:cs="宋体"/>
                <w:color w:val="auto"/>
                <w:sz w:val="24"/>
                <w:highlight w:val="none"/>
              </w:rPr>
              <w:t>的收取及退还：</w:t>
            </w:r>
            <w:r>
              <w:rPr>
                <w:rFonts w:hint="eastAsia" w:ascii="宋体" w:hAnsi="宋体" w:cs="宋体"/>
                <w:color w:val="auto"/>
                <w:sz w:val="24"/>
                <w:highlight w:val="none"/>
              </w:rPr>
              <w:t>按合同总金额的2.5%计收</w:t>
            </w:r>
            <w:r>
              <w:rPr>
                <w:rFonts w:ascii="宋体" w:hAnsi="宋体" w:cs="宋体"/>
                <w:color w:val="auto"/>
                <w:sz w:val="24"/>
                <w:highlight w:val="none"/>
              </w:rPr>
              <w:t>，合同履行完毕（验收合格并交付使用）后5日内无息退还。</w:t>
            </w:r>
          </w:p>
        </w:tc>
      </w:tr>
      <w:tr w14:paraId="46E1C4C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54" w:hRule="atLeast"/>
        </w:trPr>
        <w:tc>
          <w:tcPr>
            <w:tcW w:w="1939" w:type="dxa"/>
            <w:vAlign w:val="center"/>
          </w:tcPr>
          <w:p w14:paraId="13305D90">
            <w:pPr>
              <w:widowControl/>
              <w:spacing w:line="0" w:lineRule="atLeast"/>
              <w:jc w:val="center"/>
              <w:rPr>
                <w:rFonts w:ascii="宋体" w:hAnsi="宋体" w:cs="宋体"/>
                <w:color w:val="auto"/>
                <w:sz w:val="24"/>
                <w:highlight w:val="none"/>
              </w:rPr>
            </w:pPr>
            <w:r>
              <w:rPr>
                <w:rFonts w:ascii="宋体" w:hAnsi="宋体" w:cs="宋体"/>
                <w:color w:val="auto"/>
                <w:sz w:val="24"/>
                <w:highlight w:val="none"/>
              </w:rPr>
              <w:t>付款条件</w:t>
            </w:r>
          </w:p>
        </w:tc>
        <w:tc>
          <w:tcPr>
            <w:tcW w:w="7816" w:type="dxa"/>
            <w:vAlign w:val="center"/>
          </w:tcPr>
          <w:p w14:paraId="1D33D975">
            <w:pPr>
              <w:snapToGrid w:val="0"/>
              <w:rPr>
                <w:rFonts w:ascii="宋体" w:hAnsi="宋体" w:cs="宋体"/>
                <w:color w:val="auto"/>
                <w:sz w:val="24"/>
                <w:highlight w:val="none"/>
              </w:rPr>
            </w:pPr>
            <w:r>
              <w:rPr>
                <w:rFonts w:ascii="宋体" w:hAnsi="宋体" w:cs="宋体"/>
                <w:color w:val="auto"/>
                <w:sz w:val="24"/>
                <w:highlight w:val="none"/>
              </w:rPr>
              <w:t>合同签订后 10 日内</w:t>
            </w:r>
            <w:r>
              <w:rPr>
                <w:rFonts w:hint="eastAsia" w:ascii="宋体" w:hAnsi="宋体" w:cs="宋体"/>
                <w:color w:val="auto"/>
                <w:sz w:val="24"/>
                <w:highlight w:val="none"/>
              </w:rPr>
              <w:t>采购人</w:t>
            </w:r>
            <w:r>
              <w:rPr>
                <w:rFonts w:ascii="宋体" w:hAnsi="宋体" w:cs="宋体"/>
                <w:color w:val="auto"/>
                <w:sz w:val="24"/>
                <w:highlight w:val="none"/>
              </w:rPr>
              <w:t>向</w:t>
            </w:r>
            <w:r>
              <w:rPr>
                <w:rFonts w:hint="eastAsia" w:ascii="宋体" w:hAnsi="宋体" w:cs="宋体"/>
                <w:color w:val="auto"/>
                <w:sz w:val="24"/>
                <w:highlight w:val="none"/>
              </w:rPr>
              <w:t>中标人</w:t>
            </w:r>
            <w:r>
              <w:rPr>
                <w:rFonts w:ascii="宋体" w:hAnsi="宋体" w:cs="宋体"/>
                <w:color w:val="auto"/>
                <w:sz w:val="24"/>
                <w:highlight w:val="none"/>
              </w:rPr>
              <w:t>支付合同价的15%作为预付款，主要设备（空气</w:t>
            </w:r>
            <w:r>
              <w:rPr>
                <w:rFonts w:hint="eastAsia" w:ascii="宋体" w:hAnsi="宋体" w:cs="宋体"/>
                <w:color w:val="auto"/>
                <w:sz w:val="24"/>
                <w:highlight w:val="none"/>
              </w:rPr>
              <w:t>能</w:t>
            </w:r>
            <w:r>
              <w:rPr>
                <w:rFonts w:ascii="宋体" w:hAnsi="宋体" w:cs="宋体"/>
                <w:color w:val="auto"/>
                <w:sz w:val="24"/>
                <w:highlight w:val="none"/>
              </w:rPr>
              <w:t>）到</w:t>
            </w:r>
            <w:r>
              <w:rPr>
                <w:rFonts w:hint="eastAsia" w:ascii="宋体" w:hAnsi="宋体" w:cs="宋体"/>
                <w:color w:val="auto"/>
                <w:sz w:val="24"/>
                <w:highlight w:val="none"/>
              </w:rPr>
              <w:t>达</w:t>
            </w:r>
            <w:r>
              <w:rPr>
                <w:rFonts w:ascii="宋体" w:hAnsi="宋体" w:cs="宋体"/>
                <w:color w:val="auto"/>
                <w:sz w:val="24"/>
                <w:highlight w:val="none"/>
              </w:rPr>
              <w:t>安装现场且提供与本项目数量相符的进货发票复印件后10日内</w:t>
            </w:r>
            <w:r>
              <w:rPr>
                <w:rFonts w:hint="eastAsia" w:ascii="宋体" w:hAnsi="宋体" w:cs="宋体"/>
                <w:color w:val="auto"/>
                <w:sz w:val="24"/>
                <w:highlight w:val="none"/>
              </w:rPr>
              <w:t>采购人</w:t>
            </w:r>
            <w:r>
              <w:rPr>
                <w:rFonts w:ascii="宋体" w:hAnsi="宋体" w:cs="宋体"/>
                <w:color w:val="auto"/>
                <w:sz w:val="24"/>
                <w:highlight w:val="none"/>
              </w:rPr>
              <w:t>向</w:t>
            </w:r>
            <w:r>
              <w:rPr>
                <w:rFonts w:hint="eastAsia" w:ascii="宋体" w:hAnsi="宋体" w:cs="宋体"/>
                <w:color w:val="auto"/>
                <w:sz w:val="24"/>
                <w:highlight w:val="none"/>
              </w:rPr>
              <w:t>中标人</w:t>
            </w:r>
            <w:r>
              <w:rPr>
                <w:rFonts w:ascii="宋体" w:hAnsi="宋体" w:cs="宋体"/>
                <w:color w:val="auto"/>
                <w:sz w:val="24"/>
                <w:highlight w:val="none"/>
              </w:rPr>
              <w:t>支付至该批次</w:t>
            </w:r>
            <w:r>
              <w:rPr>
                <w:rFonts w:hint="eastAsia" w:ascii="宋体" w:hAnsi="宋体" w:cs="宋体"/>
                <w:color w:val="auto"/>
                <w:sz w:val="24"/>
                <w:highlight w:val="none"/>
              </w:rPr>
              <w:t>货物（空气能）</w:t>
            </w:r>
            <w:r>
              <w:rPr>
                <w:rFonts w:ascii="宋体" w:hAnsi="宋体" w:cs="宋体"/>
                <w:color w:val="auto"/>
                <w:sz w:val="24"/>
                <w:highlight w:val="none"/>
              </w:rPr>
              <w:t>总金额的40％；全部安装完毕验收合格后10日内支付至合同价的80%，审计完成后 10 日内支付至审定价的9</w:t>
            </w:r>
            <w:r>
              <w:rPr>
                <w:rFonts w:hint="eastAsia" w:ascii="宋体" w:hAnsi="宋体" w:cs="宋体"/>
                <w:color w:val="auto"/>
                <w:sz w:val="24"/>
                <w:highlight w:val="none"/>
              </w:rPr>
              <w:t>8</w:t>
            </w:r>
            <w:r>
              <w:rPr>
                <w:rFonts w:ascii="宋体" w:hAnsi="宋体" w:cs="宋体"/>
                <w:color w:val="auto"/>
                <w:sz w:val="24"/>
                <w:highlight w:val="none"/>
              </w:rPr>
              <w:t>.5%（支付该款项时，</w:t>
            </w:r>
            <w:r>
              <w:rPr>
                <w:rFonts w:hint="eastAsia" w:ascii="宋体" w:hAnsi="宋体" w:cs="宋体"/>
                <w:color w:val="auto"/>
                <w:sz w:val="24"/>
                <w:highlight w:val="none"/>
              </w:rPr>
              <w:t>中标人</w:t>
            </w:r>
            <w:r>
              <w:rPr>
                <w:rFonts w:ascii="宋体" w:hAnsi="宋体" w:cs="宋体"/>
                <w:color w:val="auto"/>
                <w:sz w:val="24"/>
                <w:highlight w:val="none"/>
              </w:rPr>
              <w:t>需提供该项目全额增值税专用发票</w:t>
            </w:r>
            <w:r>
              <w:rPr>
                <w:rFonts w:hint="eastAsia" w:ascii="宋体" w:hAnsi="宋体" w:cs="宋体"/>
                <w:color w:val="auto"/>
                <w:sz w:val="24"/>
                <w:highlight w:val="none"/>
              </w:rPr>
              <w:t>）；余款在质保期满后付清。</w:t>
            </w:r>
          </w:p>
        </w:tc>
      </w:tr>
      <w:tr w14:paraId="55D6FA4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846" w:hRule="atLeast"/>
        </w:trPr>
        <w:tc>
          <w:tcPr>
            <w:tcW w:w="1939" w:type="dxa"/>
            <w:vAlign w:val="center"/>
          </w:tcPr>
          <w:p w14:paraId="6E527A4E">
            <w:pPr>
              <w:widowControl/>
              <w:spacing w:line="0" w:lineRule="atLeast"/>
              <w:jc w:val="center"/>
              <w:rPr>
                <w:rFonts w:ascii="宋体" w:hAnsi="宋体" w:cs="宋体"/>
                <w:color w:val="auto"/>
                <w:sz w:val="24"/>
                <w:highlight w:val="none"/>
              </w:rPr>
            </w:pPr>
            <w:r>
              <w:rPr>
                <w:rFonts w:ascii="宋体" w:hAnsi="宋体" w:cs="宋体"/>
                <w:color w:val="auto"/>
                <w:sz w:val="24"/>
                <w:highlight w:val="none"/>
              </w:rPr>
              <w:t>报价组成</w:t>
            </w:r>
          </w:p>
        </w:tc>
        <w:tc>
          <w:tcPr>
            <w:tcW w:w="7816" w:type="dxa"/>
            <w:vAlign w:val="center"/>
          </w:tcPr>
          <w:p w14:paraId="028C975C">
            <w:pPr>
              <w:snapToGrid w:val="0"/>
              <w:rPr>
                <w:rFonts w:ascii="宋体" w:hAnsi="宋体" w:cs="宋体"/>
                <w:color w:val="auto"/>
                <w:sz w:val="24"/>
                <w:highlight w:val="none"/>
              </w:rPr>
            </w:pPr>
            <w:r>
              <w:rPr>
                <w:rFonts w:hint="eastAsia" w:ascii="宋体" w:hAnsi="宋体" w:cs="宋体"/>
                <w:color w:val="auto"/>
                <w:sz w:val="24"/>
                <w:highlight w:val="none"/>
              </w:rPr>
              <w:t>（1）投标报价应包括完成招标文件及图纸范围内的货款、标准附件、备品备件、专用工具、包装、运输、装卸、保险、税金、水电费、开孔及修补费、总包配合费（投标总价的1.5%）、货到就位以及保管、安装、调试、培训、保修等一切税金和费用。（总包配合内容包括垂直运输、配合城建档案归档、必要的土建配合（如填塞浇筑）、场地内机械设备、货物堆放场地等。具体事宜中标单位需与总包单位协商确定。）</w:t>
            </w:r>
          </w:p>
          <w:p w14:paraId="38D95298">
            <w:pPr>
              <w:snapToGrid w:val="0"/>
              <w:rPr>
                <w:rFonts w:ascii="宋体" w:hAnsi="宋体" w:cs="宋体"/>
                <w:color w:val="auto"/>
                <w:sz w:val="24"/>
                <w:highlight w:val="none"/>
              </w:rPr>
            </w:pPr>
            <w:r>
              <w:rPr>
                <w:rFonts w:hint="eastAsia" w:ascii="宋体" w:hAnsi="宋体" w:cs="宋体"/>
                <w:color w:val="auto"/>
                <w:sz w:val="24"/>
                <w:highlight w:val="none"/>
              </w:rPr>
              <w:t>（2）本次项目工程量详见清单与图纸，如有冲突，以图纸为准。图纸未有体现的，以清单为准。投标人的报价不止包含“采购清单”表中所列设备，还须包括完成图纸范围内系统所需要配件、辅助材料，直至系统具备招标中所要求的完整功能，达到设计使用规范，完成系统验收并移交。如涉及设计签单则另行计算。</w:t>
            </w:r>
          </w:p>
          <w:p w14:paraId="48B48F09">
            <w:pPr>
              <w:snapToGrid w:val="0"/>
              <w:rPr>
                <w:rFonts w:ascii="宋体" w:hAnsi="宋体" w:cs="宋体"/>
                <w:color w:val="auto"/>
                <w:sz w:val="24"/>
                <w:highlight w:val="none"/>
              </w:rPr>
            </w:pPr>
            <w:r>
              <w:rPr>
                <w:rFonts w:hint="eastAsia" w:ascii="宋体" w:hAnsi="宋体" w:cs="宋体"/>
                <w:color w:val="auto"/>
                <w:sz w:val="24"/>
                <w:highlight w:val="none"/>
              </w:rPr>
              <w:t>（3）中标人应考虑交货期间内材料等价格上涨因素，中标后的价格将不予调整。</w:t>
            </w:r>
          </w:p>
          <w:p w14:paraId="06DC35F6">
            <w:pPr>
              <w:snapToGrid w:val="0"/>
              <w:rPr>
                <w:rFonts w:ascii="宋体" w:hAnsi="宋体" w:cs="宋体"/>
                <w:color w:val="auto"/>
                <w:sz w:val="24"/>
                <w:highlight w:val="none"/>
              </w:rPr>
            </w:pPr>
            <w:r>
              <w:rPr>
                <w:rFonts w:hint="eastAsia" w:ascii="宋体" w:hAnsi="宋体" w:cs="宋体"/>
                <w:color w:val="auto"/>
                <w:sz w:val="24"/>
                <w:highlight w:val="none"/>
              </w:rPr>
              <w:t>（4）投标人须提供保证货物在验收合格后保修期内正常使用所必需的辅助材料、人员服务费用和检查、维护、保养费用等，其价格含在总价中。</w:t>
            </w:r>
          </w:p>
        </w:tc>
      </w:tr>
      <w:tr w14:paraId="44310D2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846" w:hRule="atLeast"/>
        </w:trPr>
        <w:tc>
          <w:tcPr>
            <w:tcW w:w="1939" w:type="dxa"/>
            <w:vAlign w:val="center"/>
          </w:tcPr>
          <w:p w14:paraId="4CA18AB2">
            <w:pPr>
              <w:pStyle w:val="28"/>
              <w:ind w:firstLine="0" w:firstLineChars="0"/>
              <w:jc w:val="left"/>
              <w:rPr>
                <w:rFonts w:ascii="宋体" w:hAnsi="宋体" w:cs="宋体"/>
                <w:color w:val="auto"/>
                <w:sz w:val="24"/>
                <w:highlight w:val="none"/>
              </w:rPr>
            </w:pPr>
            <w:r>
              <w:rPr>
                <w:rFonts w:hint="eastAsia" w:ascii="宋体" w:hAnsi="宋体" w:eastAsia="宋体" w:cs="仿宋"/>
                <w:color w:val="auto"/>
                <w:kern w:val="0"/>
                <w:sz w:val="24"/>
                <w:highlight w:val="none"/>
              </w:rPr>
              <w:t>产品及服务质量保证</w:t>
            </w:r>
          </w:p>
        </w:tc>
        <w:tc>
          <w:tcPr>
            <w:tcW w:w="7816" w:type="dxa"/>
            <w:vAlign w:val="center"/>
          </w:tcPr>
          <w:p w14:paraId="30C911EE">
            <w:pPr>
              <w:snapToGrid w:val="0"/>
              <w:rPr>
                <w:rFonts w:ascii="宋体" w:hAnsi="宋体" w:cs="宋体"/>
                <w:color w:val="auto"/>
                <w:sz w:val="24"/>
                <w:highlight w:val="none"/>
              </w:rPr>
            </w:pPr>
            <w:r>
              <w:rPr>
                <w:rFonts w:hint="eastAsia" w:ascii="宋体" w:hAnsi="宋体" w:cs="宋体"/>
                <w:color w:val="auto"/>
                <w:sz w:val="24"/>
                <w:highlight w:val="none"/>
              </w:rPr>
              <w:t>（1）供应商保证所供的商品必须是出厂原装合格产品,如发生所供的商品与合同不符,采购人有权拒收或退货,由此产生的一切责任和后果由供应商承担。质保期自货物验收合格之日起计。</w:t>
            </w:r>
          </w:p>
          <w:p w14:paraId="27F467D8">
            <w:pPr>
              <w:snapToGrid w:val="0"/>
              <w:rPr>
                <w:rFonts w:ascii="宋体" w:hAnsi="宋体" w:cs="宋体"/>
                <w:color w:val="auto"/>
                <w:sz w:val="24"/>
                <w:highlight w:val="none"/>
              </w:rPr>
            </w:pPr>
            <w:r>
              <w:rPr>
                <w:rFonts w:hint="eastAsia" w:ascii="宋体" w:hAnsi="宋体" w:cs="宋体"/>
                <w:color w:val="auto"/>
                <w:sz w:val="24"/>
                <w:highlight w:val="none"/>
              </w:rPr>
              <w:t>（2）在所供商品交付时，供应商必须向采购人提供产品说明书、质量保证书、保修卡等必须具备的相关资料和必备附件。</w:t>
            </w:r>
          </w:p>
        </w:tc>
      </w:tr>
      <w:tr w14:paraId="14D3702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846" w:hRule="atLeast"/>
        </w:trPr>
        <w:tc>
          <w:tcPr>
            <w:tcW w:w="1939" w:type="dxa"/>
            <w:vAlign w:val="center"/>
          </w:tcPr>
          <w:p w14:paraId="27F0387C">
            <w:pPr>
              <w:spacing w:line="360" w:lineRule="exact"/>
              <w:jc w:val="center"/>
              <w:rPr>
                <w:rFonts w:ascii="宋体" w:hAnsi="宋体" w:cs="宋体"/>
                <w:color w:val="auto"/>
                <w:sz w:val="24"/>
                <w:highlight w:val="none"/>
              </w:rPr>
            </w:pPr>
            <w:r>
              <w:rPr>
                <w:rFonts w:hint="eastAsia" w:ascii="宋体" w:hAnsi="宋体" w:cs="宋体"/>
                <w:color w:val="auto"/>
                <w:sz w:val="24"/>
                <w:highlight w:val="none"/>
              </w:rPr>
              <w:t>合同终止</w:t>
            </w:r>
          </w:p>
        </w:tc>
        <w:tc>
          <w:tcPr>
            <w:tcW w:w="7816" w:type="dxa"/>
            <w:vAlign w:val="center"/>
          </w:tcPr>
          <w:p w14:paraId="158BEB84">
            <w:pPr>
              <w:snapToGrid w:val="0"/>
              <w:rPr>
                <w:rFonts w:ascii="宋体" w:hAnsi="宋体" w:cs="宋体"/>
                <w:color w:val="auto"/>
                <w:sz w:val="24"/>
                <w:highlight w:val="none"/>
              </w:rPr>
            </w:pPr>
            <w:r>
              <w:rPr>
                <w:rFonts w:hint="eastAsia" w:ascii="宋体" w:hAnsi="宋体" w:cs="宋体"/>
                <w:color w:val="auto"/>
                <w:sz w:val="24"/>
                <w:highlight w:val="none"/>
              </w:rPr>
              <w:t>（1）未能使合同货物达到合同附件规定的技术性能和指标的；</w:t>
            </w:r>
          </w:p>
          <w:p w14:paraId="4C1A4631">
            <w:pPr>
              <w:snapToGrid w:val="0"/>
              <w:rPr>
                <w:rFonts w:ascii="宋体" w:hAnsi="宋体" w:cs="宋体"/>
                <w:color w:val="auto"/>
                <w:sz w:val="24"/>
                <w:highlight w:val="none"/>
              </w:rPr>
            </w:pPr>
            <w:r>
              <w:rPr>
                <w:rFonts w:hint="eastAsia" w:ascii="宋体" w:hAnsi="宋体" w:cs="宋体"/>
                <w:color w:val="auto"/>
                <w:sz w:val="24"/>
                <w:highlight w:val="none"/>
              </w:rPr>
              <w:t>（2）未能在合同规定的期限（或采购人同意延长的最终期限）内提供全部或部分货物的；</w:t>
            </w:r>
          </w:p>
          <w:p w14:paraId="4B5558CC">
            <w:pPr>
              <w:snapToGrid w:val="0"/>
              <w:rPr>
                <w:rFonts w:ascii="宋体" w:hAnsi="宋体" w:cs="宋体"/>
                <w:color w:val="auto"/>
                <w:sz w:val="24"/>
                <w:highlight w:val="none"/>
              </w:rPr>
            </w:pPr>
            <w:r>
              <w:rPr>
                <w:rFonts w:hint="eastAsia" w:ascii="宋体" w:hAnsi="宋体" w:cs="宋体"/>
                <w:color w:val="auto"/>
                <w:sz w:val="24"/>
                <w:highlight w:val="none"/>
              </w:rPr>
              <w:t>（3）未能履行合同规定的其它义务。</w:t>
            </w:r>
          </w:p>
        </w:tc>
      </w:tr>
    </w:tbl>
    <w:p w14:paraId="70AA9107">
      <w:pPr>
        <w:pStyle w:val="28"/>
        <w:ind w:firstLine="588"/>
        <w:rPr>
          <w:color w:val="auto"/>
          <w:highlight w:val="none"/>
        </w:rPr>
        <w:sectPr>
          <w:pgSz w:w="11906" w:h="16838"/>
          <w:pgMar w:top="1276" w:right="1418" w:bottom="1247" w:left="1418" w:header="851" w:footer="992" w:gutter="0"/>
          <w:cols w:space="720" w:num="1"/>
          <w:titlePg/>
          <w:docGrid w:linePitch="312" w:charSpace="0"/>
        </w:sectPr>
      </w:pPr>
    </w:p>
    <w:bookmarkEnd w:id="27"/>
    <w:p w14:paraId="076C8056">
      <w:pPr>
        <w:snapToGrid w:val="0"/>
        <w:spacing w:line="360" w:lineRule="auto"/>
        <w:jc w:val="center"/>
        <w:rPr>
          <w:rFonts w:cs="仿宋" w:asciiTheme="majorEastAsia" w:hAnsiTheme="majorEastAsia" w:eastAsiaTheme="majorEastAsia"/>
          <w:b/>
          <w:color w:val="auto"/>
          <w:sz w:val="36"/>
          <w:szCs w:val="36"/>
          <w:highlight w:val="none"/>
        </w:rPr>
      </w:pPr>
      <w:r>
        <w:rPr>
          <w:rFonts w:hint="eastAsia" w:cs="仿宋" w:asciiTheme="majorEastAsia" w:hAnsiTheme="majorEastAsia" w:eastAsiaTheme="majorEastAsia"/>
          <w:b/>
          <w:color w:val="auto"/>
          <w:sz w:val="36"/>
          <w:szCs w:val="36"/>
          <w:highlight w:val="none"/>
        </w:rPr>
        <w:t xml:space="preserve">第四部分   </w:t>
      </w:r>
      <w:bookmarkStart w:id="79" w:name="_Toc184308052"/>
      <w:bookmarkEnd w:id="79"/>
      <w:bookmarkStart w:id="80" w:name="_Toc184312071"/>
      <w:bookmarkEnd w:id="80"/>
      <w:bookmarkStart w:id="81" w:name="_Toc184310291"/>
      <w:bookmarkEnd w:id="81"/>
      <w:bookmarkStart w:id="82" w:name="_Toc184313249"/>
      <w:bookmarkEnd w:id="82"/>
      <w:bookmarkStart w:id="83" w:name="_Toc184310329"/>
      <w:bookmarkEnd w:id="83"/>
      <w:bookmarkStart w:id="84" w:name="_Toc184312116"/>
      <w:bookmarkEnd w:id="84"/>
      <w:bookmarkStart w:id="85" w:name="_Toc184313298"/>
      <w:bookmarkEnd w:id="85"/>
      <w:bookmarkStart w:id="86" w:name="_Toc184312093"/>
      <w:bookmarkEnd w:id="86"/>
      <w:bookmarkStart w:id="87" w:name="_Toc184310289"/>
      <w:bookmarkEnd w:id="87"/>
      <w:bookmarkStart w:id="88" w:name="_Toc184310310"/>
      <w:bookmarkEnd w:id="88"/>
      <w:bookmarkStart w:id="89" w:name="_Toc184314421"/>
      <w:bookmarkEnd w:id="89"/>
      <w:bookmarkStart w:id="90" w:name="_Toc184310285"/>
      <w:bookmarkEnd w:id="90"/>
      <w:bookmarkStart w:id="91" w:name="_Toc184314474"/>
      <w:bookmarkEnd w:id="91"/>
      <w:bookmarkStart w:id="92" w:name="_Toc184310306"/>
      <w:bookmarkEnd w:id="92"/>
      <w:bookmarkStart w:id="93" w:name="_Toc184308089"/>
      <w:bookmarkEnd w:id="93"/>
      <w:bookmarkStart w:id="94" w:name="_Toc184308092"/>
      <w:bookmarkEnd w:id="94"/>
      <w:bookmarkStart w:id="95" w:name="_Toc184312068"/>
      <w:bookmarkEnd w:id="95"/>
      <w:bookmarkStart w:id="96" w:name="_Toc184308072"/>
      <w:bookmarkEnd w:id="96"/>
      <w:bookmarkStart w:id="97" w:name="_Toc184314411"/>
      <w:bookmarkEnd w:id="97"/>
      <w:bookmarkStart w:id="98" w:name="_Toc184312126"/>
      <w:bookmarkEnd w:id="98"/>
      <w:bookmarkStart w:id="99" w:name="_Toc184313273"/>
      <w:bookmarkEnd w:id="99"/>
      <w:bookmarkStart w:id="100" w:name="_Toc184310317"/>
      <w:bookmarkEnd w:id="100"/>
      <w:bookmarkStart w:id="101" w:name="_Toc184314482"/>
      <w:bookmarkEnd w:id="101"/>
      <w:bookmarkStart w:id="102" w:name="_Toc184314475"/>
      <w:bookmarkEnd w:id="102"/>
      <w:bookmarkStart w:id="103" w:name="_Toc184313304"/>
      <w:bookmarkEnd w:id="103"/>
      <w:bookmarkStart w:id="104" w:name="_Toc184308057"/>
      <w:bookmarkEnd w:id="104"/>
      <w:bookmarkStart w:id="105" w:name="_Toc184314412"/>
      <w:bookmarkEnd w:id="105"/>
      <w:bookmarkStart w:id="106" w:name="_Toc184310335"/>
      <w:bookmarkEnd w:id="106"/>
      <w:bookmarkStart w:id="107" w:name="_Toc184308044"/>
      <w:bookmarkEnd w:id="107"/>
      <w:bookmarkStart w:id="108" w:name="_Toc184313282"/>
      <w:bookmarkEnd w:id="108"/>
      <w:bookmarkStart w:id="109" w:name="_Toc184312082"/>
      <w:bookmarkEnd w:id="109"/>
      <w:bookmarkStart w:id="110" w:name="_Toc184314462"/>
      <w:bookmarkEnd w:id="110"/>
      <w:bookmarkStart w:id="111" w:name="_Toc184308104"/>
      <w:bookmarkEnd w:id="111"/>
      <w:bookmarkStart w:id="112" w:name="_Toc184314429"/>
      <w:bookmarkEnd w:id="112"/>
      <w:bookmarkStart w:id="113" w:name="_Toc184312127"/>
      <w:bookmarkEnd w:id="113"/>
      <w:bookmarkStart w:id="114" w:name="_Toc184313290"/>
      <w:bookmarkEnd w:id="114"/>
      <w:bookmarkStart w:id="115" w:name="_Toc184308107"/>
      <w:bookmarkEnd w:id="115"/>
      <w:bookmarkStart w:id="116" w:name="_Toc184313252"/>
      <w:bookmarkEnd w:id="116"/>
      <w:bookmarkStart w:id="117" w:name="_Toc184312099"/>
      <w:bookmarkEnd w:id="117"/>
      <w:bookmarkStart w:id="118" w:name="_Toc184310273"/>
      <w:bookmarkEnd w:id="118"/>
      <w:bookmarkStart w:id="119" w:name="_Toc184308101"/>
      <w:bookmarkEnd w:id="119"/>
      <w:bookmarkStart w:id="120" w:name="_Toc184314472"/>
      <w:bookmarkEnd w:id="120"/>
      <w:bookmarkStart w:id="121" w:name="_Toc184310321"/>
      <w:bookmarkEnd w:id="121"/>
      <w:bookmarkStart w:id="122" w:name="_Toc184313291"/>
      <w:bookmarkEnd w:id="122"/>
      <w:bookmarkStart w:id="123" w:name="_Toc184310286"/>
      <w:bookmarkEnd w:id="123"/>
      <w:bookmarkStart w:id="124" w:name="_Toc184308086"/>
      <w:bookmarkEnd w:id="124"/>
      <w:bookmarkStart w:id="125" w:name="_Toc184310337"/>
      <w:bookmarkEnd w:id="125"/>
      <w:bookmarkStart w:id="126" w:name="_Toc184314458"/>
      <w:bookmarkEnd w:id="126"/>
      <w:bookmarkStart w:id="127" w:name="_Toc184314433"/>
      <w:bookmarkEnd w:id="127"/>
      <w:bookmarkStart w:id="128" w:name="_Toc184308102"/>
      <w:bookmarkEnd w:id="128"/>
      <w:bookmarkStart w:id="129" w:name="_Toc184312121"/>
      <w:bookmarkEnd w:id="129"/>
      <w:bookmarkStart w:id="130" w:name="_Toc184312076"/>
      <w:bookmarkEnd w:id="130"/>
      <w:bookmarkStart w:id="131" w:name="_Toc184312102"/>
      <w:bookmarkEnd w:id="131"/>
      <w:bookmarkStart w:id="132" w:name="_Toc184308068"/>
      <w:bookmarkEnd w:id="132"/>
      <w:bookmarkStart w:id="133" w:name="_Toc184312124"/>
      <w:bookmarkEnd w:id="133"/>
      <w:bookmarkStart w:id="134" w:name="_Toc184314443"/>
      <w:bookmarkEnd w:id="134"/>
      <w:bookmarkStart w:id="135" w:name="_Toc184310342"/>
      <w:bookmarkEnd w:id="135"/>
      <w:bookmarkStart w:id="136" w:name="_Toc184310305"/>
      <w:bookmarkEnd w:id="136"/>
      <w:bookmarkStart w:id="137" w:name="_Toc184314465"/>
      <w:bookmarkEnd w:id="137"/>
      <w:bookmarkStart w:id="138" w:name="_Toc184310324"/>
      <w:bookmarkEnd w:id="138"/>
      <w:bookmarkStart w:id="139" w:name="_Toc184310302"/>
      <w:bookmarkEnd w:id="139"/>
      <w:bookmarkStart w:id="140" w:name="_Toc184308053"/>
      <w:bookmarkEnd w:id="140"/>
      <w:bookmarkStart w:id="141" w:name="_Toc184308067"/>
      <w:bookmarkEnd w:id="141"/>
      <w:bookmarkStart w:id="142" w:name="_Toc184313296"/>
      <w:bookmarkEnd w:id="142"/>
      <w:bookmarkStart w:id="143" w:name="_Toc184314445"/>
      <w:bookmarkEnd w:id="143"/>
      <w:bookmarkStart w:id="144" w:name="_Toc184313294"/>
      <w:bookmarkEnd w:id="144"/>
      <w:bookmarkStart w:id="145" w:name="_Toc184313277"/>
      <w:bookmarkEnd w:id="145"/>
      <w:bookmarkStart w:id="146" w:name="_Toc184312089"/>
      <w:bookmarkEnd w:id="146"/>
      <w:bookmarkStart w:id="147" w:name="_Toc184313288"/>
      <w:bookmarkEnd w:id="147"/>
      <w:bookmarkStart w:id="148" w:name="_Toc184314435"/>
      <w:bookmarkEnd w:id="148"/>
      <w:bookmarkStart w:id="149" w:name="_Toc184310319"/>
      <w:bookmarkEnd w:id="149"/>
      <w:bookmarkStart w:id="150" w:name="_Toc184314442"/>
      <w:bookmarkEnd w:id="150"/>
      <w:bookmarkStart w:id="151" w:name="_Toc184310323"/>
      <w:bookmarkEnd w:id="151"/>
      <w:bookmarkStart w:id="152" w:name="_Toc184308091"/>
      <w:bookmarkEnd w:id="152"/>
      <w:bookmarkStart w:id="153" w:name="_Toc184312108"/>
      <w:bookmarkEnd w:id="153"/>
      <w:bookmarkStart w:id="154" w:name="_Toc184312104"/>
      <w:bookmarkEnd w:id="154"/>
      <w:bookmarkStart w:id="155" w:name="_Toc184310276"/>
      <w:bookmarkEnd w:id="155"/>
      <w:bookmarkStart w:id="156" w:name="_Toc184308049"/>
      <w:bookmarkEnd w:id="156"/>
      <w:bookmarkStart w:id="157" w:name="_Toc184313238"/>
      <w:bookmarkEnd w:id="157"/>
      <w:bookmarkStart w:id="158" w:name="_Toc184314424"/>
      <w:bookmarkEnd w:id="158"/>
      <w:bookmarkStart w:id="159" w:name="_Toc184312113"/>
      <w:bookmarkEnd w:id="159"/>
      <w:bookmarkStart w:id="160" w:name="_Toc184308099"/>
      <w:bookmarkEnd w:id="160"/>
      <w:bookmarkStart w:id="161" w:name="_Toc184314418"/>
      <w:bookmarkEnd w:id="161"/>
      <w:bookmarkStart w:id="162" w:name="_Toc184312118"/>
      <w:bookmarkEnd w:id="162"/>
      <w:bookmarkStart w:id="163" w:name="_Toc184313299"/>
      <w:bookmarkEnd w:id="163"/>
      <w:bookmarkStart w:id="164" w:name="_Toc184313285"/>
      <w:bookmarkEnd w:id="164"/>
      <w:bookmarkStart w:id="165" w:name="_Toc184310300"/>
      <w:bookmarkEnd w:id="165"/>
      <w:bookmarkStart w:id="166" w:name="_Toc184314419"/>
      <w:bookmarkEnd w:id="166"/>
      <w:bookmarkStart w:id="167" w:name="_Toc184310290"/>
      <w:bookmarkEnd w:id="167"/>
      <w:bookmarkStart w:id="168" w:name="_Toc184308061"/>
      <w:bookmarkEnd w:id="168"/>
      <w:bookmarkStart w:id="169" w:name="_Toc184310322"/>
      <w:bookmarkEnd w:id="169"/>
      <w:bookmarkStart w:id="170" w:name="_Toc184313270"/>
      <w:bookmarkEnd w:id="170"/>
      <w:bookmarkStart w:id="171" w:name="_Toc184314452"/>
      <w:bookmarkEnd w:id="171"/>
      <w:bookmarkStart w:id="172" w:name="_Toc184310338"/>
      <w:bookmarkEnd w:id="172"/>
      <w:bookmarkStart w:id="173" w:name="_Toc184308066"/>
      <w:bookmarkEnd w:id="173"/>
      <w:bookmarkStart w:id="174" w:name="_Toc184308056"/>
      <w:bookmarkEnd w:id="174"/>
      <w:bookmarkStart w:id="175" w:name="_Toc184314461"/>
      <w:bookmarkEnd w:id="175"/>
      <w:bookmarkStart w:id="176" w:name="_Toc184308038"/>
      <w:bookmarkEnd w:id="176"/>
      <w:bookmarkStart w:id="177" w:name="_Toc184310334"/>
      <w:bookmarkEnd w:id="177"/>
      <w:bookmarkStart w:id="178" w:name="_Toc184313300"/>
      <w:bookmarkEnd w:id="178"/>
      <w:bookmarkStart w:id="179" w:name="_Toc184310316"/>
      <w:bookmarkEnd w:id="179"/>
      <w:bookmarkStart w:id="180" w:name="_Toc184308062"/>
      <w:bookmarkEnd w:id="180"/>
      <w:bookmarkStart w:id="181" w:name="_Toc184310325"/>
      <w:bookmarkEnd w:id="181"/>
      <w:bookmarkStart w:id="182" w:name="_Toc184308083"/>
      <w:bookmarkEnd w:id="182"/>
      <w:bookmarkStart w:id="183" w:name="_Toc184314451"/>
      <w:bookmarkEnd w:id="183"/>
      <w:bookmarkStart w:id="184" w:name="_Toc184312107"/>
      <w:bookmarkEnd w:id="184"/>
      <w:bookmarkStart w:id="185" w:name="_Toc184312123"/>
      <w:bookmarkEnd w:id="185"/>
      <w:bookmarkStart w:id="186" w:name="_Toc184313272"/>
      <w:bookmarkEnd w:id="186"/>
      <w:bookmarkStart w:id="187" w:name="_Toc184314439"/>
      <w:bookmarkEnd w:id="187"/>
      <w:bookmarkStart w:id="188" w:name="_Toc184308078"/>
      <w:bookmarkEnd w:id="188"/>
      <w:bookmarkStart w:id="189" w:name="_Toc184314468"/>
      <w:bookmarkEnd w:id="189"/>
      <w:bookmarkStart w:id="190" w:name="_Toc184310312"/>
      <w:bookmarkEnd w:id="190"/>
      <w:bookmarkStart w:id="191" w:name="_Toc184313265"/>
      <w:bookmarkEnd w:id="191"/>
      <w:bookmarkStart w:id="192" w:name="_Toc184313305"/>
      <w:bookmarkEnd w:id="192"/>
      <w:bookmarkStart w:id="193" w:name="_Toc184312081"/>
      <w:bookmarkEnd w:id="193"/>
      <w:bookmarkStart w:id="194" w:name="_Toc184308050"/>
      <w:bookmarkEnd w:id="194"/>
      <w:bookmarkStart w:id="195" w:name="_Toc184314427"/>
      <w:bookmarkEnd w:id="195"/>
      <w:bookmarkStart w:id="196" w:name="_Toc184308093"/>
      <w:bookmarkEnd w:id="196"/>
      <w:bookmarkStart w:id="197" w:name="_Toc184314414"/>
      <w:bookmarkEnd w:id="197"/>
      <w:bookmarkStart w:id="198" w:name="_Toc184313239"/>
      <w:bookmarkEnd w:id="198"/>
      <w:bookmarkStart w:id="199" w:name="_Toc184314432"/>
      <w:bookmarkEnd w:id="199"/>
      <w:bookmarkStart w:id="200" w:name="_Toc184308063"/>
      <w:bookmarkEnd w:id="200"/>
      <w:bookmarkStart w:id="201" w:name="_Toc184313264"/>
      <w:bookmarkEnd w:id="201"/>
      <w:bookmarkStart w:id="202" w:name="_Toc184314425"/>
      <w:bookmarkEnd w:id="202"/>
      <w:bookmarkStart w:id="203" w:name="_Toc184312079"/>
      <w:bookmarkEnd w:id="203"/>
      <w:bookmarkStart w:id="204" w:name="_Toc184310274"/>
      <w:bookmarkEnd w:id="204"/>
      <w:bookmarkStart w:id="205" w:name="_Toc184308037"/>
      <w:bookmarkEnd w:id="205"/>
      <w:bookmarkStart w:id="206" w:name="_Toc184314463"/>
      <w:bookmarkEnd w:id="206"/>
      <w:bookmarkStart w:id="207" w:name="_Toc184313266"/>
      <w:bookmarkEnd w:id="207"/>
      <w:bookmarkStart w:id="208" w:name="_Toc184312097"/>
      <w:bookmarkEnd w:id="208"/>
      <w:bookmarkStart w:id="209" w:name="_Toc184313254"/>
      <w:bookmarkEnd w:id="209"/>
      <w:bookmarkStart w:id="210" w:name="_Toc184310298"/>
      <w:bookmarkEnd w:id="210"/>
      <w:bookmarkStart w:id="211" w:name="_Toc184314417"/>
      <w:bookmarkEnd w:id="211"/>
      <w:bookmarkStart w:id="212" w:name="_Toc184312139"/>
      <w:bookmarkEnd w:id="212"/>
      <w:bookmarkStart w:id="213" w:name="_Toc184312130"/>
      <w:bookmarkEnd w:id="213"/>
      <w:bookmarkStart w:id="214" w:name="_Toc184314415"/>
      <w:bookmarkEnd w:id="214"/>
      <w:bookmarkStart w:id="215" w:name="_Toc184313259"/>
      <w:bookmarkEnd w:id="215"/>
      <w:bookmarkStart w:id="216" w:name="_Toc184313251"/>
      <w:bookmarkEnd w:id="216"/>
      <w:bookmarkStart w:id="217" w:name="_Toc184314430"/>
      <w:bookmarkEnd w:id="217"/>
      <w:bookmarkStart w:id="218" w:name="_Toc184310284"/>
      <w:bookmarkEnd w:id="218"/>
      <w:bookmarkStart w:id="219" w:name="_Toc184313271"/>
      <w:bookmarkEnd w:id="219"/>
      <w:bookmarkStart w:id="220" w:name="_Toc184312094"/>
      <w:bookmarkEnd w:id="220"/>
      <w:bookmarkStart w:id="221" w:name="_Toc184308040"/>
      <w:bookmarkEnd w:id="221"/>
      <w:bookmarkStart w:id="222" w:name="_Toc184313308"/>
      <w:bookmarkEnd w:id="222"/>
      <w:bookmarkStart w:id="223" w:name="_Toc184308095"/>
      <w:bookmarkEnd w:id="223"/>
      <w:bookmarkStart w:id="224" w:name="_Toc184310333"/>
      <w:bookmarkEnd w:id="224"/>
      <w:bookmarkStart w:id="225" w:name="_Toc184314471"/>
      <w:bookmarkEnd w:id="225"/>
      <w:bookmarkStart w:id="226" w:name="_Toc184310296"/>
      <w:bookmarkEnd w:id="226"/>
      <w:bookmarkStart w:id="227" w:name="_Toc184310287"/>
      <w:bookmarkEnd w:id="227"/>
      <w:bookmarkStart w:id="228" w:name="_Toc184313287"/>
      <w:bookmarkEnd w:id="228"/>
      <w:bookmarkStart w:id="229" w:name="_Toc184312114"/>
      <w:bookmarkEnd w:id="229"/>
      <w:bookmarkStart w:id="230" w:name="_Toc184308079"/>
      <w:bookmarkEnd w:id="230"/>
      <w:bookmarkStart w:id="231" w:name="_Toc184308084"/>
      <w:bookmarkEnd w:id="231"/>
      <w:bookmarkStart w:id="232" w:name="_Toc184314467"/>
      <w:bookmarkEnd w:id="232"/>
      <w:bookmarkStart w:id="233" w:name="_Toc184312122"/>
      <w:bookmarkEnd w:id="233"/>
      <w:bookmarkStart w:id="234" w:name="_Toc184312088"/>
      <w:bookmarkEnd w:id="234"/>
      <w:bookmarkStart w:id="235" w:name="_Toc184310283"/>
      <w:bookmarkEnd w:id="235"/>
      <w:bookmarkStart w:id="236" w:name="_Toc184308069"/>
      <w:bookmarkEnd w:id="236"/>
      <w:bookmarkStart w:id="237" w:name="_Toc184312133"/>
      <w:bookmarkEnd w:id="237"/>
      <w:bookmarkStart w:id="238" w:name="_Toc184312075"/>
      <w:bookmarkEnd w:id="238"/>
      <w:bookmarkStart w:id="239" w:name="_Toc184312110"/>
      <w:bookmarkEnd w:id="239"/>
      <w:bookmarkStart w:id="240" w:name="_Toc184312105"/>
      <w:bookmarkEnd w:id="240"/>
      <w:bookmarkStart w:id="241" w:name="_Toc184313253"/>
      <w:bookmarkEnd w:id="241"/>
      <w:bookmarkStart w:id="242" w:name="_Toc184313275"/>
      <w:bookmarkEnd w:id="242"/>
      <w:bookmarkStart w:id="243" w:name="_Toc184308071"/>
      <w:bookmarkEnd w:id="243"/>
      <w:bookmarkStart w:id="244" w:name="_Toc184314434"/>
      <w:bookmarkEnd w:id="244"/>
      <w:bookmarkStart w:id="245" w:name="_Toc184308081"/>
      <w:bookmarkEnd w:id="245"/>
      <w:bookmarkStart w:id="246" w:name="_Toc184313301"/>
      <w:bookmarkEnd w:id="246"/>
      <w:bookmarkStart w:id="247" w:name="_Toc184313246"/>
      <w:bookmarkEnd w:id="247"/>
      <w:bookmarkStart w:id="248" w:name="_Toc184314453"/>
      <w:bookmarkEnd w:id="248"/>
      <w:bookmarkStart w:id="249" w:name="_Toc184308094"/>
      <w:bookmarkEnd w:id="249"/>
      <w:bookmarkStart w:id="250" w:name="_Toc184313269"/>
      <w:bookmarkEnd w:id="250"/>
      <w:bookmarkStart w:id="251" w:name="_Toc184313310"/>
      <w:bookmarkEnd w:id="251"/>
      <w:bookmarkStart w:id="252" w:name="_Toc184312086"/>
      <w:bookmarkEnd w:id="252"/>
      <w:bookmarkStart w:id="253" w:name="_Toc184310330"/>
      <w:bookmarkEnd w:id="253"/>
      <w:bookmarkStart w:id="254" w:name="_Toc184313250"/>
      <w:bookmarkEnd w:id="254"/>
      <w:bookmarkStart w:id="255" w:name="_Toc184308051"/>
      <w:bookmarkEnd w:id="255"/>
      <w:bookmarkStart w:id="256" w:name="_Toc184314422"/>
      <w:bookmarkEnd w:id="256"/>
      <w:bookmarkStart w:id="257" w:name="_Toc184314470"/>
      <w:bookmarkEnd w:id="257"/>
      <w:bookmarkStart w:id="258" w:name="_Toc184314426"/>
      <w:bookmarkEnd w:id="258"/>
      <w:bookmarkStart w:id="259" w:name="_Toc184313309"/>
      <w:bookmarkEnd w:id="259"/>
      <w:bookmarkStart w:id="260" w:name="_Toc184312132"/>
      <w:bookmarkEnd w:id="260"/>
      <w:bookmarkStart w:id="261" w:name="_Toc184312101"/>
      <w:bookmarkEnd w:id="261"/>
      <w:bookmarkStart w:id="262" w:name="_Toc184313286"/>
      <w:bookmarkEnd w:id="262"/>
      <w:bookmarkStart w:id="263" w:name="_Toc184314436"/>
      <w:bookmarkEnd w:id="263"/>
      <w:bookmarkStart w:id="264" w:name="_Toc184310326"/>
      <w:bookmarkEnd w:id="264"/>
      <w:bookmarkStart w:id="265" w:name="_Toc184308103"/>
      <w:bookmarkEnd w:id="265"/>
      <w:bookmarkStart w:id="266" w:name="_Toc184308064"/>
      <w:bookmarkEnd w:id="266"/>
      <w:bookmarkStart w:id="267" w:name="_Toc184310277"/>
      <w:bookmarkEnd w:id="267"/>
      <w:bookmarkStart w:id="268" w:name="_Toc184310294"/>
      <w:bookmarkEnd w:id="268"/>
      <w:bookmarkStart w:id="269" w:name="_Toc184308100"/>
      <w:bookmarkEnd w:id="269"/>
      <w:bookmarkStart w:id="270" w:name="_Toc184312090"/>
      <w:bookmarkEnd w:id="270"/>
      <w:bookmarkStart w:id="271" w:name="_Toc184312134"/>
      <w:bookmarkEnd w:id="271"/>
      <w:bookmarkStart w:id="272" w:name="_Toc184314455"/>
      <w:bookmarkEnd w:id="272"/>
      <w:bookmarkStart w:id="273" w:name="_Toc184314460"/>
      <w:bookmarkEnd w:id="273"/>
      <w:bookmarkStart w:id="274" w:name="_Toc184310307"/>
      <w:bookmarkEnd w:id="274"/>
      <w:bookmarkStart w:id="275" w:name="_Toc184308059"/>
      <w:bookmarkEnd w:id="275"/>
      <w:bookmarkStart w:id="276" w:name="_Toc184313244"/>
      <w:bookmarkEnd w:id="276"/>
      <w:bookmarkStart w:id="277" w:name="_Toc184313268"/>
      <w:bookmarkEnd w:id="277"/>
      <w:bookmarkStart w:id="278" w:name="_Toc184314416"/>
      <w:bookmarkEnd w:id="278"/>
      <w:bookmarkStart w:id="279" w:name="_Toc184313243"/>
      <w:bookmarkEnd w:id="279"/>
      <w:bookmarkStart w:id="280" w:name="_Toc184310280"/>
      <w:bookmarkEnd w:id="280"/>
      <w:bookmarkStart w:id="281" w:name="_Toc184314450"/>
      <w:bookmarkEnd w:id="281"/>
      <w:bookmarkStart w:id="282" w:name="_Toc184313283"/>
      <w:bookmarkEnd w:id="282"/>
      <w:bookmarkStart w:id="283" w:name="_Toc184310328"/>
      <w:bookmarkEnd w:id="283"/>
      <w:bookmarkStart w:id="284" w:name="_Toc184314423"/>
      <w:bookmarkEnd w:id="284"/>
      <w:bookmarkStart w:id="285" w:name="_Toc184312109"/>
      <w:bookmarkEnd w:id="285"/>
      <w:bookmarkStart w:id="286" w:name="_Toc184308065"/>
      <w:bookmarkEnd w:id="286"/>
      <w:bookmarkStart w:id="287" w:name="_Toc184313303"/>
      <w:bookmarkEnd w:id="287"/>
      <w:bookmarkStart w:id="288" w:name="_Toc184313280"/>
      <w:bookmarkEnd w:id="288"/>
      <w:bookmarkStart w:id="289" w:name="_Toc184313257"/>
      <w:bookmarkEnd w:id="289"/>
      <w:bookmarkStart w:id="290" w:name="_Toc184310299"/>
      <w:bookmarkEnd w:id="290"/>
      <w:bookmarkStart w:id="291" w:name="_Toc184310320"/>
      <w:bookmarkEnd w:id="291"/>
      <w:bookmarkStart w:id="292" w:name="_Toc184312137"/>
      <w:bookmarkEnd w:id="292"/>
      <w:bookmarkStart w:id="293" w:name="_Toc184312106"/>
      <w:bookmarkEnd w:id="293"/>
      <w:bookmarkStart w:id="294" w:name="_Toc184313262"/>
      <w:bookmarkEnd w:id="294"/>
      <w:bookmarkStart w:id="295" w:name="_Toc184312138"/>
      <w:bookmarkEnd w:id="295"/>
      <w:bookmarkStart w:id="296" w:name="_Toc184310340"/>
      <w:bookmarkEnd w:id="296"/>
      <w:bookmarkStart w:id="297" w:name="_Toc184314456"/>
      <w:bookmarkEnd w:id="297"/>
      <w:bookmarkStart w:id="298" w:name="_Toc184308082"/>
      <w:bookmarkEnd w:id="298"/>
      <w:bookmarkStart w:id="299" w:name="_Toc184308036"/>
      <w:bookmarkEnd w:id="299"/>
      <w:bookmarkStart w:id="300" w:name="_Toc184314447"/>
      <w:bookmarkEnd w:id="300"/>
      <w:bookmarkStart w:id="301" w:name="_Toc184312112"/>
      <w:bookmarkEnd w:id="301"/>
      <w:bookmarkStart w:id="302" w:name="_Toc184310313"/>
      <w:bookmarkEnd w:id="302"/>
      <w:bookmarkStart w:id="303" w:name="_Toc184310303"/>
      <w:bookmarkEnd w:id="303"/>
      <w:bookmarkStart w:id="304" w:name="_Toc184312077"/>
      <w:bookmarkEnd w:id="304"/>
      <w:bookmarkStart w:id="305" w:name="_Toc184313279"/>
      <w:bookmarkEnd w:id="305"/>
      <w:bookmarkStart w:id="306" w:name="_Toc184313263"/>
      <w:bookmarkEnd w:id="306"/>
      <w:bookmarkStart w:id="307" w:name="_Toc184310331"/>
      <w:bookmarkEnd w:id="307"/>
      <w:bookmarkStart w:id="308" w:name="_Toc184310292"/>
      <w:bookmarkEnd w:id="308"/>
      <w:bookmarkStart w:id="309" w:name="_Toc184312095"/>
      <w:bookmarkEnd w:id="309"/>
      <w:bookmarkStart w:id="310" w:name="_Toc184312115"/>
      <w:bookmarkEnd w:id="310"/>
      <w:bookmarkStart w:id="311" w:name="_Toc184308076"/>
      <w:bookmarkEnd w:id="311"/>
      <w:bookmarkStart w:id="312" w:name="_Toc184312136"/>
      <w:bookmarkEnd w:id="312"/>
      <w:bookmarkStart w:id="313" w:name="_Toc184308090"/>
      <w:bookmarkEnd w:id="313"/>
      <w:bookmarkStart w:id="314" w:name="_Toc184313267"/>
      <w:bookmarkEnd w:id="314"/>
      <w:bookmarkStart w:id="315" w:name="_Toc184313255"/>
      <w:bookmarkEnd w:id="315"/>
      <w:bookmarkStart w:id="316" w:name="_Toc184308085"/>
      <w:bookmarkEnd w:id="316"/>
      <w:bookmarkStart w:id="317" w:name="_Toc184310336"/>
      <w:bookmarkEnd w:id="317"/>
      <w:bookmarkStart w:id="318" w:name="_Toc184310309"/>
      <w:bookmarkEnd w:id="318"/>
      <w:bookmarkStart w:id="319" w:name="_Toc184310332"/>
      <w:bookmarkEnd w:id="319"/>
      <w:bookmarkStart w:id="320" w:name="_Toc184314431"/>
      <w:bookmarkEnd w:id="320"/>
      <w:bookmarkStart w:id="321" w:name="_Toc184310301"/>
      <w:bookmarkEnd w:id="321"/>
      <w:bookmarkStart w:id="322" w:name="_Toc184313295"/>
      <w:bookmarkEnd w:id="322"/>
      <w:bookmarkStart w:id="323" w:name="_Toc184314446"/>
      <w:bookmarkEnd w:id="323"/>
      <w:bookmarkStart w:id="324" w:name="_Toc184308105"/>
      <w:bookmarkEnd w:id="324"/>
      <w:bookmarkStart w:id="325" w:name="_Toc184312103"/>
      <w:bookmarkEnd w:id="325"/>
      <w:bookmarkStart w:id="326" w:name="_Toc184308097"/>
      <w:bookmarkEnd w:id="326"/>
      <w:bookmarkStart w:id="327" w:name="_Toc184312098"/>
      <w:bookmarkEnd w:id="327"/>
      <w:bookmarkStart w:id="328" w:name="_Toc184313302"/>
      <w:bookmarkEnd w:id="328"/>
      <w:bookmarkStart w:id="329" w:name="_Toc184314454"/>
      <w:bookmarkEnd w:id="329"/>
      <w:bookmarkStart w:id="330" w:name="_Toc184312135"/>
      <w:bookmarkEnd w:id="330"/>
      <w:bookmarkStart w:id="331" w:name="_Toc184308047"/>
      <w:bookmarkEnd w:id="331"/>
      <w:bookmarkStart w:id="332" w:name="_Toc184313306"/>
      <w:bookmarkEnd w:id="332"/>
      <w:bookmarkStart w:id="333" w:name="_Toc184310344"/>
      <w:bookmarkEnd w:id="333"/>
      <w:bookmarkStart w:id="334" w:name="_Toc184310339"/>
      <w:bookmarkEnd w:id="334"/>
      <w:bookmarkStart w:id="335" w:name="_Toc184314466"/>
      <w:bookmarkEnd w:id="335"/>
      <w:bookmarkStart w:id="336" w:name="_Toc184313276"/>
      <w:bookmarkEnd w:id="336"/>
      <w:bookmarkStart w:id="337" w:name="_Toc184313245"/>
      <w:bookmarkEnd w:id="337"/>
      <w:bookmarkStart w:id="338" w:name="_Toc184310293"/>
      <w:bookmarkEnd w:id="338"/>
      <w:bookmarkStart w:id="339" w:name="_Toc184313284"/>
      <w:bookmarkEnd w:id="339"/>
      <w:bookmarkStart w:id="340" w:name="_Toc184310315"/>
      <w:bookmarkEnd w:id="340"/>
      <w:bookmarkStart w:id="341" w:name="_Toc184313292"/>
      <w:bookmarkEnd w:id="341"/>
      <w:bookmarkStart w:id="342" w:name="_Toc184308108"/>
      <w:bookmarkEnd w:id="342"/>
      <w:bookmarkStart w:id="343" w:name="_Toc184308106"/>
      <w:bookmarkEnd w:id="343"/>
      <w:bookmarkStart w:id="344" w:name="_Toc184313258"/>
      <w:bookmarkEnd w:id="344"/>
      <w:bookmarkStart w:id="345" w:name="_Toc184310288"/>
      <w:bookmarkEnd w:id="345"/>
      <w:bookmarkStart w:id="346" w:name="_Toc184314437"/>
      <w:bookmarkEnd w:id="346"/>
      <w:bookmarkStart w:id="347" w:name="_Toc184313274"/>
      <w:bookmarkEnd w:id="347"/>
      <w:bookmarkStart w:id="348" w:name="_Toc184314444"/>
      <w:bookmarkEnd w:id="348"/>
      <w:bookmarkStart w:id="349" w:name="_Toc184312091"/>
      <w:bookmarkEnd w:id="349"/>
      <w:bookmarkStart w:id="350" w:name="_Toc184312074"/>
      <w:bookmarkEnd w:id="350"/>
      <w:bookmarkStart w:id="351" w:name="_Toc184312078"/>
      <w:bookmarkEnd w:id="351"/>
      <w:bookmarkStart w:id="352" w:name="_Toc184308042"/>
      <w:bookmarkEnd w:id="352"/>
      <w:bookmarkStart w:id="353" w:name="_Toc184310279"/>
      <w:bookmarkEnd w:id="353"/>
      <w:bookmarkStart w:id="354" w:name="_Toc184308080"/>
      <w:bookmarkEnd w:id="354"/>
      <w:bookmarkStart w:id="355" w:name="_Toc184308046"/>
      <w:bookmarkEnd w:id="355"/>
      <w:bookmarkStart w:id="356" w:name="_Toc184308087"/>
      <w:bookmarkEnd w:id="356"/>
      <w:bookmarkStart w:id="357" w:name="_Toc184314438"/>
      <w:bookmarkEnd w:id="357"/>
      <w:bookmarkStart w:id="358" w:name="_Toc184314473"/>
      <w:bookmarkEnd w:id="358"/>
      <w:bookmarkStart w:id="359" w:name="_Toc184312128"/>
      <w:bookmarkEnd w:id="359"/>
      <w:bookmarkStart w:id="360" w:name="_Toc184312100"/>
      <w:bookmarkEnd w:id="360"/>
      <w:bookmarkStart w:id="361" w:name="_Toc184310297"/>
      <w:bookmarkEnd w:id="361"/>
      <w:bookmarkStart w:id="362" w:name="_Toc184313261"/>
      <w:bookmarkEnd w:id="362"/>
      <w:bookmarkStart w:id="363" w:name="_Toc184313242"/>
      <w:bookmarkEnd w:id="363"/>
      <w:bookmarkStart w:id="364" w:name="_Toc184310318"/>
      <w:bookmarkEnd w:id="364"/>
      <w:bookmarkStart w:id="365" w:name="_Toc184314478"/>
      <w:bookmarkEnd w:id="365"/>
      <w:bookmarkStart w:id="366" w:name="_Toc184312084"/>
      <w:bookmarkEnd w:id="366"/>
      <w:bookmarkStart w:id="367" w:name="_Toc184312083"/>
      <w:bookmarkEnd w:id="367"/>
      <w:bookmarkStart w:id="368" w:name="_Toc184314477"/>
      <w:bookmarkEnd w:id="368"/>
      <w:bookmarkStart w:id="369" w:name="_Toc184310314"/>
      <w:bookmarkEnd w:id="369"/>
      <w:bookmarkStart w:id="370" w:name="_Toc184314413"/>
      <w:bookmarkEnd w:id="370"/>
      <w:bookmarkStart w:id="371" w:name="_Toc184310343"/>
      <w:bookmarkEnd w:id="371"/>
      <w:bookmarkStart w:id="372" w:name="_Toc184308039"/>
      <w:bookmarkEnd w:id="372"/>
      <w:bookmarkStart w:id="373" w:name="_Toc184310311"/>
      <w:bookmarkEnd w:id="373"/>
      <w:bookmarkStart w:id="374" w:name="_Toc184314480"/>
      <w:bookmarkEnd w:id="374"/>
      <w:bookmarkStart w:id="375" w:name="_Toc184310282"/>
      <w:bookmarkEnd w:id="375"/>
      <w:bookmarkStart w:id="376" w:name="_Toc184312096"/>
      <w:bookmarkEnd w:id="376"/>
      <w:bookmarkStart w:id="377" w:name="_Toc184314479"/>
      <w:bookmarkEnd w:id="377"/>
      <w:bookmarkStart w:id="378" w:name="_Toc184313240"/>
      <w:bookmarkEnd w:id="378"/>
      <w:bookmarkStart w:id="379" w:name="_Toc184312069"/>
      <w:bookmarkEnd w:id="379"/>
      <w:bookmarkStart w:id="380" w:name="_Toc184312119"/>
      <w:bookmarkEnd w:id="380"/>
      <w:bookmarkStart w:id="381" w:name="_Toc184310281"/>
      <w:bookmarkEnd w:id="381"/>
      <w:bookmarkStart w:id="382" w:name="_Toc184310272"/>
      <w:bookmarkEnd w:id="382"/>
      <w:bookmarkStart w:id="383" w:name="_Toc184312085"/>
      <w:bookmarkEnd w:id="383"/>
      <w:bookmarkStart w:id="384" w:name="_Toc184308077"/>
      <w:bookmarkEnd w:id="384"/>
      <w:bookmarkStart w:id="385" w:name="_Toc184310278"/>
      <w:bookmarkEnd w:id="385"/>
      <w:bookmarkStart w:id="386" w:name="_Toc184310308"/>
      <w:bookmarkEnd w:id="386"/>
      <w:bookmarkStart w:id="387" w:name="_Toc184308073"/>
      <w:bookmarkEnd w:id="387"/>
      <w:bookmarkStart w:id="388" w:name="_Toc184312131"/>
      <w:bookmarkEnd w:id="388"/>
      <w:bookmarkStart w:id="389" w:name="_Toc184314469"/>
      <w:bookmarkEnd w:id="389"/>
      <w:bookmarkStart w:id="390" w:name="_Toc184314448"/>
      <w:bookmarkEnd w:id="390"/>
      <w:bookmarkStart w:id="391" w:name="_Toc184312070"/>
      <w:bookmarkEnd w:id="391"/>
      <w:bookmarkStart w:id="392" w:name="_Toc184310327"/>
      <w:bookmarkEnd w:id="392"/>
      <w:bookmarkStart w:id="393" w:name="_Toc184308060"/>
      <w:bookmarkEnd w:id="393"/>
      <w:bookmarkStart w:id="394" w:name="_Toc184314449"/>
      <w:bookmarkEnd w:id="394"/>
      <w:bookmarkStart w:id="395" w:name="_Toc184314440"/>
      <w:bookmarkEnd w:id="395"/>
      <w:bookmarkStart w:id="396" w:name="_Toc184313297"/>
      <w:bookmarkEnd w:id="396"/>
      <w:bookmarkStart w:id="397" w:name="_Toc184313307"/>
      <w:bookmarkEnd w:id="397"/>
      <w:bookmarkStart w:id="398" w:name="_Toc184312111"/>
      <w:bookmarkEnd w:id="398"/>
      <w:bookmarkStart w:id="399" w:name="_Toc184312129"/>
      <w:bookmarkEnd w:id="399"/>
      <w:bookmarkStart w:id="400" w:name="_Toc184308055"/>
      <w:bookmarkEnd w:id="400"/>
      <w:bookmarkStart w:id="401" w:name="_Toc184308054"/>
      <w:bookmarkEnd w:id="401"/>
      <w:bookmarkStart w:id="402" w:name="_Toc184308043"/>
      <w:bookmarkEnd w:id="402"/>
      <w:bookmarkStart w:id="403" w:name="_Toc184308075"/>
      <w:bookmarkEnd w:id="403"/>
      <w:bookmarkStart w:id="404" w:name="_Toc184312072"/>
      <w:bookmarkEnd w:id="404"/>
      <w:bookmarkStart w:id="405" w:name="_Toc184310275"/>
      <w:bookmarkEnd w:id="405"/>
      <w:bookmarkStart w:id="406" w:name="_Toc184314481"/>
      <w:bookmarkEnd w:id="406"/>
      <w:bookmarkStart w:id="407" w:name="_Toc184313241"/>
      <w:bookmarkEnd w:id="407"/>
      <w:bookmarkStart w:id="408" w:name="_Toc184312092"/>
      <w:bookmarkEnd w:id="408"/>
      <w:bookmarkStart w:id="409" w:name="_Toc184310304"/>
      <w:bookmarkEnd w:id="409"/>
      <w:bookmarkStart w:id="410" w:name="_Toc184313256"/>
      <w:bookmarkEnd w:id="410"/>
      <w:bookmarkStart w:id="411" w:name="_Toc184313281"/>
      <w:bookmarkEnd w:id="411"/>
      <w:bookmarkStart w:id="412" w:name="_Toc184312067"/>
      <w:bookmarkEnd w:id="412"/>
      <w:bookmarkStart w:id="413" w:name="_Toc184314476"/>
      <w:bookmarkEnd w:id="413"/>
      <w:bookmarkStart w:id="414" w:name="_Toc184308088"/>
      <w:bookmarkEnd w:id="414"/>
      <w:bookmarkStart w:id="415" w:name="_Toc184310341"/>
      <w:bookmarkEnd w:id="415"/>
      <w:bookmarkStart w:id="416" w:name="_Toc184312120"/>
      <w:bookmarkEnd w:id="416"/>
      <w:bookmarkStart w:id="417" w:name="_Toc184313248"/>
      <w:bookmarkEnd w:id="417"/>
      <w:bookmarkStart w:id="418" w:name="_Toc184308045"/>
      <w:bookmarkEnd w:id="418"/>
      <w:bookmarkStart w:id="419" w:name="_Toc184312125"/>
      <w:bookmarkEnd w:id="419"/>
      <w:bookmarkStart w:id="420" w:name="_Toc184310295"/>
      <w:bookmarkEnd w:id="420"/>
      <w:bookmarkStart w:id="421" w:name="_Toc184313260"/>
      <w:bookmarkEnd w:id="421"/>
      <w:bookmarkStart w:id="422" w:name="_Toc184314428"/>
      <w:bookmarkEnd w:id="422"/>
      <w:bookmarkStart w:id="423" w:name="_Toc184312073"/>
      <w:bookmarkEnd w:id="423"/>
      <w:bookmarkStart w:id="424" w:name="_Toc184308098"/>
      <w:bookmarkEnd w:id="424"/>
      <w:bookmarkStart w:id="425" w:name="_Toc184312080"/>
      <w:bookmarkEnd w:id="425"/>
      <w:bookmarkStart w:id="426" w:name="_Toc184308096"/>
      <w:bookmarkEnd w:id="426"/>
      <w:bookmarkStart w:id="427" w:name="_Toc184314464"/>
      <w:bookmarkEnd w:id="427"/>
      <w:bookmarkStart w:id="428" w:name="_Toc184314457"/>
      <w:bookmarkEnd w:id="428"/>
      <w:bookmarkStart w:id="429" w:name="_Toc184308074"/>
      <w:bookmarkEnd w:id="429"/>
      <w:bookmarkStart w:id="430" w:name="_Toc184314410"/>
      <w:bookmarkEnd w:id="430"/>
      <w:bookmarkStart w:id="431" w:name="_Toc184313293"/>
      <w:bookmarkEnd w:id="431"/>
      <w:bookmarkStart w:id="432" w:name="_Toc184313247"/>
      <w:bookmarkEnd w:id="432"/>
      <w:bookmarkStart w:id="433" w:name="_Toc184314459"/>
      <w:bookmarkEnd w:id="433"/>
      <w:bookmarkStart w:id="434" w:name="_Toc184313278"/>
      <w:bookmarkEnd w:id="434"/>
      <w:bookmarkStart w:id="435" w:name="_Toc184312087"/>
      <w:bookmarkEnd w:id="435"/>
      <w:bookmarkStart w:id="436" w:name="_Toc184313289"/>
      <w:bookmarkEnd w:id="436"/>
      <w:bookmarkStart w:id="437" w:name="_Toc184314441"/>
      <w:bookmarkEnd w:id="437"/>
      <w:bookmarkStart w:id="438" w:name="_Toc184308041"/>
      <w:bookmarkEnd w:id="438"/>
      <w:bookmarkStart w:id="439" w:name="_Toc184308048"/>
      <w:bookmarkEnd w:id="439"/>
      <w:bookmarkStart w:id="440" w:name="_Toc184314420"/>
      <w:bookmarkEnd w:id="440"/>
      <w:bookmarkStart w:id="441" w:name="_Toc184308058"/>
      <w:bookmarkEnd w:id="441"/>
      <w:bookmarkStart w:id="442" w:name="_Toc184308070"/>
      <w:bookmarkEnd w:id="442"/>
      <w:bookmarkStart w:id="443" w:name="_Toc184312117"/>
      <w:bookmarkEnd w:id="443"/>
      <w:r>
        <w:rPr>
          <w:rFonts w:hint="eastAsia" w:cs="仿宋" w:asciiTheme="majorEastAsia" w:hAnsiTheme="majorEastAsia" w:eastAsiaTheme="majorEastAsia"/>
          <w:b/>
          <w:color w:val="auto"/>
          <w:sz w:val="36"/>
          <w:szCs w:val="36"/>
          <w:highlight w:val="none"/>
        </w:rPr>
        <w:t>评标办法</w:t>
      </w:r>
    </w:p>
    <w:p w14:paraId="3A01B7E8">
      <w:pPr>
        <w:snapToGrid w:val="0"/>
        <w:spacing w:line="360" w:lineRule="auto"/>
        <w:jc w:val="center"/>
        <w:rPr>
          <w:rFonts w:cs="仿宋" w:asciiTheme="majorEastAsia" w:hAnsiTheme="majorEastAsia" w:eastAsiaTheme="majorEastAsia"/>
          <w:b/>
          <w:color w:val="auto"/>
          <w:sz w:val="32"/>
          <w:szCs w:val="20"/>
          <w:highlight w:val="none"/>
        </w:rPr>
      </w:pPr>
      <w:r>
        <w:rPr>
          <w:rFonts w:hint="eastAsia" w:cs="仿宋" w:asciiTheme="majorEastAsia" w:hAnsiTheme="majorEastAsia" w:eastAsiaTheme="majorEastAsia"/>
          <w:b/>
          <w:color w:val="auto"/>
          <w:sz w:val="32"/>
          <w:szCs w:val="20"/>
          <w:highlight w:val="none"/>
        </w:rPr>
        <w:t>评标办法前附表</w:t>
      </w:r>
    </w:p>
    <w:tbl>
      <w:tblPr>
        <w:tblStyle w:val="21"/>
        <w:tblW w:w="10115" w:type="dxa"/>
        <w:tblInd w:w="-4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9188"/>
      </w:tblGrid>
      <w:tr w14:paraId="51EF9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trPr>
        <w:tc>
          <w:tcPr>
            <w:tcW w:w="10115" w:type="dxa"/>
            <w:gridSpan w:val="2"/>
            <w:tcBorders>
              <w:top w:val="single" w:color="000000" w:sz="8" w:space="0"/>
              <w:left w:val="single" w:color="000000" w:sz="8" w:space="0"/>
              <w:bottom w:val="single" w:color="000000" w:sz="8" w:space="0"/>
              <w:right w:val="single" w:color="000000" w:sz="8" w:space="0"/>
              <w:tl2br w:val="single" w:color="000000" w:sz="4" w:space="0"/>
            </w:tcBorders>
            <w:shd w:val="clear" w:color="auto" w:fill="FFFFFF"/>
          </w:tcPr>
          <w:p w14:paraId="7A18FF5F">
            <w:pPr>
              <w:tabs>
                <w:tab w:val="left" w:pos="5468"/>
              </w:tabs>
              <w:spacing w:line="360" w:lineRule="auto"/>
              <w:rPr>
                <w:rFonts w:ascii="宋体" w:hAnsi="宋体"/>
                <w:color w:val="auto"/>
                <w:szCs w:val="21"/>
                <w:highlight w:val="none"/>
              </w:rPr>
            </w:pPr>
            <w:r>
              <w:rPr>
                <w:rFonts w:hint="eastAsia" w:ascii="宋体" w:hAnsi="宋体"/>
                <w:color w:val="auto"/>
                <w:szCs w:val="21"/>
                <w:highlight w:val="none"/>
              </w:rPr>
              <w:t>投标单位</w:t>
            </w:r>
          </w:p>
          <w:p w14:paraId="104FCA67">
            <w:pPr>
              <w:tabs>
                <w:tab w:val="left" w:pos="5468"/>
              </w:tabs>
              <w:spacing w:line="360" w:lineRule="auto"/>
              <w:rPr>
                <w:rFonts w:ascii="宋体" w:hAnsi="宋体"/>
                <w:color w:val="auto"/>
                <w:szCs w:val="21"/>
                <w:highlight w:val="none"/>
              </w:rPr>
            </w:pPr>
            <w:r>
              <w:rPr>
                <w:rFonts w:hint="eastAsia" w:ascii="宋体" w:hAnsi="宋体"/>
                <w:color w:val="auto"/>
                <w:szCs w:val="21"/>
                <w:highlight w:val="none"/>
              </w:rPr>
              <w:t>评议内容及分值</w:t>
            </w:r>
          </w:p>
        </w:tc>
      </w:tr>
      <w:tr w14:paraId="03443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8" w:hRule="atLeast"/>
        </w:trPr>
        <w:tc>
          <w:tcPr>
            <w:tcW w:w="927"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06D78BF1">
            <w:pPr>
              <w:tabs>
                <w:tab w:val="left" w:pos="5468"/>
              </w:tabs>
              <w:spacing w:line="360" w:lineRule="auto"/>
              <w:rPr>
                <w:rFonts w:ascii="宋体" w:hAnsi="宋体"/>
                <w:color w:val="auto"/>
                <w:szCs w:val="21"/>
                <w:highlight w:val="none"/>
              </w:rPr>
            </w:pPr>
          </w:p>
          <w:p w14:paraId="13C9C7C8">
            <w:pPr>
              <w:tabs>
                <w:tab w:val="left" w:pos="5468"/>
              </w:tabs>
              <w:spacing w:line="360" w:lineRule="auto"/>
              <w:rPr>
                <w:rFonts w:ascii="宋体" w:hAnsi="宋体"/>
                <w:color w:val="auto"/>
                <w:szCs w:val="21"/>
                <w:highlight w:val="none"/>
              </w:rPr>
            </w:pPr>
          </w:p>
          <w:p w14:paraId="1C6189A2">
            <w:pPr>
              <w:tabs>
                <w:tab w:val="left" w:pos="5468"/>
              </w:tabs>
              <w:spacing w:line="360" w:lineRule="auto"/>
              <w:rPr>
                <w:rFonts w:ascii="宋体" w:hAnsi="宋体"/>
                <w:color w:val="auto"/>
                <w:szCs w:val="21"/>
                <w:highlight w:val="none"/>
              </w:rPr>
            </w:pPr>
          </w:p>
          <w:p w14:paraId="55A31974">
            <w:pPr>
              <w:tabs>
                <w:tab w:val="left" w:pos="5468"/>
              </w:tabs>
              <w:spacing w:line="360" w:lineRule="auto"/>
              <w:rPr>
                <w:rFonts w:ascii="宋体" w:hAnsi="宋体"/>
                <w:color w:val="auto"/>
                <w:szCs w:val="21"/>
                <w:highlight w:val="none"/>
              </w:rPr>
            </w:pPr>
          </w:p>
          <w:p w14:paraId="546134FC">
            <w:pPr>
              <w:tabs>
                <w:tab w:val="left" w:pos="5468"/>
              </w:tabs>
              <w:spacing w:line="360" w:lineRule="auto"/>
              <w:rPr>
                <w:rFonts w:ascii="宋体" w:hAnsi="宋体"/>
                <w:color w:val="auto"/>
                <w:szCs w:val="21"/>
                <w:highlight w:val="none"/>
              </w:rPr>
            </w:pPr>
          </w:p>
          <w:p w14:paraId="08179804">
            <w:pPr>
              <w:tabs>
                <w:tab w:val="left" w:pos="5468"/>
              </w:tabs>
              <w:spacing w:line="360" w:lineRule="auto"/>
              <w:rPr>
                <w:rFonts w:ascii="宋体" w:hAnsi="宋体"/>
                <w:color w:val="auto"/>
                <w:szCs w:val="21"/>
                <w:highlight w:val="none"/>
              </w:rPr>
            </w:pPr>
          </w:p>
          <w:p w14:paraId="560A3B8A">
            <w:pPr>
              <w:tabs>
                <w:tab w:val="left" w:pos="5468"/>
              </w:tabs>
              <w:spacing w:line="360" w:lineRule="auto"/>
              <w:rPr>
                <w:rFonts w:ascii="宋体" w:hAnsi="宋体"/>
                <w:color w:val="auto"/>
                <w:szCs w:val="21"/>
                <w:highlight w:val="none"/>
              </w:rPr>
            </w:pPr>
          </w:p>
          <w:p w14:paraId="581DCA89">
            <w:pPr>
              <w:tabs>
                <w:tab w:val="left" w:pos="5468"/>
              </w:tabs>
              <w:spacing w:line="360" w:lineRule="auto"/>
              <w:rPr>
                <w:rFonts w:ascii="宋体" w:hAnsi="宋体"/>
                <w:color w:val="auto"/>
                <w:szCs w:val="21"/>
                <w:highlight w:val="none"/>
              </w:rPr>
            </w:pPr>
            <w:r>
              <w:rPr>
                <w:rFonts w:hint="eastAsia" w:ascii="宋体" w:hAnsi="宋体"/>
                <w:color w:val="auto"/>
                <w:szCs w:val="21"/>
                <w:highlight w:val="none"/>
              </w:rPr>
              <w:t>资信技术分60分</w:t>
            </w:r>
          </w:p>
        </w:tc>
        <w:tc>
          <w:tcPr>
            <w:tcW w:w="918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D39F9C4">
            <w:pPr>
              <w:tabs>
                <w:tab w:val="left" w:pos="5468"/>
              </w:tabs>
              <w:spacing w:line="360" w:lineRule="auto"/>
              <w:rPr>
                <w:rFonts w:ascii="宋体" w:hAnsi="宋体" w:cs="宋体"/>
                <w:color w:val="auto"/>
                <w:szCs w:val="21"/>
                <w:highlight w:val="none"/>
              </w:rPr>
            </w:pPr>
            <w:r>
              <w:rPr>
                <w:rFonts w:hint="eastAsia" w:ascii="宋体" w:hAnsi="宋体" w:cs="宋体"/>
                <w:color w:val="auto"/>
                <w:szCs w:val="21"/>
                <w:highlight w:val="none"/>
              </w:rPr>
              <w:t>1、技术响应情况（13分）</w:t>
            </w:r>
          </w:p>
          <w:p w14:paraId="2CEB5A08">
            <w:pPr>
              <w:tabs>
                <w:tab w:val="left" w:pos="5468"/>
              </w:tabs>
              <w:spacing w:line="360" w:lineRule="auto"/>
              <w:rPr>
                <w:rFonts w:ascii="宋体" w:hAnsi="宋体" w:cs="宋体"/>
                <w:color w:val="auto"/>
                <w:szCs w:val="21"/>
                <w:highlight w:val="none"/>
              </w:rPr>
            </w:pPr>
            <w:r>
              <w:rPr>
                <w:rFonts w:hint="eastAsia" w:ascii="宋体" w:hAnsi="宋体" w:cs="宋体"/>
                <w:color w:val="auto"/>
                <w:szCs w:val="21"/>
                <w:highlight w:val="none"/>
              </w:rPr>
              <w:t>根据投标人对招标文件第三部分采购需求的响应情况进行评议；完全满足要求的得13分。一般技术参数每负偏离一项扣1分，标★的技术参数偏离一项扣3分；负偏离达13分及以上的作无效标处理。负偏离任一项带“▲”技术参数的作无效标处理。投标文件中如要求提供相关证明文件复印件，未提供或提供不满足的视为负偏离。同一技术参数负偏离的，不重复扣分。</w:t>
            </w:r>
          </w:p>
          <w:p w14:paraId="389066EE">
            <w:pPr>
              <w:tabs>
                <w:tab w:val="left" w:pos="5468"/>
              </w:tabs>
              <w:spacing w:line="360" w:lineRule="auto"/>
              <w:rPr>
                <w:rFonts w:ascii="宋体" w:hAnsi="宋体"/>
                <w:color w:val="auto"/>
                <w:szCs w:val="21"/>
                <w:highlight w:val="none"/>
              </w:rPr>
            </w:pPr>
            <w:r>
              <w:rPr>
                <w:rFonts w:hint="eastAsia" w:ascii="宋体" w:hAnsi="宋体" w:cs="宋体"/>
                <w:color w:val="auto"/>
                <w:szCs w:val="21"/>
                <w:highlight w:val="none"/>
              </w:rPr>
              <w:t>注：其中一项是指采购需求中的最小序号。</w:t>
            </w:r>
          </w:p>
        </w:tc>
      </w:tr>
      <w:tr w14:paraId="18348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2" w:hRule="atLeast"/>
        </w:trPr>
        <w:tc>
          <w:tcPr>
            <w:tcW w:w="92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DEAA044">
            <w:pPr>
              <w:tabs>
                <w:tab w:val="left" w:pos="5468"/>
              </w:tabs>
              <w:spacing w:line="360" w:lineRule="auto"/>
              <w:rPr>
                <w:rFonts w:ascii="宋体" w:hAnsi="宋体"/>
                <w:color w:val="auto"/>
                <w:szCs w:val="21"/>
                <w:highlight w:val="none"/>
              </w:rPr>
            </w:pPr>
          </w:p>
        </w:tc>
        <w:tc>
          <w:tcPr>
            <w:tcW w:w="918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D7A2643">
            <w:pPr>
              <w:tabs>
                <w:tab w:val="left" w:pos="5468"/>
              </w:tabs>
              <w:spacing w:line="360" w:lineRule="auto"/>
              <w:rPr>
                <w:rFonts w:ascii="宋体" w:hAnsi="宋体" w:cs="宋体"/>
                <w:color w:val="auto"/>
                <w:szCs w:val="21"/>
                <w:highlight w:val="none"/>
              </w:rPr>
            </w:pPr>
            <w:r>
              <w:rPr>
                <w:rFonts w:hint="eastAsia" w:ascii="宋体" w:hAnsi="宋体" w:cs="宋体"/>
                <w:color w:val="auto"/>
                <w:szCs w:val="21"/>
                <w:highlight w:val="none"/>
              </w:rPr>
              <w:t>2、空气能热水系统</w:t>
            </w:r>
            <w:r>
              <w:rPr>
                <w:rFonts w:hint="eastAsia" w:ascii="宋体" w:hAnsi="宋体"/>
                <w:color w:val="auto"/>
                <w:szCs w:val="21"/>
                <w:highlight w:val="none"/>
              </w:rPr>
              <w:t>性能情况</w:t>
            </w:r>
            <w:r>
              <w:rPr>
                <w:rFonts w:hint="eastAsia" w:ascii="宋体" w:hAnsi="宋体" w:cs="宋体"/>
                <w:color w:val="auto"/>
                <w:szCs w:val="21"/>
                <w:highlight w:val="none"/>
              </w:rPr>
              <w:t>（5分）</w:t>
            </w:r>
          </w:p>
          <w:p w14:paraId="0953851B">
            <w:pPr>
              <w:tabs>
                <w:tab w:val="left" w:pos="5468"/>
              </w:tabs>
              <w:spacing w:line="360" w:lineRule="auto"/>
              <w:rPr>
                <w:rFonts w:ascii="宋体" w:hAnsi="宋体"/>
                <w:color w:val="auto"/>
                <w:szCs w:val="21"/>
                <w:highlight w:val="none"/>
              </w:rPr>
            </w:pPr>
            <w:r>
              <w:rPr>
                <w:rFonts w:hint="eastAsia" w:ascii="宋体" w:hAnsi="宋体"/>
                <w:color w:val="auto"/>
                <w:szCs w:val="21"/>
                <w:highlight w:val="none"/>
              </w:rPr>
              <w:t>对所投</w:t>
            </w:r>
            <w:r>
              <w:rPr>
                <w:rFonts w:hint="eastAsia" w:ascii="宋体" w:hAnsi="宋体" w:cs="宋体"/>
                <w:color w:val="auto"/>
                <w:szCs w:val="21"/>
                <w:highlight w:val="none"/>
              </w:rPr>
              <w:t>空气能热水系统产品在满足采购需求的基础上整体性能优异且有利于实际使用的得1分，</w:t>
            </w:r>
            <w:r>
              <w:rPr>
                <w:rFonts w:hint="eastAsia" w:ascii="宋体" w:hAnsi="宋体"/>
                <w:color w:val="auto"/>
                <w:szCs w:val="21"/>
                <w:highlight w:val="none"/>
              </w:rPr>
              <w:t>产品性能稳定长时间运行故障率低的得1分，噪音小、功能全面的得1分，防</w:t>
            </w:r>
            <w:r>
              <w:rPr>
                <w:rFonts w:hint="eastAsia" w:ascii="宋体" w:hAnsi="宋体" w:cs="宋体"/>
                <w:color w:val="auto"/>
                <w:szCs w:val="21"/>
                <w:highlight w:val="none"/>
              </w:rPr>
              <w:t>电磁干扰性能高的得1分，产品</w:t>
            </w:r>
            <w:r>
              <w:rPr>
                <w:rFonts w:hint="eastAsia" w:ascii="宋体" w:hAnsi="宋体"/>
                <w:color w:val="auto"/>
                <w:szCs w:val="21"/>
                <w:highlight w:val="none"/>
              </w:rPr>
              <w:t>热效性能高的得1分，以上内容存在不足或有所欠缺的每项得0.5分；未提供的不得分。</w:t>
            </w:r>
          </w:p>
          <w:p w14:paraId="6C96468C">
            <w:pPr>
              <w:tabs>
                <w:tab w:val="left" w:pos="5468"/>
              </w:tabs>
              <w:spacing w:line="360" w:lineRule="auto"/>
              <w:rPr>
                <w:rFonts w:eastAsia="仿宋_GB2312"/>
                <w:color w:val="auto"/>
                <w:highlight w:val="none"/>
              </w:rPr>
            </w:pPr>
            <w:r>
              <w:rPr>
                <w:rFonts w:hint="eastAsia" w:ascii="宋体" w:hAnsi="宋体"/>
                <w:color w:val="auto"/>
                <w:szCs w:val="21"/>
                <w:highlight w:val="none"/>
              </w:rPr>
              <w:t>注：</w:t>
            </w:r>
            <w:r>
              <w:rPr>
                <w:rFonts w:hint="eastAsia" w:ascii="宋体" w:hAnsi="宋体" w:cs="宋体"/>
                <w:color w:val="auto"/>
                <w:szCs w:val="21"/>
                <w:highlight w:val="none"/>
              </w:rPr>
              <w:t>投标文件中提供检测报告复印件等相关证明材料，未提供的不得分。</w:t>
            </w:r>
          </w:p>
        </w:tc>
      </w:tr>
      <w:tr w14:paraId="6F837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4" w:hRule="atLeast"/>
        </w:trPr>
        <w:tc>
          <w:tcPr>
            <w:tcW w:w="92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82AE881">
            <w:pPr>
              <w:tabs>
                <w:tab w:val="left" w:pos="5468"/>
              </w:tabs>
              <w:spacing w:line="360" w:lineRule="auto"/>
              <w:rPr>
                <w:rFonts w:ascii="宋体" w:hAnsi="宋体"/>
                <w:color w:val="auto"/>
                <w:szCs w:val="21"/>
                <w:highlight w:val="none"/>
              </w:rPr>
            </w:pPr>
          </w:p>
        </w:tc>
        <w:tc>
          <w:tcPr>
            <w:tcW w:w="918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302BFAD">
            <w:pPr>
              <w:tabs>
                <w:tab w:val="left" w:pos="5468"/>
              </w:tabs>
              <w:spacing w:line="360" w:lineRule="auto"/>
              <w:rPr>
                <w:rFonts w:ascii="宋体" w:hAnsi="宋体"/>
                <w:color w:val="auto"/>
                <w:szCs w:val="21"/>
                <w:highlight w:val="none"/>
              </w:rPr>
            </w:pPr>
            <w:r>
              <w:rPr>
                <w:rFonts w:hint="eastAsia" w:ascii="宋体" w:hAnsi="宋体"/>
                <w:color w:val="auto"/>
                <w:szCs w:val="21"/>
                <w:highlight w:val="none"/>
              </w:rPr>
              <w:t>3、光伏系统产品性能情况(4分）</w:t>
            </w:r>
          </w:p>
          <w:p w14:paraId="00D1A324">
            <w:pPr>
              <w:tabs>
                <w:tab w:val="left" w:pos="5468"/>
              </w:tabs>
              <w:spacing w:line="360" w:lineRule="auto"/>
              <w:rPr>
                <w:color w:val="auto"/>
                <w:highlight w:val="none"/>
              </w:rPr>
            </w:pPr>
            <w:r>
              <w:rPr>
                <w:rFonts w:hint="eastAsia" w:ascii="宋体" w:hAnsi="宋体"/>
                <w:color w:val="auto"/>
                <w:szCs w:val="21"/>
                <w:highlight w:val="none"/>
              </w:rPr>
              <w:t>根据所投单晶硅电池组件、逆变器、并网柜的产品性能指标进行评议：在满足采购需求的基础上功能全面、指标优异且有利于实际使用的得2分，产品性能稳定长时间运行故障率低的得2分，以上内容存在不足或有所欠缺的每项得1分；未提供的不得分。</w:t>
            </w:r>
            <w:r>
              <w:rPr>
                <w:rFonts w:hint="eastAsia" w:ascii="宋体" w:hAnsi="宋体"/>
                <w:color w:val="auto"/>
                <w:szCs w:val="21"/>
                <w:highlight w:val="none"/>
              </w:rPr>
              <w:br w:type="textWrapping"/>
            </w:r>
            <w:r>
              <w:rPr>
                <w:rFonts w:hint="eastAsia" w:ascii="宋体" w:hAnsi="宋体"/>
                <w:color w:val="auto"/>
                <w:szCs w:val="21"/>
                <w:highlight w:val="none"/>
              </w:rPr>
              <w:t>（上述评审项投标文件中提供详细产品配置情况、资料介绍、性能及功能描述等材料说明，未提供不得分）</w:t>
            </w:r>
            <w:bookmarkStart w:id="524" w:name="_GoBack"/>
            <w:bookmarkEnd w:id="524"/>
          </w:p>
        </w:tc>
      </w:tr>
      <w:tr w14:paraId="4BB45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2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F6682B2">
            <w:pPr>
              <w:tabs>
                <w:tab w:val="left" w:pos="5468"/>
              </w:tabs>
              <w:spacing w:line="360" w:lineRule="auto"/>
              <w:rPr>
                <w:rFonts w:ascii="宋体" w:hAnsi="宋体"/>
                <w:color w:val="auto"/>
                <w:szCs w:val="21"/>
                <w:highlight w:val="none"/>
              </w:rPr>
            </w:pPr>
          </w:p>
        </w:tc>
        <w:tc>
          <w:tcPr>
            <w:tcW w:w="918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5EB8683">
            <w:pPr>
              <w:tabs>
                <w:tab w:val="left" w:pos="5468"/>
              </w:tabs>
              <w:spacing w:line="360" w:lineRule="auto"/>
              <w:rPr>
                <w:rFonts w:ascii="宋体" w:hAnsi="宋体"/>
                <w:color w:val="auto"/>
                <w:szCs w:val="21"/>
                <w:highlight w:val="none"/>
              </w:rPr>
            </w:pPr>
            <w:r>
              <w:rPr>
                <w:rFonts w:hint="eastAsia" w:ascii="宋体" w:hAnsi="宋体"/>
                <w:color w:val="auto"/>
                <w:szCs w:val="21"/>
                <w:highlight w:val="none"/>
              </w:rPr>
              <w:t>4、项目安装方案（11分）</w:t>
            </w:r>
          </w:p>
          <w:p w14:paraId="2D0902B2">
            <w:pPr>
              <w:tabs>
                <w:tab w:val="left" w:pos="5468"/>
              </w:tabs>
              <w:spacing w:line="360" w:lineRule="auto"/>
              <w:rPr>
                <w:color w:val="auto"/>
                <w:highlight w:val="none"/>
              </w:rPr>
            </w:pPr>
            <w:r>
              <w:rPr>
                <w:rFonts w:hint="eastAsia" w:ascii="宋体" w:hAnsi="宋体"/>
                <w:color w:val="auto"/>
                <w:szCs w:val="21"/>
                <w:highlight w:val="none"/>
              </w:rPr>
              <w:t>根据投标人提供项目实施方案进行评议：</w:t>
            </w:r>
            <w:r>
              <w:rPr>
                <w:rFonts w:hint="eastAsia" w:ascii="宋体" w:hAnsi="宋体"/>
                <w:color w:val="auto"/>
                <w:szCs w:val="21"/>
                <w:highlight w:val="none"/>
              </w:rPr>
              <w:fldChar w:fldCharType="begin"/>
            </w:r>
            <w:r>
              <w:rPr>
                <w:rFonts w:hint="eastAsia" w:ascii="宋体" w:hAnsi="宋体"/>
                <w:color w:val="auto"/>
                <w:szCs w:val="21"/>
                <w:highlight w:val="none"/>
              </w:rPr>
              <w:instrText xml:space="preserve"> = 1 \* GB3 </w:instrText>
            </w:r>
            <w:r>
              <w:rPr>
                <w:rFonts w:hint="eastAsia" w:ascii="宋体" w:hAnsi="宋体"/>
                <w:color w:val="auto"/>
                <w:szCs w:val="21"/>
                <w:highlight w:val="none"/>
              </w:rPr>
              <w:fldChar w:fldCharType="separate"/>
            </w:r>
            <w:r>
              <w:rPr>
                <w:rFonts w:hint="eastAsia" w:ascii="宋体" w:hAnsi="宋体"/>
                <w:color w:val="auto"/>
                <w:szCs w:val="21"/>
                <w:highlight w:val="none"/>
              </w:rPr>
              <w:t>①</w:t>
            </w:r>
            <w:r>
              <w:rPr>
                <w:rFonts w:hint="eastAsia" w:ascii="宋体" w:hAnsi="宋体"/>
                <w:color w:val="auto"/>
                <w:szCs w:val="21"/>
                <w:highlight w:val="none"/>
              </w:rPr>
              <w:fldChar w:fldCharType="end"/>
            </w:r>
            <w:r>
              <w:rPr>
                <w:rFonts w:hint="eastAsia" w:ascii="宋体" w:hAnsi="宋体"/>
                <w:color w:val="auto"/>
                <w:szCs w:val="21"/>
                <w:highlight w:val="none"/>
              </w:rPr>
              <w:t>实施方案条理清晰且切实可行；</w:t>
            </w:r>
            <w:r>
              <w:rPr>
                <w:rFonts w:hint="eastAsia" w:ascii="宋体" w:hAnsi="宋体"/>
                <w:color w:val="auto"/>
                <w:szCs w:val="21"/>
                <w:highlight w:val="none"/>
              </w:rPr>
              <w:fldChar w:fldCharType="begin"/>
            </w:r>
            <w:r>
              <w:rPr>
                <w:rFonts w:hint="eastAsia" w:ascii="宋体" w:hAnsi="宋体"/>
                <w:color w:val="auto"/>
                <w:szCs w:val="21"/>
                <w:highlight w:val="none"/>
              </w:rPr>
              <w:instrText xml:space="preserve"> = 2 \* GB3 </w:instrText>
            </w:r>
            <w:r>
              <w:rPr>
                <w:rFonts w:hint="eastAsia" w:ascii="宋体" w:hAnsi="宋体"/>
                <w:color w:val="auto"/>
                <w:szCs w:val="21"/>
                <w:highlight w:val="none"/>
              </w:rPr>
              <w:fldChar w:fldCharType="separate"/>
            </w:r>
            <w:r>
              <w:rPr>
                <w:rFonts w:hint="eastAsia" w:ascii="宋体" w:hAnsi="宋体"/>
                <w:color w:val="auto"/>
                <w:szCs w:val="21"/>
                <w:highlight w:val="none"/>
              </w:rPr>
              <w:t>②</w:t>
            </w:r>
            <w:r>
              <w:rPr>
                <w:rFonts w:hint="eastAsia" w:ascii="宋体" w:hAnsi="宋体"/>
                <w:color w:val="auto"/>
                <w:szCs w:val="21"/>
                <w:highlight w:val="none"/>
              </w:rPr>
              <w:fldChar w:fldCharType="end"/>
            </w:r>
            <w:r>
              <w:rPr>
                <w:rFonts w:hint="eastAsia" w:ascii="宋体" w:hAnsi="宋体"/>
                <w:color w:val="auto"/>
                <w:szCs w:val="21"/>
                <w:highlight w:val="none"/>
              </w:rPr>
              <w:t>安全文明作业措施和环保措施全面有力；</w:t>
            </w:r>
            <w:r>
              <w:rPr>
                <w:rFonts w:hint="eastAsia" w:ascii="宋体" w:hAnsi="宋体"/>
                <w:color w:val="auto"/>
                <w:szCs w:val="21"/>
                <w:highlight w:val="none"/>
              </w:rPr>
              <w:fldChar w:fldCharType="begin"/>
            </w:r>
            <w:r>
              <w:rPr>
                <w:rFonts w:hint="eastAsia" w:ascii="宋体" w:hAnsi="宋体"/>
                <w:color w:val="auto"/>
                <w:szCs w:val="21"/>
                <w:highlight w:val="none"/>
              </w:rPr>
              <w:instrText xml:space="preserve"> = 3 \* GB3 </w:instrText>
            </w:r>
            <w:r>
              <w:rPr>
                <w:rFonts w:hint="eastAsia" w:ascii="宋体" w:hAnsi="宋体"/>
                <w:color w:val="auto"/>
                <w:szCs w:val="21"/>
                <w:highlight w:val="none"/>
              </w:rPr>
              <w:fldChar w:fldCharType="separate"/>
            </w:r>
            <w:r>
              <w:rPr>
                <w:rFonts w:hint="eastAsia" w:ascii="宋体" w:hAnsi="宋体"/>
                <w:color w:val="auto"/>
                <w:szCs w:val="21"/>
                <w:highlight w:val="none"/>
              </w:rPr>
              <w:t>③</w:t>
            </w:r>
            <w:r>
              <w:rPr>
                <w:rFonts w:hint="eastAsia" w:ascii="宋体" w:hAnsi="宋体"/>
                <w:color w:val="auto"/>
                <w:szCs w:val="21"/>
                <w:highlight w:val="none"/>
              </w:rPr>
              <w:fldChar w:fldCharType="end"/>
            </w:r>
            <w:r>
              <w:rPr>
                <w:rFonts w:hint="eastAsia" w:ascii="宋体" w:hAnsi="宋体"/>
                <w:color w:val="auto"/>
                <w:szCs w:val="21"/>
                <w:highlight w:val="none"/>
              </w:rPr>
              <w:t>安装作业措施合理高效；④重难点分析及解决方案针对性强；⑤应急处理方案完善且具有执行性；</w:t>
            </w:r>
            <w:r>
              <w:rPr>
                <w:rFonts w:hint="eastAsia" w:ascii="宋体" w:hAnsi="宋体" w:cs="宋体"/>
                <w:color w:val="auto"/>
                <w:szCs w:val="21"/>
                <w:highlight w:val="none"/>
              </w:rPr>
              <w:t>完全符合要求的每项得2分，基本符合要求的每项得1分；</w:t>
            </w:r>
            <w:r>
              <w:rPr>
                <w:rFonts w:hint="eastAsia" w:ascii="宋体" w:hAnsi="宋体"/>
                <w:color w:val="auto"/>
                <w:szCs w:val="21"/>
                <w:highlight w:val="none"/>
              </w:rPr>
              <w:t>⑥具有电力承装类或建筑机电安装类相关证书的得1分；未提供的均不得分。</w:t>
            </w:r>
          </w:p>
        </w:tc>
      </w:tr>
      <w:tr w14:paraId="53675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2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DC25529">
            <w:pPr>
              <w:tabs>
                <w:tab w:val="left" w:pos="5468"/>
              </w:tabs>
              <w:spacing w:line="360" w:lineRule="auto"/>
              <w:rPr>
                <w:rFonts w:ascii="宋体" w:hAnsi="宋体"/>
                <w:color w:val="auto"/>
                <w:szCs w:val="21"/>
                <w:highlight w:val="none"/>
              </w:rPr>
            </w:pPr>
          </w:p>
        </w:tc>
        <w:tc>
          <w:tcPr>
            <w:tcW w:w="918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D68113C">
            <w:pPr>
              <w:tabs>
                <w:tab w:val="left" w:pos="5468"/>
              </w:tabs>
              <w:spacing w:line="360" w:lineRule="auto"/>
              <w:rPr>
                <w:rFonts w:ascii="宋体" w:hAnsi="宋体"/>
                <w:color w:val="auto"/>
                <w:szCs w:val="21"/>
                <w:highlight w:val="none"/>
              </w:rPr>
            </w:pPr>
            <w:r>
              <w:rPr>
                <w:rFonts w:hint="eastAsia" w:ascii="宋体" w:hAnsi="宋体"/>
                <w:color w:val="auto"/>
                <w:szCs w:val="21"/>
                <w:highlight w:val="none"/>
              </w:rPr>
              <w:t>5</w:t>
            </w:r>
            <w:r>
              <w:rPr>
                <w:rFonts w:hint="eastAsia" w:ascii="宋体" w:hAnsi="宋体"/>
                <w:color w:val="auto"/>
                <w:szCs w:val="21"/>
                <w:highlight w:val="none"/>
                <w:lang w:val="zh-CN"/>
              </w:rPr>
              <w:t>、</w:t>
            </w:r>
            <w:r>
              <w:rPr>
                <w:rFonts w:hint="eastAsia" w:ascii="宋体" w:hAnsi="宋体"/>
                <w:color w:val="auto"/>
                <w:szCs w:val="21"/>
                <w:highlight w:val="none"/>
              </w:rPr>
              <w:t>供货计划、保障方案及施工工期安排(6分)</w:t>
            </w:r>
          </w:p>
          <w:p w14:paraId="4D89307C">
            <w:pPr>
              <w:tabs>
                <w:tab w:val="left" w:pos="5468"/>
              </w:tabs>
              <w:spacing w:line="360" w:lineRule="auto"/>
              <w:rPr>
                <w:rFonts w:ascii="宋体" w:hAnsi="宋体"/>
                <w:color w:val="auto"/>
                <w:szCs w:val="21"/>
                <w:highlight w:val="none"/>
              </w:rPr>
            </w:pPr>
            <w:r>
              <w:rPr>
                <w:rFonts w:hint="eastAsia" w:ascii="宋体" w:hAnsi="宋体"/>
                <w:color w:val="auto"/>
                <w:szCs w:val="21"/>
                <w:highlight w:val="none"/>
              </w:rPr>
              <w:t>根据投标人提供的供货计划及保障方案进行评议：①供货计划安排得当且易于调配和把控；②保障措施（包括但不限于生产设备数量、安装人员数量、应急措施等）完善且具有执行性；</w:t>
            </w:r>
            <w:r>
              <w:rPr>
                <w:rFonts w:hint="eastAsia" w:ascii="宋体" w:hAnsi="宋体"/>
                <w:color w:val="auto"/>
                <w:szCs w:val="21"/>
                <w:highlight w:val="none"/>
              </w:rPr>
              <w:fldChar w:fldCharType="begin"/>
            </w:r>
            <w:r>
              <w:rPr>
                <w:rFonts w:hint="eastAsia" w:ascii="宋体" w:hAnsi="宋体"/>
                <w:color w:val="auto"/>
                <w:szCs w:val="21"/>
                <w:highlight w:val="none"/>
              </w:rPr>
              <w:instrText xml:space="preserve"> = 3 \* GB3 </w:instrText>
            </w:r>
            <w:r>
              <w:rPr>
                <w:rFonts w:hint="eastAsia" w:ascii="宋体" w:hAnsi="宋体"/>
                <w:color w:val="auto"/>
                <w:szCs w:val="21"/>
                <w:highlight w:val="none"/>
              </w:rPr>
              <w:fldChar w:fldCharType="separate"/>
            </w:r>
            <w:r>
              <w:rPr>
                <w:rFonts w:hint="eastAsia" w:ascii="宋体" w:hAnsi="宋体"/>
                <w:color w:val="auto"/>
                <w:szCs w:val="21"/>
                <w:highlight w:val="none"/>
              </w:rPr>
              <w:t>③</w:t>
            </w:r>
            <w:r>
              <w:rPr>
                <w:rFonts w:hint="eastAsia" w:ascii="宋体" w:hAnsi="宋体"/>
                <w:color w:val="auto"/>
                <w:szCs w:val="21"/>
                <w:highlight w:val="none"/>
              </w:rPr>
              <w:fldChar w:fldCharType="end"/>
            </w:r>
            <w:r>
              <w:rPr>
                <w:rFonts w:hint="eastAsia" w:ascii="宋体" w:hAnsi="宋体"/>
                <w:color w:val="auto"/>
                <w:szCs w:val="21"/>
                <w:highlight w:val="none"/>
              </w:rPr>
              <w:t>工期安排合理，与主体工程衔接得当；</w:t>
            </w:r>
            <w:r>
              <w:rPr>
                <w:rFonts w:hint="eastAsia" w:ascii="宋体" w:hAnsi="宋体" w:cs="宋体"/>
                <w:color w:val="auto"/>
                <w:szCs w:val="21"/>
                <w:highlight w:val="none"/>
              </w:rPr>
              <w:t>完全符合要求的每项得2分，基本符合要求的每项得1分，</w:t>
            </w:r>
            <w:r>
              <w:rPr>
                <w:rFonts w:hint="eastAsia" w:ascii="宋体" w:hAnsi="宋体"/>
                <w:color w:val="auto"/>
                <w:szCs w:val="21"/>
                <w:highlight w:val="none"/>
              </w:rPr>
              <w:t>未提供</w:t>
            </w:r>
            <w:r>
              <w:rPr>
                <w:rFonts w:hint="eastAsia" w:ascii="宋体" w:hAnsi="宋体"/>
                <w:color w:val="auto"/>
                <w:szCs w:val="21"/>
                <w:highlight w:val="none"/>
                <w:lang w:val="en-US" w:eastAsia="zh-CN"/>
              </w:rPr>
              <w:t>的</w:t>
            </w:r>
            <w:r>
              <w:rPr>
                <w:rFonts w:hint="eastAsia" w:ascii="宋体" w:hAnsi="宋体"/>
                <w:color w:val="auto"/>
                <w:szCs w:val="21"/>
                <w:highlight w:val="none"/>
              </w:rPr>
              <w:t>不得分，本项最高得6分。</w:t>
            </w:r>
          </w:p>
        </w:tc>
      </w:tr>
      <w:tr w14:paraId="41FB5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5" w:hRule="atLeast"/>
        </w:trPr>
        <w:tc>
          <w:tcPr>
            <w:tcW w:w="92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EDEE844">
            <w:pPr>
              <w:tabs>
                <w:tab w:val="left" w:pos="5468"/>
              </w:tabs>
              <w:spacing w:line="360" w:lineRule="auto"/>
              <w:rPr>
                <w:rFonts w:ascii="宋体" w:hAnsi="宋体"/>
                <w:color w:val="auto"/>
                <w:szCs w:val="21"/>
                <w:highlight w:val="none"/>
              </w:rPr>
            </w:pPr>
          </w:p>
        </w:tc>
        <w:tc>
          <w:tcPr>
            <w:tcW w:w="918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12EA24C">
            <w:pPr>
              <w:pStyle w:val="6"/>
              <w:rPr>
                <w:color w:val="auto"/>
                <w:highlight w:val="none"/>
              </w:rPr>
            </w:pPr>
            <w:r>
              <w:rPr>
                <w:rFonts w:hint="eastAsia"/>
                <w:color w:val="auto"/>
                <w:highlight w:val="none"/>
              </w:rPr>
              <w:t>6、现场实施人员配备情况（5分）</w:t>
            </w:r>
          </w:p>
          <w:p w14:paraId="015B604B">
            <w:pPr>
              <w:pStyle w:val="6"/>
              <w:rPr>
                <w:color w:val="auto"/>
                <w:highlight w:val="none"/>
              </w:rPr>
            </w:pPr>
            <w:r>
              <w:rPr>
                <w:rFonts w:hint="eastAsia"/>
                <w:color w:val="auto"/>
                <w:highlight w:val="none"/>
              </w:rPr>
              <w:t>6.1项目负责人（1分）</w:t>
            </w:r>
          </w:p>
          <w:p w14:paraId="37DDD8E7">
            <w:pPr>
              <w:pStyle w:val="6"/>
              <w:rPr>
                <w:rFonts w:cs="宋体"/>
                <w:color w:val="auto"/>
                <w:highlight w:val="none"/>
              </w:rPr>
            </w:pPr>
            <w:r>
              <w:rPr>
                <w:rFonts w:hint="eastAsia"/>
                <w:color w:val="auto"/>
                <w:highlight w:val="none"/>
              </w:rPr>
              <w:t>投标人针对本项目拟派项目负责人具有机电工程注册建造师的得1分；</w:t>
            </w:r>
          </w:p>
          <w:p w14:paraId="7BAF8773">
            <w:pPr>
              <w:pStyle w:val="6"/>
              <w:jc w:val="both"/>
              <w:rPr>
                <w:color w:val="auto"/>
                <w:highlight w:val="none"/>
              </w:rPr>
            </w:pPr>
            <w:r>
              <w:rPr>
                <w:rFonts w:hint="eastAsia"/>
                <w:color w:val="auto"/>
                <w:highlight w:val="none"/>
              </w:rPr>
              <w:t>注：投标文件中提供相关证书、全国建筑市场监管公共服务平台查询截图（https://jzsc.mohurd.gov.cn/data/person）及投标单位为其缴纳2024年11月或12月的社保证明材料，未提供或提供不全的不得分。</w:t>
            </w:r>
          </w:p>
          <w:p w14:paraId="5F1090EE">
            <w:pPr>
              <w:pStyle w:val="6"/>
              <w:rPr>
                <w:color w:val="auto"/>
                <w:highlight w:val="none"/>
              </w:rPr>
            </w:pPr>
            <w:r>
              <w:rPr>
                <w:rFonts w:hint="eastAsia"/>
                <w:color w:val="auto"/>
                <w:highlight w:val="none"/>
              </w:rPr>
              <w:t>6.2团队成员（4分）</w:t>
            </w:r>
          </w:p>
          <w:p w14:paraId="064D470C">
            <w:pPr>
              <w:pStyle w:val="6"/>
              <w:rPr>
                <w:color w:val="auto"/>
                <w:highlight w:val="none"/>
              </w:rPr>
            </w:pPr>
            <w:r>
              <w:rPr>
                <w:rFonts w:hint="eastAsia"/>
                <w:color w:val="auto"/>
                <w:highlight w:val="none"/>
              </w:rPr>
              <w:t>投标人针对本项目拟配备团队成员（除项目负责人）数量合理、人员层次符合项目实际、工作经验丰富、专业能力强的每符合一项得1分，有所欠缺基本满足的每项得0.5分，未提供或不符合要求的不得分，共4分。</w:t>
            </w:r>
          </w:p>
          <w:p w14:paraId="4774B4E3">
            <w:pPr>
              <w:tabs>
                <w:tab w:val="left" w:pos="5468"/>
              </w:tabs>
              <w:spacing w:line="360" w:lineRule="auto"/>
              <w:rPr>
                <w:rFonts w:ascii="宋体" w:hAnsi="宋体"/>
                <w:color w:val="auto"/>
                <w:szCs w:val="21"/>
                <w:highlight w:val="none"/>
              </w:rPr>
            </w:pPr>
            <w:r>
              <w:rPr>
                <w:rFonts w:hint="eastAsia" w:ascii="宋体" w:hAnsi="宋体" w:cs="宋体"/>
                <w:color w:val="auto"/>
                <w:szCs w:val="21"/>
                <w:highlight w:val="none"/>
              </w:rPr>
              <w:t>注：</w:t>
            </w:r>
            <w:r>
              <w:rPr>
                <w:rFonts w:hint="eastAsia" w:ascii="宋体" w:hAnsi="宋体"/>
                <w:color w:val="auto"/>
                <w:szCs w:val="21"/>
                <w:highlight w:val="none"/>
              </w:rPr>
              <w:t>投标文件中提供上述人员的相关证明资料，未提供不得分。</w:t>
            </w:r>
          </w:p>
        </w:tc>
      </w:tr>
      <w:tr w14:paraId="263AF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8" w:hRule="atLeast"/>
        </w:trPr>
        <w:tc>
          <w:tcPr>
            <w:tcW w:w="92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5D77079">
            <w:pPr>
              <w:tabs>
                <w:tab w:val="left" w:pos="5468"/>
              </w:tabs>
              <w:spacing w:line="360" w:lineRule="auto"/>
              <w:rPr>
                <w:rFonts w:ascii="宋体" w:hAnsi="宋体"/>
                <w:color w:val="auto"/>
                <w:szCs w:val="21"/>
                <w:highlight w:val="none"/>
              </w:rPr>
            </w:pPr>
          </w:p>
        </w:tc>
        <w:tc>
          <w:tcPr>
            <w:tcW w:w="918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494AF57">
            <w:pPr>
              <w:tabs>
                <w:tab w:val="left" w:pos="5468"/>
              </w:tabs>
              <w:spacing w:line="360" w:lineRule="auto"/>
              <w:rPr>
                <w:rFonts w:ascii="宋体" w:hAnsi="宋体"/>
                <w:color w:val="auto"/>
                <w:szCs w:val="21"/>
                <w:highlight w:val="none"/>
              </w:rPr>
            </w:pPr>
            <w:r>
              <w:rPr>
                <w:rFonts w:hint="eastAsia" w:ascii="宋体" w:hAnsi="宋体" w:cs="宋体"/>
                <w:color w:val="auto"/>
                <w:szCs w:val="21"/>
                <w:highlight w:val="none"/>
              </w:rPr>
              <w:t>7、</w:t>
            </w:r>
            <w:r>
              <w:rPr>
                <w:rFonts w:hint="eastAsia" w:ascii="宋体" w:hAnsi="宋体"/>
                <w:color w:val="auto"/>
                <w:szCs w:val="21"/>
                <w:highlight w:val="none"/>
              </w:rPr>
              <w:t>售后服务（4分）</w:t>
            </w:r>
          </w:p>
          <w:p w14:paraId="4696CE07">
            <w:pPr>
              <w:pStyle w:val="6"/>
              <w:rPr>
                <w:color w:val="auto"/>
                <w:highlight w:val="none"/>
              </w:rPr>
            </w:pPr>
            <w:r>
              <w:rPr>
                <w:rFonts w:hint="eastAsia"/>
                <w:color w:val="auto"/>
                <w:highlight w:val="none"/>
              </w:rPr>
              <w:t>评委根据投标人售后服务方案进行评议：</w:t>
            </w:r>
            <w:r>
              <w:rPr>
                <w:rFonts w:hint="eastAsia"/>
                <w:color w:val="auto"/>
                <w:highlight w:val="none"/>
              </w:rPr>
              <w:fldChar w:fldCharType="begin"/>
            </w:r>
            <w:r>
              <w:rPr>
                <w:rFonts w:hint="eastAsia"/>
                <w:color w:val="auto"/>
                <w:highlight w:val="none"/>
              </w:rPr>
              <w:instrText xml:space="preserve"> = 1 \* GB3 \* MERGEFORMAT </w:instrText>
            </w:r>
            <w:r>
              <w:rPr>
                <w:rFonts w:hint="eastAsia"/>
                <w:color w:val="auto"/>
                <w:highlight w:val="none"/>
              </w:rPr>
              <w:fldChar w:fldCharType="separate"/>
            </w:r>
            <w:r>
              <w:rPr>
                <w:rFonts w:hint="eastAsia"/>
                <w:color w:val="auto"/>
                <w:highlight w:val="none"/>
              </w:rPr>
              <w:t>①</w:t>
            </w:r>
            <w:r>
              <w:rPr>
                <w:rFonts w:hint="eastAsia"/>
                <w:color w:val="auto"/>
                <w:highlight w:val="none"/>
              </w:rPr>
              <w:fldChar w:fldCharType="end"/>
            </w:r>
            <w:r>
              <w:rPr>
                <w:rFonts w:hint="eastAsia"/>
                <w:color w:val="auto"/>
                <w:highlight w:val="none"/>
              </w:rPr>
              <w:t>投标人售后服务方案具体详细，售后服务体系完善；</w:t>
            </w:r>
            <w:r>
              <w:rPr>
                <w:rFonts w:hint="eastAsia"/>
                <w:color w:val="auto"/>
                <w:highlight w:val="none"/>
              </w:rPr>
              <w:fldChar w:fldCharType="begin"/>
            </w:r>
            <w:r>
              <w:rPr>
                <w:rFonts w:hint="eastAsia"/>
                <w:color w:val="auto"/>
                <w:highlight w:val="none"/>
              </w:rPr>
              <w:instrText xml:space="preserve"> = 2 \* GB3 </w:instrText>
            </w:r>
            <w:r>
              <w:rPr>
                <w:rFonts w:hint="eastAsia"/>
                <w:color w:val="auto"/>
                <w:highlight w:val="none"/>
              </w:rPr>
              <w:fldChar w:fldCharType="separate"/>
            </w:r>
            <w:r>
              <w:rPr>
                <w:rFonts w:hint="eastAsia"/>
                <w:color w:val="auto"/>
                <w:highlight w:val="none"/>
              </w:rPr>
              <w:t>②</w:t>
            </w:r>
            <w:r>
              <w:rPr>
                <w:rFonts w:hint="eastAsia"/>
                <w:color w:val="auto"/>
                <w:highlight w:val="none"/>
              </w:rPr>
              <w:fldChar w:fldCharType="end"/>
            </w:r>
            <w:r>
              <w:rPr>
                <w:rFonts w:hint="eastAsia"/>
                <w:color w:val="auto"/>
                <w:highlight w:val="none"/>
              </w:rPr>
              <w:t>售后服务人员配备合理、充足且经验丰富；</w:t>
            </w:r>
            <w:r>
              <w:rPr>
                <w:rFonts w:hint="eastAsia"/>
                <w:color w:val="auto"/>
                <w:highlight w:val="none"/>
              </w:rPr>
              <w:fldChar w:fldCharType="begin"/>
            </w:r>
            <w:r>
              <w:rPr>
                <w:rFonts w:hint="eastAsia"/>
                <w:color w:val="auto"/>
                <w:highlight w:val="none"/>
              </w:rPr>
              <w:instrText xml:space="preserve"> = 3 \* GB3 </w:instrText>
            </w:r>
            <w:r>
              <w:rPr>
                <w:rFonts w:hint="eastAsia"/>
                <w:color w:val="auto"/>
                <w:highlight w:val="none"/>
              </w:rPr>
              <w:fldChar w:fldCharType="separate"/>
            </w:r>
            <w:r>
              <w:rPr>
                <w:rFonts w:hint="eastAsia"/>
                <w:color w:val="auto"/>
                <w:highlight w:val="none"/>
              </w:rPr>
              <w:t>③</w:t>
            </w:r>
            <w:r>
              <w:rPr>
                <w:rFonts w:hint="eastAsia"/>
                <w:color w:val="auto"/>
                <w:highlight w:val="none"/>
              </w:rPr>
              <w:fldChar w:fldCharType="end"/>
            </w:r>
            <w:r>
              <w:rPr>
                <w:rFonts w:hint="eastAsia"/>
                <w:color w:val="auto"/>
                <w:highlight w:val="none"/>
              </w:rPr>
              <w:t>售后应急保障及培训方案安排合理且可行性强；</w:t>
            </w:r>
            <w:r>
              <w:rPr>
                <w:rFonts w:hint="eastAsia"/>
                <w:color w:val="auto"/>
                <w:highlight w:val="none"/>
              </w:rPr>
              <w:fldChar w:fldCharType="begin"/>
            </w:r>
            <w:r>
              <w:rPr>
                <w:rFonts w:hint="eastAsia"/>
                <w:color w:val="auto"/>
                <w:highlight w:val="none"/>
              </w:rPr>
              <w:instrText xml:space="preserve"> = 4 \* GB3 </w:instrText>
            </w:r>
            <w:r>
              <w:rPr>
                <w:rFonts w:hint="eastAsia"/>
                <w:color w:val="auto"/>
                <w:highlight w:val="none"/>
              </w:rPr>
              <w:fldChar w:fldCharType="separate"/>
            </w:r>
            <w:r>
              <w:rPr>
                <w:rFonts w:hint="eastAsia"/>
                <w:color w:val="auto"/>
                <w:highlight w:val="none"/>
              </w:rPr>
              <w:t>④</w:t>
            </w:r>
            <w:r>
              <w:rPr>
                <w:rFonts w:hint="eastAsia"/>
                <w:color w:val="auto"/>
                <w:highlight w:val="none"/>
              </w:rPr>
              <w:fldChar w:fldCharType="end"/>
            </w:r>
            <w:r>
              <w:rPr>
                <w:rFonts w:hint="eastAsia"/>
                <w:color w:val="auto"/>
                <w:highlight w:val="none"/>
              </w:rPr>
              <w:t>备品备件齐全；完全符合要求的每项得1分，基本符合要求的每项得0.5分，本项最高得4分，未提供的不得分。</w:t>
            </w:r>
          </w:p>
          <w:p w14:paraId="0F33D73E">
            <w:pPr>
              <w:pStyle w:val="6"/>
              <w:rPr>
                <w:color w:val="auto"/>
                <w:highlight w:val="none"/>
              </w:rPr>
            </w:pPr>
            <w:r>
              <w:rPr>
                <w:rFonts w:hint="eastAsia"/>
                <w:color w:val="auto"/>
                <w:highlight w:val="none"/>
              </w:rPr>
              <w:t>注：投标文件内提供相关证明材料。</w:t>
            </w:r>
          </w:p>
        </w:tc>
      </w:tr>
      <w:tr w14:paraId="11F85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9" w:hRule="atLeast"/>
        </w:trPr>
        <w:tc>
          <w:tcPr>
            <w:tcW w:w="92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E2D50AB">
            <w:pPr>
              <w:tabs>
                <w:tab w:val="left" w:pos="5468"/>
              </w:tabs>
              <w:spacing w:line="360" w:lineRule="auto"/>
              <w:rPr>
                <w:rFonts w:ascii="宋体" w:hAnsi="宋体"/>
                <w:color w:val="auto"/>
                <w:szCs w:val="21"/>
                <w:highlight w:val="none"/>
              </w:rPr>
            </w:pPr>
          </w:p>
        </w:tc>
        <w:tc>
          <w:tcPr>
            <w:tcW w:w="918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E7E9D24">
            <w:pPr>
              <w:tabs>
                <w:tab w:val="left" w:pos="5468"/>
              </w:tabs>
              <w:spacing w:line="360" w:lineRule="auto"/>
              <w:rPr>
                <w:rFonts w:ascii="宋体" w:hAnsi="宋体" w:cs="宋体"/>
                <w:color w:val="auto"/>
                <w:szCs w:val="21"/>
                <w:highlight w:val="none"/>
              </w:rPr>
            </w:pPr>
            <w:r>
              <w:rPr>
                <w:rFonts w:hint="eastAsia" w:ascii="宋体" w:hAnsi="宋体" w:cs="宋体"/>
                <w:color w:val="auto"/>
                <w:szCs w:val="21"/>
                <w:highlight w:val="none"/>
              </w:rPr>
              <w:t>8、质量承诺 (4分)</w:t>
            </w:r>
          </w:p>
          <w:p w14:paraId="1A8C75A1">
            <w:pPr>
              <w:tabs>
                <w:tab w:val="left" w:pos="5468"/>
              </w:tabs>
              <w:spacing w:line="360" w:lineRule="auto"/>
              <w:rPr>
                <w:rFonts w:ascii="宋体" w:hAnsi="宋体" w:cs="宋体"/>
                <w:color w:val="auto"/>
                <w:szCs w:val="21"/>
                <w:highlight w:val="none"/>
              </w:rPr>
            </w:pPr>
            <w:r>
              <w:rPr>
                <w:rFonts w:hint="eastAsia" w:ascii="宋体" w:hAnsi="宋体" w:cs="宋体"/>
                <w:color w:val="auto"/>
                <w:szCs w:val="21"/>
                <w:highlight w:val="none"/>
              </w:rPr>
              <w:t>对投标人针对本项目质量承诺全面的得2分，质量承诺实质上有利于采购人的得2分；以上内容有所欠缺的每项得1分，未提供的不得分，共4分。</w:t>
            </w:r>
          </w:p>
        </w:tc>
      </w:tr>
      <w:tr w14:paraId="629BC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2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6D6824C">
            <w:pPr>
              <w:tabs>
                <w:tab w:val="left" w:pos="5468"/>
              </w:tabs>
              <w:spacing w:line="360" w:lineRule="auto"/>
              <w:rPr>
                <w:rFonts w:ascii="宋体" w:hAnsi="宋体"/>
                <w:color w:val="auto"/>
                <w:szCs w:val="21"/>
                <w:highlight w:val="none"/>
              </w:rPr>
            </w:pPr>
          </w:p>
        </w:tc>
        <w:tc>
          <w:tcPr>
            <w:tcW w:w="918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DC72435">
            <w:pPr>
              <w:tabs>
                <w:tab w:val="left" w:pos="5468"/>
              </w:tabs>
              <w:spacing w:line="360" w:lineRule="auto"/>
              <w:rPr>
                <w:color w:val="auto"/>
                <w:highlight w:val="none"/>
              </w:rPr>
            </w:pPr>
            <w:r>
              <w:rPr>
                <w:rFonts w:hint="eastAsia" w:ascii="宋体" w:hAnsi="宋体"/>
                <w:color w:val="auto"/>
                <w:szCs w:val="21"/>
                <w:highlight w:val="none"/>
              </w:rPr>
              <w:t>9、综合实力</w:t>
            </w:r>
            <w:r>
              <w:rPr>
                <w:rFonts w:hint="eastAsia"/>
                <w:color w:val="auto"/>
                <w:highlight w:val="none"/>
              </w:rPr>
              <w:t>（</w:t>
            </w:r>
            <w:r>
              <w:rPr>
                <w:rFonts w:hint="eastAsia" w:ascii="宋体" w:hAnsi="宋体" w:cs="宋体"/>
                <w:color w:val="auto"/>
                <w:szCs w:val="21"/>
                <w:highlight w:val="none"/>
              </w:rPr>
              <w:t>3</w:t>
            </w:r>
            <w:r>
              <w:rPr>
                <w:rFonts w:hint="eastAsia"/>
                <w:color w:val="auto"/>
                <w:highlight w:val="none"/>
              </w:rPr>
              <w:t>分）</w:t>
            </w:r>
          </w:p>
          <w:p w14:paraId="42AD9A13">
            <w:pPr>
              <w:tabs>
                <w:tab w:val="left" w:pos="5468"/>
              </w:tabs>
              <w:spacing w:line="360" w:lineRule="auto"/>
              <w:rPr>
                <w:rFonts w:ascii="宋体" w:hAnsi="宋体"/>
                <w:color w:val="auto"/>
                <w:szCs w:val="21"/>
                <w:highlight w:val="none"/>
              </w:rPr>
            </w:pPr>
            <w:r>
              <w:rPr>
                <w:rFonts w:hint="eastAsia" w:ascii="宋体" w:hAnsi="宋体"/>
                <w:color w:val="auto"/>
                <w:szCs w:val="21"/>
                <w:highlight w:val="none"/>
              </w:rPr>
              <w:t>投标人具有有效的</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 1 \* GB3 \* MERGEFORMAT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①</w:t>
            </w:r>
            <w:r>
              <w:rPr>
                <w:rFonts w:hint="eastAsia" w:ascii="宋体" w:hAnsi="宋体" w:cs="宋体"/>
                <w:color w:val="auto"/>
                <w:szCs w:val="21"/>
                <w:highlight w:val="none"/>
              </w:rPr>
              <w:fldChar w:fldCharType="end"/>
            </w:r>
            <w:r>
              <w:rPr>
                <w:rFonts w:hint="eastAsia" w:ascii="宋体" w:hAnsi="宋体"/>
                <w:color w:val="auto"/>
                <w:szCs w:val="21"/>
                <w:highlight w:val="none"/>
              </w:rPr>
              <w:t>质量管理体系认证证书</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 2 \* GB3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②</w:t>
            </w:r>
            <w:r>
              <w:rPr>
                <w:rFonts w:hint="eastAsia" w:ascii="宋体" w:hAnsi="宋体" w:cs="宋体"/>
                <w:color w:val="auto"/>
                <w:szCs w:val="21"/>
                <w:highlight w:val="none"/>
              </w:rPr>
              <w:fldChar w:fldCharType="end"/>
            </w:r>
            <w:r>
              <w:rPr>
                <w:rFonts w:hint="eastAsia" w:ascii="宋体" w:hAnsi="宋体"/>
                <w:color w:val="auto"/>
                <w:szCs w:val="21"/>
                <w:highlight w:val="none"/>
              </w:rPr>
              <w:t>环境管理体系认证证书</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 3 \* GB3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③</w:t>
            </w:r>
            <w:r>
              <w:rPr>
                <w:rFonts w:hint="eastAsia" w:ascii="宋体" w:hAnsi="宋体" w:cs="宋体"/>
                <w:color w:val="auto"/>
                <w:szCs w:val="21"/>
                <w:highlight w:val="none"/>
              </w:rPr>
              <w:fldChar w:fldCharType="end"/>
            </w:r>
            <w:r>
              <w:rPr>
                <w:rFonts w:hint="eastAsia" w:ascii="宋体" w:hAnsi="宋体"/>
                <w:color w:val="auto"/>
                <w:szCs w:val="21"/>
                <w:highlight w:val="none"/>
              </w:rPr>
              <w:t>职业健康管理体系认证证书，每提供一个得1分，本项最高得3分。</w:t>
            </w:r>
          </w:p>
          <w:p w14:paraId="79E3D435">
            <w:pPr>
              <w:pStyle w:val="6"/>
              <w:rPr>
                <w:color w:val="auto"/>
                <w:highlight w:val="none"/>
              </w:rPr>
            </w:pPr>
            <w:r>
              <w:rPr>
                <w:rFonts w:hint="eastAsia"/>
                <w:color w:val="auto"/>
                <w:highlight w:val="none"/>
              </w:rPr>
              <w:t>注：投标文件中提供有效证书复印件，未提供的不得分。</w:t>
            </w:r>
          </w:p>
        </w:tc>
      </w:tr>
      <w:tr w14:paraId="31E60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0" w:hRule="atLeast"/>
        </w:trPr>
        <w:tc>
          <w:tcPr>
            <w:tcW w:w="92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A8A6090">
            <w:pPr>
              <w:tabs>
                <w:tab w:val="left" w:pos="5468"/>
              </w:tabs>
              <w:spacing w:line="360" w:lineRule="auto"/>
              <w:rPr>
                <w:rFonts w:ascii="宋体" w:hAnsi="宋体"/>
                <w:color w:val="auto"/>
                <w:szCs w:val="21"/>
                <w:highlight w:val="none"/>
              </w:rPr>
            </w:pPr>
          </w:p>
        </w:tc>
        <w:tc>
          <w:tcPr>
            <w:tcW w:w="918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08D55E5">
            <w:pPr>
              <w:tabs>
                <w:tab w:val="left" w:pos="5468"/>
              </w:tabs>
              <w:spacing w:line="360" w:lineRule="auto"/>
              <w:rPr>
                <w:rFonts w:ascii="宋体" w:hAnsi="宋体" w:cs="宋体"/>
                <w:color w:val="auto"/>
                <w:szCs w:val="21"/>
                <w:highlight w:val="none"/>
              </w:rPr>
            </w:pPr>
            <w:r>
              <w:rPr>
                <w:rFonts w:hint="eastAsia" w:ascii="宋体" w:hAnsi="宋体"/>
                <w:color w:val="auto"/>
                <w:szCs w:val="21"/>
                <w:highlight w:val="none"/>
              </w:rPr>
              <w:t>10、</w:t>
            </w:r>
            <w:r>
              <w:rPr>
                <w:rFonts w:hint="eastAsia" w:ascii="宋体" w:hAnsi="宋体" w:cs="宋体"/>
                <w:color w:val="auto"/>
                <w:szCs w:val="21"/>
                <w:highlight w:val="none"/>
              </w:rPr>
              <w:t>售后时间响应（2分）</w:t>
            </w:r>
          </w:p>
          <w:p w14:paraId="79231DE0">
            <w:pPr>
              <w:tabs>
                <w:tab w:val="left" w:pos="5468"/>
              </w:tabs>
              <w:spacing w:line="360" w:lineRule="auto"/>
              <w:rPr>
                <w:rFonts w:ascii="宋体" w:hAnsi="宋体" w:cs="宋体"/>
                <w:color w:val="auto"/>
                <w:szCs w:val="21"/>
                <w:highlight w:val="none"/>
              </w:rPr>
            </w:pPr>
            <w:r>
              <w:rPr>
                <w:rFonts w:hint="eastAsia" w:ascii="宋体" w:hAnsi="宋体" w:cs="宋体"/>
                <w:color w:val="auto"/>
                <w:szCs w:val="21"/>
                <w:highlight w:val="none"/>
              </w:rPr>
              <w:t>售后服务人员能在接到采购人报修通知后30分钟（含）以内到达项目现场得2分，30分钟以上60分钟（含）以内到达项目现场得1分，其余不得分。</w:t>
            </w:r>
          </w:p>
          <w:p w14:paraId="318B2A24">
            <w:pPr>
              <w:tabs>
                <w:tab w:val="left" w:pos="5468"/>
              </w:tabs>
              <w:spacing w:line="360" w:lineRule="auto"/>
              <w:rPr>
                <w:rFonts w:ascii="宋体" w:hAnsi="宋体" w:cs="宋体"/>
                <w:color w:val="auto"/>
                <w:szCs w:val="21"/>
                <w:highlight w:val="none"/>
              </w:rPr>
            </w:pPr>
            <w:r>
              <w:rPr>
                <w:rFonts w:hint="eastAsia" w:ascii="宋体" w:hAnsi="宋体" w:cs="宋体"/>
                <w:color w:val="auto"/>
                <w:szCs w:val="21"/>
                <w:highlight w:val="none"/>
              </w:rPr>
              <w:t>注：项目现场指设备安装地点。投标人需提供售后服务点照片，百度、高德地图等路线图等证明材料，未提供证明材料的不得分。</w:t>
            </w:r>
          </w:p>
        </w:tc>
      </w:tr>
      <w:tr w14:paraId="3C98A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0" w:hRule="atLeast"/>
        </w:trPr>
        <w:tc>
          <w:tcPr>
            <w:tcW w:w="92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FA9F25F">
            <w:pPr>
              <w:tabs>
                <w:tab w:val="left" w:pos="5468"/>
              </w:tabs>
              <w:spacing w:line="360" w:lineRule="auto"/>
              <w:rPr>
                <w:rFonts w:ascii="宋体" w:hAnsi="宋体"/>
                <w:color w:val="auto"/>
                <w:szCs w:val="21"/>
                <w:highlight w:val="none"/>
              </w:rPr>
            </w:pPr>
          </w:p>
        </w:tc>
        <w:tc>
          <w:tcPr>
            <w:tcW w:w="918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0624FC4">
            <w:pPr>
              <w:tabs>
                <w:tab w:val="left" w:pos="5468"/>
              </w:tabs>
              <w:spacing w:line="360" w:lineRule="auto"/>
              <w:rPr>
                <w:rFonts w:ascii="宋体" w:hAnsi="宋体"/>
                <w:color w:val="auto"/>
                <w:szCs w:val="21"/>
                <w:highlight w:val="none"/>
              </w:rPr>
            </w:pPr>
            <w:r>
              <w:rPr>
                <w:rFonts w:hint="eastAsia" w:ascii="宋体" w:hAnsi="宋体"/>
                <w:color w:val="auto"/>
                <w:szCs w:val="21"/>
                <w:highlight w:val="none"/>
              </w:rPr>
              <w:t>11、履约能力（2分）</w:t>
            </w:r>
          </w:p>
          <w:p w14:paraId="7EB7524B">
            <w:pPr>
              <w:tabs>
                <w:tab w:val="left" w:pos="5468"/>
              </w:tabs>
              <w:spacing w:line="360" w:lineRule="auto"/>
              <w:rPr>
                <w:rFonts w:ascii="宋体" w:hAnsi="宋体"/>
                <w:color w:val="auto"/>
                <w:szCs w:val="21"/>
                <w:highlight w:val="none"/>
              </w:rPr>
            </w:pPr>
            <w:r>
              <w:rPr>
                <w:rFonts w:hint="eastAsia" w:ascii="宋体" w:hAnsi="宋体"/>
                <w:color w:val="auto"/>
                <w:szCs w:val="21"/>
                <w:highlight w:val="none"/>
              </w:rPr>
              <w:t>投标人自2021年以来具有类似项目业绩（至少同时包含空气源、光伏）的每提供一个得1分，最多得2分。</w:t>
            </w:r>
          </w:p>
          <w:p w14:paraId="6ECD5300">
            <w:pPr>
              <w:tabs>
                <w:tab w:val="left" w:pos="5468"/>
              </w:tabs>
              <w:spacing w:line="360" w:lineRule="auto"/>
              <w:rPr>
                <w:rFonts w:ascii="宋体" w:hAnsi="宋体" w:cs="宋体"/>
                <w:color w:val="auto"/>
                <w:szCs w:val="21"/>
                <w:highlight w:val="none"/>
              </w:rPr>
            </w:pPr>
            <w:r>
              <w:rPr>
                <w:rFonts w:hint="eastAsia" w:ascii="宋体" w:hAnsi="宋体"/>
                <w:color w:val="auto"/>
                <w:szCs w:val="21"/>
                <w:highlight w:val="none"/>
              </w:rPr>
              <w:t>注：时间以合同签订时间为准，投标文件中提供合同复印件、开工报告等相关证明材料，不符合、提供不全的或未提供均不得分。</w:t>
            </w:r>
          </w:p>
        </w:tc>
      </w:tr>
      <w:tr w14:paraId="2F7B8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1" w:hRule="atLeast"/>
        </w:trPr>
        <w:tc>
          <w:tcPr>
            <w:tcW w:w="92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02BAC9F">
            <w:pPr>
              <w:tabs>
                <w:tab w:val="left" w:pos="5468"/>
              </w:tabs>
              <w:spacing w:line="360" w:lineRule="auto"/>
              <w:rPr>
                <w:rFonts w:ascii="宋体" w:hAnsi="宋体"/>
                <w:color w:val="auto"/>
                <w:szCs w:val="21"/>
                <w:highlight w:val="none"/>
              </w:rPr>
            </w:pPr>
          </w:p>
        </w:tc>
        <w:tc>
          <w:tcPr>
            <w:tcW w:w="918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9E6F95A">
            <w:pPr>
              <w:tabs>
                <w:tab w:val="left" w:pos="5468"/>
              </w:tabs>
              <w:spacing w:line="360" w:lineRule="auto"/>
              <w:rPr>
                <w:rFonts w:ascii="宋体" w:hAnsi="宋体"/>
                <w:color w:val="auto"/>
                <w:szCs w:val="21"/>
                <w:highlight w:val="none"/>
                <w:lang w:val="zh-CN"/>
              </w:rPr>
            </w:pPr>
            <w:r>
              <w:rPr>
                <w:rFonts w:hint="eastAsia" w:ascii="宋体" w:hAnsi="宋体"/>
                <w:color w:val="auto"/>
                <w:szCs w:val="21"/>
                <w:highlight w:val="none"/>
              </w:rPr>
              <w:t>12</w:t>
            </w:r>
            <w:r>
              <w:rPr>
                <w:rFonts w:hint="eastAsia" w:ascii="宋体" w:hAnsi="宋体"/>
                <w:color w:val="auto"/>
                <w:szCs w:val="21"/>
                <w:highlight w:val="none"/>
                <w:lang w:val="zh-CN"/>
              </w:rPr>
              <w:t>、政府采购政策(</w:t>
            </w:r>
            <w:r>
              <w:rPr>
                <w:rFonts w:hint="eastAsia" w:ascii="宋体" w:hAnsi="宋体"/>
                <w:color w:val="auto"/>
                <w:szCs w:val="21"/>
                <w:highlight w:val="none"/>
              </w:rPr>
              <w:t>1</w:t>
            </w:r>
            <w:r>
              <w:rPr>
                <w:rFonts w:hint="eastAsia" w:ascii="宋体" w:hAnsi="宋体"/>
                <w:color w:val="auto"/>
                <w:szCs w:val="21"/>
                <w:highlight w:val="none"/>
                <w:lang w:val="zh-CN"/>
              </w:rPr>
              <w:t>分)</w:t>
            </w:r>
          </w:p>
          <w:p w14:paraId="08390CA1">
            <w:pPr>
              <w:tabs>
                <w:tab w:val="left" w:pos="5468"/>
              </w:tabs>
              <w:spacing w:line="360" w:lineRule="auto"/>
              <w:rPr>
                <w:color w:val="auto"/>
                <w:highlight w:val="none"/>
              </w:rPr>
            </w:pPr>
            <w:r>
              <w:rPr>
                <w:color w:val="auto"/>
                <w:highlight w:val="none"/>
              </w:rPr>
              <w:t>（1）投标人是国家认定的少数民族地区企业的加0.5分。</w:t>
            </w:r>
          </w:p>
          <w:p w14:paraId="708327C2">
            <w:pPr>
              <w:tabs>
                <w:tab w:val="left" w:pos="5468"/>
              </w:tabs>
              <w:spacing w:line="360" w:lineRule="auto"/>
              <w:rPr>
                <w:color w:val="auto"/>
                <w:highlight w:val="none"/>
              </w:rPr>
            </w:pPr>
            <w:r>
              <w:rPr>
                <w:color w:val="auto"/>
                <w:highlight w:val="none"/>
              </w:rPr>
              <w:t>（2）节能产品、环境标志产品政策性因素得分（0.5分）。投标产品如属于节能产品的得0.25分，投标产品如属于环境标志产品的得0.25分，投标人须提供由国家确定的认证机构出具的、处于有效期之内的节能产品、环境标志产品认证证书，未按要求提供认证证书或认证证书与中国政府采购网(www.ccgp.gov.cn) 节能产品、环境标志产品查询结果不相符的评标委员会将不予认可。</w:t>
            </w:r>
          </w:p>
        </w:tc>
      </w:tr>
      <w:tr w14:paraId="3BDEF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trPr>
        <w:tc>
          <w:tcPr>
            <w:tcW w:w="92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804C4ED">
            <w:pPr>
              <w:tabs>
                <w:tab w:val="left" w:pos="5468"/>
              </w:tabs>
              <w:spacing w:line="360" w:lineRule="auto"/>
              <w:rPr>
                <w:rFonts w:ascii="宋体" w:hAnsi="宋体"/>
                <w:color w:val="auto"/>
                <w:szCs w:val="21"/>
                <w:highlight w:val="none"/>
              </w:rPr>
            </w:pPr>
            <w:r>
              <w:rPr>
                <w:rFonts w:hint="eastAsia" w:ascii="宋体" w:hAnsi="宋体"/>
                <w:color w:val="auto"/>
                <w:szCs w:val="21"/>
                <w:highlight w:val="none"/>
              </w:rPr>
              <w:t>价格分40分</w:t>
            </w:r>
          </w:p>
        </w:tc>
        <w:tc>
          <w:tcPr>
            <w:tcW w:w="918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D3B8F4D">
            <w:pPr>
              <w:tabs>
                <w:tab w:val="left" w:pos="5468"/>
              </w:tabs>
              <w:spacing w:line="360" w:lineRule="auto"/>
              <w:rPr>
                <w:color w:val="auto"/>
                <w:szCs w:val="21"/>
                <w:highlight w:val="none"/>
              </w:rPr>
            </w:pPr>
            <w:r>
              <w:rPr>
                <w:rFonts w:hint="eastAsia"/>
                <w:color w:val="auto"/>
                <w:szCs w:val="21"/>
                <w:highlight w:val="none"/>
              </w:rPr>
              <w:t>满足采购文件要求且参与评审价格最低为评标基准价，其价格分为满分，其余投标人的价格分以下列公式计算：</w:t>
            </w:r>
          </w:p>
          <w:p w14:paraId="6F0B3A66">
            <w:pPr>
              <w:tabs>
                <w:tab w:val="left" w:pos="5468"/>
              </w:tabs>
              <w:spacing w:line="360" w:lineRule="auto"/>
              <w:rPr>
                <w:color w:val="auto"/>
                <w:szCs w:val="21"/>
                <w:highlight w:val="none"/>
              </w:rPr>
            </w:pPr>
            <w:r>
              <w:rPr>
                <w:rFonts w:hint="eastAsia"/>
                <w:color w:val="auto"/>
                <w:szCs w:val="21"/>
                <w:highlight w:val="none"/>
              </w:rPr>
              <w:t>投标报价得分=（评标基准价/参与评审的价格）×价格权值×100。</w:t>
            </w:r>
          </w:p>
          <w:p w14:paraId="12FC28DD">
            <w:pPr>
              <w:tabs>
                <w:tab w:val="left" w:pos="5468"/>
              </w:tabs>
              <w:spacing w:line="360" w:lineRule="auto"/>
              <w:rPr>
                <w:color w:val="auto"/>
                <w:szCs w:val="21"/>
                <w:highlight w:val="none"/>
              </w:rPr>
            </w:pPr>
            <w:r>
              <w:rPr>
                <w:rFonts w:hint="eastAsia"/>
                <w:color w:val="auto"/>
                <w:szCs w:val="21"/>
                <w:highlight w:val="none"/>
              </w:rPr>
              <w:t>参与评审价格=投标价格×（1-小微企业价格扣除优惠值10%）</w:t>
            </w:r>
          </w:p>
        </w:tc>
      </w:tr>
    </w:tbl>
    <w:p w14:paraId="20BCE095">
      <w:pPr>
        <w:snapToGrid w:val="0"/>
        <w:spacing w:line="360" w:lineRule="auto"/>
        <w:rPr>
          <w:rFonts w:cs="仿宋" w:asciiTheme="majorEastAsia" w:hAnsiTheme="majorEastAsia" w:eastAsiaTheme="majorEastAsia"/>
          <w:b/>
          <w:color w:val="auto"/>
          <w:sz w:val="24"/>
          <w:highlight w:val="none"/>
        </w:rPr>
      </w:pPr>
    </w:p>
    <w:p w14:paraId="2FE3FACA">
      <w:pPr>
        <w:snapToGrid w:val="0"/>
        <w:spacing w:line="360" w:lineRule="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备注：</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编制投标文件（商务技术文件部分）时，建议按此目录（序号和内容）提供评标标准相应的商务技术资料。 </w:t>
      </w:r>
    </w:p>
    <w:p w14:paraId="039FE62B">
      <w:pPr>
        <w:snapToGrid w:val="0"/>
        <w:spacing w:line="360" w:lineRule="auto"/>
        <w:ind w:left="120" w:leftChars="57" w:firstLine="482" w:firstLineChars="150"/>
        <w:jc w:val="center"/>
        <w:rPr>
          <w:rFonts w:cs="仿宋" w:asciiTheme="majorEastAsia" w:hAnsiTheme="majorEastAsia" w:eastAsiaTheme="majorEastAsia"/>
          <w:b/>
          <w:color w:val="auto"/>
          <w:sz w:val="32"/>
          <w:highlight w:val="none"/>
        </w:rPr>
      </w:pPr>
      <w:r>
        <w:rPr>
          <w:rFonts w:hint="eastAsia" w:cs="仿宋" w:asciiTheme="majorEastAsia" w:hAnsiTheme="majorEastAsia" w:eastAsiaTheme="majorEastAsia"/>
          <w:b/>
          <w:color w:val="auto"/>
          <w:sz w:val="32"/>
          <w:highlight w:val="none"/>
        </w:rPr>
        <w:t>一、评标方法</w:t>
      </w:r>
    </w:p>
    <w:p w14:paraId="483C7E41">
      <w:pPr>
        <w:spacing w:line="360" w:lineRule="auto"/>
        <w:ind w:firstLine="472" w:firstLineChars="196"/>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b/>
          <w:color w:val="auto"/>
          <w:kern w:val="0"/>
          <w:sz w:val="24"/>
          <w:highlight w:val="none"/>
        </w:rPr>
        <w:t>1.本项目采用综合评分法。</w:t>
      </w:r>
      <w:r>
        <w:rPr>
          <w:rFonts w:hint="eastAsia" w:cs="仿宋" w:asciiTheme="majorEastAsia" w:hAnsiTheme="majorEastAsia" w:eastAsiaTheme="majorEastAsia"/>
          <w:color w:val="auto"/>
          <w:kern w:val="0"/>
          <w:sz w:val="24"/>
          <w:highlight w:val="none"/>
        </w:rPr>
        <w:t>综合评分法，是指投标文件满足招标文件全部实质性要求，且按照评审因素的量化指标评审得分最高的</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为中标候选人的评标方法。</w:t>
      </w:r>
    </w:p>
    <w:p w14:paraId="782880BB">
      <w:pPr>
        <w:snapToGrid w:val="0"/>
        <w:spacing w:line="360" w:lineRule="auto"/>
        <w:ind w:left="120" w:leftChars="57" w:firstLine="482" w:firstLineChars="150"/>
        <w:jc w:val="center"/>
        <w:rPr>
          <w:rFonts w:cs="仿宋" w:asciiTheme="majorEastAsia" w:hAnsiTheme="majorEastAsia" w:eastAsiaTheme="majorEastAsia"/>
          <w:b/>
          <w:color w:val="auto"/>
          <w:sz w:val="32"/>
          <w:highlight w:val="none"/>
        </w:rPr>
      </w:pPr>
      <w:r>
        <w:rPr>
          <w:rFonts w:hint="eastAsia" w:cs="仿宋" w:asciiTheme="majorEastAsia" w:hAnsiTheme="majorEastAsia" w:eastAsiaTheme="majorEastAsia"/>
          <w:b/>
          <w:color w:val="auto"/>
          <w:sz w:val="32"/>
          <w:highlight w:val="none"/>
        </w:rPr>
        <w:t>二、评标标准</w:t>
      </w:r>
    </w:p>
    <w:p w14:paraId="7504EDAD">
      <w:pPr>
        <w:spacing w:line="360" w:lineRule="auto"/>
        <w:ind w:firstLine="472" w:firstLineChars="196"/>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2.</w:t>
      </w:r>
      <w:r>
        <w:rPr>
          <w:rFonts w:hint="eastAsia" w:cs="仿宋" w:asciiTheme="majorEastAsia" w:hAnsiTheme="majorEastAsia" w:eastAsiaTheme="majorEastAsia"/>
          <w:color w:val="auto"/>
          <w:highlight w:val="none"/>
        </w:rPr>
        <w:t xml:space="preserve"> </w:t>
      </w:r>
      <w:r>
        <w:rPr>
          <w:rFonts w:hint="eastAsia" w:cs="仿宋" w:asciiTheme="majorEastAsia" w:hAnsiTheme="majorEastAsia" w:eastAsiaTheme="majorEastAsia"/>
          <w:b/>
          <w:color w:val="auto"/>
          <w:sz w:val="24"/>
          <w:highlight w:val="none"/>
        </w:rPr>
        <w:t>评标标准：</w:t>
      </w:r>
      <w:r>
        <w:rPr>
          <w:rFonts w:hint="eastAsia" w:cs="仿宋" w:asciiTheme="majorEastAsia" w:hAnsiTheme="majorEastAsia" w:eastAsiaTheme="majorEastAsia"/>
          <w:color w:val="auto"/>
          <w:kern w:val="0"/>
          <w:sz w:val="24"/>
          <w:highlight w:val="none"/>
        </w:rPr>
        <w:t>见评标办法前附表。</w:t>
      </w:r>
    </w:p>
    <w:p w14:paraId="4B9DCFD0">
      <w:pPr>
        <w:snapToGrid w:val="0"/>
        <w:spacing w:line="360" w:lineRule="auto"/>
        <w:ind w:left="120" w:leftChars="57" w:firstLine="482" w:firstLineChars="150"/>
        <w:jc w:val="center"/>
        <w:rPr>
          <w:rFonts w:cs="仿宋" w:asciiTheme="majorEastAsia" w:hAnsiTheme="majorEastAsia" w:eastAsiaTheme="majorEastAsia"/>
          <w:b/>
          <w:color w:val="auto"/>
          <w:sz w:val="32"/>
          <w:highlight w:val="none"/>
        </w:rPr>
      </w:pPr>
      <w:r>
        <w:rPr>
          <w:rFonts w:hint="eastAsia" w:cs="仿宋" w:asciiTheme="majorEastAsia" w:hAnsiTheme="majorEastAsia" w:eastAsiaTheme="majorEastAsia"/>
          <w:b/>
          <w:color w:val="auto"/>
          <w:sz w:val="32"/>
          <w:highlight w:val="none"/>
        </w:rPr>
        <w:t>三、评标程序</w:t>
      </w:r>
    </w:p>
    <w:p w14:paraId="35235378">
      <w:pPr>
        <w:spacing w:line="360" w:lineRule="auto"/>
        <w:ind w:firstLine="482"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b/>
          <w:color w:val="auto"/>
          <w:kern w:val="0"/>
          <w:sz w:val="24"/>
          <w:highlight w:val="none"/>
        </w:rPr>
        <w:t>3.1 符合性审查。</w:t>
      </w:r>
      <w:r>
        <w:rPr>
          <w:rFonts w:hint="eastAsia" w:cs="仿宋" w:asciiTheme="majorEastAsia" w:hAnsiTheme="majorEastAsia" w:eastAsiaTheme="majorEastAsia"/>
          <w:color w:val="auto"/>
          <w:kern w:val="0"/>
          <w:sz w:val="24"/>
          <w:highlight w:val="none"/>
        </w:rPr>
        <w:t>评标委员会应当对符合资格的</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的投标文件进行符合性审查，以确定其是否满足招标文件的实质性要求。不满足招标文件的实质性要求的，投标无效。</w:t>
      </w:r>
    </w:p>
    <w:p w14:paraId="17F540F7">
      <w:pPr>
        <w:spacing w:line="360" w:lineRule="auto"/>
        <w:ind w:firstLine="482"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b/>
          <w:color w:val="auto"/>
          <w:kern w:val="0"/>
          <w:sz w:val="24"/>
          <w:highlight w:val="none"/>
        </w:rPr>
        <w:t>3.2 商务技术评审。</w:t>
      </w:r>
      <w:r>
        <w:rPr>
          <w:rFonts w:hint="eastAsia" w:cs="仿宋" w:asciiTheme="majorEastAsia" w:hAnsiTheme="majorEastAsia" w:eastAsiaTheme="majorEastAsia"/>
          <w:color w:val="auto"/>
          <w:kern w:val="0"/>
          <w:sz w:val="24"/>
          <w:highlight w:val="none"/>
        </w:rPr>
        <w:t>评标委员会应当按照招标文件中规定的评标方法和标准，对符合性审查合格的投标文件进行商务和技术评估。</w:t>
      </w:r>
    </w:p>
    <w:p w14:paraId="4026CC87">
      <w:pPr>
        <w:spacing w:line="360" w:lineRule="auto"/>
        <w:ind w:firstLine="482"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b/>
          <w:color w:val="auto"/>
          <w:kern w:val="0"/>
          <w:sz w:val="24"/>
          <w:highlight w:val="none"/>
        </w:rPr>
        <w:t>3.3 汇总商务技术得分。</w:t>
      </w:r>
      <w:r>
        <w:rPr>
          <w:rFonts w:hint="eastAsia" w:cs="仿宋" w:asciiTheme="majorEastAsia" w:hAnsiTheme="majorEastAsia" w:eastAsiaTheme="majorEastAsia"/>
          <w:color w:val="auto"/>
          <w:kern w:val="0"/>
          <w:sz w:val="24"/>
          <w:highlight w:val="none"/>
        </w:rPr>
        <w:t>评标委员会各成员应当独立对每个</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的商务和技术文件进行评价，并汇总商务技术得分情况。</w:t>
      </w:r>
    </w:p>
    <w:p w14:paraId="10ABE864">
      <w:pPr>
        <w:spacing w:line="360" w:lineRule="auto"/>
        <w:ind w:firstLine="482" w:firstLineChars="200"/>
        <w:rPr>
          <w:rFonts w:cs="仿宋" w:asciiTheme="majorEastAsia" w:hAnsiTheme="majorEastAsia" w:eastAsiaTheme="majorEastAsia"/>
          <w:b/>
          <w:color w:val="auto"/>
          <w:kern w:val="0"/>
          <w:sz w:val="24"/>
          <w:highlight w:val="none"/>
        </w:rPr>
      </w:pPr>
      <w:r>
        <w:rPr>
          <w:rFonts w:hint="eastAsia" w:cs="仿宋" w:asciiTheme="majorEastAsia" w:hAnsiTheme="majorEastAsia" w:eastAsiaTheme="majorEastAsia"/>
          <w:b/>
          <w:color w:val="auto"/>
          <w:kern w:val="0"/>
          <w:sz w:val="24"/>
          <w:highlight w:val="none"/>
        </w:rPr>
        <w:t>3.4 报价评审。</w:t>
      </w:r>
    </w:p>
    <w:p w14:paraId="6BD56D65">
      <w:pPr>
        <w:pStyle w:val="43"/>
        <w:spacing w:before="0"/>
        <w:ind w:firstLine="480"/>
        <w:rPr>
          <w:rFonts w:cs="仿宋" w:asciiTheme="majorEastAsia" w:hAnsiTheme="majorEastAsia" w:eastAsiaTheme="majorEastAsia"/>
          <w:color w:val="auto"/>
          <w:kern w:val="0"/>
          <w:highlight w:val="none"/>
        </w:rPr>
      </w:pPr>
      <w:r>
        <w:rPr>
          <w:rFonts w:hint="eastAsia" w:cs="仿宋" w:asciiTheme="majorEastAsia" w:hAnsiTheme="majorEastAsia" w:eastAsiaTheme="majorEastAsia"/>
          <w:color w:val="auto"/>
          <w:kern w:val="0"/>
          <w:highlight w:val="none"/>
        </w:rPr>
        <w:t>3.4.1投标文件报价出现前后不一致的，按照下列规定修正：</w:t>
      </w:r>
    </w:p>
    <w:p w14:paraId="56C6B359">
      <w:pPr>
        <w:pStyle w:val="43"/>
        <w:spacing w:before="0"/>
        <w:ind w:firstLine="480"/>
        <w:rPr>
          <w:rFonts w:cs="仿宋" w:asciiTheme="majorEastAsia" w:hAnsiTheme="majorEastAsia" w:eastAsiaTheme="majorEastAsia"/>
          <w:color w:val="auto"/>
          <w:kern w:val="0"/>
          <w:highlight w:val="none"/>
        </w:rPr>
      </w:pPr>
      <w:r>
        <w:rPr>
          <w:rFonts w:hint="eastAsia" w:cs="仿宋" w:asciiTheme="majorEastAsia" w:hAnsiTheme="majorEastAsia" w:eastAsiaTheme="majorEastAsia"/>
          <w:color w:val="auto"/>
          <w:kern w:val="0"/>
          <w:highlight w:val="none"/>
        </w:rPr>
        <w:t>3.4.1.1电子交易平台生成的开标记录表(报价表)内容与投标文件中开标一览表(报价表)不一致的，以投标文件中开标一览表(报价表)为准；</w:t>
      </w:r>
    </w:p>
    <w:p w14:paraId="14EF4961">
      <w:pPr>
        <w:pStyle w:val="43"/>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3.4.1.2</w:t>
      </w:r>
      <w:r>
        <w:rPr>
          <w:rFonts w:hint="eastAsia" w:cs="仿宋" w:asciiTheme="majorEastAsia" w:hAnsiTheme="majorEastAsia" w:eastAsiaTheme="majorEastAsia"/>
          <w:color w:val="auto"/>
          <w:kern w:val="0"/>
          <w:highlight w:val="none"/>
        </w:rPr>
        <w:t>投标文件中开标一览表(报价表)内容与投标文件中相应内容不一致的，以开标一览表(报价表)为准；</w:t>
      </w:r>
    </w:p>
    <w:p w14:paraId="1B1AA242">
      <w:pPr>
        <w:pStyle w:val="43"/>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3.4.1.3 大写金额和小写金额不一致的，以大写金额为准;</w:t>
      </w:r>
    </w:p>
    <w:p w14:paraId="12EE37E8">
      <w:pPr>
        <w:pStyle w:val="43"/>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3.4.1.4 单价金额小数点或者百分比有明显错位的，以开标一览表的总价为准，并修改单价;</w:t>
      </w:r>
    </w:p>
    <w:p w14:paraId="5DCDEFD8">
      <w:pPr>
        <w:pStyle w:val="43"/>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3.4.1.5 总价金额与按单价汇总金额不一致的，以单价金额计算结果为准；</w:t>
      </w:r>
    </w:p>
    <w:p w14:paraId="71350F01">
      <w:pPr>
        <w:pStyle w:val="43"/>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3.4.1.6同时出现两种以上不一致的，按照3.4.1规定的顺序修正。修正后的报价按照财政部第87号令 《政府采购货物和服务招标投标管理办法》第五十一条第二款的规定经</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确认后产生约束力。</w:t>
      </w:r>
    </w:p>
    <w:p w14:paraId="4B1E82E7">
      <w:pPr>
        <w:snapToGrid w:val="0"/>
        <w:spacing w:line="360" w:lineRule="auto"/>
        <w:ind w:firstLine="480" w:firstLineChars="200"/>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3.4.2投标文件出现不是唯一的、有选择性投标报价的，投标无效。</w:t>
      </w:r>
    </w:p>
    <w:p w14:paraId="2346116B">
      <w:pPr>
        <w:snapToGrid w:val="0"/>
        <w:spacing w:line="360" w:lineRule="auto"/>
        <w:ind w:firstLine="480" w:firstLineChars="200"/>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3.4.3投标报价超过招标文件中规定的预算金额或者最高限价的，投标无效。</w:t>
      </w:r>
    </w:p>
    <w:p w14:paraId="0913F5FC">
      <w:pPr>
        <w:pStyle w:val="43"/>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3.4.4评标委员会认为</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的报价明显低于其他通过符合性审查</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的报价，有可能影响产品质量或者不能诚信履约的，应当要求其在30分钟内提供书面说明，必要时提交相关证明材料;</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不能证明其报价合理性的，评标委员会应当将其作为无效投标处理。</w:t>
      </w:r>
    </w:p>
    <w:p w14:paraId="64CA7258">
      <w:pPr>
        <w:spacing w:line="360" w:lineRule="auto"/>
        <w:ind w:firstLine="482"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b/>
          <w:color w:val="auto"/>
          <w:kern w:val="0"/>
          <w:sz w:val="24"/>
          <w:highlight w:val="none"/>
        </w:rPr>
        <w:t>3.5编写评标报告。</w:t>
      </w:r>
      <w:r>
        <w:rPr>
          <w:rFonts w:hint="eastAsia" w:cs="仿宋" w:asciiTheme="majorEastAsia" w:hAnsiTheme="majorEastAsia" w:eastAsiaTheme="majorEastAsia"/>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0D544D8">
      <w:pPr>
        <w:snapToGrid w:val="0"/>
        <w:spacing w:line="360" w:lineRule="auto"/>
        <w:ind w:left="120" w:leftChars="57" w:firstLine="482" w:firstLineChars="150"/>
        <w:jc w:val="center"/>
        <w:rPr>
          <w:rFonts w:cs="仿宋" w:asciiTheme="majorEastAsia" w:hAnsiTheme="majorEastAsia" w:eastAsiaTheme="majorEastAsia"/>
          <w:b/>
          <w:color w:val="auto"/>
          <w:sz w:val="32"/>
          <w:highlight w:val="none"/>
        </w:rPr>
      </w:pPr>
      <w:r>
        <w:rPr>
          <w:rFonts w:hint="eastAsia" w:cs="仿宋" w:asciiTheme="majorEastAsia" w:hAnsiTheme="majorEastAsia" w:eastAsiaTheme="majorEastAsia"/>
          <w:b/>
          <w:color w:val="auto"/>
          <w:sz w:val="32"/>
          <w:highlight w:val="none"/>
        </w:rPr>
        <w:t>四、评标中的其他事项</w:t>
      </w:r>
    </w:p>
    <w:p w14:paraId="4BE9E524">
      <w:pPr>
        <w:pStyle w:val="43"/>
        <w:spacing w:before="0"/>
        <w:ind w:firstLine="482"/>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b/>
          <w:color w:val="auto"/>
          <w:kern w:val="0"/>
          <w:szCs w:val="24"/>
          <w:highlight w:val="none"/>
        </w:rPr>
        <w:t>4.1投标澄清、说明或者补正。</w:t>
      </w:r>
      <w:r>
        <w:rPr>
          <w:rFonts w:hint="eastAsia" w:cs="仿宋" w:asciiTheme="majorEastAsia" w:hAnsiTheme="majorEastAsia" w:eastAsiaTheme="majorEastAsia"/>
          <w:color w:val="auto"/>
          <w:kern w:val="0"/>
          <w:szCs w:val="24"/>
          <w:highlight w:val="none"/>
        </w:rPr>
        <w:t>对于投标文件中含义不明确、同类问题表述不一致或者有明显文字和计算错误的内容需要</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作出必要的澄清、说明或者补正的，评标委员会和</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通过电子交易平台交换数据电文，</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提交使用电子签名的相关数据电文或通过平台上传加盖公章的扫描件。给予</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提交澄清、说明或补正的时间不得少于半小时，</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已经明确表示澄清说明或补正完毕的除外。</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的澄清、说明或者补正不得超出投标文件的范围或者改变投标文件的实质性内容。</w:t>
      </w:r>
    </w:p>
    <w:p w14:paraId="1DE7C0B5">
      <w:pPr>
        <w:pStyle w:val="9"/>
        <w:spacing w:line="360" w:lineRule="auto"/>
        <w:ind w:firstLine="482"/>
        <w:rPr>
          <w:rFonts w:cs="仿宋" w:asciiTheme="majorEastAsia" w:hAnsiTheme="majorEastAsia" w:eastAsiaTheme="majorEastAsia"/>
          <w:color w:val="auto"/>
          <w:szCs w:val="21"/>
          <w:highlight w:val="none"/>
        </w:rPr>
      </w:pPr>
      <w:r>
        <w:rPr>
          <w:rFonts w:hint="eastAsia" w:cs="仿宋" w:asciiTheme="majorEastAsia" w:hAnsiTheme="majorEastAsia" w:eastAsiaTheme="majorEastAsia"/>
          <w:b/>
          <w:color w:val="auto"/>
          <w:kern w:val="0"/>
          <w:highlight w:val="none"/>
        </w:rPr>
        <w:t>4.2投标无效的情形。</w:t>
      </w:r>
    </w:p>
    <w:p w14:paraId="4C3B470E">
      <w:pP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4.2.1 没有响应招标文件实质性要求的投标将被视为无效投标。</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不得通过修正或撤消不合要求的偏离或保留从而使其投标成为实质上响应的投标，但经评标委员会认定属于</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疏忽、笔误所造成的差错，可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修改、补正投标文件后，不影响评标委员会对其投标文件所作的评价和评分结果。</w:t>
      </w:r>
    </w:p>
    <w:p w14:paraId="54E0A78E">
      <w:pP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4.2.2 在电子开评标时，如发现下列情形之一的，将被视为无效投标文件：</w:t>
      </w:r>
    </w:p>
    <w:p w14:paraId="2D3AA7A8">
      <w:pP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4.2.2.1电子投标文件解密失败的；</w:t>
      </w:r>
    </w:p>
    <w:p w14:paraId="6A4F1C0B">
      <w:pP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4.2.2.2投标文件未按招标文件要求加密、签字、盖章的；（投标文件中加盖</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公章部分均须CA签章。）</w:t>
      </w:r>
    </w:p>
    <w:p w14:paraId="5E54E59D">
      <w:pP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 在资格审查、符合性审查和商务评审时，如发现下列情形之一的，将被视为无效投标文件：</w:t>
      </w:r>
    </w:p>
    <w:p w14:paraId="4ED45350">
      <w:pP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4.2.3.1 资格证明文件不全的或者不符合招标文件标明的资格要求的；</w:t>
      </w:r>
    </w:p>
    <w:p w14:paraId="2B829B13">
      <w:pP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4.2.3.2 投标文件未按招标文件要求签署、盖章的；</w:t>
      </w:r>
    </w:p>
    <w:p w14:paraId="0DC7BFF4">
      <w:pP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4.2.3.3 投标文件格式不规范、项目不齐全或者内容虚假的；</w:t>
      </w:r>
    </w:p>
    <w:p w14:paraId="194F5FF2">
      <w:pP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4.2.3.4 投标代表人未能出具身份证明或与法定代表人授权委托人身份不符的；</w:t>
      </w:r>
    </w:p>
    <w:p w14:paraId="4455F447">
      <w:pP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4.2.3.5 投标文件的实质性内容未使用中文表述、意思表述不明确、前后矛盾或者使用计量单位不符合招标文件要求的（经评标委员会认定并允许其当场更正的笔误除外）；</w:t>
      </w:r>
    </w:p>
    <w:p w14:paraId="3525B798">
      <w:pP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4.2.3.6 投标有效期、交货时间、质保期等商务条款不能满足招标文件要求的；</w:t>
      </w:r>
    </w:p>
    <w:p w14:paraId="7E889405">
      <w:pP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4.2.3.7 带“▲”的条款不能满足招标文件要求、未实质性响应招标文件要求或者投标文件有采购人不能接受的附加条件的；</w:t>
      </w:r>
    </w:p>
    <w:p w14:paraId="71E7493B">
      <w:pP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4.2.3.8 单位负责人为同一人或者存在直接控股、管理关系的不同供应商参加同一合同项下的政府采购活动的；</w:t>
      </w:r>
    </w:p>
    <w:p w14:paraId="73D8B222">
      <w:pP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4.2.3.9 为采购项目提供整体设计、规范编制或者项目管理、监理、检测等服务的供应商参加该采购项目的其他采购活动的；</w:t>
      </w:r>
    </w:p>
    <w:p w14:paraId="20440AC1">
      <w:pP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4.2.3.10 商务技术文件中出现本项目投标报价或单价的。</w:t>
      </w:r>
    </w:p>
    <w:p w14:paraId="6034B6B3">
      <w:pP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4.3.在技术评审时，如发现下列情形之一的，将被视为无效投标文件：</w:t>
      </w:r>
    </w:p>
    <w:p w14:paraId="50A2ECCD">
      <w:pP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4.3.1未提供或未如实提供投标货物的技术参数，或者投标文件标明的响应或偏离与事实不符或虚假投标的；</w:t>
      </w:r>
    </w:p>
    <w:p w14:paraId="42CFCCE7">
      <w:pP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4.3.2 明显不符合招标文件要求的规格型号、质量标准，或者与招标文件中标“▲”的技术指标、主要功能项目发生实质性偏离的；</w:t>
      </w:r>
    </w:p>
    <w:p w14:paraId="7E7B6999">
      <w:pP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4.3.3 允许偏离的技术、性能指标或辅助功能项目发生负偏离达</w:t>
      </w:r>
      <w:r>
        <w:rPr>
          <w:rFonts w:hint="eastAsia" w:cs="仿宋" w:asciiTheme="majorEastAsia" w:hAnsiTheme="majorEastAsia" w:eastAsiaTheme="majorEastAsia"/>
          <w:color w:val="auto"/>
          <w:kern w:val="0"/>
          <w:sz w:val="24"/>
          <w:highlight w:val="none"/>
          <w:u w:val="single"/>
        </w:rPr>
        <w:t>13</w:t>
      </w:r>
      <w:r>
        <w:rPr>
          <w:rFonts w:hint="eastAsia" w:cs="仿宋" w:asciiTheme="majorEastAsia" w:hAnsiTheme="majorEastAsia" w:eastAsiaTheme="majorEastAsia"/>
          <w:color w:val="auto"/>
          <w:kern w:val="0"/>
          <w:sz w:val="24"/>
          <w:highlight w:val="none"/>
        </w:rPr>
        <w:t>分（含）以上的；</w:t>
      </w:r>
    </w:p>
    <w:p w14:paraId="72576270">
      <w:pP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4.3.4 投标技术方案不明确，存在一个或一个以上备选（替代）投标方案的；</w:t>
      </w:r>
    </w:p>
    <w:p w14:paraId="0C238273">
      <w:pP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4.3.5 与其他参加本次投标</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的投标文件（技术文件）的文字表述内容差错相同2处以上的；</w:t>
      </w:r>
    </w:p>
    <w:p w14:paraId="5FAE6AF0">
      <w:pP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4.4 在报价评审时，如发现下列情形之一的，投标文件将被视为无效：</w:t>
      </w:r>
    </w:p>
    <w:p w14:paraId="420A056B">
      <w:pP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4.4.1 未采用人民币报价或者未按照招标文件标明的币种报价的；</w:t>
      </w:r>
    </w:p>
    <w:p w14:paraId="5D0FA82F">
      <w:pP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4.4.2 报价超出最高限价，或者超出采购预算金额的；</w:t>
      </w:r>
    </w:p>
    <w:p w14:paraId="6CE85F95">
      <w:pP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4.4.3 投标报价具有选择性的；</w:t>
      </w:r>
    </w:p>
    <w:p w14:paraId="1360208B">
      <w:pP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4.4.4 投标报价中出现缺项、漏项或被评标委员会认定为有可能影响产品质量或者不能诚信履约的且不能在合理的时间内证明其报价合理性的；</w:t>
      </w:r>
    </w:p>
    <w:p w14:paraId="57A3C4C9">
      <w:pP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4.4.5供应商对根据修正原则修正后的报价不确认的。</w:t>
      </w:r>
    </w:p>
    <w:p w14:paraId="62FA65E3">
      <w:pP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4.5其他无效情形：</w:t>
      </w:r>
    </w:p>
    <w:p w14:paraId="7A01C39D">
      <w:pP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4.5.1 不同</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的投标文件出自同一终端设备或在相同Internet主机分配地址（相同IP地址）进行网上报名、投标的；</w:t>
      </w:r>
    </w:p>
    <w:p w14:paraId="6DFB3382">
      <w:pP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4.5.2 法律、法规、规章（适用本市的）及省级以上规范性文件（适用本市的）规定的其他无效情形。</w:t>
      </w:r>
    </w:p>
    <w:p w14:paraId="7E69A272">
      <w:pPr>
        <w:pStyle w:val="9"/>
        <w:snapToGrid w:val="0"/>
        <w:spacing w:line="360" w:lineRule="auto"/>
        <w:ind w:firstLine="482"/>
        <w:rPr>
          <w:rFonts w:cs="仿宋" w:asciiTheme="majorEastAsia" w:hAnsiTheme="majorEastAsia" w:eastAsiaTheme="majorEastAsia"/>
          <w:color w:val="auto"/>
          <w:highlight w:val="none"/>
        </w:rPr>
      </w:pPr>
      <w:r>
        <w:rPr>
          <w:rFonts w:hint="eastAsia" w:cs="仿宋" w:asciiTheme="majorEastAsia" w:hAnsiTheme="majorEastAsia" w:eastAsiaTheme="majorEastAsia"/>
          <w:b/>
          <w:color w:val="auto"/>
          <w:highlight w:val="none"/>
        </w:rPr>
        <w:t>5.废标。</w:t>
      </w:r>
      <w:r>
        <w:rPr>
          <w:rFonts w:hint="eastAsia" w:cs="仿宋" w:asciiTheme="majorEastAsia" w:hAnsiTheme="majorEastAsia" w:eastAsiaTheme="majorEastAsia"/>
          <w:color w:val="auto"/>
          <w:highlight w:val="none"/>
        </w:rPr>
        <w:t>根据《中华人民共和国政府采购法》第三十六条之规定，在采购中，出现下列情形之一的，应予废标：</w:t>
      </w:r>
    </w:p>
    <w:p w14:paraId="5A70428B">
      <w:pPr>
        <w:pStyle w:val="9"/>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5.1符合专业条件的供应商或者对招标文件作实质响应的供应商不足3家的；</w:t>
      </w:r>
    </w:p>
    <w:p w14:paraId="112DB41D">
      <w:pPr>
        <w:pStyle w:val="9"/>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5.2出现影响采购公正的违法、违规行为的；</w:t>
      </w:r>
    </w:p>
    <w:p w14:paraId="6CADC532">
      <w:pPr>
        <w:pStyle w:val="9"/>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5.3</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highlight w:val="none"/>
        </w:rPr>
        <w:t>的报价均超过了采购预算，采购人不能支付的；</w:t>
      </w:r>
    </w:p>
    <w:p w14:paraId="46C4489D">
      <w:pPr>
        <w:pStyle w:val="9"/>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5.4因重大变故，采购任务取消的。</w:t>
      </w:r>
    </w:p>
    <w:p w14:paraId="2A168C2E">
      <w:pPr>
        <w:pStyle w:val="9"/>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废标后，采购代理机构应当将废标理由通知所有</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highlight w:val="none"/>
        </w:rPr>
        <w:t>。</w:t>
      </w:r>
    </w:p>
    <w:p w14:paraId="565E47E2">
      <w:pPr>
        <w:pStyle w:val="9"/>
        <w:snapToGrid w:val="0"/>
        <w:spacing w:line="360" w:lineRule="auto"/>
        <w:ind w:firstLine="482"/>
        <w:rPr>
          <w:rFonts w:cs="仿宋" w:asciiTheme="majorEastAsia" w:hAnsiTheme="majorEastAsia" w:eastAsiaTheme="majorEastAsia"/>
          <w:color w:val="auto"/>
          <w:highlight w:val="none"/>
        </w:rPr>
      </w:pPr>
      <w:r>
        <w:rPr>
          <w:rFonts w:hint="eastAsia" w:cs="仿宋" w:asciiTheme="majorEastAsia" w:hAnsiTheme="majorEastAsia" w:eastAsiaTheme="majorEastAsia"/>
          <w:b/>
          <w:color w:val="auto"/>
          <w:highlight w:val="none"/>
        </w:rPr>
        <w:t>6.修改招标文件，重新组织采购活动。</w:t>
      </w:r>
      <w:r>
        <w:rPr>
          <w:rFonts w:hint="eastAsia" w:cs="仿宋" w:asciiTheme="majorEastAsia" w:hAnsiTheme="majorEastAsia" w:eastAsiaTheme="majorEastAsia"/>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627D7ED">
      <w:pPr>
        <w:pStyle w:val="9"/>
        <w:adjustRightInd w:val="0"/>
        <w:snapToGrid w:val="0"/>
        <w:spacing w:line="360" w:lineRule="auto"/>
        <w:ind w:firstLine="482"/>
        <w:rPr>
          <w:rFonts w:cs="仿宋" w:asciiTheme="majorEastAsia" w:hAnsiTheme="majorEastAsia" w:eastAsiaTheme="majorEastAsia"/>
          <w:color w:val="auto"/>
          <w:highlight w:val="none"/>
        </w:rPr>
      </w:pPr>
      <w:r>
        <w:rPr>
          <w:rFonts w:hint="eastAsia" w:cs="仿宋" w:asciiTheme="majorEastAsia" w:hAnsiTheme="majorEastAsia" w:eastAsiaTheme="majorEastAsia"/>
          <w:b/>
          <w:color w:val="auto"/>
          <w:kern w:val="0"/>
          <w:highlight w:val="none"/>
        </w:rPr>
        <w:t>7.重新开展采购。</w:t>
      </w:r>
      <w:r>
        <w:rPr>
          <w:rFonts w:hint="eastAsia" w:cs="仿宋" w:asciiTheme="majorEastAsia" w:hAnsiTheme="majorEastAsia" w:eastAsiaTheme="majorEastAsia"/>
          <w:color w:val="auto"/>
          <w:highlight w:val="none"/>
        </w:rPr>
        <w:t>有政府采购法第七十一条、第七十二条规定的违法行为之一，影响或者可能影响中标、成交结果的，依照下列规定处理：</w:t>
      </w:r>
    </w:p>
    <w:p w14:paraId="563D06B5">
      <w:pPr>
        <w:pStyle w:val="9"/>
        <w:adjustRightInd w:val="0"/>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7.1未确定中标或者中标人的，终止本次政府采购活动，重新开展政府采购活动。</w:t>
      </w:r>
    </w:p>
    <w:p w14:paraId="3A51DAD9">
      <w:pPr>
        <w:pStyle w:val="9"/>
        <w:adjustRightInd w:val="0"/>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7.2已确定中标或者中标人但尚未签订政府采购合同的，中标或者成交结果无效，重新开展政府采购活动。</w:t>
      </w:r>
    </w:p>
    <w:p w14:paraId="011DC91F">
      <w:pPr>
        <w:pStyle w:val="9"/>
        <w:adjustRightInd w:val="0"/>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7.3政府采购合同已签订但尚未履行的，撤销合同，重新开展政府采购活动。</w:t>
      </w:r>
    </w:p>
    <w:p w14:paraId="1FB2845D">
      <w:pPr>
        <w:pStyle w:val="9"/>
        <w:adjustRightInd w:val="0"/>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7.4政府采购合同已经履行，给采购人、供应商造成损失的，由责任人承担赔偿责任。</w:t>
      </w:r>
    </w:p>
    <w:p w14:paraId="241180D1">
      <w:pPr>
        <w:pStyle w:val="9"/>
        <w:adjustRightInd w:val="0"/>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7.5政府采购当事人有其他违反政府采购法</w:t>
      </w:r>
      <w:r>
        <w:rPr>
          <w:rFonts w:hint="eastAsia" w:cs="仿宋" w:asciiTheme="majorEastAsia" w:hAnsiTheme="majorEastAsia" w:eastAsiaTheme="majorEastAsia"/>
          <w:color w:val="auto"/>
          <w:kern w:val="0"/>
          <w:highlight w:val="none"/>
        </w:rPr>
        <w:t>或者政府采购法实施条例等法律法规规定</w:t>
      </w:r>
      <w:r>
        <w:rPr>
          <w:rFonts w:hint="eastAsia" w:cs="仿宋" w:asciiTheme="majorEastAsia" w:hAnsiTheme="majorEastAsia" w:eastAsiaTheme="majorEastAsia"/>
          <w:color w:val="auto"/>
          <w:highlight w:val="none"/>
        </w:rPr>
        <w:t>的行为，经改正后仍然影响或者可能影响中标、成交结果或者依法被认定为中标、成交无效的，依照7.1-7.4规定处理。</w:t>
      </w:r>
      <w:bookmarkEnd w:id="26"/>
      <w:bookmarkStart w:id="444" w:name="第五部分"/>
      <w:bookmarkStart w:id="445" w:name="_Toc86217003"/>
    </w:p>
    <w:p w14:paraId="407667A1">
      <w:pPr>
        <w:spacing w:line="360" w:lineRule="auto"/>
        <w:rPr>
          <w:rFonts w:cs="仿宋" w:asciiTheme="majorEastAsia" w:hAnsiTheme="majorEastAsia" w:eastAsiaTheme="majorEastAsia"/>
          <w:b/>
          <w:color w:val="auto"/>
          <w:sz w:val="36"/>
          <w:szCs w:val="36"/>
          <w:highlight w:val="none"/>
        </w:rPr>
      </w:pPr>
    </w:p>
    <w:p w14:paraId="453E0361">
      <w:pPr>
        <w:pStyle w:val="9"/>
        <w:numPr>
          <w:ilvl w:val="0"/>
          <w:numId w:val="3"/>
        </w:numPr>
        <w:adjustRightInd w:val="0"/>
        <w:snapToGrid w:val="0"/>
        <w:spacing w:line="360" w:lineRule="auto"/>
        <w:ind w:firstLine="0" w:firstLineChars="0"/>
        <w:jc w:val="center"/>
        <w:rPr>
          <w:rFonts w:cs="仿宋" w:asciiTheme="majorEastAsia" w:hAnsiTheme="majorEastAsia" w:eastAsiaTheme="majorEastAsia"/>
          <w:b/>
          <w:color w:val="auto"/>
          <w:sz w:val="36"/>
          <w:szCs w:val="36"/>
          <w:highlight w:val="none"/>
        </w:rPr>
      </w:pPr>
      <w:r>
        <w:rPr>
          <w:rFonts w:hint="eastAsia" w:cs="仿宋" w:asciiTheme="majorEastAsia" w:hAnsiTheme="majorEastAsia" w:eastAsiaTheme="majorEastAsia"/>
          <w:b/>
          <w:color w:val="auto"/>
          <w:sz w:val="36"/>
          <w:szCs w:val="36"/>
          <w:highlight w:val="none"/>
        </w:rPr>
        <w:br w:type="page"/>
      </w:r>
      <w:r>
        <w:rPr>
          <w:rFonts w:hint="eastAsia" w:cs="仿宋" w:asciiTheme="majorEastAsia" w:hAnsiTheme="majorEastAsia" w:eastAsiaTheme="majorEastAsia"/>
          <w:b/>
          <w:color w:val="auto"/>
          <w:sz w:val="36"/>
          <w:szCs w:val="36"/>
          <w:highlight w:val="none"/>
        </w:rPr>
        <w:t>拟签订的合同文本</w:t>
      </w:r>
    </w:p>
    <w:p w14:paraId="58213EA6">
      <w:pPr>
        <w:pStyle w:val="9"/>
        <w:adjustRightInd w:val="0"/>
        <w:snapToGrid w:val="0"/>
        <w:spacing w:line="360" w:lineRule="auto"/>
        <w:ind w:firstLine="0" w:firstLineChars="0"/>
        <w:rPr>
          <w:rFonts w:cs="仿宋" w:asciiTheme="majorEastAsia" w:hAnsiTheme="majorEastAsia" w:eastAsiaTheme="majorEastAsia"/>
          <w:b/>
          <w:color w:val="auto"/>
          <w:sz w:val="36"/>
          <w:szCs w:val="36"/>
          <w:highlight w:val="none"/>
        </w:rPr>
      </w:pPr>
    </w:p>
    <w:p w14:paraId="0F164199">
      <w:pPr>
        <w:pStyle w:val="4"/>
        <w:spacing w:before="120" w:after="60" w:line="240" w:lineRule="auto"/>
        <w:jc w:val="center"/>
        <w:rPr>
          <w:b w:val="0"/>
          <w:color w:val="auto"/>
          <w:w w:val="80"/>
          <w:sz w:val="28"/>
          <w:szCs w:val="28"/>
          <w:highlight w:val="none"/>
        </w:rPr>
      </w:pPr>
      <w:bookmarkStart w:id="446" w:name="_Toc835"/>
      <w:bookmarkStart w:id="447" w:name="_Toc393978786"/>
      <w:bookmarkStart w:id="448" w:name="_Toc8040"/>
      <w:bookmarkStart w:id="449" w:name="_Toc30751"/>
      <w:bookmarkStart w:id="450" w:name="_Toc3788"/>
      <w:bookmarkStart w:id="451" w:name="_Toc10062"/>
      <w:r>
        <w:rPr>
          <w:rFonts w:hint="eastAsia"/>
          <w:b w:val="0"/>
          <w:color w:val="auto"/>
          <w:w w:val="80"/>
          <w:sz w:val="28"/>
          <w:szCs w:val="28"/>
          <w:highlight w:val="none"/>
        </w:rPr>
        <w:t>一、合同协议书格式</w:t>
      </w:r>
      <w:bookmarkEnd w:id="446"/>
      <w:bookmarkEnd w:id="447"/>
      <w:bookmarkEnd w:id="448"/>
      <w:bookmarkEnd w:id="449"/>
      <w:bookmarkEnd w:id="450"/>
      <w:bookmarkEnd w:id="451"/>
    </w:p>
    <w:p w14:paraId="125483B3">
      <w:pPr>
        <w:spacing w:line="360" w:lineRule="auto"/>
        <w:ind w:right="480" w:firstLine="5053" w:firstLineChars="2397"/>
        <w:rPr>
          <w:rFonts w:ascii="宋体" w:hAnsi="宋体"/>
          <w:b/>
          <w:color w:val="auto"/>
          <w:highlight w:val="none"/>
          <w:u w:val="single"/>
        </w:rPr>
      </w:pPr>
      <w:r>
        <w:rPr>
          <w:rFonts w:hint="eastAsia" w:ascii="宋体" w:hAnsi="宋体"/>
          <w:b/>
          <w:color w:val="auto"/>
          <w:highlight w:val="none"/>
        </w:rPr>
        <w:t>合同编号：</w:t>
      </w:r>
      <w:r>
        <w:rPr>
          <w:rFonts w:hint="eastAsia" w:ascii="宋体" w:hAnsi="宋体"/>
          <w:b/>
          <w:color w:val="auto"/>
          <w:highlight w:val="none"/>
          <w:u w:val="single"/>
        </w:rPr>
        <w:t xml:space="preserve">          </w:t>
      </w:r>
    </w:p>
    <w:p w14:paraId="0AF713B5">
      <w:pPr>
        <w:spacing w:line="440" w:lineRule="exact"/>
        <w:jc w:val="center"/>
        <w:rPr>
          <w:rFonts w:ascii="宋体" w:hAnsi="宋体"/>
          <w:b/>
          <w:bCs/>
          <w:color w:val="auto"/>
          <w:sz w:val="28"/>
          <w:szCs w:val="28"/>
          <w:highlight w:val="none"/>
        </w:rPr>
      </w:pPr>
      <w:r>
        <w:rPr>
          <w:rFonts w:hint="eastAsia" w:ascii="宋体" w:hAnsi="宋体"/>
          <w:b/>
          <w:bCs/>
          <w:color w:val="auto"/>
          <w:sz w:val="28"/>
          <w:szCs w:val="28"/>
          <w:highlight w:val="none"/>
        </w:rPr>
        <w:t>第一部分</w:t>
      </w:r>
      <w:r>
        <w:rPr>
          <w:rFonts w:ascii="宋体" w:hAnsi="宋体"/>
          <w:b/>
          <w:bCs/>
          <w:color w:val="auto"/>
          <w:sz w:val="28"/>
          <w:szCs w:val="28"/>
          <w:highlight w:val="none"/>
        </w:rPr>
        <w:t xml:space="preserve">  协 议 书</w:t>
      </w:r>
    </w:p>
    <w:p w14:paraId="30276530">
      <w:pPr>
        <w:pStyle w:val="12"/>
        <w:spacing w:line="500" w:lineRule="exact"/>
        <w:ind w:left="480" w:leftChars="0" w:hanging="480"/>
        <w:rPr>
          <w:color w:val="auto"/>
          <w:highlight w:val="none"/>
        </w:rPr>
      </w:pPr>
    </w:p>
    <w:p w14:paraId="62A833B0">
      <w:pPr>
        <w:spacing w:line="500" w:lineRule="exact"/>
        <w:rPr>
          <w:rFonts w:ascii="宋体" w:hAnsi="宋体" w:cs="宋体"/>
          <w:color w:val="auto"/>
          <w:sz w:val="24"/>
          <w:highlight w:val="none"/>
          <w:u w:val="single"/>
        </w:rPr>
      </w:pPr>
      <w:r>
        <w:rPr>
          <w:rFonts w:hint="eastAsia" w:ascii="宋体"/>
          <w:color w:val="auto"/>
          <w:sz w:val="24"/>
          <w:highlight w:val="none"/>
        </w:rPr>
        <w:t>发包人（全称）：</w:t>
      </w:r>
      <w:r>
        <w:rPr>
          <w:rFonts w:hint="eastAsia" w:ascii="宋体" w:hAnsi="宋体" w:cs="宋体"/>
          <w:color w:val="auto"/>
          <w:sz w:val="24"/>
          <w:highlight w:val="none"/>
          <w:u w:val="single"/>
        </w:rPr>
        <w:t xml:space="preserve">                        </w:t>
      </w:r>
    </w:p>
    <w:p w14:paraId="448115BE">
      <w:pPr>
        <w:spacing w:line="500" w:lineRule="exact"/>
        <w:rPr>
          <w:rFonts w:ascii="宋体" w:hAnsi="宋体" w:cs="宋体"/>
          <w:color w:val="auto"/>
          <w:sz w:val="24"/>
          <w:highlight w:val="none"/>
          <w:u w:val="single"/>
        </w:rPr>
      </w:pPr>
      <w:r>
        <w:rPr>
          <w:rFonts w:hint="eastAsia" w:ascii="宋体"/>
          <w:color w:val="auto"/>
          <w:sz w:val="24"/>
          <w:highlight w:val="none"/>
        </w:rPr>
        <w:t>承包人（全称）：</w:t>
      </w:r>
      <w:r>
        <w:rPr>
          <w:rFonts w:hint="eastAsia" w:ascii="宋体" w:hAnsi="宋体" w:cs="宋体"/>
          <w:color w:val="auto"/>
          <w:sz w:val="24"/>
          <w:highlight w:val="none"/>
          <w:u w:val="single"/>
        </w:rPr>
        <w:t xml:space="preserve">                        </w:t>
      </w:r>
    </w:p>
    <w:p w14:paraId="54B70262">
      <w:pPr>
        <w:spacing w:line="500" w:lineRule="exact"/>
        <w:ind w:firstLine="482"/>
        <w:rPr>
          <w:rFonts w:ascii="宋体"/>
          <w:color w:val="auto"/>
          <w:sz w:val="24"/>
          <w:highlight w:val="none"/>
        </w:rPr>
      </w:pPr>
    </w:p>
    <w:p w14:paraId="72E6E982">
      <w:pPr>
        <w:spacing w:line="500" w:lineRule="exact"/>
        <w:ind w:firstLine="482"/>
        <w:rPr>
          <w:rFonts w:ascii="宋体"/>
          <w:color w:val="auto"/>
          <w:sz w:val="24"/>
          <w:highlight w:val="none"/>
        </w:rPr>
      </w:pPr>
      <w:r>
        <w:rPr>
          <w:rFonts w:hint="eastAsia" w:ascii="宋体"/>
          <w:color w:val="auto"/>
          <w:sz w:val="24"/>
          <w:highlight w:val="none"/>
        </w:rPr>
        <w:t>依照《中华人民共和国</w:t>
      </w:r>
      <w:r>
        <w:rPr>
          <w:rFonts w:ascii="宋体"/>
          <w:color w:val="auto"/>
          <w:sz w:val="24"/>
          <w:highlight w:val="none"/>
        </w:rPr>
        <w:t>民法典</w:t>
      </w:r>
      <w:r>
        <w:rPr>
          <w:rFonts w:hint="eastAsia" w:ascii="宋体"/>
          <w:color w:val="auto"/>
          <w:sz w:val="24"/>
          <w:highlight w:val="none"/>
        </w:rPr>
        <w:t>》及其他有关法律、行政法规，遵循平等、自愿、公平和诚实信用的原则，承发包双方就本工程施工事项协商一致，订立本合同。</w:t>
      </w:r>
    </w:p>
    <w:p w14:paraId="2C44A895">
      <w:pPr>
        <w:spacing w:line="500" w:lineRule="exact"/>
        <w:ind w:firstLine="482"/>
        <w:rPr>
          <w:rFonts w:ascii="宋体"/>
          <w:b/>
          <w:color w:val="auto"/>
          <w:sz w:val="24"/>
          <w:highlight w:val="none"/>
        </w:rPr>
      </w:pPr>
      <w:r>
        <w:rPr>
          <w:rFonts w:hint="eastAsia" w:ascii="宋体"/>
          <w:b/>
          <w:color w:val="auto"/>
          <w:sz w:val="24"/>
          <w:highlight w:val="none"/>
        </w:rPr>
        <w:t>一、工程概况</w:t>
      </w:r>
    </w:p>
    <w:p w14:paraId="0E526958">
      <w:pPr>
        <w:spacing w:line="500" w:lineRule="exact"/>
        <w:ind w:firstLine="482"/>
        <w:rPr>
          <w:rFonts w:ascii="宋体"/>
          <w:b/>
          <w:color w:val="auto"/>
          <w:spacing w:val="-6"/>
          <w:sz w:val="24"/>
          <w:highlight w:val="none"/>
          <w:u w:val="single"/>
        </w:rPr>
      </w:pPr>
      <w:r>
        <w:rPr>
          <w:rFonts w:hint="eastAsia" w:ascii="宋体"/>
          <w:color w:val="auto"/>
          <w:sz w:val="24"/>
          <w:highlight w:val="none"/>
        </w:rPr>
        <w:t>工程名称：</w:t>
      </w:r>
      <w:r>
        <w:rPr>
          <w:rFonts w:hint="eastAsia" w:ascii="宋体"/>
          <w:b/>
          <w:color w:val="auto"/>
          <w:spacing w:val="-6"/>
          <w:sz w:val="24"/>
          <w:highlight w:val="none"/>
          <w:u w:val="single"/>
        </w:rPr>
        <w:t xml:space="preserve">            </w:t>
      </w:r>
    </w:p>
    <w:p w14:paraId="4736FA05">
      <w:pPr>
        <w:spacing w:line="500" w:lineRule="exact"/>
        <w:ind w:firstLine="482"/>
        <w:rPr>
          <w:rFonts w:ascii="宋体"/>
          <w:b/>
          <w:color w:val="auto"/>
          <w:spacing w:val="-6"/>
          <w:sz w:val="24"/>
          <w:highlight w:val="none"/>
          <w:u w:val="single"/>
        </w:rPr>
      </w:pPr>
      <w:r>
        <w:rPr>
          <w:rFonts w:hint="eastAsia" w:ascii="宋体"/>
          <w:color w:val="auto"/>
          <w:sz w:val="24"/>
          <w:highlight w:val="none"/>
        </w:rPr>
        <w:t>工程地点：</w:t>
      </w:r>
      <w:r>
        <w:rPr>
          <w:rFonts w:hint="eastAsia" w:ascii="宋体"/>
          <w:b/>
          <w:color w:val="auto"/>
          <w:spacing w:val="-6"/>
          <w:sz w:val="24"/>
          <w:highlight w:val="none"/>
          <w:u w:val="single"/>
        </w:rPr>
        <w:t xml:space="preserve">                      </w:t>
      </w:r>
    </w:p>
    <w:p w14:paraId="17988EAF">
      <w:pPr>
        <w:spacing w:line="500" w:lineRule="exact"/>
        <w:ind w:firstLine="482"/>
        <w:rPr>
          <w:rFonts w:ascii="宋体"/>
          <w:b/>
          <w:color w:val="auto"/>
          <w:sz w:val="24"/>
          <w:highlight w:val="none"/>
        </w:rPr>
      </w:pPr>
      <w:r>
        <w:rPr>
          <w:rFonts w:hint="eastAsia" w:ascii="宋体"/>
          <w:b/>
          <w:color w:val="auto"/>
          <w:sz w:val="24"/>
          <w:highlight w:val="none"/>
        </w:rPr>
        <w:t>二、工程承包范围</w:t>
      </w:r>
    </w:p>
    <w:p w14:paraId="7C7045E8">
      <w:pPr>
        <w:spacing w:line="500" w:lineRule="exact"/>
        <w:ind w:firstLine="480" w:firstLineChars="200"/>
        <w:rPr>
          <w:rFonts w:ascii="宋体" w:hAnsi="宋体"/>
          <w:color w:val="auto"/>
          <w:sz w:val="24"/>
          <w:highlight w:val="none"/>
        </w:rPr>
      </w:pPr>
      <w:r>
        <w:rPr>
          <w:rFonts w:hint="eastAsia" w:ascii="宋体"/>
          <w:color w:val="auto"/>
          <w:sz w:val="24"/>
          <w:highlight w:val="none"/>
        </w:rPr>
        <w:t>承包范围：</w:t>
      </w:r>
      <w:r>
        <w:rPr>
          <w:rFonts w:hint="eastAsia" w:ascii="宋体" w:hAnsi="宋体"/>
          <w:b/>
          <w:color w:val="auto"/>
          <w:sz w:val="24"/>
          <w:highlight w:val="none"/>
          <w:u w:val="single"/>
        </w:rPr>
        <w:t>图纸及招标文件要求的系统范围内的设备、材料及系统集成等设备材料的供应、运输、安装、调试、自检、试运行、培训、验收合格和售后服务等所有工作, 管线工程量实行图纸内管线投标总价包干不予调整。</w:t>
      </w:r>
      <w:r>
        <w:rPr>
          <w:rFonts w:hint="eastAsia" w:ascii="宋体" w:hAnsi="宋体"/>
          <w:color w:val="auto"/>
          <w:sz w:val="24"/>
          <w:highlight w:val="none"/>
        </w:rPr>
        <w:t>完成工程的设备的供货、运输、安装、调试、自检、试运行、培训及售后服务等工作。（本次项目工程量详见清单与图纸，如有冲突，以图纸为准。图纸未有体现的，以清单为准。投标人的报价不止包含“主要工程清单”表中所列设备，还须包括完成图纸范围内系统所需要配件、辅助材料，直至系统具备招标中所要求的完整功能，达到设计使用规范，完成系统验收并移交。如涉及设计签单则另行计算。）</w:t>
      </w:r>
    </w:p>
    <w:p w14:paraId="3D2F6DB2">
      <w:pPr>
        <w:spacing w:line="500" w:lineRule="exact"/>
        <w:ind w:firstLine="472" w:firstLineChars="196"/>
        <w:rPr>
          <w:rFonts w:ascii="宋体" w:hAnsi="宋体"/>
          <w:b/>
          <w:color w:val="auto"/>
          <w:sz w:val="24"/>
          <w:highlight w:val="none"/>
        </w:rPr>
      </w:pPr>
      <w:r>
        <w:rPr>
          <w:rFonts w:hint="eastAsia" w:ascii="宋体"/>
          <w:b/>
          <w:color w:val="auto"/>
          <w:sz w:val="24"/>
          <w:highlight w:val="none"/>
        </w:rPr>
        <w:t>三、</w:t>
      </w:r>
      <w:r>
        <w:rPr>
          <w:rFonts w:hint="eastAsia" w:ascii="宋体" w:hAnsi="宋体"/>
          <w:b/>
          <w:color w:val="auto"/>
          <w:sz w:val="24"/>
          <w:highlight w:val="none"/>
        </w:rPr>
        <w:t>合同工期</w:t>
      </w:r>
    </w:p>
    <w:p w14:paraId="26009879">
      <w:pPr>
        <w:spacing w:line="500" w:lineRule="exact"/>
        <w:ind w:firstLine="480" w:firstLineChars="200"/>
        <w:rPr>
          <w:rFonts w:ascii="宋体" w:hAnsi="宋体"/>
          <w:color w:val="auto"/>
          <w:sz w:val="24"/>
          <w:highlight w:val="none"/>
        </w:rPr>
      </w:pPr>
      <w:r>
        <w:rPr>
          <w:rFonts w:hint="eastAsia" w:ascii="宋体" w:hAnsi="宋体" w:cs="宋体"/>
          <w:color w:val="auto"/>
          <w:sz w:val="24"/>
          <w:highlight w:val="none"/>
        </w:rPr>
        <w:t>与总体工程进度同步</w:t>
      </w:r>
      <w:r>
        <w:rPr>
          <w:rFonts w:hint="eastAsia" w:ascii="宋体" w:hAnsi="宋体"/>
          <w:color w:val="auto"/>
          <w:sz w:val="24"/>
          <w:highlight w:val="none"/>
        </w:rPr>
        <w:t>；</w:t>
      </w:r>
    </w:p>
    <w:p w14:paraId="2024261F">
      <w:pPr>
        <w:spacing w:line="500" w:lineRule="exact"/>
        <w:ind w:firstLine="482" w:firstLineChars="200"/>
        <w:rPr>
          <w:rFonts w:ascii="宋体" w:hAnsi="宋体"/>
          <w:b/>
          <w:color w:val="auto"/>
          <w:sz w:val="24"/>
          <w:highlight w:val="none"/>
        </w:rPr>
      </w:pPr>
      <w:r>
        <w:rPr>
          <w:rFonts w:hint="eastAsia" w:ascii="宋体" w:hAnsi="宋体"/>
          <w:b/>
          <w:color w:val="auto"/>
          <w:sz w:val="24"/>
          <w:highlight w:val="none"/>
        </w:rPr>
        <w:t>四、质量标准</w:t>
      </w:r>
    </w:p>
    <w:p w14:paraId="4AA71010">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达到国家相关标准、规范的技术要求，一次性验收合格。</w:t>
      </w:r>
    </w:p>
    <w:p w14:paraId="0CA59D11">
      <w:pPr>
        <w:spacing w:line="500" w:lineRule="exact"/>
        <w:ind w:firstLine="482"/>
        <w:rPr>
          <w:rFonts w:ascii="宋体"/>
          <w:color w:val="auto"/>
          <w:spacing w:val="-6"/>
          <w:sz w:val="24"/>
          <w:highlight w:val="none"/>
          <w:u w:val="single"/>
        </w:rPr>
      </w:pPr>
      <w:r>
        <w:rPr>
          <w:rFonts w:hint="eastAsia" w:ascii="宋体"/>
          <w:b/>
          <w:color w:val="auto"/>
          <w:sz w:val="24"/>
          <w:highlight w:val="none"/>
        </w:rPr>
        <w:t xml:space="preserve">五、合同价款 </w:t>
      </w:r>
      <w:r>
        <w:rPr>
          <w:rFonts w:hint="eastAsia" w:ascii="宋体"/>
          <w:b/>
          <w:color w:val="auto"/>
          <w:sz w:val="24"/>
          <w:highlight w:val="none"/>
          <w:u w:val="single"/>
        </w:rPr>
        <w:t xml:space="preserve">   </w:t>
      </w:r>
      <w:r>
        <w:rPr>
          <w:rFonts w:hint="eastAsia" w:ascii="宋体"/>
          <w:color w:val="auto"/>
          <w:spacing w:val="-6"/>
          <w:sz w:val="24"/>
          <w:highlight w:val="none"/>
          <w:u w:val="single"/>
        </w:rPr>
        <w:t xml:space="preserve">       ；</w:t>
      </w:r>
    </w:p>
    <w:p w14:paraId="13742A2B">
      <w:pPr>
        <w:spacing w:line="500" w:lineRule="exact"/>
        <w:ind w:firstLine="482"/>
        <w:rPr>
          <w:color w:val="auto"/>
          <w:highlight w:val="none"/>
        </w:rPr>
      </w:pPr>
      <w:r>
        <w:rPr>
          <w:rFonts w:hint="eastAsia" w:ascii="宋体"/>
          <w:b/>
          <w:color w:val="auto"/>
          <w:sz w:val="24"/>
          <w:highlight w:val="none"/>
        </w:rPr>
        <w:t>六、付款方式：</w:t>
      </w:r>
      <w:r>
        <w:rPr>
          <w:rFonts w:hint="eastAsia"/>
          <w:color w:val="auto"/>
          <w:highlight w:val="none"/>
        </w:rPr>
        <w:t xml:space="preserve"> </w:t>
      </w:r>
      <w:r>
        <w:rPr>
          <w:rFonts w:ascii="宋体" w:hAnsi="宋体" w:cs="宋体"/>
          <w:color w:val="auto"/>
          <w:sz w:val="24"/>
          <w:highlight w:val="none"/>
        </w:rPr>
        <w:t>合同签订后 10 日内</w:t>
      </w:r>
      <w:r>
        <w:rPr>
          <w:rFonts w:hint="eastAsia" w:ascii="宋体" w:hAnsi="宋体" w:cs="宋体"/>
          <w:color w:val="auto"/>
          <w:sz w:val="24"/>
          <w:highlight w:val="none"/>
        </w:rPr>
        <w:t>发包人</w:t>
      </w:r>
      <w:r>
        <w:rPr>
          <w:rFonts w:ascii="宋体" w:hAnsi="宋体" w:cs="宋体"/>
          <w:color w:val="auto"/>
          <w:sz w:val="24"/>
          <w:highlight w:val="none"/>
        </w:rPr>
        <w:t>向</w:t>
      </w:r>
      <w:r>
        <w:rPr>
          <w:rFonts w:hint="eastAsia" w:ascii="宋体" w:hAnsi="宋体" w:cs="宋体"/>
          <w:color w:val="auto"/>
          <w:sz w:val="24"/>
          <w:highlight w:val="none"/>
        </w:rPr>
        <w:t>承包人</w:t>
      </w:r>
      <w:r>
        <w:rPr>
          <w:rFonts w:ascii="宋体" w:hAnsi="宋体" w:cs="宋体"/>
          <w:color w:val="auto"/>
          <w:sz w:val="24"/>
          <w:highlight w:val="none"/>
        </w:rPr>
        <w:t>支付合同价的15%作为预付款，主要设备（空气</w:t>
      </w:r>
      <w:r>
        <w:rPr>
          <w:rFonts w:hint="eastAsia" w:ascii="宋体" w:hAnsi="宋体" w:cs="宋体"/>
          <w:color w:val="auto"/>
          <w:sz w:val="24"/>
          <w:highlight w:val="none"/>
        </w:rPr>
        <w:t>能</w:t>
      </w:r>
      <w:r>
        <w:rPr>
          <w:rFonts w:ascii="宋体" w:hAnsi="宋体" w:cs="宋体"/>
          <w:color w:val="auto"/>
          <w:sz w:val="24"/>
          <w:highlight w:val="none"/>
        </w:rPr>
        <w:t>）到</w:t>
      </w:r>
      <w:r>
        <w:rPr>
          <w:rFonts w:hint="eastAsia" w:ascii="宋体" w:hAnsi="宋体" w:cs="宋体"/>
          <w:color w:val="auto"/>
          <w:sz w:val="24"/>
          <w:highlight w:val="none"/>
        </w:rPr>
        <w:t>达</w:t>
      </w:r>
      <w:r>
        <w:rPr>
          <w:rFonts w:ascii="宋体" w:hAnsi="宋体" w:cs="宋体"/>
          <w:color w:val="auto"/>
          <w:sz w:val="24"/>
          <w:highlight w:val="none"/>
        </w:rPr>
        <w:t>安装现场且提供与本项目数量相符的进货发票复印件后10日内</w:t>
      </w:r>
      <w:r>
        <w:rPr>
          <w:rFonts w:hint="eastAsia" w:ascii="宋体" w:hAnsi="宋体" w:cs="宋体"/>
          <w:color w:val="auto"/>
          <w:sz w:val="24"/>
          <w:highlight w:val="none"/>
        </w:rPr>
        <w:t>发包人</w:t>
      </w:r>
      <w:r>
        <w:rPr>
          <w:rFonts w:ascii="宋体" w:hAnsi="宋体" w:cs="宋体"/>
          <w:color w:val="auto"/>
          <w:sz w:val="24"/>
          <w:highlight w:val="none"/>
        </w:rPr>
        <w:t>向</w:t>
      </w:r>
      <w:r>
        <w:rPr>
          <w:rFonts w:hint="eastAsia" w:ascii="宋体" w:hAnsi="宋体" w:cs="宋体"/>
          <w:color w:val="auto"/>
          <w:sz w:val="24"/>
          <w:highlight w:val="none"/>
        </w:rPr>
        <w:t>承包人</w:t>
      </w:r>
      <w:r>
        <w:rPr>
          <w:rFonts w:ascii="宋体" w:hAnsi="宋体" w:cs="宋体"/>
          <w:color w:val="auto"/>
          <w:sz w:val="24"/>
          <w:highlight w:val="none"/>
        </w:rPr>
        <w:t>支付至该批次</w:t>
      </w:r>
      <w:r>
        <w:rPr>
          <w:rFonts w:hint="eastAsia" w:ascii="宋体" w:hAnsi="宋体" w:cs="宋体"/>
          <w:color w:val="auto"/>
          <w:sz w:val="24"/>
          <w:highlight w:val="none"/>
        </w:rPr>
        <w:t>货物（空气能）</w:t>
      </w:r>
      <w:r>
        <w:rPr>
          <w:rFonts w:ascii="宋体" w:hAnsi="宋体" w:cs="宋体"/>
          <w:color w:val="auto"/>
          <w:sz w:val="24"/>
          <w:highlight w:val="none"/>
        </w:rPr>
        <w:t>总金额的40％；全部安装完毕验收合格后10日内支付至合同价的80%，审计完成后 10 日内支付至审定价的9</w:t>
      </w:r>
      <w:r>
        <w:rPr>
          <w:rFonts w:hint="eastAsia" w:ascii="宋体" w:hAnsi="宋体" w:cs="宋体"/>
          <w:color w:val="auto"/>
          <w:sz w:val="24"/>
          <w:highlight w:val="none"/>
        </w:rPr>
        <w:t>8</w:t>
      </w:r>
      <w:r>
        <w:rPr>
          <w:rFonts w:ascii="宋体" w:hAnsi="宋体" w:cs="宋体"/>
          <w:color w:val="auto"/>
          <w:sz w:val="24"/>
          <w:highlight w:val="none"/>
        </w:rPr>
        <w:t>.5%（支付该款项时，</w:t>
      </w:r>
      <w:r>
        <w:rPr>
          <w:rFonts w:hint="eastAsia" w:ascii="宋体" w:hAnsi="宋体" w:cs="宋体"/>
          <w:color w:val="auto"/>
          <w:sz w:val="24"/>
          <w:highlight w:val="none"/>
        </w:rPr>
        <w:t>承包人</w:t>
      </w:r>
      <w:r>
        <w:rPr>
          <w:rFonts w:ascii="宋体" w:hAnsi="宋体" w:cs="宋体"/>
          <w:color w:val="auto"/>
          <w:sz w:val="24"/>
          <w:highlight w:val="none"/>
        </w:rPr>
        <w:t>需提供该项目全额增值税专用发票</w:t>
      </w:r>
      <w:r>
        <w:rPr>
          <w:rFonts w:hint="eastAsia" w:ascii="宋体" w:hAnsi="宋体" w:cs="宋体"/>
          <w:color w:val="auto"/>
          <w:sz w:val="24"/>
          <w:highlight w:val="none"/>
        </w:rPr>
        <w:t>）；余款在质保期满后付清。</w:t>
      </w:r>
    </w:p>
    <w:p w14:paraId="22DB0BC0">
      <w:pP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注：</w:t>
      </w:r>
    </w:p>
    <w:p w14:paraId="7D4B5EE6">
      <w:pP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1.承包人应向发包人提供真实、合法、有效的一般纳税人增值税专用发票，若由此引起的经济纠纷由承包人负责。若承包人未提供合法、有效的增值税完税发票的，发包人可以延期支付相关款项，且不存在违约责任。</w:t>
      </w:r>
    </w:p>
    <w:p w14:paraId="2024F9B0">
      <w:pP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2.承包人向发包人开具的相关发票增值税税率（如：设备发票增值税税率、安装发票增值税税率）必须符合相关法律法规。若因国家对增值税税率进行调整的，税率自公告执行之日起作相应调整。因承包人纳税人资格发生变化，导致实际税率高于原合同约定的，合同金额不予调整；若实际税率低于原合同约定的，合同金额将根据新税率进行调整，不含税金额保持不变。</w:t>
      </w:r>
    </w:p>
    <w:p w14:paraId="65975588">
      <w:pPr>
        <w:spacing w:line="500" w:lineRule="exact"/>
        <w:ind w:firstLine="482"/>
        <w:rPr>
          <w:rFonts w:ascii="宋体"/>
          <w:b/>
          <w:color w:val="auto"/>
          <w:sz w:val="24"/>
          <w:highlight w:val="none"/>
        </w:rPr>
      </w:pPr>
      <w:r>
        <w:rPr>
          <w:rFonts w:hint="eastAsia" w:ascii="宋体"/>
          <w:b/>
          <w:color w:val="auto"/>
          <w:sz w:val="24"/>
          <w:highlight w:val="none"/>
        </w:rPr>
        <w:t>七、组成合同的文件</w:t>
      </w:r>
    </w:p>
    <w:p w14:paraId="22B2A8D8">
      <w:pPr>
        <w:spacing w:line="500" w:lineRule="exact"/>
        <w:ind w:firstLine="482"/>
        <w:rPr>
          <w:rFonts w:ascii="宋体"/>
          <w:color w:val="auto"/>
          <w:sz w:val="24"/>
          <w:highlight w:val="none"/>
        </w:rPr>
      </w:pPr>
      <w:r>
        <w:rPr>
          <w:rFonts w:hint="eastAsia" w:ascii="宋体"/>
          <w:color w:val="auto"/>
          <w:sz w:val="24"/>
          <w:highlight w:val="none"/>
        </w:rPr>
        <w:t>组成本合同的文件包括：</w:t>
      </w:r>
    </w:p>
    <w:p w14:paraId="52A2C219">
      <w:pPr>
        <w:spacing w:line="500" w:lineRule="exact"/>
        <w:ind w:firstLine="482"/>
        <w:rPr>
          <w:rFonts w:ascii="宋体"/>
          <w:color w:val="auto"/>
          <w:sz w:val="24"/>
          <w:highlight w:val="none"/>
        </w:rPr>
      </w:pPr>
      <w:r>
        <w:rPr>
          <w:rFonts w:hint="eastAsia" w:ascii="宋体"/>
          <w:color w:val="auto"/>
          <w:sz w:val="24"/>
          <w:highlight w:val="none"/>
        </w:rPr>
        <w:t>１．本合同协议书</w:t>
      </w:r>
    </w:p>
    <w:p w14:paraId="008EC79A">
      <w:pPr>
        <w:spacing w:line="500" w:lineRule="exact"/>
        <w:ind w:firstLine="482"/>
        <w:rPr>
          <w:rFonts w:ascii="宋体"/>
          <w:color w:val="auto"/>
          <w:sz w:val="24"/>
          <w:highlight w:val="none"/>
        </w:rPr>
      </w:pPr>
      <w:r>
        <w:rPr>
          <w:rFonts w:hint="eastAsia" w:ascii="宋体"/>
          <w:color w:val="auto"/>
          <w:sz w:val="24"/>
          <w:highlight w:val="none"/>
        </w:rPr>
        <w:t>２．中标通知书</w:t>
      </w:r>
    </w:p>
    <w:p w14:paraId="487E2C87">
      <w:pPr>
        <w:spacing w:line="500" w:lineRule="exact"/>
        <w:ind w:firstLine="482"/>
        <w:rPr>
          <w:rFonts w:ascii="宋体"/>
          <w:color w:val="auto"/>
          <w:sz w:val="24"/>
          <w:highlight w:val="none"/>
        </w:rPr>
      </w:pPr>
      <w:r>
        <w:rPr>
          <w:rFonts w:hint="eastAsia" w:ascii="宋体"/>
          <w:color w:val="auto"/>
          <w:sz w:val="24"/>
          <w:highlight w:val="none"/>
        </w:rPr>
        <w:t>３．投标书及其附件</w:t>
      </w:r>
    </w:p>
    <w:p w14:paraId="6FDA18FA">
      <w:pPr>
        <w:spacing w:line="500" w:lineRule="exact"/>
        <w:ind w:firstLine="482"/>
        <w:rPr>
          <w:rFonts w:ascii="宋体"/>
          <w:color w:val="auto"/>
          <w:sz w:val="24"/>
          <w:highlight w:val="none"/>
        </w:rPr>
      </w:pPr>
      <w:r>
        <w:rPr>
          <w:rFonts w:hint="eastAsia" w:ascii="宋体"/>
          <w:color w:val="auto"/>
          <w:sz w:val="24"/>
          <w:highlight w:val="none"/>
        </w:rPr>
        <w:t>４．本合同专用条款</w:t>
      </w:r>
    </w:p>
    <w:p w14:paraId="61A8ABC7">
      <w:pPr>
        <w:spacing w:line="500" w:lineRule="exact"/>
        <w:ind w:firstLine="482"/>
        <w:rPr>
          <w:rFonts w:ascii="宋体"/>
          <w:color w:val="auto"/>
          <w:sz w:val="24"/>
          <w:highlight w:val="none"/>
        </w:rPr>
      </w:pPr>
      <w:r>
        <w:rPr>
          <w:rFonts w:hint="eastAsia" w:ascii="宋体"/>
          <w:color w:val="auto"/>
          <w:sz w:val="24"/>
          <w:highlight w:val="none"/>
        </w:rPr>
        <w:t>５．本合同通用条款</w:t>
      </w:r>
    </w:p>
    <w:p w14:paraId="00E413B1">
      <w:pPr>
        <w:spacing w:line="500" w:lineRule="exact"/>
        <w:ind w:firstLine="482"/>
        <w:rPr>
          <w:rFonts w:ascii="宋体"/>
          <w:color w:val="auto"/>
          <w:sz w:val="24"/>
          <w:highlight w:val="none"/>
        </w:rPr>
      </w:pPr>
      <w:r>
        <w:rPr>
          <w:rFonts w:hint="eastAsia" w:ascii="宋体"/>
          <w:color w:val="auto"/>
          <w:sz w:val="24"/>
          <w:highlight w:val="none"/>
        </w:rPr>
        <w:t>６．标准、规范及有关技术文件</w:t>
      </w:r>
    </w:p>
    <w:p w14:paraId="0ACA9EFB">
      <w:pPr>
        <w:spacing w:line="500" w:lineRule="exact"/>
        <w:ind w:firstLine="482"/>
        <w:rPr>
          <w:rFonts w:ascii="宋体"/>
          <w:color w:val="auto"/>
          <w:sz w:val="24"/>
          <w:highlight w:val="none"/>
        </w:rPr>
      </w:pPr>
      <w:r>
        <w:rPr>
          <w:rFonts w:hint="eastAsia" w:ascii="宋体"/>
          <w:color w:val="auto"/>
          <w:sz w:val="24"/>
          <w:highlight w:val="none"/>
        </w:rPr>
        <w:t>７．图纸</w:t>
      </w:r>
    </w:p>
    <w:p w14:paraId="6B5BF7D0">
      <w:pPr>
        <w:spacing w:line="500" w:lineRule="exact"/>
        <w:ind w:firstLine="482"/>
        <w:rPr>
          <w:rFonts w:ascii="宋体"/>
          <w:color w:val="auto"/>
          <w:sz w:val="24"/>
          <w:highlight w:val="none"/>
        </w:rPr>
      </w:pPr>
      <w:r>
        <w:rPr>
          <w:rFonts w:hint="eastAsia" w:ascii="宋体"/>
          <w:color w:val="auto"/>
          <w:sz w:val="24"/>
          <w:highlight w:val="none"/>
        </w:rPr>
        <w:t>８．工程量清单</w:t>
      </w:r>
    </w:p>
    <w:p w14:paraId="07690716">
      <w:pPr>
        <w:spacing w:line="500" w:lineRule="exact"/>
        <w:ind w:firstLine="482"/>
        <w:rPr>
          <w:rFonts w:ascii="宋体"/>
          <w:color w:val="auto"/>
          <w:sz w:val="24"/>
          <w:highlight w:val="none"/>
        </w:rPr>
      </w:pPr>
      <w:r>
        <w:rPr>
          <w:rFonts w:hint="eastAsia" w:ascii="宋体"/>
          <w:color w:val="auto"/>
          <w:sz w:val="24"/>
          <w:highlight w:val="none"/>
        </w:rPr>
        <w:t>9．构成本合同组成部分的其他文件</w:t>
      </w:r>
    </w:p>
    <w:p w14:paraId="21FC2A82">
      <w:pPr>
        <w:spacing w:line="500" w:lineRule="exact"/>
        <w:ind w:firstLine="482"/>
        <w:rPr>
          <w:rFonts w:ascii="宋体"/>
          <w:color w:val="auto"/>
          <w:sz w:val="24"/>
          <w:highlight w:val="none"/>
        </w:rPr>
      </w:pPr>
      <w:r>
        <w:rPr>
          <w:rFonts w:hint="eastAsia" w:ascii="宋体"/>
          <w:color w:val="auto"/>
          <w:sz w:val="24"/>
          <w:highlight w:val="none"/>
        </w:rPr>
        <w:t>双方有关工程的洽商、变更等书面协议或文件视为本合同的组成部分。</w:t>
      </w:r>
    </w:p>
    <w:p w14:paraId="64158CDC">
      <w:pPr>
        <w:spacing w:line="500" w:lineRule="exact"/>
        <w:ind w:firstLine="482"/>
        <w:rPr>
          <w:rFonts w:ascii="宋体" w:hAnsi="宋体"/>
          <w:color w:val="auto"/>
          <w:sz w:val="24"/>
          <w:highlight w:val="none"/>
        </w:rPr>
      </w:pPr>
      <w:r>
        <w:rPr>
          <w:rFonts w:hint="eastAsia" w:ascii="宋体"/>
          <w:b/>
          <w:color w:val="auto"/>
          <w:sz w:val="24"/>
          <w:highlight w:val="none"/>
        </w:rPr>
        <w:t>八、</w:t>
      </w:r>
      <w:r>
        <w:rPr>
          <w:rFonts w:ascii="宋体" w:hAnsi="宋体"/>
          <w:color w:val="auto"/>
          <w:sz w:val="24"/>
          <w:highlight w:val="none"/>
        </w:rPr>
        <w:t>合同订立时间：</w:t>
      </w: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ascii="宋体" w:hAnsi="宋体"/>
          <w:color w:val="auto"/>
          <w:sz w:val="24"/>
          <w:highlight w:val="none"/>
        </w:rPr>
        <w:t>年</w:t>
      </w:r>
      <w:r>
        <w:rPr>
          <w:rFonts w:hint="eastAsia" w:ascii="宋体" w:hAnsi="宋体"/>
          <w:color w:val="auto"/>
          <w:sz w:val="24"/>
          <w:highlight w:val="none"/>
          <w:u w:val="single"/>
        </w:rPr>
        <w:t xml:space="preserve">    </w:t>
      </w:r>
      <w:r>
        <w:rPr>
          <w:rFonts w:ascii="宋体" w:hAnsi="宋体"/>
          <w:color w:val="auto"/>
          <w:sz w:val="24"/>
          <w:highlight w:val="none"/>
        </w:rPr>
        <w:t>月</w:t>
      </w:r>
      <w:r>
        <w:rPr>
          <w:rFonts w:hint="eastAsia" w:ascii="宋体" w:hAnsi="宋体"/>
          <w:color w:val="auto"/>
          <w:sz w:val="24"/>
          <w:highlight w:val="none"/>
          <w:u w:val="single"/>
        </w:rPr>
        <w:t xml:space="preserve">       </w:t>
      </w:r>
      <w:r>
        <w:rPr>
          <w:rFonts w:ascii="宋体" w:hAnsi="宋体"/>
          <w:color w:val="auto"/>
          <w:sz w:val="24"/>
          <w:highlight w:val="none"/>
        </w:rPr>
        <w:t>日</w:t>
      </w:r>
    </w:p>
    <w:p w14:paraId="3ACC34F3">
      <w:pPr>
        <w:spacing w:line="500" w:lineRule="exact"/>
        <w:ind w:firstLine="480" w:firstLineChars="200"/>
        <w:rPr>
          <w:rFonts w:ascii="宋体" w:hAnsi="宋体"/>
          <w:color w:val="auto"/>
          <w:sz w:val="24"/>
          <w:highlight w:val="none"/>
        </w:rPr>
      </w:pPr>
      <w:r>
        <w:rPr>
          <w:rFonts w:ascii="宋体" w:hAnsi="宋体"/>
          <w:color w:val="auto"/>
          <w:sz w:val="24"/>
          <w:highlight w:val="none"/>
        </w:rPr>
        <w:t>本合同</w:t>
      </w:r>
      <w:r>
        <w:rPr>
          <w:rFonts w:hint="eastAsia" w:ascii="宋体" w:hAnsi="宋体"/>
          <w:color w:val="auto"/>
          <w:sz w:val="24"/>
          <w:highlight w:val="none"/>
        </w:rPr>
        <w:t>一式六份，每方各执三份，承包人提交合同履约担保（合同总价的2.</w:t>
      </w:r>
      <w:r>
        <w:rPr>
          <w:rFonts w:hint="eastAsia" w:ascii="宋体" w:hAnsi="宋体" w:cs="宋体"/>
          <w:color w:val="auto"/>
          <w:sz w:val="24"/>
          <w:highlight w:val="none"/>
        </w:rPr>
        <w:t>5%</w:t>
      </w:r>
      <w:r>
        <w:rPr>
          <w:rFonts w:hint="eastAsia" w:ascii="宋体" w:hAnsi="宋体"/>
          <w:color w:val="auto"/>
          <w:sz w:val="24"/>
          <w:highlight w:val="none"/>
        </w:rPr>
        <w:t>），且经各方签字盖章后</w:t>
      </w:r>
      <w:r>
        <w:rPr>
          <w:rFonts w:ascii="宋体" w:hAnsi="宋体"/>
          <w:color w:val="auto"/>
          <w:sz w:val="24"/>
          <w:highlight w:val="none"/>
        </w:rPr>
        <w:t>生效。</w:t>
      </w:r>
    </w:p>
    <w:p w14:paraId="5797F8E0">
      <w:pPr>
        <w:pStyle w:val="9"/>
        <w:spacing w:line="560" w:lineRule="exact"/>
        <w:ind w:firstLine="482"/>
        <w:rPr>
          <w:color w:val="auto"/>
          <w:highlight w:val="none"/>
        </w:rPr>
      </w:pPr>
      <w:r>
        <w:rPr>
          <w:rFonts w:hint="eastAsia"/>
          <w:b/>
          <w:color w:val="auto"/>
          <w:highlight w:val="none"/>
        </w:rPr>
        <w:t>发  包  人：                                       承  包  人：</w:t>
      </w:r>
    </w:p>
    <w:p w14:paraId="48E4351C">
      <w:pPr>
        <w:pStyle w:val="9"/>
        <w:spacing w:line="240" w:lineRule="auto"/>
        <w:rPr>
          <w:color w:val="auto"/>
          <w:highlight w:val="none"/>
        </w:rPr>
      </w:pPr>
      <w:r>
        <w:rPr>
          <w:rFonts w:hint="eastAsia"/>
          <w:color w:val="auto"/>
          <w:highlight w:val="none"/>
        </w:rPr>
        <w:t xml:space="preserve">建设单位（印章）：                                  承包单位（印章）：   </w:t>
      </w:r>
    </w:p>
    <w:p w14:paraId="490C9CA5">
      <w:pPr>
        <w:pStyle w:val="9"/>
        <w:spacing w:line="240" w:lineRule="auto"/>
        <w:rPr>
          <w:color w:val="auto"/>
          <w:highlight w:val="none"/>
        </w:rPr>
      </w:pPr>
      <w:r>
        <w:rPr>
          <w:color w:val="auto"/>
          <w:highlight w:val="none"/>
        </w:rPr>
        <w:t>法定代表人</w:t>
      </w:r>
      <w:r>
        <w:rPr>
          <w:rFonts w:hint="eastAsia"/>
          <w:color w:val="auto"/>
          <w:highlight w:val="none"/>
        </w:rPr>
        <w:t>（签章）：</w:t>
      </w:r>
      <w:r>
        <w:rPr>
          <w:color w:val="auto"/>
          <w:highlight w:val="none"/>
        </w:rPr>
        <w:t>　</w:t>
      </w:r>
      <w:r>
        <w:rPr>
          <w:rFonts w:hint="eastAsia"/>
          <w:color w:val="auto"/>
          <w:highlight w:val="none"/>
        </w:rPr>
        <w:t xml:space="preserve">                              </w:t>
      </w:r>
      <w:r>
        <w:rPr>
          <w:color w:val="auto"/>
          <w:highlight w:val="none"/>
        </w:rPr>
        <w:t>法定代表人</w:t>
      </w:r>
      <w:r>
        <w:rPr>
          <w:rFonts w:hint="eastAsia"/>
          <w:color w:val="auto"/>
          <w:highlight w:val="none"/>
        </w:rPr>
        <w:t>（签章）：</w:t>
      </w:r>
    </w:p>
    <w:p w14:paraId="5F4871FC">
      <w:pPr>
        <w:pStyle w:val="9"/>
        <w:spacing w:line="240" w:lineRule="auto"/>
        <w:rPr>
          <w:color w:val="auto"/>
          <w:highlight w:val="none"/>
        </w:rPr>
      </w:pPr>
      <w:r>
        <w:rPr>
          <w:rFonts w:hint="eastAsia"/>
          <w:color w:val="auto"/>
          <w:highlight w:val="none"/>
        </w:rPr>
        <w:t>委托代理人（签字）：                                委托代理人（签字）：</w:t>
      </w:r>
    </w:p>
    <w:p w14:paraId="03469647">
      <w:pPr>
        <w:pStyle w:val="9"/>
        <w:spacing w:line="240" w:lineRule="auto"/>
        <w:rPr>
          <w:color w:val="auto"/>
          <w:highlight w:val="none"/>
        </w:rPr>
      </w:pPr>
      <w:r>
        <w:rPr>
          <w:rFonts w:hint="eastAsia"/>
          <w:color w:val="auto"/>
          <w:highlight w:val="none"/>
        </w:rPr>
        <w:t>电    话：                                         电    话：</w:t>
      </w:r>
    </w:p>
    <w:p w14:paraId="486F9D6D">
      <w:pPr>
        <w:pStyle w:val="9"/>
        <w:spacing w:line="240" w:lineRule="auto"/>
        <w:rPr>
          <w:color w:val="auto"/>
          <w:highlight w:val="none"/>
        </w:rPr>
      </w:pPr>
      <w:r>
        <w:rPr>
          <w:rFonts w:hint="eastAsia"/>
          <w:color w:val="auto"/>
          <w:highlight w:val="none"/>
        </w:rPr>
        <w:t xml:space="preserve">传    真：                                         传    真：  </w:t>
      </w:r>
    </w:p>
    <w:p w14:paraId="6FC65B10">
      <w:pPr>
        <w:pStyle w:val="9"/>
        <w:spacing w:line="240" w:lineRule="auto"/>
        <w:rPr>
          <w:color w:val="auto"/>
          <w:highlight w:val="none"/>
        </w:rPr>
      </w:pPr>
      <w:r>
        <w:rPr>
          <w:rFonts w:hint="eastAsia"/>
          <w:color w:val="auto"/>
          <w:highlight w:val="none"/>
        </w:rPr>
        <w:t>开户银行：                                         开户银行：</w:t>
      </w:r>
    </w:p>
    <w:p w14:paraId="32B13357">
      <w:pPr>
        <w:pStyle w:val="9"/>
        <w:rPr>
          <w:color w:val="auto"/>
          <w:highlight w:val="none"/>
        </w:rPr>
      </w:pPr>
      <w:r>
        <w:rPr>
          <w:rFonts w:hint="eastAsia"/>
          <w:color w:val="auto"/>
          <w:highlight w:val="none"/>
        </w:rPr>
        <w:t>帐    号：                                         帐    号：</w:t>
      </w:r>
    </w:p>
    <w:p w14:paraId="26D07220">
      <w:pPr>
        <w:spacing w:line="500" w:lineRule="exact"/>
        <w:jc w:val="center"/>
        <w:rPr>
          <w:rFonts w:ascii="宋体" w:hAnsi="宋体"/>
          <w:color w:val="auto"/>
          <w:sz w:val="28"/>
          <w:szCs w:val="28"/>
          <w:highlight w:val="none"/>
        </w:rPr>
      </w:pPr>
      <w:r>
        <w:rPr>
          <w:rFonts w:ascii="宋体" w:hAnsi="宋体"/>
          <w:bCs/>
          <w:color w:val="auto"/>
          <w:sz w:val="24"/>
          <w:highlight w:val="none"/>
        </w:rPr>
        <w:br w:type="page"/>
      </w:r>
      <w:r>
        <w:rPr>
          <w:rFonts w:hint="eastAsia"/>
          <w:b/>
          <w:color w:val="auto"/>
          <w:sz w:val="28"/>
          <w:szCs w:val="28"/>
          <w:highlight w:val="none"/>
        </w:rPr>
        <w:t>第二部分　　通用合同条款</w:t>
      </w:r>
    </w:p>
    <w:p w14:paraId="19168142">
      <w:pPr>
        <w:spacing w:line="500" w:lineRule="atLeast"/>
        <w:jc w:val="center"/>
        <w:rPr>
          <w:b/>
          <w:color w:val="auto"/>
          <w:sz w:val="24"/>
          <w:highlight w:val="none"/>
        </w:rPr>
      </w:pPr>
    </w:p>
    <w:p w14:paraId="4A6CAA1C">
      <w:pPr>
        <w:spacing w:line="500" w:lineRule="exact"/>
        <w:ind w:firstLine="482" w:firstLineChars="200"/>
        <w:rPr>
          <w:rFonts w:ascii="宋体" w:hAnsi="宋体"/>
          <w:color w:val="auto"/>
          <w:sz w:val="24"/>
          <w:szCs w:val="18"/>
          <w:highlight w:val="none"/>
        </w:rPr>
      </w:pPr>
      <w:r>
        <w:rPr>
          <w:rFonts w:hint="eastAsia" w:ascii="宋体" w:hAnsi="宋体"/>
          <w:b/>
          <w:bCs/>
          <w:color w:val="auto"/>
          <w:sz w:val="24"/>
          <w:szCs w:val="18"/>
          <w:highlight w:val="none"/>
        </w:rPr>
        <w:t>一、词语定义及合同文件</w:t>
      </w:r>
    </w:p>
    <w:p w14:paraId="28D895BA">
      <w:pPr>
        <w:spacing w:line="500" w:lineRule="exact"/>
        <w:ind w:firstLine="354" w:firstLineChars="147"/>
        <w:rPr>
          <w:rFonts w:ascii="宋体" w:hAnsi="宋体"/>
          <w:color w:val="auto"/>
          <w:sz w:val="24"/>
          <w:highlight w:val="none"/>
        </w:rPr>
      </w:pPr>
      <w:r>
        <w:rPr>
          <w:rFonts w:hint="eastAsia" w:ascii="宋体" w:hAnsi="宋体"/>
          <w:b/>
          <w:bCs/>
          <w:color w:val="auto"/>
          <w:sz w:val="24"/>
          <w:szCs w:val="18"/>
          <w:highlight w:val="none"/>
        </w:rPr>
        <w:t>１、词语定义</w:t>
      </w:r>
      <w:r>
        <w:rPr>
          <w:rFonts w:hint="eastAsia" w:ascii="宋体" w:hAnsi="宋体"/>
          <w:color w:val="auto"/>
          <w:sz w:val="24"/>
          <w:szCs w:val="18"/>
          <w:highlight w:val="none"/>
        </w:rPr>
        <w:br w:type="textWrapping"/>
      </w:r>
      <w:r>
        <w:rPr>
          <w:rFonts w:hint="eastAsia" w:ascii="宋体" w:hAnsi="宋体"/>
          <w:color w:val="auto"/>
          <w:sz w:val="24"/>
          <w:highlight w:val="none"/>
        </w:rPr>
        <w:t>　　下列词语除专用条款另有约定外，应具有本条所赋予的定义：</w:t>
      </w:r>
      <w:r>
        <w:rPr>
          <w:rFonts w:hint="eastAsia" w:ascii="宋体" w:hAnsi="宋体"/>
          <w:color w:val="auto"/>
          <w:sz w:val="24"/>
          <w:highlight w:val="none"/>
        </w:rPr>
        <w:br w:type="textWrapping"/>
      </w:r>
      <w:r>
        <w:rPr>
          <w:rFonts w:hint="eastAsia" w:ascii="宋体" w:hAnsi="宋体"/>
          <w:color w:val="auto"/>
          <w:sz w:val="24"/>
          <w:highlight w:val="none"/>
        </w:rPr>
        <w:t>　　1.1通用条款： 是根据法律、行政法规规定及建设工程施工的需要订立，通用于建设工程施工的条款。</w:t>
      </w:r>
      <w:r>
        <w:rPr>
          <w:rFonts w:hint="eastAsia" w:ascii="宋体" w:hAnsi="宋体"/>
          <w:color w:val="auto"/>
          <w:sz w:val="24"/>
          <w:highlight w:val="none"/>
        </w:rPr>
        <w:br w:type="textWrapping"/>
      </w:r>
      <w:r>
        <w:rPr>
          <w:rFonts w:hint="eastAsia" w:ascii="宋体" w:hAnsi="宋体"/>
          <w:color w:val="auto"/>
          <w:sz w:val="24"/>
          <w:highlight w:val="none"/>
        </w:rPr>
        <w:t>　　1.2专用条款： 是发包人与承包人根据法律、行政法规规定，结合具体工程实际，经协商达成一致意见的条款，是对通用条款的具体化、补充或修改。</w:t>
      </w:r>
      <w:r>
        <w:rPr>
          <w:rFonts w:hint="eastAsia" w:ascii="宋体" w:hAnsi="宋体"/>
          <w:color w:val="auto"/>
          <w:sz w:val="24"/>
          <w:highlight w:val="none"/>
        </w:rPr>
        <w:br w:type="textWrapping"/>
      </w:r>
      <w:r>
        <w:rPr>
          <w:rFonts w:hint="eastAsia" w:ascii="宋体" w:hAnsi="宋体"/>
          <w:color w:val="auto"/>
          <w:sz w:val="24"/>
          <w:highlight w:val="none"/>
        </w:rPr>
        <w:t>　　1.3发包人： 指在协议书中约定，具有工程发包主体资格和支付工程价款能力的当事人以及取得该当事人资格的合法继承人。</w:t>
      </w:r>
      <w:r>
        <w:rPr>
          <w:rFonts w:hint="eastAsia" w:ascii="宋体" w:hAnsi="宋体"/>
          <w:color w:val="auto"/>
          <w:sz w:val="24"/>
          <w:highlight w:val="none"/>
        </w:rPr>
        <w:br w:type="textWrapping"/>
      </w:r>
      <w:r>
        <w:rPr>
          <w:rFonts w:hint="eastAsia" w:ascii="宋体" w:hAnsi="宋体"/>
          <w:color w:val="auto"/>
          <w:sz w:val="24"/>
          <w:highlight w:val="none"/>
        </w:rPr>
        <w:t xml:space="preserve">　　1.4承包人： 指在协议书中约定，被发包人接受的具有工程施工承包主体资格的当事人以及取得该当事人资格的合法继承人。 </w:t>
      </w:r>
      <w:r>
        <w:rPr>
          <w:rFonts w:hint="eastAsia" w:ascii="宋体" w:hAnsi="宋体"/>
          <w:color w:val="auto"/>
          <w:sz w:val="24"/>
          <w:highlight w:val="none"/>
        </w:rPr>
        <w:br w:type="textWrapping"/>
      </w:r>
      <w:r>
        <w:rPr>
          <w:rFonts w:hint="eastAsia" w:ascii="宋体" w:hAnsi="宋体"/>
          <w:color w:val="auto"/>
          <w:sz w:val="24"/>
          <w:highlight w:val="none"/>
        </w:rPr>
        <w:t>　　1.5项目经理：指承包人在专用条款中指定的负责施工管理和合同履行的代表。</w:t>
      </w:r>
      <w:r>
        <w:rPr>
          <w:rFonts w:hint="eastAsia" w:ascii="宋体" w:hAnsi="宋体"/>
          <w:color w:val="auto"/>
          <w:sz w:val="24"/>
          <w:highlight w:val="none"/>
        </w:rPr>
        <w:br w:type="textWrapping"/>
      </w:r>
      <w:r>
        <w:rPr>
          <w:rFonts w:hint="eastAsia" w:ascii="宋体" w:hAnsi="宋体"/>
          <w:color w:val="auto"/>
          <w:sz w:val="24"/>
          <w:highlight w:val="none"/>
        </w:rPr>
        <w:t>　　1.6监理单位：指发包人委托的负责本工程监理并取得相应工程监理资质等级证书的单位。</w:t>
      </w:r>
      <w:r>
        <w:rPr>
          <w:rFonts w:hint="eastAsia" w:ascii="宋体" w:hAnsi="宋体"/>
          <w:color w:val="auto"/>
          <w:sz w:val="24"/>
          <w:highlight w:val="none"/>
        </w:rPr>
        <w:br w:type="textWrapping"/>
      </w:r>
      <w:r>
        <w:rPr>
          <w:rFonts w:hint="eastAsia" w:ascii="宋体" w:hAnsi="宋体"/>
          <w:color w:val="auto"/>
          <w:sz w:val="24"/>
          <w:highlight w:val="none"/>
        </w:rPr>
        <w:t>　　1.7工程师： 指本工程监理单位委派的总监理工程师或发包人指定的履行本合同的代表，其具体身份和职权由发包人、承包人在专用条款中约定。</w:t>
      </w:r>
      <w:r>
        <w:rPr>
          <w:rFonts w:hint="eastAsia" w:ascii="宋体" w:hAnsi="宋体"/>
          <w:color w:val="auto"/>
          <w:sz w:val="24"/>
          <w:highlight w:val="none"/>
        </w:rPr>
        <w:br w:type="textWrapping"/>
      </w:r>
      <w:r>
        <w:rPr>
          <w:rFonts w:hint="eastAsia" w:ascii="宋体" w:hAnsi="宋体"/>
          <w:color w:val="auto"/>
          <w:sz w:val="24"/>
          <w:highlight w:val="none"/>
        </w:rPr>
        <w:t>　　1.8工程：指发包人、承包人在协议书中约定的承包范围内的工程。</w:t>
      </w:r>
      <w:r>
        <w:rPr>
          <w:rFonts w:hint="eastAsia" w:ascii="宋体" w:hAnsi="宋体"/>
          <w:color w:val="auto"/>
          <w:sz w:val="24"/>
          <w:highlight w:val="none"/>
        </w:rPr>
        <w:br w:type="textWrapping"/>
      </w:r>
      <w:r>
        <w:rPr>
          <w:rFonts w:hint="eastAsia" w:ascii="宋体" w:hAnsi="宋体"/>
          <w:color w:val="auto"/>
          <w:sz w:val="24"/>
          <w:highlight w:val="none"/>
        </w:rPr>
        <w:t>　　1.9合同价款：指发包人、承包人在协议书中约定，发包人用以支付承包人按照合同约定完成承包范围内全部工程并承担质量保修运维责任的款项。</w:t>
      </w:r>
      <w:r>
        <w:rPr>
          <w:rFonts w:hint="eastAsia" w:ascii="宋体" w:hAnsi="宋体"/>
          <w:color w:val="auto"/>
          <w:sz w:val="24"/>
          <w:highlight w:val="none"/>
        </w:rPr>
        <w:br w:type="textWrapping"/>
      </w:r>
      <w:r>
        <w:rPr>
          <w:rFonts w:hint="eastAsia" w:ascii="宋体" w:hAnsi="宋体"/>
          <w:color w:val="auto"/>
          <w:sz w:val="24"/>
          <w:highlight w:val="none"/>
        </w:rPr>
        <w:t>　　1.10追加合同价款：指在合同履行中发生需要增加合同价款的情况，经发包人确认后按计算合同价款的方法增加的合同价款。</w:t>
      </w:r>
      <w:r>
        <w:rPr>
          <w:rFonts w:hint="eastAsia" w:ascii="宋体" w:hAnsi="宋体"/>
          <w:color w:val="auto"/>
          <w:sz w:val="24"/>
          <w:highlight w:val="none"/>
        </w:rPr>
        <w:br w:type="textWrapping"/>
      </w:r>
      <w:r>
        <w:rPr>
          <w:rFonts w:hint="eastAsia" w:ascii="宋体" w:hAnsi="宋体"/>
          <w:color w:val="auto"/>
          <w:sz w:val="24"/>
          <w:highlight w:val="none"/>
        </w:rPr>
        <w:t>　　1.11工期：指发包人、承包人在协议书中约定，按总日历天数(包括法定节假日)计算的承包天数。</w:t>
      </w:r>
      <w:r>
        <w:rPr>
          <w:rFonts w:hint="eastAsia" w:ascii="宋体" w:hAnsi="宋体"/>
          <w:color w:val="auto"/>
          <w:sz w:val="24"/>
          <w:highlight w:val="none"/>
        </w:rPr>
        <w:br w:type="textWrapping"/>
      </w:r>
      <w:r>
        <w:rPr>
          <w:rFonts w:hint="eastAsia" w:ascii="宋体" w:hAnsi="宋体"/>
          <w:color w:val="auto"/>
          <w:sz w:val="24"/>
          <w:highlight w:val="none"/>
        </w:rPr>
        <w:t>　　1.12图纸：指由发包人提供或由承包人提供并经发包人批准，满足承包人施工需要的所有图纸(包括配套说明和有关资料)。</w:t>
      </w:r>
      <w:r>
        <w:rPr>
          <w:rFonts w:hint="eastAsia" w:ascii="宋体" w:hAnsi="宋体"/>
          <w:color w:val="auto"/>
          <w:sz w:val="24"/>
          <w:highlight w:val="none"/>
        </w:rPr>
        <w:br w:type="textWrapping"/>
      </w:r>
      <w:r>
        <w:rPr>
          <w:rFonts w:hint="eastAsia" w:ascii="宋体" w:hAnsi="宋体"/>
          <w:color w:val="auto"/>
          <w:sz w:val="24"/>
          <w:highlight w:val="none"/>
        </w:rPr>
        <w:t>　　1.13施工场地：指由发包人提供的用于工程施工的场所以及发包人在图纸中具体指定的供施工使用的任何其他场所。</w:t>
      </w:r>
    </w:p>
    <w:p w14:paraId="18063CA4">
      <w:pPr>
        <w:spacing w:line="500" w:lineRule="exact"/>
        <w:ind w:firstLine="472" w:firstLineChars="197"/>
        <w:rPr>
          <w:rFonts w:ascii="宋体" w:hAnsi="宋体"/>
          <w:b/>
          <w:bCs/>
          <w:color w:val="auto"/>
          <w:sz w:val="24"/>
          <w:szCs w:val="18"/>
          <w:highlight w:val="none"/>
        </w:rPr>
      </w:pPr>
      <w:r>
        <w:rPr>
          <w:rFonts w:hint="eastAsia" w:ascii="宋体" w:hAnsi="宋体"/>
          <w:color w:val="auto"/>
          <w:sz w:val="24"/>
          <w:highlight w:val="none"/>
        </w:rPr>
        <w:t>1.14书面形式：指合同书、信件和数据电文(包括电报、电传、传真、电子数据交换和电子邮件)等可以有形地表现所载内容的形式。</w:t>
      </w:r>
      <w:r>
        <w:rPr>
          <w:rFonts w:hint="eastAsia" w:ascii="宋体" w:hAnsi="宋体"/>
          <w:color w:val="auto"/>
          <w:sz w:val="24"/>
          <w:highlight w:val="none"/>
        </w:rPr>
        <w:br w:type="textWrapping"/>
      </w:r>
      <w:r>
        <w:rPr>
          <w:rFonts w:hint="eastAsia" w:ascii="宋体" w:hAnsi="宋体"/>
          <w:color w:val="auto"/>
          <w:sz w:val="24"/>
          <w:highlight w:val="none"/>
        </w:rPr>
        <w:t>　　1.15违约责任：指合同一方不履行合同义务或履行合同义务不符合约定所应承担的责任。</w:t>
      </w:r>
      <w:r>
        <w:rPr>
          <w:rFonts w:hint="eastAsia" w:ascii="宋体" w:hAnsi="宋体"/>
          <w:color w:val="auto"/>
          <w:sz w:val="24"/>
          <w:highlight w:val="none"/>
        </w:rPr>
        <w:br w:type="textWrapping"/>
      </w:r>
      <w:r>
        <w:rPr>
          <w:rFonts w:hint="eastAsia" w:ascii="宋体" w:hAnsi="宋体"/>
          <w:color w:val="auto"/>
          <w:sz w:val="24"/>
          <w:highlight w:val="none"/>
        </w:rPr>
        <w:t>　　1.16索赔：指在合同履行过程中，对于并非自己的过错，而是应由对方承担责任的情况造成的实际损失，向对方提出经济补偿和(或)工期顺延的要求。</w:t>
      </w:r>
      <w:r>
        <w:rPr>
          <w:rFonts w:hint="eastAsia" w:ascii="宋体" w:hAnsi="宋体"/>
          <w:color w:val="auto"/>
          <w:sz w:val="24"/>
          <w:highlight w:val="none"/>
        </w:rPr>
        <w:br w:type="textWrapping"/>
      </w:r>
      <w:r>
        <w:rPr>
          <w:rFonts w:hint="eastAsia" w:ascii="宋体" w:hAnsi="宋体"/>
          <w:color w:val="auto"/>
          <w:sz w:val="24"/>
          <w:highlight w:val="none"/>
        </w:rPr>
        <w:t>　　1.17不可抗力：指不能预见、不能避免并不能克服的客观情况。</w:t>
      </w:r>
      <w:r>
        <w:rPr>
          <w:rFonts w:hint="eastAsia" w:ascii="宋体" w:hAnsi="宋体"/>
          <w:color w:val="auto"/>
          <w:sz w:val="24"/>
          <w:highlight w:val="none"/>
        </w:rPr>
        <w:br w:type="textWrapping"/>
      </w:r>
      <w:r>
        <w:rPr>
          <w:rFonts w:hint="eastAsia" w:ascii="宋体" w:hAnsi="宋体"/>
          <w:b/>
          <w:bCs/>
          <w:color w:val="auto"/>
          <w:sz w:val="24"/>
          <w:szCs w:val="18"/>
          <w:highlight w:val="none"/>
        </w:rPr>
        <w:t>　　２、合同文件及解释顺序</w:t>
      </w:r>
      <w:r>
        <w:rPr>
          <w:rFonts w:hint="eastAsia" w:ascii="宋体" w:hAnsi="宋体"/>
          <w:color w:val="auto"/>
          <w:sz w:val="24"/>
          <w:szCs w:val="18"/>
          <w:highlight w:val="none"/>
        </w:rPr>
        <w:br w:type="textWrapping"/>
      </w:r>
      <w:r>
        <w:rPr>
          <w:rFonts w:hint="eastAsia" w:ascii="宋体" w:hAnsi="宋体"/>
          <w:color w:val="auto"/>
          <w:sz w:val="24"/>
          <w:szCs w:val="18"/>
          <w:highlight w:val="none"/>
        </w:rPr>
        <w:t>　　</w:t>
      </w:r>
      <w:r>
        <w:rPr>
          <w:rFonts w:hint="eastAsia" w:ascii="宋体" w:hAnsi="宋体"/>
          <w:color w:val="auto"/>
          <w:sz w:val="24"/>
          <w:highlight w:val="none"/>
        </w:rPr>
        <w:t>2.1合同文件应能相互解释，互为说明。除专用条款另有约定外，组成本合同的文件及优先解释顺序如下：</w:t>
      </w:r>
      <w:r>
        <w:rPr>
          <w:rFonts w:hint="eastAsia" w:ascii="宋体" w:hAnsi="宋体"/>
          <w:color w:val="auto"/>
          <w:sz w:val="24"/>
          <w:highlight w:val="none"/>
        </w:rPr>
        <w:br w:type="textWrapping"/>
      </w:r>
      <w:r>
        <w:rPr>
          <w:rFonts w:hint="eastAsia" w:ascii="宋体" w:hAnsi="宋体"/>
          <w:color w:val="auto"/>
          <w:sz w:val="24"/>
          <w:highlight w:val="none"/>
        </w:rPr>
        <w:t>　　(1)本合同协议书</w:t>
      </w:r>
      <w:r>
        <w:rPr>
          <w:rFonts w:hint="eastAsia" w:ascii="宋体" w:hAnsi="宋体"/>
          <w:color w:val="auto"/>
          <w:sz w:val="24"/>
          <w:highlight w:val="none"/>
        </w:rPr>
        <w:br w:type="textWrapping"/>
      </w:r>
      <w:r>
        <w:rPr>
          <w:rFonts w:hint="eastAsia" w:ascii="宋体" w:hAnsi="宋体"/>
          <w:color w:val="auto"/>
          <w:sz w:val="24"/>
          <w:highlight w:val="none"/>
        </w:rPr>
        <w:t>　　(2)中标通知书</w:t>
      </w:r>
      <w:r>
        <w:rPr>
          <w:rFonts w:hint="eastAsia" w:ascii="宋体" w:hAnsi="宋体"/>
          <w:color w:val="auto"/>
          <w:sz w:val="24"/>
          <w:highlight w:val="none"/>
        </w:rPr>
        <w:br w:type="textWrapping"/>
      </w:r>
      <w:r>
        <w:rPr>
          <w:rFonts w:hint="eastAsia" w:ascii="宋体" w:hAnsi="宋体"/>
          <w:color w:val="auto"/>
          <w:sz w:val="24"/>
          <w:highlight w:val="none"/>
        </w:rPr>
        <w:t>　　(3)投标书及其附件</w:t>
      </w:r>
      <w:r>
        <w:rPr>
          <w:rFonts w:hint="eastAsia" w:ascii="宋体" w:hAnsi="宋体"/>
          <w:color w:val="auto"/>
          <w:sz w:val="24"/>
          <w:highlight w:val="none"/>
        </w:rPr>
        <w:br w:type="textWrapping"/>
      </w:r>
      <w:r>
        <w:rPr>
          <w:rFonts w:hint="eastAsia" w:ascii="宋体" w:hAnsi="宋体"/>
          <w:color w:val="auto"/>
          <w:sz w:val="24"/>
          <w:highlight w:val="none"/>
        </w:rPr>
        <w:t>　　(4)本合同专用条款</w:t>
      </w:r>
      <w:r>
        <w:rPr>
          <w:rFonts w:hint="eastAsia" w:ascii="宋体" w:hAnsi="宋体"/>
          <w:color w:val="auto"/>
          <w:sz w:val="24"/>
          <w:highlight w:val="none"/>
        </w:rPr>
        <w:br w:type="textWrapping"/>
      </w:r>
      <w:r>
        <w:rPr>
          <w:rFonts w:hint="eastAsia" w:ascii="宋体" w:hAnsi="宋体"/>
          <w:color w:val="auto"/>
          <w:sz w:val="24"/>
          <w:highlight w:val="none"/>
        </w:rPr>
        <w:t>　　(5)本合同通用条款</w:t>
      </w:r>
      <w:r>
        <w:rPr>
          <w:rFonts w:hint="eastAsia" w:ascii="宋体" w:hAnsi="宋体"/>
          <w:color w:val="auto"/>
          <w:sz w:val="24"/>
          <w:highlight w:val="none"/>
        </w:rPr>
        <w:br w:type="textWrapping"/>
      </w:r>
      <w:r>
        <w:rPr>
          <w:rFonts w:hint="eastAsia" w:ascii="宋体" w:hAnsi="宋体"/>
          <w:color w:val="auto"/>
          <w:sz w:val="24"/>
          <w:highlight w:val="none"/>
        </w:rPr>
        <w:t>　　(6)标准、规范及有关技术文件</w:t>
      </w:r>
      <w:r>
        <w:rPr>
          <w:rFonts w:hint="eastAsia" w:ascii="宋体" w:hAnsi="宋体"/>
          <w:color w:val="auto"/>
          <w:sz w:val="24"/>
          <w:highlight w:val="none"/>
        </w:rPr>
        <w:br w:type="textWrapping"/>
      </w:r>
      <w:r>
        <w:rPr>
          <w:rFonts w:hint="eastAsia" w:ascii="宋体" w:hAnsi="宋体"/>
          <w:color w:val="auto"/>
          <w:sz w:val="24"/>
          <w:highlight w:val="none"/>
        </w:rPr>
        <w:t>　　(7)图纸</w:t>
      </w:r>
      <w:r>
        <w:rPr>
          <w:rFonts w:hint="eastAsia" w:ascii="宋体" w:hAnsi="宋体"/>
          <w:color w:val="auto"/>
          <w:sz w:val="24"/>
          <w:highlight w:val="none"/>
        </w:rPr>
        <w:br w:type="textWrapping"/>
      </w:r>
      <w:r>
        <w:rPr>
          <w:rFonts w:hint="eastAsia" w:ascii="宋体" w:hAnsi="宋体"/>
          <w:color w:val="auto"/>
          <w:sz w:val="24"/>
          <w:highlight w:val="none"/>
        </w:rPr>
        <w:t>　　(8)工程量清单</w:t>
      </w:r>
      <w:r>
        <w:rPr>
          <w:rFonts w:hint="eastAsia" w:ascii="宋体" w:hAnsi="宋体"/>
          <w:color w:val="auto"/>
          <w:sz w:val="24"/>
          <w:highlight w:val="none"/>
        </w:rPr>
        <w:br w:type="textWrapping"/>
      </w:r>
      <w:r>
        <w:rPr>
          <w:rFonts w:hint="eastAsia" w:ascii="宋体" w:hAnsi="宋体"/>
          <w:color w:val="auto"/>
          <w:sz w:val="24"/>
          <w:highlight w:val="none"/>
        </w:rPr>
        <w:t>　　合同履行中，发包人、承包人有关工程的洽商、变更等书面协议或文件视为本合同的组成部分。</w:t>
      </w:r>
      <w:r>
        <w:rPr>
          <w:rFonts w:hint="eastAsia" w:ascii="宋体" w:hAnsi="宋体"/>
          <w:color w:val="auto"/>
          <w:sz w:val="24"/>
          <w:highlight w:val="none"/>
        </w:rPr>
        <w:br w:type="textWrapping"/>
      </w:r>
      <w:r>
        <w:rPr>
          <w:rFonts w:hint="eastAsia" w:ascii="宋体" w:hAnsi="宋体"/>
          <w:color w:val="auto"/>
          <w:sz w:val="24"/>
          <w:highlight w:val="none"/>
        </w:rPr>
        <w:t>　　2.2当合同文件内容含糊不清或不相一致时， 在不影响工程正常进行的情况下，由发包人、承包人协商解决。</w:t>
      </w:r>
      <w:r>
        <w:rPr>
          <w:rFonts w:hint="eastAsia" w:ascii="宋体" w:hAnsi="宋体"/>
          <w:color w:val="auto"/>
          <w:sz w:val="24"/>
          <w:highlight w:val="none"/>
        </w:rPr>
        <w:br w:type="textWrapping"/>
      </w:r>
      <w:r>
        <w:rPr>
          <w:rFonts w:hint="eastAsia" w:ascii="宋体" w:hAnsi="宋体"/>
          <w:color w:val="auto"/>
          <w:sz w:val="24"/>
          <w:szCs w:val="18"/>
          <w:highlight w:val="none"/>
        </w:rPr>
        <w:t>　　</w:t>
      </w:r>
      <w:r>
        <w:rPr>
          <w:rFonts w:hint="eastAsia" w:ascii="宋体" w:hAnsi="宋体"/>
          <w:b/>
          <w:bCs/>
          <w:color w:val="auto"/>
          <w:sz w:val="24"/>
          <w:szCs w:val="18"/>
          <w:highlight w:val="none"/>
        </w:rPr>
        <w:t>３、语言文字和适用法律、标准及规范</w:t>
      </w:r>
    </w:p>
    <w:p w14:paraId="2806BD35">
      <w:pPr>
        <w:spacing w:line="500" w:lineRule="exact"/>
        <w:ind w:firstLine="480" w:firstLineChars="200"/>
        <w:rPr>
          <w:rFonts w:ascii="宋体" w:hAnsi="宋体"/>
          <w:color w:val="auto"/>
          <w:sz w:val="24"/>
          <w:szCs w:val="18"/>
          <w:highlight w:val="none"/>
        </w:rPr>
      </w:pPr>
      <w:r>
        <w:rPr>
          <w:rFonts w:hint="eastAsia" w:ascii="宋体" w:hAnsi="宋体"/>
          <w:color w:val="auto"/>
          <w:sz w:val="24"/>
          <w:highlight w:val="none"/>
        </w:rPr>
        <w:t>3.1语言文字</w:t>
      </w:r>
      <w:r>
        <w:rPr>
          <w:rFonts w:hint="eastAsia" w:ascii="宋体" w:hAnsi="宋体"/>
          <w:color w:val="auto"/>
          <w:sz w:val="24"/>
          <w:highlight w:val="none"/>
        </w:rPr>
        <w:br w:type="textWrapping"/>
      </w:r>
      <w:r>
        <w:rPr>
          <w:rFonts w:hint="eastAsia" w:ascii="宋体" w:hAnsi="宋体"/>
          <w:color w:val="auto"/>
          <w:sz w:val="24"/>
          <w:highlight w:val="none"/>
        </w:rPr>
        <w:t>　　本合同文件使用汉语语言文字书写、解释和说明。如专用条款约定使用两种以上(含两种)语言文字时，汉语应为解释和说明本合同的标准语言文字。</w:t>
      </w:r>
      <w:r>
        <w:rPr>
          <w:rFonts w:hint="eastAsia" w:ascii="宋体" w:hAnsi="宋体"/>
          <w:color w:val="auto"/>
          <w:sz w:val="24"/>
          <w:highlight w:val="none"/>
        </w:rPr>
        <w:br w:type="textWrapping"/>
      </w:r>
      <w:r>
        <w:rPr>
          <w:rFonts w:hint="eastAsia" w:ascii="宋体" w:hAnsi="宋体"/>
          <w:color w:val="auto"/>
          <w:sz w:val="24"/>
          <w:highlight w:val="none"/>
        </w:rPr>
        <w:t>　　3.2适用法律和法规</w:t>
      </w:r>
      <w:r>
        <w:rPr>
          <w:rFonts w:hint="eastAsia" w:ascii="宋体" w:hAnsi="宋体"/>
          <w:color w:val="auto"/>
          <w:sz w:val="24"/>
          <w:highlight w:val="none"/>
        </w:rPr>
        <w:br w:type="textWrapping"/>
      </w:r>
      <w:r>
        <w:rPr>
          <w:rFonts w:hint="eastAsia" w:ascii="宋体" w:hAnsi="宋体"/>
          <w:color w:val="auto"/>
          <w:sz w:val="24"/>
          <w:highlight w:val="none"/>
        </w:rPr>
        <w:t>　　本合同文件适用国家的法律和行政法规。需要明示的法律、行政法规，由双方在专用条款中约定。</w:t>
      </w:r>
      <w:r>
        <w:rPr>
          <w:rFonts w:hint="eastAsia" w:ascii="宋体" w:hAnsi="宋体"/>
          <w:color w:val="auto"/>
          <w:sz w:val="24"/>
          <w:highlight w:val="none"/>
        </w:rPr>
        <w:br w:type="textWrapping"/>
      </w:r>
      <w:r>
        <w:rPr>
          <w:rFonts w:hint="eastAsia" w:ascii="宋体" w:hAnsi="宋体"/>
          <w:color w:val="auto"/>
          <w:sz w:val="24"/>
          <w:highlight w:val="none"/>
        </w:rPr>
        <w:t>　</w:t>
      </w:r>
      <w:r>
        <w:rPr>
          <w:rFonts w:hint="eastAsia" w:ascii="宋体" w:hAnsi="宋体"/>
          <w:b/>
          <w:bCs/>
          <w:color w:val="auto"/>
          <w:sz w:val="24"/>
          <w:szCs w:val="18"/>
          <w:highlight w:val="none"/>
        </w:rPr>
        <w:t>二、双方一般权利和义务</w:t>
      </w:r>
    </w:p>
    <w:p w14:paraId="13CADA9E">
      <w:pPr>
        <w:spacing w:line="500" w:lineRule="exact"/>
        <w:ind w:firstLine="482" w:firstLineChars="200"/>
        <w:rPr>
          <w:rFonts w:ascii="宋体" w:hAnsi="宋体"/>
          <w:b/>
          <w:bCs/>
          <w:color w:val="auto"/>
          <w:sz w:val="24"/>
          <w:szCs w:val="18"/>
          <w:highlight w:val="none"/>
        </w:rPr>
      </w:pPr>
      <w:r>
        <w:rPr>
          <w:rFonts w:hint="eastAsia" w:ascii="宋体" w:hAnsi="宋体"/>
          <w:b/>
          <w:bCs/>
          <w:color w:val="auto"/>
          <w:sz w:val="24"/>
          <w:szCs w:val="18"/>
          <w:highlight w:val="none"/>
        </w:rPr>
        <w:t>4、工程师</w:t>
      </w:r>
      <w:r>
        <w:rPr>
          <w:rFonts w:hint="eastAsia" w:ascii="宋体" w:hAnsi="宋体"/>
          <w:color w:val="auto"/>
          <w:sz w:val="24"/>
          <w:szCs w:val="18"/>
          <w:highlight w:val="none"/>
        </w:rPr>
        <w:br w:type="textWrapping"/>
      </w:r>
      <w:r>
        <w:rPr>
          <w:rFonts w:hint="eastAsia" w:ascii="宋体" w:hAnsi="宋体"/>
          <w:color w:val="auto"/>
          <w:sz w:val="24"/>
          <w:szCs w:val="18"/>
          <w:highlight w:val="none"/>
        </w:rPr>
        <w:t>　　</w:t>
      </w:r>
      <w:r>
        <w:rPr>
          <w:rFonts w:hint="eastAsia" w:ascii="宋体" w:hAnsi="宋体"/>
          <w:color w:val="auto"/>
          <w:sz w:val="24"/>
          <w:highlight w:val="none"/>
        </w:rPr>
        <w:t>4.1实行工程监理的，发包人应在实施监理前将委托的监理单位名称、监理内容及监理权限通知承包人。</w:t>
      </w:r>
      <w:r>
        <w:rPr>
          <w:rFonts w:hint="eastAsia" w:ascii="宋体" w:hAnsi="宋体"/>
          <w:color w:val="auto"/>
          <w:sz w:val="24"/>
          <w:highlight w:val="none"/>
        </w:rPr>
        <w:br w:type="textWrapping"/>
      </w:r>
      <w:r>
        <w:rPr>
          <w:rFonts w:hint="eastAsia" w:ascii="宋体" w:hAnsi="宋体"/>
          <w:color w:val="auto"/>
          <w:sz w:val="24"/>
          <w:highlight w:val="none"/>
        </w:rPr>
        <w:t>　　4.2监理单位委派的总监理工程师在本合同中称工程师，其姓名、职务、职权由发包人、承包人在专用条款内写明。</w:t>
      </w:r>
      <w:r>
        <w:rPr>
          <w:rFonts w:hint="eastAsia" w:ascii="宋体" w:hAnsi="宋体"/>
          <w:color w:val="auto"/>
          <w:sz w:val="24"/>
          <w:highlight w:val="none"/>
        </w:rPr>
        <w:br w:type="textWrapping"/>
      </w:r>
      <w:r>
        <w:rPr>
          <w:rFonts w:hint="eastAsia" w:ascii="宋体" w:hAnsi="宋体"/>
          <w:color w:val="auto"/>
          <w:sz w:val="24"/>
          <w:highlight w:val="none"/>
        </w:rPr>
        <w:t xml:space="preserve">　　4.3发包人派驻施工场地履行合同的代表在本合同中也称工程师，其姓名、职务、职权由发包人在专用条款内写明，但职权不得与监理单位委派的总监理工程师职权相互交叉。双方职权发生交叉或不明确时，由发包人予以明确，并通知承包人。 </w:t>
      </w:r>
      <w:r>
        <w:rPr>
          <w:rFonts w:hint="eastAsia" w:ascii="宋体" w:hAnsi="宋体"/>
          <w:color w:val="auto"/>
          <w:sz w:val="24"/>
          <w:highlight w:val="none"/>
        </w:rPr>
        <w:br w:type="textWrapping"/>
      </w:r>
      <w:r>
        <w:rPr>
          <w:rFonts w:hint="eastAsia" w:ascii="宋体" w:hAnsi="宋体"/>
          <w:color w:val="auto"/>
          <w:sz w:val="24"/>
          <w:highlight w:val="none"/>
        </w:rPr>
        <w:t>　　4.4合同履行中，发生影响发包人承包人双方权利或义务的事件时，负责监理的工程师应依据合同在其职权范围内客观公正地进行处理。</w:t>
      </w:r>
      <w:r>
        <w:rPr>
          <w:rFonts w:hint="eastAsia" w:ascii="宋体" w:hAnsi="宋体"/>
          <w:color w:val="auto"/>
          <w:sz w:val="24"/>
          <w:highlight w:val="none"/>
        </w:rPr>
        <w:br w:type="textWrapping"/>
      </w:r>
      <w:r>
        <w:rPr>
          <w:rFonts w:hint="eastAsia" w:ascii="宋体" w:hAnsi="宋体"/>
          <w:color w:val="auto"/>
          <w:sz w:val="24"/>
          <w:highlight w:val="none"/>
        </w:rPr>
        <w:t>　　4.5除合同内有明确约定或经发包人同意外，负责监理的工程师无权解除本合同约定的承包人的任何权利与义务。</w:t>
      </w:r>
      <w:r>
        <w:rPr>
          <w:rFonts w:hint="eastAsia" w:ascii="宋体" w:hAnsi="宋体"/>
          <w:color w:val="auto"/>
          <w:sz w:val="24"/>
          <w:highlight w:val="none"/>
        </w:rPr>
        <w:br w:type="textWrapping"/>
      </w:r>
      <w:r>
        <w:rPr>
          <w:rFonts w:hint="eastAsia" w:ascii="宋体" w:hAnsi="宋体"/>
          <w:color w:val="auto"/>
          <w:sz w:val="24"/>
          <w:highlight w:val="none"/>
        </w:rPr>
        <w:t>　</w:t>
      </w:r>
      <w:r>
        <w:rPr>
          <w:rFonts w:hint="eastAsia" w:ascii="宋体" w:hAnsi="宋体"/>
          <w:b/>
          <w:bCs/>
          <w:color w:val="auto"/>
          <w:sz w:val="24"/>
          <w:szCs w:val="18"/>
          <w:highlight w:val="none"/>
        </w:rPr>
        <w:t>　5、项目经理</w:t>
      </w:r>
      <w:r>
        <w:rPr>
          <w:rFonts w:hint="eastAsia" w:ascii="宋体" w:hAnsi="宋体"/>
          <w:color w:val="auto"/>
          <w:sz w:val="24"/>
          <w:szCs w:val="18"/>
          <w:highlight w:val="none"/>
        </w:rPr>
        <w:br w:type="textWrapping"/>
      </w:r>
      <w:r>
        <w:rPr>
          <w:rFonts w:hint="eastAsia" w:ascii="宋体" w:hAnsi="宋体"/>
          <w:color w:val="auto"/>
          <w:sz w:val="24"/>
          <w:szCs w:val="18"/>
          <w:highlight w:val="none"/>
        </w:rPr>
        <w:t>　　</w:t>
      </w:r>
      <w:r>
        <w:rPr>
          <w:rFonts w:hint="eastAsia" w:ascii="宋体" w:hAnsi="宋体"/>
          <w:color w:val="auto"/>
          <w:sz w:val="24"/>
          <w:highlight w:val="none"/>
        </w:rPr>
        <w:t>5.1项目经理的姓名、职务在专用条款内写明。</w:t>
      </w:r>
      <w:r>
        <w:rPr>
          <w:rFonts w:hint="eastAsia" w:ascii="宋体" w:hAnsi="宋体"/>
          <w:color w:val="auto"/>
          <w:sz w:val="24"/>
          <w:highlight w:val="none"/>
        </w:rPr>
        <w:br w:type="textWrapping"/>
      </w:r>
      <w:r>
        <w:rPr>
          <w:rFonts w:hint="eastAsia" w:ascii="宋体" w:hAnsi="宋体"/>
          <w:color w:val="auto"/>
          <w:sz w:val="24"/>
          <w:highlight w:val="none"/>
        </w:rPr>
        <w:t>　　5.2承包人依据合同发出的通知，以书面形式由项目经理签字后送交工程师，工程师在回执上签署姓名和收到时间后生效。</w:t>
      </w:r>
      <w:r>
        <w:rPr>
          <w:rFonts w:hint="eastAsia" w:ascii="宋体" w:hAnsi="宋体"/>
          <w:color w:val="auto"/>
          <w:sz w:val="24"/>
          <w:highlight w:val="none"/>
        </w:rPr>
        <w:br w:type="textWrapping"/>
      </w:r>
      <w:r>
        <w:rPr>
          <w:rFonts w:hint="eastAsia" w:ascii="宋体" w:hAnsi="宋体"/>
          <w:color w:val="auto"/>
          <w:sz w:val="24"/>
          <w:highlight w:val="none"/>
        </w:rPr>
        <w:t>　　5.3项目经理按发包人认可的施工组织设计(施工方案)和工程师依据合同发出的指令组织施工。在情况紧急且无法与工程师联系时，项目经理应当采取保证人员生命和工程、财产安全的紧急措施，并在采取措施后48小时内向工程师送交报告。责任在发包人或第三人，由发包人承担由此发生的追加合同价款，相应顺延工期；责任在承包人，由承包人承担费用，不顺延工期。</w:t>
      </w:r>
      <w:r>
        <w:rPr>
          <w:rFonts w:hint="eastAsia" w:ascii="宋体" w:hAnsi="宋体"/>
          <w:color w:val="auto"/>
          <w:sz w:val="24"/>
          <w:highlight w:val="none"/>
        </w:rPr>
        <w:br w:type="textWrapping"/>
      </w:r>
      <w:r>
        <w:rPr>
          <w:rFonts w:hint="eastAsia" w:ascii="宋体" w:hAnsi="宋体"/>
          <w:color w:val="auto"/>
          <w:sz w:val="24"/>
          <w:highlight w:val="none"/>
        </w:rPr>
        <w:t>　　5.4承包人如需要更换项目经理，应至少提前7天以书面形式通知发包人，并征得发包人同意。后任继续行使合同文件约定的前任的职权，履行前任的义务。</w:t>
      </w:r>
      <w:r>
        <w:rPr>
          <w:rFonts w:hint="eastAsia" w:ascii="宋体" w:hAnsi="宋体"/>
          <w:color w:val="auto"/>
          <w:sz w:val="24"/>
          <w:highlight w:val="none"/>
        </w:rPr>
        <w:br w:type="textWrapping"/>
      </w:r>
      <w:r>
        <w:rPr>
          <w:rFonts w:hint="eastAsia" w:ascii="宋体" w:hAnsi="宋体"/>
          <w:color w:val="auto"/>
          <w:sz w:val="24"/>
          <w:highlight w:val="none"/>
        </w:rPr>
        <w:t>　　5.5发包人可以与承包人协商，建议更换其认为不称职的项目经理。</w:t>
      </w:r>
      <w:r>
        <w:rPr>
          <w:rFonts w:hint="eastAsia" w:ascii="宋体" w:hAnsi="宋体"/>
          <w:color w:val="auto"/>
          <w:sz w:val="24"/>
          <w:highlight w:val="none"/>
        </w:rPr>
        <w:br w:type="textWrapping"/>
      </w:r>
      <w:r>
        <w:rPr>
          <w:rFonts w:hint="eastAsia" w:ascii="宋体" w:hAnsi="宋体"/>
          <w:b/>
          <w:bCs/>
          <w:color w:val="auto"/>
          <w:sz w:val="24"/>
          <w:szCs w:val="18"/>
          <w:highlight w:val="none"/>
        </w:rPr>
        <w:t>　　6、发包人工作</w:t>
      </w:r>
      <w:r>
        <w:rPr>
          <w:rFonts w:hint="eastAsia" w:ascii="宋体" w:hAnsi="宋体"/>
          <w:color w:val="auto"/>
          <w:sz w:val="24"/>
          <w:szCs w:val="18"/>
          <w:highlight w:val="none"/>
        </w:rPr>
        <w:br w:type="textWrapping"/>
      </w:r>
      <w:r>
        <w:rPr>
          <w:rFonts w:hint="eastAsia" w:ascii="宋体" w:hAnsi="宋体"/>
          <w:color w:val="auto"/>
          <w:sz w:val="24"/>
          <w:szCs w:val="18"/>
          <w:highlight w:val="none"/>
        </w:rPr>
        <w:t>　　6.1</w:t>
      </w:r>
      <w:r>
        <w:rPr>
          <w:rFonts w:hint="eastAsia" w:ascii="宋体" w:hAnsi="宋体"/>
          <w:color w:val="auto"/>
          <w:sz w:val="24"/>
          <w:highlight w:val="none"/>
        </w:rPr>
        <w:t>组织承包人和设计单位进行图纸会审和设计交底；</w:t>
      </w:r>
      <w:r>
        <w:rPr>
          <w:rFonts w:hint="eastAsia" w:ascii="宋体" w:hAnsi="宋体"/>
          <w:color w:val="auto"/>
          <w:sz w:val="24"/>
          <w:highlight w:val="none"/>
        </w:rPr>
        <w:br w:type="textWrapping"/>
      </w:r>
      <w:r>
        <w:rPr>
          <w:rFonts w:hint="eastAsia" w:ascii="宋体" w:hAnsi="宋体"/>
          <w:color w:val="auto"/>
          <w:sz w:val="24"/>
          <w:highlight w:val="none"/>
        </w:rPr>
        <w:t>　</w:t>
      </w:r>
      <w:r>
        <w:rPr>
          <w:rFonts w:hint="eastAsia" w:ascii="宋体" w:hAnsi="宋体"/>
          <w:b/>
          <w:bCs/>
          <w:color w:val="auto"/>
          <w:sz w:val="24"/>
          <w:szCs w:val="18"/>
          <w:highlight w:val="none"/>
        </w:rPr>
        <w:t xml:space="preserve">　7、承包人工作 </w:t>
      </w:r>
      <w:r>
        <w:rPr>
          <w:rFonts w:hint="eastAsia" w:ascii="宋体" w:hAnsi="宋体"/>
          <w:color w:val="auto"/>
          <w:sz w:val="24"/>
          <w:szCs w:val="18"/>
          <w:highlight w:val="none"/>
        </w:rPr>
        <w:br w:type="textWrapping"/>
      </w:r>
      <w:r>
        <w:rPr>
          <w:rFonts w:hint="eastAsia" w:ascii="宋体" w:hAnsi="宋体"/>
          <w:color w:val="auto"/>
          <w:sz w:val="24"/>
          <w:szCs w:val="18"/>
          <w:highlight w:val="none"/>
        </w:rPr>
        <w:t>　</w:t>
      </w:r>
      <w:r>
        <w:rPr>
          <w:rFonts w:hint="eastAsia" w:ascii="宋体" w:hAnsi="宋体"/>
          <w:color w:val="auto"/>
          <w:sz w:val="24"/>
          <w:highlight w:val="none"/>
        </w:rPr>
        <w:t xml:space="preserve">　7.1承包人按专用条款约定的内容和时间完成以下工作： </w:t>
      </w:r>
      <w:r>
        <w:rPr>
          <w:rFonts w:hint="eastAsia" w:ascii="宋体" w:hAnsi="宋体"/>
          <w:color w:val="auto"/>
          <w:sz w:val="24"/>
          <w:highlight w:val="none"/>
        </w:rPr>
        <w:br w:type="textWrapping"/>
      </w:r>
      <w:r>
        <w:rPr>
          <w:rFonts w:hint="eastAsia" w:ascii="宋体" w:hAnsi="宋体"/>
          <w:color w:val="auto"/>
          <w:sz w:val="24"/>
          <w:highlight w:val="none"/>
        </w:rPr>
        <w:t xml:space="preserve">　　(1)根据发包人委托，在其设计资质等级和业务允许的范围内，完成施工图设计或与工程配套的设计，经工程师确认后使用； </w:t>
      </w:r>
      <w:r>
        <w:rPr>
          <w:rFonts w:hint="eastAsia" w:ascii="宋体" w:hAnsi="宋体"/>
          <w:color w:val="auto"/>
          <w:sz w:val="24"/>
          <w:highlight w:val="none"/>
        </w:rPr>
        <w:br w:type="textWrapping"/>
      </w:r>
      <w:r>
        <w:rPr>
          <w:rFonts w:hint="eastAsia" w:ascii="宋体" w:hAnsi="宋体"/>
          <w:color w:val="auto"/>
          <w:sz w:val="24"/>
          <w:highlight w:val="none"/>
        </w:rPr>
        <w:t xml:space="preserve">　　(2)向工程师提供周、月度工程进度计划及相应进度统计报表； </w:t>
      </w:r>
      <w:r>
        <w:rPr>
          <w:rFonts w:hint="eastAsia" w:ascii="宋体" w:hAnsi="宋体"/>
          <w:color w:val="auto"/>
          <w:sz w:val="24"/>
          <w:highlight w:val="none"/>
        </w:rPr>
        <w:br w:type="textWrapping"/>
      </w:r>
      <w:r>
        <w:rPr>
          <w:rFonts w:hint="eastAsia" w:ascii="宋体" w:hAnsi="宋体"/>
          <w:color w:val="auto"/>
          <w:sz w:val="24"/>
          <w:highlight w:val="none"/>
        </w:rPr>
        <w:t xml:space="preserve">　　(3)根据工程需要，提供和维修非夜间施工使用的照明、围栏设施，并负责安全保卫； </w:t>
      </w:r>
      <w:r>
        <w:rPr>
          <w:rFonts w:hint="eastAsia" w:ascii="宋体" w:hAnsi="宋体"/>
          <w:color w:val="auto"/>
          <w:sz w:val="24"/>
          <w:highlight w:val="none"/>
        </w:rPr>
        <w:br w:type="textWrapping"/>
      </w:r>
      <w:r>
        <w:rPr>
          <w:rFonts w:hint="eastAsia" w:ascii="宋体" w:hAnsi="宋体"/>
          <w:color w:val="auto"/>
          <w:sz w:val="24"/>
          <w:highlight w:val="none"/>
        </w:rPr>
        <w:t xml:space="preserve">　  (4)遵守政府有关主管部门对施工场地交通、施工噪音以及环境保护和安全生产等的管理规定，按规定办理有关手续； </w:t>
      </w:r>
      <w:r>
        <w:rPr>
          <w:rFonts w:hint="eastAsia" w:ascii="宋体" w:hAnsi="宋体"/>
          <w:color w:val="auto"/>
          <w:sz w:val="24"/>
          <w:highlight w:val="none"/>
        </w:rPr>
        <w:br w:type="textWrapping"/>
      </w:r>
      <w:r>
        <w:rPr>
          <w:rFonts w:hint="eastAsia" w:ascii="宋体" w:hAnsi="宋体"/>
          <w:color w:val="auto"/>
          <w:sz w:val="24"/>
          <w:highlight w:val="none"/>
        </w:rPr>
        <w:t xml:space="preserve">　　(6)已竣工工程未交付发包人之前，承包人按专用条款约定负责已完工程的保护工作，保护期间发生损坏，承包人自费予以修复； </w:t>
      </w:r>
      <w:r>
        <w:rPr>
          <w:rFonts w:hint="eastAsia" w:ascii="宋体" w:hAnsi="宋体"/>
          <w:color w:val="auto"/>
          <w:sz w:val="24"/>
          <w:highlight w:val="none"/>
        </w:rPr>
        <w:br w:type="textWrapping"/>
      </w:r>
      <w:r>
        <w:rPr>
          <w:rFonts w:hint="eastAsia" w:ascii="宋体" w:hAnsi="宋体"/>
          <w:color w:val="auto"/>
          <w:sz w:val="24"/>
          <w:highlight w:val="none"/>
        </w:rPr>
        <w:t xml:space="preserve">　　(7)按专用条款约定做好施工场地地下管线和邻近建筑物、构筑物(包括文物保护建筑)、古树名木的保护工作； </w:t>
      </w:r>
      <w:r>
        <w:rPr>
          <w:rFonts w:hint="eastAsia" w:ascii="宋体" w:hAnsi="宋体"/>
          <w:color w:val="auto"/>
          <w:sz w:val="24"/>
          <w:highlight w:val="none"/>
        </w:rPr>
        <w:br w:type="textWrapping"/>
      </w:r>
      <w:r>
        <w:rPr>
          <w:rFonts w:hint="eastAsia" w:ascii="宋体" w:hAnsi="宋体"/>
          <w:color w:val="auto"/>
          <w:sz w:val="24"/>
          <w:highlight w:val="none"/>
        </w:rPr>
        <w:t xml:space="preserve">　　(8)保证施工场地清洁符合环境卫生管理的有关规定，交工前清理现场达到专用条款约定的要求，承担因自身原因违反有关规定造成的损失和罚款； </w:t>
      </w:r>
      <w:r>
        <w:rPr>
          <w:rFonts w:hint="eastAsia" w:ascii="宋体" w:hAnsi="宋体"/>
          <w:color w:val="auto"/>
          <w:sz w:val="24"/>
          <w:highlight w:val="none"/>
        </w:rPr>
        <w:br w:type="textWrapping"/>
      </w:r>
      <w:r>
        <w:rPr>
          <w:rFonts w:hint="eastAsia" w:ascii="宋体" w:hAnsi="宋体"/>
          <w:b/>
          <w:bCs/>
          <w:color w:val="auto"/>
          <w:sz w:val="24"/>
          <w:szCs w:val="18"/>
          <w:highlight w:val="none"/>
        </w:rPr>
        <w:t xml:space="preserve">三、施工组织设计和工期 </w:t>
      </w:r>
    </w:p>
    <w:p w14:paraId="36596349">
      <w:pPr>
        <w:spacing w:line="500" w:lineRule="exact"/>
        <w:ind w:firstLine="472" w:firstLineChars="196"/>
        <w:rPr>
          <w:rFonts w:ascii="宋体" w:hAnsi="宋体"/>
          <w:color w:val="auto"/>
          <w:sz w:val="24"/>
          <w:szCs w:val="18"/>
          <w:highlight w:val="none"/>
        </w:rPr>
      </w:pPr>
      <w:r>
        <w:rPr>
          <w:rFonts w:hint="eastAsia" w:ascii="宋体" w:hAnsi="宋体"/>
          <w:b/>
          <w:bCs/>
          <w:color w:val="auto"/>
          <w:sz w:val="24"/>
          <w:szCs w:val="18"/>
          <w:highlight w:val="none"/>
        </w:rPr>
        <w:t xml:space="preserve">8、进度计划 </w:t>
      </w:r>
      <w:r>
        <w:rPr>
          <w:rFonts w:hint="eastAsia" w:ascii="宋体" w:hAnsi="宋体"/>
          <w:color w:val="auto"/>
          <w:sz w:val="24"/>
          <w:szCs w:val="18"/>
          <w:highlight w:val="none"/>
        </w:rPr>
        <w:br w:type="textWrapping"/>
      </w:r>
      <w:r>
        <w:rPr>
          <w:rFonts w:hint="eastAsia" w:ascii="宋体" w:hAnsi="宋体"/>
          <w:color w:val="auto"/>
          <w:sz w:val="24"/>
          <w:szCs w:val="18"/>
          <w:highlight w:val="none"/>
        </w:rPr>
        <w:t>　</w:t>
      </w:r>
      <w:r>
        <w:rPr>
          <w:rFonts w:hint="eastAsia" w:ascii="宋体" w:hAnsi="宋体"/>
          <w:color w:val="auto"/>
          <w:sz w:val="24"/>
          <w:highlight w:val="none"/>
        </w:rPr>
        <w:t xml:space="preserve">　8.1承包人应按约定的日期，将施工组织设计和工程进度计划提交修改意见，逾期不确认也不提出书面意见的，视为同意。 </w:t>
      </w:r>
      <w:r>
        <w:rPr>
          <w:rFonts w:hint="eastAsia" w:ascii="宋体" w:hAnsi="宋体"/>
          <w:color w:val="auto"/>
          <w:sz w:val="24"/>
          <w:highlight w:val="none"/>
        </w:rPr>
        <w:br w:type="textWrapping"/>
      </w:r>
      <w:r>
        <w:rPr>
          <w:rFonts w:hint="eastAsia" w:ascii="宋体" w:hAnsi="宋体"/>
          <w:color w:val="auto"/>
          <w:sz w:val="24"/>
          <w:highlight w:val="none"/>
        </w:rPr>
        <w:t xml:space="preserve">　　8.2承包人必须按工程师确认的进度计划组织施工，接受工程师对进度的检查、监督。工程实际进度与经确认的进度计划不符时，承包人应按工程师的要求提出改进措施，经工程师确认后执行。因承包人的原因导致实际进度与进度计划不符，承包人无权就改进措施提出追加合同价款。 </w:t>
      </w:r>
      <w:r>
        <w:rPr>
          <w:rFonts w:hint="eastAsia" w:ascii="宋体" w:hAnsi="宋体"/>
          <w:color w:val="auto"/>
          <w:sz w:val="24"/>
          <w:highlight w:val="none"/>
        </w:rPr>
        <w:br w:type="textWrapping"/>
      </w:r>
      <w:r>
        <w:rPr>
          <w:rFonts w:hint="eastAsia" w:ascii="宋体" w:hAnsi="宋体"/>
          <w:b/>
          <w:bCs/>
          <w:color w:val="auto"/>
          <w:sz w:val="24"/>
          <w:szCs w:val="18"/>
          <w:highlight w:val="none"/>
        </w:rPr>
        <w:t>　　9、开工及延期开工</w:t>
      </w:r>
      <w:r>
        <w:rPr>
          <w:rFonts w:hint="eastAsia" w:ascii="宋体" w:hAnsi="宋体"/>
          <w:color w:val="auto"/>
          <w:sz w:val="24"/>
          <w:szCs w:val="18"/>
          <w:highlight w:val="none"/>
        </w:rPr>
        <w:t xml:space="preserve"> </w:t>
      </w:r>
    </w:p>
    <w:p w14:paraId="0A22830B">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9</w:t>
      </w:r>
      <w:r>
        <w:rPr>
          <w:rFonts w:ascii="宋体" w:hAnsi="宋体"/>
          <w:color w:val="auto"/>
          <w:sz w:val="24"/>
          <w:highlight w:val="none"/>
        </w:rPr>
        <w:t>.1</w:t>
      </w:r>
      <w:r>
        <w:rPr>
          <w:rFonts w:hint="eastAsia" w:ascii="宋体" w:hAnsi="宋体"/>
          <w:color w:val="auto"/>
          <w:sz w:val="24"/>
          <w:highlight w:val="none"/>
        </w:rPr>
        <w:t>承包人应当按照约定的开工日期开工。</w:t>
      </w:r>
      <w:r>
        <w:rPr>
          <w:rFonts w:hint="eastAsia" w:ascii="宋体" w:hAnsi="宋体"/>
          <w:color w:val="auto"/>
          <w:sz w:val="24"/>
          <w:szCs w:val="18"/>
          <w:highlight w:val="none"/>
        </w:rPr>
        <w:br w:type="textWrapping"/>
      </w:r>
      <w:r>
        <w:rPr>
          <w:rFonts w:hint="eastAsia" w:ascii="宋体" w:hAnsi="宋体"/>
          <w:color w:val="auto"/>
          <w:sz w:val="24"/>
          <w:szCs w:val="18"/>
          <w:highlight w:val="none"/>
        </w:rPr>
        <w:t>　</w:t>
      </w:r>
      <w:r>
        <w:rPr>
          <w:rFonts w:hint="eastAsia" w:ascii="宋体" w:hAnsi="宋体"/>
          <w:b/>
          <w:bCs/>
          <w:color w:val="auto"/>
          <w:sz w:val="24"/>
          <w:szCs w:val="18"/>
          <w:highlight w:val="none"/>
        </w:rPr>
        <w:t xml:space="preserve">　10、暂停施工 </w:t>
      </w:r>
      <w:r>
        <w:rPr>
          <w:rFonts w:hint="eastAsia" w:ascii="宋体" w:hAnsi="宋体"/>
          <w:color w:val="auto"/>
          <w:sz w:val="24"/>
          <w:szCs w:val="18"/>
          <w:highlight w:val="none"/>
        </w:rPr>
        <w:br w:type="textWrapping"/>
      </w:r>
      <w:r>
        <w:rPr>
          <w:rFonts w:hint="eastAsia" w:ascii="宋体" w:hAnsi="宋体"/>
          <w:color w:val="auto"/>
          <w:sz w:val="24"/>
          <w:szCs w:val="18"/>
          <w:highlight w:val="none"/>
        </w:rPr>
        <w:t>　</w:t>
      </w:r>
      <w:r>
        <w:rPr>
          <w:rFonts w:hint="eastAsia" w:ascii="宋体" w:hAnsi="宋体"/>
          <w:color w:val="auto"/>
          <w:sz w:val="24"/>
          <w:highlight w:val="none"/>
        </w:rPr>
        <w:t xml:space="preserve">　工程师认为确有必要暂停施工时，应当以书面形式要求承包人暂停施工，并在提出要求后48小时内提出书面处理意见。承包人应当按工程师要求停止施工，并妥善保护已完工程。承包人实施工程师作出的处理意见后，可以书面形式提出复工要求，工程师应当在48小时内给予答复。工程师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 </w:t>
      </w:r>
      <w:r>
        <w:rPr>
          <w:rFonts w:hint="eastAsia" w:ascii="宋体" w:hAnsi="宋体"/>
          <w:color w:val="auto"/>
          <w:sz w:val="24"/>
          <w:highlight w:val="none"/>
        </w:rPr>
        <w:br w:type="textWrapping"/>
      </w:r>
      <w:r>
        <w:rPr>
          <w:rFonts w:hint="eastAsia" w:ascii="宋体" w:hAnsi="宋体"/>
          <w:color w:val="auto"/>
          <w:sz w:val="24"/>
          <w:szCs w:val="18"/>
          <w:highlight w:val="none"/>
        </w:rPr>
        <w:t>　</w:t>
      </w:r>
      <w:r>
        <w:rPr>
          <w:rFonts w:hint="eastAsia" w:ascii="宋体" w:hAnsi="宋体"/>
          <w:b/>
          <w:bCs/>
          <w:color w:val="auto"/>
          <w:sz w:val="24"/>
          <w:szCs w:val="18"/>
          <w:highlight w:val="none"/>
        </w:rPr>
        <w:t xml:space="preserve">　11、工期延误 </w:t>
      </w:r>
      <w:r>
        <w:rPr>
          <w:rFonts w:hint="eastAsia" w:ascii="宋体" w:hAnsi="宋体"/>
          <w:color w:val="auto"/>
          <w:sz w:val="24"/>
          <w:szCs w:val="18"/>
          <w:highlight w:val="none"/>
        </w:rPr>
        <w:br w:type="textWrapping"/>
      </w:r>
      <w:r>
        <w:rPr>
          <w:rFonts w:hint="eastAsia" w:ascii="宋体" w:hAnsi="宋体"/>
          <w:color w:val="auto"/>
          <w:sz w:val="24"/>
          <w:szCs w:val="18"/>
          <w:highlight w:val="none"/>
        </w:rPr>
        <w:t>　　</w:t>
      </w:r>
      <w:r>
        <w:rPr>
          <w:rFonts w:hint="eastAsia" w:ascii="宋体" w:hAnsi="宋体"/>
          <w:color w:val="auto"/>
          <w:sz w:val="24"/>
          <w:highlight w:val="none"/>
        </w:rPr>
        <w:t xml:space="preserve">11.1因以下原因造成工期延误，经工程师确认，工期相应顺延： </w:t>
      </w:r>
      <w:r>
        <w:rPr>
          <w:rFonts w:hint="eastAsia" w:ascii="宋体" w:hAnsi="宋体"/>
          <w:color w:val="auto"/>
          <w:sz w:val="24"/>
          <w:highlight w:val="none"/>
        </w:rPr>
        <w:br w:type="textWrapping"/>
      </w:r>
      <w:r>
        <w:rPr>
          <w:rFonts w:hint="eastAsia" w:ascii="宋体" w:hAnsi="宋体"/>
          <w:color w:val="auto"/>
          <w:sz w:val="24"/>
          <w:highlight w:val="none"/>
        </w:rPr>
        <w:t xml:space="preserve">　　(1)发包人未能按约定日期支付工程预付款、进度款，致使施工不能正常进行； </w:t>
      </w:r>
      <w:r>
        <w:rPr>
          <w:rFonts w:hint="eastAsia" w:ascii="宋体" w:hAnsi="宋体"/>
          <w:color w:val="auto"/>
          <w:sz w:val="24"/>
          <w:highlight w:val="none"/>
        </w:rPr>
        <w:br w:type="textWrapping"/>
      </w:r>
      <w:r>
        <w:rPr>
          <w:rFonts w:hint="eastAsia" w:ascii="宋体" w:hAnsi="宋体"/>
          <w:color w:val="auto"/>
          <w:sz w:val="24"/>
          <w:highlight w:val="none"/>
        </w:rPr>
        <w:t xml:space="preserve">　　(2)工程师未按合同约定提供所需指令、批准等，致使施工不能正常进行； </w:t>
      </w:r>
      <w:r>
        <w:rPr>
          <w:rFonts w:hint="eastAsia" w:ascii="宋体" w:hAnsi="宋体"/>
          <w:color w:val="auto"/>
          <w:sz w:val="24"/>
          <w:highlight w:val="none"/>
        </w:rPr>
        <w:br w:type="textWrapping"/>
      </w:r>
      <w:r>
        <w:rPr>
          <w:rFonts w:hint="eastAsia" w:ascii="宋体" w:hAnsi="宋体"/>
          <w:color w:val="auto"/>
          <w:sz w:val="24"/>
          <w:highlight w:val="none"/>
        </w:rPr>
        <w:t xml:space="preserve">　　(3)设计变更和工程量增加； </w:t>
      </w:r>
      <w:r>
        <w:rPr>
          <w:rFonts w:hint="eastAsia" w:ascii="宋体" w:hAnsi="宋体"/>
          <w:color w:val="auto"/>
          <w:sz w:val="24"/>
          <w:highlight w:val="none"/>
        </w:rPr>
        <w:br w:type="textWrapping"/>
      </w:r>
      <w:r>
        <w:rPr>
          <w:rFonts w:hint="eastAsia" w:ascii="宋体" w:hAnsi="宋体"/>
          <w:color w:val="auto"/>
          <w:sz w:val="24"/>
          <w:highlight w:val="none"/>
        </w:rPr>
        <w:t xml:space="preserve">　　(4)不可抗力； </w:t>
      </w:r>
      <w:r>
        <w:rPr>
          <w:rFonts w:hint="eastAsia" w:ascii="宋体" w:hAnsi="宋体"/>
          <w:color w:val="auto"/>
          <w:sz w:val="24"/>
          <w:highlight w:val="none"/>
        </w:rPr>
        <w:br w:type="textWrapping"/>
      </w:r>
      <w:r>
        <w:rPr>
          <w:rFonts w:hint="eastAsia" w:ascii="宋体" w:hAnsi="宋体"/>
          <w:color w:val="auto"/>
          <w:sz w:val="24"/>
          <w:highlight w:val="none"/>
        </w:rPr>
        <w:t xml:space="preserve">　　(5)专用条款中约定或工程师同意工期顺延的其他情况。 </w:t>
      </w:r>
      <w:r>
        <w:rPr>
          <w:rFonts w:hint="eastAsia" w:ascii="宋体" w:hAnsi="宋体"/>
          <w:color w:val="auto"/>
          <w:sz w:val="24"/>
          <w:highlight w:val="none"/>
        </w:rPr>
        <w:br w:type="textWrapping"/>
      </w:r>
      <w:r>
        <w:rPr>
          <w:rFonts w:hint="eastAsia" w:ascii="宋体" w:hAnsi="宋体"/>
          <w:color w:val="auto"/>
          <w:sz w:val="24"/>
          <w:highlight w:val="none"/>
        </w:rPr>
        <w:t xml:space="preserve">　　11.2承包人在11.1款情况发生后14天内，就延误的工期以书面形式向工程师提出报告。工程师在收到报告后14天内予以确认，逾期不予确认也不提出修改意见，视为同意顺延工期。 </w:t>
      </w:r>
      <w:r>
        <w:rPr>
          <w:rFonts w:hint="eastAsia" w:ascii="宋体" w:hAnsi="宋体"/>
          <w:color w:val="auto"/>
          <w:sz w:val="24"/>
          <w:highlight w:val="none"/>
        </w:rPr>
        <w:br w:type="textWrapping"/>
      </w:r>
      <w:r>
        <w:rPr>
          <w:rFonts w:hint="eastAsia" w:ascii="宋体" w:hAnsi="宋体"/>
          <w:b/>
          <w:bCs/>
          <w:color w:val="auto"/>
          <w:sz w:val="24"/>
          <w:szCs w:val="18"/>
          <w:highlight w:val="none"/>
        </w:rPr>
        <w:t xml:space="preserve">　　12、工程竣工 </w:t>
      </w:r>
      <w:r>
        <w:rPr>
          <w:rFonts w:hint="eastAsia" w:ascii="宋体" w:hAnsi="宋体"/>
          <w:color w:val="auto"/>
          <w:sz w:val="24"/>
          <w:szCs w:val="18"/>
          <w:highlight w:val="none"/>
        </w:rPr>
        <w:br w:type="textWrapping"/>
      </w:r>
      <w:r>
        <w:rPr>
          <w:rFonts w:hint="eastAsia" w:ascii="宋体" w:hAnsi="宋体"/>
          <w:color w:val="auto"/>
          <w:sz w:val="24"/>
          <w:szCs w:val="18"/>
          <w:highlight w:val="none"/>
        </w:rPr>
        <w:t>　</w:t>
      </w:r>
      <w:r>
        <w:rPr>
          <w:rFonts w:hint="eastAsia" w:ascii="宋体" w:hAnsi="宋体"/>
          <w:color w:val="auto"/>
          <w:sz w:val="24"/>
          <w:highlight w:val="none"/>
        </w:rPr>
        <w:t xml:space="preserve">　12.1承包人必须按照约定的日期或工程师同意顺延的工期竣工。 </w:t>
      </w:r>
      <w:r>
        <w:rPr>
          <w:rFonts w:hint="eastAsia" w:ascii="宋体" w:hAnsi="宋体"/>
          <w:color w:val="auto"/>
          <w:sz w:val="24"/>
          <w:highlight w:val="none"/>
        </w:rPr>
        <w:br w:type="textWrapping"/>
      </w:r>
      <w:r>
        <w:rPr>
          <w:rFonts w:hint="eastAsia" w:ascii="宋体" w:hAnsi="宋体"/>
          <w:color w:val="auto"/>
          <w:sz w:val="24"/>
          <w:highlight w:val="none"/>
        </w:rPr>
        <w:t>　　12.2因承包人原因不能按照约定的日期或工程师同意顺延的工期竣工的，承包人承担违约责任。</w:t>
      </w:r>
    </w:p>
    <w:p w14:paraId="71349B5F">
      <w:pPr>
        <w:spacing w:line="500" w:lineRule="exact"/>
        <w:ind w:firstLine="542" w:firstLineChars="225"/>
        <w:rPr>
          <w:rFonts w:ascii="宋体" w:hAnsi="宋体"/>
          <w:color w:val="auto"/>
          <w:sz w:val="24"/>
          <w:szCs w:val="18"/>
          <w:highlight w:val="none"/>
        </w:rPr>
      </w:pPr>
      <w:r>
        <w:rPr>
          <w:rFonts w:hint="eastAsia" w:ascii="宋体" w:hAnsi="宋体"/>
          <w:b/>
          <w:bCs/>
          <w:color w:val="auto"/>
          <w:sz w:val="24"/>
          <w:szCs w:val="18"/>
          <w:highlight w:val="none"/>
        </w:rPr>
        <w:t>四、质量与检验</w:t>
      </w:r>
      <w:r>
        <w:rPr>
          <w:rFonts w:hint="eastAsia" w:ascii="宋体" w:hAnsi="宋体"/>
          <w:color w:val="auto"/>
          <w:sz w:val="24"/>
          <w:szCs w:val="18"/>
          <w:highlight w:val="none"/>
        </w:rPr>
        <w:br w:type="textWrapping"/>
      </w:r>
      <w:r>
        <w:rPr>
          <w:rFonts w:hint="eastAsia" w:ascii="宋体" w:hAnsi="宋体"/>
          <w:color w:val="auto"/>
          <w:sz w:val="24"/>
          <w:szCs w:val="18"/>
          <w:highlight w:val="none"/>
        </w:rPr>
        <w:t>　</w:t>
      </w:r>
      <w:r>
        <w:rPr>
          <w:rFonts w:hint="eastAsia" w:ascii="宋体" w:hAnsi="宋体"/>
          <w:b/>
          <w:bCs/>
          <w:color w:val="auto"/>
          <w:sz w:val="24"/>
          <w:szCs w:val="18"/>
          <w:highlight w:val="none"/>
        </w:rPr>
        <w:t xml:space="preserve">　13、工程质量 </w:t>
      </w:r>
      <w:r>
        <w:rPr>
          <w:rFonts w:hint="eastAsia" w:ascii="宋体" w:hAnsi="宋体"/>
          <w:color w:val="auto"/>
          <w:sz w:val="24"/>
          <w:szCs w:val="18"/>
          <w:highlight w:val="none"/>
        </w:rPr>
        <w:br w:type="textWrapping"/>
      </w:r>
      <w:r>
        <w:rPr>
          <w:rFonts w:hint="eastAsia" w:ascii="宋体" w:hAnsi="宋体"/>
          <w:color w:val="auto"/>
          <w:sz w:val="24"/>
          <w:szCs w:val="18"/>
          <w:highlight w:val="none"/>
        </w:rPr>
        <w:t>　　</w:t>
      </w:r>
      <w:r>
        <w:rPr>
          <w:rFonts w:hint="eastAsia" w:ascii="宋体" w:hAnsi="宋体"/>
          <w:color w:val="auto"/>
          <w:sz w:val="24"/>
          <w:highlight w:val="none"/>
        </w:rPr>
        <w:t xml:space="preserve">13.1工程质量应当达到协议书约定的质量标准，质量标准的评定以国家或行业的质量检验评定标准为依据。因承包人原因工程质量达不到约定的质量标准，承包人承担违约责任。 </w:t>
      </w:r>
      <w:r>
        <w:rPr>
          <w:rFonts w:hint="eastAsia" w:ascii="宋体" w:hAnsi="宋体"/>
          <w:color w:val="auto"/>
          <w:sz w:val="24"/>
          <w:highlight w:val="none"/>
        </w:rPr>
        <w:br w:type="textWrapping"/>
      </w:r>
      <w:r>
        <w:rPr>
          <w:rFonts w:hint="eastAsia" w:ascii="宋体" w:hAnsi="宋体"/>
          <w:color w:val="auto"/>
          <w:sz w:val="24"/>
          <w:highlight w:val="none"/>
        </w:rPr>
        <w:t xml:space="preserve">　　13.2双方对工程质量有争议，由双方同意的工程质量检测机构鉴定，所需费用及因此造成的损失，由责任方承担。双方均有责任，由双方根据其责任分别承担。 </w:t>
      </w:r>
      <w:r>
        <w:rPr>
          <w:rFonts w:hint="eastAsia" w:ascii="宋体" w:hAnsi="宋体"/>
          <w:color w:val="auto"/>
          <w:sz w:val="24"/>
          <w:szCs w:val="18"/>
          <w:highlight w:val="none"/>
        </w:rPr>
        <w:br w:type="textWrapping"/>
      </w:r>
      <w:r>
        <w:rPr>
          <w:rFonts w:hint="eastAsia" w:ascii="宋体" w:hAnsi="宋体"/>
          <w:b/>
          <w:bCs/>
          <w:color w:val="auto"/>
          <w:sz w:val="24"/>
          <w:szCs w:val="18"/>
          <w:highlight w:val="none"/>
        </w:rPr>
        <w:t xml:space="preserve">　　14、检查和返工 </w:t>
      </w:r>
      <w:r>
        <w:rPr>
          <w:rFonts w:hint="eastAsia" w:ascii="宋体" w:hAnsi="宋体"/>
          <w:color w:val="auto"/>
          <w:sz w:val="24"/>
          <w:szCs w:val="18"/>
          <w:highlight w:val="none"/>
        </w:rPr>
        <w:br w:type="textWrapping"/>
      </w:r>
      <w:r>
        <w:rPr>
          <w:rFonts w:hint="eastAsia" w:ascii="宋体" w:hAnsi="宋体"/>
          <w:color w:val="auto"/>
          <w:sz w:val="24"/>
          <w:szCs w:val="18"/>
          <w:highlight w:val="none"/>
        </w:rPr>
        <w:t>　</w:t>
      </w:r>
      <w:r>
        <w:rPr>
          <w:rFonts w:hint="eastAsia" w:ascii="宋体" w:hAnsi="宋体"/>
          <w:color w:val="auto"/>
          <w:sz w:val="24"/>
          <w:highlight w:val="none"/>
        </w:rPr>
        <w:t xml:space="preserve">　14.1承包人应认真按照标准、规范和设计图纸要求以及工程师依据合同发出的指令施工，随时接受工程师的检查检验，为检查检验提供便利条件。 </w:t>
      </w:r>
      <w:r>
        <w:rPr>
          <w:rFonts w:hint="eastAsia" w:ascii="宋体" w:hAnsi="宋体"/>
          <w:color w:val="auto"/>
          <w:sz w:val="24"/>
          <w:highlight w:val="none"/>
        </w:rPr>
        <w:br w:type="textWrapping"/>
      </w:r>
      <w:r>
        <w:rPr>
          <w:rFonts w:hint="eastAsia" w:ascii="宋体" w:hAnsi="宋体"/>
          <w:color w:val="auto"/>
          <w:sz w:val="24"/>
          <w:highlight w:val="none"/>
        </w:rPr>
        <w:t xml:space="preserve">　　14.2工程质量达不到约定标准的部分，工程师一经发现，应要求承包人拆除和重新施工，承包人应按工程师的要求拆除和重新施工，直到符合约定标准。因承包人原因达不到约定标准，由承包人承担拆除和重新施工的费用，工期不予顺延。 </w:t>
      </w:r>
      <w:r>
        <w:rPr>
          <w:rFonts w:hint="eastAsia" w:ascii="宋体" w:hAnsi="宋体"/>
          <w:color w:val="auto"/>
          <w:sz w:val="24"/>
          <w:highlight w:val="none"/>
        </w:rPr>
        <w:br w:type="textWrapping"/>
      </w:r>
      <w:r>
        <w:rPr>
          <w:rFonts w:hint="eastAsia" w:ascii="宋体" w:hAnsi="宋体"/>
          <w:color w:val="auto"/>
          <w:sz w:val="24"/>
          <w:highlight w:val="none"/>
        </w:rPr>
        <w:t xml:space="preserve">　　14.3工程师的检查检验不应影响施工正常进行。如影响施工正常进行，检查检验不合格时，影响正常施工的费用由承包人承担。除此之外影响正常施工的追加合同价款由发包人承担，相应顺延工期。 </w:t>
      </w:r>
      <w:r>
        <w:rPr>
          <w:rFonts w:hint="eastAsia" w:ascii="宋体" w:hAnsi="宋体"/>
          <w:color w:val="auto"/>
          <w:sz w:val="24"/>
          <w:highlight w:val="none"/>
        </w:rPr>
        <w:br w:type="textWrapping"/>
      </w:r>
      <w:r>
        <w:rPr>
          <w:rFonts w:hint="eastAsia" w:ascii="宋体" w:hAnsi="宋体"/>
          <w:color w:val="auto"/>
          <w:sz w:val="24"/>
          <w:szCs w:val="18"/>
          <w:highlight w:val="none"/>
        </w:rPr>
        <w:t>　　</w:t>
      </w:r>
      <w:r>
        <w:rPr>
          <w:rFonts w:hint="eastAsia" w:ascii="宋体" w:hAnsi="宋体"/>
          <w:b/>
          <w:bCs/>
          <w:color w:val="auto"/>
          <w:sz w:val="24"/>
          <w:szCs w:val="18"/>
          <w:highlight w:val="none"/>
        </w:rPr>
        <w:t xml:space="preserve">15、隐蔽工程和中间验收 </w:t>
      </w:r>
      <w:r>
        <w:rPr>
          <w:rFonts w:hint="eastAsia" w:ascii="宋体" w:hAnsi="宋体"/>
          <w:color w:val="auto"/>
          <w:sz w:val="24"/>
          <w:szCs w:val="18"/>
          <w:highlight w:val="none"/>
        </w:rPr>
        <w:br w:type="textWrapping"/>
      </w:r>
      <w:r>
        <w:rPr>
          <w:rFonts w:hint="eastAsia" w:ascii="宋体" w:hAnsi="宋体"/>
          <w:color w:val="auto"/>
          <w:sz w:val="24"/>
          <w:szCs w:val="18"/>
          <w:highlight w:val="none"/>
        </w:rPr>
        <w:t>　　</w:t>
      </w:r>
      <w:r>
        <w:rPr>
          <w:rFonts w:hint="eastAsia" w:ascii="宋体" w:hAnsi="宋体"/>
          <w:color w:val="auto"/>
          <w:sz w:val="24"/>
          <w:highlight w:val="none"/>
        </w:rPr>
        <w:t xml:space="preserve">15.1工程具备隐蔽条件，承包人进行自检，并在隐蔽或中间验收前48小时以书面形式通知工程师验收。承包人准备验收记录，验收合格，工程师在验收记录上签字后，承包人可进行隐蔽和继续施工。验收不合格，承包人在工程师限定的时间内修改后重新验收。 </w:t>
      </w:r>
      <w:r>
        <w:rPr>
          <w:rFonts w:hint="eastAsia" w:ascii="宋体" w:hAnsi="宋体"/>
          <w:color w:val="auto"/>
          <w:sz w:val="24"/>
          <w:highlight w:val="none"/>
        </w:rPr>
        <w:br w:type="textWrapping"/>
      </w:r>
      <w:r>
        <w:rPr>
          <w:rFonts w:hint="eastAsia" w:ascii="宋体" w:hAnsi="宋体"/>
          <w:color w:val="auto"/>
          <w:sz w:val="24"/>
          <w:highlight w:val="none"/>
        </w:rPr>
        <w:t xml:space="preserve">　　15.2工程师不能按时进行验收，应在验收前24小时以书面形式向承包人提出延期要求，延期不能超过48小时。工程师未能按以上时间提出延期要求，不进行验收，承包人可自行组织验收，工程师应承认验收记录。 </w:t>
      </w:r>
      <w:r>
        <w:rPr>
          <w:rFonts w:hint="eastAsia" w:ascii="宋体" w:hAnsi="宋体"/>
          <w:color w:val="auto"/>
          <w:sz w:val="24"/>
          <w:highlight w:val="none"/>
        </w:rPr>
        <w:br w:type="textWrapping"/>
      </w:r>
      <w:r>
        <w:rPr>
          <w:rFonts w:hint="eastAsia" w:ascii="宋体" w:hAnsi="宋体"/>
          <w:color w:val="auto"/>
          <w:sz w:val="24"/>
          <w:highlight w:val="none"/>
        </w:rPr>
        <w:t xml:space="preserve">　　15.3经工程师验收，工程质量符合标准、规范和设计图纸等要求，验收24小时后，工程师不在验收记录上签字，视为工程师已经认可验收记录，承包人可进行隐蔽或继续施工。 </w:t>
      </w:r>
      <w:r>
        <w:rPr>
          <w:rFonts w:hint="eastAsia" w:ascii="宋体" w:hAnsi="宋体"/>
          <w:color w:val="auto"/>
          <w:sz w:val="24"/>
          <w:highlight w:val="none"/>
        </w:rPr>
        <w:br w:type="textWrapping"/>
      </w:r>
      <w:r>
        <w:rPr>
          <w:rFonts w:hint="eastAsia" w:ascii="宋体" w:hAnsi="宋体"/>
          <w:color w:val="auto"/>
          <w:sz w:val="24"/>
          <w:szCs w:val="18"/>
          <w:highlight w:val="none"/>
        </w:rPr>
        <w:t>　</w:t>
      </w:r>
      <w:r>
        <w:rPr>
          <w:rFonts w:hint="eastAsia" w:ascii="宋体" w:hAnsi="宋体"/>
          <w:b/>
          <w:bCs/>
          <w:color w:val="auto"/>
          <w:sz w:val="24"/>
          <w:szCs w:val="18"/>
          <w:highlight w:val="none"/>
        </w:rPr>
        <w:t xml:space="preserve">　16、重新检验 </w:t>
      </w:r>
      <w:r>
        <w:rPr>
          <w:rFonts w:hint="eastAsia" w:ascii="宋体" w:hAnsi="宋体"/>
          <w:color w:val="auto"/>
          <w:sz w:val="24"/>
          <w:szCs w:val="18"/>
          <w:highlight w:val="none"/>
        </w:rPr>
        <w:br w:type="textWrapping"/>
      </w:r>
      <w:r>
        <w:rPr>
          <w:rFonts w:hint="eastAsia" w:ascii="宋体" w:hAnsi="宋体"/>
          <w:color w:val="auto"/>
          <w:sz w:val="24"/>
          <w:szCs w:val="18"/>
          <w:highlight w:val="none"/>
        </w:rPr>
        <w:t>　</w:t>
      </w:r>
      <w:r>
        <w:rPr>
          <w:rFonts w:hint="eastAsia" w:ascii="宋体" w:hAnsi="宋体"/>
          <w:color w:val="auto"/>
          <w:sz w:val="24"/>
          <w:highlight w:val="none"/>
        </w:rPr>
        <w:t xml:space="preserve">　无论工程师是否进行验收，当其要求对已经隐蔽的工程重新检验时，承包人应按要求进行剥离或开孔，并在检验后重新覆盖或修复。检验合格，发包人承担由此发生的全部追加合同价款，赔偿承包人损失，并相应顺延工期。检验不合格，承包人承担发生的全部费用，工期不予顺延。 </w:t>
      </w:r>
      <w:r>
        <w:rPr>
          <w:rFonts w:hint="eastAsia" w:ascii="宋体" w:hAnsi="宋体"/>
          <w:color w:val="auto"/>
          <w:sz w:val="24"/>
          <w:highlight w:val="none"/>
        </w:rPr>
        <w:br w:type="textWrapping"/>
      </w:r>
      <w:r>
        <w:rPr>
          <w:rFonts w:hint="eastAsia" w:ascii="宋体" w:hAnsi="宋体"/>
          <w:color w:val="auto"/>
          <w:sz w:val="24"/>
          <w:szCs w:val="18"/>
          <w:highlight w:val="none"/>
        </w:rPr>
        <w:t>　　</w:t>
      </w:r>
      <w:r>
        <w:rPr>
          <w:rFonts w:hint="eastAsia" w:ascii="宋体" w:hAnsi="宋体"/>
          <w:b/>
          <w:bCs/>
          <w:color w:val="auto"/>
          <w:sz w:val="24"/>
          <w:szCs w:val="18"/>
          <w:highlight w:val="none"/>
        </w:rPr>
        <w:t>五、安全施工</w:t>
      </w:r>
      <w:r>
        <w:rPr>
          <w:rFonts w:hint="eastAsia" w:ascii="宋体" w:hAnsi="宋体"/>
          <w:color w:val="auto"/>
          <w:sz w:val="24"/>
          <w:szCs w:val="18"/>
          <w:highlight w:val="none"/>
        </w:rPr>
        <w:t xml:space="preserve"> </w:t>
      </w:r>
      <w:r>
        <w:rPr>
          <w:rFonts w:hint="eastAsia" w:ascii="宋体" w:hAnsi="宋体"/>
          <w:color w:val="auto"/>
          <w:sz w:val="24"/>
          <w:szCs w:val="18"/>
          <w:highlight w:val="none"/>
        </w:rPr>
        <w:br w:type="textWrapping"/>
      </w:r>
      <w:r>
        <w:rPr>
          <w:rFonts w:hint="eastAsia" w:ascii="宋体" w:hAnsi="宋体"/>
          <w:color w:val="auto"/>
          <w:sz w:val="24"/>
          <w:szCs w:val="18"/>
          <w:highlight w:val="none"/>
        </w:rPr>
        <w:t>　</w:t>
      </w:r>
      <w:r>
        <w:rPr>
          <w:rFonts w:hint="eastAsia" w:ascii="宋体" w:hAnsi="宋体"/>
          <w:b/>
          <w:bCs/>
          <w:color w:val="auto"/>
          <w:sz w:val="24"/>
          <w:szCs w:val="18"/>
          <w:highlight w:val="none"/>
        </w:rPr>
        <w:t xml:space="preserve">　17、安全施工与检查 </w:t>
      </w:r>
      <w:r>
        <w:rPr>
          <w:rFonts w:hint="eastAsia" w:ascii="宋体" w:hAnsi="宋体"/>
          <w:color w:val="auto"/>
          <w:sz w:val="24"/>
          <w:szCs w:val="18"/>
          <w:highlight w:val="none"/>
        </w:rPr>
        <w:br w:type="textWrapping"/>
      </w:r>
      <w:r>
        <w:rPr>
          <w:rFonts w:hint="eastAsia" w:ascii="宋体" w:hAnsi="宋体"/>
          <w:color w:val="auto"/>
          <w:sz w:val="24"/>
          <w:szCs w:val="18"/>
          <w:highlight w:val="none"/>
        </w:rPr>
        <w:t>　　</w:t>
      </w:r>
      <w:r>
        <w:rPr>
          <w:rFonts w:hint="eastAsia" w:ascii="宋体" w:hAnsi="宋体"/>
          <w:color w:val="auto"/>
          <w:sz w:val="24"/>
          <w:highlight w:val="none"/>
        </w:rPr>
        <w:t xml:space="preserve">17.1承包人应遵守工程建设安全生产有关管理规定，严格按安全标准组织施工，采取必要的安全防护措施，消除事故隐患。由于承包人安全措施不力造成事故的责任和因此发生的费用，由承包人承担。 </w:t>
      </w:r>
      <w:r>
        <w:rPr>
          <w:rFonts w:hint="eastAsia" w:ascii="宋体" w:hAnsi="宋体"/>
          <w:color w:val="auto"/>
          <w:sz w:val="24"/>
          <w:highlight w:val="none"/>
        </w:rPr>
        <w:br w:type="textWrapping"/>
      </w:r>
      <w:r>
        <w:rPr>
          <w:rFonts w:hint="eastAsia" w:ascii="宋体" w:hAnsi="宋体"/>
          <w:b/>
          <w:bCs/>
          <w:color w:val="auto"/>
          <w:sz w:val="24"/>
          <w:szCs w:val="18"/>
          <w:highlight w:val="none"/>
        </w:rPr>
        <w:t xml:space="preserve">　　18、安全防护 </w:t>
      </w:r>
      <w:r>
        <w:rPr>
          <w:rFonts w:hint="eastAsia" w:ascii="宋体" w:hAnsi="宋体"/>
          <w:color w:val="auto"/>
          <w:sz w:val="24"/>
          <w:szCs w:val="18"/>
          <w:highlight w:val="none"/>
        </w:rPr>
        <w:br w:type="textWrapping"/>
      </w:r>
      <w:r>
        <w:rPr>
          <w:rFonts w:hint="eastAsia" w:ascii="宋体" w:hAnsi="宋体"/>
          <w:color w:val="auto"/>
          <w:sz w:val="24"/>
          <w:szCs w:val="18"/>
          <w:highlight w:val="none"/>
        </w:rPr>
        <w:t>　</w:t>
      </w:r>
      <w:r>
        <w:rPr>
          <w:rFonts w:hint="eastAsia" w:ascii="宋体" w:hAnsi="宋体"/>
          <w:color w:val="auto"/>
          <w:sz w:val="24"/>
          <w:highlight w:val="none"/>
        </w:rPr>
        <w:t xml:space="preserve">　18.1承包人在动力设备、输电线路、地下管道以及临街交通要道附近施工时，施工开始前应给出防护措施。 </w:t>
      </w:r>
      <w:r>
        <w:rPr>
          <w:rFonts w:hint="eastAsia" w:ascii="宋体" w:hAnsi="宋体"/>
          <w:color w:val="auto"/>
          <w:sz w:val="24"/>
          <w:highlight w:val="none"/>
        </w:rPr>
        <w:br w:type="textWrapping"/>
      </w:r>
      <w:r>
        <w:rPr>
          <w:rFonts w:hint="eastAsia" w:ascii="宋体" w:hAnsi="宋体"/>
          <w:color w:val="auto"/>
          <w:sz w:val="24"/>
          <w:highlight w:val="none"/>
        </w:rPr>
        <w:t>　</w:t>
      </w:r>
      <w:r>
        <w:rPr>
          <w:rFonts w:hint="eastAsia" w:ascii="宋体" w:hAnsi="宋体"/>
          <w:b/>
          <w:bCs/>
          <w:color w:val="auto"/>
          <w:sz w:val="24"/>
          <w:szCs w:val="18"/>
          <w:highlight w:val="none"/>
        </w:rPr>
        <w:t xml:space="preserve">　19、事故处理 </w:t>
      </w:r>
      <w:r>
        <w:rPr>
          <w:rFonts w:hint="eastAsia" w:ascii="宋体" w:hAnsi="宋体"/>
          <w:color w:val="auto"/>
          <w:sz w:val="24"/>
          <w:szCs w:val="18"/>
          <w:highlight w:val="none"/>
        </w:rPr>
        <w:br w:type="textWrapping"/>
      </w:r>
      <w:r>
        <w:rPr>
          <w:rFonts w:hint="eastAsia" w:ascii="宋体" w:hAnsi="宋体"/>
          <w:color w:val="auto"/>
          <w:sz w:val="24"/>
          <w:szCs w:val="18"/>
          <w:highlight w:val="none"/>
        </w:rPr>
        <w:t>　</w:t>
      </w:r>
      <w:r>
        <w:rPr>
          <w:rFonts w:hint="eastAsia" w:ascii="宋体" w:hAnsi="宋体"/>
          <w:color w:val="auto"/>
          <w:sz w:val="24"/>
          <w:highlight w:val="none"/>
        </w:rPr>
        <w:t xml:space="preserve">　19.1发生重大伤亡及其他安全事故，承包人应按有关规定立即上报有关部门并通知工程师，同时按政府有关部门要求处理，由事故责任方承担发生的费用。 </w:t>
      </w:r>
      <w:r>
        <w:rPr>
          <w:rFonts w:hint="eastAsia" w:ascii="宋体" w:hAnsi="宋体"/>
          <w:color w:val="auto"/>
          <w:sz w:val="24"/>
          <w:highlight w:val="none"/>
        </w:rPr>
        <w:br w:type="textWrapping"/>
      </w:r>
      <w:r>
        <w:rPr>
          <w:rFonts w:hint="eastAsia" w:ascii="宋体" w:hAnsi="宋体"/>
          <w:color w:val="auto"/>
          <w:sz w:val="24"/>
          <w:highlight w:val="none"/>
        </w:rPr>
        <w:t xml:space="preserve">　　19.2发包人、承包人对事故责任有争议时，应按政府有关部门的认定处理。 </w:t>
      </w:r>
    </w:p>
    <w:p w14:paraId="59A6418D">
      <w:pPr>
        <w:spacing w:line="500" w:lineRule="exact"/>
        <w:ind w:firstLine="542" w:firstLineChars="225"/>
        <w:rPr>
          <w:rFonts w:ascii="宋体" w:hAnsi="宋体"/>
          <w:color w:val="auto"/>
          <w:sz w:val="24"/>
          <w:highlight w:val="none"/>
        </w:rPr>
      </w:pPr>
      <w:r>
        <w:rPr>
          <w:rFonts w:hint="eastAsia" w:ascii="宋体" w:hAnsi="宋体"/>
          <w:b/>
          <w:bCs/>
          <w:color w:val="auto"/>
          <w:sz w:val="24"/>
          <w:szCs w:val="18"/>
          <w:highlight w:val="none"/>
        </w:rPr>
        <w:t>六、合同价款与支付 ：见合同专用条款。</w:t>
      </w:r>
      <w:r>
        <w:rPr>
          <w:rFonts w:hint="eastAsia" w:ascii="宋体" w:hAnsi="宋体"/>
          <w:color w:val="auto"/>
          <w:sz w:val="24"/>
          <w:szCs w:val="18"/>
          <w:highlight w:val="none"/>
        </w:rPr>
        <w:br w:type="textWrapping"/>
      </w:r>
      <w:r>
        <w:rPr>
          <w:rFonts w:hint="eastAsia" w:ascii="宋体" w:hAnsi="宋体"/>
          <w:color w:val="auto"/>
          <w:sz w:val="24"/>
          <w:szCs w:val="18"/>
          <w:highlight w:val="none"/>
        </w:rPr>
        <w:t>　</w:t>
      </w:r>
      <w:r>
        <w:rPr>
          <w:rFonts w:hint="eastAsia" w:ascii="宋体" w:hAnsi="宋体"/>
          <w:b/>
          <w:bCs/>
          <w:color w:val="auto"/>
          <w:sz w:val="24"/>
          <w:szCs w:val="18"/>
          <w:highlight w:val="none"/>
        </w:rPr>
        <w:t>　20、合同价款及调整</w:t>
      </w:r>
      <w:r>
        <w:rPr>
          <w:rFonts w:hint="eastAsia" w:ascii="宋体" w:hAnsi="宋体"/>
          <w:color w:val="auto"/>
          <w:sz w:val="24"/>
          <w:szCs w:val="18"/>
          <w:highlight w:val="none"/>
        </w:rPr>
        <w:t xml:space="preserve"> </w:t>
      </w:r>
      <w:r>
        <w:rPr>
          <w:rFonts w:hint="eastAsia" w:ascii="宋体" w:hAnsi="宋体"/>
          <w:color w:val="auto"/>
          <w:sz w:val="24"/>
          <w:szCs w:val="18"/>
          <w:highlight w:val="none"/>
        </w:rPr>
        <w:br w:type="textWrapping"/>
      </w:r>
      <w:r>
        <w:rPr>
          <w:rFonts w:hint="eastAsia" w:ascii="宋体" w:hAnsi="宋体"/>
          <w:color w:val="auto"/>
          <w:sz w:val="24"/>
          <w:szCs w:val="18"/>
          <w:highlight w:val="none"/>
        </w:rPr>
        <w:t>　</w:t>
      </w:r>
      <w:r>
        <w:rPr>
          <w:rFonts w:hint="eastAsia" w:ascii="宋体" w:hAnsi="宋体"/>
          <w:color w:val="auto"/>
          <w:sz w:val="24"/>
          <w:highlight w:val="none"/>
        </w:rPr>
        <w:t>　20.1招标工程的合同价款由发包人、承包人依据中标通知书中的中标价格在协议书内约定。</w:t>
      </w:r>
      <w:r>
        <w:rPr>
          <w:rFonts w:hint="eastAsia" w:ascii="宋体" w:hAnsi="宋体"/>
          <w:color w:val="auto"/>
          <w:sz w:val="24"/>
          <w:highlight w:val="none"/>
        </w:rPr>
        <w:br w:type="textWrapping"/>
      </w:r>
      <w:r>
        <w:rPr>
          <w:rFonts w:hint="eastAsia" w:ascii="宋体" w:hAnsi="宋体"/>
          <w:color w:val="auto"/>
          <w:sz w:val="24"/>
          <w:highlight w:val="none"/>
        </w:rPr>
        <w:t>　　20.2合同价款在协议书内约定后，任何一方不得擅自改变。</w:t>
      </w:r>
      <w:r>
        <w:rPr>
          <w:rFonts w:hint="eastAsia" w:ascii="宋体" w:hAnsi="宋体"/>
          <w:color w:val="auto"/>
          <w:sz w:val="24"/>
          <w:highlight w:val="none"/>
        </w:rPr>
        <w:br w:type="textWrapping"/>
      </w:r>
      <w:r>
        <w:rPr>
          <w:rFonts w:hint="eastAsia" w:ascii="宋体" w:hAnsi="宋体"/>
          <w:color w:val="auto"/>
          <w:sz w:val="24"/>
          <w:szCs w:val="18"/>
          <w:highlight w:val="none"/>
        </w:rPr>
        <w:t>　　</w:t>
      </w:r>
      <w:r>
        <w:rPr>
          <w:rFonts w:hint="eastAsia" w:ascii="宋体" w:hAnsi="宋体"/>
          <w:b/>
          <w:bCs/>
          <w:color w:val="auto"/>
          <w:sz w:val="24"/>
          <w:szCs w:val="18"/>
          <w:highlight w:val="none"/>
        </w:rPr>
        <w:t xml:space="preserve">21、工程预付款 </w:t>
      </w:r>
      <w:r>
        <w:rPr>
          <w:rFonts w:hint="eastAsia" w:ascii="宋体" w:hAnsi="宋体"/>
          <w:color w:val="auto"/>
          <w:sz w:val="24"/>
          <w:szCs w:val="18"/>
          <w:highlight w:val="none"/>
        </w:rPr>
        <w:br w:type="textWrapping"/>
      </w:r>
      <w:r>
        <w:rPr>
          <w:rFonts w:hint="eastAsia" w:ascii="宋体" w:hAnsi="宋体"/>
          <w:color w:val="auto"/>
          <w:sz w:val="24"/>
          <w:szCs w:val="18"/>
          <w:highlight w:val="none"/>
        </w:rPr>
        <w:t>　</w:t>
      </w:r>
      <w:r>
        <w:rPr>
          <w:rFonts w:hint="eastAsia" w:ascii="宋体" w:hAnsi="宋体"/>
          <w:color w:val="auto"/>
          <w:sz w:val="24"/>
          <w:highlight w:val="none"/>
        </w:rPr>
        <w:t xml:space="preserve">　实行工程预付款的，双方应当在专用条款内约定发包人向承包人预付工程款的时间和数额。 </w:t>
      </w:r>
      <w:r>
        <w:rPr>
          <w:rFonts w:hint="eastAsia" w:ascii="宋体" w:hAnsi="宋体"/>
          <w:color w:val="auto"/>
          <w:sz w:val="24"/>
          <w:highlight w:val="none"/>
        </w:rPr>
        <w:br w:type="textWrapping"/>
      </w:r>
      <w:r>
        <w:rPr>
          <w:rFonts w:hint="eastAsia" w:ascii="宋体" w:hAnsi="宋体"/>
          <w:color w:val="auto"/>
          <w:sz w:val="24"/>
          <w:highlight w:val="none"/>
        </w:rPr>
        <w:t xml:space="preserve"> </w:t>
      </w:r>
      <w:r>
        <w:rPr>
          <w:rFonts w:hint="eastAsia" w:ascii="宋体" w:hAnsi="宋体"/>
          <w:b/>
          <w:bCs/>
          <w:color w:val="auto"/>
          <w:sz w:val="24"/>
          <w:szCs w:val="18"/>
          <w:highlight w:val="none"/>
        </w:rPr>
        <w:t xml:space="preserve">　 七、材料设备供应 </w:t>
      </w:r>
      <w:r>
        <w:rPr>
          <w:rFonts w:hint="eastAsia" w:ascii="宋体" w:hAnsi="宋体"/>
          <w:color w:val="auto"/>
          <w:sz w:val="24"/>
          <w:szCs w:val="18"/>
          <w:highlight w:val="none"/>
        </w:rPr>
        <w:br w:type="textWrapping"/>
      </w:r>
      <w:r>
        <w:rPr>
          <w:rFonts w:hint="eastAsia" w:ascii="宋体" w:hAnsi="宋体"/>
          <w:b/>
          <w:bCs/>
          <w:color w:val="auto"/>
          <w:sz w:val="24"/>
          <w:szCs w:val="18"/>
          <w:highlight w:val="none"/>
        </w:rPr>
        <w:t>　　</w:t>
      </w:r>
      <w:r>
        <w:rPr>
          <w:rFonts w:hint="eastAsia" w:ascii="宋体" w:hAnsi="宋体"/>
          <w:color w:val="auto"/>
          <w:sz w:val="24"/>
          <w:highlight w:val="none"/>
        </w:rPr>
        <w:t xml:space="preserve">22.1承包人应按照专用条款约定及设计和有关标准要求采购，并提供产品合格证明，对材料设备质量负责。承包人在材料设备到货前24小时通知工程师清点。 </w:t>
      </w:r>
      <w:r>
        <w:rPr>
          <w:rFonts w:hint="eastAsia" w:ascii="宋体" w:hAnsi="宋体"/>
          <w:color w:val="auto"/>
          <w:sz w:val="24"/>
          <w:highlight w:val="none"/>
        </w:rPr>
        <w:br w:type="textWrapping"/>
      </w:r>
      <w:r>
        <w:rPr>
          <w:rFonts w:hint="eastAsia" w:ascii="宋体" w:hAnsi="宋体"/>
          <w:color w:val="auto"/>
          <w:sz w:val="24"/>
          <w:highlight w:val="none"/>
        </w:rPr>
        <w:t xml:space="preserve">　　22.2承包人采购的材料设备与设计标准要求不符时，承包人应按工程师要求的时间运出施工场地，重新采购符合要求的产品，承担由此发生的费用，由此延误的工期不予顺延。 </w:t>
      </w:r>
      <w:r>
        <w:rPr>
          <w:rFonts w:hint="eastAsia" w:ascii="宋体" w:hAnsi="宋体"/>
          <w:color w:val="auto"/>
          <w:sz w:val="24"/>
          <w:highlight w:val="none"/>
        </w:rPr>
        <w:br w:type="textWrapping"/>
      </w:r>
      <w:r>
        <w:rPr>
          <w:rFonts w:hint="eastAsia" w:ascii="宋体" w:hAnsi="宋体"/>
          <w:color w:val="auto"/>
          <w:sz w:val="24"/>
          <w:highlight w:val="none"/>
        </w:rPr>
        <w:t xml:space="preserve">　　22.3承包人采购的材料设备在使用前，承包人应按工程师的要求进行检验或试验，不合格的不得使用，检验或试验费用由承包人承担。 </w:t>
      </w:r>
      <w:r>
        <w:rPr>
          <w:rFonts w:hint="eastAsia" w:ascii="宋体" w:hAnsi="宋体"/>
          <w:color w:val="auto"/>
          <w:sz w:val="24"/>
          <w:highlight w:val="none"/>
        </w:rPr>
        <w:br w:type="textWrapping"/>
      </w:r>
      <w:r>
        <w:rPr>
          <w:rFonts w:hint="eastAsia" w:ascii="宋体" w:hAnsi="宋体"/>
          <w:color w:val="auto"/>
          <w:sz w:val="24"/>
          <w:highlight w:val="none"/>
        </w:rPr>
        <w:t>　　22.4工程师发现承包人采购并使用不符合设计和标准要求的材料设备时，应要求承包人负责修复、拆除或重新采购，由承包人承担发生的费用，由此延误的工期不予顺延。</w:t>
      </w:r>
    </w:p>
    <w:p w14:paraId="6E52A62C">
      <w:pPr>
        <w:spacing w:line="500" w:lineRule="exact"/>
        <w:ind w:firstLine="540" w:firstLineChars="225"/>
        <w:rPr>
          <w:rFonts w:ascii="宋体" w:hAnsi="宋体"/>
          <w:color w:val="auto"/>
          <w:sz w:val="24"/>
          <w:highlight w:val="none"/>
        </w:rPr>
      </w:pPr>
      <w:r>
        <w:rPr>
          <w:rFonts w:hint="eastAsia" w:ascii="宋体" w:hAnsi="宋体"/>
          <w:color w:val="auto"/>
          <w:sz w:val="24"/>
          <w:highlight w:val="none"/>
        </w:rPr>
        <w:t xml:space="preserve">22.5承包人需要使用代用材料时，应经工程师认可后才能使用，由此增减的合同价款双方以书面形式议定。 </w:t>
      </w:r>
    </w:p>
    <w:p w14:paraId="284229C7">
      <w:pPr>
        <w:spacing w:line="500" w:lineRule="exact"/>
        <w:ind w:firstLine="542" w:firstLineChars="225"/>
        <w:rPr>
          <w:rFonts w:ascii="宋体" w:hAnsi="宋体"/>
          <w:color w:val="auto"/>
          <w:sz w:val="24"/>
          <w:highlight w:val="none"/>
        </w:rPr>
      </w:pPr>
      <w:r>
        <w:rPr>
          <w:rFonts w:hint="eastAsia" w:ascii="宋体" w:hAnsi="宋体"/>
          <w:b/>
          <w:bCs/>
          <w:color w:val="auto"/>
          <w:sz w:val="24"/>
          <w:szCs w:val="18"/>
          <w:highlight w:val="none"/>
        </w:rPr>
        <w:t xml:space="preserve">八、工程变更 </w:t>
      </w:r>
      <w:r>
        <w:rPr>
          <w:rFonts w:hint="eastAsia" w:ascii="宋体" w:hAnsi="宋体"/>
          <w:color w:val="auto"/>
          <w:sz w:val="24"/>
          <w:szCs w:val="18"/>
          <w:highlight w:val="none"/>
        </w:rPr>
        <w:br w:type="textWrapping"/>
      </w:r>
      <w:r>
        <w:rPr>
          <w:rFonts w:hint="eastAsia" w:ascii="宋体" w:hAnsi="宋体"/>
          <w:b/>
          <w:bCs/>
          <w:color w:val="auto"/>
          <w:sz w:val="24"/>
          <w:szCs w:val="18"/>
          <w:highlight w:val="none"/>
        </w:rPr>
        <w:t xml:space="preserve">　　23、工程设计变更 </w:t>
      </w:r>
      <w:r>
        <w:rPr>
          <w:rFonts w:hint="eastAsia" w:ascii="宋体" w:hAnsi="宋体"/>
          <w:color w:val="auto"/>
          <w:sz w:val="24"/>
          <w:szCs w:val="18"/>
          <w:highlight w:val="none"/>
        </w:rPr>
        <w:br w:type="textWrapping"/>
      </w:r>
      <w:r>
        <w:rPr>
          <w:rFonts w:hint="eastAsia" w:ascii="宋体" w:hAnsi="宋体"/>
          <w:color w:val="auto"/>
          <w:sz w:val="24"/>
          <w:highlight w:val="none"/>
        </w:rPr>
        <w:t xml:space="preserve">　　23.1施工中承包人不得对原工程设计进行变更。因承包人擅自变更设计发生的费用和由此导致发包人的直接损失，由承包人承担，延误的工期不予顺延。 </w:t>
      </w:r>
      <w:r>
        <w:rPr>
          <w:rFonts w:hint="eastAsia" w:ascii="宋体" w:hAnsi="宋体"/>
          <w:color w:val="auto"/>
          <w:sz w:val="24"/>
          <w:highlight w:val="none"/>
        </w:rPr>
        <w:br w:type="textWrapping"/>
      </w:r>
      <w:r>
        <w:rPr>
          <w:rFonts w:hint="eastAsia" w:ascii="宋体" w:hAnsi="宋体"/>
          <w:color w:val="auto"/>
          <w:sz w:val="24"/>
          <w:highlight w:val="none"/>
        </w:rPr>
        <w:t xml:space="preserve">　　23.2承包人在施工中提出的合理化建议涉及到对设计图纸或施工组织设计的更改及对材料、设备的换用，须经工程师同意。未经同意擅自更改或换用时，承包人承担由此发生的费用，并赔偿发包人的有关损失，延误的工期不予顺延。 </w:t>
      </w:r>
      <w:r>
        <w:rPr>
          <w:rFonts w:hint="eastAsia" w:ascii="宋体" w:hAnsi="宋体"/>
          <w:color w:val="auto"/>
          <w:sz w:val="24"/>
          <w:highlight w:val="none"/>
        </w:rPr>
        <w:br w:type="textWrapping"/>
      </w:r>
      <w:r>
        <w:rPr>
          <w:rFonts w:hint="eastAsia" w:ascii="宋体" w:hAnsi="宋体"/>
          <w:b/>
          <w:bCs/>
          <w:color w:val="auto"/>
          <w:sz w:val="24"/>
          <w:szCs w:val="18"/>
          <w:highlight w:val="none"/>
        </w:rPr>
        <w:t xml:space="preserve">　　24、其他变更 </w:t>
      </w:r>
      <w:r>
        <w:rPr>
          <w:rFonts w:hint="eastAsia" w:ascii="宋体" w:hAnsi="宋体"/>
          <w:color w:val="auto"/>
          <w:sz w:val="24"/>
          <w:szCs w:val="18"/>
          <w:highlight w:val="none"/>
        </w:rPr>
        <w:br w:type="textWrapping"/>
      </w:r>
      <w:r>
        <w:rPr>
          <w:rFonts w:hint="eastAsia" w:ascii="宋体" w:hAnsi="宋体"/>
          <w:color w:val="auto"/>
          <w:sz w:val="24"/>
          <w:szCs w:val="18"/>
          <w:highlight w:val="none"/>
        </w:rPr>
        <w:t>　　</w:t>
      </w:r>
      <w:r>
        <w:rPr>
          <w:rFonts w:hint="eastAsia" w:ascii="宋体" w:hAnsi="宋体"/>
          <w:color w:val="auto"/>
          <w:sz w:val="24"/>
          <w:highlight w:val="none"/>
        </w:rPr>
        <w:t xml:space="preserve">合同履行中发包人要求变更工程质量标准及发生其他实质性变更，由双方协商解决。 </w:t>
      </w:r>
      <w:r>
        <w:rPr>
          <w:rFonts w:hint="eastAsia" w:ascii="宋体" w:hAnsi="宋体"/>
          <w:color w:val="auto"/>
          <w:sz w:val="24"/>
          <w:szCs w:val="18"/>
          <w:highlight w:val="none"/>
        </w:rPr>
        <w:br w:type="textWrapping"/>
      </w:r>
      <w:r>
        <w:rPr>
          <w:rFonts w:hint="eastAsia" w:ascii="宋体" w:hAnsi="宋体"/>
          <w:b/>
          <w:bCs/>
          <w:color w:val="auto"/>
          <w:sz w:val="24"/>
          <w:szCs w:val="18"/>
          <w:highlight w:val="none"/>
        </w:rPr>
        <w:t>　　25、确定变更价款</w:t>
      </w:r>
      <w:r>
        <w:rPr>
          <w:rFonts w:hint="eastAsia" w:ascii="宋体" w:hAnsi="宋体"/>
          <w:color w:val="auto"/>
          <w:sz w:val="24"/>
          <w:szCs w:val="18"/>
          <w:highlight w:val="none"/>
        </w:rPr>
        <w:t xml:space="preserve"> </w:t>
      </w:r>
      <w:r>
        <w:rPr>
          <w:rFonts w:hint="eastAsia" w:ascii="宋体" w:hAnsi="宋体"/>
          <w:color w:val="auto"/>
          <w:sz w:val="24"/>
          <w:szCs w:val="18"/>
          <w:highlight w:val="none"/>
        </w:rPr>
        <w:br w:type="textWrapping"/>
      </w:r>
      <w:r>
        <w:rPr>
          <w:rFonts w:hint="eastAsia" w:ascii="宋体" w:hAnsi="宋体"/>
          <w:color w:val="auto"/>
          <w:sz w:val="24"/>
          <w:szCs w:val="18"/>
          <w:highlight w:val="none"/>
        </w:rPr>
        <w:t>　</w:t>
      </w:r>
      <w:r>
        <w:rPr>
          <w:rFonts w:hint="eastAsia" w:ascii="宋体" w:hAnsi="宋体"/>
          <w:color w:val="auto"/>
          <w:sz w:val="24"/>
          <w:highlight w:val="none"/>
        </w:rPr>
        <w:t xml:space="preserve">　25.1承包人在工程变更确定后14天内，提出变更工程价款的报告，经工程师确认后调整合同价款。变更合同价款按下列方法进行： </w:t>
      </w:r>
      <w:r>
        <w:rPr>
          <w:rFonts w:hint="eastAsia" w:ascii="宋体" w:hAnsi="宋体"/>
          <w:color w:val="auto"/>
          <w:sz w:val="24"/>
          <w:highlight w:val="none"/>
        </w:rPr>
        <w:br w:type="textWrapping"/>
      </w:r>
      <w:r>
        <w:rPr>
          <w:rFonts w:hint="eastAsia" w:ascii="宋体" w:hAnsi="宋体"/>
          <w:color w:val="auto"/>
          <w:sz w:val="24"/>
          <w:highlight w:val="none"/>
        </w:rPr>
        <w:t xml:space="preserve">　　(1)合同中已有适用于变更工程的价格，按合同已有的价格变更合同价款； </w:t>
      </w:r>
      <w:r>
        <w:rPr>
          <w:rFonts w:hint="eastAsia" w:ascii="宋体" w:hAnsi="宋体"/>
          <w:color w:val="auto"/>
          <w:sz w:val="24"/>
          <w:highlight w:val="none"/>
        </w:rPr>
        <w:br w:type="textWrapping"/>
      </w:r>
      <w:r>
        <w:rPr>
          <w:rFonts w:hint="eastAsia" w:ascii="宋体" w:hAnsi="宋体"/>
          <w:color w:val="auto"/>
          <w:sz w:val="24"/>
          <w:highlight w:val="none"/>
        </w:rPr>
        <w:t xml:space="preserve">　　(2)合同中只有类似于变更工程的价格，可以参照类似价格变更合同价款； </w:t>
      </w:r>
      <w:r>
        <w:rPr>
          <w:rFonts w:hint="eastAsia" w:ascii="宋体" w:hAnsi="宋体"/>
          <w:color w:val="auto"/>
          <w:sz w:val="24"/>
          <w:highlight w:val="none"/>
        </w:rPr>
        <w:br w:type="textWrapping"/>
      </w:r>
      <w:r>
        <w:rPr>
          <w:rFonts w:hint="eastAsia" w:ascii="宋体" w:hAnsi="宋体"/>
          <w:color w:val="auto"/>
          <w:sz w:val="24"/>
          <w:highlight w:val="none"/>
        </w:rPr>
        <w:t xml:space="preserve">　　(3)合同中没有适用或类似于变更工程的价格，由承包人提出适当的变更价格，经工程师确认后执行。 </w:t>
      </w:r>
    </w:p>
    <w:p w14:paraId="61BD0528">
      <w:pPr>
        <w:spacing w:line="500" w:lineRule="exact"/>
        <w:ind w:firstLine="540" w:firstLineChars="225"/>
        <w:rPr>
          <w:rFonts w:ascii="宋体" w:hAnsi="宋体"/>
          <w:color w:val="auto"/>
          <w:sz w:val="24"/>
          <w:highlight w:val="none"/>
        </w:rPr>
      </w:pPr>
      <w:r>
        <w:rPr>
          <w:rFonts w:hint="eastAsia" w:ascii="宋体" w:hAnsi="宋体"/>
          <w:color w:val="auto"/>
          <w:sz w:val="24"/>
          <w:highlight w:val="none"/>
        </w:rPr>
        <w:t xml:space="preserve">25.2承包人在双方确定变更后14天内不向工程师提出变更工程价款报告时，视为该项变更不涉及合同价款的变更。 </w:t>
      </w:r>
      <w:r>
        <w:rPr>
          <w:rFonts w:hint="eastAsia" w:ascii="宋体" w:hAnsi="宋体"/>
          <w:color w:val="auto"/>
          <w:sz w:val="24"/>
          <w:highlight w:val="none"/>
        </w:rPr>
        <w:br w:type="textWrapping"/>
      </w:r>
      <w:r>
        <w:rPr>
          <w:rFonts w:hint="eastAsia" w:ascii="宋体" w:hAnsi="宋体"/>
          <w:color w:val="auto"/>
          <w:sz w:val="24"/>
          <w:highlight w:val="none"/>
        </w:rPr>
        <w:t xml:space="preserve">　　25.3工程师应在收到变更工程价款报告之日起14天内予以确认，工程师无正当理由不确认时，自变更工程价款报告送达之日起14天后视为变更工程价款报告已被确认。 </w:t>
      </w:r>
      <w:r>
        <w:rPr>
          <w:rFonts w:hint="eastAsia" w:ascii="宋体" w:hAnsi="宋体"/>
          <w:color w:val="auto"/>
          <w:sz w:val="24"/>
          <w:highlight w:val="none"/>
        </w:rPr>
        <w:br w:type="textWrapping"/>
      </w:r>
      <w:r>
        <w:rPr>
          <w:rFonts w:hint="eastAsia" w:ascii="宋体" w:hAnsi="宋体"/>
          <w:color w:val="auto"/>
          <w:sz w:val="24"/>
          <w:highlight w:val="none"/>
        </w:rPr>
        <w:t xml:space="preserve">　　25.4工程师确认增加的工程变更价款作为追加合同价款，与工程款同期支付。 </w:t>
      </w:r>
      <w:r>
        <w:rPr>
          <w:rFonts w:hint="eastAsia" w:ascii="宋体" w:hAnsi="宋体"/>
          <w:color w:val="auto"/>
          <w:sz w:val="24"/>
          <w:highlight w:val="none"/>
        </w:rPr>
        <w:br w:type="textWrapping"/>
      </w:r>
      <w:r>
        <w:rPr>
          <w:rFonts w:hint="eastAsia" w:ascii="宋体" w:hAnsi="宋体"/>
          <w:color w:val="auto"/>
          <w:sz w:val="24"/>
          <w:highlight w:val="none"/>
        </w:rPr>
        <w:t xml:space="preserve">　　25.5因承包人自身原因导致的工程变更，承包人无权要求追加合同价款。 </w:t>
      </w:r>
    </w:p>
    <w:p w14:paraId="3092D29E">
      <w:pPr>
        <w:spacing w:line="500" w:lineRule="exact"/>
        <w:ind w:firstLine="542" w:firstLineChars="225"/>
        <w:rPr>
          <w:rFonts w:ascii="宋体" w:hAnsi="宋体"/>
          <w:color w:val="auto"/>
          <w:sz w:val="24"/>
          <w:highlight w:val="none"/>
        </w:rPr>
      </w:pPr>
      <w:r>
        <w:rPr>
          <w:rFonts w:hint="eastAsia" w:ascii="宋体" w:hAnsi="宋体"/>
          <w:b/>
          <w:bCs/>
          <w:color w:val="auto"/>
          <w:sz w:val="24"/>
          <w:szCs w:val="18"/>
          <w:highlight w:val="none"/>
        </w:rPr>
        <w:t xml:space="preserve">九、竣工验收与结算 </w:t>
      </w:r>
      <w:r>
        <w:rPr>
          <w:rFonts w:hint="eastAsia" w:ascii="宋体" w:hAnsi="宋体"/>
          <w:color w:val="auto"/>
          <w:sz w:val="24"/>
          <w:szCs w:val="18"/>
          <w:highlight w:val="none"/>
        </w:rPr>
        <w:br w:type="textWrapping"/>
      </w:r>
      <w:r>
        <w:rPr>
          <w:rFonts w:hint="eastAsia" w:ascii="宋体" w:hAnsi="宋体"/>
          <w:b/>
          <w:bCs/>
          <w:color w:val="auto"/>
          <w:sz w:val="24"/>
          <w:szCs w:val="18"/>
          <w:highlight w:val="none"/>
        </w:rPr>
        <w:t>　　26、竣工验收</w:t>
      </w:r>
      <w:r>
        <w:rPr>
          <w:rFonts w:hint="eastAsia" w:ascii="宋体" w:hAnsi="宋体"/>
          <w:color w:val="auto"/>
          <w:sz w:val="24"/>
          <w:szCs w:val="18"/>
          <w:highlight w:val="none"/>
        </w:rPr>
        <w:t xml:space="preserve"> </w:t>
      </w:r>
      <w:r>
        <w:rPr>
          <w:rFonts w:hint="eastAsia" w:ascii="宋体" w:hAnsi="宋体"/>
          <w:color w:val="auto"/>
          <w:sz w:val="24"/>
          <w:szCs w:val="18"/>
          <w:highlight w:val="none"/>
        </w:rPr>
        <w:br w:type="textWrapping"/>
      </w:r>
      <w:r>
        <w:rPr>
          <w:rFonts w:hint="eastAsia" w:ascii="宋体" w:hAnsi="宋体"/>
          <w:color w:val="auto"/>
          <w:sz w:val="24"/>
          <w:szCs w:val="18"/>
          <w:highlight w:val="none"/>
        </w:rPr>
        <w:t>　</w:t>
      </w:r>
      <w:r>
        <w:rPr>
          <w:rFonts w:hint="eastAsia" w:ascii="宋体" w:hAnsi="宋体"/>
          <w:color w:val="auto"/>
          <w:sz w:val="24"/>
          <w:highlight w:val="none"/>
        </w:rPr>
        <w:t xml:space="preserve">　26.1工程具备竣工验收条件，承包人按国家工程竣工验收有关规定，向发包人提供完整竣工资料及竣工验收报告。双方约定由承包人提供竣工图的，应当在专用条款内约定提供的日期和份数。 </w:t>
      </w:r>
      <w:r>
        <w:rPr>
          <w:rFonts w:hint="eastAsia" w:ascii="宋体" w:hAnsi="宋体"/>
          <w:color w:val="auto"/>
          <w:sz w:val="24"/>
          <w:highlight w:val="none"/>
        </w:rPr>
        <w:br w:type="textWrapping"/>
      </w:r>
      <w:r>
        <w:rPr>
          <w:rFonts w:hint="eastAsia" w:ascii="宋体" w:hAnsi="宋体"/>
          <w:color w:val="auto"/>
          <w:sz w:val="24"/>
          <w:highlight w:val="none"/>
        </w:rPr>
        <w:t xml:space="preserve">　　26.2发包人收到竣工验收报告后28天内组织有关单位验收，并在验收后14天内给予认可或提出修改意见。承包人按要求修改，并承担由自身原因造成修改的费用。 </w:t>
      </w:r>
      <w:r>
        <w:rPr>
          <w:rFonts w:hint="eastAsia" w:ascii="宋体" w:hAnsi="宋体"/>
          <w:color w:val="auto"/>
          <w:sz w:val="24"/>
          <w:highlight w:val="none"/>
        </w:rPr>
        <w:br w:type="textWrapping"/>
      </w:r>
      <w:r>
        <w:rPr>
          <w:rFonts w:hint="eastAsia" w:ascii="宋体" w:hAnsi="宋体"/>
          <w:color w:val="auto"/>
          <w:sz w:val="24"/>
          <w:highlight w:val="none"/>
        </w:rPr>
        <w:t xml:space="preserve">　　26.3发包人收到承包人送交的竣工验收报告后28天内不组织验收，或验收后14天内不提出修改意见，视为竣工验收报告已被认可。 </w:t>
      </w:r>
      <w:r>
        <w:rPr>
          <w:rFonts w:hint="eastAsia" w:ascii="宋体" w:hAnsi="宋体"/>
          <w:color w:val="auto"/>
          <w:sz w:val="24"/>
          <w:highlight w:val="none"/>
        </w:rPr>
        <w:br w:type="textWrapping"/>
      </w:r>
      <w:r>
        <w:rPr>
          <w:rFonts w:hint="eastAsia" w:ascii="宋体" w:hAnsi="宋体"/>
          <w:color w:val="auto"/>
          <w:sz w:val="24"/>
          <w:highlight w:val="none"/>
        </w:rPr>
        <w:t xml:space="preserve">　　26.4工程竣工验收通过，承包人送交竣工验收报告的日期为实际竣工日期。工程按发包人要求修改后通过竣工验收的，实际竣工日期为承包人修改后提请发包人验收的日期。 </w:t>
      </w:r>
      <w:r>
        <w:rPr>
          <w:rFonts w:hint="eastAsia" w:ascii="宋体" w:hAnsi="宋体"/>
          <w:color w:val="auto"/>
          <w:sz w:val="24"/>
          <w:highlight w:val="none"/>
        </w:rPr>
        <w:br w:type="textWrapping"/>
      </w:r>
      <w:r>
        <w:rPr>
          <w:rFonts w:hint="eastAsia" w:ascii="宋体" w:hAnsi="宋体"/>
          <w:color w:val="auto"/>
          <w:sz w:val="24"/>
          <w:highlight w:val="none"/>
        </w:rPr>
        <w:t xml:space="preserve">　　26.5发包人收到承包人竣工验收报告后28天内不组织验收，从第29天起承担工程保管及一切意外责任。 </w:t>
      </w:r>
      <w:r>
        <w:rPr>
          <w:rFonts w:hint="eastAsia" w:ascii="宋体" w:hAnsi="宋体"/>
          <w:color w:val="auto"/>
          <w:sz w:val="24"/>
          <w:highlight w:val="none"/>
        </w:rPr>
        <w:br w:type="textWrapping"/>
      </w:r>
      <w:r>
        <w:rPr>
          <w:rFonts w:hint="eastAsia" w:ascii="宋体" w:hAnsi="宋体"/>
          <w:color w:val="auto"/>
          <w:sz w:val="24"/>
          <w:highlight w:val="none"/>
        </w:rPr>
        <w:t xml:space="preserve">　　26.6工程未经竣工验收或竣工验收未通过的，发包人不得使用。发包人强行使用时，由此发生的质量问题及其他问题，由发包人承担责任。 </w:t>
      </w:r>
      <w:r>
        <w:rPr>
          <w:rFonts w:hint="eastAsia" w:ascii="宋体" w:hAnsi="宋体"/>
          <w:color w:val="auto"/>
          <w:sz w:val="24"/>
          <w:highlight w:val="none"/>
        </w:rPr>
        <w:br w:type="textWrapping"/>
      </w:r>
      <w:r>
        <w:rPr>
          <w:rFonts w:hint="eastAsia" w:ascii="宋体" w:hAnsi="宋体"/>
          <w:b/>
          <w:bCs/>
          <w:color w:val="auto"/>
          <w:sz w:val="24"/>
          <w:szCs w:val="18"/>
          <w:highlight w:val="none"/>
        </w:rPr>
        <w:t xml:space="preserve">　　27、竣工结算 </w:t>
      </w:r>
      <w:r>
        <w:rPr>
          <w:rFonts w:hint="eastAsia" w:ascii="宋体" w:hAnsi="宋体"/>
          <w:color w:val="auto"/>
          <w:sz w:val="24"/>
          <w:szCs w:val="18"/>
          <w:highlight w:val="none"/>
        </w:rPr>
        <w:br w:type="textWrapping"/>
      </w:r>
      <w:r>
        <w:rPr>
          <w:rFonts w:hint="eastAsia" w:ascii="宋体" w:hAnsi="宋体"/>
          <w:color w:val="auto"/>
          <w:sz w:val="24"/>
          <w:highlight w:val="none"/>
        </w:rPr>
        <w:t xml:space="preserve">　　27.1工程竣工验收报告经发包人认可后28天内，承包人向发包人递交竣工结算报告及完整的结算资料，双方按照协议书约定的合同价款及专用条款约定的合同价款调整内容，进行工程竣工结算。 </w:t>
      </w:r>
    </w:p>
    <w:p w14:paraId="0BEECF64">
      <w:pPr>
        <w:spacing w:line="500" w:lineRule="exact"/>
        <w:ind w:firstLine="540" w:firstLineChars="225"/>
        <w:rPr>
          <w:rFonts w:ascii="宋体" w:hAnsi="宋体"/>
          <w:color w:val="auto"/>
          <w:sz w:val="24"/>
          <w:highlight w:val="none"/>
        </w:rPr>
      </w:pPr>
      <w:r>
        <w:rPr>
          <w:rFonts w:hint="eastAsia" w:ascii="宋体" w:hAnsi="宋体"/>
          <w:color w:val="auto"/>
          <w:sz w:val="24"/>
          <w:highlight w:val="none"/>
        </w:rPr>
        <w:t xml:space="preserve">27.2发包人收到承包人递交的竣工结算报告及结算资料后28天内进行核实，给予确认或者提出修改意见。发包人确认竣工结算报告向承包人支付工程竣工结算价款。承包人收到竣工结算价款后14天内将竣工工程交付发包人。 </w:t>
      </w:r>
      <w:r>
        <w:rPr>
          <w:rFonts w:hint="eastAsia" w:ascii="宋体" w:hAnsi="宋体"/>
          <w:color w:val="auto"/>
          <w:sz w:val="24"/>
          <w:highlight w:val="none"/>
        </w:rPr>
        <w:br w:type="textWrapping"/>
      </w:r>
      <w:r>
        <w:rPr>
          <w:rFonts w:hint="eastAsia" w:ascii="宋体" w:hAnsi="宋体"/>
          <w:color w:val="auto"/>
          <w:sz w:val="24"/>
          <w:highlight w:val="none"/>
        </w:rPr>
        <w:t xml:space="preserve">　　27.3发包人收到竣工结算报告及结算资料后28天内无正当理由不支付工程竣工结算价款，从第29天起按承包人同期向银行贷款利率支付拖欠工程价款的利息，并承担违约责任。 </w:t>
      </w:r>
      <w:r>
        <w:rPr>
          <w:rFonts w:hint="eastAsia" w:ascii="宋体" w:hAnsi="宋体"/>
          <w:color w:val="auto"/>
          <w:sz w:val="24"/>
          <w:highlight w:val="none"/>
        </w:rPr>
        <w:br w:type="textWrapping"/>
      </w:r>
      <w:r>
        <w:rPr>
          <w:rFonts w:hint="eastAsia" w:ascii="宋体" w:hAnsi="宋体"/>
          <w:color w:val="auto"/>
          <w:sz w:val="24"/>
          <w:highlight w:val="none"/>
        </w:rPr>
        <w:t xml:space="preserve">　　27.4工程竣工验收报告经发包人认可后28天内，承包人未能向发包人递交竣工结算报告及完整的结算资料，造成工程竣工结算不能正常进行或工程竣工结算价款不能及时支付，发包人要求交付工程的，承包人应当交付；发包人不要求交付工程的，承包人承担保管责任。 </w:t>
      </w:r>
      <w:r>
        <w:rPr>
          <w:rFonts w:hint="eastAsia" w:ascii="宋体" w:hAnsi="宋体"/>
          <w:color w:val="auto"/>
          <w:sz w:val="24"/>
          <w:highlight w:val="none"/>
        </w:rPr>
        <w:br w:type="textWrapping"/>
      </w:r>
      <w:r>
        <w:rPr>
          <w:rFonts w:hint="eastAsia" w:ascii="宋体" w:hAnsi="宋体"/>
          <w:color w:val="auto"/>
          <w:sz w:val="24"/>
          <w:highlight w:val="none"/>
        </w:rPr>
        <w:t>　　28、售后服务要求 ：</w:t>
      </w:r>
    </w:p>
    <w:p w14:paraId="30BB08E2">
      <w:pPr>
        <w:spacing w:line="500" w:lineRule="exact"/>
        <w:ind w:firstLine="472" w:firstLineChars="196"/>
        <w:rPr>
          <w:rFonts w:ascii="宋体" w:hAnsi="宋体"/>
          <w:b/>
          <w:bCs/>
          <w:color w:val="auto"/>
          <w:sz w:val="24"/>
          <w:szCs w:val="18"/>
          <w:highlight w:val="none"/>
        </w:rPr>
      </w:pPr>
      <w:r>
        <w:rPr>
          <w:rFonts w:hint="eastAsia" w:ascii="宋体" w:hAnsi="宋体"/>
          <w:b/>
          <w:bCs/>
          <w:color w:val="auto"/>
          <w:sz w:val="24"/>
          <w:szCs w:val="18"/>
          <w:highlight w:val="none"/>
        </w:rPr>
        <w:t xml:space="preserve">十、违约、索赔和争议 </w:t>
      </w:r>
    </w:p>
    <w:p w14:paraId="7DC74D73">
      <w:pPr>
        <w:spacing w:line="500" w:lineRule="exact"/>
        <w:ind w:firstLine="472" w:firstLineChars="196"/>
        <w:rPr>
          <w:rFonts w:ascii="宋体" w:hAnsi="宋体"/>
          <w:color w:val="auto"/>
          <w:sz w:val="24"/>
          <w:highlight w:val="none"/>
        </w:rPr>
      </w:pPr>
      <w:r>
        <w:rPr>
          <w:rFonts w:hint="eastAsia" w:ascii="宋体" w:hAnsi="宋体"/>
          <w:b/>
          <w:bCs/>
          <w:color w:val="auto"/>
          <w:sz w:val="24"/>
          <w:szCs w:val="18"/>
          <w:highlight w:val="none"/>
        </w:rPr>
        <w:t xml:space="preserve">29、违约 </w:t>
      </w:r>
      <w:r>
        <w:rPr>
          <w:rFonts w:hint="eastAsia" w:ascii="宋体" w:hAnsi="宋体"/>
          <w:color w:val="auto"/>
          <w:sz w:val="24"/>
          <w:szCs w:val="18"/>
          <w:highlight w:val="none"/>
        </w:rPr>
        <w:br w:type="textWrapping"/>
      </w:r>
      <w:r>
        <w:rPr>
          <w:rFonts w:hint="eastAsia" w:ascii="宋体" w:hAnsi="宋体"/>
          <w:color w:val="auto"/>
          <w:sz w:val="24"/>
          <w:szCs w:val="18"/>
          <w:highlight w:val="none"/>
        </w:rPr>
        <w:t>　　</w:t>
      </w:r>
      <w:r>
        <w:rPr>
          <w:rFonts w:hint="eastAsia" w:ascii="宋体" w:hAnsi="宋体"/>
          <w:color w:val="auto"/>
          <w:sz w:val="24"/>
          <w:highlight w:val="none"/>
        </w:rPr>
        <w:t xml:space="preserve">29.1 发包人违约。当发生下列情况时： </w:t>
      </w:r>
      <w:r>
        <w:rPr>
          <w:rFonts w:hint="eastAsia" w:ascii="宋体" w:hAnsi="宋体"/>
          <w:color w:val="auto"/>
          <w:sz w:val="24"/>
          <w:highlight w:val="none"/>
        </w:rPr>
        <w:br w:type="textWrapping"/>
      </w:r>
      <w:r>
        <w:rPr>
          <w:rFonts w:hint="eastAsia" w:ascii="宋体" w:hAnsi="宋体"/>
          <w:color w:val="auto"/>
          <w:sz w:val="24"/>
          <w:highlight w:val="none"/>
        </w:rPr>
        <w:t xml:space="preserve">　　(1)发包人不按时支付工程预付款； </w:t>
      </w:r>
      <w:r>
        <w:rPr>
          <w:rFonts w:hint="eastAsia" w:ascii="宋体" w:hAnsi="宋体"/>
          <w:color w:val="auto"/>
          <w:sz w:val="24"/>
          <w:highlight w:val="none"/>
        </w:rPr>
        <w:br w:type="textWrapping"/>
      </w:r>
      <w:r>
        <w:rPr>
          <w:rFonts w:hint="eastAsia" w:ascii="宋体" w:hAnsi="宋体"/>
          <w:color w:val="auto"/>
          <w:sz w:val="24"/>
          <w:highlight w:val="none"/>
        </w:rPr>
        <w:t xml:space="preserve">　　(2)发包人不按合同约定支付工程款，导致施工无法进行； </w:t>
      </w:r>
      <w:r>
        <w:rPr>
          <w:rFonts w:hint="eastAsia" w:ascii="宋体" w:hAnsi="宋体"/>
          <w:color w:val="auto"/>
          <w:sz w:val="24"/>
          <w:highlight w:val="none"/>
        </w:rPr>
        <w:br w:type="textWrapping"/>
      </w:r>
      <w:r>
        <w:rPr>
          <w:rFonts w:hint="eastAsia" w:ascii="宋体" w:hAnsi="宋体"/>
          <w:color w:val="auto"/>
          <w:sz w:val="24"/>
          <w:highlight w:val="none"/>
        </w:rPr>
        <w:t xml:space="preserve">　　(3)发包人无正当理由不支付工程竣工结算价款； </w:t>
      </w:r>
      <w:r>
        <w:rPr>
          <w:rFonts w:hint="eastAsia" w:ascii="宋体" w:hAnsi="宋体"/>
          <w:color w:val="auto"/>
          <w:sz w:val="24"/>
          <w:highlight w:val="none"/>
        </w:rPr>
        <w:br w:type="textWrapping"/>
      </w:r>
      <w:r>
        <w:rPr>
          <w:rFonts w:hint="eastAsia" w:ascii="宋体" w:hAnsi="宋体"/>
          <w:color w:val="auto"/>
          <w:sz w:val="24"/>
          <w:highlight w:val="none"/>
        </w:rPr>
        <w:t xml:space="preserve">　　(4)发包人不履行合同义务或不按合同约定履行义务的其他情况。 </w:t>
      </w:r>
      <w:r>
        <w:rPr>
          <w:rFonts w:hint="eastAsia" w:ascii="宋体" w:hAnsi="宋体"/>
          <w:color w:val="auto"/>
          <w:sz w:val="24"/>
          <w:highlight w:val="none"/>
        </w:rPr>
        <w:br w:type="textWrapping"/>
      </w:r>
      <w:r>
        <w:rPr>
          <w:rFonts w:hint="eastAsia" w:ascii="宋体" w:hAnsi="宋体"/>
          <w:color w:val="auto"/>
          <w:sz w:val="24"/>
          <w:highlight w:val="none"/>
        </w:rPr>
        <w:t>　　发包人承担违约责任，赔偿因其违约给承包人造成的经济损失，顺延延误的工期。</w:t>
      </w:r>
    </w:p>
    <w:p w14:paraId="02404A04">
      <w:pPr>
        <w:spacing w:line="500" w:lineRule="exact"/>
        <w:ind w:firstLine="540" w:firstLineChars="225"/>
        <w:rPr>
          <w:rFonts w:ascii="宋体" w:hAnsi="宋体"/>
          <w:color w:val="auto"/>
          <w:sz w:val="24"/>
          <w:highlight w:val="none"/>
        </w:rPr>
      </w:pPr>
      <w:r>
        <w:rPr>
          <w:rFonts w:hint="eastAsia" w:ascii="宋体" w:hAnsi="宋体"/>
          <w:color w:val="auto"/>
          <w:sz w:val="24"/>
          <w:highlight w:val="none"/>
        </w:rPr>
        <w:t xml:space="preserve">29.2承包人违约。当发生下列情况时： </w:t>
      </w:r>
      <w:r>
        <w:rPr>
          <w:rFonts w:hint="eastAsia" w:ascii="宋体" w:hAnsi="宋体"/>
          <w:color w:val="auto"/>
          <w:sz w:val="24"/>
          <w:highlight w:val="none"/>
        </w:rPr>
        <w:br w:type="textWrapping"/>
      </w:r>
      <w:r>
        <w:rPr>
          <w:rFonts w:hint="eastAsia" w:ascii="宋体" w:hAnsi="宋体"/>
          <w:color w:val="auto"/>
          <w:sz w:val="24"/>
          <w:highlight w:val="none"/>
        </w:rPr>
        <w:t xml:space="preserve">　　(1)因承包人原因不能按照约定的竣工日期或工程师同意顺延的工期竣工； </w:t>
      </w:r>
      <w:r>
        <w:rPr>
          <w:rFonts w:hint="eastAsia" w:ascii="宋体" w:hAnsi="宋体"/>
          <w:color w:val="auto"/>
          <w:sz w:val="24"/>
          <w:highlight w:val="none"/>
        </w:rPr>
        <w:br w:type="textWrapping"/>
      </w:r>
      <w:r>
        <w:rPr>
          <w:rFonts w:hint="eastAsia" w:ascii="宋体" w:hAnsi="宋体"/>
          <w:color w:val="auto"/>
          <w:sz w:val="24"/>
          <w:highlight w:val="none"/>
        </w:rPr>
        <w:t xml:space="preserve">　　(2)因承包人原因工程质量达不到协议书约定的质量标准； </w:t>
      </w:r>
      <w:r>
        <w:rPr>
          <w:rFonts w:hint="eastAsia" w:ascii="宋体" w:hAnsi="宋体"/>
          <w:color w:val="auto"/>
          <w:sz w:val="24"/>
          <w:highlight w:val="none"/>
        </w:rPr>
        <w:br w:type="textWrapping"/>
      </w:r>
      <w:r>
        <w:rPr>
          <w:rFonts w:hint="eastAsia" w:ascii="宋体" w:hAnsi="宋体"/>
          <w:color w:val="auto"/>
          <w:sz w:val="24"/>
          <w:highlight w:val="none"/>
        </w:rPr>
        <w:t xml:space="preserve">　　(3) 承包人不履行合同义务或不按合同约定履行义务的其他情况。 </w:t>
      </w:r>
      <w:r>
        <w:rPr>
          <w:rFonts w:hint="eastAsia" w:ascii="宋体" w:hAnsi="宋体"/>
          <w:color w:val="auto"/>
          <w:sz w:val="24"/>
          <w:highlight w:val="none"/>
        </w:rPr>
        <w:br w:type="textWrapping"/>
      </w:r>
      <w:r>
        <w:rPr>
          <w:rFonts w:hint="eastAsia" w:ascii="宋体" w:hAnsi="宋体"/>
          <w:color w:val="auto"/>
          <w:sz w:val="24"/>
          <w:highlight w:val="none"/>
        </w:rPr>
        <w:t xml:space="preserve">　　29.3一方违约后，另一方要求违约方继续履行合同时，违约方承担上述违约责任后仍应继续履行合同。 </w:t>
      </w:r>
      <w:r>
        <w:rPr>
          <w:rFonts w:hint="eastAsia" w:ascii="宋体" w:hAnsi="宋体"/>
          <w:color w:val="auto"/>
          <w:sz w:val="24"/>
          <w:highlight w:val="none"/>
        </w:rPr>
        <w:br w:type="textWrapping"/>
      </w:r>
      <w:r>
        <w:rPr>
          <w:rFonts w:hint="eastAsia" w:ascii="宋体" w:hAnsi="宋体"/>
          <w:color w:val="auto"/>
          <w:sz w:val="24"/>
          <w:szCs w:val="18"/>
          <w:highlight w:val="none"/>
        </w:rPr>
        <w:t>　　</w:t>
      </w:r>
      <w:r>
        <w:rPr>
          <w:rFonts w:hint="eastAsia" w:ascii="宋体" w:hAnsi="宋体"/>
          <w:b/>
          <w:bCs/>
          <w:color w:val="auto"/>
          <w:sz w:val="24"/>
          <w:szCs w:val="18"/>
          <w:highlight w:val="none"/>
        </w:rPr>
        <w:t xml:space="preserve">30、索赔 </w:t>
      </w:r>
      <w:r>
        <w:rPr>
          <w:rFonts w:hint="eastAsia" w:ascii="宋体" w:hAnsi="宋体"/>
          <w:color w:val="auto"/>
          <w:sz w:val="24"/>
          <w:szCs w:val="18"/>
          <w:highlight w:val="none"/>
        </w:rPr>
        <w:br w:type="textWrapping"/>
      </w:r>
      <w:r>
        <w:rPr>
          <w:rFonts w:hint="eastAsia" w:ascii="宋体" w:hAnsi="宋体"/>
          <w:color w:val="auto"/>
          <w:sz w:val="24"/>
          <w:szCs w:val="18"/>
          <w:highlight w:val="none"/>
        </w:rPr>
        <w:t>　　</w:t>
      </w:r>
      <w:r>
        <w:rPr>
          <w:rFonts w:hint="eastAsia" w:ascii="宋体" w:hAnsi="宋体"/>
          <w:color w:val="auto"/>
          <w:sz w:val="24"/>
          <w:highlight w:val="none"/>
        </w:rPr>
        <w:t xml:space="preserve">30.1当一方向另一方提出索赔时，要有正当索赔理由，且有索赔事件发生时的有效证据。 </w:t>
      </w:r>
      <w:r>
        <w:rPr>
          <w:rFonts w:hint="eastAsia" w:ascii="宋体" w:hAnsi="宋体"/>
          <w:color w:val="auto"/>
          <w:sz w:val="24"/>
          <w:highlight w:val="none"/>
        </w:rPr>
        <w:br w:type="textWrapping"/>
      </w:r>
      <w:r>
        <w:rPr>
          <w:rFonts w:hint="eastAsia" w:ascii="宋体" w:hAnsi="宋体"/>
          <w:color w:val="auto"/>
          <w:sz w:val="24"/>
          <w:highlight w:val="none"/>
        </w:rPr>
        <w:t xml:space="preserve">　　30.2发包人未能按合同约定履行自己的各项义务或发生错误以及应由发包人承担责任的其他情况，造成工期延误和(或)承包人不能及时得到合同价款及承包人的其他经济损失，承包人可按下列程序以书面形式向发包人索赔： </w:t>
      </w:r>
      <w:r>
        <w:rPr>
          <w:rFonts w:hint="eastAsia" w:ascii="宋体" w:hAnsi="宋体"/>
          <w:color w:val="auto"/>
          <w:sz w:val="24"/>
          <w:highlight w:val="none"/>
        </w:rPr>
        <w:br w:type="textWrapping"/>
      </w:r>
      <w:r>
        <w:rPr>
          <w:rFonts w:hint="eastAsia" w:ascii="宋体" w:hAnsi="宋体"/>
          <w:color w:val="auto"/>
          <w:sz w:val="24"/>
          <w:highlight w:val="none"/>
        </w:rPr>
        <w:t xml:space="preserve">　　(1)索赔事件发生后28天内，向工程师发出索赔意向通知； </w:t>
      </w:r>
      <w:r>
        <w:rPr>
          <w:rFonts w:hint="eastAsia" w:ascii="宋体" w:hAnsi="宋体"/>
          <w:color w:val="auto"/>
          <w:sz w:val="24"/>
          <w:highlight w:val="none"/>
        </w:rPr>
        <w:br w:type="textWrapping"/>
      </w:r>
      <w:r>
        <w:rPr>
          <w:rFonts w:hint="eastAsia" w:ascii="宋体" w:hAnsi="宋体"/>
          <w:color w:val="auto"/>
          <w:sz w:val="24"/>
          <w:highlight w:val="none"/>
        </w:rPr>
        <w:t xml:space="preserve">　　(2)发出索赔意向通知后28天内，向工程师提出延长工期和(或)补偿经济损失的索赔报告及有关资料； </w:t>
      </w:r>
      <w:r>
        <w:rPr>
          <w:rFonts w:hint="eastAsia" w:ascii="宋体" w:hAnsi="宋体"/>
          <w:color w:val="auto"/>
          <w:sz w:val="24"/>
          <w:highlight w:val="none"/>
        </w:rPr>
        <w:br w:type="textWrapping"/>
      </w:r>
      <w:r>
        <w:rPr>
          <w:rFonts w:hint="eastAsia" w:ascii="宋体" w:hAnsi="宋体"/>
          <w:color w:val="auto"/>
          <w:sz w:val="24"/>
          <w:highlight w:val="none"/>
        </w:rPr>
        <w:t xml:space="preserve">　　(3)工程师在收到承包人送交的索赔报告和有关资料后，于28天内给予答复，或要求承包人进一步补充索赔理由和证据； </w:t>
      </w:r>
      <w:r>
        <w:rPr>
          <w:rFonts w:hint="eastAsia" w:ascii="宋体" w:hAnsi="宋体"/>
          <w:color w:val="auto"/>
          <w:sz w:val="24"/>
          <w:highlight w:val="none"/>
        </w:rPr>
        <w:br w:type="textWrapping"/>
      </w:r>
      <w:r>
        <w:rPr>
          <w:rFonts w:hint="eastAsia" w:ascii="宋体" w:hAnsi="宋体"/>
          <w:color w:val="auto"/>
          <w:sz w:val="24"/>
          <w:highlight w:val="none"/>
        </w:rPr>
        <w:t xml:space="preserve">　　(4)工程师在收到承包人送交的索赔报告和有关资料后28天内未予答复或未对承包人作进一步要求，视为该项索赔已经认可； </w:t>
      </w:r>
      <w:r>
        <w:rPr>
          <w:rFonts w:hint="eastAsia" w:ascii="宋体" w:hAnsi="宋体"/>
          <w:color w:val="auto"/>
          <w:sz w:val="24"/>
          <w:highlight w:val="none"/>
        </w:rPr>
        <w:br w:type="textWrapping"/>
      </w:r>
      <w:r>
        <w:rPr>
          <w:rFonts w:hint="eastAsia" w:ascii="宋体" w:hAnsi="宋体"/>
          <w:color w:val="auto"/>
          <w:sz w:val="24"/>
          <w:highlight w:val="none"/>
        </w:rPr>
        <w:t xml:space="preserve">　　(5)当该索赔事件持续进行时，承包人应当阶段性向工程师发出索赔意向，在索赔事件终了后28天内，向工程师送交索赔的有关资料和最终索赔报告。 </w:t>
      </w:r>
      <w:r>
        <w:rPr>
          <w:rFonts w:hint="eastAsia" w:ascii="宋体" w:hAnsi="宋体"/>
          <w:color w:val="auto"/>
          <w:sz w:val="24"/>
          <w:highlight w:val="none"/>
        </w:rPr>
        <w:br w:type="textWrapping"/>
      </w:r>
      <w:r>
        <w:rPr>
          <w:rFonts w:hint="eastAsia" w:ascii="宋体" w:hAnsi="宋体"/>
          <w:color w:val="auto"/>
          <w:sz w:val="24"/>
          <w:highlight w:val="none"/>
        </w:rPr>
        <w:t xml:space="preserve">　　30.3承包人未能按合同约定履行自己的各项义务或发生错误，给发包人造成经济损失，发包人可按确定的时限向承包人提出索赔。 </w:t>
      </w:r>
      <w:r>
        <w:rPr>
          <w:rFonts w:hint="eastAsia" w:ascii="宋体" w:hAnsi="宋体"/>
          <w:color w:val="auto"/>
          <w:sz w:val="24"/>
          <w:highlight w:val="none"/>
        </w:rPr>
        <w:br w:type="textWrapping"/>
      </w:r>
      <w:r>
        <w:rPr>
          <w:rFonts w:hint="eastAsia" w:ascii="宋体" w:hAnsi="宋体"/>
          <w:color w:val="auto"/>
          <w:sz w:val="24"/>
          <w:szCs w:val="18"/>
          <w:highlight w:val="none"/>
        </w:rPr>
        <w:t>　</w:t>
      </w:r>
      <w:r>
        <w:rPr>
          <w:rFonts w:hint="eastAsia" w:ascii="宋体" w:hAnsi="宋体"/>
          <w:b/>
          <w:bCs/>
          <w:color w:val="auto"/>
          <w:sz w:val="24"/>
          <w:szCs w:val="18"/>
          <w:highlight w:val="none"/>
        </w:rPr>
        <w:t xml:space="preserve">　31、争议 </w:t>
      </w:r>
      <w:r>
        <w:rPr>
          <w:rFonts w:hint="eastAsia" w:ascii="宋体" w:hAnsi="宋体"/>
          <w:color w:val="auto"/>
          <w:sz w:val="24"/>
          <w:szCs w:val="18"/>
          <w:highlight w:val="none"/>
        </w:rPr>
        <w:br w:type="textWrapping"/>
      </w:r>
      <w:r>
        <w:rPr>
          <w:rFonts w:hint="eastAsia" w:ascii="宋体" w:hAnsi="宋体"/>
          <w:color w:val="auto"/>
          <w:sz w:val="24"/>
          <w:szCs w:val="18"/>
          <w:highlight w:val="none"/>
        </w:rPr>
        <w:t>　　</w:t>
      </w:r>
      <w:r>
        <w:rPr>
          <w:rFonts w:hint="eastAsia" w:ascii="宋体" w:hAnsi="宋体"/>
          <w:color w:val="auto"/>
          <w:sz w:val="24"/>
          <w:highlight w:val="none"/>
        </w:rPr>
        <w:t xml:space="preserve">31.1发包人、承包人在履行合同时发生争议，可以和解或者要求有关主管部门调解。当事人不愿和解、调解或者和解、调解不成的，双方可以在专用条款内约定以下一种方式解决争议： 第一种解决方式：双方达成仲裁协议，向约定的仲裁委员会申请仲裁； 第二种解决方式：向有管辖权的人民法院起诉。 </w:t>
      </w:r>
      <w:r>
        <w:rPr>
          <w:rFonts w:hint="eastAsia" w:ascii="宋体" w:hAnsi="宋体"/>
          <w:color w:val="auto"/>
          <w:sz w:val="24"/>
          <w:highlight w:val="none"/>
        </w:rPr>
        <w:br w:type="textWrapping"/>
      </w:r>
      <w:r>
        <w:rPr>
          <w:rFonts w:hint="eastAsia" w:ascii="宋体" w:hAnsi="宋体"/>
          <w:color w:val="auto"/>
          <w:sz w:val="24"/>
          <w:highlight w:val="none"/>
        </w:rPr>
        <w:t xml:space="preserve">　　31.2发生争议后，除非出现下列情况的，双方都应继续履行合同，保持施工连续，保护好已完工程： </w:t>
      </w:r>
      <w:r>
        <w:rPr>
          <w:rFonts w:hint="eastAsia" w:ascii="宋体" w:hAnsi="宋体"/>
          <w:color w:val="auto"/>
          <w:sz w:val="24"/>
          <w:highlight w:val="none"/>
        </w:rPr>
        <w:br w:type="textWrapping"/>
      </w:r>
      <w:r>
        <w:rPr>
          <w:rFonts w:hint="eastAsia" w:ascii="宋体" w:hAnsi="宋体"/>
          <w:color w:val="auto"/>
          <w:sz w:val="24"/>
          <w:highlight w:val="none"/>
        </w:rPr>
        <w:t xml:space="preserve">　　(1)单方违约导致合同确已无法履行，双方协议停止施工； </w:t>
      </w:r>
      <w:r>
        <w:rPr>
          <w:rFonts w:hint="eastAsia" w:ascii="宋体" w:hAnsi="宋体"/>
          <w:color w:val="auto"/>
          <w:sz w:val="24"/>
          <w:highlight w:val="none"/>
        </w:rPr>
        <w:br w:type="textWrapping"/>
      </w:r>
      <w:r>
        <w:rPr>
          <w:rFonts w:hint="eastAsia" w:ascii="宋体" w:hAnsi="宋体"/>
          <w:color w:val="auto"/>
          <w:sz w:val="24"/>
          <w:highlight w:val="none"/>
        </w:rPr>
        <w:t xml:space="preserve">　　(2)调解要求停止施工，且为双方接受； </w:t>
      </w:r>
      <w:r>
        <w:rPr>
          <w:rFonts w:hint="eastAsia" w:ascii="宋体" w:hAnsi="宋体"/>
          <w:color w:val="auto"/>
          <w:sz w:val="24"/>
          <w:highlight w:val="none"/>
        </w:rPr>
        <w:br w:type="textWrapping"/>
      </w:r>
      <w:r>
        <w:rPr>
          <w:rFonts w:hint="eastAsia" w:ascii="宋体" w:hAnsi="宋体"/>
          <w:color w:val="auto"/>
          <w:sz w:val="24"/>
          <w:highlight w:val="none"/>
        </w:rPr>
        <w:t xml:space="preserve">　　(3)仲裁机构要求停止施工； </w:t>
      </w:r>
      <w:r>
        <w:rPr>
          <w:rFonts w:hint="eastAsia" w:ascii="宋体" w:hAnsi="宋体"/>
          <w:color w:val="auto"/>
          <w:sz w:val="24"/>
          <w:highlight w:val="none"/>
        </w:rPr>
        <w:br w:type="textWrapping"/>
      </w:r>
      <w:r>
        <w:rPr>
          <w:rFonts w:hint="eastAsia" w:ascii="宋体" w:hAnsi="宋体"/>
          <w:color w:val="auto"/>
          <w:sz w:val="24"/>
          <w:highlight w:val="none"/>
        </w:rPr>
        <w:t xml:space="preserve">　　(4)法院要求停止施工。 </w:t>
      </w:r>
    </w:p>
    <w:p w14:paraId="55A19AA3">
      <w:pPr>
        <w:spacing w:line="500" w:lineRule="exact"/>
        <w:ind w:firstLine="361" w:firstLineChars="150"/>
        <w:rPr>
          <w:rFonts w:ascii="宋体" w:hAnsi="宋体"/>
          <w:color w:val="auto"/>
          <w:sz w:val="24"/>
          <w:highlight w:val="none"/>
        </w:rPr>
      </w:pPr>
      <w:r>
        <w:rPr>
          <w:rFonts w:hint="eastAsia" w:ascii="宋体" w:hAnsi="宋体"/>
          <w:b/>
          <w:bCs/>
          <w:color w:val="auto"/>
          <w:sz w:val="24"/>
          <w:szCs w:val="18"/>
          <w:highlight w:val="none"/>
        </w:rPr>
        <w:t xml:space="preserve">十一、其他 </w:t>
      </w:r>
      <w:r>
        <w:rPr>
          <w:rFonts w:hint="eastAsia" w:ascii="宋体" w:hAnsi="宋体"/>
          <w:color w:val="auto"/>
          <w:sz w:val="24"/>
          <w:szCs w:val="18"/>
          <w:highlight w:val="none"/>
        </w:rPr>
        <w:br w:type="textWrapping"/>
      </w:r>
      <w:r>
        <w:rPr>
          <w:rFonts w:hint="eastAsia" w:ascii="宋体" w:hAnsi="宋体"/>
          <w:b/>
          <w:bCs/>
          <w:color w:val="auto"/>
          <w:sz w:val="24"/>
          <w:szCs w:val="18"/>
          <w:highlight w:val="none"/>
        </w:rPr>
        <w:t xml:space="preserve">　　32、工程分包 </w:t>
      </w:r>
      <w:r>
        <w:rPr>
          <w:rFonts w:hint="eastAsia" w:ascii="宋体" w:hAnsi="宋体"/>
          <w:color w:val="auto"/>
          <w:sz w:val="24"/>
          <w:szCs w:val="18"/>
          <w:highlight w:val="none"/>
        </w:rPr>
        <w:br w:type="textWrapping"/>
      </w:r>
      <w:r>
        <w:rPr>
          <w:rFonts w:hint="eastAsia" w:ascii="宋体" w:hAnsi="宋体"/>
          <w:color w:val="auto"/>
          <w:sz w:val="24"/>
          <w:szCs w:val="18"/>
          <w:highlight w:val="none"/>
        </w:rPr>
        <w:t>　　3</w:t>
      </w:r>
      <w:r>
        <w:rPr>
          <w:rFonts w:hint="eastAsia" w:ascii="宋体" w:hAnsi="宋体"/>
          <w:color w:val="auto"/>
          <w:sz w:val="24"/>
          <w:highlight w:val="none"/>
        </w:rPr>
        <w:t xml:space="preserve">2.1非经发包人同意，承包人不得将承包工程的任何部分分包。 </w:t>
      </w:r>
      <w:r>
        <w:rPr>
          <w:rFonts w:hint="eastAsia" w:ascii="宋体" w:hAnsi="宋体"/>
          <w:color w:val="auto"/>
          <w:sz w:val="24"/>
          <w:highlight w:val="none"/>
        </w:rPr>
        <w:br w:type="textWrapping"/>
      </w:r>
      <w:r>
        <w:rPr>
          <w:rFonts w:hint="eastAsia" w:ascii="宋体" w:hAnsi="宋体"/>
          <w:color w:val="auto"/>
          <w:sz w:val="24"/>
          <w:szCs w:val="18"/>
          <w:highlight w:val="none"/>
        </w:rPr>
        <w:t>　　</w:t>
      </w:r>
      <w:r>
        <w:rPr>
          <w:rFonts w:hint="eastAsia" w:ascii="宋体" w:hAnsi="宋体"/>
          <w:b/>
          <w:bCs/>
          <w:color w:val="auto"/>
          <w:sz w:val="24"/>
          <w:szCs w:val="18"/>
          <w:highlight w:val="none"/>
        </w:rPr>
        <w:t xml:space="preserve">33、合同解除 </w:t>
      </w:r>
      <w:r>
        <w:rPr>
          <w:rFonts w:hint="eastAsia" w:ascii="宋体" w:hAnsi="宋体"/>
          <w:color w:val="auto"/>
          <w:sz w:val="24"/>
          <w:szCs w:val="18"/>
          <w:highlight w:val="none"/>
        </w:rPr>
        <w:br w:type="textWrapping"/>
      </w:r>
      <w:r>
        <w:rPr>
          <w:rFonts w:hint="eastAsia" w:ascii="宋体" w:hAnsi="宋体"/>
          <w:color w:val="auto"/>
          <w:sz w:val="24"/>
          <w:szCs w:val="18"/>
          <w:highlight w:val="none"/>
        </w:rPr>
        <w:t>　</w:t>
      </w:r>
      <w:r>
        <w:rPr>
          <w:rFonts w:hint="eastAsia" w:ascii="宋体" w:hAnsi="宋体"/>
          <w:color w:val="auto"/>
          <w:sz w:val="24"/>
          <w:highlight w:val="none"/>
        </w:rPr>
        <w:t xml:space="preserve">　33.1发包人、承包人协商一致，可以解除合同。 </w:t>
      </w:r>
      <w:r>
        <w:rPr>
          <w:rFonts w:hint="eastAsia" w:ascii="宋体" w:hAnsi="宋体"/>
          <w:color w:val="auto"/>
          <w:sz w:val="24"/>
          <w:highlight w:val="none"/>
        </w:rPr>
        <w:br w:type="textWrapping"/>
      </w:r>
      <w:r>
        <w:rPr>
          <w:rFonts w:hint="eastAsia" w:ascii="宋体" w:hAnsi="宋体"/>
          <w:color w:val="auto"/>
          <w:sz w:val="24"/>
          <w:highlight w:val="none"/>
        </w:rPr>
        <w:t>　　</w:t>
      </w:r>
      <w:r>
        <w:rPr>
          <w:rFonts w:hint="eastAsia" w:ascii="宋体" w:hAnsi="宋体"/>
          <w:b/>
          <w:bCs/>
          <w:color w:val="auto"/>
          <w:sz w:val="24"/>
          <w:szCs w:val="18"/>
          <w:highlight w:val="none"/>
        </w:rPr>
        <w:t xml:space="preserve">34、合同生效与终止 </w:t>
      </w:r>
      <w:r>
        <w:rPr>
          <w:rFonts w:hint="eastAsia" w:ascii="宋体" w:hAnsi="宋体"/>
          <w:color w:val="auto"/>
          <w:sz w:val="24"/>
          <w:szCs w:val="18"/>
          <w:highlight w:val="none"/>
        </w:rPr>
        <w:br w:type="textWrapping"/>
      </w:r>
      <w:r>
        <w:rPr>
          <w:rFonts w:hint="eastAsia" w:ascii="宋体" w:hAnsi="宋体"/>
          <w:color w:val="auto"/>
          <w:sz w:val="24"/>
          <w:szCs w:val="18"/>
          <w:highlight w:val="none"/>
        </w:rPr>
        <w:t>　</w:t>
      </w:r>
      <w:r>
        <w:rPr>
          <w:rFonts w:hint="eastAsia" w:ascii="宋体" w:hAnsi="宋体"/>
          <w:color w:val="auto"/>
          <w:sz w:val="24"/>
          <w:highlight w:val="none"/>
        </w:rPr>
        <w:t xml:space="preserve">　34.1双方在协议书中约定合同生效方式。 </w:t>
      </w:r>
      <w:r>
        <w:rPr>
          <w:rFonts w:hint="eastAsia" w:ascii="宋体" w:hAnsi="宋体"/>
          <w:color w:val="auto"/>
          <w:sz w:val="24"/>
          <w:highlight w:val="none"/>
        </w:rPr>
        <w:br w:type="textWrapping"/>
      </w:r>
      <w:r>
        <w:rPr>
          <w:rFonts w:hint="eastAsia" w:ascii="宋体" w:hAnsi="宋体"/>
          <w:color w:val="auto"/>
          <w:sz w:val="24"/>
          <w:highlight w:val="none"/>
        </w:rPr>
        <w:t xml:space="preserve">　　34.2发包人、承包人履行合同全部义务，竣工结算价款支付完毕，承包人向发包人交付竣工工程后，本合同即告终止。 </w:t>
      </w:r>
      <w:r>
        <w:rPr>
          <w:rFonts w:hint="eastAsia" w:ascii="宋体" w:hAnsi="宋体"/>
          <w:color w:val="auto"/>
          <w:sz w:val="24"/>
          <w:highlight w:val="none"/>
        </w:rPr>
        <w:br w:type="textWrapping"/>
      </w:r>
      <w:r>
        <w:rPr>
          <w:rFonts w:hint="eastAsia" w:ascii="宋体" w:hAnsi="宋体"/>
          <w:color w:val="auto"/>
          <w:sz w:val="24"/>
          <w:highlight w:val="none"/>
        </w:rPr>
        <w:t>　　34.3合同的权利义务终止后，发包人、承包人应当遵循诚实信用原则，履行通知、协助、保密等义务。</w:t>
      </w:r>
    </w:p>
    <w:p w14:paraId="5AF7782E">
      <w:pPr>
        <w:spacing w:line="500" w:lineRule="exact"/>
        <w:ind w:firstLine="361" w:firstLineChars="150"/>
        <w:rPr>
          <w:color w:val="auto"/>
          <w:sz w:val="24"/>
          <w:highlight w:val="none"/>
        </w:rPr>
      </w:pPr>
      <w:r>
        <w:rPr>
          <w:rFonts w:hint="eastAsia" w:ascii="宋体" w:hAnsi="宋体"/>
          <w:b/>
          <w:bCs/>
          <w:color w:val="auto"/>
          <w:sz w:val="24"/>
          <w:szCs w:val="18"/>
          <w:highlight w:val="none"/>
        </w:rPr>
        <w:t xml:space="preserve">35、合同份数 </w:t>
      </w:r>
      <w:r>
        <w:rPr>
          <w:rFonts w:hint="eastAsia"/>
          <w:color w:val="auto"/>
          <w:sz w:val="24"/>
          <w:highlight w:val="none"/>
        </w:rPr>
        <w:br w:type="textWrapping"/>
      </w:r>
      <w:r>
        <w:rPr>
          <w:rFonts w:hint="eastAsia"/>
          <w:color w:val="auto"/>
          <w:sz w:val="24"/>
          <w:highlight w:val="none"/>
        </w:rPr>
        <w:t xml:space="preserve">　 35.1本合一式六份，具有同等效力，由发包人、承包人分别保存三份。 </w:t>
      </w:r>
    </w:p>
    <w:p w14:paraId="2E4E7B97">
      <w:pPr>
        <w:spacing w:line="500" w:lineRule="exact"/>
        <w:jc w:val="center"/>
        <w:rPr>
          <w:b/>
          <w:bCs/>
          <w:color w:val="auto"/>
          <w:sz w:val="28"/>
          <w:szCs w:val="28"/>
          <w:highlight w:val="none"/>
        </w:rPr>
      </w:pPr>
      <w:r>
        <w:rPr>
          <w:rFonts w:ascii="宋体" w:hAnsi="宋体"/>
          <w:bCs/>
          <w:color w:val="auto"/>
          <w:sz w:val="36"/>
          <w:highlight w:val="none"/>
        </w:rPr>
        <w:br w:type="page"/>
      </w:r>
      <w:r>
        <w:rPr>
          <w:rFonts w:hint="eastAsia"/>
          <w:b/>
          <w:bCs/>
          <w:color w:val="auto"/>
          <w:sz w:val="28"/>
          <w:szCs w:val="28"/>
          <w:highlight w:val="none"/>
        </w:rPr>
        <w:t>第三部分 专用条款</w:t>
      </w:r>
    </w:p>
    <w:p w14:paraId="46BB6008">
      <w:pPr>
        <w:spacing w:line="500" w:lineRule="exact"/>
        <w:rPr>
          <w:rFonts w:ascii="宋体" w:hAnsi="宋体"/>
          <w:color w:val="auto"/>
          <w:sz w:val="24"/>
          <w:highlight w:val="none"/>
        </w:rPr>
      </w:pPr>
    </w:p>
    <w:p w14:paraId="12831131">
      <w:pPr>
        <w:pStyle w:val="5"/>
        <w:keepNext w:val="0"/>
        <w:keepLines w:val="0"/>
        <w:spacing w:line="480" w:lineRule="exact"/>
        <w:ind w:firstLine="482"/>
        <w:rPr>
          <w:rFonts w:ascii="宋体" w:hAnsi="宋体"/>
          <w:color w:val="auto"/>
          <w:sz w:val="24"/>
          <w:szCs w:val="24"/>
          <w:highlight w:val="none"/>
        </w:rPr>
      </w:pPr>
      <w:bookmarkStart w:id="452" w:name="_Toc191662548"/>
      <w:bookmarkStart w:id="453" w:name="_Toc176282091"/>
      <w:bookmarkStart w:id="454" w:name="_Toc13021"/>
      <w:bookmarkStart w:id="455" w:name="_Toc232568917"/>
      <w:bookmarkStart w:id="456" w:name="_Toc30872"/>
      <w:bookmarkStart w:id="457" w:name="_Toc32141"/>
      <w:r>
        <w:rPr>
          <w:rFonts w:hint="eastAsia" w:ascii="宋体" w:hAnsi="宋体"/>
          <w:color w:val="auto"/>
          <w:sz w:val="24"/>
          <w:szCs w:val="24"/>
          <w:highlight w:val="none"/>
        </w:rPr>
        <w:t>一、</w:t>
      </w:r>
      <w:bookmarkStart w:id="458" w:name="_Toc171279356"/>
      <w:r>
        <w:rPr>
          <w:rFonts w:hint="eastAsia" w:ascii="宋体" w:hAnsi="宋体"/>
          <w:color w:val="auto"/>
          <w:sz w:val="24"/>
          <w:szCs w:val="24"/>
          <w:highlight w:val="none"/>
        </w:rPr>
        <w:t>词语定义及合同文件</w:t>
      </w:r>
      <w:bookmarkEnd w:id="452"/>
      <w:bookmarkEnd w:id="453"/>
      <w:bookmarkEnd w:id="454"/>
      <w:bookmarkEnd w:id="455"/>
      <w:bookmarkEnd w:id="456"/>
      <w:bookmarkEnd w:id="457"/>
      <w:bookmarkEnd w:id="458"/>
    </w:p>
    <w:p w14:paraId="77FB3E8E">
      <w:pPr>
        <w:pStyle w:val="5"/>
        <w:keepNext w:val="0"/>
        <w:keepLines w:val="0"/>
        <w:spacing w:line="480" w:lineRule="exact"/>
        <w:ind w:firstLine="480"/>
        <w:rPr>
          <w:rFonts w:ascii="宋体" w:hAnsi="宋体"/>
          <w:b w:val="0"/>
          <w:color w:val="auto"/>
          <w:sz w:val="24"/>
          <w:szCs w:val="24"/>
          <w:highlight w:val="none"/>
        </w:rPr>
      </w:pPr>
      <w:bookmarkStart w:id="459" w:name="_Toc19966"/>
      <w:bookmarkStart w:id="460" w:name="_Toc176282092"/>
      <w:bookmarkStart w:id="461" w:name="_Toc232568918"/>
      <w:bookmarkStart w:id="462" w:name="_Toc31998"/>
      <w:bookmarkStart w:id="463" w:name="_Toc191662549"/>
      <w:bookmarkStart w:id="464" w:name="_Toc171279357"/>
      <w:bookmarkStart w:id="465" w:name="_Toc32348"/>
      <w:r>
        <w:rPr>
          <w:rFonts w:hint="eastAsia" w:ascii="宋体" w:hAnsi="宋体"/>
          <w:b w:val="0"/>
          <w:color w:val="auto"/>
          <w:sz w:val="24"/>
          <w:szCs w:val="24"/>
          <w:highlight w:val="none"/>
        </w:rPr>
        <w:t>1、合同文件及解释顺序</w:t>
      </w:r>
      <w:bookmarkEnd w:id="459"/>
      <w:bookmarkEnd w:id="460"/>
      <w:bookmarkEnd w:id="461"/>
      <w:bookmarkEnd w:id="462"/>
      <w:bookmarkEnd w:id="463"/>
      <w:bookmarkEnd w:id="464"/>
      <w:bookmarkEnd w:id="465"/>
    </w:p>
    <w:p w14:paraId="36F3D3F7">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合同文件组成及解释顺序：</w:t>
      </w:r>
      <w:r>
        <w:rPr>
          <w:rFonts w:hint="eastAsia" w:ascii="宋体" w:hAnsi="宋体"/>
          <w:b/>
          <w:color w:val="auto"/>
          <w:sz w:val="24"/>
          <w:highlight w:val="none"/>
          <w:u w:val="single"/>
        </w:rPr>
        <w:t>本合同协议书、中标通知书、投标书及其附件、专用条款、通用条款、标准规范及有关技术文件、图纸、工程量清单、投标报价资料、工程的洽商、变更等书面协议或文件、发包人与监理单位签订的委托监理合同等。</w:t>
      </w:r>
    </w:p>
    <w:p w14:paraId="5E3A1E88">
      <w:pPr>
        <w:pStyle w:val="5"/>
        <w:keepNext w:val="0"/>
        <w:keepLines w:val="0"/>
        <w:spacing w:line="480" w:lineRule="exact"/>
        <w:ind w:firstLine="480"/>
        <w:rPr>
          <w:rFonts w:ascii="宋体" w:hAnsi="宋体"/>
          <w:b w:val="0"/>
          <w:color w:val="auto"/>
          <w:sz w:val="24"/>
          <w:szCs w:val="24"/>
          <w:highlight w:val="none"/>
        </w:rPr>
      </w:pPr>
      <w:bookmarkStart w:id="466" w:name="_Toc191662550"/>
      <w:bookmarkStart w:id="467" w:name="_Toc29438"/>
      <w:bookmarkStart w:id="468" w:name="_Toc171279358"/>
      <w:bookmarkStart w:id="469" w:name="_Toc176282093"/>
      <w:bookmarkStart w:id="470" w:name="_Toc6104"/>
      <w:bookmarkStart w:id="471" w:name="_Toc6189"/>
      <w:bookmarkStart w:id="472" w:name="_Toc232568919"/>
      <w:r>
        <w:rPr>
          <w:rFonts w:hint="eastAsia" w:ascii="宋体" w:hAnsi="宋体"/>
          <w:b w:val="0"/>
          <w:color w:val="auto"/>
          <w:sz w:val="24"/>
          <w:szCs w:val="24"/>
          <w:highlight w:val="none"/>
        </w:rPr>
        <w:t>2、语言文字和适用法律、标准及规范</w:t>
      </w:r>
      <w:bookmarkEnd w:id="466"/>
      <w:bookmarkEnd w:id="467"/>
      <w:bookmarkEnd w:id="468"/>
      <w:bookmarkEnd w:id="469"/>
      <w:bookmarkEnd w:id="470"/>
      <w:bookmarkEnd w:id="471"/>
      <w:bookmarkEnd w:id="472"/>
    </w:p>
    <w:p w14:paraId="6FDD03E2">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2.1本合同除使用汉语外，还使用</w:t>
      </w:r>
      <w:r>
        <w:rPr>
          <w:rFonts w:hint="eastAsia" w:ascii="宋体" w:hAnsi="宋体"/>
          <w:color w:val="auto"/>
          <w:sz w:val="24"/>
          <w:highlight w:val="none"/>
          <w:u w:val="single"/>
        </w:rPr>
        <w:t xml:space="preserve"> </w:t>
      </w:r>
      <w:r>
        <w:rPr>
          <w:rFonts w:hint="eastAsia" w:ascii="宋体" w:hAnsi="宋体"/>
          <w:b/>
          <w:color w:val="auto"/>
          <w:sz w:val="24"/>
          <w:highlight w:val="none"/>
          <w:u w:val="single"/>
        </w:rPr>
        <w:t xml:space="preserve">         ／          </w:t>
      </w:r>
      <w:r>
        <w:rPr>
          <w:rFonts w:hint="eastAsia" w:ascii="宋体" w:hAnsi="宋体"/>
          <w:color w:val="auto"/>
          <w:sz w:val="24"/>
          <w:highlight w:val="none"/>
        </w:rPr>
        <w:t>语言文字。</w:t>
      </w:r>
    </w:p>
    <w:p w14:paraId="25F2030C">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2.2适用法律和法规</w:t>
      </w:r>
    </w:p>
    <w:p w14:paraId="28362906">
      <w:pPr>
        <w:spacing w:line="480" w:lineRule="exact"/>
        <w:ind w:firstLine="480" w:firstLineChars="200"/>
        <w:rPr>
          <w:rFonts w:ascii="宋体" w:hAnsi="宋体"/>
          <w:b/>
          <w:color w:val="auto"/>
          <w:sz w:val="24"/>
          <w:highlight w:val="none"/>
        </w:rPr>
      </w:pPr>
      <w:r>
        <w:rPr>
          <w:rFonts w:hint="eastAsia" w:ascii="宋体" w:hAnsi="宋体"/>
          <w:color w:val="auto"/>
          <w:sz w:val="24"/>
          <w:highlight w:val="none"/>
        </w:rPr>
        <w:t>需要明示的法律、行政法规：</w:t>
      </w:r>
      <w:r>
        <w:rPr>
          <w:rFonts w:hint="eastAsia" w:ascii="宋体" w:hAnsi="宋体"/>
          <w:b/>
          <w:color w:val="auto"/>
          <w:kern w:val="0"/>
          <w:sz w:val="24"/>
          <w:highlight w:val="none"/>
          <w:u w:val="single"/>
        </w:rPr>
        <w:t>国家、建设部、浙江省及宁波市有关工程建设的法律法规（如有冲突，按属地原则处理）</w:t>
      </w:r>
      <w:r>
        <w:rPr>
          <w:rFonts w:hint="eastAsia" w:ascii="宋体" w:hAnsi="宋体"/>
          <w:b/>
          <w:bCs/>
          <w:color w:val="auto"/>
          <w:sz w:val="24"/>
          <w:highlight w:val="none"/>
          <w:u w:val="single"/>
        </w:rPr>
        <w:t>。</w:t>
      </w:r>
    </w:p>
    <w:p w14:paraId="6D229547">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2.3适用标准、规范</w:t>
      </w:r>
    </w:p>
    <w:p w14:paraId="3D3DF7D9">
      <w:pPr>
        <w:spacing w:line="480" w:lineRule="exact"/>
        <w:ind w:firstLine="480" w:firstLineChars="200"/>
        <w:rPr>
          <w:rFonts w:ascii="宋体" w:hAnsi="宋体"/>
          <w:b/>
          <w:bCs/>
          <w:color w:val="auto"/>
          <w:sz w:val="24"/>
          <w:highlight w:val="none"/>
          <w:u w:val="single"/>
        </w:rPr>
      </w:pPr>
      <w:r>
        <w:rPr>
          <w:rFonts w:hint="eastAsia" w:ascii="宋体" w:hAnsi="宋体"/>
          <w:color w:val="auto"/>
          <w:sz w:val="24"/>
          <w:highlight w:val="none"/>
        </w:rPr>
        <w:t>适用标准、规范的名称：</w:t>
      </w:r>
      <w:r>
        <w:rPr>
          <w:rFonts w:hint="eastAsia" w:ascii="宋体" w:hAnsi="宋体"/>
          <w:b/>
          <w:bCs/>
          <w:color w:val="auto"/>
          <w:sz w:val="24"/>
          <w:highlight w:val="none"/>
          <w:u w:val="single"/>
        </w:rPr>
        <w:t>现行国家、建设部、浙江省及宁波市本工程相关的施工及验收规范、标准（如有冲突，按属地原则处理）。</w:t>
      </w:r>
    </w:p>
    <w:p w14:paraId="412E27E1">
      <w:pPr>
        <w:spacing w:line="480" w:lineRule="exact"/>
        <w:ind w:firstLine="480" w:firstLineChars="200"/>
        <w:rPr>
          <w:rFonts w:ascii="宋体" w:hAnsi="宋体"/>
          <w:b/>
          <w:bCs/>
          <w:color w:val="auto"/>
          <w:sz w:val="24"/>
          <w:highlight w:val="none"/>
          <w:u w:val="single"/>
        </w:rPr>
      </w:pPr>
      <w:r>
        <w:rPr>
          <w:rFonts w:hint="eastAsia" w:ascii="宋体" w:hAnsi="宋体"/>
          <w:color w:val="auto"/>
          <w:sz w:val="24"/>
          <w:highlight w:val="none"/>
        </w:rPr>
        <w:t>发包人提供标准、规范的时间：</w:t>
      </w:r>
      <w:r>
        <w:rPr>
          <w:rFonts w:hint="eastAsia" w:ascii="宋体" w:hAnsi="宋体"/>
          <w:b/>
          <w:bCs/>
          <w:color w:val="auto"/>
          <w:sz w:val="24"/>
          <w:highlight w:val="none"/>
          <w:u w:val="single"/>
        </w:rPr>
        <w:t>相关标准、规范由承包人根据工程施工要求自备。</w:t>
      </w:r>
    </w:p>
    <w:p w14:paraId="5F990311">
      <w:pPr>
        <w:spacing w:line="480" w:lineRule="exact"/>
        <w:ind w:firstLine="482" w:firstLineChars="200"/>
        <w:rPr>
          <w:rFonts w:ascii="宋体" w:hAnsi="宋体"/>
          <w:color w:val="auto"/>
          <w:sz w:val="24"/>
          <w:highlight w:val="none"/>
        </w:rPr>
      </w:pPr>
      <w:r>
        <w:rPr>
          <w:rFonts w:hint="eastAsia" w:ascii="宋体" w:hAnsi="宋体"/>
          <w:b/>
          <w:bCs/>
          <w:color w:val="auto"/>
          <w:sz w:val="24"/>
          <w:highlight w:val="none"/>
        </w:rPr>
        <w:t>二、双方一般权利和义务</w:t>
      </w:r>
    </w:p>
    <w:p w14:paraId="0CA8E250">
      <w:pPr>
        <w:pStyle w:val="5"/>
        <w:keepNext w:val="0"/>
        <w:keepLines w:val="0"/>
        <w:spacing w:line="480" w:lineRule="exact"/>
        <w:ind w:firstLine="480"/>
        <w:rPr>
          <w:rFonts w:ascii="宋体" w:hAnsi="宋体"/>
          <w:b w:val="0"/>
          <w:color w:val="auto"/>
          <w:sz w:val="24"/>
          <w:szCs w:val="24"/>
          <w:highlight w:val="none"/>
        </w:rPr>
      </w:pPr>
      <w:bookmarkStart w:id="473" w:name="_Toc24590"/>
      <w:bookmarkStart w:id="474" w:name="_Toc1095"/>
      <w:bookmarkStart w:id="475" w:name="_Toc17402"/>
      <w:bookmarkStart w:id="476" w:name="_Toc191662553"/>
      <w:bookmarkStart w:id="477" w:name="_Toc232568922"/>
      <w:bookmarkStart w:id="478" w:name="_Toc176282096"/>
      <w:bookmarkStart w:id="479" w:name="_Toc171279361"/>
      <w:r>
        <w:rPr>
          <w:rFonts w:hint="eastAsia" w:ascii="宋体" w:hAnsi="宋体"/>
          <w:b w:val="0"/>
          <w:color w:val="auto"/>
          <w:sz w:val="24"/>
          <w:szCs w:val="24"/>
          <w:highlight w:val="none"/>
        </w:rPr>
        <w:t>3、工程师</w:t>
      </w:r>
      <w:bookmarkEnd w:id="473"/>
      <w:bookmarkEnd w:id="474"/>
      <w:bookmarkEnd w:id="475"/>
      <w:bookmarkEnd w:id="476"/>
      <w:bookmarkEnd w:id="477"/>
      <w:bookmarkEnd w:id="478"/>
      <w:bookmarkEnd w:id="479"/>
    </w:p>
    <w:p w14:paraId="03361BCD">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3.1监理单位委派的工程师</w:t>
      </w:r>
    </w:p>
    <w:p w14:paraId="3DFD2070">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姓名：</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职务：</w:t>
      </w:r>
      <w:r>
        <w:rPr>
          <w:rFonts w:hint="eastAsia" w:ascii="宋体" w:hAnsi="宋体"/>
          <w:color w:val="auto"/>
          <w:sz w:val="24"/>
          <w:highlight w:val="none"/>
          <w:u w:val="single"/>
        </w:rPr>
        <w:t xml:space="preserve">  </w:t>
      </w:r>
      <w:r>
        <w:rPr>
          <w:rFonts w:hint="eastAsia" w:ascii="宋体" w:hAnsi="宋体"/>
          <w:b/>
          <w:color w:val="auto"/>
          <w:sz w:val="24"/>
          <w:highlight w:val="none"/>
          <w:u w:val="single"/>
        </w:rPr>
        <w:t xml:space="preserve">总监理工程师 </w:t>
      </w:r>
      <w:r>
        <w:rPr>
          <w:rFonts w:hint="eastAsia" w:ascii="宋体" w:hAnsi="宋体"/>
          <w:color w:val="auto"/>
          <w:sz w:val="24"/>
          <w:highlight w:val="none"/>
          <w:u w:val="single"/>
        </w:rPr>
        <w:t xml:space="preserve">      </w:t>
      </w:r>
    </w:p>
    <w:p w14:paraId="22E8A608">
      <w:pPr>
        <w:spacing w:line="480" w:lineRule="exact"/>
        <w:ind w:firstLine="480" w:firstLineChars="200"/>
        <w:rPr>
          <w:rFonts w:ascii="宋体" w:hAnsi="宋体"/>
          <w:color w:val="auto"/>
          <w:sz w:val="24"/>
          <w:highlight w:val="none"/>
          <w:u w:val="single"/>
        </w:rPr>
      </w:pPr>
      <w:r>
        <w:rPr>
          <w:rFonts w:hint="eastAsia" w:ascii="宋体" w:hAnsi="宋体"/>
          <w:color w:val="auto"/>
          <w:sz w:val="24"/>
          <w:highlight w:val="none"/>
        </w:rPr>
        <w:t>发包人委托的职权：</w:t>
      </w:r>
      <w:r>
        <w:rPr>
          <w:rFonts w:hint="eastAsia" w:ascii="宋体" w:hAnsi="宋体"/>
          <w:color w:val="auto"/>
          <w:sz w:val="24"/>
          <w:highlight w:val="none"/>
          <w:u w:val="single"/>
        </w:rPr>
        <w:t xml:space="preserve"> 根据发包人与监理单位签订的监理合同及建设工程监理规范实施，承包人接受监理单位按监理合同及建设工程监理规范实施的监督管理 。</w:t>
      </w:r>
    </w:p>
    <w:p w14:paraId="46644F55">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需要取得发包人批准才能行使的职权：</w:t>
      </w:r>
      <w:r>
        <w:rPr>
          <w:rFonts w:hint="eastAsia" w:ascii="宋体" w:hAnsi="宋体"/>
          <w:color w:val="auto"/>
          <w:sz w:val="24"/>
          <w:highlight w:val="none"/>
          <w:u w:val="single"/>
        </w:rPr>
        <w:t xml:space="preserve"> 按本工程监理合同、授权书和建设工程监理规范中规定的有关监理职权以外的职权 。</w:t>
      </w:r>
    </w:p>
    <w:p w14:paraId="4581E725">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3.2发包人派驻的工程师</w:t>
      </w:r>
    </w:p>
    <w:p w14:paraId="17A42B10">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姓名：</w:t>
      </w:r>
      <w:r>
        <w:rPr>
          <w:rFonts w:hint="eastAsia" w:ascii="宋体" w:hAnsi="宋体"/>
          <w:color w:val="auto"/>
          <w:sz w:val="24"/>
          <w:highlight w:val="none"/>
          <w:u w:val="single"/>
        </w:rPr>
        <w:t xml:space="preserve"> </w:t>
      </w:r>
      <w:r>
        <w:rPr>
          <w:rFonts w:hint="eastAsia" w:ascii="宋体" w:hAnsi="宋体"/>
          <w:b/>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职务：</w:t>
      </w:r>
      <w:r>
        <w:rPr>
          <w:rFonts w:hint="eastAsia" w:ascii="宋体" w:hAnsi="宋体"/>
          <w:color w:val="auto"/>
          <w:sz w:val="24"/>
          <w:highlight w:val="none"/>
          <w:u w:val="single"/>
        </w:rPr>
        <w:t xml:space="preserve">   </w:t>
      </w:r>
      <w:r>
        <w:rPr>
          <w:rFonts w:hint="eastAsia" w:ascii="宋体" w:hAnsi="宋体"/>
          <w:b/>
          <w:color w:val="auto"/>
          <w:sz w:val="24"/>
          <w:highlight w:val="none"/>
          <w:u w:val="single"/>
        </w:rPr>
        <w:t xml:space="preserve">发包人代表   </w:t>
      </w:r>
      <w:r>
        <w:rPr>
          <w:rFonts w:hint="eastAsia" w:ascii="宋体" w:hAnsi="宋体"/>
          <w:color w:val="auto"/>
          <w:sz w:val="24"/>
          <w:highlight w:val="none"/>
          <w:u w:val="single"/>
        </w:rPr>
        <w:t xml:space="preserve">  </w:t>
      </w:r>
    </w:p>
    <w:p w14:paraId="3B07F876">
      <w:pPr>
        <w:spacing w:line="480" w:lineRule="exact"/>
        <w:ind w:firstLine="480" w:firstLineChars="200"/>
        <w:rPr>
          <w:rFonts w:ascii="宋体" w:hAnsi="宋体"/>
          <w:color w:val="auto"/>
          <w:sz w:val="24"/>
          <w:highlight w:val="none"/>
          <w:u w:val="single"/>
        </w:rPr>
      </w:pPr>
      <w:r>
        <w:rPr>
          <w:rFonts w:hint="eastAsia" w:ascii="宋体" w:hAnsi="宋体"/>
          <w:color w:val="auto"/>
          <w:sz w:val="24"/>
          <w:highlight w:val="none"/>
        </w:rPr>
        <w:t>职权：</w:t>
      </w:r>
      <w:r>
        <w:rPr>
          <w:rFonts w:hint="eastAsia" w:ascii="宋体" w:hAnsi="宋体"/>
          <w:color w:val="auto"/>
          <w:sz w:val="24"/>
          <w:highlight w:val="none"/>
          <w:u w:val="single"/>
        </w:rPr>
        <w:t>在职责范围内负责处理工程建设中各项事宜，以及经发包人批准的监理方各项签证的最终认可。</w:t>
      </w:r>
    </w:p>
    <w:p w14:paraId="0948B1EE">
      <w:pPr>
        <w:pStyle w:val="5"/>
        <w:keepNext w:val="0"/>
        <w:keepLines w:val="0"/>
        <w:spacing w:line="480" w:lineRule="exact"/>
        <w:ind w:firstLine="480"/>
        <w:rPr>
          <w:rFonts w:ascii="宋体" w:hAnsi="宋体"/>
          <w:b w:val="0"/>
          <w:color w:val="auto"/>
          <w:sz w:val="24"/>
          <w:szCs w:val="24"/>
          <w:highlight w:val="none"/>
        </w:rPr>
      </w:pPr>
      <w:bookmarkStart w:id="480" w:name="_Toc191662554"/>
      <w:bookmarkStart w:id="481" w:name="_Toc171279362"/>
      <w:bookmarkStart w:id="482" w:name="_Toc25920"/>
      <w:bookmarkStart w:id="483" w:name="_Toc176282097"/>
      <w:bookmarkStart w:id="484" w:name="_Toc19026"/>
      <w:bookmarkStart w:id="485" w:name="_Toc232568923"/>
      <w:bookmarkStart w:id="486" w:name="_Toc11016"/>
      <w:r>
        <w:rPr>
          <w:rFonts w:hint="eastAsia" w:ascii="宋体" w:hAnsi="宋体"/>
          <w:b w:val="0"/>
          <w:color w:val="auto"/>
          <w:sz w:val="24"/>
          <w:szCs w:val="24"/>
          <w:highlight w:val="none"/>
        </w:rPr>
        <w:t>4、项目经理</w:t>
      </w:r>
      <w:bookmarkEnd w:id="480"/>
      <w:bookmarkEnd w:id="481"/>
      <w:bookmarkEnd w:id="482"/>
      <w:bookmarkEnd w:id="483"/>
      <w:bookmarkEnd w:id="484"/>
      <w:bookmarkEnd w:id="485"/>
      <w:bookmarkEnd w:id="486"/>
    </w:p>
    <w:p w14:paraId="3DD9973B">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姓名：</w:t>
      </w:r>
      <w:r>
        <w:rPr>
          <w:rFonts w:hint="eastAsia" w:ascii="宋体" w:hAnsi="宋体"/>
          <w:color w:val="auto"/>
          <w:sz w:val="24"/>
          <w:highlight w:val="none"/>
          <w:u w:val="single"/>
        </w:rPr>
        <w:t xml:space="preserve"> </w:t>
      </w:r>
      <w:r>
        <w:rPr>
          <w:rFonts w:hint="eastAsia" w:ascii="宋体" w:hAnsi="宋体"/>
          <w:b/>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职务：</w:t>
      </w:r>
      <w:r>
        <w:rPr>
          <w:rFonts w:hint="eastAsia" w:ascii="宋体" w:hAnsi="宋体"/>
          <w:color w:val="auto"/>
          <w:sz w:val="24"/>
          <w:highlight w:val="none"/>
          <w:u w:val="single"/>
        </w:rPr>
        <w:t xml:space="preserve">  </w:t>
      </w:r>
      <w:r>
        <w:rPr>
          <w:rFonts w:hint="eastAsia" w:ascii="宋体" w:hAnsi="宋体"/>
          <w:b/>
          <w:color w:val="auto"/>
          <w:sz w:val="24"/>
          <w:highlight w:val="none"/>
          <w:u w:val="single"/>
        </w:rPr>
        <w:t>项目负责人</w:t>
      </w:r>
      <w:r>
        <w:rPr>
          <w:rFonts w:hint="eastAsia" w:ascii="宋体" w:hAnsi="宋体"/>
          <w:color w:val="auto"/>
          <w:sz w:val="24"/>
          <w:highlight w:val="none"/>
          <w:u w:val="single"/>
        </w:rPr>
        <w:t xml:space="preserve">    </w:t>
      </w:r>
    </w:p>
    <w:p w14:paraId="09506998">
      <w:pPr>
        <w:spacing w:line="480" w:lineRule="exact"/>
        <w:ind w:firstLine="480"/>
        <w:rPr>
          <w:rFonts w:ascii="宋体" w:hAnsi="宋体"/>
          <w:bCs/>
          <w:color w:val="auto"/>
          <w:sz w:val="24"/>
          <w:highlight w:val="none"/>
        </w:rPr>
      </w:pPr>
      <w:r>
        <w:rPr>
          <w:rFonts w:hint="eastAsia" w:ascii="宋体" w:hAnsi="宋体"/>
          <w:bCs/>
          <w:color w:val="auto"/>
          <w:sz w:val="24"/>
          <w:highlight w:val="none"/>
        </w:rPr>
        <w:t>5、发包人工作</w:t>
      </w:r>
    </w:p>
    <w:p w14:paraId="08CE49A2">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5.1发包人应按约定的时间和要求完成以下工作：</w:t>
      </w:r>
    </w:p>
    <w:p w14:paraId="67CFA8F4">
      <w:pPr>
        <w:spacing w:line="480" w:lineRule="exact"/>
        <w:ind w:firstLine="480" w:firstLineChars="200"/>
        <w:rPr>
          <w:rFonts w:ascii="宋体" w:hAnsi="宋体"/>
          <w:b/>
          <w:color w:val="auto"/>
          <w:sz w:val="24"/>
          <w:highlight w:val="none"/>
          <w:u w:val="single"/>
        </w:rPr>
      </w:pPr>
      <w:r>
        <w:rPr>
          <w:rFonts w:hint="eastAsia" w:ascii="宋体" w:hAnsi="宋体"/>
          <w:color w:val="auto"/>
          <w:sz w:val="24"/>
          <w:highlight w:val="none"/>
        </w:rPr>
        <w:t>（1）施工场地具备施工条件的要求及完成的时间：</w:t>
      </w:r>
      <w:r>
        <w:rPr>
          <w:rFonts w:hint="eastAsia" w:ascii="宋体" w:hAnsi="宋体"/>
          <w:b/>
          <w:color w:val="auto"/>
          <w:sz w:val="24"/>
          <w:highlight w:val="none"/>
          <w:u w:val="single"/>
        </w:rPr>
        <w:t>发包人已经使施工现场初步具备施工条件,后续工作及遗留问题由承包人自行解决,发包人不支付任何费用（如遇特殊情况双方协商解决）。</w:t>
      </w:r>
    </w:p>
    <w:p w14:paraId="50FA4520">
      <w:pPr>
        <w:spacing w:line="480" w:lineRule="exact"/>
        <w:ind w:firstLine="480" w:firstLineChars="200"/>
        <w:rPr>
          <w:rFonts w:ascii="宋体" w:hAnsi="宋体"/>
          <w:color w:val="auto"/>
          <w:sz w:val="24"/>
          <w:highlight w:val="none"/>
          <w:u w:val="single"/>
        </w:rPr>
      </w:pPr>
      <w:r>
        <w:rPr>
          <w:rFonts w:hint="eastAsia" w:ascii="宋体" w:hAnsi="宋体"/>
          <w:color w:val="auto"/>
          <w:sz w:val="24"/>
          <w:highlight w:val="none"/>
        </w:rPr>
        <w:t>（2）将施工所需的水、电、电讯线路接至施工场地的时间、地点和供应要求：</w:t>
      </w:r>
      <w:r>
        <w:rPr>
          <w:rFonts w:hint="eastAsia" w:ascii="宋体" w:hAnsi="宋体"/>
          <w:b/>
          <w:color w:val="auto"/>
          <w:sz w:val="24"/>
          <w:highlight w:val="none"/>
          <w:u w:val="single"/>
        </w:rPr>
        <w:t>由承包单位自行解决，发包人不承担任何费用。</w:t>
      </w:r>
    </w:p>
    <w:p w14:paraId="52D767E0">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（3）图纸会审和设计交底时间：</w:t>
      </w:r>
      <w:r>
        <w:rPr>
          <w:rFonts w:hint="eastAsia" w:ascii="宋体" w:hAnsi="宋体"/>
          <w:color w:val="auto"/>
          <w:sz w:val="24"/>
          <w:highlight w:val="none"/>
          <w:u w:val="single"/>
        </w:rPr>
        <w:t xml:space="preserve"> </w:t>
      </w:r>
      <w:r>
        <w:rPr>
          <w:rFonts w:hint="eastAsia" w:ascii="宋体" w:hAnsi="宋体"/>
          <w:b/>
          <w:bCs/>
          <w:color w:val="auto"/>
          <w:sz w:val="24"/>
          <w:highlight w:val="none"/>
          <w:u w:val="single"/>
        </w:rPr>
        <w:t>无</w:t>
      </w:r>
      <w:r>
        <w:rPr>
          <w:rFonts w:hint="eastAsia" w:ascii="宋体" w:hAnsi="宋体"/>
          <w:color w:val="auto"/>
          <w:sz w:val="24"/>
          <w:highlight w:val="none"/>
        </w:rPr>
        <w:t>。</w:t>
      </w:r>
    </w:p>
    <w:p w14:paraId="4FA4DE66">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（4）协调处理施工场地周围地下管线和邻近建筑物、构筑物（含文物保护建筑）、古树名木的保护工作：</w:t>
      </w:r>
      <w:r>
        <w:rPr>
          <w:rFonts w:hint="eastAsia" w:ascii="宋体" w:hAnsi="宋体"/>
          <w:color w:val="auto"/>
          <w:sz w:val="24"/>
          <w:highlight w:val="none"/>
          <w:u w:val="single"/>
        </w:rPr>
        <w:t xml:space="preserve"> </w:t>
      </w:r>
      <w:r>
        <w:rPr>
          <w:rFonts w:hint="eastAsia" w:ascii="宋体" w:hAnsi="宋体"/>
          <w:b/>
          <w:bCs/>
          <w:color w:val="auto"/>
          <w:sz w:val="24"/>
          <w:highlight w:val="none"/>
          <w:u w:val="single"/>
        </w:rPr>
        <w:t xml:space="preserve"> </w:t>
      </w:r>
      <w:r>
        <w:rPr>
          <w:rFonts w:hint="eastAsia" w:ascii="宋体" w:hAnsi="宋体"/>
          <w:b/>
          <w:color w:val="auto"/>
          <w:sz w:val="24"/>
          <w:highlight w:val="none"/>
          <w:u w:val="single"/>
        </w:rPr>
        <w:t>无</w:t>
      </w:r>
      <w:r>
        <w:rPr>
          <w:rFonts w:hint="eastAsia" w:ascii="宋体" w:hAnsi="宋体"/>
          <w:b/>
          <w:bCs/>
          <w:color w:val="auto"/>
          <w:sz w:val="24"/>
          <w:highlight w:val="none"/>
          <w:u w:val="single"/>
        </w:rPr>
        <w:t>。</w:t>
      </w:r>
    </w:p>
    <w:p w14:paraId="3462BF4C">
      <w:pPr>
        <w:spacing w:line="480" w:lineRule="exact"/>
        <w:ind w:firstLine="360"/>
        <w:rPr>
          <w:rFonts w:ascii="宋体" w:hAnsi="宋体"/>
          <w:color w:val="auto"/>
          <w:sz w:val="24"/>
          <w:highlight w:val="none"/>
        </w:rPr>
      </w:pPr>
      <w:r>
        <w:rPr>
          <w:rFonts w:hint="eastAsia" w:ascii="宋体" w:hAnsi="宋体"/>
          <w:color w:val="auto"/>
          <w:sz w:val="24"/>
          <w:highlight w:val="none"/>
        </w:rPr>
        <w:t xml:space="preserve"> （5）</w:t>
      </w:r>
      <w:r>
        <w:rPr>
          <w:rFonts w:hint="eastAsia" w:ascii="宋体" w:hAnsi="宋体"/>
          <w:b/>
          <w:color w:val="auto"/>
          <w:sz w:val="24"/>
          <w:highlight w:val="none"/>
          <w:u w:val="single"/>
        </w:rPr>
        <w:t>审核承包工程进度日报表，按合同规定向承包人支付工程款。</w:t>
      </w:r>
    </w:p>
    <w:p w14:paraId="5A1F6817">
      <w:pPr>
        <w:spacing w:line="480" w:lineRule="exact"/>
        <w:ind w:firstLine="480" w:firstLineChars="200"/>
        <w:rPr>
          <w:rFonts w:ascii="宋体" w:hAnsi="宋体"/>
          <w:color w:val="auto"/>
          <w:sz w:val="24"/>
          <w:highlight w:val="none"/>
        </w:rPr>
      </w:pPr>
      <w:r>
        <w:rPr>
          <w:rFonts w:hint="eastAsia" w:ascii="宋体" w:hAnsi="宋体"/>
          <w:bCs/>
          <w:color w:val="auto"/>
          <w:sz w:val="24"/>
          <w:highlight w:val="none"/>
        </w:rPr>
        <w:t xml:space="preserve">6、承包人工作 </w:t>
      </w:r>
      <w:r>
        <w:rPr>
          <w:rFonts w:hint="eastAsia" w:ascii="宋体" w:hAnsi="宋体"/>
          <w:color w:val="auto"/>
          <w:sz w:val="24"/>
          <w:highlight w:val="none"/>
        </w:rPr>
        <w:br w:type="textWrapping"/>
      </w:r>
      <w:r>
        <w:rPr>
          <w:rFonts w:hint="eastAsia" w:ascii="宋体" w:hAnsi="宋体"/>
          <w:color w:val="auto"/>
          <w:sz w:val="24"/>
          <w:highlight w:val="none"/>
        </w:rPr>
        <w:t>　　6．1承包人应按约定时间和要求，完成以下工作：</w:t>
      </w:r>
    </w:p>
    <w:p w14:paraId="776261D4">
      <w:pPr>
        <w:spacing w:line="480" w:lineRule="exact"/>
        <w:ind w:firstLine="360" w:firstLineChars="150"/>
        <w:rPr>
          <w:rFonts w:ascii="宋体" w:hAnsi="宋体"/>
          <w:b/>
          <w:bCs/>
          <w:color w:val="auto"/>
          <w:sz w:val="24"/>
          <w:highlight w:val="none"/>
          <w:u w:val="single"/>
        </w:rPr>
      </w:pPr>
      <w:r>
        <w:rPr>
          <w:rFonts w:hint="eastAsia" w:ascii="宋体" w:hAnsi="宋体"/>
          <w:color w:val="auto"/>
          <w:sz w:val="24"/>
          <w:highlight w:val="none"/>
        </w:rPr>
        <w:t>（1）应提供计划、报表的名称及完成时间：</w:t>
      </w:r>
      <w:r>
        <w:rPr>
          <w:rFonts w:hint="eastAsia" w:ascii="宋体" w:hAnsi="宋体"/>
          <w:b/>
          <w:bCs/>
          <w:color w:val="auto"/>
          <w:sz w:val="24"/>
          <w:highlight w:val="none"/>
          <w:u w:val="single"/>
        </w:rPr>
        <w:t xml:space="preserve">  开工前五天向发包人提供施工总进度计划、施工组织设计。</w:t>
      </w:r>
    </w:p>
    <w:p w14:paraId="7239F154">
      <w:pPr>
        <w:spacing w:line="480" w:lineRule="exact"/>
        <w:ind w:firstLine="360" w:firstLineChars="150"/>
        <w:rPr>
          <w:rFonts w:ascii="宋体" w:hAnsi="宋体"/>
          <w:color w:val="auto"/>
          <w:sz w:val="24"/>
          <w:highlight w:val="none"/>
          <w:u w:val="single"/>
        </w:rPr>
      </w:pPr>
      <w:r>
        <w:rPr>
          <w:rFonts w:hint="eastAsia" w:ascii="宋体" w:hAnsi="宋体"/>
          <w:color w:val="auto"/>
          <w:sz w:val="24"/>
          <w:highlight w:val="none"/>
        </w:rPr>
        <w:t>（2）承担施工安全保卫工作及施工照明、现场用水用电的责任和要求：</w:t>
      </w:r>
      <w:r>
        <w:rPr>
          <w:rFonts w:hint="eastAsia" w:ascii="宋体" w:hAnsi="宋体"/>
          <w:b/>
          <w:bCs/>
          <w:color w:val="auto"/>
          <w:sz w:val="24"/>
          <w:highlight w:val="none"/>
          <w:u w:val="single"/>
        </w:rPr>
        <w:t>按通用条款，由承包人负责。</w:t>
      </w:r>
    </w:p>
    <w:p w14:paraId="0251EB2A">
      <w:pPr>
        <w:tabs>
          <w:tab w:val="left" w:pos="0"/>
          <w:tab w:val="left" w:pos="900"/>
        </w:tabs>
        <w:spacing w:line="480" w:lineRule="exact"/>
        <w:ind w:firstLine="360" w:firstLineChars="150"/>
        <w:rPr>
          <w:rFonts w:ascii="宋体" w:hAnsi="宋体"/>
          <w:b/>
          <w:bCs/>
          <w:color w:val="auto"/>
          <w:sz w:val="24"/>
          <w:highlight w:val="none"/>
          <w:u w:val="single"/>
        </w:rPr>
      </w:pPr>
      <w:r>
        <w:rPr>
          <w:rFonts w:hint="eastAsia" w:ascii="宋体" w:hAnsi="宋体"/>
          <w:color w:val="auto"/>
          <w:sz w:val="24"/>
          <w:highlight w:val="none"/>
        </w:rPr>
        <w:t>（3）向发包人提供的办公和生活房屋及设施的要求：</w:t>
      </w:r>
      <w:r>
        <w:rPr>
          <w:rFonts w:hint="eastAsia" w:ascii="宋体" w:hAnsi="宋体"/>
          <w:b/>
          <w:bCs/>
          <w:color w:val="auto"/>
          <w:sz w:val="24"/>
          <w:highlight w:val="none"/>
          <w:u w:val="single"/>
        </w:rPr>
        <w:t xml:space="preserve"> </w:t>
      </w:r>
      <w:r>
        <w:rPr>
          <w:rFonts w:hint="eastAsia" w:ascii="宋体" w:hAnsi="宋体"/>
          <w:color w:val="auto"/>
          <w:sz w:val="24"/>
          <w:highlight w:val="none"/>
          <w:u w:val="single"/>
        </w:rPr>
        <w:t>无</w:t>
      </w:r>
      <w:r>
        <w:rPr>
          <w:rFonts w:hint="eastAsia" w:ascii="宋体" w:hAnsi="宋体"/>
          <w:b/>
          <w:bCs/>
          <w:color w:val="auto"/>
          <w:sz w:val="24"/>
          <w:highlight w:val="none"/>
          <w:u w:val="single"/>
        </w:rPr>
        <w:t>。</w:t>
      </w:r>
    </w:p>
    <w:p w14:paraId="7C9479C6">
      <w:pPr>
        <w:spacing w:line="480" w:lineRule="exact"/>
        <w:ind w:firstLine="360" w:firstLineChars="150"/>
        <w:rPr>
          <w:rFonts w:ascii="宋体" w:hAnsi="宋体"/>
          <w:color w:val="auto"/>
          <w:sz w:val="24"/>
          <w:highlight w:val="none"/>
          <w:u w:val="single"/>
        </w:rPr>
      </w:pPr>
      <w:r>
        <w:rPr>
          <w:rFonts w:hint="eastAsia" w:ascii="宋体" w:hAnsi="宋体"/>
          <w:color w:val="auto"/>
          <w:sz w:val="24"/>
          <w:highlight w:val="none"/>
        </w:rPr>
        <w:t>（4）需承包人办理的有关施工场地交通、环卫和施工噪声管理等手续：</w:t>
      </w:r>
      <w:r>
        <w:rPr>
          <w:rFonts w:hint="eastAsia" w:ascii="宋体" w:hAnsi="宋体"/>
          <w:b/>
          <w:bCs/>
          <w:color w:val="auto"/>
          <w:sz w:val="24"/>
          <w:highlight w:val="none"/>
          <w:u w:val="single"/>
        </w:rPr>
        <w:t>承包人自行办理。</w:t>
      </w:r>
    </w:p>
    <w:p w14:paraId="5982B8AB">
      <w:pPr>
        <w:tabs>
          <w:tab w:val="left" w:pos="0"/>
          <w:tab w:val="left" w:pos="900"/>
        </w:tabs>
        <w:spacing w:line="480" w:lineRule="exact"/>
        <w:ind w:firstLine="360" w:firstLineChars="150"/>
        <w:rPr>
          <w:rFonts w:ascii="宋体" w:hAnsi="宋体"/>
          <w:color w:val="auto"/>
          <w:sz w:val="24"/>
          <w:highlight w:val="none"/>
          <w:u w:val="single"/>
        </w:rPr>
      </w:pPr>
      <w:r>
        <w:rPr>
          <w:rFonts w:hint="eastAsia" w:ascii="宋体" w:hAnsi="宋体"/>
          <w:color w:val="auto"/>
          <w:sz w:val="24"/>
          <w:highlight w:val="none"/>
        </w:rPr>
        <w:t>（5）已完工程成品保护的特殊要求及费用承担：</w:t>
      </w:r>
      <w:r>
        <w:rPr>
          <w:rFonts w:hint="eastAsia" w:ascii="宋体" w:hAnsi="宋体"/>
          <w:color w:val="auto"/>
          <w:sz w:val="24"/>
          <w:highlight w:val="none"/>
          <w:u w:val="single"/>
        </w:rPr>
        <w:t xml:space="preserve"> </w:t>
      </w:r>
      <w:r>
        <w:rPr>
          <w:rFonts w:hint="eastAsia" w:ascii="宋体" w:hAnsi="宋体"/>
          <w:b/>
          <w:bCs/>
          <w:color w:val="auto"/>
          <w:sz w:val="24"/>
          <w:highlight w:val="none"/>
          <w:u w:val="single"/>
        </w:rPr>
        <w:t xml:space="preserve"> 在交付使用前由承包人负责承担。</w:t>
      </w:r>
    </w:p>
    <w:p w14:paraId="636123E3">
      <w:pPr>
        <w:spacing w:line="480" w:lineRule="exact"/>
        <w:ind w:firstLine="360" w:firstLineChars="150"/>
        <w:rPr>
          <w:rFonts w:ascii="宋体" w:hAnsi="宋体"/>
          <w:b/>
          <w:color w:val="auto"/>
          <w:sz w:val="24"/>
          <w:highlight w:val="none"/>
          <w:u w:val="single"/>
        </w:rPr>
      </w:pPr>
      <w:r>
        <w:rPr>
          <w:rFonts w:hint="eastAsia" w:ascii="宋体" w:hAnsi="宋体"/>
          <w:color w:val="auto"/>
          <w:sz w:val="24"/>
          <w:highlight w:val="none"/>
        </w:rPr>
        <w:t>（6）施工现场清洁卫生的要求：</w:t>
      </w:r>
      <w:r>
        <w:rPr>
          <w:rFonts w:hint="eastAsia" w:ascii="宋体" w:hAnsi="宋体"/>
          <w:b/>
          <w:color w:val="auto"/>
          <w:sz w:val="24"/>
          <w:highlight w:val="none"/>
          <w:u w:val="single"/>
        </w:rPr>
        <w:t xml:space="preserve">承包人应自行清运、清理完毕发包人提供场地范围内的所有机械、垃圾等所有发包人认为应该清理、清运的物品，费用包含在承包人的投标报价中。 </w:t>
      </w:r>
    </w:p>
    <w:p w14:paraId="4B321B45">
      <w:pPr>
        <w:spacing w:line="480" w:lineRule="exact"/>
        <w:ind w:firstLine="360" w:firstLineChars="150"/>
        <w:rPr>
          <w:rFonts w:ascii="宋体" w:hAnsi="宋体"/>
          <w:color w:val="auto"/>
          <w:sz w:val="24"/>
          <w:highlight w:val="none"/>
        </w:rPr>
      </w:pPr>
      <w:r>
        <w:rPr>
          <w:rFonts w:hint="eastAsia" w:ascii="宋体" w:hAnsi="宋体"/>
          <w:color w:val="auto"/>
          <w:sz w:val="24"/>
          <w:highlight w:val="none"/>
        </w:rPr>
        <w:t>（7）竣工验收前，承包人应组织对施工范围内所有已完工程部位、成品等进行清理、清洁，费用由承包人承担。</w:t>
      </w:r>
    </w:p>
    <w:p w14:paraId="6F3FCEA3">
      <w:pPr>
        <w:spacing w:line="480" w:lineRule="exact"/>
        <w:ind w:firstLine="360" w:firstLineChars="150"/>
        <w:rPr>
          <w:rFonts w:ascii="宋体" w:hAnsi="宋体"/>
          <w:color w:val="auto"/>
          <w:sz w:val="24"/>
          <w:highlight w:val="none"/>
        </w:rPr>
      </w:pPr>
      <w:r>
        <w:rPr>
          <w:rFonts w:hint="eastAsia" w:ascii="宋体" w:hAnsi="宋体"/>
          <w:color w:val="auto"/>
          <w:sz w:val="24"/>
          <w:highlight w:val="none"/>
        </w:rPr>
        <w:t>(8) 承包人应做的其他工作</w:t>
      </w:r>
    </w:p>
    <w:p w14:paraId="7C554558">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提供包括以下设计及相关资料及服务工作但不仅限于以下：</w:t>
      </w:r>
    </w:p>
    <w:p w14:paraId="5E04BCD2">
      <w:pPr>
        <w:spacing w:line="480" w:lineRule="exact"/>
        <w:ind w:firstLine="482" w:firstLineChars="200"/>
        <w:rPr>
          <w:rFonts w:ascii="宋体" w:hAnsi="宋体"/>
          <w:b/>
          <w:color w:val="auto"/>
          <w:sz w:val="24"/>
          <w:highlight w:val="none"/>
          <w:u w:val="single"/>
        </w:rPr>
      </w:pPr>
      <w:r>
        <w:rPr>
          <w:rFonts w:ascii="宋体" w:hAnsi="宋体"/>
          <w:b/>
          <w:color w:val="auto"/>
          <w:sz w:val="24"/>
          <w:highlight w:val="none"/>
          <w:u w:val="single"/>
        </w:rPr>
        <w:fldChar w:fldCharType="begin"/>
      </w:r>
      <w:r>
        <w:rPr>
          <w:rFonts w:ascii="宋体" w:hAnsi="宋体"/>
          <w:b/>
          <w:color w:val="auto"/>
          <w:sz w:val="24"/>
          <w:highlight w:val="none"/>
          <w:u w:val="single"/>
        </w:rPr>
        <w:instrText xml:space="preserve"> </w:instrText>
      </w:r>
      <w:r>
        <w:rPr>
          <w:rFonts w:hint="eastAsia" w:ascii="宋体" w:hAnsi="宋体"/>
          <w:b/>
          <w:color w:val="auto"/>
          <w:sz w:val="24"/>
          <w:highlight w:val="none"/>
          <w:u w:val="single"/>
        </w:rPr>
        <w:instrText xml:space="preserve">= 1 \* GB3</w:instrText>
      </w:r>
      <w:r>
        <w:rPr>
          <w:rFonts w:ascii="宋体" w:hAnsi="宋体"/>
          <w:b/>
          <w:color w:val="auto"/>
          <w:sz w:val="24"/>
          <w:highlight w:val="none"/>
          <w:u w:val="single"/>
        </w:rPr>
        <w:instrText xml:space="preserve"> </w:instrText>
      </w:r>
      <w:r>
        <w:rPr>
          <w:rFonts w:ascii="宋体" w:hAnsi="宋体"/>
          <w:b/>
          <w:color w:val="auto"/>
          <w:sz w:val="24"/>
          <w:highlight w:val="none"/>
          <w:u w:val="single"/>
        </w:rPr>
        <w:fldChar w:fldCharType="separate"/>
      </w:r>
      <w:r>
        <w:rPr>
          <w:rFonts w:hint="eastAsia" w:ascii="宋体" w:hAnsi="宋体"/>
          <w:b/>
          <w:color w:val="auto"/>
          <w:sz w:val="24"/>
          <w:highlight w:val="none"/>
          <w:u w:val="single"/>
        </w:rPr>
        <w:t>①</w:t>
      </w:r>
      <w:r>
        <w:rPr>
          <w:rFonts w:ascii="宋体" w:hAnsi="宋体"/>
          <w:b/>
          <w:color w:val="auto"/>
          <w:sz w:val="24"/>
          <w:highlight w:val="none"/>
          <w:u w:val="single"/>
        </w:rPr>
        <w:fldChar w:fldCharType="end"/>
      </w:r>
      <w:r>
        <w:rPr>
          <w:rFonts w:hint="eastAsia" w:ascii="宋体" w:hAnsi="宋体"/>
          <w:b/>
          <w:color w:val="auto"/>
          <w:sz w:val="24"/>
          <w:highlight w:val="none"/>
          <w:u w:val="single"/>
        </w:rPr>
        <w:t>收到中标通知书后15天内，承包人须按发包人提供的资料和相关要求，完成相关施工图的交底工作。</w:t>
      </w:r>
    </w:p>
    <w:p w14:paraId="32CA815F">
      <w:pPr>
        <w:spacing w:line="480" w:lineRule="exact"/>
        <w:ind w:firstLine="482" w:firstLineChars="200"/>
        <w:rPr>
          <w:rFonts w:ascii="宋体" w:hAnsi="宋体"/>
          <w:b/>
          <w:color w:val="auto"/>
          <w:sz w:val="24"/>
          <w:highlight w:val="none"/>
          <w:u w:val="single"/>
        </w:rPr>
      </w:pPr>
      <w:r>
        <w:rPr>
          <w:rFonts w:ascii="宋体" w:hAnsi="宋体"/>
          <w:b/>
          <w:color w:val="auto"/>
          <w:sz w:val="24"/>
          <w:highlight w:val="none"/>
          <w:u w:val="single"/>
        </w:rPr>
        <w:fldChar w:fldCharType="begin"/>
      </w:r>
      <w:r>
        <w:rPr>
          <w:rFonts w:ascii="宋体" w:hAnsi="宋体"/>
          <w:b/>
          <w:color w:val="auto"/>
          <w:sz w:val="24"/>
          <w:highlight w:val="none"/>
          <w:u w:val="single"/>
        </w:rPr>
        <w:instrText xml:space="preserve"> </w:instrText>
      </w:r>
      <w:r>
        <w:rPr>
          <w:rFonts w:hint="eastAsia" w:ascii="宋体" w:hAnsi="宋体"/>
          <w:b/>
          <w:color w:val="auto"/>
          <w:sz w:val="24"/>
          <w:highlight w:val="none"/>
          <w:u w:val="single"/>
        </w:rPr>
        <w:instrText xml:space="preserve">= 2 \* GB3</w:instrText>
      </w:r>
      <w:r>
        <w:rPr>
          <w:rFonts w:ascii="宋体" w:hAnsi="宋体"/>
          <w:b/>
          <w:color w:val="auto"/>
          <w:sz w:val="24"/>
          <w:highlight w:val="none"/>
          <w:u w:val="single"/>
        </w:rPr>
        <w:instrText xml:space="preserve"> </w:instrText>
      </w:r>
      <w:r>
        <w:rPr>
          <w:rFonts w:ascii="宋体" w:hAnsi="宋体"/>
          <w:b/>
          <w:color w:val="auto"/>
          <w:sz w:val="24"/>
          <w:highlight w:val="none"/>
          <w:u w:val="single"/>
        </w:rPr>
        <w:fldChar w:fldCharType="separate"/>
      </w:r>
      <w:r>
        <w:rPr>
          <w:rFonts w:hint="eastAsia" w:ascii="宋体" w:hAnsi="宋体"/>
          <w:b/>
          <w:color w:val="auto"/>
          <w:sz w:val="24"/>
          <w:highlight w:val="none"/>
          <w:u w:val="single"/>
        </w:rPr>
        <w:t>②</w:t>
      </w:r>
      <w:r>
        <w:rPr>
          <w:rFonts w:ascii="宋体" w:hAnsi="宋体"/>
          <w:b/>
          <w:color w:val="auto"/>
          <w:sz w:val="24"/>
          <w:highlight w:val="none"/>
          <w:u w:val="single"/>
        </w:rPr>
        <w:fldChar w:fldCharType="end"/>
      </w:r>
      <w:r>
        <w:rPr>
          <w:rFonts w:hint="eastAsia" w:ascii="宋体" w:hAnsi="宋体"/>
          <w:b/>
          <w:color w:val="auto"/>
          <w:sz w:val="24"/>
          <w:highlight w:val="none"/>
          <w:u w:val="single"/>
        </w:rPr>
        <w:t>承包人须提供设备的详细成套供货清单（包括备品备件、专用工具、检修仪表、易损件的清单）；提供设备样本和使用操作说明书。</w:t>
      </w:r>
    </w:p>
    <w:p w14:paraId="06F96893">
      <w:pPr>
        <w:pStyle w:val="5"/>
        <w:keepNext w:val="0"/>
        <w:keepLines w:val="0"/>
        <w:spacing w:line="480" w:lineRule="exact"/>
        <w:ind w:firstLine="482"/>
        <w:rPr>
          <w:rFonts w:ascii="宋体" w:hAnsi="宋体"/>
          <w:color w:val="auto"/>
          <w:sz w:val="24"/>
          <w:szCs w:val="24"/>
          <w:highlight w:val="none"/>
        </w:rPr>
      </w:pPr>
      <w:bookmarkStart w:id="487" w:name="_Toc232568926"/>
      <w:bookmarkStart w:id="488" w:name="_Toc171279365"/>
      <w:bookmarkStart w:id="489" w:name="_Toc29677"/>
      <w:bookmarkStart w:id="490" w:name="_Toc716"/>
      <w:bookmarkStart w:id="491" w:name="_Toc191662557"/>
      <w:bookmarkStart w:id="492" w:name="_Toc176282100"/>
      <w:bookmarkStart w:id="493" w:name="_Toc23361"/>
      <w:r>
        <w:rPr>
          <w:rFonts w:hint="eastAsia" w:ascii="宋体" w:hAnsi="宋体"/>
          <w:color w:val="auto"/>
          <w:sz w:val="24"/>
          <w:szCs w:val="24"/>
          <w:highlight w:val="none"/>
        </w:rPr>
        <w:t>三、施工组织设计和工期</w:t>
      </w:r>
      <w:bookmarkEnd w:id="487"/>
      <w:bookmarkEnd w:id="488"/>
      <w:bookmarkEnd w:id="489"/>
      <w:bookmarkEnd w:id="490"/>
      <w:bookmarkEnd w:id="491"/>
      <w:bookmarkEnd w:id="492"/>
      <w:bookmarkEnd w:id="493"/>
    </w:p>
    <w:p w14:paraId="15EF9B67">
      <w:pPr>
        <w:pStyle w:val="5"/>
        <w:keepNext w:val="0"/>
        <w:keepLines w:val="0"/>
        <w:spacing w:line="480" w:lineRule="exact"/>
        <w:ind w:firstLine="480"/>
        <w:rPr>
          <w:rFonts w:ascii="宋体" w:hAnsi="宋体"/>
          <w:b w:val="0"/>
          <w:color w:val="auto"/>
          <w:sz w:val="24"/>
          <w:szCs w:val="24"/>
          <w:highlight w:val="none"/>
        </w:rPr>
      </w:pPr>
      <w:bookmarkStart w:id="494" w:name="_Toc191662558"/>
      <w:bookmarkStart w:id="495" w:name="_Toc176282101"/>
      <w:bookmarkStart w:id="496" w:name="_Toc171279366"/>
      <w:bookmarkStart w:id="497" w:name="_Toc11249"/>
      <w:bookmarkStart w:id="498" w:name="_Toc232568927"/>
      <w:bookmarkStart w:id="499" w:name="_Toc14576"/>
      <w:bookmarkStart w:id="500" w:name="_Toc7616"/>
      <w:r>
        <w:rPr>
          <w:rFonts w:hint="eastAsia" w:ascii="宋体" w:hAnsi="宋体"/>
          <w:b w:val="0"/>
          <w:color w:val="auto"/>
          <w:sz w:val="24"/>
          <w:szCs w:val="24"/>
          <w:highlight w:val="none"/>
        </w:rPr>
        <w:t>7、进度计划</w:t>
      </w:r>
      <w:bookmarkEnd w:id="494"/>
      <w:bookmarkEnd w:id="495"/>
      <w:bookmarkEnd w:id="496"/>
      <w:bookmarkEnd w:id="497"/>
      <w:bookmarkEnd w:id="498"/>
      <w:bookmarkEnd w:id="499"/>
      <w:bookmarkEnd w:id="500"/>
    </w:p>
    <w:p w14:paraId="1CA799AE">
      <w:pPr>
        <w:spacing w:line="480" w:lineRule="exact"/>
        <w:ind w:firstLine="480" w:firstLineChars="200"/>
        <w:rPr>
          <w:rFonts w:ascii="宋体" w:hAnsi="宋体"/>
          <w:b/>
          <w:bCs/>
          <w:color w:val="auto"/>
          <w:sz w:val="24"/>
          <w:highlight w:val="none"/>
          <w:u w:val="single"/>
        </w:rPr>
      </w:pPr>
      <w:r>
        <w:rPr>
          <w:rFonts w:hint="eastAsia" w:ascii="宋体" w:hAnsi="宋体"/>
          <w:color w:val="auto"/>
          <w:sz w:val="24"/>
          <w:highlight w:val="none"/>
        </w:rPr>
        <w:t>7.1承包人提供施工组织设计（施工方案）和进度计划的时间：</w:t>
      </w:r>
      <w:r>
        <w:rPr>
          <w:rFonts w:hint="eastAsia" w:ascii="宋体" w:hAnsi="宋体"/>
          <w:b/>
          <w:bCs/>
          <w:color w:val="auto"/>
          <w:sz w:val="24"/>
          <w:highlight w:val="none"/>
          <w:u w:val="single"/>
        </w:rPr>
        <w:t xml:space="preserve">  承包人应在签订合同后5日内向发包人提供施工组织设计(根据工程实际情况，对投标文件的修改稿)、详细的工程进度计划以及料采购及使用计划。</w:t>
      </w:r>
    </w:p>
    <w:p w14:paraId="3A77ADCF">
      <w:pPr>
        <w:spacing w:line="480" w:lineRule="exact"/>
        <w:ind w:firstLine="480" w:firstLineChars="200"/>
        <w:rPr>
          <w:rFonts w:ascii="宋体" w:hAnsi="宋体"/>
          <w:color w:val="auto"/>
          <w:sz w:val="24"/>
          <w:highlight w:val="none"/>
          <w:u w:val="single"/>
        </w:rPr>
      </w:pPr>
      <w:r>
        <w:rPr>
          <w:rFonts w:hint="eastAsia" w:ascii="宋体" w:hAnsi="宋体"/>
          <w:color w:val="auto"/>
          <w:sz w:val="24"/>
          <w:highlight w:val="none"/>
        </w:rPr>
        <w:t xml:space="preserve">工程师确认的时间： </w:t>
      </w:r>
      <w:r>
        <w:rPr>
          <w:rFonts w:hint="eastAsia" w:ascii="宋体" w:hAnsi="宋体"/>
          <w:b/>
          <w:bCs/>
          <w:color w:val="auto"/>
          <w:sz w:val="24"/>
          <w:highlight w:val="none"/>
          <w:u w:val="single"/>
        </w:rPr>
        <w:t xml:space="preserve"> 收齐资料后五个工作日。</w:t>
      </w:r>
    </w:p>
    <w:p w14:paraId="3E8DA855">
      <w:pPr>
        <w:pStyle w:val="5"/>
        <w:keepNext w:val="0"/>
        <w:keepLines w:val="0"/>
        <w:spacing w:line="480" w:lineRule="exact"/>
        <w:ind w:firstLine="480"/>
        <w:rPr>
          <w:rFonts w:ascii="宋体" w:hAnsi="宋体"/>
          <w:b w:val="0"/>
          <w:color w:val="auto"/>
          <w:sz w:val="24"/>
          <w:szCs w:val="24"/>
          <w:highlight w:val="none"/>
        </w:rPr>
      </w:pPr>
      <w:bookmarkStart w:id="501" w:name="_Toc191662560"/>
      <w:bookmarkStart w:id="502" w:name="_Toc171279368"/>
      <w:bookmarkStart w:id="503" w:name="_Toc8595"/>
      <w:bookmarkStart w:id="504" w:name="_Toc12127"/>
      <w:bookmarkStart w:id="505" w:name="_Toc176282103"/>
      <w:bookmarkStart w:id="506" w:name="_Toc232568928"/>
      <w:bookmarkStart w:id="507" w:name="_Toc22197"/>
      <w:r>
        <w:rPr>
          <w:rFonts w:hint="eastAsia" w:ascii="宋体" w:hAnsi="宋体"/>
          <w:b w:val="0"/>
          <w:color w:val="auto"/>
          <w:sz w:val="24"/>
          <w:szCs w:val="24"/>
          <w:highlight w:val="none"/>
        </w:rPr>
        <w:t>8、工期延误</w:t>
      </w:r>
      <w:bookmarkEnd w:id="501"/>
      <w:bookmarkEnd w:id="502"/>
      <w:bookmarkEnd w:id="503"/>
      <w:bookmarkEnd w:id="504"/>
      <w:bookmarkEnd w:id="505"/>
      <w:bookmarkEnd w:id="506"/>
      <w:bookmarkEnd w:id="507"/>
    </w:p>
    <w:p w14:paraId="2FC30EBD">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8.1各方约定工期顺延的其他情况：</w:t>
      </w:r>
      <w:r>
        <w:rPr>
          <w:rFonts w:hint="eastAsia" w:ascii="宋体" w:hAnsi="宋体"/>
          <w:b/>
          <w:color w:val="auto"/>
          <w:sz w:val="24"/>
          <w:highlight w:val="none"/>
          <w:u w:val="single"/>
        </w:rPr>
        <w:t xml:space="preserve">如发生，经发包人签证确认。 </w:t>
      </w:r>
    </w:p>
    <w:p w14:paraId="56087792">
      <w:pPr>
        <w:spacing w:line="480" w:lineRule="exact"/>
        <w:ind w:firstLine="482" w:firstLineChars="200"/>
        <w:rPr>
          <w:rFonts w:ascii="宋体" w:hAnsi="宋体"/>
          <w:b/>
          <w:bCs/>
          <w:color w:val="auto"/>
          <w:sz w:val="24"/>
          <w:highlight w:val="none"/>
        </w:rPr>
      </w:pPr>
      <w:r>
        <w:rPr>
          <w:rFonts w:hint="eastAsia" w:ascii="宋体" w:hAnsi="宋体"/>
          <w:b/>
          <w:bCs/>
          <w:color w:val="auto"/>
          <w:sz w:val="24"/>
          <w:highlight w:val="none"/>
        </w:rPr>
        <w:t>四、质量与检验</w:t>
      </w:r>
    </w:p>
    <w:p w14:paraId="22BBB958">
      <w:pPr>
        <w:pStyle w:val="5"/>
        <w:keepNext w:val="0"/>
        <w:keepLines w:val="0"/>
        <w:spacing w:line="480" w:lineRule="exact"/>
        <w:ind w:firstLine="480"/>
        <w:rPr>
          <w:rFonts w:ascii="宋体" w:hAnsi="宋体"/>
          <w:b w:val="0"/>
          <w:color w:val="auto"/>
          <w:sz w:val="24"/>
          <w:szCs w:val="24"/>
          <w:highlight w:val="none"/>
        </w:rPr>
      </w:pPr>
      <w:bookmarkStart w:id="508" w:name="_Toc18989"/>
      <w:bookmarkStart w:id="509" w:name="_Toc31928"/>
      <w:bookmarkStart w:id="510" w:name="_Toc6859"/>
      <w:bookmarkStart w:id="511" w:name="_Toc232568931"/>
      <w:bookmarkStart w:id="512" w:name="_Toc171279370"/>
      <w:bookmarkStart w:id="513" w:name="_Toc191662563"/>
      <w:bookmarkStart w:id="514" w:name="_Toc176282106"/>
      <w:r>
        <w:rPr>
          <w:rFonts w:hint="eastAsia" w:ascii="宋体" w:hAnsi="宋体"/>
          <w:b w:val="0"/>
          <w:color w:val="auto"/>
          <w:sz w:val="24"/>
          <w:szCs w:val="24"/>
          <w:highlight w:val="none"/>
        </w:rPr>
        <w:t>9、工程质量</w:t>
      </w:r>
      <w:bookmarkEnd w:id="508"/>
      <w:bookmarkEnd w:id="509"/>
      <w:bookmarkEnd w:id="510"/>
      <w:bookmarkEnd w:id="511"/>
      <w:bookmarkEnd w:id="512"/>
      <w:bookmarkEnd w:id="513"/>
      <w:bookmarkEnd w:id="514"/>
    </w:p>
    <w:p w14:paraId="65279E6F">
      <w:pPr>
        <w:spacing w:line="480" w:lineRule="exact"/>
        <w:ind w:firstLine="480" w:firstLineChars="200"/>
        <w:rPr>
          <w:rFonts w:ascii="宋体" w:hAnsi="宋体"/>
          <w:b/>
          <w:color w:val="auto"/>
          <w:sz w:val="24"/>
          <w:highlight w:val="none"/>
        </w:rPr>
      </w:pPr>
      <w:r>
        <w:rPr>
          <w:rFonts w:hint="eastAsia" w:ascii="宋体" w:hAnsi="宋体"/>
          <w:color w:val="auto"/>
          <w:sz w:val="24"/>
          <w:highlight w:val="none"/>
        </w:rPr>
        <w:t>9.1</w:t>
      </w:r>
      <w:r>
        <w:rPr>
          <w:rFonts w:hint="eastAsia" w:ascii="宋体" w:hAnsi="宋体"/>
          <w:color w:val="auto"/>
          <w:sz w:val="24"/>
          <w:highlight w:val="none"/>
          <w:u w:val="single"/>
        </w:rPr>
        <w:t xml:space="preserve"> </w:t>
      </w:r>
      <w:r>
        <w:rPr>
          <w:rFonts w:hint="eastAsia" w:ascii="宋体" w:hAnsi="宋体"/>
          <w:b/>
          <w:color w:val="auto"/>
          <w:sz w:val="24"/>
          <w:highlight w:val="none"/>
          <w:u w:val="single"/>
        </w:rPr>
        <w:t xml:space="preserve">各方对工程质量有争议时，由相关部门鉴定 </w:t>
      </w:r>
      <w:r>
        <w:rPr>
          <w:rFonts w:hint="eastAsia" w:ascii="宋体" w:hAnsi="宋体"/>
          <w:b/>
          <w:color w:val="auto"/>
          <w:sz w:val="24"/>
          <w:highlight w:val="none"/>
        </w:rPr>
        <w:t>。</w:t>
      </w:r>
    </w:p>
    <w:p w14:paraId="7FA4E87E">
      <w:pPr>
        <w:spacing w:line="480" w:lineRule="exact"/>
        <w:ind w:firstLine="480" w:firstLineChars="200"/>
        <w:rPr>
          <w:rFonts w:ascii="宋体" w:hAnsi="宋体"/>
          <w:bCs/>
          <w:color w:val="auto"/>
          <w:sz w:val="24"/>
          <w:highlight w:val="none"/>
        </w:rPr>
      </w:pPr>
      <w:r>
        <w:rPr>
          <w:rFonts w:hint="eastAsia" w:ascii="宋体" w:hAnsi="宋体"/>
          <w:bCs/>
          <w:color w:val="auto"/>
          <w:sz w:val="24"/>
          <w:highlight w:val="none"/>
        </w:rPr>
        <w:t>10</w:t>
      </w:r>
      <w:r>
        <w:rPr>
          <w:rFonts w:hint="eastAsia" w:ascii="宋体" w:hAnsi="宋体"/>
          <w:b/>
          <w:color w:val="auto"/>
          <w:sz w:val="24"/>
          <w:highlight w:val="none"/>
        </w:rPr>
        <w:t>、</w:t>
      </w:r>
      <w:r>
        <w:rPr>
          <w:rFonts w:hint="eastAsia" w:ascii="宋体" w:hAnsi="宋体"/>
          <w:bCs/>
          <w:color w:val="auto"/>
          <w:sz w:val="24"/>
          <w:highlight w:val="none"/>
        </w:rPr>
        <w:t>其他</w:t>
      </w:r>
    </w:p>
    <w:p w14:paraId="2068886D">
      <w:pPr>
        <w:spacing w:line="480" w:lineRule="exact"/>
        <w:ind w:firstLine="482" w:firstLineChars="200"/>
        <w:rPr>
          <w:rFonts w:ascii="宋体" w:hAnsi="宋体"/>
          <w:b/>
          <w:color w:val="auto"/>
          <w:sz w:val="24"/>
          <w:highlight w:val="none"/>
          <w:u w:val="single"/>
        </w:rPr>
      </w:pPr>
      <w:r>
        <w:rPr>
          <w:rFonts w:hint="eastAsia" w:ascii="宋体" w:hAnsi="宋体"/>
          <w:b/>
          <w:color w:val="auto"/>
          <w:sz w:val="24"/>
          <w:highlight w:val="none"/>
          <w:u w:val="single"/>
        </w:rPr>
        <w:t>10.1承包人应派遣有从事同类工作实践经验的技术人员进行设备安装、调试及运行工作，直到保证正常稳定运行进入1个月的试运行。</w:t>
      </w:r>
    </w:p>
    <w:p w14:paraId="49C0B4DB">
      <w:pPr>
        <w:spacing w:line="480" w:lineRule="exact"/>
        <w:ind w:firstLine="482" w:firstLineChars="200"/>
        <w:rPr>
          <w:rFonts w:ascii="宋体" w:hAnsi="宋体"/>
          <w:b/>
          <w:color w:val="auto"/>
          <w:sz w:val="24"/>
          <w:highlight w:val="none"/>
          <w:u w:val="single"/>
        </w:rPr>
      </w:pPr>
      <w:r>
        <w:rPr>
          <w:rFonts w:hint="eastAsia" w:ascii="宋体" w:hAnsi="宋体"/>
          <w:b/>
          <w:color w:val="auto"/>
          <w:sz w:val="24"/>
          <w:highlight w:val="none"/>
          <w:u w:val="single"/>
        </w:rPr>
        <w:t>10.2在调试期间，承包人在现场负责测试和调试。测试、调试方法及记录表格式应由发包人认可后方可执行。调试过程一切费用由承包人负责。</w:t>
      </w:r>
    </w:p>
    <w:p w14:paraId="52902C04">
      <w:pPr>
        <w:spacing w:line="480" w:lineRule="exact"/>
        <w:ind w:firstLine="472" w:firstLineChars="196"/>
        <w:rPr>
          <w:rFonts w:ascii="宋体" w:hAnsi="宋体"/>
          <w:bCs/>
          <w:color w:val="auto"/>
          <w:sz w:val="24"/>
          <w:highlight w:val="none"/>
        </w:rPr>
      </w:pPr>
      <w:r>
        <w:rPr>
          <w:rFonts w:hint="eastAsia" w:ascii="宋体" w:hAnsi="宋体"/>
          <w:b/>
          <w:bCs/>
          <w:color w:val="auto"/>
          <w:sz w:val="24"/>
          <w:highlight w:val="none"/>
        </w:rPr>
        <w:t>五、安全施工</w:t>
      </w:r>
      <w:r>
        <w:rPr>
          <w:rFonts w:hint="eastAsia" w:ascii="宋体" w:hAnsi="宋体"/>
          <w:b/>
          <w:color w:val="auto"/>
          <w:sz w:val="24"/>
          <w:highlight w:val="none"/>
        </w:rPr>
        <w:t xml:space="preserve"> </w:t>
      </w:r>
      <w:r>
        <w:rPr>
          <w:rFonts w:hint="eastAsia" w:ascii="宋体" w:hAnsi="宋体"/>
          <w:color w:val="auto"/>
          <w:sz w:val="24"/>
          <w:highlight w:val="none"/>
        </w:rPr>
        <w:br w:type="textWrapping"/>
      </w:r>
      <w:r>
        <w:rPr>
          <w:rFonts w:hint="eastAsia" w:ascii="宋体" w:hAnsi="宋体"/>
          <w:color w:val="auto"/>
          <w:sz w:val="24"/>
          <w:highlight w:val="none"/>
        </w:rPr>
        <w:t>　</w:t>
      </w:r>
      <w:r>
        <w:rPr>
          <w:rFonts w:hint="eastAsia" w:ascii="宋体" w:hAnsi="宋体"/>
          <w:bCs/>
          <w:color w:val="auto"/>
          <w:sz w:val="24"/>
          <w:highlight w:val="none"/>
        </w:rPr>
        <w:t>　11.安全施工与检查</w:t>
      </w:r>
    </w:p>
    <w:p w14:paraId="3B3EB7A5">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11.1</w:t>
      </w:r>
      <w:r>
        <w:rPr>
          <w:rFonts w:ascii="宋体" w:hAnsi="宋体"/>
          <w:color w:val="auto"/>
          <w:sz w:val="24"/>
          <w:highlight w:val="none"/>
        </w:rPr>
        <w:t>工程安全要求:</w:t>
      </w:r>
      <w:r>
        <w:rPr>
          <w:rFonts w:hint="eastAsia" w:ascii="宋体" w:hAnsi="宋体" w:cs="宋体"/>
          <w:color w:val="auto"/>
          <w:kern w:val="0"/>
          <w:sz w:val="24"/>
          <w:highlight w:val="none"/>
        </w:rPr>
        <w:t xml:space="preserve"> </w:t>
      </w:r>
      <w:r>
        <w:rPr>
          <w:rFonts w:hint="eastAsia" w:ascii="宋体" w:hAnsi="宋体"/>
          <w:b/>
          <w:color w:val="auto"/>
          <w:sz w:val="24"/>
          <w:highlight w:val="none"/>
          <w:u w:val="single"/>
        </w:rPr>
        <w:t>项目施工过程中承包人须做好一切施工安全工作。</w:t>
      </w:r>
    </w:p>
    <w:p w14:paraId="7BBEB80A">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11.2施工管理：</w:t>
      </w:r>
    </w:p>
    <w:p w14:paraId="190D2DED">
      <w:pPr>
        <w:spacing w:line="480" w:lineRule="exact"/>
        <w:ind w:firstLine="482" w:firstLineChars="200"/>
        <w:rPr>
          <w:rFonts w:ascii="宋体" w:hAnsi="宋体"/>
          <w:b/>
          <w:color w:val="auto"/>
          <w:sz w:val="24"/>
          <w:highlight w:val="none"/>
          <w:u w:val="single"/>
        </w:rPr>
      </w:pPr>
      <w:r>
        <w:rPr>
          <w:rFonts w:hint="eastAsia" w:ascii="宋体" w:hAnsi="宋体"/>
          <w:b/>
          <w:color w:val="auto"/>
          <w:sz w:val="24"/>
          <w:highlight w:val="none"/>
          <w:u w:val="single"/>
        </w:rPr>
        <w:t>1)承包人在签订合同后应即做好施工前准备工作。</w:t>
      </w:r>
    </w:p>
    <w:p w14:paraId="60B8A730">
      <w:pPr>
        <w:spacing w:line="480" w:lineRule="exact"/>
        <w:ind w:firstLine="482" w:firstLineChars="200"/>
        <w:rPr>
          <w:rFonts w:ascii="宋体" w:hAnsi="宋体"/>
          <w:b/>
          <w:color w:val="auto"/>
          <w:sz w:val="24"/>
          <w:highlight w:val="none"/>
          <w:u w:val="single"/>
        </w:rPr>
      </w:pPr>
      <w:r>
        <w:rPr>
          <w:rFonts w:hint="eastAsia" w:ascii="宋体" w:hAnsi="宋体"/>
          <w:b/>
          <w:color w:val="auto"/>
          <w:sz w:val="24"/>
          <w:highlight w:val="none"/>
          <w:u w:val="single"/>
        </w:rPr>
        <w:t>2)开工前承包人必须充分核对现场，编制施工设计、施工进度计划、材料设备采购计划。</w:t>
      </w:r>
    </w:p>
    <w:p w14:paraId="2E38F627">
      <w:pPr>
        <w:spacing w:line="480" w:lineRule="exact"/>
        <w:ind w:firstLine="482" w:firstLineChars="200"/>
        <w:rPr>
          <w:rFonts w:ascii="宋体" w:hAnsi="宋体"/>
          <w:b/>
          <w:color w:val="auto"/>
          <w:sz w:val="24"/>
          <w:highlight w:val="none"/>
          <w:u w:val="single"/>
        </w:rPr>
      </w:pPr>
      <w:r>
        <w:rPr>
          <w:rFonts w:hint="eastAsia" w:ascii="宋体" w:hAnsi="宋体"/>
          <w:b/>
          <w:color w:val="auto"/>
          <w:sz w:val="24"/>
          <w:highlight w:val="none"/>
          <w:u w:val="single"/>
        </w:rPr>
        <w:t>3)为保证良好的工程质量、计划进度，承包人必须对每道工序进行认真的检查、测量和调试，填写好当日的施工日记和各种记录，以备工程随时检查。</w:t>
      </w:r>
    </w:p>
    <w:p w14:paraId="38F2A5D4">
      <w:pPr>
        <w:spacing w:line="480" w:lineRule="exact"/>
        <w:ind w:right="-33" w:firstLine="482" w:firstLineChars="200"/>
        <w:rPr>
          <w:rFonts w:ascii="宋体" w:hAnsi="宋体"/>
          <w:b/>
          <w:color w:val="auto"/>
          <w:sz w:val="24"/>
          <w:highlight w:val="none"/>
          <w:u w:val="single"/>
        </w:rPr>
      </w:pPr>
      <w:r>
        <w:rPr>
          <w:rFonts w:hint="eastAsia" w:ascii="宋体" w:hAnsi="宋体"/>
          <w:b/>
          <w:color w:val="auto"/>
          <w:sz w:val="24"/>
          <w:highlight w:val="none"/>
          <w:u w:val="single"/>
        </w:rPr>
        <w:t>4)在施工中承包人对其承包的工程范围内的安全负有全部责任，由于承包人管理不善或过失造成的一切安全、质量事故，其责任概由承包人自负，发包人不承担任何责任和支付任何费用，给发包人造成损失的由承包人负责赔偿。</w:t>
      </w:r>
    </w:p>
    <w:p w14:paraId="48832A76">
      <w:pPr>
        <w:spacing w:line="480" w:lineRule="exact"/>
        <w:ind w:firstLine="482" w:firstLineChars="200"/>
        <w:rPr>
          <w:rFonts w:ascii="宋体" w:hAnsi="宋体"/>
          <w:b/>
          <w:color w:val="auto"/>
          <w:sz w:val="24"/>
          <w:highlight w:val="none"/>
          <w:u w:val="single"/>
        </w:rPr>
      </w:pPr>
      <w:r>
        <w:rPr>
          <w:rFonts w:hint="eastAsia" w:ascii="宋体" w:hAnsi="宋体"/>
          <w:b/>
          <w:color w:val="auto"/>
          <w:sz w:val="24"/>
          <w:highlight w:val="none"/>
          <w:u w:val="single"/>
        </w:rPr>
        <w:t>5）项目负责人等人员配置必须与投标书中人员配置一致。</w:t>
      </w:r>
    </w:p>
    <w:p w14:paraId="0AD209A6">
      <w:pPr>
        <w:spacing w:line="480" w:lineRule="exact"/>
        <w:ind w:firstLine="480" w:firstLineChars="200"/>
        <w:rPr>
          <w:rFonts w:ascii="宋体" w:hAnsi="宋体"/>
          <w:b/>
          <w:color w:val="auto"/>
          <w:sz w:val="24"/>
          <w:highlight w:val="none"/>
          <w:u w:val="single"/>
        </w:rPr>
      </w:pPr>
      <w:r>
        <w:rPr>
          <w:rFonts w:hint="eastAsia" w:ascii="宋体" w:hAnsi="宋体"/>
          <w:bCs/>
          <w:color w:val="auto"/>
          <w:sz w:val="24"/>
          <w:highlight w:val="none"/>
        </w:rPr>
        <w:t>11.3</w:t>
      </w:r>
      <w:r>
        <w:rPr>
          <w:rFonts w:hint="eastAsia" w:ascii="宋体" w:hAnsi="宋体"/>
          <w:color w:val="auto"/>
          <w:sz w:val="24"/>
          <w:highlight w:val="none"/>
        </w:rPr>
        <w:t>施工职责：</w:t>
      </w:r>
      <w:r>
        <w:rPr>
          <w:rFonts w:hint="eastAsia" w:ascii="宋体" w:hAnsi="宋体"/>
          <w:b/>
          <w:color w:val="auto"/>
          <w:sz w:val="24"/>
          <w:highlight w:val="none"/>
          <w:u w:val="single"/>
        </w:rPr>
        <w:t>承包人必须全面执行和承担合同文件中规定的各项条款，负责合同项目的施工与维护。按合同规定配备所需的人员和机械设备，保证工程进度、工程质量以及施工现场的安全。按期完成合同项目工程，遵守有关法令、法律及各项规定。承包人委派的工程项目负责人是施工现场负责人，代表承包人处理日常工程现场施工、维护工作。在工程施工中，承包人应服从业主委派的监理工程师的指示，有责任与业主、监理单位保持联系和合作，按时交换工程施工和设备技术数据及资料。</w:t>
      </w:r>
    </w:p>
    <w:p w14:paraId="31A3FF8A">
      <w:pPr>
        <w:spacing w:line="480" w:lineRule="exact"/>
        <w:ind w:firstLine="472" w:firstLineChars="196"/>
        <w:rPr>
          <w:rFonts w:ascii="宋体" w:hAnsi="宋体"/>
          <w:b/>
          <w:color w:val="auto"/>
          <w:sz w:val="24"/>
          <w:highlight w:val="none"/>
        </w:rPr>
      </w:pPr>
      <w:r>
        <w:rPr>
          <w:rFonts w:hint="eastAsia" w:ascii="宋体" w:hAnsi="宋体"/>
          <w:b/>
          <w:color w:val="auto"/>
          <w:sz w:val="24"/>
          <w:highlight w:val="none"/>
        </w:rPr>
        <w:t>六、合同价款与支付</w:t>
      </w:r>
    </w:p>
    <w:p w14:paraId="2D7BCC83">
      <w:pPr>
        <w:spacing w:line="480" w:lineRule="exact"/>
        <w:ind w:firstLine="470" w:firstLineChars="196"/>
        <w:rPr>
          <w:rFonts w:ascii="宋体" w:hAnsi="宋体"/>
          <w:color w:val="auto"/>
          <w:sz w:val="24"/>
          <w:highlight w:val="none"/>
        </w:rPr>
      </w:pPr>
      <w:r>
        <w:rPr>
          <w:rFonts w:hint="eastAsia" w:ascii="宋体" w:hAnsi="宋体"/>
          <w:color w:val="auto"/>
          <w:sz w:val="24"/>
          <w:highlight w:val="none"/>
        </w:rPr>
        <w:t>12.合同价款及调整</w:t>
      </w:r>
    </w:p>
    <w:p w14:paraId="264CCF1C">
      <w:pPr>
        <w:spacing w:line="480" w:lineRule="exact"/>
        <w:rPr>
          <w:rFonts w:ascii="宋体" w:hAns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 xml:space="preserve">  12.1合同价款的确定，根据以下</w:t>
      </w:r>
      <w:r>
        <w:rPr>
          <w:rFonts w:hint="eastAsia" w:ascii="宋体" w:hAnsi="宋体"/>
          <w:b/>
          <w:color w:val="auto"/>
          <w:sz w:val="24"/>
          <w:highlight w:val="none"/>
          <w:u w:val="single"/>
        </w:rPr>
        <w:t xml:space="preserve">  (2)</w:t>
      </w:r>
      <w:r>
        <w:rPr>
          <w:rFonts w:ascii="宋体" w:hAnsi="宋体"/>
          <w:b/>
          <w:color w:val="auto"/>
          <w:sz w:val="24"/>
          <w:highlight w:val="none"/>
          <w:u w:val="single"/>
        </w:rPr>
        <w:t xml:space="preserve"> </w:t>
      </w:r>
      <w:r>
        <w:rPr>
          <w:rFonts w:hint="eastAsia" w:ascii="宋体" w:hAnsi="宋体"/>
          <w:b/>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条确定：</w:t>
      </w:r>
    </w:p>
    <w:p w14:paraId="180A5647">
      <w:pPr>
        <w:spacing w:line="480" w:lineRule="exact"/>
        <w:ind w:firstLine="420"/>
        <w:rPr>
          <w:rFonts w:ascii="宋体" w:hAnsi="宋体"/>
          <w:color w:val="auto"/>
          <w:sz w:val="24"/>
          <w:highlight w:val="none"/>
        </w:rPr>
      </w:pPr>
      <w:r>
        <w:rPr>
          <w:rFonts w:hint="eastAsia" w:ascii="宋体" w:hAnsi="宋体"/>
          <w:color w:val="auto"/>
          <w:sz w:val="24"/>
          <w:highlight w:val="none"/>
        </w:rPr>
        <w:t>(1) 招标文件规定的工程取费类别；</w:t>
      </w:r>
    </w:p>
    <w:p w14:paraId="0C878CE8">
      <w:pPr>
        <w:spacing w:line="480" w:lineRule="exact"/>
        <w:ind w:firstLine="420"/>
        <w:rPr>
          <w:rFonts w:ascii="宋体" w:hAnsi="宋体"/>
          <w:color w:val="auto"/>
          <w:sz w:val="24"/>
          <w:highlight w:val="none"/>
        </w:rPr>
      </w:pPr>
      <w:r>
        <w:rPr>
          <w:rFonts w:hint="eastAsia" w:ascii="宋体" w:hAnsi="宋体"/>
          <w:color w:val="auto"/>
          <w:sz w:val="24"/>
          <w:highlight w:val="none"/>
        </w:rPr>
        <w:t>(2) 中标总报价；</w:t>
      </w:r>
    </w:p>
    <w:p w14:paraId="3E7B9C3C">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投标报价应包括完成招标文件及图纸范围内的货款、标准附件、备品备件、专用工具、包装、运输、装卸、保险、税金、水电费、开孔及修补费、总包配合费（投标总价的1.5%）、货到就位以及保管、安装、调试、培训、保修等一切税金和费用。（总包配合内容包括垂直运输、配合城建档案归档、必要的土建配合（如填塞浇筑）、场地内机械设备、货物堆放场地等。具体事宜中标单位需与总包单位协商确定。）</w:t>
      </w:r>
    </w:p>
    <w:p w14:paraId="63E60B34">
      <w:pPr>
        <w:spacing w:line="480" w:lineRule="exact"/>
        <w:ind w:firstLine="480" w:firstLineChars="200"/>
        <w:rPr>
          <w:rFonts w:ascii="宋体" w:hAnsi="宋体"/>
          <w:b/>
          <w:color w:val="auto"/>
          <w:sz w:val="24"/>
          <w:highlight w:val="none"/>
          <w:u w:val="single"/>
        </w:rPr>
      </w:pPr>
      <w:r>
        <w:rPr>
          <w:rFonts w:hint="eastAsia" w:ascii="宋体" w:hAnsi="宋体"/>
          <w:color w:val="auto"/>
          <w:sz w:val="24"/>
          <w:highlight w:val="none"/>
        </w:rPr>
        <w:t>12.2各方约定合同价款的其他调整因数：</w:t>
      </w:r>
      <w:r>
        <w:rPr>
          <w:rFonts w:hint="eastAsia" w:ascii="宋体" w:hAnsi="宋体"/>
          <w:b/>
          <w:color w:val="auto"/>
          <w:sz w:val="24"/>
          <w:highlight w:val="none"/>
          <w:u w:val="single"/>
        </w:rPr>
        <w:t>提出的变更所引起的工程项目或数量增减；</w:t>
      </w:r>
    </w:p>
    <w:p w14:paraId="003A5997">
      <w:pPr>
        <w:spacing w:line="480" w:lineRule="exact"/>
        <w:ind w:firstLine="470" w:firstLineChars="196"/>
        <w:rPr>
          <w:rFonts w:ascii="宋体" w:hAnsi="宋体"/>
          <w:color w:val="auto"/>
          <w:sz w:val="24"/>
          <w:highlight w:val="none"/>
        </w:rPr>
      </w:pPr>
      <w:r>
        <w:rPr>
          <w:rFonts w:hint="eastAsia" w:ascii="宋体" w:hAnsi="宋体"/>
          <w:color w:val="auto"/>
          <w:sz w:val="24"/>
          <w:highlight w:val="none"/>
        </w:rPr>
        <w:t>13工程款的支付</w:t>
      </w:r>
    </w:p>
    <w:p w14:paraId="3ACC81DC">
      <w:pPr>
        <w:spacing w:line="480" w:lineRule="exact"/>
        <w:ind w:firstLine="420"/>
        <w:rPr>
          <w:rFonts w:ascii="宋体" w:hAnsi="宋体"/>
          <w:color w:val="auto"/>
          <w:sz w:val="24"/>
          <w:highlight w:val="none"/>
        </w:rPr>
      </w:pPr>
      <w:r>
        <w:rPr>
          <w:rFonts w:hint="eastAsia" w:ascii="宋体" w:hAnsi="宋体"/>
          <w:color w:val="auto"/>
          <w:sz w:val="24"/>
          <w:highlight w:val="none"/>
        </w:rPr>
        <w:t>13.1支付方式：</w:t>
      </w:r>
      <w:r>
        <w:rPr>
          <w:rFonts w:ascii="宋体" w:hAnsi="宋体" w:cs="宋体"/>
          <w:color w:val="auto"/>
          <w:sz w:val="24"/>
          <w:highlight w:val="none"/>
        </w:rPr>
        <w:t>合同签订后 10 日内</w:t>
      </w:r>
      <w:r>
        <w:rPr>
          <w:rFonts w:hint="eastAsia" w:ascii="宋体" w:hAnsi="宋体" w:cs="宋体"/>
          <w:color w:val="auto"/>
          <w:sz w:val="24"/>
          <w:highlight w:val="none"/>
        </w:rPr>
        <w:t>发包人</w:t>
      </w:r>
      <w:r>
        <w:rPr>
          <w:rFonts w:ascii="宋体" w:hAnsi="宋体" w:cs="宋体"/>
          <w:color w:val="auto"/>
          <w:sz w:val="24"/>
          <w:highlight w:val="none"/>
        </w:rPr>
        <w:t>向</w:t>
      </w:r>
      <w:r>
        <w:rPr>
          <w:rFonts w:hint="eastAsia" w:ascii="宋体" w:hAnsi="宋体" w:cs="宋体"/>
          <w:color w:val="auto"/>
          <w:sz w:val="24"/>
          <w:highlight w:val="none"/>
        </w:rPr>
        <w:t>承包人</w:t>
      </w:r>
      <w:r>
        <w:rPr>
          <w:rFonts w:ascii="宋体" w:hAnsi="宋体" w:cs="宋体"/>
          <w:color w:val="auto"/>
          <w:sz w:val="24"/>
          <w:highlight w:val="none"/>
        </w:rPr>
        <w:t>支付合同价的15%作为预付款，主要设备（空气</w:t>
      </w:r>
      <w:r>
        <w:rPr>
          <w:rFonts w:hint="eastAsia" w:ascii="宋体" w:hAnsi="宋体" w:cs="宋体"/>
          <w:color w:val="auto"/>
          <w:sz w:val="24"/>
          <w:highlight w:val="none"/>
        </w:rPr>
        <w:t>能</w:t>
      </w:r>
      <w:r>
        <w:rPr>
          <w:rFonts w:ascii="宋体" w:hAnsi="宋体" w:cs="宋体"/>
          <w:color w:val="auto"/>
          <w:sz w:val="24"/>
          <w:highlight w:val="none"/>
        </w:rPr>
        <w:t>）到</w:t>
      </w:r>
      <w:r>
        <w:rPr>
          <w:rFonts w:hint="eastAsia" w:ascii="宋体" w:hAnsi="宋体" w:cs="宋体"/>
          <w:color w:val="auto"/>
          <w:sz w:val="24"/>
          <w:highlight w:val="none"/>
        </w:rPr>
        <w:t>达</w:t>
      </w:r>
      <w:r>
        <w:rPr>
          <w:rFonts w:ascii="宋体" w:hAnsi="宋体" w:cs="宋体"/>
          <w:color w:val="auto"/>
          <w:sz w:val="24"/>
          <w:highlight w:val="none"/>
        </w:rPr>
        <w:t>安装现场且提供与本项目数量相符的进货发票复印件后10日内</w:t>
      </w:r>
      <w:r>
        <w:rPr>
          <w:rFonts w:hint="eastAsia" w:ascii="宋体" w:hAnsi="宋体" w:cs="宋体"/>
          <w:color w:val="auto"/>
          <w:sz w:val="24"/>
          <w:highlight w:val="none"/>
        </w:rPr>
        <w:t>发包人</w:t>
      </w:r>
      <w:r>
        <w:rPr>
          <w:rFonts w:ascii="宋体" w:hAnsi="宋体" w:cs="宋体"/>
          <w:color w:val="auto"/>
          <w:sz w:val="24"/>
          <w:highlight w:val="none"/>
        </w:rPr>
        <w:t>向</w:t>
      </w:r>
      <w:r>
        <w:rPr>
          <w:rFonts w:hint="eastAsia" w:ascii="宋体" w:hAnsi="宋体" w:cs="宋体"/>
          <w:color w:val="auto"/>
          <w:sz w:val="24"/>
          <w:highlight w:val="none"/>
        </w:rPr>
        <w:t>承包人</w:t>
      </w:r>
      <w:r>
        <w:rPr>
          <w:rFonts w:ascii="宋体" w:hAnsi="宋体" w:cs="宋体"/>
          <w:color w:val="auto"/>
          <w:sz w:val="24"/>
          <w:highlight w:val="none"/>
        </w:rPr>
        <w:t>支付至该批次</w:t>
      </w:r>
      <w:r>
        <w:rPr>
          <w:rFonts w:hint="eastAsia" w:ascii="宋体" w:hAnsi="宋体" w:cs="宋体"/>
          <w:color w:val="auto"/>
          <w:sz w:val="24"/>
          <w:highlight w:val="none"/>
        </w:rPr>
        <w:t>货物（空气能）</w:t>
      </w:r>
      <w:r>
        <w:rPr>
          <w:rFonts w:ascii="宋体" w:hAnsi="宋体" w:cs="宋体"/>
          <w:color w:val="auto"/>
          <w:sz w:val="24"/>
          <w:highlight w:val="none"/>
        </w:rPr>
        <w:t>总金额的40％；全部安装完毕验收合格后10日内支付至合同价的80%，审计完成后 10 日内支付至审定价的9</w:t>
      </w:r>
      <w:r>
        <w:rPr>
          <w:rFonts w:hint="eastAsia" w:ascii="宋体" w:hAnsi="宋体" w:cs="宋体"/>
          <w:color w:val="auto"/>
          <w:sz w:val="24"/>
          <w:highlight w:val="none"/>
        </w:rPr>
        <w:t>8</w:t>
      </w:r>
      <w:r>
        <w:rPr>
          <w:rFonts w:ascii="宋体" w:hAnsi="宋体" w:cs="宋体"/>
          <w:color w:val="auto"/>
          <w:sz w:val="24"/>
          <w:highlight w:val="none"/>
        </w:rPr>
        <w:t>.5%（支付该款项时，</w:t>
      </w:r>
      <w:r>
        <w:rPr>
          <w:rFonts w:hint="eastAsia" w:ascii="宋体" w:hAnsi="宋体" w:cs="宋体"/>
          <w:color w:val="auto"/>
          <w:sz w:val="24"/>
          <w:highlight w:val="none"/>
        </w:rPr>
        <w:t>承包人</w:t>
      </w:r>
      <w:r>
        <w:rPr>
          <w:rFonts w:ascii="宋体" w:hAnsi="宋体" w:cs="宋体"/>
          <w:color w:val="auto"/>
          <w:sz w:val="24"/>
          <w:highlight w:val="none"/>
        </w:rPr>
        <w:t>需提供该项目全额增值税专用发票</w:t>
      </w:r>
      <w:r>
        <w:rPr>
          <w:rFonts w:hint="eastAsia" w:ascii="宋体" w:hAnsi="宋体" w:cs="宋体"/>
          <w:color w:val="auto"/>
          <w:sz w:val="24"/>
          <w:highlight w:val="none"/>
        </w:rPr>
        <w:t>）；余款在质保期满后付清。</w:t>
      </w:r>
    </w:p>
    <w:p w14:paraId="0F098921">
      <w:pPr>
        <w:spacing w:line="480" w:lineRule="exact"/>
        <w:ind w:firstLine="472" w:firstLineChars="196"/>
        <w:rPr>
          <w:rFonts w:ascii="宋体" w:hAnsi="宋体"/>
          <w:b/>
          <w:color w:val="auto"/>
          <w:sz w:val="24"/>
          <w:highlight w:val="none"/>
        </w:rPr>
      </w:pPr>
      <w:r>
        <w:rPr>
          <w:rFonts w:hint="eastAsia" w:ascii="宋体" w:hAnsi="宋体"/>
          <w:b/>
          <w:color w:val="auto"/>
          <w:sz w:val="24"/>
          <w:highlight w:val="none"/>
        </w:rPr>
        <w:t>七、材料设备供应</w:t>
      </w:r>
    </w:p>
    <w:p w14:paraId="4E1B6427">
      <w:pPr>
        <w:spacing w:line="480" w:lineRule="exact"/>
        <w:rPr>
          <w:rFonts w:ascii="宋体" w:hAns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 xml:space="preserve"> 14.1承包人采购材料、设备：</w:t>
      </w:r>
      <w:r>
        <w:rPr>
          <w:rFonts w:hint="eastAsia" w:ascii="宋体" w:hAnsi="宋体"/>
          <w:b/>
          <w:bCs/>
          <w:color w:val="auto"/>
          <w:sz w:val="24"/>
          <w:highlight w:val="none"/>
          <w:u w:val="single"/>
        </w:rPr>
        <w:t xml:space="preserve">  (1)  </w:t>
      </w:r>
      <w:r>
        <w:rPr>
          <w:rFonts w:hint="eastAsia" w:ascii="宋体" w:hAnsi="宋体"/>
          <w:color w:val="auto"/>
          <w:sz w:val="24"/>
          <w:highlight w:val="none"/>
        </w:rPr>
        <w:t>。</w:t>
      </w:r>
      <w:r>
        <w:rPr>
          <w:rFonts w:ascii="宋体" w:hAnsi="宋体"/>
          <w:color w:val="auto"/>
          <w:sz w:val="24"/>
          <w:highlight w:val="none"/>
        </w:rPr>
        <w:t xml:space="preserve">  </w:t>
      </w:r>
    </w:p>
    <w:p w14:paraId="156E137E">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(1)、全部由承包人采购；</w:t>
      </w:r>
    </w:p>
    <w:p w14:paraId="50CCC8C9">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(2)、除发包人供应的设备材料外。</w:t>
      </w:r>
    </w:p>
    <w:p w14:paraId="5ED01B02">
      <w:pPr>
        <w:spacing w:line="480" w:lineRule="exact"/>
        <w:ind w:firstLine="482" w:firstLineChars="200"/>
        <w:rPr>
          <w:rFonts w:ascii="宋体" w:hAnsi="宋体"/>
          <w:b/>
          <w:color w:val="auto"/>
          <w:sz w:val="24"/>
          <w:highlight w:val="none"/>
          <w:u w:val="single"/>
        </w:rPr>
      </w:pPr>
      <w:r>
        <w:rPr>
          <w:rFonts w:hint="eastAsia" w:ascii="宋体" w:hAnsi="宋体"/>
          <w:b/>
          <w:color w:val="auto"/>
          <w:sz w:val="24"/>
          <w:highlight w:val="none"/>
          <w:u w:val="single"/>
        </w:rPr>
        <w:t>材料的进场都需提交质量证明资料，并经发包人和监理工程师验收合格后方能使用，若发现任何损坏及质量问题，承包人负责更换，该工作所产生的费用由承包人自行负责。设备和材料的进场应符合整体工程进度的需要。</w:t>
      </w:r>
    </w:p>
    <w:p w14:paraId="6CD0CBEE">
      <w:pPr>
        <w:spacing w:line="480" w:lineRule="exact"/>
        <w:rPr>
          <w:rFonts w:ascii="宋体" w:hAns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 xml:space="preserve"> 14.2承包人未按要求采购设备材料必须承担</w:t>
      </w:r>
      <w:r>
        <w:rPr>
          <w:rFonts w:hint="eastAsia" w:ascii="宋体" w:hAnsi="宋体"/>
          <w:b/>
          <w:color w:val="auto"/>
          <w:sz w:val="24"/>
          <w:highlight w:val="none"/>
          <w:u w:val="single"/>
        </w:rPr>
        <w:t>工程的返工损失和工期、质量的违约责任。</w:t>
      </w:r>
    </w:p>
    <w:p w14:paraId="70506262">
      <w:pPr>
        <w:spacing w:line="480" w:lineRule="exact"/>
        <w:ind w:firstLine="480" w:firstLineChars="200"/>
        <w:rPr>
          <w:rFonts w:ascii="宋体" w:hAnsi="宋体"/>
          <w:b/>
          <w:bCs/>
          <w:color w:val="auto"/>
          <w:sz w:val="24"/>
          <w:highlight w:val="none"/>
        </w:rPr>
      </w:pPr>
      <w:r>
        <w:rPr>
          <w:rFonts w:hint="eastAsia" w:ascii="宋体" w:hAnsi="宋体"/>
          <w:color w:val="auto"/>
          <w:sz w:val="24"/>
          <w:highlight w:val="none"/>
        </w:rPr>
        <w:t>14.3对承包人采购的设备材料的特殊要求：</w:t>
      </w:r>
      <w:r>
        <w:rPr>
          <w:rFonts w:hint="eastAsia" w:ascii="宋体" w:hAnsi="宋体"/>
          <w:b/>
          <w:color w:val="auto"/>
          <w:sz w:val="24"/>
          <w:highlight w:val="none"/>
          <w:u w:val="single"/>
        </w:rPr>
        <w:t>主要</w:t>
      </w:r>
      <w:r>
        <w:rPr>
          <w:rFonts w:hint="eastAsia" w:ascii="宋体" w:hAnsi="宋体"/>
          <w:b/>
          <w:bCs/>
          <w:color w:val="auto"/>
          <w:sz w:val="24"/>
          <w:highlight w:val="none"/>
          <w:u w:val="single"/>
        </w:rPr>
        <w:t>设备、材料需</w:t>
      </w:r>
      <w:r>
        <w:rPr>
          <w:rFonts w:hint="eastAsia" w:ascii="宋体" w:hAnsi="宋体"/>
          <w:b/>
          <w:color w:val="auto"/>
          <w:sz w:val="24"/>
          <w:highlight w:val="none"/>
          <w:u w:val="single"/>
        </w:rPr>
        <w:t>具体注明品牌、生产厂家、产地、规格、型号、性能等，并与投标时相同，采购前必须报业主认可，否则业主可另行选择，同时业主也可根据实际情况或设计变更自行选择。承包人采购的材料设备必须符合设计和相关标准、规范的要求，严禁承包人擅自变更材料设备品牌型号，如遇产品停产原因无法采购，确需进行设备变更，应及时向监理单位、业主单位提出变更申请，经监理单位审核通过、业主单位批准之后，方可实施设备变更，设备变更须采用同品牌、其技术参数性能等同或高于所变更的型号，差价由施工单位自行解决，业主单位概不承担；如因业主单位要求进行的设备变更，经工程师确认后执行，最后以审计为准。</w:t>
      </w:r>
    </w:p>
    <w:p w14:paraId="2F9484D6">
      <w:pPr>
        <w:spacing w:line="480" w:lineRule="exact"/>
        <w:ind w:firstLine="472" w:firstLineChars="196"/>
        <w:rPr>
          <w:rFonts w:ascii="宋体" w:hAnsi="宋体"/>
          <w:b/>
          <w:color w:val="auto"/>
          <w:sz w:val="24"/>
          <w:highlight w:val="none"/>
        </w:rPr>
      </w:pPr>
      <w:r>
        <w:rPr>
          <w:rFonts w:hint="eastAsia" w:ascii="宋体" w:hAnsi="宋体"/>
          <w:b/>
          <w:color w:val="auto"/>
          <w:sz w:val="24"/>
          <w:highlight w:val="none"/>
        </w:rPr>
        <w:t>八、工程变更</w:t>
      </w:r>
    </w:p>
    <w:p w14:paraId="1BC97464">
      <w:pPr>
        <w:tabs>
          <w:tab w:val="left" w:pos="900"/>
        </w:tabs>
        <w:spacing w:line="480" w:lineRule="exact"/>
        <w:ind w:left="359" w:leftChars="171" w:firstLine="120" w:firstLineChars="50"/>
        <w:rPr>
          <w:rFonts w:ascii="宋体" w:hAnsi="宋体"/>
          <w:bCs/>
          <w:color w:val="auto"/>
          <w:sz w:val="24"/>
          <w:highlight w:val="none"/>
        </w:rPr>
      </w:pPr>
      <w:r>
        <w:rPr>
          <w:rFonts w:hint="eastAsia" w:ascii="宋体" w:hAnsi="宋体"/>
          <w:bCs/>
          <w:color w:val="auto"/>
          <w:sz w:val="24"/>
          <w:highlight w:val="none"/>
        </w:rPr>
        <w:t>15.其他变更</w:t>
      </w:r>
    </w:p>
    <w:p w14:paraId="19DAFB7F">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15.1发生下列情况，项目的工程量可按实调整。</w:t>
      </w:r>
    </w:p>
    <w:p w14:paraId="4CDBE71A">
      <w:pPr>
        <w:spacing w:line="480" w:lineRule="exact"/>
        <w:ind w:firstLine="482" w:firstLineChars="200"/>
        <w:rPr>
          <w:rFonts w:ascii="宋体" w:hAnsi="宋体"/>
          <w:b/>
          <w:color w:val="auto"/>
          <w:sz w:val="24"/>
          <w:highlight w:val="none"/>
        </w:rPr>
      </w:pPr>
      <w:r>
        <w:rPr>
          <w:rFonts w:hint="eastAsia" w:ascii="宋体" w:hAnsi="宋体"/>
          <w:b/>
          <w:color w:val="auto"/>
          <w:sz w:val="24"/>
          <w:highlight w:val="none"/>
        </w:rPr>
        <w:t>(1) 提出的变更所引起的工程项目或数量增减；</w:t>
      </w:r>
    </w:p>
    <w:p w14:paraId="15F1A345">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16.确定变更价款</w:t>
      </w:r>
    </w:p>
    <w:p w14:paraId="6DD16095">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16.1设计变更引起的新的工程项目，其相应单价的确定方法为：</w:t>
      </w:r>
    </w:p>
    <w:p w14:paraId="1DE5B76E">
      <w:pPr>
        <w:pStyle w:val="5"/>
        <w:keepNext w:val="0"/>
        <w:keepLines w:val="0"/>
        <w:spacing w:line="480" w:lineRule="exact"/>
        <w:ind w:firstLine="482"/>
        <w:rPr>
          <w:rFonts w:ascii="宋体" w:hAnsi="宋体"/>
          <w:color w:val="auto"/>
          <w:sz w:val="24"/>
          <w:highlight w:val="none"/>
        </w:rPr>
      </w:pPr>
      <w:bookmarkStart w:id="515" w:name="_Toc13519"/>
      <w:bookmarkStart w:id="516" w:name="_Toc24010"/>
      <w:bookmarkStart w:id="517" w:name="_Toc31610"/>
      <w:r>
        <w:rPr>
          <w:rFonts w:hint="eastAsia" w:ascii="宋体" w:hAnsi="宋体"/>
          <w:color w:val="auto"/>
          <w:sz w:val="24"/>
          <w:highlight w:val="none"/>
        </w:rPr>
        <w:t xml:space="preserve">(1)合同中已有适用于变更工程的价格，按合同已有的价格变更合同价款； </w:t>
      </w:r>
      <w:r>
        <w:rPr>
          <w:rFonts w:hint="eastAsia" w:ascii="宋体" w:hAnsi="宋体"/>
          <w:color w:val="auto"/>
          <w:sz w:val="24"/>
          <w:highlight w:val="none"/>
        </w:rPr>
        <w:br w:type="textWrapping"/>
      </w:r>
      <w:r>
        <w:rPr>
          <w:rFonts w:hint="eastAsia" w:ascii="宋体" w:hAnsi="宋体"/>
          <w:color w:val="auto"/>
          <w:sz w:val="24"/>
          <w:highlight w:val="none"/>
        </w:rPr>
        <w:t xml:space="preserve">　　(2)合同中只有类似于变更工程的价格，可以参照类似价格变更合同价款； </w:t>
      </w:r>
      <w:r>
        <w:rPr>
          <w:rFonts w:hint="eastAsia" w:ascii="宋体" w:hAnsi="宋体"/>
          <w:color w:val="auto"/>
          <w:sz w:val="24"/>
          <w:highlight w:val="none"/>
        </w:rPr>
        <w:br w:type="textWrapping"/>
      </w:r>
      <w:r>
        <w:rPr>
          <w:rFonts w:hint="eastAsia" w:ascii="宋体" w:hAnsi="宋体"/>
          <w:color w:val="auto"/>
          <w:sz w:val="24"/>
          <w:highlight w:val="none"/>
        </w:rPr>
        <w:t>　　(3)合同中没有适用或类似于变更工程的价格，由承包人提出适当的变更价格，经工程师确认后执行，最后以审计为准。</w:t>
      </w:r>
    </w:p>
    <w:p w14:paraId="04E6706C">
      <w:pPr>
        <w:pStyle w:val="5"/>
        <w:keepNext w:val="0"/>
        <w:keepLines w:val="0"/>
        <w:spacing w:line="480" w:lineRule="exact"/>
        <w:ind w:firstLine="482"/>
        <w:rPr>
          <w:rFonts w:ascii="宋体" w:hAnsi="宋体"/>
          <w:color w:val="auto"/>
          <w:sz w:val="24"/>
          <w:szCs w:val="24"/>
          <w:highlight w:val="none"/>
        </w:rPr>
      </w:pPr>
      <w:r>
        <w:rPr>
          <w:rFonts w:hint="eastAsia" w:ascii="宋体" w:hAnsi="宋体"/>
          <w:color w:val="auto"/>
          <w:sz w:val="24"/>
          <w:szCs w:val="24"/>
          <w:highlight w:val="none"/>
        </w:rPr>
        <w:t>九、竣工验收与结算</w:t>
      </w:r>
      <w:bookmarkEnd w:id="515"/>
      <w:bookmarkEnd w:id="516"/>
      <w:bookmarkEnd w:id="517"/>
    </w:p>
    <w:p w14:paraId="2BD60BAB">
      <w:pPr>
        <w:tabs>
          <w:tab w:val="left" w:pos="360"/>
          <w:tab w:val="left" w:pos="720"/>
        </w:tabs>
        <w:spacing w:line="480" w:lineRule="exact"/>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bCs/>
          <w:color w:val="auto"/>
          <w:sz w:val="24"/>
          <w:highlight w:val="none"/>
        </w:rPr>
        <w:t>17、竣工验收</w:t>
      </w:r>
    </w:p>
    <w:p w14:paraId="4C29E85F">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17.1提供竣工资料四套。整套设备图纸及技术文件都已提交并得到接受。主要包括：</w:t>
      </w:r>
    </w:p>
    <w:p w14:paraId="5A50E95D">
      <w:pPr>
        <w:spacing w:line="300" w:lineRule="auto"/>
        <w:ind w:firstLine="482" w:firstLineChars="200"/>
        <w:rPr>
          <w:rFonts w:ascii="宋体" w:hAnsi="宋体"/>
          <w:b/>
          <w:color w:val="auto"/>
          <w:sz w:val="24"/>
          <w:highlight w:val="none"/>
          <w:u w:val="single"/>
        </w:rPr>
      </w:pPr>
      <w:r>
        <w:rPr>
          <w:rFonts w:hint="eastAsia" w:ascii="宋体" w:hAnsi="宋体"/>
          <w:b/>
          <w:color w:val="auto"/>
          <w:sz w:val="24"/>
          <w:highlight w:val="none"/>
          <w:u w:val="single"/>
        </w:rPr>
        <w:t>1) 竣工图。竣工图的编制规定 ：承包人组织绘制竣工图并承担相应费用 。</w:t>
      </w:r>
    </w:p>
    <w:p w14:paraId="72FCB9E5">
      <w:pPr>
        <w:spacing w:line="480" w:lineRule="exact"/>
        <w:ind w:firstLine="482" w:firstLineChars="200"/>
        <w:rPr>
          <w:rFonts w:ascii="宋体" w:hAnsi="宋体"/>
          <w:b/>
          <w:color w:val="auto"/>
          <w:sz w:val="24"/>
          <w:highlight w:val="none"/>
          <w:u w:val="single"/>
        </w:rPr>
      </w:pPr>
      <w:r>
        <w:rPr>
          <w:rFonts w:hint="eastAsia" w:ascii="宋体" w:hAnsi="宋体"/>
          <w:b/>
          <w:color w:val="auto"/>
          <w:sz w:val="24"/>
          <w:highlight w:val="none"/>
          <w:u w:val="single"/>
        </w:rPr>
        <w:t>2) 检验记录，试验报告及质量合格证及按国家安全检测规定批准文件等出厂报告。</w:t>
      </w:r>
    </w:p>
    <w:p w14:paraId="49505B43">
      <w:pPr>
        <w:spacing w:line="480" w:lineRule="exact"/>
        <w:ind w:firstLine="482" w:firstLineChars="200"/>
        <w:rPr>
          <w:rFonts w:ascii="宋体" w:hAnsi="宋体"/>
          <w:b/>
          <w:color w:val="auto"/>
          <w:sz w:val="24"/>
          <w:highlight w:val="none"/>
          <w:u w:val="single"/>
        </w:rPr>
      </w:pPr>
      <w:r>
        <w:rPr>
          <w:rFonts w:hint="eastAsia" w:ascii="宋体" w:hAnsi="宋体"/>
          <w:b/>
          <w:color w:val="auto"/>
          <w:sz w:val="24"/>
          <w:highlight w:val="none"/>
          <w:u w:val="single"/>
        </w:rPr>
        <w:t>3) 设备和备品管理资料文件，包括设备和备品发运和装箱的详细资料（各种清单），设备和备品存放保管技术要求，运输超重和超大件的明细表和外形图。</w:t>
      </w:r>
    </w:p>
    <w:p w14:paraId="164688BB">
      <w:pPr>
        <w:spacing w:line="480" w:lineRule="exact"/>
        <w:ind w:firstLine="482" w:firstLineChars="200"/>
        <w:rPr>
          <w:rFonts w:ascii="宋体" w:hAnsi="宋体"/>
          <w:b/>
          <w:color w:val="auto"/>
          <w:sz w:val="24"/>
          <w:highlight w:val="none"/>
          <w:u w:val="single"/>
        </w:rPr>
      </w:pPr>
      <w:r>
        <w:rPr>
          <w:rFonts w:hint="eastAsia" w:ascii="宋体" w:hAnsi="宋体"/>
          <w:b/>
          <w:color w:val="auto"/>
          <w:sz w:val="24"/>
          <w:highlight w:val="none"/>
          <w:u w:val="single"/>
        </w:rPr>
        <w:t>4) 详细的产品质量文件。</w:t>
      </w:r>
    </w:p>
    <w:p w14:paraId="4ECCB401">
      <w:pPr>
        <w:spacing w:line="480" w:lineRule="exact"/>
        <w:ind w:firstLine="482" w:firstLineChars="200"/>
        <w:rPr>
          <w:rFonts w:ascii="宋体" w:hAnsi="宋体"/>
          <w:b/>
          <w:color w:val="auto"/>
          <w:sz w:val="24"/>
          <w:highlight w:val="none"/>
          <w:u w:val="single"/>
        </w:rPr>
      </w:pPr>
      <w:r>
        <w:rPr>
          <w:rFonts w:hint="eastAsia" w:ascii="宋体" w:hAnsi="宋体"/>
          <w:b/>
          <w:color w:val="auto"/>
          <w:sz w:val="24"/>
          <w:highlight w:val="none"/>
          <w:u w:val="single"/>
        </w:rPr>
        <w:t>5) 安装、运行、维护所需的详尽图纸和技术文件等。</w:t>
      </w:r>
    </w:p>
    <w:p w14:paraId="07CE8385">
      <w:pPr>
        <w:spacing w:line="480" w:lineRule="exact"/>
        <w:ind w:firstLine="482" w:firstLineChars="200"/>
        <w:rPr>
          <w:rFonts w:ascii="宋体" w:hAnsi="宋体"/>
          <w:b/>
          <w:color w:val="auto"/>
          <w:sz w:val="24"/>
          <w:highlight w:val="none"/>
          <w:u w:val="single"/>
        </w:rPr>
      </w:pPr>
      <w:r>
        <w:rPr>
          <w:rFonts w:hint="eastAsia" w:ascii="宋体" w:hAnsi="宋体"/>
          <w:b/>
          <w:color w:val="auto"/>
          <w:sz w:val="24"/>
          <w:highlight w:val="none"/>
          <w:u w:val="single"/>
        </w:rPr>
        <w:t>6) 设计、安装、运行、维护、检修说明书。</w:t>
      </w:r>
    </w:p>
    <w:p w14:paraId="447D6EC5">
      <w:pPr>
        <w:spacing w:line="480" w:lineRule="exact"/>
        <w:ind w:firstLine="482" w:firstLineChars="200"/>
        <w:rPr>
          <w:rFonts w:ascii="宋体" w:hAnsi="宋体"/>
          <w:b/>
          <w:color w:val="auto"/>
          <w:sz w:val="24"/>
          <w:highlight w:val="none"/>
          <w:u w:val="single"/>
        </w:rPr>
      </w:pPr>
      <w:r>
        <w:rPr>
          <w:rFonts w:hint="eastAsia" w:ascii="宋体" w:hAnsi="宋体"/>
          <w:b/>
          <w:color w:val="auto"/>
          <w:sz w:val="24"/>
          <w:highlight w:val="none"/>
          <w:u w:val="single"/>
        </w:rPr>
        <w:t>7) 按有关标准，规程规定应提交的技术文件、资料。</w:t>
      </w:r>
    </w:p>
    <w:p w14:paraId="430FC018">
      <w:pPr>
        <w:spacing w:line="300" w:lineRule="auto"/>
        <w:ind w:firstLine="482" w:firstLineChars="200"/>
        <w:rPr>
          <w:rFonts w:ascii="宋体" w:hAnsi="宋体"/>
          <w:b/>
          <w:color w:val="auto"/>
          <w:sz w:val="24"/>
          <w:highlight w:val="none"/>
          <w:u w:val="single"/>
        </w:rPr>
      </w:pPr>
      <w:r>
        <w:rPr>
          <w:rFonts w:hint="eastAsia" w:ascii="宋体" w:hAnsi="宋体"/>
          <w:b/>
          <w:color w:val="auto"/>
          <w:sz w:val="24"/>
          <w:highlight w:val="none"/>
          <w:u w:val="single"/>
        </w:rPr>
        <w:t>8) 完整的操作维护手册。</w:t>
      </w:r>
    </w:p>
    <w:p w14:paraId="4459B952">
      <w:pPr>
        <w:spacing w:line="300" w:lineRule="auto"/>
        <w:ind w:firstLine="482" w:firstLineChars="200"/>
        <w:rPr>
          <w:rFonts w:ascii="宋体" w:hAnsi="宋体"/>
          <w:b/>
          <w:color w:val="auto"/>
          <w:sz w:val="24"/>
          <w:highlight w:val="none"/>
          <w:u w:val="single"/>
        </w:rPr>
      </w:pPr>
      <w:r>
        <w:rPr>
          <w:rFonts w:hint="eastAsia" w:ascii="宋体" w:hAnsi="宋体"/>
          <w:b/>
          <w:color w:val="auto"/>
          <w:sz w:val="24"/>
          <w:highlight w:val="none"/>
          <w:u w:val="single"/>
        </w:rPr>
        <w:t>9）在工程具备竣工验收条件后一个月内向发包人提供竣工图3套，竣工资料3套，电子光盘1套。</w:t>
      </w:r>
    </w:p>
    <w:p w14:paraId="08500719">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17.2其他</w:t>
      </w:r>
    </w:p>
    <w:p w14:paraId="0F22A004">
      <w:pPr>
        <w:spacing w:line="480" w:lineRule="exact"/>
        <w:ind w:firstLine="482" w:firstLineChars="200"/>
        <w:rPr>
          <w:rFonts w:ascii="宋体" w:hAnsi="宋体"/>
          <w:b/>
          <w:color w:val="auto"/>
          <w:sz w:val="24"/>
          <w:highlight w:val="none"/>
          <w:u w:val="single"/>
        </w:rPr>
      </w:pPr>
      <w:r>
        <w:rPr>
          <w:rFonts w:hint="eastAsia" w:ascii="宋体" w:hAnsi="宋体"/>
          <w:b/>
          <w:color w:val="auto"/>
          <w:sz w:val="24"/>
          <w:highlight w:val="none"/>
          <w:u w:val="single"/>
        </w:rPr>
        <w:t>17.2.1试运行期满各项指标均应达到设计要求，按照相关的国家标准规范对系统进行系统性能和功能测试，承包人应积极配合，针对测试中发现的质量问题，承包人应及时进行整改。</w:t>
      </w:r>
    </w:p>
    <w:p w14:paraId="14844DFA">
      <w:pPr>
        <w:spacing w:line="480" w:lineRule="exact"/>
        <w:ind w:firstLine="482" w:firstLineChars="200"/>
        <w:rPr>
          <w:rFonts w:ascii="宋体" w:hAnsi="宋体"/>
          <w:b/>
          <w:color w:val="auto"/>
          <w:sz w:val="24"/>
          <w:highlight w:val="none"/>
          <w:u w:val="single"/>
        </w:rPr>
      </w:pPr>
      <w:r>
        <w:rPr>
          <w:rFonts w:hint="eastAsia" w:ascii="宋体" w:hAnsi="宋体"/>
          <w:b/>
          <w:color w:val="auto"/>
          <w:sz w:val="24"/>
          <w:highlight w:val="none"/>
          <w:u w:val="single"/>
        </w:rPr>
        <w:t>17.2.2运行结果符合设计要求和设计使用功能合同要求。</w:t>
      </w:r>
    </w:p>
    <w:p w14:paraId="48D2B102">
      <w:pPr>
        <w:spacing w:line="480" w:lineRule="exact"/>
        <w:ind w:firstLine="482" w:firstLineChars="200"/>
        <w:rPr>
          <w:rFonts w:ascii="宋体" w:hAnsi="宋体"/>
          <w:b/>
          <w:color w:val="auto"/>
          <w:sz w:val="24"/>
          <w:highlight w:val="none"/>
          <w:u w:val="single"/>
        </w:rPr>
      </w:pPr>
      <w:r>
        <w:rPr>
          <w:rFonts w:hint="eastAsia" w:ascii="宋体" w:hAnsi="宋体"/>
          <w:b/>
          <w:color w:val="auto"/>
          <w:sz w:val="24"/>
          <w:highlight w:val="none"/>
          <w:u w:val="single"/>
        </w:rPr>
        <w:t>17.2.3在进行测试和验收、运行过程中发生的故障和发现的问题已被排除，并得到业主的认可。</w:t>
      </w:r>
    </w:p>
    <w:p w14:paraId="04FFEFEA">
      <w:pPr>
        <w:spacing w:line="480" w:lineRule="exact"/>
        <w:ind w:firstLine="482" w:firstLineChars="200"/>
        <w:rPr>
          <w:rFonts w:ascii="宋体" w:hAnsi="宋体"/>
          <w:b/>
          <w:color w:val="auto"/>
          <w:sz w:val="24"/>
          <w:highlight w:val="none"/>
          <w:u w:val="single"/>
        </w:rPr>
      </w:pPr>
      <w:r>
        <w:rPr>
          <w:rFonts w:hint="eastAsia" w:ascii="宋体" w:hAnsi="宋体"/>
          <w:b/>
          <w:color w:val="auto"/>
          <w:sz w:val="24"/>
          <w:highlight w:val="none"/>
          <w:u w:val="single"/>
        </w:rPr>
        <w:t>17.2.4所有合同中规定的设备，备品备件、专用工具都已提交。</w:t>
      </w:r>
    </w:p>
    <w:p w14:paraId="34847771">
      <w:pPr>
        <w:spacing w:line="480" w:lineRule="exact"/>
        <w:ind w:firstLine="470" w:firstLineChars="196"/>
        <w:rPr>
          <w:rFonts w:ascii="宋体" w:hAnsi="宋体"/>
          <w:color w:val="auto"/>
          <w:sz w:val="24"/>
          <w:highlight w:val="none"/>
        </w:rPr>
      </w:pPr>
      <w:r>
        <w:rPr>
          <w:rFonts w:hint="eastAsia" w:ascii="宋体" w:hAnsi="宋体"/>
          <w:color w:val="auto"/>
          <w:sz w:val="24"/>
          <w:highlight w:val="none"/>
        </w:rPr>
        <w:t>18.竣工结算</w:t>
      </w:r>
    </w:p>
    <w:p w14:paraId="0A4F78F7">
      <w:pPr>
        <w:spacing w:line="480" w:lineRule="exact"/>
        <w:ind w:firstLine="470" w:firstLineChars="196"/>
        <w:rPr>
          <w:rFonts w:ascii="宋体" w:hAnsi="宋体"/>
          <w:color w:val="auto"/>
          <w:sz w:val="24"/>
          <w:highlight w:val="none"/>
        </w:rPr>
      </w:pPr>
      <w:r>
        <w:rPr>
          <w:rFonts w:hint="eastAsia" w:ascii="宋体" w:hAnsi="宋体"/>
          <w:color w:val="auto"/>
          <w:sz w:val="24"/>
          <w:highlight w:val="none"/>
        </w:rPr>
        <w:t>工程竣工验收合格后，承包人应及时提供完整的工程结算文件，发包人在接到完整的工程结算文件后及时审核完毕，并根据需要按国家及宁波市有关程序进行审计：</w:t>
      </w:r>
    </w:p>
    <w:p w14:paraId="49856F18">
      <w:pPr>
        <w:spacing w:line="480" w:lineRule="exact"/>
        <w:ind w:firstLine="482" w:firstLineChars="200"/>
        <w:rPr>
          <w:rFonts w:ascii="宋体" w:hAnsi="宋体"/>
          <w:b/>
          <w:color w:val="auto"/>
          <w:sz w:val="24"/>
          <w:highlight w:val="none"/>
          <w:u w:val="single"/>
        </w:rPr>
      </w:pPr>
      <w:r>
        <w:rPr>
          <w:rFonts w:hint="eastAsia" w:ascii="宋体" w:hAnsi="宋体"/>
          <w:b/>
          <w:color w:val="auto"/>
          <w:sz w:val="24"/>
          <w:highlight w:val="none"/>
          <w:u w:val="single"/>
        </w:rPr>
        <w:t>1）工程应一次性验收通过并完成工程移交；</w:t>
      </w:r>
    </w:p>
    <w:p w14:paraId="300630A5">
      <w:pPr>
        <w:spacing w:line="480" w:lineRule="exact"/>
        <w:ind w:firstLine="482" w:firstLineChars="200"/>
        <w:rPr>
          <w:rFonts w:ascii="宋体" w:hAnsi="宋体"/>
          <w:color w:val="auto"/>
          <w:sz w:val="24"/>
          <w:highlight w:val="none"/>
        </w:rPr>
      </w:pPr>
      <w:r>
        <w:rPr>
          <w:rFonts w:hint="eastAsia" w:ascii="宋体" w:hAnsi="宋体"/>
          <w:b/>
          <w:color w:val="auto"/>
          <w:sz w:val="24"/>
          <w:highlight w:val="none"/>
          <w:u w:val="single"/>
        </w:rPr>
        <w:t>2）结算经发包人与承包人核对后并经审计完毕，承包人提供全额结算发票。</w:t>
      </w:r>
    </w:p>
    <w:p w14:paraId="4E76EB80">
      <w:pPr>
        <w:spacing w:line="480" w:lineRule="exact"/>
        <w:ind w:firstLine="470" w:firstLineChars="196"/>
        <w:rPr>
          <w:rFonts w:ascii="宋体" w:hAnsi="宋体"/>
          <w:color w:val="auto"/>
          <w:sz w:val="24"/>
          <w:highlight w:val="none"/>
        </w:rPr>
      </w:pPr>
      <w:r>
        <w:rPr>
          <w:rFonts w:hint="eastAsia" w:ascii="宋体" w:hAnsi="宋体"/>
          <w:color w:val="auto"/>
          <w:sz w:val="24"/>
          <w:highlight w:val="none"/>
        </w:rPr>
        <w:t>19.售后服务及技术培训</w:t>
      </w:r>
    </w:p>
    <w:p w14:paraId="4DB1FDBF">
      <w:pPr>
        <w:spacing w:line="480" w:lineRule="exact"/>
        <w:ind w:firstLine="470" w:firstLineChars="196"/>
        <w:rPr>
          <w:rFonts w:ascii="宋体" w:hAnsi="宋体"/>
          <w:color w:val="auto"/>
          <w:sz w:val="24"/>
          <w:highlight w:val="none"/>
        </w:rPr>
      </w:pPr>
      <w:r>
        <w:rPr>
          <w:rFonts w:hint="eastAsia" w:ascii="宋体" w:hAnsi="宋体"/>
          <w:color w:val="auto"/>
          <w:sz w:val="24"/>
          <w:highlight w:val="none"/>
        </w:rPr>
        <w:t>19.1质保期：</w:t>
      </w:r>
    </w:p>
    <w:p w14:paraId="2214C103">
      <w:pPr>
        <w:spacing w:line="480" w:lineRule="exact"/>
        <w:ind w:firstLine="470" w:firstLineChars="196"/>
        <w:rPr>
          <w:rFonts w:ascii="宋体" w:hAnsi="宋体"/>
          <w:color w:val="auto"/>
          <w:sz w:val="24"/>
          <w:highlight w:val="none"/>
        </w:rPr>
      </w:pPr>
      <w:r>
        <w:rPr>
          <w:rFonts w:hint="eastAsia" w:ascii="宋体" w:hAnsi="宋体"/>
          <w:color w:val="auto"/>
          <w:sz w:val="24"/>
          <w:highlight w:val="none"/>
        </w:rPr>
        <w:t>项目整体通过验收并完成移交之日起24个月。质保期内被免费更换的零部件质量保证：自更换之日起计24个月。</w:t>
      </w:r>
    </w:p>
    <w:p w14:paraId="1E184983">
      <w:pPr>
        <w:spacing w:line="480" w:lineRule="exact"/>
        <w:ind w:firstLine="470" w:firstLineChars="196"/>
        <w:rPr>
          <w:rFonts w:ascii="宋体" w:hAnsi="宋体"/>
          <w:color w:val="auto"/>
          <w:sz w:val="24"/>
          <w:highlight w:val="none"/>
        </w:rPr>
      </w:pPr>
      <w:r>
        <w:rPr>
          <w:rFonts w:hint="eastAsia" w:ascii="宋体" w:hAnsi="宋体"/>
          <w:color w:val="auto"/>
          <w:sz w:val="24"/>
          <w:highlight w:val="none"/>
        </w:rPr>
        <w:t>19.2售后服务要求：接到要求提供服务的电话（或传真）后30分钟内做出响应。60分钟内派出合格的服务人员到达业主设备使用现场。一般故障4小时内修复，重大故障12小时内修复。规定时间内不能修复的免费提供同档次产品供发包人使用。</w:t>
      </w:r>
    </w:p>
    <w:p w14:paraId="2C6484F3">
      <w:pPr>
        <w:pStyle w:val="47"/>
        <w:spacing w:line="480" w:lineRule="exact"/>
        <w:ind w:firstLine="471"/>
        <w:rPr>
          <w:rFonts w:ascii="宋体" w:hAnsi="宋体" w:eastAsia="宋体"/>
          <w:b/>
          <w:color w:val="auto"/>
          <w:sz w:val="24"/>
          <w:szCs w:val="24"/>
          <w:highlight w:val="none"/>
        </w:rPr>
      </w:pPr>
      <w:r>
        <w:rPr>
          <w:rFonts w:hint="eastAsia" w:ascii="宋体" w:hAnsi="宋体" w:eastAsia="宋体"/>
          <w:b/>
          <w:color w:val="auto"/>
          <w:sz w:val="24"/>
          <w:szCs w:val="24"/>
          <w:highlight w:val="none"/>
        </w:rPr>
        <w:t>十、违约、索赔和争议</w:t>
      </w:r>
    </w:p>
    <w:p w14:paraId="04FA37F7">
      <w:pPr>
        <w:pStyle w:val="47"/>
        <w:spacing w:line="48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20.违约</w:t>
      </w:r>
    </w:p>
    <w:p w14:paraId="4C053AD8">
      <w:pPr>
        <w:spacing w:line="480" w:lineRule="exact"/>
        <w:ind w:firstLine="480" w:firstLineChars="200"/>
        <w:rPr>
          <w:rFonts w:ascii="宋体" w:hAnsi="宋体"/>
          <w:color w:val="auto"/>
          <w:sz w:val="24"/>
          <w:highlight w:val="none"/>
          <w:u w:val="single"/>
        </w:rPr>
      </w:pPr>
      <w:r>
        <w:rPr>
          <w:rFonts w:hint="eastAsia" w:ascii="宋体" w:hAnsi="宋体"/>
          <w:color w:val="auto"/>
          <w:sz w:val="24"/>
          <w:highlight w:val="none"/>
        </w:rPr>
        <w:t>20.1本合同中关于发包人违约的具体责任：</w:t>
      </w:r>
      <w:r>
        <w:rPr>
          <w:rFonts w:hint="eastAsia" w:ascii="宋体" w:hAnsi="宋体"/>
          <w:b/>
          <w:color w:val="auto"/>
          <w:sz w:val="24"/>
          <w:highlight w:val="none"/>
          <w:u w:val="single"/>
        </w:rPr>
        <w:t xml:space="preserve">无  </w:t>
      </w:r>
      <w:r>
        <w:rPr>
          <w:rFonts w:hint="eastAsia" w:ascii="宋体" w:hAnsi="宋体"/>
          <w:color w:val="auto"/>
          <w:sz w:val="24"/>
          <w:highlight w:val="none"/>
          <w:u w:val="single"/>
        </w:rPr>
        <w:t xml:space="preserve">  </w:t>
      </w:r>
    </w:p>
    <w:p w14:paraId="6F1CB87F">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20.2本合同中关于承包人违约的具体责任如下：</w:t>
      </w:r>
    </w:p>
    <w:p w14:paraId="050068C8">
      <w:pPr>
        <w:spacing w:line="480" w:lineRule="exact"/>
        <w:ind w:firstLine="360" w:firstLineChars="150"/>
        <w:rPr>
          <w:rFonts w:ascii="宋体" w:hAnsi="宋体"/>
          <w:color w:val="auto"/>
          <w:sz w:val="24"/>
          <w:highlight w:val="none"/>
        </w:rPr>
      </w:pPr>
      <w:r>
        <w:rPr>
          <w:rFonts w:hint="eastAsia" w:ascii="宋体" w:hAnsi="宋体"/>
          <w:color w:val="auto"/>
          <w:sz w:val="24"/>
          <w:highlight w:val="none"/>
        </w:rPr>
        <w:t>（1）工期延误</w:t>
      </w:r>
    </w:p>
    <w:p w14:paraId="333523BE">
      <w:pPr>
        <w:spacing w:line="480" w:lineRule="exact"/>
        <w:rPr>
          <w:rFonts w:ascii="宋体" w:hAnsi="宋体"/>
          <w:b/>
          <w:color w:val="auto"/>
          <w:sz w:val="24"/>
          <w:highlight w:val="none"/>
          <w:u w:val="single"/>
        </w:rPr>
      </w:pPr>
      <w:r>
        <w:rPr>
          <w:rFonts w:hint="eastAsia" w:ascii="宋体" w:hAnsi="宋体"/>
          <w:color w:val="auto"/>
          <w:sz w:val="24"/>
          <w:highlight w:val="none"/>
        </w:rPr>
        <w:t>　　</w:t>
      </w:r>
      <w:r>
        <w:rPr>
          <w:rFonts w:hint="eastAsia" w:ascii="宋体" w:hAnsi="宋体"/>
          <w:b/>
          <w:color w:val="auto"/>
          <w:sz w:val="24"/>
          <w:highlight w:val="none"/>
          <w:u w:val="single"/>
        </w:rPr>
        <w:t>本工程工期延误以监理或发包人的工期延误通知函为准，承包人在收到通知函之日起应承担违约责任，每超过一天承包人按2000元/天赔偿发包人的经济损失，赔偿限额为合同总价的2.5%。</w:t>
      </w:r>
    </w:p>
    <w:p w14:paraId="6847CDEF">
      <w:pPr>
        <w:spacing w:line="480" w:lineRule="exact"/>
        <w:ind w:firstLine="360" w:firstLineChars="150"/>
        <w:rPr>
          <w:rFonts w:ascii="宋体" w:hAnsi="宋体"/>
          <w:color w:val="auto"/>
          <w:sz w:val="24"/>
          <w:highlight w:val="none"/>
        </w:rPr>
      </w:pPr>
      <w:r>
        <w:rPr>
          <w:rFonts w:hint="eastAsia" w:ascii="宋体" w:hAnsi="宋体"/>
          <w:color w:val="auto"/>
          <w:sz w:val="24"/>
          <w:highlight w:val="none"/>
        </w:rPr>
        <w:t>（2）工程质量违约责任</w:t>
      </w:r>
    </w:p>
    <w:p w14:paraId="58B7A0C2">
      <w:pPr>
        <w:spacing w:line="480" w:lineRule="exact"/>
        <w:ind w:firstLine="472" w:firstLineChars="196"/>
        <w:rPr>
          <w:rFonts w:ascii="宋体" w:hAnsi="宋体"/>
          <w:b/>
          <w:color w:val="auto"/>
          <w:sz w:val="24"/>
          <w:highlight w:val="none"/>
          <w:u w:val="single"/>
        </w:rPr>
      </w:pPr>
      <w:r>
        <w:rPr>
          <w:rFonts w:hint="eastAsia" w:ascii="宋体" w:hAnsi="宋体"/>
          <w:b/>
          <w:color w:val="auto"/>
          <w:sz w:val="24"/>
          <w:highlight w:val="none"/>
          <w:u w:val="single"/>
        </w:rPr>
        <w:t>施工中使用假冒伪劣、非环保材料发现一次罚1万元，由此造成业主的一切经济损失均由承包人承担。</w:t>
      </w:r>
    </w:p>
    <w:p w14:paraId="7DD0A98C">
      <w:pPr>
        <w:spacing w:line="480" w:lineRule="exact"/>
        <w:ind w:firstLine="360" w:firstLineChars="150"/>
        <w:rPr>
          <w:rFonts w:ascii="宋体" w:hAnsi="宋体"/>
          <w:color w:val="auto"/>
          <w:sz w:val="24"/>
          <w:highlight w:val="none"/>
        </w:rPr>
      </w:pPr>
      <w:r>
        <w:rPr>
          <w:rFonts w:hint="eastAsia" w:ascii="宋体" w:hAnsi="宋体"/>
          <w:color w:val="auto"/>
          <w:sz w:val="24"/>
          <w:highlight w:val="none"/>
        </w:rPr>
        <w:t>（3）安全与文明施工违约责任。</w:t>
      </w:r>
    </w:p>
    <w:p w14:paraId="0E17F485">
      <w:pPr>
        <w:spacing w:line="480" w:lineRule="exact"/>
        <w:rPr>
          <w:rFonts w:ascii="宋体" w:hAnsi="宋体"/>
          <w:b/>
          <w:color w:val="auto"/>
          <w:sz w:val="24"/>
          <w:highlight w:val="none"/>
          <w:u w:val="single"/>
        </w:rPr>
      </w:pPr>
      <w:r>
        <w:rPr>
          <w:rFonts w:hint="eastAsia" w:ascii="宋体" w:hAnsi="宋体"/>
          <w:color w:val="auto"/>
          <w:sz w:val="24"/>
          <w:highlight w:val="none"/>
        </w:rPr>
        <w:t xml:space="preserve">    </w:t>
      </w:r>
      <w:r>
        <w:rPr>
          <w:rFonts w:hint="eastAsia" w:ascii="宋体" w:hAnsi="宋体"/>
          <w:b/>
          <w:color w:val="auto"/>
          <w:sz w:val="24"/>
          <w:highlight w:val="none"/>
          <w:u w:val="single"/>
        </w:rPr>
        <w:t>若未履行安全与文明施工要求，承包人应承担违约责任，违约金限额为合同价款的 1 ％。</w:t>
      </w:r>
    </w:p>
    <w:p w14:paraId="47236E48">
      <w:pPr>
        <w:spacing w:line="480" w:lineRule="exact"/>
        <w:ind w:firstLine="360" w:firstLineChars="150"/>
        <w:rPr>
          <w:rFonts w:ascii="宋体" w:hAnsi="宋体"/>
          <w:color w:val="auto"/>
          <w:sz w:val="24"/>
          <w:highlight w:val="none"/>
        </w:rPr>
      </w:pPr>
      <w:r>
        <w:rPr>
          <w:rFonts w:hint="eastAsia" w:ascii="宋体" w:hAnsi="宋体"/>
          <w:color w:val="auto"/>
          <w:sz w:val="24"/>
          <w:highlight w:val="none"/>
        </w:rPr>
        <w:t>（4）本合同约定的承包人其他违约责任：</w:t>
      </w:r>
    </w:p>
    <w:p w14:paraId="074F00F3">
      <w:pPr>
        <w:spacing w:line="480" w:lineRule="exact"/>
        <w:ind w:firstLine="482" w:firstLineChars="200"/>
        <w:rPr>
          <w:rFonts w:ascii="宋体" w:hAnsi="宋体"/>
          <w:b/>
          <w:color w:val="auto"/>
          <w:sz w:val="24"/>
          <w:highlight w:val="none"/>
          <w:u w:val="single"/>
        </w:rPr>
      </w:pPr>
      <w:r>
        <w:rPr>
          <w:rFonts w:hint="eastAsia" w:ascii="宋体" w:hAnsi="宋体"/>
          <w:b/>
          <w:color w:val="auto"/>
          <w:sz w:val="24"/>
          <w:highlight w:val="none"/>
          <w:u w:val="single"/>
        </w:rPr>
        <w:t>a、本工程在实施过程中，如发包人或监理认为承包人的施工队伍素质、力量、现场管理班子、施工设备、与其他分项工程单位的配合、现场文明安全施工等不符合投标书的承诺，可能导致工程质量、进度、安全生产、文明施工等出现重大偏差的，发包人有权要求其调整充实施工力量，承包人必须接受，如措施不力，监理或发包人对上述同一问题发函两次以上时，可将承包人视作违约处理，发包人可自行终止合同，承包人必须承担由此产生的经济损失和相应责任。</w:t>
      </w:r>
    </w:p>
    <w:p w14:paraId="04047C1D">
      <w:pPr>
        <w:spacing w:line="480" w:lineRule="exact"/>
        <w:ind w:firstLine="482" w:firstLineChars="200"/>
        <w:rPr>
          <w:rFonts w:ascii="宋体" w:hAnsi="宋体"/>
          <w:b/>
          <w:color w:val="auto"/>
          <w:sz w:val="24"/>
          <w:highlight w:val="none"/>
          <w:u w:val="single"/>
        </w:rPr>
      </w:pPr>
      <w:r>
        <w:rPr>
          <w:rFonts w:hint="eastAsia" w:ascii="宋体" w:hAnsi="宋体"/>
          <w:b/>
          <w:color w:val="auto"/>
          <w:sz w:val="24"/>
          <w:highlight w:val="none"/>
          <w:u w:val="single"/>
        </w:rPr>
        <w:t>b、</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6431"/>
        <w:gridCol w:w="2300"/>
      </w:tblGrid>
      <w:tr w14:paraId="0FDCD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675" w:type="dxa"/>
            <w:tcBorders>
              <w:top w:val="single" w:color="auto" w:sz="4" w:space="0"/>
              <w:left w:val="single" w:color="auto" w:sz="4" w:space="0"/>
              <w:bottom w:val="single" w:color="auto" w:sz="4" w:space="0"/>
              <w:right w:val="single" w:color="auto" w:sz="4" w:space="0"/>
            </w:tcBorders>
          </w:tcPr>
          <w:p w14:paraId="1CD0AE8D">
            <w:pPr>
              <w:spacing w:line="360" w:lineRule="auto"/>
              <w:jc w:val="center"/>
              <w:rPr>
                <w:rFonts w:ascii="宋体" w:hAnsi="宋体"/>
                <w:color w:val="auto"/>
                <w:highlight w:val="none"/>
              </w:rPr>
            </w:pPr>
            <w:r>
              <w:rPr>
                <w:rFonts w:hint="eastAsia" w:ascii="宋体" w:hAnsi="宋体"/>
                <w:color w:val="auto"/>
                <w:highlight w:val="none"/>
              </w:rPr>
              <w:t>序号</w:t>
            </w:r>
          </w:p>
        </w:tc>
        <w:tc>
          <w:tcPr>
            <w:tcW w:w="6431" w:type="dxa"/>
            <w:tcBorders>
              <w:top w:val="single" w:color="auto" w:sz="4" w:space="0"/>
              <w:left w:val="single" w:color="auto" w:sz="4" w:space="0"/>
              <w:bottom w:val="single" w:color="auto" w:sz="4" w:space="0"/>
              <w:right w:val="single" w:color="auto" w:sz="4" w:space="0"/>
            </w:tcBorders>
          </w:tcPr>
          <w:p w14:paraId="01661F99">
            <w:pPr>
              <w:spacing w:line="360" w:lineRule="auto"/>
              <w:ind w:firstLine="420" w:firstLineChars="200"/>
              <w:rPr>
                <w:rFonts w:ascii="宋体" w:hAnsi="宋体"/>
                <w:color w:val="auto"/>
                <w:highlight w:val="none"/>
              </w:rPr>
            </w:pPr>
            <w:r>
              <w:rPr>
                <w:rFonts w:hint="eastAsia" w:ascii="宋体" w:hAnsi="宋体"/>
                <w:color w:val="auto"/>
                <w:highlight w:val="none"/>
              </w:rPr>
              <w:t>违约责任项目内容</w:t>
            </w:r>
          </w:p>
        </w:tc>
        <w:tc>
          <w:tcPr>
            <w:tcW w:w="2300" w:type="dxa"/>
            <w:tcBorders>
              <w:top w:val="single" w:color="auto" w:sz="4" w:space="0"/>
              <w:left w:val="single" w:color="auto" w:sz="4" w:space="0"/>
              <w:bottom w:val="single" w:color="auto" w:sz="4" w:space="0"/>
              <w:right w:val="single" w:color="auto" w:sz="4" w:space="0"/>
            </w:tcBorders>
          </w:tcPr>
          <w:p w14:paraId="0C1D68A0">
            <w:pPr>
              <w:spacing w:line="360" w:lineRule="auto"/>
              <w:ind w:firstLine="420" w:firstLineChars="200"/>
              <w:rPr>
                <w:rFonts w:ascii="宋体" w:hAnsi="宋体"/>
                <w:color w:val="auto"/>
                <w:highlight w:val="none"/>
              </w:rPr>
            </w:pPr>
            <w:r>
              <w:rPr>
                <w:rFonts w:hint="eastAsia" w:ascii="宋体" w:hAnsi="宋体"/>
                <w:color w:val="auto"/>
                <w:highlight w:val="none"/>
              </w:rPr>
              <w:t>限额说明</w:t>
            </w:r>
          </w:p>
        </w:tc>
      </w:tr>
      <w:tr w14:paraId="7B1C2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675" w:type="dxa"/>
            <w:tcBorders>
              <w:top w:val="single" w:color="auto" w:sz="4" w:space="0"/>
              <w:left w:val="single" w:color="auto" w:sz="4" w:space="0"/>
              <w:bottom w:val="single" w:color="auto" w:sz="4" w:space="0"/>
              <w:right w:val="single" w:color="auto" w:sz="4" w:space="0"/>
            </w:tcBorders>
          </w:tcPr>
          <w:p w14:paraId="0C726B01">
            <w:pPr>
              <w:spacing w:line="360" w:lineRule="auto"/>
              <w:jc w:val="center"/>
              <w:rPr>
                <w:rFonts w:ascii="宋体" w:hAnsi="宋体"/>
                <w:color w:val="auto"/>
                <w:highlight w:val="none"/>
              </w:rPr>
            </w:pPr>
            <w:r>
              <w:rPr>
                <w:rFonts w:hint="eastAsia" w:ascii="宋体" w:hAnsi="宋体"/>
                <w:color w:val="auto"/>
                <w:highlight w:val="none"/>
              </w:rPr>
              <w:t>1</w:t>
            </w:r>
          </w:p>
        </w:tc>
        <w:tc>
          <w:tcPr>
            <w:tcW w:w="6431" w:type="dxa"/>
            <w:tcBorders>
              <w:top w:val="single" w:color="auto" w:sz="4" w:space="0"/>
              <w:left w:val="single" w:color="auto" w:sz="4" w:space="0"/>
              <w:bottom w:val="single" w:color="auto" w:sz="4" w:space="0"/>
              <w:right w:val="single" w:color="auto" w:sz="4" w:space="0"/>
            </w:tcBorders>
            <w:vAlign w:val="center"/>
          </w:tcPr>
          <w:p w14:paraId="0F523936">
            <w:pPr>
              <w:spacing w:line="360" w:lineRule="auto"/>
              <w:ind w:firstLine="420" w:firstLineChars="200"/>
              <w:rPr>
                <w:rFonts w:ascii="宋体" w:hAnsi="宋体"/>
                <w:color w:val="auto"/>
                <w:highlight w:val="none"/>
              </w:rPr>
            </w:pPr>
            <w:r>
              <w:rPr>
                <w:rFonts w:hint="eastAsia" w:ascii="宋体" w:hAnsi="宋体"/>
                <w:color w:val="auto"/>
                <w:highlight w:val="none"/>
              </w:rPr>
              <w:t>工期每超过一天承包人按2000元/天赔偿发包人的经济损失，延误合同工期违约金限额。</w:t>
            </w:r>
          </w:p>
        </w:tc>
        <w:tc>
          <w:tcPr>
            <w:tcW w:w="2300" w:type="dxa"/>
            <w:tcBorders>
              <w:top w:val="single" w:color="auto" w:sz="4" w:space="0"/>
              <w:left w:val="single" w:color="auto" w:sz="4" w:space="0"/>
              <w:bottom w:val="single" w:color="auto" w:sz="4" w:space="0"/>
              <w:right w:val="single" w:color="auto" w:sz="4" w:space="0"/>
            </w:tcBorders>
            <w:vAlign w:val="center"/>
          </w:tcPr>
          <w:p w14:paraId="60DEC89D">
            <w:pPr>
              <w:spacing w:line="360" w:lineRule="auto"/>
              <w:ind w:firstLine="420" w:firstLineChars="200"/>
              <w:rPr>
                <w:rFonts w:ascii="宋体" w:hAnsi="宋体"/>
                <w:color w:val="auto"/>
                <w:highlight w:val="none"/>
              </w:rPr>
            </w:pPr>
            <w:r>
              <w:rPr>
                <w:rFonts w:hint="eastAsia" w:ascii="宋体" w:hAnsi="宋体"/>
                <w:color w:val="auto"/>
                <w:highlight w:val="none"/>
              </w:rPr>
              <w:t>合同总价的2.5%</w:t>
            </w:r>
          </w:p>
        </w:tc>
      </w:tr>
      <w:tr w14:paraId="0FEBA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675" w:type="dxa"/>
            <w:tcBorders>
              <w:top w:val="single" w:color="auto" w:sz="4" w:space="0"/>
              <w:left w:val="single" w:color="auto" w:sz="4" w:space="0"/>
              <w:bottom w:val="single" w:color="auto" w:sz="4" w:space="0"/>
              <w:right w:val="single" w:color="auto" w:sz="4" w:space="0"/>
            </w:tcBorders>
          </w:tcPr>
          <w:p w14:paraId="71247269">
            <w:pPr>
              <w:spacing w:line="360" w:lineRule="auto"/>
              <w:jc w:val="center"/>
              <w:rPr>
                <w:rFonts w:ascii="宋体" w:hAnsi="宋体"/>
                <w:color w:val="auto"/>
                <w:highlight w:val="none"/>
              </w:rPr>
            </w:pPr>
            <w:r>
              <w:rPr>
                <w:rFonts w:hint="eastAsia" w:ascii="宋体" w:hAnsi="宋体"/>
                <w:color w:val="auto"/>
                <w:highlight w:val="none"/>
              </w:rPr>
              <w:t>2</w:t>
            </w:r>
          </w:p>
        </w:tc>
        <w:tc>
          <w:tcPr>
            <w:tcW w:w="6431" w:type="dxa"/>
            <w:tcBorders>
              <w:top w:val="single" w:color="auto" w:sz="4" w:space="0"/>
              <w:left w:val="single" w:color="auto" w:sz="4" w:space="0"/>
              <w:bottom w:val="single" w:color="auto" w:sz="4" w:space="0"/>
              <w:right w:val="single" w:color="auto" w:sz="4" w:space="0"/>
            </w:tcBorders>
            <w:vAlign w:val="center"/>
          </w:tcPr>
          <w:p w14:paraId="76666E0A">
            <w:pPr>
              <w:spacing w:line="360" w:lineRule="auto"/>
              <w:ind w:firstLine="420" w:firstLineChars="200"/>
              <w:rPr>
                <w:rFonts w:ascii="宋体" w:hAnsi="宋体"/>
                <w:color w:val="auto"/>
                <w:highlight w:val="none"/>
              </w:rPr>
            </w:pPr>
            <w:r>
              <w:rPr>
                <w:rFonts w:hint="eastAsia" w:ascii="宋体" w:hAnsi="宋体"/>
                <w:color w:val="auto"/>
                <w:highlight w:val="none"/>
              </w:rPr>
              <w:t>施工中使用假冒伪劣、非环保材料发现一次罚10000元，由此造成发包人的一切经济损失均由承包人承担，未达到工程质量要求违约金限额。</w:t>
            </w:r>
          </w:p>
        </w:tc>
        <w:tc>
          <w:tcPr>
            <w:tcW w:w="2300" w:type="dxa"/>
            <w:tcBorders>
              <w:top w:val="single" w:color="auto" w:sz="4" w:space="0"/>
              <w:left w:val="single" w:color="auto" w:sz="4" w:space="0"/>
              <w:bottom w:val="single" w:color="auto" w:sz="4" w:space="0"/>
              <w:right w:val="single" w:color="auto" w:sz="4" w:space="0"/>
            </w:tcBorders>
            <w:vAlign w:val="center"/>
          </w:tcPr>
          <w:p w14:paraId="1B99212B">
            <w:pPr>
              <w:spacing w:line="360" w:lineRule="auto"/>
              <w:ind w:firstLine="420" w:firstLineChars="200"/>
              <w:rPr>
                <w:rFonts w:ascii="宋体" w:hAnsi="宋体"/>
                <w:color w:val="auto"/>
                <w:highlight w:val="none"/>
              </w:rPr>
            </w:pPr>
            <w:r>
              <w:rPr>
                <w:rFonts w:hint="eastAsia" w:ascii="宋体" w:hAnsi="宋体"/>
                <w:color w:val="auto"/>
                <w:highlight w:val="none"/>
              </w:rPr>
              <w:t>合同总价的2%</w:t>
            </w:r>
          </w:p>
        </w:tc>
      </w:tr>
      <w:tr w14:paraId="5B138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75" w:type="dxa"/>
            <w:tcBorders>
              <w:top w:val="single" w:color="auto" w:sz="4" w:space="0"/>
              <w:left w:val="single" w:color="auto" w:sz="4" w:space="0"/>
              <w:bottom w:val="single" w:color="auto" w:sz="4" w:space="0"/>
              <w:right w:val="single" w:color="auto" w:sz="4" w:space="0"/>
            </w:tcBorders>
          </w:tcPr>
          <w:p w14:paraId="0302328C">
            <w:pPr>
              <w:spacing w:line="360" w:lineRule="auto"/>
              <w:jc w:val="center"/>
              <w:rPr>
                <w:rFonts w:ascii="宋体" w:hAnsi="宋体"/>
                <w:color w:val="auto"/>
                <w:highlight w:val="none"/>
              </w:rPr>
            </w:pPr>
            <w:r>
              <w:rPr>
                <w:rFonts w:hint="eastAsia" w:ascii="宋体" w:hAnsi="宋体"/>
                <w:color w:val="auto"/>
                <w:highlight w:val="none"/>
              </w:rPr>
              <w:t>3</w:t>
            </w:r>
          </w:p>
        </w:tc>
        <w:tc>
          <w:tcPr>
            <w:tcW w:w="6431" w:type="dxa"/>
            <w:tcBorders>
              <w:top w:val="single" w:color="auto" w:sz="4" w:space="0"/>
              <w:left w:val="single" w:color="auto" w:sz="4" w:space="0"/>
              <w:bottom w:val="single" w:color="auto" w:sz="4" w:space="0"/>
              <w:right w:val="single" w:color="auto" w:sz="4" w:space="0"/>
            </w:tcBorders>
            <w:vAlign w:val="center"/>
          </w:tcPr>
          <w:p w14:paraId="7E994B17">
            <w:pPr>
              <w:spacing w:line="360" w:lineRule="auto"/>
              <w:ind w:firstLine="420" w:firstLineChars="200"/>
              <w:rPr>
                <w:rFonts w:ascii="宋体" w:hAnsi="宋体"/>
                <w:color w:val="auto"/>
                <w:highlight w:val="none"/>
              </w:rPr>
            </w:pPr>
            <w:r>
              <w:rPr>
                <w:rFonts w:hint="eastAsia" w:ascii="宋体" w:hAnsi="宋体"/>
                <w:color w:val="auto"/>
                <w:highlight w:val="none"/>
              </w:rPr>
              <w:t>承包人的项目负责人及主要施工人员到位率需达到80%以上，如未达到的每人每天扣500元，项目负责人及主要施工施工人员未按要求到场的违约金限额。</w:t>
            </w:r>
          </w:p>
        </w:tc>
        <w:tc>
          <w:tcPr>
            <w:tcW w:w="2300" w:type="dxa"/>
            <w:tcBorders>
              <w:top w:val="single" w:color="auto" w:sz="4" w:space="0"/>
              <w:left w:val="single" w:color="auto" w:sz="4" w:space="0"/>
              <w:bottom w:val="single" w:color="auto" w:sz="4" w:space="0"/>
              <w:right w:val="single" w:color="auto" w:sz="4" w:space="0"/>
            </w:tcBorders>
            <w:vAlign w:val="center"/>
          </w:tcPr>
          <w:p w14:paraId="27D270B6">
            <w:pPr>
              <w:spacing w:line="360" w:lineRule="auto"/>
              <w:ind w:firstLine="420" w:firstLineChars="200"/>
              <w:rPr>
                <w:rFonts w:ascii="宋体" w:hAnsi="宋体"/>
                <w:color w:val="auto"/>
                <w:highlight w:val="none"/>
              </w:rPr>
            </w:pPr>
            <w:r>
              <w:rPr>
                <w:rFonts w:hint="eastAsia" w:ascii="宋体" w:hAnsi="宋体"/>
                <w:color w:val="auto"/>
                <w:highlight w:val="none"/>
              </w:rPr>
              <w:t>履约担保金额的 20 %</w:t>
            </w:r>
          </w:p>
        </w:tc>
      </w:tr>
      <w:tr w14:paraId="3E14A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675" w:type="dxa"/>
            <w:tcBorders>
              <w:top w:val="single" w:color="auto" w:sz="4" w:space="0"/>
              <w:left w:val="single" w:color="auto" w:sz="4" w:space="0"/>
              <w:bottom w:val="single" w:color="auto" w:sz="4" w:space="0"/>
              <w:right w:val="single" w:color="auto" w:sz="4" w:space="0"/>
            </w:tcBorders>
          </w:tcPr>
          <w:p w14:paraId="2C64C5EB">
            <w:pPr>
              <w:spacing w:line="360" w:lineRule="auto"/>
              <w:jc w:val="center"/>
              <w:rPr>
                <w:rFonts w:ascii="宋体" w:hAnsi="宋体"/>
                <w:color w:val="auto"/>
                <w:highlight w:val="none"/>
              </w:rPr>
            </w:pPr>
            <w:r>
              <w:rPr>
                <w:rFonts w:hint="eastAsia" w:ascii="宋体" w:hAnsi="宋体"/>
                <w:color w:val="auto"/>
                <w:highlight w:val="none"/>
              </w:rPr>
              <w:t>4</w:t>
            </w:r>
          </w:p>
        </w:tc>
        <w:tc>
          <w:tcPr>
            <w:tcW w:w="6431" w:type="dxa"/>
            <w:tcBorders>
              <w:top w:val="single" w:color="auto" w:sz="4" w:space="0"/>
              <w:left w:val="single" w:color="auto" w:sz="4" w:space="0"/>
              <w:bottom w:val="single" w:color="auto" w:sz="4" w:space="0"/>
              <w:right w:val="single" w:color="auto" w:sz="4" w:space="0"/>
            </w:tcBorders>
            <w:vAlign w:val="center"/>
          </w:tcPr>
          <w:p w14:paraId="2F86AFB0">
            <w:pPr>
              <w:spacing w:line="360" w:lineRule="auto"/>
              <w:ind w:firstLine="420" w:firstLineChars="200"/>
              <w:rPr>
                <w:rFonts w:ascii="宋体" w:hAnsi="宋体"/>
                <w:color w:val="auto"/>
                <w:highlight w:val="none"/>
              </w:rPr>
            </w:pPr>
            <w:r>
              <w:rPr>
                <w:rFonts w:hint="eastAsia" w:ascii="宋体" w:hAnsi="宋体"/>
                <w:color w:val="auto"/>
                <w:highlight w:val="none"/>
              </w:rPr>
              <w:t>未履行安全与文明施工要求，承包人应承担违约责任，未安全文明施工违约金限额。</w:t>
            </w:r>
          </w:p>
        </w:tc>
        <w:tc>
          <w:tcPr>
            <w:tcW w:w="2300" w:type="dxa"/>
            <w:tcBorders>
              <w:top w:val="single" w:color="auto" w:sz="4" w:space="0"/>
              <w:left w:val="single" w:color="auto" w:sz="4" w:space="0"/>
              <w:bottom w:val="single" w:color="auto" w:sz="4" w:space="0"/>
              <w:right w:val="single" w:color="auto" w:sz="4" w:space="0"/>
            </w:tcBorders>
            <w:vAlign w:val="center"/>
          </w:tcPr>
          <w:p w14:paraId="7469D949">
            <w:pPr>
              <w:spacing w:line="360" w:lineRule="auto"/>
              <w:ind w:firstLine="420" w:firstLineChars="200"/>
              <w:rPr>
                <w:rFonts w:ascii="宋体" w:hAnsi="宋体"/>
                <w:color w:val="auto"/>
                <w:highlight w:val="none"/>
              </w:rPr>
            </w:pPr>
            <w:r>
              <w:rPr>
                <w:rFonts w:hint="eastAsia" w:ascii="宋体" w:hAnsi="宋体"/>
                <w:color w:val="auto"/>
                <w:highlight w:val="none"/>
              </w:rPr>
              <w:t>合同总价的1%</w:t>
            </w:r>
          </w:p>
        </w:tc>
      </w:tr>
      <w:tr w14:paraId="62A63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675" w:type="dxa"/>
            <w:tcBorders>
              <w:top w:val="single" w:color="auto" w:sz="4" w:space="0"/>
              <w:left w:val="single" w:color="auto" w:sz="4" w:space="0"/>
              <w:bottom w:val="single" w:color="auto" w:sz="4" w:space="0"/>
              <w:right w:val="single" w:color="auto" w:sz="4" w:space="0"/>
            </w:tcBorders>
            <w:vAlign w:val="center"/>
          </w:tcPr>
          <w:p w14:paraId="6418260B">
            <w:pPr>
              <w:spacing w:line="360" w:lineRule="auto"/>
              <w:jc w:val="center"/>
              <w:rPr>
                <w:rFonts w:ascii="宋体" w:hAnsi="宋体"/>
                <w:color w:val="auto"/>
                <w:highlight w:val="none"/>
              </w:rPr>
            </w:pPr>
            <w:r>
              <w:rPr>
                <w:rFonts w:hint="eastAsia" w:ascii="宋体" w:hAnsi="宋体"/>
                <w:color w:val="auto"/>
                <w:highlight w:val="none"/>
              </w:rPr>
              <w:t>5</w:t>
            </w:r>
          </w:p>
        </w:tc>
        <w:tc>
          <w:tcPr>
            <w:tcW w:w="6431" w:type="dxa"/>
            <w:tcBorders>
              <w:top w:val="single" w:color="auto" w:sz="4" w:space="0"/>
              <w:left w:val="single" w:color="auto" w:sz="4" w:space="0"/>
              <w:bottom w:val="single" w:color="auto" w:sz="4" w:space="0"/>
              <w:right w:val="single" w:color="auto" w:sz="4" w:space="0"/>
            </w:tcBorders>
            <w:vAlign w:val="center"/>
          </w:tcPr>
          <w:p w14:paraId="01D64195">
            <w:pPr>
              <w:spacing w:line="360" w:lineRule="auto"/>
              <w:ind w:firstLine="420" w:firstLineChars="200"/>
              <w:rPr>
                <w:rFonts w:ascii="宋体" w:hAnsi="宋体"/>
                <w:color w:val="auto"/>
                <w:highlight w:val="none"/>
              </w:rPr>
            </w:pPr>
            <w:r>
              <w:rPr>
                <w:rFonts w:hint="eastAsia" w:ascii="宋体" w:hAnsi="宋体"/>
                <w:color w:val="auto"/>
                <w:highlight w:val="none"/>
              </w:rPr>
              <w:t>其他责任：</w:t>
            </w:r>
          </w:p>
          <w:p w14:paraId="6606B6ED">
            <w:pPr>
              <w:spacing w:line="360" w:lineRule="auto"/>
              <w:ind w:firstLine="420" w:firstLineChars="200"/>
              <w:rPr>
                <w:rFonts w:ascii="宋体" w:hAnsi="宋体"/>
                <w:color w:val="auto"/>
                <w:highlight w:val="none"/>
              </w:rPr>
            </w:pPr>
            <w:r>
              <w:rPr>
                <w:rFonts w:hint="eastAsia" w:ascii="宋体" w:hAnsi="宋体"/>
                <w:color w:val="auto"/>
                <w:highlight w:val="none"/>
              </w:rPr>
              <w:t>a、本项目在实施过程中，如发包人或监理认为承包人的施工队伍素质、力量、现场管理班子、施工设备、与其他分项工程单位的配合、现场文明安全施工等不符合投标书的承诺，可能导致工程质量、进度、安全生产、文明施工等出现重大偏差的，发包人有权要求其调整充实施工力量，承包人必须接受，如措施不力，监理或发包人对上述同一问题发函两次以上时，可将承包人视作违约处理，发包人可自行终止合同，承包人必须承担由此产生的经济损失和相应责任。</w:t>
            </w:r>
          </w:p>
          <w:p w14:paraId="5C547D30">
            <w:pPr>
              <w:spacing w:line="360" w:lineRule="auto"/>
              <w:ind w:firstLine="420" w:firstLineChars="200"/>
              <w:rPr>
                <w:rFonts w:ascii="宋体" w:hAnsi="宋体"/>
                <w:color w:val="auto"/>
                <w:highlight w:val="none"/>
              </w:rPr>
            </w:pPr>
            <w:r>
              <w:rPr>
                <w:rFonts w:hint="eastAsia" w:ascii="宋体" w:hAnsi="宋体"/>
                <w:color w:val="auto"/>
                <w:highlight w:val="none"/>
              </w:rPr>
              <w:t>b、承包人的现场项目管理机构设置应严格按照投标文件中的人员配置承诺来执行，如需更换人员，须得到发包方的同意；如发现私自更换现象合同终止，承包人及分包人清退出场，并罚没全部履约担保。</w:t>
            </w:r>
          </w:p>
        </w:tc>
        <w:tc>
          <w:tcPr>
            <w:tcW w:w="2300" w:type="dxa"/>
            <w:tcBorders>
              <w:top w:val="single" w:color="auto" w:sz="4" w:space="0"/>
              <w:left w:val="single" w:color="auto" w:sz="4" w:space="0"/>
              <w:bottom w:val="single" w:color="auto" w:sz="4" w:space="0"/>
              <w:right w:val="single" w:color="auto" w:sz="4" w:space="0"/>
            </w:tcBorders>
            <w:vAlign w:val="center"/>
          </w:tcPr>
          <w:p w14:paraId="2C2C70BE">
            <w:pPr>
              <w:spacing w:line="360" w:lineRule="auto"/>
              <w:ind w:firstLine="420" w:firstLineChars="200"/>
              <w:rPr>
                <w:rFonts w:ascii="宋体" w:hAnsi="宋体"/>
                <w:color w:val="auto"/>
                <w:highlight w:val="none"/>
              </w:rPr>
            </w:pPr>
            <w:r>
              <w:rPr>
                <w:rFonts w:hint="eastAsia" w:ascii="宋体" w:hAnsi="宋体"/>
                <w:color w:val="auto"/>
                <w:highlight w:val="none"/>
              </w:rPr>
              <w:t>/</w:t>
            </w:r>
          </w:p>
        </w:tc>
      </w:tr>
    </w:tbl>
    <w:p w14:paraId="4C99F586">
      <w:pPr>
        <w:autoSpaceDE w:val="0"/>
        <w:autoSpaceDN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21.争议</w:t>
      </w:r>
    </w:p>
    <w:p w14:paraId="4BDDF109">
      <w:pPr>
        <w:autoSpaceDE w:val="0"/>
        <w:autoSpaceDN w:val="0"/>
        <w:spacing w:line="480" w:lineRule="exact"/>
        <w:ind w:firstLine="480" w:firstLineChars="200"/>
        <w:rPr>
          <w:rFonts w:ascii="宋体" w:hAnsi="宋体"/>
          <w:color w:val="auto"/>
          <w:sz w:val="24"/>
          <w:highlight w:val="none"/>
          <w:u w:val="single"/>
        </w:rPr>
      </w:pPr>
      <w:r>
        <w:rPr>
          <w:rFonts w:hint="eastAsia" w:ascii="宋体" w:hAnsi="宋体"/>
          <w:color w:val="auto"/>
          <w:sz w:val="24"/>
          <w:highlight w:val="none"/>
        </w:rPr>
        <w:t>双方约定，在履行合同过程中产生争议时，调解不成的按下列方式解决：</w:t>
      </w:r>
      <w:r>
        <w:rPr>
          <w:rFonts w:hint="eastAsia" w:ascii="宋体" w:hAnsi="宋体"/>
          <w:b/>
          <w:bCs/>
          <w:color w:val="auto"/>
          <w:sz w:val="24"/>
          <w:highlight w:val="none"/>
          <w:u w:val="single"/>
        </w:rPr>
        <w:t>可向宁波市奉化区人民法院起诉。若一方存在违约或侵权行为，违约方应承担守约方因此发生的诉讼费、保全费、保全担保或保全保险费、调查取证费、评估鉴定费、律师费、执行费用等合理费用。</w:t>
      </w:r>
    </w:p>
    <w:p w14:paraId="0D87404E">
      <w:pPr>
        <w:tabs>
          <w:tab w:val="left" w:pos="900"/>
        </w:tabs>
        <w:spacing w:line="480" w:lineRule="exact"/>
        <w:ind w:firstLine="482" w:firstLineChars="200"/>
        <w:rPr>
          <w:rFonts w:ascii="宋体" w:hAnsi="宋体"/>
          <w:b/>
          <w:color w:val="auto"/>
          <w:sz w:val="24"/>
          <w:highlight w:val="none"/>
        </w:rPr>
      </w:pPr>
      <w:r>
        <w:rPr>
          <w:rFonts w:hint="eastAsia" w:ascii="宋体" w:hAnsi="宋体"/>
          <w:b/>
          <w:color w:val="auto"/>
          <w:sz w:val="24"/>
          <w:highlight w:val="none"/>
        </w:rPr>
        <w:t>十一、其他</w:t>
      </w:r>
    </w:p>
    <w:p w14:paraId="02C8453C">
      <w:pPr>
        <w:pStyle w:val="47"/>
        <w:spacing w:line="480" w:lineRule="exact"/>
        <w:ind w:firstLine="472" w:firstLineChars="197"/>
        <w:rPr>
          <w:rFonts w:ascii="宋体" w:hAnsi="宋体" w:eastAsia="宋体"/>
          <w:color w:val="auto"/>
          <w:sz w:val="24"/>
          <w:szCs w:val="24"/>
          <w:highlight w:val="none"/>
        </w:rPr>
      </w:pPr>
      <w:r>
        <w:rPr>
          <w:rFonts w:hint="eastAsia" w:ascii="宋体" w:hAnsi="宋体" w:eastAsia="宋体"/>
          <w:color w:val="auto"/>
          <w:sz w:val="24"/>
          <w:szCs w:val="24"/>
          <w:highlight w:val="none"/>
        </w:rPr>
        <w:t>22.工程分包</w:t>
      </w:r>
    </w:p>
    <w:p w14:paraId="71BECF79">
      <w:pPr>
        <w:autoSpaceDE w:val="0"/>
        <w:autoSpaceDN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22.1本工程承包方式为包工包料，发包人不同意承包人分包工程。</w:t>
      </w:r>
    </w:p>
    <w:p w14:paraId="5C1C4B74">
      <w:pPr>
        <w:autoSpaceDE w:val="0"/>
        <w:autoSpaceDN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23.双方关于不可抗力的约定</w:t>
      </w:r>
      <w:r>
        <w:rPr>
          <w:rFonts w:hint="eastAsia" w:ascii="宋体" w:hAnsi="宋体"/>
          <w:color w:val="auto"/>
          <w:sz w:val="24"/>
          <w:highlight w:val="none"/>
          <w:u w:val="single"/>
        </w:rPr>
        <w:t>：相关法律法规规定的。</w:t>
      </w:r>
    </w:p>
    <w:p w14:paraId="47F72ADD">
      <w:pPr>
        <w:autoSpaceDE w:val="0"/>
        <w:autoSpaceDN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24.保险</w:t>
      </w:r>
    </w:p>
    <w:p w14:paraId="78DD21A8">
      <w:pPr>
        <w:autoSpaceDE w:val="0"/>
        <w:autoSpaceDN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本工程双方约定投保内容如下：</w:t>
      </w:r>
    </w:p>
    <w:p w14:paraId="5CFC98BE">
      <w:pPr>
        <w:autoSpaceDE w:val="0"/>
        <w:autoSpaceDN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（1）发包人投保内容：</w:t>
      </w:r>
      <w:r>
        <w:rPr>
          <w:rFonts w:hint="eastAsia" w:ascii="宋体" w:hAnsi="宋体"/>
          <w:color w:val="auto"/>
          <w:sz w:val="24"/>
          <w:highlight w:val="none"/>
          <w:u w:val="single"/>
        </w:rPr>
        <w:t>/</w:t>
      </w:r>
      <w:r>
        <w:rPr>
          <w:rFonts w:hint="eastAsia" w:ascii="宋体" w:hAnsi="宋体"/>
          <w:b/>
          <w:color w:val="auto"/>
          <w:sz w:val="24"/>
          <w:highlight w:val="none"/>
        </w:rPr>
        <w:t>。</w:t>
      </w:r>
    </w:p>
    <w:p w14:paraId="6278BF65">
      <w:pPr>
        <w:autoSpaceDE w:val="0"/>
        <w:autoSpaceDN w:val="0"/>
        <w:spacing w:line="480" w:lineRule="exact"/>
        <w:ind w:firstLine="480" w:firstLineChars="200"/>
        <w:rPr>
          <w:rFonts w:ascii="宋体" w:hAnsi="宋体"/>
          <w:color w:val="auto"/>
          <w:sz w:val="24"/>
          <w:highlight w:val="none"/>
          <w:u w:val="single"/>
        </w:rPr>
      </w:pPr>
      <w:r>
        <w:rPr>
          <w:rFonts w:hint="eastAsia" w:ascii="宋体" w:hAnsi="宋体"/>
          <w:color w:val="auto"/>
          <w:sz w:val="24"/>
          <w:highlight w:val="none"/>
        </w:rPr>
        <w:t>（2）承包人投保内容：</w:t>
      </w:r>
      <w:r>
        <w:rPr>
          <w:rFonts w:hint="eastAsia" w:ascii="宋体" w:hAnsi="宋体"/>
          <w:b/>
          <w:color w:val="auto"/>
          <w:sz w:val="24"/>
          <w:highlight w:val="none"/>
          <w:u w:val="single"/>
        </w:rPr>
        <w:t>政府规定的强制性保险</w:t>
      </w:r>
      <w:r>
        <w:rPr>
          <w:rFonts w:hint="eastAsia" w:ascii="宋体" w:hAnsi="宋体"/>
          <w:b/>
          <w:color w:val="auto"/>
          <w:sz w:val="24"/>
          <w:highlight w:val="none"/>
        </w:rPr>
        <w:t>。</w:t>
      </w:r>
    </w:p>
    <w:p w14:paraId="77547DCC">
      <w:pPr>
        <w:tabs>
          <w:tab w:val="left" w:pos="900"/>
        </w:tabs>
        <w:spacing w:line="480" w:lineRule="exact"/>
        <w:ind w:firstLine="480" w:firstLineChars="200"/>
        <w:rPr>
          <w:rFonts w:ascii="宋体" w:hAnsi="宋体"/>
          <w:color w:val="auto"/>
          <w:sz w:val="24"/>
          <w:highlight w:val="none"/>
        </w:rPr>
      </w:pPr>
      <w:r>
        <w:rPr>
          <w:rFonts w:hint="eastAsia" w:ascii="宋体" w:hAnsi="宋体"/>
          <w:color w:val="auto"/>
          <w:sz w:val="24"/>
          <w:highlight w:val="none"/>
        </w:rPr>
        <w:t>25.担保</w:t>
      </w:r>
    </w:p>
    <w:p w14:paraId="358CADC1">
      <w:pPr>
        <w:spacing w:line="480" w:lineRule="exact"/>
        <w:ind w:firstLine="470" w:firstLineChars="196"/>
        <w:rPr>
          <w:rFonts w:ascii="宋体" w:hAnsi="宋体"/>
          <w:color w:val="auto"/>
          <w:sz w:val="24"/>
          <w:highlight w:val="none"/>
        </w:rPr>
      </w:pPr>
      <w:r>
        <w:rPr>
          <w:rFonts w:hint="eastAsia" w:ascii="宋体" w:hAnsi="宋体"/>
          <w:color w:val="auto"/>
          <w:sz w:val="24"/>
          <w:highlight w:val="none"/>
        </w:rPr>
        <w:t>25.1、工程履约担保</w:t>
      </w:r>
    </w:p>
    <w:p w14:paraId="4289B841">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承包人的工程履约担保为</w:t>
      </w:r>
      <w:r>
        <w:rPr>
          <w:rFonts w:hint="eastAsia" w:ascii="宋体" w:hAnsi="宋体"/>
          <w:b/>
          <w:color w:val="auto"/>
          <w:sz w:val="24"/>
          <w:highlight w:val="none"/>
          <w:u w:val="single"/>
        </w:rPr>
        <w:t>合同额的2.5%</w:t>
      </w:r>
      <w:r>
        <w:rPr>
          <w:rFonts w:hint="eastAsia" w:ascii="宋体" w:hAnsi="宋体"/>
          <w:color w:val="auto"/>
          <w:sz w:val="24"/>
          <w:highlight w:val="none"/>
        </w:rPr>
        <w:t>。形式：</w:t>
      </w:r>
      <w:r>
        <w:rPr>
          <w:rFonts w:hint="eastAsia" w:ascii="宋体" w:hAnsi="宋体"/>
          <w:color w:val="auto"/>
          <w:sz w:val="24"/>
          <w:highlight w:val="none"/>
          <w:u w:val="single"/>
        </w:rPr>
        <w:t>电汇、银行保函、保险公司保函</w:t>
      </w:r>
      <w:r>
        <w:rPr>
          <w:rFonts w:hint="eastAsia"/>
          <w:color w:val="auto"/>
          <w:w w:val="80"/>
          <w:szCs w:val="21"/>
          <w:highlight w:val="none"/>
        </w:rPr>
        <w:t>。</w:t>
      </w:r>
      <w:r>
        <w:rPr>
          <w:rFonts w:hint="eastAsia" w:ascii="宋体" w:hAnsi="宋体"/>
          <w:color w:val="auto"/>
          <w:sz w:val="24"/>
          <w:highlight w:val="none"/>
        </w:rPr>
        <w:t>；提交时间：</w:t>
      </w:r>
      <w:r>
        <w:rPr>
          <w:rFonts w:hint="eastAsia" w:ascii="宋体" w:hAnsi="宋体"/>
          <w:b/>
          <w:color w:val="auto"/>
          <w:sz w:val="24"/>
          <w:highlight w:val="none"/>
          <w:u w:val="single"/>
        </w:rPr>
        <w:t>签订本合同前</w:t>
      </w:r>
      <w:r>
        <w:rPr>
          <w:rFonts w:hint="eastAsia" w:ascii="宋体" w:hAnsi="宋体"/>
          <w:color w:val="auto"/>
          <w:sz w:val="24"/>
          <w:highlight w:val="none"/>
        </w:rPr>
        <w:t>。发包人在工程竣工验收合格后返还给承包人。</w:t>
      </w:r>
    </w:p>
    <w:p w14:paraId="09406347">
      <w:pPr>
        <w:numPr>
          <w:ilvl w:val="0"/>
          <w:numId w:val="4"/>
        </w:num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合同份数：各方约定合同份数：一式六份。每方各执三份，同等生效。</w:t>
      </w:r>
    </w:p>
    <w:p w14:paraId="6135A182">
      <w:pPr>
        <w:numPr>
          <w:ilvl w:val="0"/>
          <w:numId w:val="4"/>
        </w:num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补充条款</w:t>
      </w:r>
    </w:p>
    <w:p w14:paraId="76CE7C1B">
      <w:pPr>
        <w:autoSpaceDE w:val="0"/>
        <w:autoSpaceDN w:val="0"/>
        <w:spacing w:line="480" w:lineRule="exact"/>
        <w:ind w:left="480"/>
        <w:rPr>
          <w:rFonts w:ascii="宋体" w:hAnsi="宋体"/>
          <w:color w:val="auto"/>
          <w:sz w:val="24"/>
          <w:highlight w:val="none"/>
        </w:rPr>
      </w:pPr>
      <w:r>
        <w:rPr>
          <w:rFonts w:hint="eastAsia" w:ascii="宋体" w:hAnsi="宋体"/>
          <w:color w:val="auto"/>
          <w:sz w:val="24"/>
          <w:highlight w:val="none"/>
        </w:rPr>
        <w:t>27.1 27.1审计费用支付：</w:t>
      </w:r>
    </w:p>
    <w:p w14:paraId="6F07738E">
      <w:pPr>
        <w:autoSpaceDE w:val="0"/>
        <w:autoSpaceDN w:val="0"/>
        <w:spacing w:line="480" w:lineRule="exact"/>
        <w:ind w:firstLine="482" w:firstLineChars="200"/>
        <w:rPr>
          <w:rFonts w:ascii="宋体" w:hAnsi="宋体"/>
          <w:b/>
          <w:color w:val="auto"/>
          <w:sz w:val="24"/>
          <w:highlight w:val="none"/>
          <w:u w:val="single"/>
        </w:rPr>
      </w:pPr>
      <w:r>
        <w:rPr>
          <w:rFonts w:hint="eastAsia" w:ascii="宋体" w:hAnsi="宋体"/>
          <w:b/>
          <w:color w:val="auto"/>
          <w:sz w:val="24"/>
          <w:highlight w:val="none"/>
          <w:u w:val="single"/>
        </w:rPr>
        <w:t>承包人提交的工程结算造价经发包人和有关部门审核后，若核减的工程造价在承包人提交的工程结算造价5%（包括5%）以内，则工程审计费用由发包人承担；若核减的工程造价超过承包人提交的工程结算造价5%的，追加部分审计费及由此造成的发包人损失均由承包人承担；核增部分的审计费由承包人承担。</w:t>
      </w:r>
    </w:p>
    <w:p w14:paraId="77C18B90">
      <w:pPr>
        <w:spacing w:line="360" w:lineRule="auto"/>
        <w:jc w:val="center"/>
        <w:rPr>
          <w:rFonts w:ascii="宋体" w:hAnsi="宋体"/>
          <w:color w:val="auto"/>
          <w:highlight w:val="none"/>
        </w:rPr>
      </w:pPr>
      <w:r>
        <w:rPr>
          <w:rFonts w:hint="eastAsia" w:ascii="宋体" w:hAnsi="宋体"/>
          <w:color w:val="auto"/>
          <w:sz w:val="24"/>
          <w:highlight w:val="none"/>
        </w:rPr>
        <w:t>未尽事宜各方另行签订。</w:t>
      </w:r>
    </w:p>
    <w:p w14:paraId="352E73AF">
      <w:pPr>
        <w:widowControl/>
        <w:jc w:val="center"/>
        <w:rPr>
          <w:rFonts w:cs="仿宋" w:asciiTheme="majorEastAsia" w:hAnsiTheme="majorEastAsia" w:eastAsiaTheme="majorEastAsia"/>
          <w:b/>
          <w:color w:val="auto"/>
          <w:sz w:val="36"/>
          <w:szCs w:val="20"/>
          <w:highlight w:val="none"/>
        </w:rPr>
      </w:pPr>
      <w:r>
        <w:rPr>
          <w:rFonts w:cs="仿宋" w:asciiTheme="majorEastAsia" w:hAnsiTheme="majorEastAsia" w:eastAsiaTheme="majorEastAsia"/>
          <w:b/>
          <w:color w:val="auto"/>
          <w:sz w:val="24"/>
          <w:highlight w:val="none"/>
        </w:rPr>
        <w:br w:type="page"/>
      </w:r>
      <w:r>
        <w:rPr>
          <w:rFonts w:hint="eastAsia" w:cs="仿宋" w:asciiTheme="majorEastAsia" w:hAnsiTheme="majorEastAsia" w:eastAsiaTheme="majorEastAsia"/>
          <w:b/>
          <w:color w:val="auto"/>
          <w:sz w:val="36"/>
          <w:szCs w:val="20"/>
          <w:highlight w:val="none"/>
        </w:rPr>
        <w:t>第六部分</w:t>
      </w:r>
      <w:bookmarkEnd w:id="444"/>
      <w:r>
        <w:rPr>
          <w:rFonts w:hint="eastAsia" w:cs="仿宋" w:asciiTheme="majorEastAsia" w:hAnsiTheme="majorEastAsia" w:eastAsiaTheme="majorEastAsia"/>
          <w:b/>
          <w:color w:val="auto"/>
          <w:sz w:val="36"/>
          <w:szCs w:val="20"/>
          <w:highlight w:val="none"/>
        </w:rPr>
        <w:t xml:space="preserve"> </w:t>
      </w:r>
      <w:bookmarkEnd w:id="445"/>
      <w:r>
        <w:rPr>
          <w:rFonts w:hint="eastAsia" w:cs="仿宋" w:asciiTheme="majorEastAsia" w:hAnsiTheme="majorEastAsia" w:eastAsiaTheme="majorEastAsia"/>
          <w:b/>
          <w:color w:val="auto"/>
          <w:sz w:val="36"/>
          <w:szCs w:val="20"/>
          <w:highlight w:val="none"/>
        </w:rPr>
        <w:t>应提交的有关格式范例</w:t>
      </w:r>
    </w:p>
    <w:p w14:paraId="01920200">
      <w:pPr>
        <w:spacing w:line="360" w:lineRule="auto"/>
        <w:jc w:val="center"/>
        <w:outlineLvl w:val="0"/>
        <w:rPr>
          <w:rFonts w:cs="仿宋" w:asciiTheme="majorEastAsia" w:hAnsiTheme="majorEastAsia" w:eastAsiaTheme="majorEastAsia"/>
          <w:b/>
          <w:color w:val="auto"/>
          <w:kern w:val="0"/>
          <w:sz w:val="36"/>
          <w:szCs w:val="36"/>
          <w:highlight w:val="none"/>
        </w:rPr>
      </w:pPr>
    </w:p>
    <w:p w14:paraId="77E90232">
      <w:pPr>
        <w:spacing w:line="360" w:lineRule="auto"/>
        <w:jc w:val="center"/>
        <w:outlineLvl w:val="0"/>
        <w:rPr>
          <w:rFonts w:cs="仿宋" w:asciiTheme="majorEastAsia" w:hAnsiTheme="majorEastAsia" w:eastAsiaTheme="majorEastAsia"/>
          <w:b/>
          <w:color w:val="auto"/>
          <w:kern w:val="0"/>
          <w:sz w:val="36"/>
          <w:szCs w:val="36"/>
          <w:highlight w:val="none"/>
        </w:rPr>
      </w:pPr>
      <w:r>
        <w:rPr>
          <w:rFonts w:hint="eastAsia" w:cs="仿宋" w:asciiTheme="majorEastAsia" w:hAnsiTheme="majorEastAsia" w:eastAsiaTheme="majorEastAsia"/>
          <w:b/>
          <w:color w:val="auto"/>
          <w:kern w:val="0"/>
          <w:sz w:val="36"/>
          <w:szCs w:val="36"/>
          <w:highlight w:val="none"/>
        </w:rPr>
        <w:t>资格文件部分</w:t>
      </w:r>
    </w:p>
    <w:p w14:paraId="5A716597">
      <w:pPr>
        <w:spacing w:line="360" w:lineRule="auto"/>
        <w:jc w:val="center"/>
        <w:outlineLvl w:val="0"/>
        <w:rPr>
          <w:rFonts w:cs="仿宋" w:asciiTheme="majorEastAsia" w:hAnsiTheme="majorEastAsia" w:eastAsiaTheme="majorEastAsia"/>
          <w:b/>
          <w:color w:val="auto"/>
          <w:kern w:val="0"/>
          <w:sz w:val="36"/>
          <w:szCs w:val="36"/>
          <w:highlight w:val="none"/>
        </w:rPr>
      </w:pPr>
      <w:r>
        <w:rPr>
          <w:rFonts w:hint="eastAsia" w:cs="仿宋" w:asciiTheme="majorEastAsia" w:hAnsiTheme="majorEastAsia" w:eastAsiaTheme="majorEastAsia"/>
          <w:b/>
          <w:color w:val="auto"/>
          <w:kern w:val="0"/>
          <w:sz w:val="36"/>
          <w:szCs w:val="36"/>
          <w:highlight w:val="none"/>
        </w:rPr>
        <w:t>目录</w:t>
      </w:r>
    </w:p>
    <w:p w14:paraId="65F6AB44">
      <w:pPr>
        <w:spacing w:line="360" w:lineRule="auto"/>
        <w:jc w:val="center"/>
        <w:outlineLvl w:val="0"/>
        <w:rPr>
          <w:rFonts w:cs="仿宋" w:asciiTheme="majorEastAsia" w:hAnsiTheme="majorEastAsia" w:eastAsiaTheme="majorEastAsia"/>
          <w:b/>
          <w:color w:val="auto"/>
          <w:kern w:val="0"/>
          <w:sz w:val="36"/>
          <w:szCs w:val="36"/>
          <w:highlight w:val="none"/>
        </w:rPr>
      </w:pPr>
    </w:p>
    <w:p w14:paraId="0EE73685">
      <w:pPr>
        <w:adjustRightInd w:val="0"/>
        <w:snapToGrid w:val="0"/>
        <w:spacing w:line="360" w:lineRule="auto"/>
        <w:ind w:left="420" w:leftChars="200" w:firstLine="560" w:firstLineChars="2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1 有效的企业法人营业执照（或事业法人登记证）、其他组织（个体工商户）的营业执照或者民办非企业单位登记证书；</w:t>
      </w:r>
    </w:p>
    <w:p w14:paraId="5518E5D5">
      <w:pPr>
        <w:adjustRightInd w:val="0"/>
        <w:snapToGrid w:val="0"/>
        <w:spacing w:line="360" w:lineRule="auto"/>
        <w:ind w:left="420" w:leftChars="200" w:firstLine="560" w:firstLineChars="2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2 符合参加政府采购活动应当具备的一般条件的承诺函；</w:t>
      </w:r>
    </w:p>
    <w:p w14:paraId="03431E65">
      <w:pPr>
        <w:adjustRightInd w:val="0"/>
        <w:snapToGrid w:val="0"/>
        <w:spacing w:line="360" w:lineRule="auto"/>
        <w:ind w:left="420" w:leftChars="200" w:firstLine="560" w:firstLineChars="2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3 落实政府采购政策需满足的资格要求；</w:t>
      </w:r>
    </w:p>
    <w:p w14:paraId="621A676D">
      <w:pPr>
        <w:adjustRightInd w:val="0"/>
        <w:snapToGrid w:val="0"/>
        <w:spacing w:line="360" w:lineRule="auto"/>
        <w:ind w:left="420" w:leftChars="200" w:firstLine="560" w:firstLineChars="2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4 本项目的特定资格要求。</w:t>
      </w:r>
    </w:p>
    <w:p w14:paraId="73909A90">
      <w:pPr>
        <w:pStyle w:val="28"/>
        <w:spacing w:line="360" w:lineRule="auto"/>
        <w:ind w:firstLine="480"/>
        <w:rPr>
          <w:rFonts w:cs="仿宋" w:asciiTheme="majorEastAsia" w:hAnsiTheme="majorEastAsia" w:eastAsiaTheme="majorEastAsia"/>
          <w:color w:val="auto"/>
          <w:sz w:val="24"/>
          <w:highlight w:val="none"/>
        </w:rPr>
      </w:pPr>
    </w:p>
    <w:p w14:paraId="41431DA2">
      <w:pPr>
        <w:spacing w:line="360" w:lineRule="auto"/>
        <w:rPr>
          <w:rFonts w:cs="仿宋" w:asciiTheme="majorEastAsia" w:hAnsiTheme="majorEastAsia" w:eastAsiaTheme="majorEastAsia"/>
          <w:b/>
          <w:color w:val="auto"/>
          <w:kern w:val="0"/>
          <w:sz w:val="32"/>
          <w:szCs w:val="32"/>
          <w:highlight w:val="none"/>
        </w:rPr>
      </w:pPr>
      <w:r>
        <w:rPr>
          <w:rFonts w:hint="eastAsia" w:cs="仿宋" w:asciiTheme="majorEastAsia" w:hAnsiTheme="majorEastAsia" w:eastAsiaTheme="majorEastAsia"/>
          <w:b/>
          <w:color w:val="auto"/>
          <w:kern w:val="0"/>
          <w:sz w:val="32"/>
          <w:szCs w:val="32"/>
          <w:highlight w:val="none"/>
        </w:rPr>
        <w:br w:type="page"/>
      </w:r>
    </w:p>
    <w:p w14:paraId="43B704F5">
      <w:pPr>
        <w:snapToGrid w:val="0"/>
        <w:spacing w:line="360" w:lineRule="auto"/>
        <w:ind w:right="480"/>
        <w:jc w:val="center"/>
        <w:rPr>
          <w:rFonts w:cs="仿宋" w:asciiTheme="majorEastAsia" w:hAnsiTheme="majorEastAsia" w:eastAsiaTheme="majorEastAsia"/>
          <w:b/>
          <w:color w:val="auto"/>
          <w:kern w:val="0"/>
          <w:sz w:val="32"/>
          <w:szCs w:val="32"/>
          <w:highlight w:val="none"/>
        </w:rPr>
      </w:pPr>
      <w:r>
        <w:rPr>
          <w:rFonts w:hint="eastAsia" w:cs="仿宋" w:asciiTheme="majorEastAsia" w:hAnsiTheme="majorEastAsia" w:eastAsiaTheme="majorEastAsia"/>
          <w:b/>
          <w:color w:val="auto"/>
          <w:kern w:val="0"/>
          <w:sz w:val="32"/>
          <w:szCs w:val="32"/>
          <w:highlight w:val="none"/>
        </w:rPr>
        <w:t>一、 符合参加政府采购活动应当具备的一般条件的承诺函</w:t>
      </w:r>
    </w:p>
    <w:p w14:paraId="5A8F48DB">
      <w:pPr>
        <w:snapToGrid w:val="0"/>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（采购人）、（采购代理机构）：</w:t>
      </w:r>
    </w:p>
    <w:p w14:paraId="379CC274">
      <w:pP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我方参与（项目名称）【项目编号：        】政府采购活动，郑重承诺：</w:t>
      </w:r>
    </w:p>
    <w:p w14:paraId="1EA603BB">
      <w:pPr>
        <w:snapToGrid w:val="0"/>
        <w:spacing w:line="360" w:lineRule="auto"/>
        <w:ind w:firstLine="360" w:firstLineChars="15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（一）具备《中华人民共和国政府采购法》第二十二条第一款规定的条件：</w:t>
      </w:r>
    </w:p>
    <w:p w14:paraId="6D82733E">
      <w:pP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1、具有独立承担民事责任的能力；</w:t>
      </w:r>
    </w:p>
    <w:p w14:paraId="26F8F1E0">
      <w:pP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2、具有良好的商业信誉和健全的财务会计制度； </w:t>
      </w:r>
    </w:p>
    <w:p w14:paraId="3FBF0EE8">
      <w:pP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3、具有履行合同所必需的设备和专业技术能力；</w:t>
      </w:r>
    </w:p>
    <w:p w14:paraId="463ADD8E">
      <w:pP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4、有依法缴纳税收和社会保障资金的良好记录；</w:t>
      </w:r>
    </w:p>
    <w:p w14:paraId="2B54EB72">
      <w:pP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5、参加政府采购活动前三年内，在经营活动中没有重大违法记录；</w:t>
      </w:r>
    </w:p>
    <w:p w14:paraId="00BC9735">
      <w:pP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6、具有法律、行政法规规定的其他条件。</w:t>
      </w:r>
    </w:p>
    <w:p w14:paraId="1756A62E">
      <w:pP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（二）未被信用中国（www.creditchina.gov.cn)、中国政府采购网（www.ccgp.gov.cn）列入失信被执行人、重大税收违法失信主体、政府采购严重违法失信行为记录名单。</w:t>
      </w:r>
    </w:p>
    <w:p w14:paraId="6672C2FC">
      <w:pP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（三）不存在以下情况：</w:t>
      </w:r>
    </w:p>
    <w:p w14:paraId="4E70FDD9">
      <w:pP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1、单位负责人为同一人或者存在直接控股、管理关系的不同供应商参加同一合同项下的政府采购活动的；</w:t>
      </w:r>
    </w:p>
    <w:p w14:paraId="110F1DD5">
      <w:pP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2、为采购项目提供整体设计、规范编制或者项目管理、监理、检测等服务后再参加该采购项目的其他采购活动的。</w:t>
      </w:r>
    </w:p>
    <w:p w14:paraId="2D70177F">
      <w:pPr>
        <w:snapToGrid w:val="0"/>
        <w:spacing w:line="360" w:lineRule="auto"/>
        <w:ind w:firstLine="5520" w:firstLineChars="2300"/>
        <w:rPr>
          <w:rFonts w:cs="仿宋" w:asciiTheme="majorEastAsia" w:hAnsiTheme="majorEastAsia" w:eastAsiaTheme="majorEastAsia"/>
          <w:color w:val="auto"/>
          <w:kern w:val="0"/>
          <w:sz w:val="24"/>
          <w:highlight w:val="none"/>
          <w:lang w:val="zh-CN"/>
        </w:rPr>
      </w:pPr>
    </w:p>
    <w:p w14:paraId="6CE17282">
      <w:pPr>
        <w:snapToGrid w:val="0"/>
        <w:spacing w:line="360" w:lineRule="auto"/>
        <w:ind w:firstLine="5520" w:firstLineChars="2300"/>
        <w:rPr>
          <w:rFonts w:cs="仿宋" w:asciiTheme="majorEastAsia" w:hAnsiTheme="majorEastAsia" w:eastAsiaTheme="majorEastAsia"/>
          <w:color w:val="auto"/>
          <w:kern w:val="0"/>
          <w:sz w:val="24"/>
          <w:highlight w:val="none"/>
          <w:lang w:val="zh-CN"/>
        </w:rPr>
      </w:pPr>
    </w:p>
    <w:p w14:paraId="028DBE70">
      <w:pPr>
        <w:spacing w:line="360" w:lineRule="auto"/>
        <w:ind w:right="420" w:firstLine="5250" w:firstLineChars="2500"/>
        <w:rPr>
          <w:rFonts w:ascii="宋体" w:hAnsi="宋体" w:cs="宋体"/>
          <w:color w:val="auto"/>
          <w:highlight w:val="none"/>
        </w:rPr>
      </w:pPr>
      <w:r>
        <w:rPr>
          <w:rFonts w:hint="eastAsia" w:ascii="宋体" w:hAnsi="宋体" w:cs="宋体"/>
          <w:color w:val="auto"/>
          <w:highlight w:val="none"/>
        </w:rPr>
        <w:t xml:space="preserve">法定代表人（签名或印章）：     </w:t>
      </w:r>
    </w:p>
    <w:p w14:paraId="138343E3">
      <w:pPr>
        <w:spacing w:line="360" w:lineRule="auto"/>
        <w:ind w:right="420" w:firstLine="5460" w:firstLineChars="2600"/>
        <w:rPr>
          <w:rFonts w:ascii="宋体" w:hAnsi="宋体" w:cs="宋体"/>
          <w:color w:val="auto"/>
          <w:highlight w:val="none"/>
        </w:rPr>
      </w:pPr>
      <w:r>
        <w:rPr>
          <w:rFonts w:hint="eastAsia" w:ascii="宋体" w:hAnsi="宋体" w:cs="宋体"/>
          <w:color w:val="auto"/>
          <w:highlight w:val="none"/>
        </w:rPr>
        <w:t xml:space="preserve">投标人（盖章）：   </w:t>
      </w:r>
    </w:p>
    <w:p w14:paraId="5EBE9239">
      <w:pPr>
        <w:spacing w:line="360" w:lineRule="auto"/>
        <w:ind w:right="420" w:firstLine="5355" w:firstLineChars="2550"/>
        <w:rPr>
          <w:rFonts w:ascii="宋体" w:hAnsi="宋体" w:cs="宋体"/>
          <w:color w:val="auto"/>
          <w:highlight w:val="none"/>
        </w:rPr>
      </w:pPr>
      <w:r>
        <w:rPr>
          <w:rFonts w:hint="eastAsia" w:ascii="宋体" w:hAnsi="宋体" w:cs="宋体"/>
          <w:color w:val="auto"/>
          <w:highlight w:val="none"/>
        </w:rPr>
        <w:t xml:space="preserve"> 年    月    日</w:t>
      </w:r>
    </w:p>
    <w:p w14:paraId="13DAEC48">
      <w:pPr>
        <w:snapToGrid w:val="0"/>
        <w:spacing w:line="360" w:lineRule="auto"/>
        <w:ind w:right="480"/>
        <w:jc w:val="center"/>
        <w:rPr>
          <w:rFonts w:cs="仿宋" w:asciiTheme="majorEastAsia" w:hAnsiTheme="majorEastAsia" w:eastAsiaTheme="majorEastAsia"/>
          <w:b/>
          <w:color w:val="auto"/>
          <w:kern w:val="0"/>
          <w:sz w:val="32"/>
          <w:szCs w:val="32"/>
          <w:highlight w:val="none"/>
        </w:rPr>
      </w:pPr>
    </w:p>
    <w:p w14:paraId="64CA1A56">
      <w:pPr>
        <w:spacing w:line="360" w:lineRule="auto"/>
        <w:rPr>
          <w:rFonts w:cs="仿宋" w:asciiTheme="majorEastAsia" w:hAnsiTheme="majorEastAsia" w:eastAsiaTheme="majorEastAsia"/>
          <w:b/>
          <w:color w:val="auto"/>
          <w:kern w:val="0"/>
          <w:sz w:val="32"/>
          <w:szCs w:val="32"/>
          <w:highlight w:val="none"/>
        </w:rPr>
      </w:pPr>
      <w:r>
        <w:rPr>
          <w:rFonts w:hint="eastAsia" w:cs="仿宋" w:asciiTheme="majorEastAsia" w:hAnsiTheme="majorEastAsia" w:eastAsiaTheme="majorEastAsia"/>
          <w:b/>
          <w:color w:val="auto"/>
          <w:kern w:val="0"/>
          <w:sz w:val="32"/>
          <w:szCs w:val="32"/>
          <w:highlight w:val="none"/>
        </w:rPr>
        <w:br w:type="page"/>
      </w:r>
    </w:p>
    <w:p w14:paraId="74B82F4A">
      <w:pPr>
        <w:snapToGrid w:val="0"/>
        <w:spacing w:line="360" w:lineRule="auto"/>
        <w:ind w:right="480"/>
        <w:jc w:val="center"/>
        <w:rPr>
          <w:rFonts w:cs="仿宋" w:asciiTheme="majorEastAsia" w:hAnsiTheme="majorEastAsia" w:eastAsiaTheme="majorEastAsia"/>
          <w:b/>
          <w:color w:val="auto"/>
          <w:kern w:val="0"/>
          <w:sz w:val="32"/>
          <w:szCs w:val="32"/>
          <w:highlight w:val="none"/>
        </w:rPr>
      </w:pPr>
      <w:r>
        <w:rPr>
          <w:rFonts w:hint="eastAsia" w:cs="仿宋" w:asciiTheme="majorEastAsia" w:hAnsiTheme="majorEastAsia" w:eastAsiaTheme="majorEastAsia"/>
          <w:b/>
          <w:color w:val="auto"/>
          <w:kern w:val="0"/>
          <w:sz w:val="32"/>
          <w:szCs w:val="32"/>
          <w:highlight w:val="none"/>
        </w:rPr>
        <w:t>二、落实政府采购政策需满足的资格要求</w:t>
      </w:r>
    </w:p>
    <w:p w14:paraId="1F06895F">
      <w:pP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（根据招标公告落实政府采购政策需满足的资格要求选择提供相应的材料；未要求的，无需提供）</w:t>
      </w:r>
    </w:p>
    <w:p w14:paraId="1A69440D">
      <w:pPr>
        <w:snapToGrid w:val="0"/>
        <w:spacing w:before="50" w:after="50" w:line="360" w:lineRule="auto"/>
        <w:ind w:firstLine="472" w:firstLineChars="196"/>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A</w:t>
      </w:r>
      <w:r>
        <w:rPr>
          <w:rFonts w:hint="eastAsia" w:cs="仿宋" w:asciiTheme="majorEastAsia" w:hAnsiTheme="majorEastAsia" w:eastAsiaTheme="majorEastAsia"/>
          <w:color w:val="auto"/>
          <w:sz w:val="24"/>
          <w:highlight w:val="none"/>
        </w:rPr>
        <w:t xml:space="preserve">.专门面向中小企业，货物全部由符合政策要求的中小企业（或小微企业）制造或者服务全部由符合政策要求的中小企业（或小微企业）承接的，提供相应的中小企业声明函。 </w:t>
      </w:r>
    </w:p>
    <w:p w14:paraId="53514A62">
      <w:pPr>
        <w:widowControl/>
        <w:spacing w:line="360" w:lineRule="auto"/>
        <w:ind w:firstLine="480"/>
        <w:jc w:val="left"/>
        <w:rPr>
          <w:rFonts w:cs="仿宋" w:asciiTheme="majorEastAsia" w:hAnsiTheme="majorEastAsia" w:eastAsiaTheme="majorEastAsia"/>
          <w:color w:val="auto"/>
          <w:sz w:val="24"/>
          <w:highlight w:val="none"/>
        </w:rPr>
      </w:pPr>
    </w:p>
    <w:p w14:paraId="29C15E73">
      <w:pPr>
        <w:widowControl/>
        <w:spacing w:line="360" w:lineRule="auto"/>
        <w:ind w:firstLine="472" w:firstLineChars="196"/>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B.</w:t>
      </w:r>
      <w:r>
        <w:rPr>
          <w:rFonts w:hint="eastAsia" w:cs="仿宋" w:asciiTheme="majorEastAsia" w:hAnsiTheme="majorEastAsia" w:eastAsiaTheme="majorEastAsia"/>
          <w:color w:val="auto"/>
          <w:sz w:val="24"/>
          <w:highlight w:val="none"/>
        </w:rPr>
        <w:t>要求以联合体形式参加的，提供联合协议和中小企业声明函，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4AB52B03">
      <w:pPr>
        <w:spacing w:line="360" w:lineRule="auto"/>
        <w:jc w:val="center"/>
        <w:rPr>
          <w:rFonts w:cs="仿宋" w:asciiTheme="majorEastAsia" w:hAnsiTheme="majorEastAsia" w:eastAsiaTheme="majorEastAsia"/>
          <w:b/>
          <w:color w:val="auto"/>
          <w:kern w:val="0"/>
          <w:sz w:val="32"/>
          <w:szCs w:val="32"/>
          <w:highlight w:val="none"/>
        </w:rPr>
      </w:pPr>
      <w:r>
        <w:rPr>
          <w:rFonts w:hint="eastAsia" w:cs="仿宋" w:asciiTheme="majorEastAsia" w:hAnsiTheme="majorEastAsia" w:eastAsiaTheme="majorEastAsia"/>
          <w:b/>
          <w:color w:val="auto"/>
          <w:kern w:val="0"/>
          <w:sz w:val="32"/>
          <w:szCs w:val="32"/>
          <w:highlight w:val="none"/>
          <w:lang w:val="zh-CN"/>
        </w:rPr>
        <w:br w:type="page"/>
      </w:r>
      <w:r>
        <w:rPr>
          <w:rFonts w:hint="eastAsia" w:cs="仿宋" w:asciiTheme="majorEastAsia" w:hAnsiTheme="majorEastAsia" w:eastAsiaTheme="majorEastAsia"/>
          <w:b/>
          <w:color w:val="auto"/>
          <w:kern w:val="0"/>
          <w:sz w:val="32"/>
          <w:szCs w:val="32"/>
          <w:highlight w:val="none"/>
        </w:rPr>
        <w:t>三、本项目的特定资格要求</w:t>
      </w:r>
    </w:p>
    <w:p w14:paraId="6BC75BFD">
      <w:pPr>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（根据招标公告本项目的特定资格要求提供相应的材料；未要求的，无需提供）</w:t>
      </w:r>
    </w:p>
    <w:p w14:paraId="438DB338">
      <w:pPr>
        <w:spacing w:line="360" w:lineRule="auto"/>
        <w:rPr>
          <w:rFonts w:cs="仿宋" w:asciiTheme="majorEastAsia" w:hAnsiTheme="majorEastAsia" w:eastAsiaTheme="majorEastAsia"/>
          <w:color w:val="auto"/>
          <w:highlight w:val="none"/>
        </w:rPr>
      </w:pPr>
    </w:p>
    <w:p w14:paraId="5F10DDF2">
      <w:pPr>
        <w:snapToGrid w:val="0"/>
        <w:spacing w:line="360" w:lineRule="auto"/>
        <w:ind w:right="480"/>
        <w:jc w:val="center"/>
        <w:rPr>
          <w:rFonts w:cs="仿宋" w:asciiTheme="majorEastAsia" w:hAnsiTheme="majorEastAsia" w:eastAsiaTheme="majorEastAsia"/>
          <w:b/>
          <w:color w:val="auto"/>
          <w:kern w:val="0"/>
          <w:sz w:val="32"/>
          <w:szCs w:val="32"/>
          <w:highlight w:val="none"/>
        </w:rPr>
      </w:pPr>
    </w:p>
    <w:p w14:paraId="436F66B2">
      <w:pPr>
        <w:snapToGrid w:val="0"/>
        <w:spacing w:line="360" w:lineRule="auto"/>
        <w:ind w:right="480"/>
        <w:jc w:val="center"/>
        <w:rPr>
          <w:rFonts w:cs="仿宋" w:asciiTheme="majorEastAsia" w:hAnsiTheme="majorEastAsia" w:eastAsiaTheme="majorEastAsia"/>
          <w:b/>
          <w:color w:val="auto"/>
          <w:kern w:val="0"/>
          <w:sz w:val="32"/>
          <w:szCs w:val="32"/>
          <w:highlight w:val="none"/>
        </w:rPr>
      </w:pPr>
    </w:p>
    <w:p w14:paraId="08644B6F">
      <w:pPr>
        <w:snapToGrid w:val="0"/>
        <w:spacing w:line="360" w:lineRule="auto"/>
        <w:ind w:right="480"/>
        <w:jc w:val="center"/>
        <w:rPr>
          <w:rFonts w:cs="仿宋" w:asciiTheme="majorEastAsia" w:hAnsiTheme="majorEastAsia" w:eastAsiaTheme="majorEastAsia"/>
          <w:b/>
          <w:color w:val="auto"/>
          <w:kern w:val="0"/>
          <w:sz w:val="32"/>
          <w:szCs w:val="32"/>
          <w:highlight w:val="none"/>
        </w:rPr>
      </w:pPr>
    </w:p>
    <w:p w14:paraId="6E74BB99">
      <w:pPr>
        <w:snapToGrid w:val="0"/>
        <w:spacing w:line="360" w:lineRule="auto"/>
        <w:ind w:right="480"/>
        <w:jc w:val="center"/>
        <w:rPr>
          <w:rFonts w:cs="仿宋" w:asciiTheme="majorEastAsia" w:hAnsiTheme="majorEastAsia" w:eastAsiaTheme="majorEastAsia"/>
          <w:b/>
          <w:color w:val="auto"/>
          <w:kern w:val="0"/>
          <w:sz w:val="32"/>
          <w:szCs w:val="32"/>
          <w:highlight w:val="none"/>
        </w:rPr>
      </w:pPr>
    </w:p>
    <w:p w14:paraId="2B5B2BCD">
      <w:pPr>
        <w:snapToGrid w:val="0"/>
        <w:spacing w:line="360" w:lineRule="auto"/>
        <w:ind w:right="480"/>
        <w:jc w:val="center"/>
        <w:rPr>
          <w:rFonts w:cs="仿宋" w:asciiTheme="majorEastAsia" w:hAnsiTheme="majorEastAsia" w:eastAsiaTheme="majorEastAsia"/>
          <w:b/>
          <w:color w:val="auto"/>
          <w:kern w:val="0"/>
          <w:sz w:val="32"/>
          <w:szCs w:val="32"/>
          <w:highlight w:val="none"/>
        </w:rPr>
      </w:pPr>
    </w:p>
    <w:p w14:paraId="05782F87">
      <w:pPr>
        <w:snapToGrid w:val="0"/>
        <w:spacing w:line="360" w:lineRule="auto"/>
        <w:ind w:right="480"/>
        <w:jc w:val="center"/>
        <w:rPr>
          <w:rFonts w:cs="仿宋" w:asciiTheme="majorEastAsia" w:hAnsiTheme="majorEastAsia" w:eastAsiaTheme="majorEastAsia"/>
          <w:b/>
          <w:color w:val="auto"/>
          <w:kern w:val="0"/>
          <w:sz w:val="32"/>
          <w:szCs w:val="32"/>
          <w:highlight w:val="none"/>
        </w:rPr>
      </w:pPr>
    </w:p>
    <w:p w14:paraId="2DF1C122">
      <w:pPr>
        <w:spacing w:line="360" w:lineRule="auto"/>
        <w:jc w:val="center"/>
        <w:outlineLvl w:val="0"/>
        <w:rPr>
          <w:rFonts w:cs="仿宋" w:asciiTheme="majorEastAsia" w:hAnsiTheme="majorEastAsia" w:eastAsiaTheme="majorEastAsia"/>
          <w:b/>
          <w:color w:val="auto"/>
          <w:kern w:val="0"/>
          <w:sz w:val="36"/>
          <w:szCs w:val="36"/>
          <w:highlight w:val="none"/>
        </w:rPr>
      </w:pPr>
    </w:p>
    <w:p w14:paraId="25674BB7">
      <w:pPr>
        <w:snapToGrid w:val="0"/>
        <w:spacing w:line="360" w:lineRule="auto"/>
        <w:ind w:right="480"/>
        <w:jc w:val="center"/>
        <w:rPr>
          <w:rFonts w:cs="仿宋" w:asciiTheme="majorEastAsia" w:hAnsiTheme="majorEastAsia" w:eastAsiaTheme="majorEastAsia"/>
          <w:b/>
          <w:color w:val="auto"/>
          <w:kern w:val="0"/>
          <w:sz w:val="32"/>
          <w:szCs w:val="32"/>
          <w:highlight w:val="none"/>
        </w:rPr>
      </w:pPr>
    </w:p>
    <w:p w14:paraId="13C5E5D1">
      <w:pPr>
        <w:spacing w:line="360" w:lineRule="auto"/>
        <w:jc w:val="center"/>
        <w:outlineLvl w:val="0"/>
        <w:rPr>
          <w:rFonts w:cs="仿宋" w:asciiTheme="majorEastAsia" w:hAnsiTheme="majorEastAsia" w:eastAsiaTheme="majorEastAsia"/>
          <w:b/>
          <w:color w:val="auto"/>
          <w:kern w:val="0"/>
          <w:sz w:val="36"/>
          <w:szCs w:val="36"/>
          <w:highlight w:val="none"/>
        </w:rPr>
      </w:pPr>
    </w:p>
    <w:p w14:paraId="26C06C22">
      <w:pPr>
        <w:snapToGrid w:val="0"/>
        <w:spacing w:line="360" w:lineRule="auto"/>
        <w:ind w:right="480"/>
        <w:jc w:val="center"/>
        <w:rPr>
          <w:rFonts w:cs="仿宋" w:asciiTheme="majorEastAsia" w:hAnsiTheme="majorEastAsia" w:eastAsiaTheme="majorEastAsia"/>
          <w:b/>
          <w:color w:val="auto"/>
          <w:kern w:val="0"/>
          <w:sz w:val="32"/>
          <w:szCs w:val="32"/>
          <w:highlight w:val="none"/>
        </w:rPr>
      </w:pPr>
    </w:p>
    <w:p w14:paraId="1E7BB1D9">
      <w:pPr>
        <w:spacing w:line="360" w:lineRule="auto"/>
        <w:jc w:val="center"/>
        <w:outlineLvl w:val="0"/>
        <w:rPr>
          <w:rFonts w:cs="仿宋" w:asciiTheme="majorEastAsia" w:hAnsiTheme="majorEastAsia" w:eastAsiaTheme="majorEastAsia"/>
          <w:b/>
          <w:color w:val="auto"/>
          <w:kern w:val="0"/>
          <w:sz w:val="36"/>
          <w:szCs w:val="36"/>
          <w:highlight w:val="none"/>
        </w:rPr>
      </w:pPr>
    </w:p>
    <w:p w14:paraId="6F28635A">
      <w:pPr>
        <w:spacing w:line="360" w:lineRule="auto"/>
        <w:rPr>
          <w:rFonts w:cs="仿宋" w:asciiTheme="majorEastAsia" w:hAnsiTheme="majorEastAsia" w:eastAsiaTheme="majorEastAsia"/>
          <w:b/>
          <w:color w:val="auto"/>
          <w:kern w:val="0"/>
          <w:sz w:val="36"/>
          <w:szCs w:val="36"/>
          <w:highlight w:val="none"/>
        </w:rPr>
      </w:pPr>
      <w:r>
        <w:rPr>
          <w:rFonts w:hint="eastAsia" w:cs="仿宋" w:asciiTheme="majorEastAsia" w:hAnsiTheme="majorEastAsia" w:eastAsiaTheme="majorEastAsia"/>
          <w:b/>
          <w:color w:val="auto"/>
          <w:kern w:val="0"/>
          <w:sz w:val="36"/>
          <w:szCs w:val="36"/>
          <w:highlight w:val="none"/>
        </w:rPr>
        <w:br w:type="page"/>
      </w:r>
    </w:p>
    <w:p w14:paraId="4683D069">
      <w:pPr>
        <w:spacing w:line="360" w:lineRule="auto"/>
        <w:ind w:right="420"/>
        <w:jc w:val="center"/>
        <w:rPr>
          <w:rFonts w:cs="仿宋" w:asciiTheme="majorEastAsia" w:hAnsiTheme="majorEastAsia" w:eastAsiaTheme="majorEastAsia"/>
          <w:b/>
          <w:color w:val="auto"/>
          <w:kern w:val="0"/>
          <w:sz w:val="36"/>
          <w:szCs w:val="36"/>
          <w:highlight w:val="none"/>
        </w:rPr>
      </w:pPr>
      <w:r>
        <w:rPr>
          <w:rFonts w:hint="eastAsia" w:cs="仿宋" w:asciiTheme="majorEastAsia" w:hAnsiTheme="majorEastAsia" w:eastAsiaTheme="majorEastAsia"/>
          <w:b/>
          <w:color w:val="auto"/>
          <w:kern w:val="0"/>
          <w:sz w:val="36"/>
          <w:szCs w:val="36"/>
          <w:highlight w:val="none"/>
        </w:rPr>
        <w:t>商务技术文件部分</w:t>
      </w:r>
    </w:p>
    <w:p w14:paraId="123A1F92">
      <w:pPr>
        <w:spacing w:line="360" w:lineRule="auto"/>
        <w:jc w:val="center"/>
        <w:outlineLvl w:val="0"/>
        <w:rPr>
          <w:rFonts w:cs="仿宋" w:asciiTheme="majorEastAsia" w:hAnsiTheme="majorEastAsia" w:eastAsiaTheme="majorEastAsia"/>
          <w:b/>
          <w:color w:val="auto"/>
          <w:kern w:val="0"/>
          <w:sz w:val="24"/>
          <w:highlight w:val="none"/>
        </w:rPr>
      </w:pPr>
    </w:p>
    <w:p w14:paraId="18806F86">
      <w:pPr>
        <w:spacing w:line="360" w:lineRule="auto"/>
        <w:ind w:left="3990" w:leftChars="1900"/>
        <w:outlineLvl w:val="0"/>
        <w:rPr>
          <w:rFonts w:cs="仿宋" w:asciiTheme="majorEastAsia" w:hAnsiTheme="majorEastAsia" w:eastAsiaTheme="majorEastAsia"/>
          <w:b/>
          <w:color w:val="auto"/>
          <w:kern w:val="0"/>
          <w:sz w:val="28"/>
          <w:szCs w:val="28"/>
          <w:highlight w:val="none"/>
        </w:rPr>
      </w:pPr>
      <w:r>
        <w:rPr>
          <w:rFonts w:hint="eastAsia" w:cs="仿宋" w:asciiTheme="majorEastAsia" w:hAnsiTheme="majorEastAsia" w:eastAsiaTheme="majorEastAsia"/>
          <w:b/>
          <w:color w:val="auto"/>
          <w:kern w:val="0"/>
          <w:sz w:val="28"/>
          <w:szCs w:val="28"/>
          <w:highlight w:val="none"/>
        </w:rPr>
        <w:t>目 录</w:t>
      </w:r>
    </w:p>
    <w:p w14:paraId="30731672">
      <w:pPr>
        <w:snapToGrid w:val="0"/>
        <w:spacing w:line="360" w:lineRule="auto"/>
        <w:ind w:firstLine="960" w:firstLineChars="400"/>
        <w:rPr>
          <w:rFonts w:cs="仿宋" w:asciiTheme="majorEastAsia" w:hAnsiTheme="majorEastAsia" w:eastAsiaTheme="majorEastAsia"/>
          <w:color w:val="auto"/>
          <w:sz w:val="24"/>
          <w:highlight w:val="none"/>
        </w:rPr>
      </w:pPr>
    </w:p>
    <w:p w14:paraId="27103C12">
      <w:pP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1 评分索引表</w:t>
      </w:r>
    </w:p>
    <w:p w14:paraId="0863C5B1">
      <w:pP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2 符合性自查表；</w:t>
      </w:r>
    </w:p>
    <w:p w14:paraId="317BBEAE">
      <w:pP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3 投标函；</w:t>
      </w:r>
      <w:r>
        <w:rPr>
          <w:rFonts w:hint="eastAsia" w:cs="仿宋" w:asciiTheme="majorEastAsia" w:hAnsiTheme="majorEastAsia" w:eastAsiaTheme="majorEastAsia"/>
          <w:color w:val="auto"/>
          <w:sz w:val="28"/>
          <w:szCs w:val="28"/>
          <w:highlight w:val="none"/>
          <w:lang w:val="zh-CN"/>
        </w:rPr>
        <w:t xml:space="preserve"> </w:t>
      </w:r>
    </w:p>
    <w:p w14:paraId="6830DA16">
      <w:pP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4 授权委托书或法定代表人（单位负责人、自然人本人）身份证明；</w:t>
      </w:r>
    </w:p>
    <w:p w14:paraId="608D79DF">
      <w:pP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5 投标人基本情况表；</w:t>
      </w:r>
    </w:p>
    <w:p w14:paraId="00573986">
      <w:pP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6 距采购人最近或者能为本项目提供最优服务的网点情况表；</w:t>
      </w:r>
    </w:p>
    <w:p w14:paraId="2D236C31">
      <w:pP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7 评标标准相应的商务技术资料；</w:t>
      </w:r>
    </w:p>
    <w:p w14:paraId="428FADBF">
      <w:pP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8 商务响应表；</w:t>
      </w:r>
    </w:p>
    <w:p w14:paraId="23E707C6">
      <w:pP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9 技术响应表；</w:t>
      </w:r>
    </w:p>
    <w:p w14:paraId="1E4B6F46">
      <w:pP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10 同类业绩情况一览表；</w:t>
      </w:r>
    </w:p>
    <w:p w14:paraId="04C772DC">
      <w:pPr>
        <w:adjustRightInd w:val="0"/>
        <w:snapToGrid w:val="0"/>
        <w:spacing w:line="360" w:lineRule="auto"/>
        <w:ind w:firstLine="840" w:firstLineChars="300"/>
        <w:rPr>
          <w:rFonts w:cs="仿宋" w:asciiTheme="majorEastAsia" w:hAnsiTheme="majorEastAsia" w:eastAsiaTheme="majorEastAsia"/>
          <w:color w:val="auto"/>
          <w:sz w:val="28"/>
          <w:szCs w:val="28"/>
          <w:highlight w:val="none"/>
          <w:lang w:val="zh-CN"/>
        </w:rPr>
      </w:pPr>
      <w:r>
        <w:rPr>
          <w:rFonts w:hint="eastAsia" w:cs="仿宋" w:asciiTheme="majorEastAsia" w:hAnsiTheme="majorEastAsia" w:eastAsiaTheme="majorEastAsia"/>
          <w:color w:val="auto"/>
          <w:sz w:val="28"/>
          <w:szCs w:val="28"/>
          <w:highlight w:val="none"/>
        </w:rPr>
        <w:t xml:space="preserve">11 </w:t>
      </w:r>
      <w:r>
        <w:rPr>
          <w:rFonts w:hint="eastAsia" w:cs="仿宋" w:asciiTheme="majorEastAsia" w:hAnsiTheme="majorEastAsia" w:eastAsiaTheme="majorEastAsia"/>
          <w:color w:val="auto"/>
          <w:sz w:val="28"/>
          <w:szCs w:val="28"/>
          <w:highlight w:val="none"/>
          <w:lang w:val="zh-CN"/>
        </w:rPr>
        <w:t>政府采购供应商廉洁自律承诺书；</w:t>
      </w:r>
    </w:p>
    <w:p w14:paraId="40C8A375">
      <w:pP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12 其他资料。</w:t>
      </w:r>
    </w:p>
    <w:p w14:paraId="64980CF5">
      <w:pPr>
        <w:numPr>
          <w:ilvl w:val="0"/>
          <w:numId w:val="5"/>
        </w:numPr>
        <w:snapToGrid w:val="0"/>
        <w:spacing w:line="360" w:lineRule="auto"/>
        <w:jc w:val="center"/>
        <w:outlineLvl w:val="0"/>
        <w:rPr>
          <w:rFonts w:cs="仿宋" w:asciiTheme="majorEastAsia" w:hAnsiTheme="majorEastAsia" w:eastAsiaTheme="majorEastAsia"/>
          <w:b/>
          <w:color w:val="auto"/>
          <w:kern w:val="0"/>
          <w:sz w:val="32"/>
          <w:szCs w:val="32"/>
          <w:highlight w:val="none"/>
        </w:rPr>
      </w:pPr>
      <w:r>
        <w:rPr>
          <w:rFonts w:hint="eastAsia" w:cs="仿宋" w:asciiTheme="majorEastAsia" w:hAnsiTheme="majorEastAsia" w:eastAsiaTheme="majorEastAsia"/>
          <w:color w:val="auto"/>
          <w:kern w:val="0"/>
          <w:sz w:val="24"/>
          <w:highlight w:val="none"/>
        </w:rPr>
        <w:br w:type="page"/>
      </w:r>
      <w:r>
        <w:rPr>
          <w:rFonts w:hint="eastAsia" w:cs="仿宋" w:asciiTheme="majorEastAsia" w:hAnsiTheme="majorEastAsia" w:eastAsiaTheme="majorEastAsia"/>
          <w:b/>
          <w:color w:val="auto"/>
          <w:kern w:val="0"/>
          <w:sz w:val="32"/>
          <w:szCs w:val="32"/>
          <w:highlight w:val="none"/>
        </w:rPr>
        <w:t>评分索引表</w:t>
      </w:r>
    </w:p>
    <w:p w14:paraId="3972807C">
      <w:pPr>
        <w:snapToGrid w:val="0"/>
        <w:spacing w:before="50" w:after="50"/>
        <w:rPr>
          <w:rFonts w:ascii="宋体" w:hAnsi="宋体"/>
          <w:b/>
          <w:color w:val="auto"/>
          <w:sz w:val="24"/>
          <w:highlight w:val="none"/>
        </w:rPr>
      </w:pPr>
    </w:p>
    <w:p w14:paraId="2797831B">
      <w:pPr>
        <w:snapToGrid w:val="0"/>
        <w:spacing w:before="50" w:after="50" w:line="360" w:lineRule="auto"/>
        <w:rPr>
          <w:rFonts w:ascii="宋体" w:hAnsi="宋体"/>
          <w:b/>
          <w:color w:val="auto"/>
          <w:sz w:val="24"/>
          <w:highlight w:val="none"/>
          <w:u w:val="single"/>
        </w:rPr>
      </w:pPr>
      <w:r>
        <w:rPr>
          <w:rFonts w:hint="eastAsia" w:ascii="宋体" w:hAnsi="宋体"/>
          <w:b/>
          <w:color w:val="auto"/>
          <w:sz w:val="24"/>
          <w:highlight w:val="none"/>
        </w:rPr>
        <w:t>投标单位名称：</w:t>
      </w:r>
    </w:p>
    <w:tbl>
      <w:tblPr>
        <w:tblStyle w:val="2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08"/>
        <w:gridCol w:w="5819"/>
        <w:gridCol w:w="1627"/>
      </w:tblGrid>
      <w:tr w14:paraId="1C2E0C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086C198B">
            <w:pPr>
              <w:pStyle w:val="17"/>
              <w:spacing w:after="0"/>
              <w:ind w:left="0" w:leftChars="0" w:firstLine="482"/>
              <w:jc w:val="center"/>
              <w:rPr>
                <w:rFonts w:ascii="宋体"/>
                <w:b/>
                <w:bCs/>
                <w:color w:val="auto"/>
                <w:sz w:val="24"/>
                <w:szCs w:val="24"/>
                <w:highlight w:val="none"/>
              </w:rPr>
            </w:pPr>
            <w:r>
              <w:rPr>
                <w:rFonts w:hint="eastAsia" w:ascii="宋体"/>
                <w:b/>
                <w:bCs/>
                <w:color w:val="auto"/>
                <w:sz w:val="24"/>
                <w:szCs w:val="24"/>
                <w:highlight w:val="none"/>
              </w:rPr>
              <w:t>序号</w:t>
            </w:r>
          </w:p>
        </w:tc>
        <w:tc>
          <w:tcPr>
            <w:tcW w:w="5819" w:type="dxa"/>
            <w:tcBorders>
              <w:top w:val="single" w:color="auto" w:sz="4" w:space="0"/>
              <w:left w:val="single" w:color="auto" w:sz="4" w:space="0"/>
              <w:bottom w:val="single" w:color="auto" w:sz="4" w:space="0"/>
              <w:right w:val="single" w:color="auto" w:sz="4" w:space="0"/>
            </w:tcBorders>
            <w:vAlign w:val="center"/>
          </w:tcPr>
          <w:p w14:paraId="6CE78553">
            <w:pPr>
              <w:pStyle w:val="17"/>
              <w:spacing w:after="0"/>
              <w:ind w:left="0" w:leftChars="0" w:firstLine="482"/>
              <w:jc w:val="center"/>
              <w:rPr>
                <w:rFonts w:ascii="宋体"/>
                <w:b/>
                <w:bCs/>
                <w:color w:val="auto"/>
                <w:sz w:val="24"/>
                <w:szCs w:val="24"/>
                <w:highlight w:val="none"/>
              </w:rPr>
            </w:pPr>
            <w:r>
              <w:rPr>
                <w:rFonts w:hint="eastAsia" w:ascii="宋体"/>
                <w:b/>
                <w:bCs/>
                <w:color w:val="auto"/>
                <w:sz w:val="24"/>
                <w:szCs w:val="24"/>
                <w:highlight w:val="none"/>
              </w:rPr>
              <w:t>评分标准</w:t>
            </w:r>
          </w:p>
        </w:tc>
        <w:tc>
          <w:tcPr>
            <w:tcW w:w="1627" w:type="dxa"/>
            <w:tcBorders>
              <w:top w:val="single" w:color="auto" w:sz="4" w:space="0"/>
              <w:left w:val="single" w:color="auto" w:sz="4" w:space="0"/>
              <w:bottom w:val="single" w:color="auto" w:sz="4" w:space="0"/>
              <w:right w:val="single" w:color="auto" w:sz="4" w:space="0"/>
            </w:tcBorders>
            <w:vAlign w:val="center"/>
          </w:tcPr>
          <w:p w14:paraId="03E8C95A">
            <w:pPr>
              <w:pStyle w:val="17"/>
              <w:spacing w:after="0"/>
              <w:ind w:left="0" w:leftChars="0" w:firstLine="482"/>
              <w:jc w:val="center"/>
              <w:rPr>
                <w:rFonts w:ascii="宋体"/>
                <w:b/>
                <w:bCs/>
                <w:color w:val="auto"/>
                <w:sz w:val="24"/>
                <w:szCs w:val="24"/>
                <w:highlight w:val="none"/>
              </w:rPr>
            </w:pPr>
            <w:r>
              <w:rPr>
                <w:rFonts w:hint="eastAsia" w:ascii="宋体"/>
                <w:b/>
                <w:bCs/>
                <w:color w:val="auto"/>
                <w:sz w:val="24"/>
                <w:szCs w:val="24"/>
                <w:highlight w:val="none"/>
              </w:rPr>
              <w:t>页码</w:t>
            </w:r>
          </w:p>
        </w:tc>
      </w:tr>
      <w:tr w14:paraId="49A450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4E0CDE24">
            <w:pPr>
              <w:widowControl/>
              <w:jc w:val="center"/>
              <w:rPr>
                <w:rFonts w:ascii="宋体" w:hAnsi="宋体"/>
                <w:color w:val="auto"/>
                <w:sz w:val="24"/>
                <w:highlight w:val="none"/>
              </w:rPr>
            </w:pPr>
            <w:r>
              <w:rPr>
                <w:rFonts w:hint="eastAsia" w:ascii="宋体" w:hAnsi="宋体"/>
                <w:color w:val="auto"/>
                <w:sz w:val="24"/>
                <w:highlight w:val="none"/>
              </w:rPr>
              <w:t>1</w:t>
            </w:r>
          </w:p>
        </w:tc>
        <w:tc>
          <w:tcPr>
            <w:tcW w:w="5819" w:type="dxa"/>
            <w:tcBorders>
              <w:top w:val="single" w:color="auto" w:sz="4" w:space="0"/>
              <w:left w:val="single" w:color="auto" w:sz="4" w:space="0"/>
              <w:right w:val="single" w:color="auto" w:sz="4" w:space="0"/>
            </w:tcBorders>
            <w:vAlign w:val="center"/>
          </w:tcPr>
          <w:p w14:paraId="60368FE7">
            <w:pPr>
              <w:jc w:val="center"/>
              <w:rPr>
                <w:rFonts w:ascii="宋体" w:hAnsi="宋体"/>
                <w:color w:val="auto"/>
                <w:sz w:val="24"/>
                <w:highlight w:val="none"/>
              </w:rPr>
            </w:pPr>
            <w:r>
              <w:rPr>
                <w:rFonts w:hint="eastAsia" w:ascii="宋体" w:hAnsi="宋体"/>
                <w:color w:val="auto"/>
                <w:sz w:val="24"/>
                <w:highlight w:val="none"/>
              </w:rPr>
              <w:t>（报价除外）</w:t>
            </w:r>
          </w:p>
        </w:tc>
        <w:tc>
          <w:tcPr>
            <w:tcW w:w="1627" w:type="dxa"/>
            <w:tcBorders>
              <w:top w:val="single" w:color="auto" w:sz="4" w:space="0"/>
              <w:left w:val="single" w:color="auto" w:sz="4" w:space="0"/>
              <w:right w:val="single" w:color="auto" w:sz="4" w:space="0"/>
            </w:tcBorders>
            <w:vAlign w:val="center"/>
          </w:tcPr>
          <w:p w14:paraId="03A4C39E">
            <w:pPr>
              <w:jc w:val="center"/>
              <w:rPr>
                <w:rFonts w:ascii="宋体" w:hAnsi="宋体"/>
                <w:bCs/>
                <w:color w:val="auto"/>
                <w:sz w:val="24"/>
                <w:highlight w:val="none"/>
              </w:rPr>
            </w:pPr>
          </w:p>
        </w:tc>
      </w:tr>
      <w:tr w14:paraId="615CCC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34E4D640">
            <w:pPr>
              <w:widowControl/>
              <w:jc w:val="center"/>
              <w:rPr>
                <w:rFonts w:ascii="宋体" w:hAnsi="宋体"/>
                <w:color w:val="auto"/>
                <w:sz w:val="24"/>
                <w:highlight w:val="none"/>
              </w:rPr>
            </w:pPr>
            <w:r>
              <w:rPr>
                <w:rFonts w:hint="eastAsia" w:ascii="宋体" w:hAnsi="宋体"/>
                <w:color w:val="auto"/>
                <w:sz w:val="24"/>
                <w:highlight w:val="none"/>
              </w:rPr>
              <w:t>2</w:t>
            </w:r>
          </w:p>
        </w:tc>
        <w:tc>
          <w:tcPr>
            <w:tcW w:w="5819" w:type="dxa"/>
            <w:tcBorders>
              <w:top w:val="single" w:color="auto" w:sz="4" w:space="0"/>
              <w:left w:val="single" w:color="auto" w:sz="4" w:space="0"/>
              <w:right w:val="single" w:color="auto" w:sz="4" w:space="0"/>
            </w:tcBorders>
            <w:vAlign w:val="center"/>
          </w:tcPr>
          <w:p w14:paraId="5E505887">
            <w:pPr>
              <w:widowControl/>
              <w:jc w:val="center"/>
              <w:rPr>
                <w:rFonts w:ascii="宋体" w:hAnsi="宋体" w:cs="宋体"/>
                <w:color w:val="auto"/>
                <w:kern w:val="0"/>
                <w:sz w:val="24"/>
                <w:highlight w:val="none"/>
              </w:rPr>
            </w:pPr>
          </w:p>
        </w:tc>
        <w:tc>
          <w:tcPr>
            <w:tcW w:w="1627" w:type="dxa"/>
            <w:tcBorders>
              <w:top w:val="single" w:color="auto" w:sz="4" w:space="0"/>
              <w:left w:val="single" w:color="auto" w:sz="4" w:space="0"/>
              <w:right w:val="single" w:color="auto" w:sz="4" w:space="0"/>
            </w:tcBorders>
            <w:vAlign w:val="center"/>
          </w:tcPr>
          <w:p w14:paraId="79C07CAE">
            <w:pPr>
              <w:jc w:val="center"/>
              <w:rPr>
                <w:rFonts w:ascii="宋体" w:hAnsi="宋体"/>
                <w:bCs/>
                <w:color w:val="auto"/>
                <w:sz w:val="24"/>
                <w:highlight w:val="none"/>
              </w:rPr>
            </w:pPr>
          </w:p>
        </w:tc>
      </w:tr>
      <w:tr w14:paraId="4CD2CA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left w:val="single" w:color="auto" w:sz="4" w:space="0"/>
              <w:bottom w:val="single" w:color="auto" w:sz="4" w:space="0"/>
              <w:right w:val="single" w:color="auto" w:sz="4" w:space="0"/>
            </w:tcBorders>
            <w:vAlign w:val="center"/>
          </w:tcPr>
          <w:p w14:paraId="7817BF33">
            <w:pPr>
              <w:widowControl/>
              <w:rPr>
                <w:rFonts w:ascii="宋体" w:hAnsi="宋体"/>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3146816D">
            <w:pPr>
              <w:ind w:left="55" w:leftChars="26"/>
              <w:rPr>
                <w:rFonts w:ascii="宋体" w:hAnsi="宋体" w:cs="宋体"/>
                <w:color w:val="auto"/>
                <w:kern w:val="0"/>
                <w:sz w:val="24"/>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088D7DFB">
            <w:pPr>
              <w:jc w:val="center"/>
              <w:rPr>
                <w:rFonts w:ascii="宋体" w:hAnsi="宋体"/>
                <w:bCs/>
                <w:color w:val="auto"/>
                <w:sz w:val="24"/>
                <w:highlight w:val="none"/>
              </w:rPr>
            </w:pPr>
          </w:p>
        </w:tc>
      </w:tr>
      <w:tr w14:paraId="4E15FB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6A4D26F5">
            <w:pPr>
              <w:widowControl/>
              <w:rPr>
                <w:rFonts w:ascii="宋体" w:hAnsi="宋体"/>
                <w:b/>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20D35317">
            <w:pPr>
              <w:pStyle w:val="17"/>
              <w:ind w:firstLine="562"/>
              <w:rPr>
                <w:rFonts w:ascii="宋体"/>
                <w:b/>
                <w:color w:val="auto"/>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63E29378">
            <w:pPr>
              <w:pStyle w:val="17"/>
              <w:ind w:firstLine="562"/>
              <w:jc w:val="center"/>
              <w:rPr>
                <w:rFonts w:ascii="宋体"/>
                <w:b/>
                <w:color w:val="auto"/>
                <w:highlight w:val="none"/>
              </w:rPr>
            </w:pPr>
          </w:p>
        </w:tc>
      </w:tr>
      <w:tr w14:paraId="0C4647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67659772">
            <w:pPr>
              <w:widowControl/>
              <w:rPr>
                <w:rFonts w:ascii="宋体" w:hAnsi="宋体"/>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635ABCB3">
            <w:pPr>
              <w:spacing w:line="320" w:lineRule="exact"/>
              <w:rPr>
                <w:rFonts w:ascii="宋体" w:hAnsi="宋体"/>
                <w:color w:val="auto"/>
                <w:kern w:val="0"/>
                <w:sz w:val="24"/>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18D36E49">
            <w:pPr>
              <w:jc w:val="center"/>
              <w:rPr>
                <w:rFonts w:ascii="宋体" w:hAnsi="宋体"/>
                <w:bCs/>
                <w:color w:val="auto"/>
                <w:sz w:val="24"/>
                <w:highlight w:val="none"/>
              </w:rPr>
            </w:pPr>
          </w:p>
        </w:tc>
      </w:tr>
      <w:tr w14:paraId="308479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1E4D224E">
            <w:pPr>
              <w:widowControl/>
              <w:rPr>
                <w:rFonts w:ascii="宋体" w:hAnsi="宋体"/>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24C9F19B">
            <w:pPr>
              <w:rPr>
                <w:rFonts w:ascii="宋体" w:hAnsi="宋体"/>
                <w:color w:val="auto"/>
                <w:sz w:val="24"/>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164EA164">
            <w:pPr>
              <w:pStyle w:val="17"/>
              <w:ind w:firstLine="560"/>
              <w:jc w:val="center"/>
              <w:rPr>
                <w:rFonts w:ascii="宋体"/>
                <w:color w:val="auto"/>
                <w:highlight w:val="none"/>
              </w:rPr>
            </w:pPr>
          </w:p>
        </w:tc>
      </w:tr>
      <w:tr w14:paraId="160278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7AA5FF16">
            <w:pPr>
              <w:widowControl/>
              <w:rPr>
                <w:rFonts w:ascii="宋体" w:hAnsi="宋体"/>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482B8A55">
            <w:pPr>
              <w:rPr>
                <w:rFonts w:ascii="宋体" w:hAnsi="宋体"/>
                <w:color w:val="auto"/>
                <w:sz w:val="24"/>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7015FBE6">
            <w:pPr>
              <w:pStyle w:val="17"/>
              <w:ind w:firstLine="560"/>
              <w:jc w:val="center"/>
              <w:rPr>
                <w:rFonts w:ascii="宋体"/>
                <w:color w:val="auto"/>
                <w:highlight w:val="none"/>
              </w:rPr>
            </w:pPr>
          </w:p>
        </w:tc>
      </w:tr>
      <w:tr w14:paraId="51D7A3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left w:val="single" w:color="auto" w:sz="4" w:space="0"/>
              <w:bottom w:val="single" w:color="auto" w:sz="4" w:space="0"/>
              <w:right w:val="single" w:color="auto" w:sz="4" w:space="0"/>
            </w:tcBorders>
            <w:vAlign w:val="center"/>
          </w:tcPr>
          <w:p w14:paraId="52145ED5">
            <w:pPr>
              <w:widowControl/>
              <w:rPr>
                <w:rFonts w:ascii="宋体" w:hAnsi="宋体"/>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335417FE">
            <w:pPr>
              <w:pStyle w:val="17"/>
              <w:ind w:firstLine="560"/>
              <w:rPr>
                <w:rFonts w:ascii="宋体"/>
                <w:color w:val="auto"/>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637B1380">
            <w:pPr>
              <w:widowControl/>
              <w:jc w:val="center"/>
              <w:rPr>
                <w:rFonts w:ascii="宋体" w:hAnsi="宋体"/>
                <w:b/>
                <w:color w:val="auto"/>
                <w:sz w:val="24"/>
                <w:highlight w:val="none"/>
              </w:rPr>
            </w:pPr>
          </w:p>
        </w:tc>
      </w:tr>
      <w:tr w14:paraId="6AF5A5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left w:val="single" w:color="auto" w:sz="4" w:space="0"/>
              <w:bottom w:val="single" w:color="auto" w:sz="4" w:space="0"/>
              <w:right w:val="single" w:color="auto" w:sz="4" w:space="0"/>
            </w:tcBorders>
            <w:vAlign w:val="center"/>
          </w:tcPr>
          <w:p w14:paraId="2D55525A">
            <w:pPr>
              <w:widowControl/>
              <w:rPr>
                <w:rFonts w:ascii="宋体" w:hAnsi="宋体"/>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0D70E844">
            <w:pPr>
              <w:rPr>
                <w:rFonts w:ascii="宋体" w:hAnsi="宋体"/>
                <w:bCs/>
                <w:color w:val="auto"/>
                <w:sz w:val="24"/>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2AABF89F">
            <w:pPr>
              <w:jc w:val="center"/>
              <w:rPr>
                <w:rFonts w:ascii="宋体" w:hAnsi="宋体"/>
                <w:bCs/>
                <w:color w:val="auto"/>
                <w:sz w:val="24"/>
                <w:highlight w:val="none"/>
              </w:rPr>
            </w:pPr>
          </w:p>
        </w:tc>
      </w:tr>
      <w:tr w14:paraId="1F380A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4D33B93C">
            <w:pPr>
              <w:widowControl/>
              <w:rPr>
                <w:rFonts w:ascii="宋体" w:hAnsi="宋体"/>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7360CE64">
            <w:pPr>
              <w:rPr>
                <w:rFonts w:ascii="宋体" w:hAnsi="宋体"/>
                <w:bCs/>
                <w:color w:val="auto"/>
                <w:sz w:val="24"/>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3D735636">
            <w:pPr>
              <w:jc w:val="center"/>
              <w:rPr>
                <w:rFonts w:ascii="宋体" w:hAnsi="宋体"/>
                <w:bCs/>
                <w:color w:val="auto"/>
                <w:sz w:val="24"/>
                <w:highlight w:val="none"/>
              </w:rPr>
            </w:pPr>
          </w:p>
        </w:tc>
      </w:tr>
      <w:tr w14:paraId="119F69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60A16F03">
            <w:pPr>
              <w:widowControl/>
              <w:rPr>
                <w:rFonts w:ascii="宋体" w:hAnsi="宋体"/>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27EC4CAE">
            <w:pPr>
              <w:rPr>
                <w:rFonts w:ascii="宋体" w:hAnsi="宋体"/>
                <w:bCs/>
                <w:color w:val="auto"/>
                <w:sz w:val="24"/>
                <w:highlight w:val="none"/>
              </w:rPr>
            </w:pPr>
          </w:p>
        </w:tc>
        <w:tc>
          <w:tcPr>
            <w:tcW w:w="1627" w:type="dxa"/>
            <w:tcBorders>
              <w:top w:val="single" w:color="auto" w:sz="4" w:space="0"/>
              <w:left w:val="single" w:color="auto" w:sz="4" w:space="0"/>
              <w:right w:val="single" w:color="auto" w:sz="4" w:space="0"/>
            </w:tcBorders>
            <w:vAlign w:val="center"/>
          </w:tcPr>
          <w:p w14:paraId="24BB8C52">
            <w:pPr>
              <w:jc w:val="center"/>
              <w:rPr>
                <w:rFonts w:ascii="宋体" w:hAnsi="宋体"/>
                <w:bCs/>
                <w:color w:val="auto"/>
                <w:sz w:val="24"/>
                <w:highlight w:val="none"/>
              </w:rPr>
            </w:pPr>
          </w:p>
        </w:tc>
      </w:tr>
    </w:tbl>
    <w:p w14:paraId="4779227D">
      <w:pPr>
        <w:snapToGrid w:val="0"/>
        <w:spacing w:line="360" w:lineRule="auto"/>
        <w:outlineLvl w:val="0"/>
        <w:rPr>
          <w:rFonts w:cs="仿宋" w:asciiTheme="majorEastAsia" w:hAnsiTheme="majorEastAsia" w:eastAsiaTheme="majorEastAsia"/>
          <w:color w:val="auto"/>
          <w:kern w:val="0"/>
          <w:sz w:val="24"/>
          <w:highlight w:val="none"/>
        </w:rPr>
      </w:pPr>
    </w:p>
    <w:p w14:paraId="677DF364">
      <w:pPr>
        <w:snapToGrid w:val="0"/>
        <w:spacing w:line="360" w:lineRule="auto"/>
        <w:outlineLvl w:val="0"/>
        <w:rPr>
          <w:rFonts w:cs="仿宋" w:asciiTheme="majorEastAsia" w:hAnsiTheme="majorEastAsia" w:eastAsiaTheme="majorEastAsia"/>
          <w:b/>
          <w:color w:val="auto"/>
          <w:kern w:val="0"/>
          <w:sz w:val="32"/>
          <w:szCs w:val="32"/>
          <w:highlight w:val="none"/>
        </w:rPr>
      </w:pPr>
      <w:r>
        <w:rPr>
          <w:rFonts w:cs="仿宋" w:asciiTheme="majorEastAsia" w:hAnsiTheme="majorEastAsia" w:eastAsiaTheme="majorEastAsia"/>
          <w:b/>
          <w:color w:val="auto"/>
          <w:kern w:val="0"/>
          <w:sz w:val="32"/>
          <w:szCs w:val="32"/>
          <w:highlight w:val="none"/>
        </w:rPr>
        <w:br w:type="page"/>
      </w:r>
    </w:p>
    <w:p w14:paraId="5C08FD2A">
      <w:pPr>
        <w:snapToGrid w:val="0"/>
        <w:spacing w:line="360" w:lineRule="auto"/>
        <w:outlineLvl w:val="0"/>
        <w:rPr>
          <w:rFonts w:cs="仿宋" w:asciiTheme="majorEastAsia" w:hAnsiTheme="majorEastAsia" w:eastAsiaTheme="majorEastAsia"/>
          <w:b/>
          <w:color w:val="auto"/>
          <w:kern w:val="0"/>
          <w:sz w:val="32"/>
          <w:szCs w:val="32"/>
          <w:highlight w:val="none"/>
        </w:rPr>
      </w:pPr>
    </w:p>
    <w:p w14:paraId="4B3EEDAE">
      <w:pPr>
        <w:numPr>
          <w:ilvl w:val="0"/>
          <w:numId w:val="5"/>
        </w:numPr>
        <w:snapToGrid w:val="0"/>
        <w:spacing w:line="360" w:lineRule="auto"/>
        <w:jc w:val="center"/>
        <w:outlineLvl w:val="0"/>
        <w:rPr>
          <w:rFonts w:cs="仿宋" w:asciiTheme="majorEastAsia" w:hAnsiTheme="majorEastAsia" w:eastAsiaTheme="majorEastAsia"/>
          <w:b/>
          <w:color w:val="auto"/>
          <w:kern w:val="0"/>
          <w:sz w:val="32"/>
          <w:szCs w:val="32"/>
          <w:highlight w:val="none"/>
        </w:rPr>
      </w:pPr>
      <w:r>
        <w:rPr>
          <w:rFonts w:hint="eastAsia" w:cs="仿宋" w:asciiTheme="majorEastAsia" w:hAnsiTheme="majorEastAsia" w:eastAsiaTheme="majorEastAsia"/>
          <w:b/>
          <w:color w:val="auto"/>
          <w:kern w:val="0"/>
          <w:sz w:val="32"/>
          <w:szCs w:val="32"/>
          <w:highlight w:val="none"/>
        </w:rPr>
        <w:t>符合性自查表</w:t>
      </w:r>
    </w:p>
    <w:tbl>
      <w:tblPr>
        <w:tblStyle w:val="21"/>
        <w:tblW w:w="10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4103"/>
        <w:gridCol w:w="2518"/>
        <w:gridCol w:w="1185"/>
        <w:gridCol w:w="1785"/>
      </w:tblGrid>
      <w:tr w14:paraId="6C3DD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608" w:type="dxa"/>
            <w:vAlign w:val="center"/>
          </w:tcPr>
          <w:p w14:paraId="7C703429">
            <w:pP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序号</w:t>
            </w:r>
          </w:p>
        </w:tc>
        <w:tc>
          <w:tcPr>
            <w:tcW w:w="4103" w:type="dxa"/>
            <w:vAlign w:val="center"/>
          </w:tcPr>
          <w:p w14:paraId="404DA202">
            <w:pP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实质性要求</w:t>
            </w:r>
          </w:p>
        </w:tc>
        <w:tc>
          <w:tcPr>
            <w:tcW w:w="2518" w:type="dxa"/>
            <w:vAlign w:val="center"/>
          </w:tcPr>
          <w:p w14:paraId="57EE285F">
            <w:pP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需要提供的符合性审查资料</w:t>
            </w:r>
          </w:p>
        </w:tc>
        <w:tc>
          <w:tcPr>
            <w:tcW w:w="1185" w:type="dxa"/>
            <w:vAlign w:val="center"/>
          </w:tcPr>
          <w:p w14:paraId="3771D283">
            <w:pP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自查结论</w:t>
            </w:r>
          </w:p>
        </w:tc>
        <w:tc>
          <w:tcPr>
            <w:tcW w:w="1785" w:type="dxa"/>
            <w:vAlign w:val="center"/>
          </w:tcPr>
          <w:p w14:paraId="625F51D7">
            <w:pP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投标文件中的</w:t>
            </w:r>
          </w:p>
          <w:p w14:paraId="66D80706">
            <w:pP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页码位置</w:t>
            </w:r>
          </w:p>
        </w:tc>
      </w:tr>
      <w:tr w14:paraId="40D9E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608" w:type="dxa"/>
            <w:vAlign w:val="center"/>
          </w:tcPr>
          <w:p w14:paraId="595E396B">
            <w:pPr>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w:t>
            </w:r>
          </w:p>
        </w:tc>
        <w:tc>
          <w:tcPr>
            <w:tcW w:w="4103" w:type="dxa"/>
            <w:vAlign w:val="center"/>
          </w:tcPr>
          <w:p w14:paraId="22352AE0">
            <w:pP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投标文件按照招标文件要求签署、盖章。</w:t>
            </w:r>
          </w:p>
        </w:tc>
        <w:tc>
          <w:tcPr>
            <w:tcW w:w="2518" w:type="dxa"/>
            <w:vAlign w:val="center"/>
          </w:tcPr>
          <w:p w14:paraId="4A04AAC6">
            <w:pP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需要使用电子签名或者签字盖章的投标文件的组成部分</w:t>
            </w:r>
          </w:p>
        </w:tc>
        <w:tc>
          <w:tcPr>
            <w:tcW w:w="1185" w:type="dxa"/>
            <w:vAlign w:val="center"/>
          </w:tcPr>
          <w:p w14:paraId="5D29D0CB">
            <w:pP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□通过 </w:t>
            </w:r>
          </w:p>
          <w:p w14:paraId="17FE5BA1">
            <w:pP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□不通过</w:t>
            </w:r>
          </w:p>
        </w:tc>
        <w:tc>
          <w:tcPr>
            <w:tcW w:w="1785" w:type="dxa"/>
            <w:vAlign w:val="center"/>
          </w:tcPr>
          <w:p w14:paraId="61D5D50C">
            <w:pPr>
              <w:spacing w:line="360" w:lineRule="auto"/>
              <w:rPr>
                <w:rFonts w:cs="仿宋" w:asciiTheme="majorEastAsia" w:hAnsiTheme="majorEastAsia" w:eastAsiaTheme="majorEastAsia"/>
                <w:color w:val="auto"/>
                <w:sz w:val="24"/>
                <w:highlight w:val="none"/>
              </w:rPr>
            </w:pPr>
          </w:p>
          <w:p w14:paraId="70D5CC89">
            <w:pP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见投标文件</w:t>
            </w:r>
          </w:p>
          <w:p w14:paraId="198B6D6B">
            <w:pPr>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sz w:val="24"/>
                <w:highlight w:val="none"/>
              </w:rPr>
              <w:t>第</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页</w:t>
            </w:r>
          </w:p>
        </w:tc>
      </w:tr>
      <w:tr w14:paraId="4970D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608" w:type="dxa"/>
            <w:vAlign w:val="center"/>
          </w:tcPr>
          <w:p w14:paraId="49F3196C">
            <w:pPr>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w:t>
            </w:r>
          </w:p>
        </w:tc>
        <w:tc>
          <w:tcPr>
            <w:tcW w:w="4103" w:type="dxa"/>
            <w:vAlign w:val="center"/>
          </w:tcPr>
          <w:p w14:paraId="49B90960">
            <w:pP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投标文件中承诺的投标有效期不少于招标文件中载明的投标有效期。</w:t>
            </w:r>
          </w:p>
        </w:tc>
        <w:tc>
          <w:tcPr>
            <w:tcW w:w="2518" w:type="dxa"/>
            <w:vAlign w:val="center"/>
          </w:tcPr>
          <w:p w14:paraId="60C45B15">
            <w:pP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投标函</w:t>
            </w:r>
          </w:p>
        </w:tc>
        <w:tc>
          <w:tcPr>
            <w:tcW w:w="1185" w:type="dxa"/>
            <w:vAlign w:val="center"/>
          </w:tcPr>
          <w:p w14:paraId="2C850CC3">
            <w:pP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□通过 </w:t>
            </w:r>
          </w:p>
          <w:p w14:paraId="6E916E89">
            <w:pP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□不通过</w:t>
            </w:r>
          </w:p>
        </w:tc>
        <w:tc>
          <w:tcPr>
            <w:tcW w:w="1785" w:type="dxa"/>
            <w:vAlign w:val="center"/>
          </w:tcPr>
          <w:p w14:paraId="4560A962">
            <w:pPr>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sz w:val="24"/>
                <w:highlight w:val="none"/>
              </w:rPr>
              <w:t>见投标文件第</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页</w:t>
            </w:r>
          </w:p>
        </w:tc>
      </w:tr>
      <w:tr w14:paraId="08EF1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jc w:val="center"/>
        </w:trPr>
        <w:tc>
          <w:tcPr>
            <w:tcW w:w="608" w:type="dxa"/>
            <w:vAlign w:val="center"/>
          </w:tcPr>
          <w:p w14:paraId="22292C50">
            <w:pPr>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w:t>
            </w:r>
          </w:p>
        </w:tc>
        <w:tc>
          <w:tcPr>
            <w:tcW w:w="4103" w:type="dxa"/>
            <w:vAlign w:val="center"/>
          </w:tcPr>
          <w:p w14:paraId="6C4E0F78">
            <w:pP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投标文件满足招标文件的其它实质性要求。</w:t>
            </w:r>
          </w:p>
        </w:tc>
        <w:tc>
          <w:tcPr>
            <w:tcW w:w="2518" w:type="dxa"/>
            <w:vAlign w:val="center"/>
          </w:tcPr>
          <w:p w14:paraId="6C863DB3">
            <w:pP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rPr>
              <w:t>招标文件其它实质性要求相应的材料（“▲” 系指实质性要求条款，招标文件无其它实质性要求的，无需提供）</w:t>
            </w:r>
          </w:p>
        </w:tc>
        <w:tc>
          <w:tcPr>
            <w:tcW w:w="1185" w:type="dxa"/>
            <w:vAlign w:val="center"/>
          </w:tcPr>
          <w:p w14:paraId="72F1E251">
            <w:pP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□通过 </w:t>
            </w:r>
          </w:p>
          <w:p w14:paraId="40231B88">
            <w:pP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□不通过</w:t>
            </w:r>
          </w:p>
        </w:tc>
        <w:tc>
          <w:tcPr>
            <w:tcW w:w="1785" w:type="dxa"/>
            <w:vAlign w:val="center"/>
          </w:tcPr>
          <w:p w14:paraId="609CAD9F">
            <w:pPr>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sz w:val="24"/>
                <w:highlight w:val="none"/>
              </w:rPr>
              <w:t>见投标文件第</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页</w:t>
            </w:r>
          </w:p>
        </w:tc>
      </w:tr>
      <w:tr w14:paraId="6DD18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08" w:type="dxa"/>
            <w:vAlign w:val="center"/>
          </w:tcPr>
          <w:p w14:paraId="0540E643">
            <w:pPr>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w:t>
            </w:r>
          </w:p>
        </w:tc>
        <w:tc>
          <w:tcPr>
            <w:tcW w:w="4103" w:type="dxa"/>
            <w:vAlign w:val="center"/>
          </w:tcPr>
          <w:p w14:paraId="32C45A1F">
            <w:pPr>
              <w:snapToGrid w:val="0"/>
              <w:spacing w:line="360" w:lineRule="auto"/>
              <w:jc w:val="left"/>
              <w:rPr>
                <w:rFonts w:cs="仿宋" w:asciiTheme="majorEastAsia" w:hAnsiTheme="majorEastAsia" w:eastAsiaTheme="majorEastAsia"/>
                <w:bCs/>
                <w:color w:val="auto"/>
                <w:sz w:val="24"/>
                <w:highlight w:val="none"/>
              </w:rPr>
            </w:pPr>
            <w:r>
              <w:rPr>
                <w:rFonts w:hint="eastAsia" w:cs="仿宋" w:asciiTheme="majorEastAsia" w:hAnsiTheme="majorEastAsia" w:eastAsiaTheme="majorEastAsia"/>
                <w:bCs/>
                <w:color w:val="auto"/>
                <w:sz w:val="24"/>
                <w:highlight w:val="none"/>
              </w:rPr>
              <w:t>投标文件没有招标文件中规定的其它无效投标条款的。</w:t>
            </w:r>
          </w:p>
        </w:tc>
        <w:tc>
          <w:tcPr>
            <w:tcW w:w="2518" w:type="dxa"/>
            <w:vAlign w:val="center"/>
          </w:tcPr>
          <w:p w14:paraId="3605C3CF">
            <w:pPr>
              <w:spacing w:line="360" w:lineRule="auto"/>
              <w:rPr>
                <w:rFonts w:cs="仿宋" w:asciiTheme="majorEastAsia" w:hAnsiTheme="majorEastAsia" w:eastAsiaTheme="majorEastAsia"/>
                <w:color w:val="auto"/>
                <w:kern w:val="0"/>
                <w:sz w:val="24"/>
                <w:highlight w:val="none"/>
              </w:rPr>
            </w:pPr>
          </w:p>
        </w:tc>
        <w:tc>
          <w:tcPr>
            <w:tcW w:w="1185" w:type="dxa"/>
            <w:vAlign w:val="center"/>
          </w:tcPr>
          <w:p w14:paraId="2C349ECA">
            <w:pP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□通过 </w:t>
            </w:r>
          </w:p>
          <w:p w14:paraId="41F8BFFD">
            <w:pP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□不通过</w:t>
            </w:r>
          </w:p>
        </w:tc>
        <w:tc>
          <w:tcPr>
            <w:tcW w:w="1785" w:type="dxa"/>
            <w:vAlign w:val="center"/>
          </w:tcPr>
          <w:p w14:paraId="2D02FA67">
            <w:pP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见投标文件第</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页</w:t>
            </w:r>
          </w:p>
        </w:tc>
      </w:tr>
      <w:tr w14:paraId="51AE2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08" w:type="dxa"/>
            <w:vAlign w:val="center"/>
          </w:tcPr>
          <w:p w14:paraId="7E364422">
            <w:pPr>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w:t>
            </w:r>
          </w:p>
        </w:tc>
        <w:tc>
          <w:tcPr>
            <w:tcW w:w="4103" w:type="dxa"/>
            <w:vAlign w:val="center"/>
          </w:tcPr>
          <w:p w14:paraId="0C03FF66">
            <w:pPr>
              <w:snapToGrid w:val="0"/>
              <w:spacing w:line="360" w:lineRule="auto"/>
              <w:jc w:val="left"/>
              <w:rPr>
                <w:rFonts w:cs="仿宋" w:asciiTheme="majorEastAsia" w:hAnsiTheme="majorEastAsia" w:eastAsiaTheme="majorEastAsia"/>
                <w:bCs/>
                <w:color w:val="auto"/>
                <w:sz w:val="24"/>
                <w:highlight w:val="none"/>
              </w:rPr>
            </w:pPr>
            <w:r>
              <w:rPr>
                <w:rFonts w:hint="eastAsia" w:cs="仿宋" w:asciiTheme="majorEastAsia" w:hAnsiTheme="majorEastAsia" w:eastAsiaTheme="majorEastAsia"/>
                <w:bCs/>
                <w:color w:val="auto"/>
                <w:sz w:val="24"/>
                <w:highlight w:val="none"/>
              </w:rPr>
              <w:t>按有关法律、法规、规章不属于投标无效的。</w:t>
            </w:r>
          </w:p>
        </w:tc>
        <w:tc>
          <w:tcPr>
            <w:tcW w:w="2518" w:type="dxa"/>
            <w:vAlign w:val="center"/>
          </w:tcPr>
          <w:p w14:paraId="3727B405">
            <w:pPr>
              <w:spacing w:line="360" w:lineRule="auto"/>
              <w:rPr>
                <w:rFonts w:cs="仿宋" w:asciiTheme="majorEastAsia" w:hAnsiTheme="majorEastAsia" w:eastAsiaTheme="majorEastAsia"/>
                <w:color w:val="auto"/>
                <w:kern w:val="0"/>
                <w:sz w:val="24"/>
                <w:highlight w:val="none"/>
              </w:rPr>
            </w:pPr>
          </w:p>
        </w:tc>
        <w:tc>
          <w:tcPr>
            <w:tcW w:w="1185" w:type="dxa"/>
            <w:vAlign w:val="center"/>
          </w:tcPr>
          <w:p w14:paraId="0E158D51">
            <w:pP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□通过 </w:t>
            </w:r>
          </w:p>
          <w:p w14:paraId="7F486B07">
            <w:pP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□不通过</w:t>
            </w:r>
          </w:p>
        </w:tc>
        <w:tc>
          <w:tcPr>
            <w:tcW w:w="1785" w:type="dxa"/>
            <w:vAlign w:val="center"/>
          </w:tcPr>
          <w:p w14:paraId="5565A1A4">
            <w:pP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见投标文件第</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页</w:t>
            </w:r>
          </w:p>
        </w:tc>
      </w:tr>
      <w:tr w14:paraId="7A725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08" w:type="dxa"/>
            <w:vAlign w:val="center"/>
          </w:tcPr>
          <w:p w14:paraId="6C0235E6">
            <w:pPr>
              <w:spacing w:line="360" w:lineRule="auto"/>
              <w:jc w:val="center"/>
              <w:rPr>
                <w:rFonts w:cs="仿宋" w:asciiTheme="majorEastAsia" w:hAnsiTheme="majorEastAsia" w:eastAsiaTheme="majorEastAsia"/>
                <w:color w:val="auto"/>
                <w:sz w:val="24"/>
                <w:highlight w:val="none"/>
              </w:rPr>
            </w:pPr>
          </w:p>
        </w:tc>
        <w:tc>
          <w:tcPr>
            <w:tcW w:w="4103" w:type="dxa"/>
            <w:vAlign w:val="center"/>
          </w:tcPr>
          <w:p w14:paraId="401F2BE1">
            <w:pP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w:t>
            </w:r>
          </w:p>
        </w:tc>
        <w:tc>
          <w:tcPr>
            <w:tcW w:w="2518" w:type="dxa"/>
            <w:vAlign w:val="center"/>
          </w:tcPr>
          <w:p w14:paraId="44D69949">
            <w:pPr>
              <w:spacing w:line="360" w:lineRule="auto"/>
              <w:rPr>
                <w:rFonts w:cs="仿宋" w:asciiTheme="majorEastAsia" w:hAnsiTheme="majorEastAsia" w:eastAsiaTheme="majorEastAsia"/>
                <w:color w:val="auto"/>
                <w:kern w:val="0"/>
                <w:sz w:val="24"/>
                <w:highlight w:val="none"/>
              </w:rPr>
            </w:pPr>
          </w:p>
        </w:tc>
        <w:tc>
          <w:tcPr>
            <w:tcW w:w="1185" w:type="dxa"/>
          </w:tcPr>
          <w:p w14:paraId="3D03C30B">
            <w:pPr>
              <w:spacing w:line="360" w:lineRule="auto"/>
              <w:rPr>
                <w:rFonts w:cs="仿宋" w:asciiTheme="majorEastAsia" w:hAnsiTheme="majorEastAsia" w:eastAsiaTheme="majorEastAsia"/>
                <w:color w:val="auto"/>
                <w:sz w:val="24"/>
                <w:highlight w:val="none"/>
              </w:rPr>
            </w:pPr>
          </w:p>
        </w:tc>
        <w:tc>
          <w:tcPr>
            <w:tcW w:w="1785" w:type="dxa"/>
            <w:vAlign w:val="center"/>
          </w:tcPr>
          <w:p w14:paraId="352528BC">
            <w:pPr>
              <w:spacing w:line="360" w:lineRule="auto"/>
              <w:rPr>
                <w:rFonts w:cs="仿宋" w:asciiTheme="majorEastAsia" w:hAnsiTheme="majorEastAsia" w:eastAsiaTheme="majorEastAsia"/>
                <w:color w:val="auto"/>
                <w:sz w:val="24"/>
                <w:highlight w:val="none"/>
              </w:rPr>
            </w:pPr>
          </w:p>
        </w:tc>
      </w:tr>
    </w:tbl>
    <w:p w14:paraId="161C355D">
      <w:pPr>
        <w:snapToGrid w:val="0"/>
        <w:spacing w:line="360" w:lineRule="auto"/>
        <w:jc w:val="left"/>
        <w:rPr>
          <w:rFonts w:cs="仿宋" w:asciiTheme="majorEastAsia" w:hAnsiTheme="majorEastAsia" w:eastAsiaTheme="majorEastAsia"/>
          <w:b/>
          <w:color w:val="auto"/>
          <w:sz w:val="32"/>
          <w:szCs w:val="32"/>
          <w:highlight w:val="none"/>
        </w:rPr>
      </w:pPr>
      <w:r>
        <w:rPr>
          <w:rFonts w:hint="eastAsia" w:cs="仿宋" w:asciiTheme="majorEastAsia" w:hAnsiTheme="majorEastAsia" w:eastAsiaTheme="majorEastAsia"/>
          <w:b/>
          <w:color w:val="auto"/>
          <w:sz w:val="24"/>
          <w:highlight w:val="none"/>
        </w:rPr>
        <w:t xml:space="preserve">备注：投标人自查表将作为投标投标人有效性审查的重要内容之一，投标投标人必须严格按照其内容及序列要求在投标文件中对应如实提供，对资格性证明文件的任何缺漏和不符合项将会直接导致投标无效！ </w:t>
      </w:r>
    </w:p>
    <w:p w14:paraId="7ACB5697">
      <w:pPr>
        <w:numPr>
          <w:ilvl w:val="0"/>
          <w:numId w:val="5"/>
        </w:numPr>
        <w:snapToGrid w:val="0"/>
        <w:spacing w:line="360" w:lineRule="auto"/>
        <w:jc w:val="center"/>
        <w:outlineLvl w:val="0"/>
        <w:rPr>
          <w:rFonts w:cs="仿宋" w:asciiTheme="majorEastAsia" w:hAnsiTheme="majorEastAsia" w:eastAsiaTheme="majorEastAsia"/>
          <w:b/>
          <w:color w:val="auto"/>
          <w:sz w:val="32"/>
          <w:szCs w:val="32"/>
          <w:highlight w:val="none"/>
        </w:rPr>
      </w:pPr>
      <w:r>
        <w:rPr>
          <w:rFonts w:hint="eastAsia" w:cs="仿宋" w:asciiTheme="majorEastAsia" w:hAnsiTheme="majorEastAsia" w:eastAsiaTheme="majorEastAsia"/>
          <w:b/>
          <w:color w:val="auto"/>
          <w:kern w:val="0"/>
          <w:sz w:val="32"/>
          <w:szCs w:val="32"/>
          <w:highlight w:val="none"/>
        </w:rPr>
        <w:br w:type="page"/>
      </w:r>
      <w:r>
        <w:rPr>
          <w:rFonts w:hint="eastAsia" w:cs="仿宋" w:asciiTheme="majorEastAsia" w:hAnsiTheme="majorEastAsia" w:eastAsiaTheme="majorEastAsia"/>
          <w:b/>
          <w:color w:val="auto"/>
          <w:kern w:val="0"/>
          <w:sz w:val="32"/>
          <w:szCs w:val="32"/>
          <w:highlight w:val="none"/>
        </w:rPr>
        <w:t>投标</w:t>
      </w:r>
      <w:r>
        <w:rPr>
          <w:rFonts w:hint="eastAsia" w:cs="仿宋" w:asciiTheme="majorEastAsia" w:hAnsiTheme="majorEastAsia" w:eastAsiaTheme="majorEastAsia"/>
          <w:b/>
          <w:color w:val="auto"/>
          <w:sz w:val="32"/>
          <w:szCs w:val="32"/>
          <w:highlight w:val="none"/>
        </w:rPr>
        <w:t>函</w:t>
      </w:r>
    </w:p>
    <w:p w14:paraId="6B6C3991">
      <w:pPr>
        <w:snapToGrid w:val="0"/>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（采购人）、（采购代理机构）：</w:t>
      </w:r>
    </w:p>
    <w:p w14:paraId="4C63ACE6">
      <w:pP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我方参加你方组织的（项目名称）【项目编号：        】招标的有关活动，并对此项目进行投标。为此：</w:t>
      </w:r>
    </w:p>
    <w:p w14:paraId="0BDB6C83">
      <w:pP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1、我方承诺投标有效期从提交投标文件的截止之日起</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天（不少于90天）</w:t>
      </w:r>
      <w:r>
        <w:rPr>
          <w:rFonts w:hint="eastAsia" w:cs="仿宋" w:asciiTheme="majorEastAsia" w:hAnsiTheme="majorEastAsia" w:eastAsiaTheme="majorEastAsia"/>
          <w:color w:val="auto"/>
          <w:highlight w:val="none"/>
        </w:rPr>
        <w:t>，</w:t>
      </w:r>
      <w:r>
        <w:rPr>
          <w:rFonts w:hint="eastAsia" w:cs="仿宋" w:asciiTheme="majorEastAsia" w:hAnsiTheme="majorEastAsia" w:eastAsiaTheme="majorEastAsia"/>
          <w:color w:val="auto"/>
          <w:sz w:val="24"/>
          <w:highlight w:val="none"/>
        </w:rPr>
        <w:t>本投标文件在投标有效期满之前均具有约束力。</w:t>
      </w:r>
    </w:p>
    <w:p w14:paraId="799EC086">
      <w:pP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2、我方的投标文件包括以下内容：</w:t>
      </w:r>
    </w:p>
    <w:p w14:paraId="31448E42">
      <w:pPr>
        <w:snapToGrid w:val="0"/>
        <w:spacing w:line="360" w:lineRule="auto"/>
        <w:ind w:left="210" w:leftChars="1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2.1资格文件：</w:t>
      </w:r>
    </w:p>
    <w:p w14:paraId="07D565D9">
      <w:pP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2.1.1有效的企业法人营业执照（或事业法人登记证）、其他组织（个体工商户）的营业执照或者民办非企业单位登记证书；</w:t>
      </w:r>
    </w:p>
    <w:p w14:paraId="4CA0ECF5">
      <w:pP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2.1.2符合参加政府采购活动应当具备的一般条件的承诺函；</w:t>
      </w:r>
    </w:p>
    <w:p w14:paraId="66B59A1B">
      <w:pPr>
        <w:snapToGrid w:val="0"/>
        <w:spacing w:line="360" w:lineRule="auto"/>
        <w:ind w:firstLine="960" w:firstLineChars="4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2.1.3落实政府采购政策需满足的资格要求（如果有）；</w:t>
      </w:r>
    </w:p>
    <w:p w14:paraId="5E6EFE31">
      <w:pPr>
        <w:snapToGrid w:val="0"/>
        <w:spacing w:line="360" w:lineRule="auto"/>
        <w:ind w:firstLine="960" w:firstLineChars="4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2.1.4联合协议（如果有）；</w:t>
      </w:r>
    </w:p>
    <w:p w14:paraId="77071A28">
      <w:pPr>
        <w:snapToGrid w:val="0"/>
        <w:spacing w:line="360" w:lineRule="auto"/>
        <w:ind w:firstLine="960" w:firstLineChars="4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2.1.5分包意向协议（如果有）；</w:t>
      </w:r>
    </w:p>
    <w:p w14:paraId="1C9A707A">
      <w:pPr>
        <w:snapToGrid w:val="0"/>
        <w:spacing w:line="360" w:lineRule="auto"/>
        <w:ind w:firstLine="960" w:firstLineChars="40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sz w:val="24"/>
          <w:highlight w:val="none"/>
        </w:rPr>
        <w:t>2.1.6本项目的特定资格要求（如果有）。</w:t>
      </w:r>
    </w:p>
    <w:p w14:paraId="1A9EE7DF">
      <w:pPr>
        <w:snapToGrid w:val="0"/>
        <w:spacing w:line="360" w:lineRule="auto"/>
        <w:ind w:left="210" w:leftChars="100"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 xml:space="preserve"> </w:t>
      </w:r>
      <w:r>
        <w:rPr>
          <w:rFonts w:hint="eastAsia" w:cs="仿宋" w:asciiTheme="majorEastAsia" w:hAnsiTheme="majorEastAsia" w:eastAsiaTheme="majorEastAsia"/>
          <w:color w:val="auto"/>
          <w:sz w:val="24"/>
          <w:highlight w:val="none"/>
        </w:rPr>
        <w:t>商务技术</w:t>
      </w:r>
      <w:r>
        <w:rPr>
          <w:rFonts w:hint="eastAsia" w:cs="仿宋" w:asciiTheme="majorEastAsia" w:hAnsiTheme="majorEastAsia" w:eastAsiaTheme="majorEastAsia"/>
          <w:color w:val="auto"/>
          <w:sz w:val="24"/>
          <w:highlight w:val="none"/>
          <w:lang w:val="zh-CN"/>
        </w:rPr>
        <w:t>文件：</w:t>
      </w:r>
    </w:p>
    <w:p w14:paraId="6C6E8A47">
      <w:pP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2.2.1 评分索引表</w:t>
      </w:r>
    </w:p>
    <w:p w14:paraId="54F28623">
      <w:pP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2.2.2 符合性自查表；</w:t>
      </w:r>
    </w:p>
    <w:p w14:paraId="5BAF2FEF">
      <w:pP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2.2.3 投标函； </w:t>
      </w:r>
    </w:p>
    <w:p w14:paraId="4523B953">
      <w:pP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2.2.4 授权委托书或法定代表人（单位负责人、自然人本人）身份证明；</w:t>
      </w:r>
    </w:p>
    <w:p w14:paraId="3950BC88">
      <w:pP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2.2.5 投标人基本情况表；</w:t>
      </w:r>
    </w:p>
    <w:p w14:paraId="4DB6FA36">
      <w:pP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2.2.6 距采购人最近或者能为本项目提供最优服务的网点情况表；</w:t>
      </w:r>
    </w:p>
    <w:p w14:paraId="1164D9D6">
      <w:pP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2.2.7 评标标准相应的商务技术资料；</w:t>
      </w:r>
    </w:p>
    <w:p w14:paraId="11F002B2">
      <w:pP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2.2.8 商务响应表；</w:t>
      </w:r>
    </w:p>
    <w:p w14:paraId="19C1E714">
      <w:pP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2.2.9 技术响应表；</w:t>
      </w:r>
    </w:p>
    <w:p w14:paraId="798A13DE">
      <w:pP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2.2.10 同类业绩情况一览表；</w:t>
      </w:r>
    </w:p>
    <w:p w14:paraId="5A85B9F5">
      <w:pP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2.2.11 政府采购供应商廉洁自律承诺书；</w:t>
      </w:r>
    </w:p>
    <w:p w14:paraId="73681D90">
      <w:pPr>
        <w:snapToGrid w:val="0"/>
        <w:spacing w:line="360" w:lineRule="auto"/>
        <w:ind w:left="420" w:leftChars="200" w:firstLine="480" w:firstLineChars="20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sz w:val="24"/>
          <w:highlight w:val="none"/>
        </w:rPr>
        <w:t>2.2.12 其他资料。</w:t>
      </w:r>
    </w:p>
    <w:p w14:paraId="5539BD38">
      <w:pPr>
        <w:snapToGrid w:val="0"/>
        <w:spacing w:line="360" w:lineRule="auto"/>
        <w:ind w:left="210" w:leftChars="1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3报价文件</w:t>
      </w:r>
    </w:p>
    <w:p w14:paraId="6D1AD031">
      <w:pPr>
        <w:snapToGrid w:val="0"/>
        <w:spacing w:line="360" w:lineRule="auto"/>
        <w:ind w:firstLine="960" w:firstLineChars="4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2.3.1 开标一览表；</w:t>
      </w:r>
    </w:p>
    <w:p w14:paraId="2AE00C95">
      <w:pPr>
        <w:snapToGrid w:val="0"/>
        <w:spacing w:line="360" w:lineRule="auto"/>
        <w:ind w:firstLine="960" w:firstLineChars="4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2.3.2投标报价明细表；</w:t>
      </w:r>
    </w:p>
    <w:p w14:paraId="331859B3">
      <w:pPr>
        <w:snapToGrid w:val="0"/>
        <w:spacing w:line="360" w:lineRule="auto"/>
        <w:ind w:firstLine="960" w:firstLineChars="4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2.3.3 中小企业声明函（如有）；</w:t>
      </w:r>
    </w:p>
    <w:p w14:paraId="24E3C5C3">
      <w:pPr>
        <w:snapToGrid w:val="0"/>
        <w:spacing w:line="360" w:lineRule="auto"/>
        <w:ind w:firstLine="960" w:firstLineChars="4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2.3.4 残疾人福利性单位声明函（如有）；</w:t>
      </w:r>
    </w:p>
    <w:p w14:paraId="0E590EBA">
      <w:pPr>
        <w:snapToGrid w:val="0"/>
        <w:spacing w:line="360" w:lineRule="auto"/>
        <w:ind w:firstLine="960" w:firstLineChars="4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2.3.5 监狱企业的证明文件（如有）；</w:t>
      </w:r>
    </w:p>
    <w:p w14:paraId="2D907310">
      <w:pPr>
        <w:snapToGrid w:val="0"/>
        <w:spacing w:line="360" w:lineRule="auto"/>
        <w:ind w:firstLine="960" w:firstLineChars="4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2.3.6 政府采购统计基础信息表。</w:t>
      </w:r>
    </w:p>
    <w:p w14:paraId="1E90666A">
      <w:pP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3、我方承诺除商务技术响应表列出的偏离外，我方响应招标文件的全部要求。</w:t>
      </w:r>
    </w:p>
    <w:p w14:paraId="1DEC3F3C">
      <w:pP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4、如我方中标，我方承诺：</w:t>
      </w:r>
    </w:p>
    <w:p w14:paraId="07618F0A">
      <w:pPr>
        <w:snapToGrid w:val="0"/>
        <w:spacing w:line="360" w:lineRule="auto"/>
        <w:ind w:left="210" w:leftChars="1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4.1在收到中标通知书后，在中标通知书规定的期限内与你方签订合同； </w:t>
      </w:r>
    </w:p>
    <w:p w14:paraId="265E29E5">
      <w:pPr>
        <w:snapToGrid w:val="0"/>
        <w:spacing w:line="360" w:lineRule="auto"/>
        <w:ind w:left="210" w:leftChars="1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4.2在签订合同时不向你方提出附加条件； </w:t>
      </w:r>
    </w:p>
    <w:p w14:paraId="270D8141">
      <w:pPr>
        <w:snapToGrid w:val="0"/>
        <w:spacing w:line="360" w:lineRule="auto"/>
        <w:ind w:left="210" w:leftChars="1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4.3按照招标文件要求提交履约保证金； </w:t>
      </w:r>
    </w:p>
    <w:p w14:paraId="6C9AF6D9">
      <w:pPr>
        <w:snapToGrid w:val="0"/>
        <w:spacing w:line="360" w:lineRule="auto"/>
        <w:ind w:left="210" w:leftChars="1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4.4在合同约定的期限内完成合同规定的全部义务。 </w:t>
      </w:r>
    </w:p>
    <w:p w14:paraId="0A880989">
      <w:pP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5、其他补充说明: </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 xml:space="preserve"> 。</w:t>
      </w:r>
    </w:p>
    <w:p w14:paraId="073750A0">
      <w:pPr>
        <w:spacing w:line="360" w:lineRule="auto"/>
        <w:ind w:firstLine="3600" w:firstLineChars="1500"/>
        <w:rPr>
          <w:rFonts w:cs="仿宋" w:asciiTheme="majorEastAsia" w:hAnsiTheme="majorEastAsia" w:eastAsiaTheme="majorEastAsia"/>
          <w:color w:val="auto"/>
          <w:sz w:val="24"/>
          <w:highlight w:val="none"/>
        </w:rPr>
      </w:pPr>
    </w:p>
    <w:p w14:paraId="0E171090">
      <w:pPr>
        <w:spacing w:line="360" w:lineRule="auto"/>
        <w:ind w:firstLine="3600" w:firstLineChars="1500"/>
        <w:rPr>
          <w:rFonts w:cs="仿宋" w:asciiTheme="majorEastAsia" w:hAnsiTheme="majorEastAsia" w:eastAsiaTheme="majorEastAsia"/>
          <w:color w:val="auto"/>
          <w:sz w:val="24"/>
          <w:highlight w:val="none"/>
        </w:rPr>
      </w:pPr>
    </w:p>
    <w:p w14:paraId="30C594DD">
      <w:pPr>
        <w:spacing w:line="360" w:lineRule="auto"/>
        <w:ind w:right="420" w:firstLine="5250" w:firstLineChars="2500"/>
        <w:rPr>
          <w:rFonts w:ascii="宋体" w:hAnsi="宋体" w:cs="宋体"/>
          <w:color w:val="auto"/>
          <w:highlight w:val="none"/>
        </w:rPr>
      </w:pPr>
      <w:r>
        <w:rPr>
          <w:rFonts w:hint="eastAsia" w:ascii="宋体" w:hAnsi="宋体" w:cs="宋体"/>
          <w:color w:val="auto"/>
          <w:highlight w:val="none"/>
        </w:rPr>
        <w:t xml:space="preserve">法定代表人（签名或印章）：     </w:t>
      </w:r>
    </w:p>
    <w:p w14:paraId="6A0A8B13">
      <w:pPr>
        <w:spacing w:line="360" w:lineRule="auto"/>
        <w:ind w:right="420" w:firstLine="5460" w:firstLineChars="2600"/>
        <w:rPr>
          <w:rFonts w:ascii="宋体" w:hAnsi="宋体" w:cs="宋体"/>
          <w:color w:val="auto"/>
          <w:highlight w:val="none"/>
        </w:rPr>
      </w:pPr>
      <w:r>
        <w:rPr>
          <w:rFonts w:hint="eastAsia" w:ascii="宋体" w:hAnsi="宋体" w:cs="宋体"/>
          <w:color w:val="auto"/>
          <w:highlight w:val="none"/>
        </w:rPr>
        <w:t xml:space="preserve">投标人（盖章）：   </w:t>
      </w:r>
    </w:p>
    <w:p w14:paraId="33AABEB9">
      <w:pPr>
        <w:spacing w:line="360" w:lineRule="auto"/>
        <w:ind w:right="420" w:firstLine="5355" w:firstLineChars="2550"/>
        <w:rPr>
          <w:rFonts w:ascii="宋体" w:hAnsi="宋体" w:cs="宋体"/>
          <w:color w:val="auto"/>
          <w:highlight w:val="none"/>
        </w:rPr>
      </w:pPr>
      <w:r>
        <w:rPr>
          <w:rFonts w:hint="eastAsia" w:ascii="宋体" w:hAnsi="宋体" w:cs="宋体"/>
          <w:color w:val="auto"/>
          <w:highlight w:val="none"/>
        </w:rPr>
        <w:t xml:space="preserve"> 年    月    日</w:t>
      </w:r>
    </w:p>
    <w:p w14:paraId="2A72537A">
      <w:pPr>
        <w:spacing w:line="360" w:lineRule="auto"/>
        <w:jc w:val="center"/>
        <w:rPr>
          <w:rFonts w:cs="仿宋" w:asciiTheme="majorEastAsia" w:hAnsiTheme="majorEastAsia" w:eastAsiaTheme="majorEastAsia"/>
          <w:b/>
          <w:color w:val="auto"/>
          <w:kern w:val="0"/>
          <w:sz w:val="32"/>
          <w:szCs w:val="32"/>
          <w:highlight w:val="none"/>
        </w:rPr>
      </w:pPr>
    </w:p>
    <w:p w14:paraId="12AD751C">
      <w:pPr>
        <w:spacing w:line="360" w:lineRule="auto"/>
        <w:jc w:val="center"/>
        <w:rPr>
          <w:rFonts w:cs="仿宋" w:asciiTheme="majorEastAsia" w:hAnsiTheme="majorEastAsia" w:eastAsiaTheme="majorEastAsia"/>
          <w:b/>
          <w:color w:val="auto"/>
          <w:kern w:val="0"/>
          <w:sz w:val="32"/>
          <w:szCs w:val="32"/>
          <w:highlight w:val="none"/>
          <w:lang w:val="zh-CN"/>
        </w:rPr>
      </w:pPr>
    </w:p>
    <w:p w14:paraId="59795ABD">
      <w:pPr>
        <w:spacing w:line="360" w:lineRule="auto"/>
        <w:rPr>
          <w:rFonts w:cs="仿宋" w:asciiTheme="majorEastAsia" w:hAnsiTheme="majorEastAsia" w:eastAsiaTheme="majorEastAsia"/>
          <w:b/>
          <w:color w:val="auto"/>
          <w:sz w:val="32"/>
          <w:szCs w:val="32"/>
          <w:highlight w:val="none"/>
        </w:rPr>
      </w:pPr>
      <w:bookmarkStart w:id="518" w:name="_Toc488936100"/>
      <w:bookmarkStart w:id="519" w:name="_Toc14746861"/>
      <w:bookmarkStart w:id="520" w:name="_Toc483379796"/>
      <w:bookmarkStart w:id="521" w:name="_Toc110393361"/>
      <w:bookmarkStart w:id="522" w:name="_Toc479927873"/>
      <w:bookmarkStart w:id="523" w:name="_Toc225223761"/>
    </w:p>
    <w:p w14:paraId="76335ECF">
      <w:pPr>
        <w:numPr>
          <w:ilvl w:val="0"/>
          <w:numId w:val="5"/>
        </w:numPr>
        <w:snapToGrid w:val="0"/>
        <w:spacing w:line="360" w:lineRule="auto"/>
        <w:jc w:val="center"/>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lang w:val="zh-CN"/>
        </w:rPr>
        <w:br w:type="page"/>
      </w:r>
      <w:r>
        <w:rPr>
          <w:rFonts w:hint="eastAsia" w:cs="仿宋" w:asciiTheme="majorEastAsia" w:hAnsiTheme="majorEastAsia" w:eastAsiaTheme="majorEastAsia"/>
          <w:b/>
          <w:color w:val="auto"/>
          <w:kern w:val="0"/>
          <w:sz w:val="32"/>
          <w:szCs w:val="32"/>
          <w:highlight w:val="none"/>
          <w:lang w:val="zh-CN"/>
        </w:rPr>
        <w:t>授权委托书或法定代表人（单位负责人、自然人本人）身份证明</w:t>
      </w:r>
    </w:p>
    <w:p w14:paraId="0ECF4169">
      <w:pPr>
        <w:jc w:val="left"/>
        <w:rPr>
          <w:rFonts w:ascii="宋体" w:hAnsi="宋体" w:cs="宋体"/>
          <w:b/>
          <w:color w:val="auto"/>
          <w:sz w:val="32"/>
          <w:szCs w:val="32"/>
          <w:highlight w:val="none"/>
        </w:rPr>
      </w:pPr>
      <w:r>
        <w:rPr>
          <w:rFonts w:hint="eastAsia" w:cs="仿宋" w:asciiTheme="majorEastAsia" w:hAnsiTheme="majorEastAsia" w:eastAsiaTheme="majorEastAsia"/>
          <w:color w:val="auto"/>
          <w:sz w:val="24"/>
          <w:highlight w:val="none"/>
        </w:rPr>
        <w:t xml:space="preserve">                           </w:t>
      </w:r>
      <w:r>
        <w:rPr>
          <w:rFonts w:hint="eastAsia" w:ascii="宋体" w:hAnsi="宋体" w:cs="宋体"/>
          <w:b/>
          <w:color w:val="auto"/>
          <w:sz w:val="32"/>
          <w:szCs w:val="32"/>
          <w:highlight w:val="none"/>
        </w:rPr>
        <w:t>法定代表人授权委托书</w:t>
      </w:r>
    </w:p>
    <w:p w14:paraId="5220B98F">
      <w:pPr>
        <w:jc w:val="center"/>
        <w:rPr>
          <w:rFonts w:ascii="宋体" w:hAnsi="宋体" w:cs="宋体"/>
          <w:b/>
          <w:color w:val="auto"/>
          <w:sz w:val="32"/>
          <w:szCs w:val="32"/>
          <w:highlight w:val="none"/>
        </w:rPr>
      </w:pPr>
      <w:r>
        <w:rPr>
          <w:rFonts w:hint="eastAsia" w:ascii="宋体" w:hAnsi="宋体" w:cs="宋体"/>
          <w:bCs/>
          <w:color w:val="auto"/>
          <w:sz w:val="24"/>
          <w:highlight w:val="none"/>
        </w:rPr>
        <w:t>（法定代表人来投标的，此表不用）</w:t>
      </w:r>
    </w:p>
    <w:p w14:paraId="08083BBD">
      <w:pPr>
        <w:snapToGrid w:val="0"/>
        <w:spacing w:line="360" w:lineRule="auto"/>
        <w:rPr>
          <w:rFonts w:ascii="宋体" w:hAnsi="宋体" w:cs="宋体"/>
          <w:bCs/>
          <w:color w:val="auto"/>
          <w:sz w:val="24"/>
          <w:highlight w:val="none"/>
        </w:rPr>
      </w:pPr>
    </w:p>
    <w:p w14:paraId="00D2F298">
      <w:pPr>
        <w:snapToGrid w:val="0"/>
        <w:spacing w:line="360" w:lineRule="auto"/>
        <w:rPr>
          <w:rFonts w:ascii="宋体" w:hAnsi="宋体" w:cs="宋体"/>
          <w:color w:val="auto"/>
          <w:szCs w:val="21"/>
          <w:highlight w:val="none"/>
        </w:rPr>
      </w:pPr>
      <w:r>
        <w:rPr>
          <w:rFonts w:hint="eastAsia" w:ascii="宋体" w:hAnsi="宋体" w:cs="宋体"/>
          <w:bCs/>
          <w:color w:val="auto"/>
          <w:szCs w:val="21"/>
          <w:highlight w:val="none"/>
        </w:rPr>
        <w:t>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（采购单位名称）</w:t>
      </w:r>
      <w:r>
        <w:rPr>
          <w:rFonts w:hint="eastAsia" w:ascii="宋体" w:hAnsi="宋体" w:cs="宋体"/>
          <w:b/>
          <w:bCs/>
          <w:color w:val="auto"/>
          <w:szCs w:val="21"/>
          <w:highlight w:val="none"/>
        </w:rPr>
        <w:t xml:space="preserve"> </w:t>
      </w:r>
      <w:r>
        <w:rPr>
          <w:rFonts w:hint="eastAsia" w:ascii="宋体" w:hAnsi="宋体" w:cs="宋体"/>
          <w:color w:val="auto"/>
          <w:szCs w:val="21"/>
          <w:highlight w:val="none"/>
        </w:rPr>
        <w:t>：</w:t>
      </w:r>
    </w:p>
    <w:p w14:paraId="55C40563">
      <w:pP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我</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（投标人名称）的法定代表人，现授权委托本单位在职职工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（姓名）以我方的名义参加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项目的投标活动，并代表我方全权办理针对上述项目的投标、开标、评标、签约等具体事务和签署相关文件。</w:t>
      </w:r>
    </w:p>
    <w:p w14:paraId="67B85CC6">
      <w:pP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我方对被授权人的签名事项负全部责任。</w:t>
      </w:r>
    </w:p>
    <w:p w14:paraId="2C2DAC9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在撤销授权的书面通知以前，本授权书一直有效。被授权人在授权书有效期内签署的所有文件不因授权的撤销而失效。</w:t>
      </w:r>
    </w:p>
    <w:p w14:paraId="6AEECAF1">
      <w:pPr>
        <w:snapToGrid w:val="0"/>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被授权人无转委托权，特此委托。</w:t>
      </w:r>
    </w:p>
    <w:p w14:paraId="2EB7A0E4">
      <w:pPr>
        <w:snapToGrid w:val="0"/>
        <w:spacing w:line="360" w:lineRule="auto"/>
        <w:rPr>
          <w:rFonts w:ascii="宋体" w:hAnsi="宋体" w:cs="宋体"/>
          <w:color w:val="auto"/>
          <w:szCs w:val="21"/>
          <w:highlight w:val="none"/>
        </w:rPr>
      </w:pPr>
    </w:p>
    <w:p w14:paraId="5B93F095">
      <w:pPr>
        <w:snapToGrid w:val="0"/>
        <w:spacing w:line="360" w:lineRule="auto"/>
        <w:rPr>
          <w:rFonts w:ascii="宋体" w:hAnsi="宋体" w:cs="宋体"/>
          <w:color w:val="auto"/>
          <w:szCs w:val="21"/>
          <w:highlight w:val="none"/>
        </w:rPr>
      </w:pPr>
    </w:p>
    <w:p w14:paraId="2EEE7AC4">
      <w:pPr>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rPr>
        <w:t>被授权人签名：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法定代表人签名：</w:t>
      </w:r>
      <w:r>
        <w:rPr>
          <w:rFonts w:hint="eastAsia" w:ascii="宋体" w:hAnsi="宋体" w:cs="宋体"/>
          <w:color w:val="auto"/>
          <w:szCs w:val="21"/>
          <w:highlight w:val="none"/>
          <w:u w:val="single"/>
        </w:rPr>
        <w:t xml:space="preserve">          </w:t>
      </w:r>
    </w:p>
    <w:p w14:paraId="31FA6AA4">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职务：</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职务：</w:t>
      </w:r>
      <w:r>
        <w:rPr>
          <w:rFonts w:hint="eastAsia" w:ascii="宋体" w:hAnsi="宋体" w:cs="宋体"/>
          <w:color w:val="auto"/>
          <w:szCs w:val="21"/>
          <w:highlight w:val="none"/>
          <w:u w:val="single"/>
        </w:rPr>
        <w:t xml:space="preserve">           </w:t>
      </w:r>
    </w:p>
    <w:p w14:paraId="5C9930BC">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被授权人身份证号码：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28969CE4">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w:t>
      </w:r>
    </w:p>
    <w:p w14:paraId="0B2ABC75">
      <w:pPr>
        <w:snapToGrid w:val="0"/>
        <w:spacing w:line="360" w:lineRule="auto"/>
        <w:rPr>
          <w:rFonts w:ascii="宋体" w:hAnsi="宋体" w:cs="宋体"/>
          <w:color w:val="auto"/>
          <w:szCs w:val="21"/>
          <w:highlight w:val="none"/>
        </w:rPr>
      </w:pPr>
    </w:p>
    <w:p w14:paraId="7B2001B9">
      <w:pPr>
        <w:spacing w:line="360" w:lineRule="auto"/>
        <w:ind w:firstLine="4830" w:firstLineChars="2300"/>
        <w:rPr>
          <w:rFonts w:ascii="宋体" w:hAnsi="宋体" w:cs="宋体"/>
          <w:color w:val="auto"/>
          <w:highlight w:val="none"/>
        </w:rPr>
      </w:pPr>
      <w:r>
        <w:rPr>
          <w:rFonts w:hint="eastAsia" w:ascii="宋体" w:hAnsi="宋体" w:cs="宋体"/>
          <w:color w:val="auto"/>
          <w:highlight w:val="none"/>
        </w:rPr>
        <w:t>投标人（盖章）：</w:t>
      </w:r>
    </w:p>
    <w:p w14:paraId="51725164">
      <w:pPr>
        <w:spacing w:line="360" w:lineRule="auto"/>
        <w:ind w:firstLine="1260" w:firstLineChars="600"/>
        <w:rPr>
          <w:rFonts w:ascii="宋体" w:hAnsi="宋体" w:cs="宋体"/>
          <w:color w:val="auto"/>
          <w:highlight w:val="none"/>
        </w:rPr>
      </w:pPr>
      <w:r>
        <w:rPr>
          <w:rFonts w:hint="eastAsia" w:ascii="宋体" w:hAnsi="宋体" w:cs="宋体"/>
          <w:color w:val="auto"/>
          <w:highlight w:val="none"/>
        </w:rPr>
        <w:t xml:space="preserve">                                  日期：</w:t>
      </w:r>
    </w:p>
    <w:p w14:paraId="1AE8B8DD">
      <w:pPr>
        <w:spacing w:line="360" w:lineRule="auto"/>
        <w:rPr>
          <w:rFonts w:ascii="宋体" w:hAnsi="宋体" w:cs="宋体"/>
          <w:b/>
          <w:color w:val="auto"/>
          <w:szCs w:val="21"/>
          <w:highlight w:val="none"/>
        </w:rPr>
      </w:pPr>
    </w:p>
    <w:p w14:paraId="52084965">
      <w:pPr>
        <w:spacing w:line="360" w:lineRule="auto"/>
        <w:rPr>
          <w:rFonts w:ascii="宋体" w:hAnsi="宋体" w:cs="宋体"/>
          <w:b/>
          <w:color w:val="auto"/>
          <w:szCs w:val="21"/>
          <w:highlight w:val="none"/>
        </w:rPr>
      </w:pPr>
    </w:p>
    <w:p w14:paraId="7CDF7F5E">
      <w:pPr>
        <w:spacing w:line="360" w:lineRule="auto"/>
        <w:rPr>
          <w:rFonts w:ascii="宋体" w:hAnsi="宋体" w:cs="宋体"/>
          <w:b/>
          <w:color w:val="auto"/>
          <w:szCs w:val="21"/>
          <w:highlight w:val="none"/>
        </w:rPr>
      </w:pPr>
      <w:r>
        <w:rPr>
          <w:rFonts w:hint="eastAsia" w:ascii="宋体" w:hAnsi="宋体" w:cs="宋体"/>
          <w:b/>
          <w:color w:val="auto"/>
          <w:szCs w:val="21"/>
          <w:highlight w:val="none"/>
        </w:rPr>
        <w:t>附：法定代表人身份证复印件（正反面）、授权代表身份证复印件（正反面）：</w:t>
      </w:r>
    </w:p>
    <w:p w14:paraId="4D8B9E1A">
      <w:pPr>
        <w:snapToGrid w:val="0"/>
        <w:spacing w:line="360" w:lineRule="auto"/>
        <w:rPr>
          <w:rFonts w:cs="仿宋" w:asciiTheme="majorEastAsia" w:hAnsiTheme="majorEastAsia" w:eastAsiaTheme="majorEastAsia"/>
          <w:color w:val="auto"/>
          <w:sz w:val="24"/>
          <w:highlight w:val="none"/>
        </w:rPr>
      </w:pPr>
    </w:p>
    <w:p w14:paraId="5965BD80">
      <w:pPr>
        <w:spacing w:line="360" w:lineRule="auto"/>
        <w:jc w:val="center"/>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b/>
          <w:color w:val="auto"/>
          <w:kern w:val="0"/>
          <w:sz w:val="32"/>
          <w:szCs w:val="32"/>
          <w:highlight w:val="none"/>
          <w:lang w:val="zh-CN"/>
        </w:rPr>
        <w:t xml:space="preserve">      </w:t>
      </w:r>
      <w:r>
        <w:rPr>
          <w:rFonts w:hint="eastAsia" w:cs="仿宋" w:asciiTheme="majorEastAsia" w:hAnsiTheme="majorEastAsia" w:eastAsiaTheme="majorEastAsia"/>
          <w:b/>
          <w:color w:val="auto"/>
          <w:kern w:val="0"/>
          <w:sz w:val="32"/>
          <w:szCs w:val="32"/>
          <w:highlight w:val="none"/>
        </w:rPr>
        <w:t xml:space="preserve"> </w:t>
      </w:r>
    </w:p>
    <w:p w14:paraId="25A2A0C5">
      <w:pPr>
        <w:jc w:val="center"/>
        <w:rPr>
          <w:rFonts w:ascii="宋体" w:hAnsi="宋体" w:cs="宋体"/>
          <w:b/>
          <w:color w:val="auto"/>
          <w:sz w:val="32"/>
          <w:szCs w:val="32"/>
          <w:highlight w:val="none"/>
        </w:rPr>
      </w:pPr>
      <w:r>
        <w:rPr>
          <w:rFonts w:hint="eastAsia" w:cs="仿宋" w:asciiTheme="majorEastAsia" w:hAnsiTheme="majorEastAsia" w:eastAsiaTheme="majorEastAsia"/>
          <w:b/>
          <w:color w:val="auto"/>
          <w:kern w:val="0"/>
          <w:sz w:val="32"/>
          <w:szCs w:val="32"/>
          <w:highlight w:val="none"/>
          <w:lang w:val="zh-CN"/>
        </w:rPr>
        <w:br w:type="page"/>
      </w:r>
      <w:r>
        <w:rPr>
          <w:rFonts w:hint="eastAsia" w:ascii="宋体" w:hAnsi="宋体" w:cs="宋体"/>
          <w:b/>
          <w:color w:val="auto"/>
          <w:sz w:val="32"/>
          <w:szCs w:val="32"/>
          <w:highlight w:val="none"/>
        </w:rPr>
        <w:t>法定代表人身份证明</w:t>
      </w:r>
    </w:p>
    <w:p w14:paraId="3B35FEDB">
      <w:pPr>
        <w:spacing w:line="480" w:lineRule="auto"/>
        <w:jc w:val="center"/>
        <w:rPr>
          <w:rFonts w:ascii="宋体" w:hAnsi="宋体" w:cs="宋体"/>
          <w:bCs/>
          <w:color w:val="auto"/>
          <w:sz w:val="24"/>
          <w:highlight w:val="none"/>
        </w:rPr>
      </w:pPr>
    </w:p>
    <w:p w14:paraId="5BF3DAB3">
      <w:pPr>
        <w:spacing w:line="480" w:lineRule="auto"/>
        <w:jc w:val="center"/>
        <w:rPr>
          <w:rFonts w:ascii="宋体" w:hAnsi="宋体" w:cs="宋体"/>
          <w:b/>
          <w:color w:val="auto"/>
          <w:sz w:val="24"/>
          <w:highlight w:val="none"/>
        </w:rPr>
      </w:pPr>
      <w:r>
        <w:rPr>
          <w:rFonts w:hint="eastAsia" w:ascii="宋体" w:hAnsi="宋体" w:cs="宋体"/>
          <w:bCs/>
          <w:color w:val="auto"/>
          <w:sz w:val="24"/>
          <w:highlight w:val="none"/>
        </w:rPr>
        <w:t>（法定代表人不来投标的，此表不用）</w:t>
      </w:r>
    </w:p>
    <w:p w14:paraId="5F2A3DEC">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投标人名称：</w:t>
      </w:r>
      <w:r>
        <w:rPr>
          <w:rFonts w:hint="eastAsia" w:ascii="宋体" w:hAnsi="宋体" w:cs="宋体"/>
          <w:color w:val="auto"/>
          <w:szCs w:val="21"/>
          <w:highlight w:val="none"/>
          <w:u w:val="single"/>
        </w:rPr>
        <w:t xml:space="preserve">                                      </w:t>
      </w:r>
    </w:p>
    <w:p w14:paraId="2D2187EB">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单位性质：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5B5015D7">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 xml:space="preserve">                                              </w:t>
      </w:r>
    </w:p>
    <w:p w14:paraId="6DE125F7">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成立时间：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235495DD">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经营期限：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170EECB0">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姓名：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性别：</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年龄：</w:t>
      </w:r>
      <w:r>
        <w:rPr>
          <w:rFonts w:hint="eastAsia" w:ascii="宋体" w:hAnsi="宋体" w:cs="宋体"/>
          <w:color w:val="auto"/>
          <w:szCs w:val="21"/>
          <w:highlight w:val="none"/>
          <w:u w:val="single"/>
        </w:rPr>
        <w:t xml:space="preserve">    周岁  </w:t>
      </w:r>
      <w:r>
        <w:rPr>
          <w:rFonts w:hint="eastAsia" w:ascii="宋体" w:hAnsi="宋体" w:cs="宋体"/>
          <w:color w:val="auto"/>
          <w:szCs w:val="21"/>
          <w:highlight w:val="none"/>
        </w:rPr>
        <w:t>职务：</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_</w:t>
      </w:r>
    </w:p>
    <w:p w14:paraId="0A00C2B2">
      <w:pPr>
        <w:spacing w:line="48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身份证号码：</w:t>
      </w:r>
      <w:r>
        <w:rPr>
          <w:rFonts w:hint="eastAsia" w:ascii="宋体" w:hAnsi="宋体" w:cs="宋体"/>
          <w:color w:val="auto"/>
          <w:szCs w:val="21"/>
          <w:highlight w:val="none"/>
          <w:u w:val="single"/>
        </w:rPr>
        <w:t xml:space="preserve">                   </w:t>
      </w:r>
    </w:p>
    <w:p w14:paraId="4F65D3CD">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（投标人名称）的法定代表人。</w:t>
      </w:r>
    </w:p>
    <w:p w14:paraId="096AE7FD">
      <w:pPr>
        <w:spacing w:line="48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特此证明。</w:t>
      </w:r>
    </w:p>
    <w:p w14:paraId="1FA27633">
      <w:pPr>
        <w:spacing w:line="360" w:lineRule="auto"/>
        <w:ind w:firstLine="420" w:firstLineChars="200"/>
        <w:rPr>
          <w:rFonts w:ascii="宋体" w:hAnsi="宋体" w:cs="宋体"/>
          <w:color w:val="auto"/>
          <w:szCs w:val="21"/>
          <w:highlight w:val="none"/>
        </w:rPr>
      </w:pPr>
    </w:p>
    <w:p w14:paraId="429C518E">
      <w:pPr>
        <w:spacing w:line="360" w:lineRule="auto"/>
        <w:ind w:firstLine="420" w:firstLineChars="200"/>
        <w:rPr>
          <w:rFonts w:ascii="宋体" w:hAnsi="宋体" w:cs="宋体"/>
          <w:color w:val="auto"/>
          <w:szCs w:val="21"/>
          <w:highlight w:val="none"/>
        </w:rPr>
      </w:pPr>
    </w:p>
    <w:p w14:paraId="3FF06A99">
      <w:pPr>
        <w:wordWrap w:val="0"/>
        <w:spacing w:line="360" w:lineRule="auto"/>
        <w:jc w:val="right"/>
        <w:rPr>
          <w:rFonts w:ascii="宋体" w:hAnsi="宋体" w:cs="宋体"/>
          <w:color w:val="auto"/>
          <w:szCs w:val="21"/>
          <w:highlight w:val="none"/>
        </w:rPr>
      </w:pPr>
      <w:r>
        <w:rPr>
          <w:rFonts w:hint="eastAsia" w:ascii="宋体" w:hAnsi="宋体" w:cs="宋体"/>
          <w:color w:val="auto"/>
          <w:szCs w:val="21"/>
          <w:highlight w:val="none"/>
        </w:rPr>
        <w:t>投标人：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（盖单位公章）</w:t>
      </w:r>
    </w:p>
    <w:p w14:paraId="38738000">
      <w:pPr>
        <w:spacing w:line="360" w:lineRule="auto"/>
        <w:ind w:firstLine="4515" w:firstLineChars="2150"/>
        <w:rPr>
          <w:rFonts w:ascii="宋体" w:hAnsi="宋体" w:cs="宋体"/>
          <w:color w:val="auto"/>
          <w:szCs w:val="21"/>
          <w:highlight w:val="none"/>
          <w:u w:val="single"/>
        </w:rPr>
      </w:pPr>
    </w:p>
    <w:p w14:paraId="592AFAAF">
      <w:pPr>
        <w:spacing w:line="360" w:lineRule="auto"/>
        <w:ind w:firstLine="3675" w:firstLineChars="1750"/>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0EBDB790">
      <w:pPr>
        <w:spacing w:line="360" w:lineRule="auto"/>
        <w:rPr>
          <w:rFonts w:ascii="宋体" w:hAnsi="宋体" w:cs="宋体"/>
          <w:color w:val="auto"/>
          <w:sz w:val="24"/>
          <w:highlight w:val="none"/>
        </w:rPr>
      </w:pPr>
    </w:p>
    <w:p w14:paraId="609C2019">
      <w:pPr>
        <w:spacing w:line="360" w:lineRule="auto"/>
        <w:rPr>
          <w:rFonts w:ascii="宋体" w:hAnsi="宋体" w:cs="宋体"/>
          <w:b/>
          <w:color w:val="auto"/>
          <w:szCs w:val="21"/>
          <w:highlight w:val="none"/>
        </w:rPr>
      </w:pPr>
    </w:p>
    <w:p w14:paraId="7F72ACC7">
      <w:pPr>
        <w:spacing w:line="360" w:lineRule="auto"/>
        <w:rPr>
          <w:rFonts w:ascii="宋体" w:hAnsi="宋体" w:cs="宋体"/>
          <w:b/>
          <w:color w:val="auto"/>
          <w:szCs w:val="21"/>
          <w:highlight w:val="none"/>
        </w:rPr>
      </w:pPr>
    </w:p>
    <w:p w14:paraId="27E1F6D0">
      <w:pPr>
        <w:spacing w:line="360" w:lineRule="auto"/>
        <w:rPr>
          <w:rFonts w:cs="仿宋" w:asciiTheme="majorEastAsia" w:hAnsiTheme="majorEastAsia" w:eastAsiaTheme="majorEastAsia"/>
          <w:b/>
          <w:color w:val="auto"/>
          <w:kern w:val="0"/>
          <w:sz w:val="32"/>
          <w:szCs w:val="32"/>
          <w:highlight w:val="none"/>
          <w:lang w:val="zh-CN"/>
        </w:rPr>
      </w:pPr>
      <w:r>
        <w:rPr>
          <w:rFonts w:hint="eastAsia" w:ascii="宋体" w:hAnsi="宋体" w:cs="宋体"/>
          <w:b/>
          <w:color w:val="auto"/>
          <w:szCs w:val="21"/>
          <w:highlight w:val="none"/>
        </w:rPr>
        <w:t>附法定代表人身份证复印件（正反面）：</w:t>
      </w:r>
      <w:r>
        <w:rPr>
          <w:rFonts w:hint="eastAsia" w:cs="仿宋" w:asciiTheme="majorEastAsia" w:hAnsiTheme="majorEastAsia" w:eastAsiaTheme="majorEastAsia"/>
          <w:color w:val="auto"/>
          <w:sz w:val="24"/>
          <w:highlight w:val="none"/>
        </w:rPr>
        <w:t xml:space="preserve"> </w:t>
      </w:r>
      <w:r>
        <w:rPr>
          <w:rFonts w:cs="仿宋" w:asciiTheme="majorEastAsia" w:hAnsiTheme="majorEastAsia" w:eastAsiaTheme="majorEastAsia"/>
          <w:b/>
          <w:color w:val="auto"/>
          <w:kern w:val="0"/>
          <w:sz w:val="32"/>
          <w:szCs w:val="32"/>
          <w:highlight w:val="none"/>
          <w:lang w:val="zh-CN"/>
        </w:rPr>
        <w:br w:type="page"/>
      </w:r>
    </w:p>
    <w:p w14:paraId="48915FFA">
      <w:pPr>
        <w:numPr>
          <w:ilvl w:val="0"/>
          <w:numId w:val="5"/>
        </w:numPr>
        <w:snapToGrid w:val="0"/>
        <w:spacing w:line="360" w:lineRule="auto"/>
        <w:jc w:val="center"/>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lang w:val="zh-CN"/>
        </w:rPr>
        <w:t>投标人基本情况</w:t>
      </w:r>
      <w:bookmarkEnd w:id="518"/>
      <w:bookmarkEnd w:id="519"/>
      <w:bookmarkEnd w:id="520"/>
      <w:bookmarkEnd w:id="521"/>
      <w:bookmarkEnd w:id="522"/>
      <w:bookmarkEnd w:id="523"/>
      <w:r>
        <w:rPr>
          <w:rFonts w:hint="eastAsia" w:cs="仿宋" w:asciiTheme="majorEastAsia" w:hAnsiTheme="majorEastAsia" w:eastAsiaTheme="majorEastAsia"/>
          <w:b/>
          <w:color w:val="auto"/>
          <w:kern w:val="0"/>
          <w:sz w:val="32"/>
          <w:szCs w:val="32"/>
          <w:highlight w:val="none"/>
          <w:lang w:val="zh-CN"/>
        </w:rPr>
        <w:t>表</w:t>
      </w:r>
    </w:p>
    <w:tbl>
      <w:tblPr>
        <w:tblStyle w:val="21"/>
        <w:tblW w:w="9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1936"/>
        <w:gridCol w:w="873"/>
        <w:gridCol w:w="1786"/>
        <w:gridCol w:w="1200"/>
        <w:gridCol w:w="1852"/>
      </w:tblGrid>
      <w:tr w14:paraId="4829A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3CE9E79B">
            <w:pP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投标人名称</w:t>
            </w:r>
          </w:p>
        </w:tc>
        <w:tc>
          <w:tcPr>
            <w:tcW w:w="7647" w:type="dxa"/>
            <w:gridSpan w:val="5"/>
            <w:vAlign w:val="center"/>
          </w:tcPr>
          <w:p w14:paraId="1314624C">
            <w:pP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7091A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3FD6CBCE">
            <w:pP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注册地址</w:t>
            </w:r>
          </w:p>
        </w:tc>
        <w:tc>
          <w:tcPr>
            <w:tcW w:w="2809" w:type="dxa"/>
            <w:gridSpan w:val="2"/>
            <w:vAlign w:val="center"/>
          </w:tcPr>
          <w:p w14:paraId="0C423ADA">
            <w:pP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786" w:type="dxa"/>
            <w:vAlign w:val="center"/>
          </w:tcPr>
          <w:p w14:paraId="00B68AA6">
            <w:pP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成立时间</w:t>
            </w:r>
          </w:p>
        </w:tc>
        <w:tc>
          <w:tcPr>
            <w:tcW w:w="3052" w:type="dxa"/>
            <w:gridSpan w:val="2"/>
            <w:vAlign w:val="center"/>
          </w:tcPr>
          <w:p w14:paraId="0B3D3B52">
            <w:pP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006D2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726B5AC0">
            <w:pP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统一信用代码</w:t>
            </w:r>
          </w:p>
        </w:tc>
        <w:tc>
          <w:tcPr>
            <w:tcW w:w="2809" w:type="dxa"/>
            <w:gridSpan w:val="2"/>
            <w:vAlign w:val="center"/>
          </w:tcPr>
          <w:p w14:paraId="5B166783">
            <w:pP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786" w:type="dxa"/>
            <w:vAlign w:val="center"/>
          </w:tcPr>
          <w:p w14:paraId="5A924C9F">
            <w:pP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注册资金</w:t>
            </w:r>
          </w:p>
        </w:tc>
        <w:tc>
          <w:tcPr>
            <w:tcW w:w="3052" w:type="dxa"/>
            <w:gridSpan w:val="2"/>
            <w:vAlign w:val="center"/>
          </w:tcPr>
          <w:p w14:paraId="12BFA045">
            <w:pP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5D4C3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2054627D">
            <w:pP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投标联系人姓名</w:t>
            </w:r>
          </w:p>
        </w:tc>
        <w:tc>
          <w:tcPr>
            <w:tcW w:w="1936" w:type="dxa"/>
            <w:vAlign w:val="center"/>
          </w:tcPr>
          <w:p w14:paraId="52D0F56E">
            <w:pP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873" w:type="dxa"/>
            <w:vAlign w:val="center"/>
          </w:tcPr>
          <w:p w14:paraId="00AD365B">
            <w:pP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电话</w:t>
            </w:r>
          </w:p>
        </w:tc>
        <w:tc>
          <w:tcPr>
            <w:tcW w:w="1786" w:type="dxa"/>
            <w:vAlign w:val="center"/>
          </w:tcPr>
          <w:p w14:paraId="511D2644">
            <w:pP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200" w:type="dxa"/>
            <w:vAlign w:val="center"/>
          </w:tcPr>
          <w:p w14:paraId="0C799A97">
            <w:pP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手机</w:t>
            </w:r>
          </w:p>
        </w:tc>
        <w:tc>
          <w:tcPr>
            <w:tcW w:w="1852" w:type="dxa"/>
            <w:vAlign w:val="center"/>
          </w:tcPr>
          <w:p w14:paraId="3653866E">
            <w:pP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743A3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0BB0AA93">
            <w:pP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法定代表人姓名</w:t>
            </w:r>
          </w:p>
        </w:tc>
        <w:tc>
          <w:tcPr>
            <w:tcW w:w="1936" w:type="dxa"/>
            <w:vAlign w:val="center"/>
          </w:tcPr>
          <w:p w14:paraId="6FA79299">
            <w:pP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873" w:type="dxa"/>
            <w:vAlign w:val="center"/>
          </w:tcPr>
          <w:p w14:paraId="50F69CA6">
            <w:pP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电话</w:t>
            </w:r>
          </w:p>
        </w:tc>
        <w:tc>
          <w:tcPr>
            <w:tcW w:w="1786" w:type="dxa"/>
            <w:vAlign w:val="center"/>
          </w:tcPr>
          <w:p w14:paraId="439E7B15">
            <w:pP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200" w:type="dxa"/>
            <w:vAlign w:val="center"/>
          </w:tcPr>
          <w:p w14:paraId="05A23086">
            <w:pP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手机</w:t>
            </w:r>
          </w:p>
        </w:tc>
        <w:tc>
          <w:tcPr>
            <w:tcW w:w="1852" w:type="dxa"/>
            <w:vAlign w:val="center"/>
          </w:tcPr>
          <w:p w14:paraId="767E9859">
            <w:pP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3274F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480380A3">
            <w:pP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项目负责人姓名</w:t>
            </w:r>
          </w:p>
        </w:tc>
        <w:tc>
          <w:tcPr>
            <w:tcW w:w="1936" w:type="dxa"/>
            <w:vAlign w:val="center"/>
          </w:tcPr>
          <w:p w14:paraId="76EE8723">
            <w:pP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873" w:type="dxa"/>
            <w:vAlign w:val="center"/>
          </w:tcPr>
          <w:p w14:paraId="360C0E71">
            <w:pP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电话</w:t>
            </w:r>
          </w:p>
        </w:tc>
        <w:tc>
          <w:tcPr>
            <w:tcW w:w="1786" w:type="dxa"/>
            <w:vAlign w:val="center"/>
          </w:tcPr>
          <w:p w14:paraId="45D8F843">
            <w:pP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200" w:type="dxa"/>
            <w:vAlign w:val="center"/>
          </w:tcPr>
          <w:p w14:paraId="2F5D681C">
            <w:pP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技术职称</w:t>
            </w:r>
          </w:p>
        </w:tc>
        <w:tc>
          <w:tcPr>
            <w:tcW w:w="1852" w:type="dxa"/>
            <w:vAlign w:val="center"/>
          </w:tcPr>
          <w:p w14:paraId="56497535">
            <w:pP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3E6F2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restart"/>
            <w:vAlign w:val="center"/>
          </w:tcPr>
          <w:p w14:paraId="0C0152BB">
            <w:pP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员工总人数：</w:t>
            </w:r>
          </w:p>
        </w:tc>
        <w:tc>
          <w:tcPr>
            <w:tcW w:w="1936" w:type="dxa"/>
            <w:vMerge w:val="restart"/>
            <w:vAlign w:val="center"/>
          </w:tcPr>
          <w:p w14:paraId="3655C421">
            <w:pP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873" w:type="dxa"/>
            <w:vMerge w:val="restart"/>
            <w:vAlign w:val="center"/>
          </w:tcPr>
          <w:p w14:paraId="5E0C3BD8">
            <w:pP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其中</w:t>
            </w:r>
          </w:p>
        </w:tc>
        <w:tc>
          <w:tcPr>
            <w:tcW w:w="1786" w:type="dxa"/>
            <w:vAlign w:val="center"/>
          </w:tcPr>
          <w:p w14:paraId="40432FD7">
            <w:pP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高级职称</w:t>
            </w:r>
          </w:p>
        </w:tc>
        <w:tc>
          <w:tcPr>
            <w:tcW w:w="3052" w:type="dxa"/>
            <w:gridSpan w:val="2"/>
            <w:vAlign w:val="center"/>
          </w:tcPr>
          <w:p w14:paraId="715D09F4">
            <w:pP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27D97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14:paraId="399E178F">
            <w:pP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936" w:type="dxa"/>
            <w:vMerge w:val="continue"/>
            <w:vAlign w:val="center"/>
          </w:tcPr>
          <w:p w14:paraId="4A40ACE4">
            <w:pP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873" w:type="dxa"/>
            <w:vMerge w:val="continue"/>
            <w:vAlign w:val="center"/>
          </w:tcPr>
          <w:p w14:paraId="25ECC001">
            <w:pP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786" w:type="dxa"/>
            <w:vAlign w:val="center"/>
          </w:tcPr>
          <w:p w14:paraId="0B97A7B0">
            <w:pP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中级职称</w:t>
            </w:r>
          </w:p>
        </w:tc>
        <w:tc>
          <w:tcPr>
            <w:tcW w:w="3052" w:type="dxa"/>
            <w:gridSpan w:val="2"/>
            <w:vAlign w:val="center"/>
          </w:tcPr>
          <w:p w14:paraId="55BF79A4">
            <w:pP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296A7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14:paraId="246CFF1B">
            <w:pP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936" w:type="dxa"/>
            <w:vMerge w:val="continue"/>
            <w:vAlign w:val="center"/>
          </w:tcPr>
          <w:p w14:paraId="23067D4E">
            <w:pP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873" w:type="dxa"/>
            <w:vMerge w:val="continue"/>
            <w:vAlign w:val="center"/>
          </w:tcPr>
          <w:p w14:paraId="283F2804">
            <w:pP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786" w:type="dxa"/>
            <w:vAlign w:val="center"/>
          </w:tcPr>
          <w:p w14:paraId="211E4C76">
            <w:pP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各类注册人员</w:t>
            </w:r>
          </w:p>
        </w:tc>
        <w:tc>
          <w:tcPr>
            <w:tcW w:w="3052" w:type="dxa"/>
            <w:gridSpan w:val="2"/>
            <w:vAlign w:val="center"/>
          </w:tcPr>
          <w:p w14:paraId="29CBA93F">
            <w:pP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31156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2219912D">
            <w:pP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基本账户开户银行</w:t>
            </w:r>
          </w:p>
        </w:tc>
        <w:tc>
          <w:tcPr>
            <w:tcW w:w="7647" w:type="dxa"/>
            <w:gridSpan w:val="5"/>
            <w:vAlign w:val="center"/>
          </w:tcPr>
          <w:p w14:paraId="0F432557">
            <w:pP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6EDC0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5A9024A2">
            <w:pP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基本账户账号</w:t>
            </w:r>
          </w:p>
        </w:tc>
        <w:tc>
          <w:tcPr>
            <w:tcW w:w="7647" w:type="dxa"/>
            <w:gridSpan w:val="5"/>
            <w:vAlign w:val="center"/>
          </w:tcPr>
          <w:p w14:paraId="53034DEA">
            <w:pP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3C772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2180" w:type="dxa"/>
            <w:vAlign w:val="center"/>
          </w:tcPr>
          <w:p w14:paraId="4DEC24D1">
            <w:pP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经营范围</w:t>
            </w:r>
          </w:p>
        </w:tc>
        <w:tc>
          <w:tcPr>
            <w:tcW w:w="7647" w:type="dxa"/>
            <w:gridSpan w:val="5"/>
            <w:vAlign w:val="center"/>
          </w:tcPr>
          <w:p w14:paraId="3FA5AE78">
            <w:pP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286E0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180" w:type="dxa"/>
            <w:vAlign w:val="center"/>
          </w:tcPr>
          <w:p w14:paraId="02C63473">
            <w:pP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备注</w:t>
            </w:r>
          </w:p>
        </w:tc>
        <w:tc>
          <w:tcPr>
            <w:tcW w:w="7647" w:type="dxa"/>
            <w:gridSpan w:val="5"/>
            <w:vAlign w:val="center"/>
          </w:tcPr>
          <w:p w14:paraId="085DE368">
            <w:pPr>
              <w:adjustRightInd w:val="0"/>
              <w:snapToGrid w:val="0"/>
              <w:spacing w:line="360" w:lineRule="auto"/>
              <w:rPr>
                <w:rFonts w:cs="仿宋" w:asciiTheme="majorEastAsia" w:hAnsiTheme="majorEastAsia" w:eastAsiaTheme="majorEastAsia"/>
                <w:color w:val="auto"/>
                <w:kern w:val="0"/>
                <w:sz w:val="24"/>
                <w:highlight w:val="none"/>
                <w:lang w:val="zh-CN"/>
              </w:rPr>
            </w:pPr>
          </w:p>
        </w:tc>
      </w:tr>
    </w:tbl>
    <w:p w14:paraId="7DD9ED53">
      <w:pPr>
        <w:adjustRightInd w:val="0"/>
        <w:snapToGrid w:val="0"/>
        <w:spacing w:line="360" w:lineRule="auto"/>
        <w:ind w:firstLine="482" w:firstLineChars="200"/>
        <w:rPr>
          <w:rFonts w:cs="仿宋" w:asciiTheme="majorEastAsia" w:hAnsiTheme="majorEastAsia" w:eastAsiaTheme="majorEastAsia"/>
          <w:b/>
          <w:bCs/>
          <w:color w:val="auto"/>
          <w:kern w:val="0"/>
          <w:sz w:val="24"/>
          <w:highlight w:val="none"/>
          <w:lang w:val="zh-CN"/>
        </w:rPr>
      </w:pPr>
      <w:r>
        <w:rPr>
          <w:rFonts w:hint="eastAsia" w:cs="仿宋" w:asciiTheme="majorEastAsia" w:hAnsiTheme="majorEastAsia" w:eastAsiaTheme="majorEastAsia"/>
          <w:b/>
          <w:bCs/>
          <w:color w:val="auto"/>
          <w:kern w:val="0"/>
          <w:sz w:val="24"/>
          <w:highlight w:val="none"/>
          <w:lang w:val="zh-CN"/>
        </w:rPr>
        <w:t>兹证明上述声明是真实、正确的，并提供了全部能提供的资料和数据，我们同意遵照贵方要求出示有关证明文件。</w:t>
      </w:r>
    </w:p>
    <w:p w14:paraId="2180EBBF">
      <w:pPr>
        <w:adjustRightInd w:val="0"/>
        <w:snapToGrid w:val="0"/>
        <w:spacing w:line="360" w:lineRule="auto"/>
        <w:rPr>
          <w:rFonts w:cs="仿宋" w:asciiTheme="majorEastAsia" w:hAnsiTheme="majorEastAsia" w:eastAsiaTheme="majorEastAsia"/>
          <w:color w:val="auto"/>
          <w:kern w:val="0"/>
          <w:sz w:val="24"/>
          <w:highlight w:val="none"/>
          <w:lang w:val="zh-CN"/>
        </w:rPr>
      </w:pPr>
    </w:p>
    <w:p w14:paraId="5A07C4CA">
      <w:pPr>
        <w:pStyle w:val="28"/>
        <w:spacing w:line="360" w:lineRule="auto"/>
        <w:ind w:firstLine="560"/>
        <w:rPr>
          <w:rFonts w:cs="仿宋" w:asciiTheme="majorEastAsia" w:hAnsiTheme="majorEastAsia" w:eastAsiaTheme="majorEastAsia"/>
          <w:color w:val="auto"/>
          <w:highlight w:val="none"/>
          <w:lang w:val="zh-CN"/>
        </w:rPr>
      </w:pPr>
    </w:p>
    <w:p w14:paraId="7BF234D8">
      <w:pPr>
        <w:adjustRightInd w:val="0"/>
        <w:snapToGrid w:val="0"/>
        <w:spacing w:line="360" w:lineRule="auto"/>
        <w:ind w:firstLine="4080" w:firstLineChars="1700"/>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法定代表人或其授权委托人（签名或印章）：</w:t>
      </w:r>
    </w:p>
    <w:p w14:paraId="74F0697B">
      <w:pPr>
        <w:adjustRightInd w:val="0"/>
        <w:snapToGrid w:val="0"/>
        <w:spacing w:line="360" w:lineRule="auto"/>
        <w:ind w:firstLine="4080" w:firstLineChars="1700"/>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投标人（盖章）：</w:t>
      </w:r>
    </w:p>
    <w:p w14:paraId="3254F506">
      <w:pPr>
        <w:adjustRightInd w:val="0"/>
        <w:snapToGrid w:val="0"/>
        <w:spacing w:line="360" w:lineRule="auto"/>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color w:val="auto"/>
          <w:kern w:val="0"/>
          <w:sz w:val="24"/>
          <w:highlight w:val="none"/>
          <w:lang w:val="zh-CN"/>
        </w:rPr>
        <w:t xml:space="preserve">                                  日期：</w:t>
      </w:r>
    </w:p>
    <w:p w14:paraId="28C152CB">
      <w:pPr>
        <w:numPr>
          <w:ilvl w:val="0"/>
          <w:numId w:val="5"/>
        </w:numPr>
        <w:snapToGrid w:val="0"/>
        <w:spacing w:line="360" w:lineRule="auto"/>
        <w:jc w:val="center"/>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lang w:val="zh-CN"/>
        </w:rPr>
        <w:br w:type="page"/>
      </w:r>
      <w:r>
        <w:rPr>
          <w:rFonts w:hint="eastAsia" w:cs="仿宋" w:asciiTheme="majorEastAsia" w:hAnsiTheme="majorEastAsia" w:eastAsiaTheme="majorEastAsia"/>
          <w:b/>
          <w:color w:val="auto"/>
          <w:kern w:val="0"/>
          <w:sz w:val="32"/>
          <w:szCs w:val="32"/>
          <w:highlight w:val="none"/>
          <w:lang w:val="zh-CN"/>
        </w:rPr>
        <w:t>距采购人最近或者能为本项目提供最优服务的网点情况表</w:t>
      </w:r>
    </w:p>
    <w:p w14:paraId="5027A570">
      <w:pPr>
        <w:spacing w:line="360" w:lineRule="auto"/>
        <w:rPr>
          <w:rFonts w:cs="仿宋" w:asciiTheme="majorEastAsia" w:hAnsiTheme="majorEastAsia" w:eastAsiaTheme="majorEastAsia"/>
          <w:color w:val="auto"/>
          <w:highlight w:val="none"/>
        </w:rPr>
      </w:pPr>
    </w:p>
    <w:tbl>
      <w:tblPr>
        <w:tblStyle w:val="2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624"/>
        <w:gridCol w:w="191"/>
        <w:gridCol w:w="1440"/>
        <w:gridCol w:w="889"/>
        <w:gridCol w:w="2600"/>
      </w:tblGrid>
      <w:tr w14:paraId="54E1F5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58FB49BC">
            <w:pP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服务网点名称</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126D4FC0">
            <w:pP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5495FC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2C82D794">
            <w:pP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地址</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23791211">
            <w:pP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4B5074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2EF1A321">
            <w:pP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注册资本金</w:t>
            </w:r>
          </w:p>
        </w:tc>
        <w:tc>
          <w:tcPr>
            <w:tcW w:w="1624" w:type="dxa"/>
            <w:tcBorders>
              <w:top w:val="single" w:color="auto" w:sz="4" w:space="0"/>
              <w:left w:val="single" w:color="auto" w:sz="4" w:space="0"/>
              <w:bottom w:val="single" w:color="auto" w:sz="4" w:space="0"/>
              <w:right w:val="single" w:color="auto" w:sz="4" w:space="0"/>
            </w:tcBorders>
            <w:vAlign w:val="center"/>
          </w:tcPr>
          <w:p w14:paraId="3EBED4F3">
            <w:pP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2520" w:type="dxa"/>
            <w:gridSpan w:val="3"/>
            <w:tcBorders>
              <w:top w:val="single" w:color="auto" w:sz="4" w:space="0"/>
              <w:left w:val="single" w:color="auto" w:sz="4" w:space="0"/>
              <w:bottom w:val="single" w:color="auto" w:sz="4" w:space="0"/>
              <w:right w:val="single" w:color="auto" w:sz="4" w:space="0"/>
            </w:tcBorders>
            <w:vAlign w:val="center"/>
          </w:tcPr>
          <w:p w14:paraId="3FB7FCC9">
            <w:pP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其中：投标人出资比例</w:t>
            </w:r>
          </w:p>
        </w:tc>
        <w:tc>
          <w:tcPr>
            <w:tcW w:w="2600" w:type="dxa"/>
            <w:tcBorders>
              <w:top w:val="single" w:color="auto" w:sz="4" w:space="0"/>
              <w:left w:val="single" w:color="auto" w:sz="4" w:space="0"/>
              <w:bottom w:val="single" w:color="auto" w:sz="4" w:space="0"/>
              <w:right w:val="single" w:color="auto" w:sz="4" w:space="0"/>
            </w:tcBorders>
            <w:vAlign w:val="center"/>
          </w:tcPr>
          <w:p w14:paraId="6DAC0047">
            <w:pP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782440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60677D2C">
            <w:pP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员工总人数</w:t>
            </w:r>
          </w:p>
        </w:tc>
        <w:tc>
          <w:tcPr>
            <w:tcW w:w="1624" w:type="dxa"/>
            <w:tcBorders>
              <w:top w:val="single" w:color="auto" w:sz="4" w:space="0"/>
              <w:left w:val="single" w:color="auto" w:sz="4" w:space="0"/>
              <w:bottom w:val="single" w:color="auto" w:sz="4" w:space="0"/>
              <w:right w:val="single" w:color="auto" w:sz="4" w:space="0"/>
            </w:tcBorders>
            <w:vAlign w:val="center"/>
          </w:tcPr>
          <w:p w14:paraId="11B3808A">
            <w:pP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2520" w:type="dxa"/>
            <w:gridSpan w:val="3"/>
            <w:tcBorders>
              <w:top w:val="single" w:color="auto" w:sz="4" w:space="0"/>
              <w:left w:val="single" w:color="auto" w:sz="4" w:space="0"/>
              <w:bottom w:val="single" w:color="auto" w:sz="4" w:space="0"/>
              <w:right w:val="single" w:color="auto" w:sz="4" w:space="0"/>
            </w:tcBorders>
            <w:vAlign w:val="center"/>
          </w:tcPr>
          <w:p w14:paraId="0559C402">
            <w:pP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其中：技术人员数</w:t>
            </w:r>
          </w:p>
        </w:tc>
        <w:tc>
          <w:tcPr>
            <w:tcW w:w="2600" w:type="dxa"/>
            <w:tcBorders>
              <w:top w:val="single" w:color="auto" w:sz="4" w:space="0"/>
              <w:left w:val="single" w:color="auto" w:sz="4" w:space="0"/>
              <w:bottom w:val="single" w:color="auto" w:sz="4" w:space="0"/>
              <w:right w:val="single" w:color="auto" w:sz="4" w:space="0"/>
            </w:tcBorders>
            <w:vAlign w:val="center"/>
          </w:tcPr>
          <w:p w14:paraId="2AA10F19">
            <w:pP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3979DD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2CB8AD45">
            <w:pP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经营期限</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422CA586">
            <w:pP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5BE181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5EE533CA">
            <w:pP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售后服务协议</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63A53A22">
            <w:pP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47D1EF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08ECF242">
            <w:pP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售后服务内容</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752D8677">
            <w:pP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1E5C64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33D238CE">
            <w:pP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工作业绩</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44C5A998">
            <w:pP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2500E4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0D36836E">
            <w:pP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服务承诺</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5F2CB11F">
            <w:pP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2387AD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2D6DF26E">
            <w:pP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业务咨询电话</w:t>
            </w:r>
          </w:p>
        </w:tc>
        <w:tc>
          <w:tcPr>
            <w:tcW w:w="1815" w:type="dxa"/>
            <w:gridSpan w:val="2"/>
            <w:tcBorders>
              <w:top w:val="single" w:color="auto" w:sz="4" w:space="0"/>
              <w:left w:val="single" w:color="auto" w:sz="4" w:space="0"/>
              <w:bottom w:val="single" w:color="auto" w:sz="4" w:space="0"/>
              <w:right w:val="single" w:color="auto" w:sz="2" w:space="0"/>
            </w:tcBorders>
            <w:vAlign w:val="center"/>
          </w:tcPr>
          <w:p w14:paraId="5DF40AB9">
            <w:pP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440" w:type="dxa"/>
            <w:tcBorders>
              <w:top w:val="single" w:color="auto" w:sz="4" w:space="0"/>
              <w:left w:val="single" w:color="auto" w:sz="2" w:space="0"/>
              <w:bottom w:val="single" w:color="auto" w:sz="4" w:space="0"/>
              <w:right w:val="single" w:color="auto" w:sz="2" w:space="0"/>
            </w:tcBorders>
            <w:vAlign w:val="center"/>
          </w:tcPr>
          <w:p w14:paraId="2DCAE3E1">
            <w:pP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传 真</w:t>
            </w:r>
          </w:p>
        </w:tc>
        <w:tc>
          <w:tcPr>
            <w:tcW w:w="3489" w:type="dxa"/>
            <w:gridSpan w:val="2"/>
            <w:tcBorders>
              <w:top w:val="single" w:color="auto" w:sz="4" w:space="0"/>
              <w:left w:val="single" w:color="auto" w:sz="2" w:space="0"/>
              <w:bottom w:val="single" w:color="auto" w:sz="4" w:space="0"/>
              <w:right w:val="single" w:color="auto" w:sz="2" w:space="0"/>
            </w:tcBorders>
            <w:vAlign w:val="center"/>
          </w:tcPr>
          <w:p w14:paraId="6C36F83B">
            <w:pP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2CBF70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21619CFA">
            <w:pP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负责人</w:t>
            </w:r>
          </w:p>
        </w:tc>
        <w:tc>
          <w:tcPr>
            <w:tcW w:w="1815" w:type="dxa"/>
            <w:gridSpan w:val="2"/>
            <w:tcBorders>
              <w:top w:val="single" w:color="auto" w:sz="4" w:space="0"/>
              <w:left w:val="single" w:color="auto" w:sz="4" w:space="0"/>
              <w:bottom w:val="single" w:color="auto" w:sz="4" w:space="0"/>
              <w:right w:val="single" w:color="auto" w:sz="2" w:space="0"/>
            </w:tcBorders>
            <w:vAlign w:val="center"/>
          </w:tcPr>
          <w:p w14:paraId="13CB3C5A">
            <w:pP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440" w:type="dxa"/>
            <w:tcBorders>
              <w:top w:val="single" w:color="auto" w:sz="4" w:space="0"/>
              <w:left w:val="single" w:color="auto" w:sz="2" w:space="0"/>
              <w:bottom w:val="single" w:color="auto" w:sz="4" w:space="0"/>
              <w:right w:val="single" w:color="auto" w:sz="2" w:space="0"/>
            </w:tcBorders>
            <w:vAlign w:val="center"/>
          </w:tcPr>
          <w:p w14:paraId="50A5C22F">
            <w:pP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联系电话</w:t>
            </w:r>
          </w:p>
        </w:tc>
        <w:tc>
          <w:tcPr>
            <w:tcW w:w="3489" w:type="dxa"/>
            <w:gridSpan w:val="2"/>
            <w:tcBorders>
              <w:top w:val="single" w:color="auto" w:sz="4" w:space="0"/>
              <w:left w:val="single" w:color="auto" w:sz="2" w:space="0"/>
              <w:bottom w:val="single" w:color="auto" w:sz="4" w:space="0"/>
              <w:right w:val="single" w:color="auto" w:sz="4" w:space="0"/>
            </w:tcBorders>
            <w:vAlign w:val="center"/>
          </w:tcPr>
          <w:p w14:paraId="6A114ABD">
            <w:pPr>
              <w:adjustRightInd w:val="0"/>
              <w:snapToGrid w:val="0"/>
              <w:spacing w:line="360" w:lineRule="auto"/>
              <w:rPr>
                <w:rFonts w:cs="仿宋" w:asciiTheme="majorEastAsia" w:hAnsiTheme="majorEastAsia" w:eastAsiaTheme="majorEastAsia"/>
                <w:color w:val="auto"/>
                <w:kern w:val="0"/>
                <w:sz w:val="24"/>
                <w:highlight w:val="none"/>
                <w:lang w:val="zh-CN"/>
              </w:rPr>
            </w:pPr>
          </w:p>
        </w:tc>
      </w:tr>
    </w:tbl>
    <w:p w14:paraId="691EAA0E">
      <w:pPr>
        <w:spacing w:line="360" w:lineRule="auto"/>
        <w:rPr>
          <w:rFonts w:cs="仿宋" w:asciiTheme="majorEastAsia" w:hAnsiTheme="majorEastAsia" w:eastAsiaTheme="majorEastAsia"/>
          <w:color w:val="auto"/>
          <w:highlight w:val="none"/>
        </w:rPr>
      </w:pPr>
    </w:p>
    <w:p w14:paraId="58B4D64A">
      <w:pPr>
        <w:spacing w:line="360" w:lineRule="auto"/>
        <w:rPr>
          <w:rFonts w:cs="仿宋" w:asciiTheme="majorEastAsia" w:hAnsiTheme="majorEastAsia" w:eastAsiaTheme="majorEastAsia"/>
          <w:color w:val="auto"/>
          <w:highlight w:val="none"/>
        </w:rPr>
      </w:pPr>
    </w:p>
    <w:p w14:paraId="295BFA79">
      <w:pP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highlight w:val="none"/>
        </w:rPr>
        <w:t xml:space="preserve">       </w:t>
      </w:r>
    </w:p>
    <w:p w14:paraId="7E8824CB">
      <w:pPr>
        <w:adjustRightInd w:val="0"/>
        <w:snapToGrid w:val="0"/>
        <w:spacing w:line="360" w:lineRule="auto"/>
        <w:ind w:left="3990" w:leftChars="1900"/>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法定代表人或其授权委托人（签名或印章）：</w:t>
      </w:r>
    </w:p>
    <w:p w14:paraId="33D9951C">
      <w:pPr>
        <w:adjustRightInd w:val="0"/>
        <w:snapToGrid w:val="0"/>
        <w:spacing w:line="360" w:lineRule="auto"/>
        <w:ind w:left="3990" w:leftChars="1900"/>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投标人（盖章）：</w:t>
      </w:r>
    </w:p>
    <w:p w14:paraId="0C7B9A94">
      <w:pPr>
        <w:adjustRightInd w:val="0"/>
        <w:snapToGrid w:val="0"/>
        <w:spacing w:line="360" w:lineRule="auto"/>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color w:val="auto"/>
          <w:kern w:val="0"/>
          <w:sz w:val="24"/>
          <w:highlight w:val="none"/>
          <w:lang w:val="zh-CN"/>
        </w:rPr>
        <w:t xml:space="preserve">                                 日期</w:t>
      </w:r>
      <w:r>
        <w:rPr>
          <w:rFonts w:hint="eastAsia" w:cs="仿宋" w:asciiTheme="majorEastAsia" w:hAnsiTheme="majorEastAsia" w:eastAsiaTheme="majorEastAsia"/>
          <w:color w:val="auto"/>
          <w:kern w:val="0"/>
          <w:sz w:val="24"/>
          <w:highlight w:val="none"/>
        </w:rPr>
        <w:t>:</w:t>
      </w:r>
    </w:p>
    <w:p w14:paraId="0D92217B">
      <w:pPr>
        <w:numPr>
          <w:ilvl w:val="0"/>
          <w:numId w:val="5"/>
        </w:numPr>
        <w:snapToGrid w:val="0"/>
        <w:spacing w:line="360" w:lineRule="auto"/>
        <w:jc w:val="center"/>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lang w:val="zh-CN"/>
        </w:rPr>
        <w:br w:type="page"/>
      </w:r>
      <w:r>
        <w:rPr>
          <w:rFonts w:hint="eastAsia" w:cs="仿宋" w:asciiTheme="majorEastAsia" w:hAnsiTheme="majorEastAsia" w:eastAsiaTheme="majorEastAsia"/>
          <w:b/>
          <w:color w:val="auto"/>
          <w:kern w:val="0"/>
          <w:sz w:val="32"/>
          <w:szCs w:val="32"/>
          <w:highlight w:val="none"/>
          <w:lang w:val="zh-CN"/>
        </w:rPr>
        <w:t>评标标准相应的商务技术资料</w:t>
      </w:r>
    </w:p>
    <w:p w14:paraId="77536EC1">
      <w:pPr>
        <w:snapToGrid w:val="0"/>
        <w:spacing w:line="360" w:lineRule="auto"/>
        <w:jc w:val="left"/>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（按招标文件第四部分评标办法前附表中“投标文件中评标标准相应的商务技术资料目录”提供资料）</w:t>
      </w:r>
    </w:p>
    <w:p w14:paraId="77DB5E0C">
      <w:pPr>
        <w:pStyle w:val="28"/>
        <w:ind w:firstLine="560"/>
        <w:rPr>
          <w:rFonts w:asciiTheme="majorEastAsia" w:hAnsiTheme="majorEastAsia" w:eastAsiaTheme="majorEastAsia"/>
          <w:color w:val="auto"/>
          <w:highlight w:val="none"/>
          <w:lang w:val="zh-CN"/>
        </w:rPr>
      </w:pPr>
    </w:p>
    <w:p w14:paraId="4AF636D3">
      <w:pPr>
        <w:numPr>
          <w:ilvl w:val="0"/>
          <w:numId w:val="5"/>
        </w:numPr>
        <w:snapToGrid w:val="0"/>
        <w:spacing w:line="360" w:lineRule="auto"/>
        <w:jc w:val="center"/>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lang w:val="zh-CN"/>
        </w:rPr>
        <w:t>商务响应表</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837"/>
        <w:gridCol w:w="5039"/>
        <w:gridCol w:w="1705"/>
        <w:gridCol w:w="1705"/>
      </w:tblGrid>
      <w:tr w14:paraId="57803BF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99" w:hRule="atLeast"/>
          <w:jc w:val="center"/>
        </w:trPr>
        <w:tc>
          <w:tcPr>
            <w:tcW w:w="451" w:type="pct"/>
            <w:tcBorders>
              <w:top w:val="single" w:color="auto" w:sz="4" w:space="0"/>
              <w:bottom w:val="single" w:color="auto" w:sz="4" w:space="0"/>
            </w:tcBorders>
            <w:vAlign w:val="center"/>
          </w:tcPr>
          <w:p w14:paraId="5C47D756">
            <w:pPr>
              <w:widowControl/>
              <w:spacing w:line="0" w:lineRule="atLeast"/>
              <w:jc w:val="center"/>
              <w:rPr>
                <w:rFonts w:ascii="宋体" w:hAnsi="宋体" w:cs="宋体"/>
                <w:color w:val="auto"/>
                <w:sz w:val="24"/>
                <w:highlight w:val="none"/>
              </w:rPr>
            </w:pPr>
            <w:r>
              <w:rPr>
                <w:rFonts w:ascii="宋体" w:hAnsi="宋体" w:cs="宋体"/>
                <w:color w:val="auto"/>
                <w:sz w:val="24"/>
                <w:highlight w:val="none"/>
              </w:rPr>
              <w:t>商务要求项目</w:t>
            </w:r>
          </w:p>
        </w:tc>
        <w:tc>
          <w:tcPr>
            <w:tcW w:w="2713" w:type="pct"/>
            <w:tcBorders>
              <w:top w:val="single" w:color="auto" w:sz="4" w:space="0"/>
              <w:bottom w:val="single" w:color="auto" w:sz="4" w:space="0"/>
            </w:tcBorders>
            <w:vAlign w:val="center"/>
          </w:tcPr>
          <w:p w14:paraId="552D7D2B">
            <w:pPr>
              <w:widowControl/>
              <w:spacing w:line="0" w:lineRule="atLeast"/>
              <w:jc w:val="center"/>
              <w:rPr>
                <w:rFonts w:ascii="宋体" w:hAnsi="宋体" w:cs="宋体"/>
                <w:color w:val="auto"/>
                <w:sz w:val="24"/>
                <w:highlight w:val="none"/>
              </w:rPr>
            </w:pPr>
            <w:r>
              <w:rPr>
                <w:rFonts w:ascii="宋体" w:hAnsi="宋体" w:cs="宋体"/>
                <w:color w:val="auto"/>
                <w:sz w:val="24"/>
                <w:highlight w:val="none"/>
              </w:rPr>
              <w:t>采购文件要求</w:t>
            </w:r>
          </w:p>
        </w:tc>
        <w:tc>
          <w:tcPr>
            <w:tcW w:w="918" w:type="pct"/>
            <w:tcBorders>
              <w:top w:val="single" w:color="auto" w:sz="4" w:space="0"/>
              <w:bottom w:val="single" w:color="auto" w:sz="4" w:space="0"/>
            </w:tcBorders>
            <w:vAlign w:val="center"/>
          </w:tcPr>
          <w:p w14:paraId="7A254762">
            <w:pPr>
              <w:widowControl/>
              <w:spacing w:line="0" w:lineRule="atLeast"/>
              <w:jc w:val="center"/>
              <w:rPr>
                <w:rFonts w:ascii="宋体" w:hAnsi="宋体" w:cs="宋体"/>
                <w:color w:val="auto"/>
                <w:szCs w:val="21"/>
                <w:highlight w:val="none"/>
              </w:rPr>
            </w:pPr>
            <w:r>
              <w:rPr>
                <w:rFonts w:hint="eastAsia" w:ascii="宋体" w:hAnsi="宋体" w:cs="宋体"/>
                <w:color w:val="auto"/>
                <w:szCs w:val="21"/>
                <w:highlight w:val="none"/>
              </w:rPr>
              <w:t>是否响应</w:t>
            </w:r>
          </w:p>
        </w:tc>
        <w:tc>
          <w:tcPr>
            <w:tcW w:w="918" w:type="pct"/>
            <w:tcBorders>
              <w:top w:val="single" w:color="auto" w:sz="4" w:space="0"/>
              <w:bottom w:val="single" w:color="auto" w:sz="4" w:space="0"/>
            </w:tcBorders>
            <w:vAlign w:val="center"/>
          </w:tcPr>
          <w:p w14:paraId="7B2E590B">
            <w:pPr>
              <w:widowControl/>
              <w:spacing w:line="0" w:lineRule="atLeast"/>
              <w:jc w:val="center"/>
              <w:rPr>
                <w:rFonts w:ascii="宋体" w:hAnsi="宋体" w:cs="宋体"/>
                <w:color w:val="auto"/>
                <w:szCs w:val="21"/>
                <w:highlight w:val="none"/>
              </w:rPr>
            </w:pPr>
            <w:r>
              <w:rPr>
                <w:rFonts w:hint="eastAsia" w:ascii="宋体" w:hAnsi="宋体" w:cs="宋体"/>
                <w:color w:val="auto"/>
                <w:szCs w:val="21"/>
                <w:highlight w:val="none"/>
              </w:rPr>
              <w:t>投标人承诺或说明</w:t>
            </w:r>
          </w:p>
        </w:tc>
      </w:tr>
      <w:tr w14:paraId="7DC3134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20" w:hRule="atLeast"/>
          <w:jc w:val="center"/>
        </w:trPr>
        <w:tc>
          <w:tcPr>
            <w:tcW w:w="837" w:type="dxa"/>
            <w:tcBorders>
              <w:top w:val="single" w:color="auto" w:sz="4" w:space="0"/>
            </w:tcBorders>
            <w:vAlign w:val="center"/>
          </w:tcPr>
          <w:p w14:paraId="7D5A78C9">
            <w:pPr>
              <w:widowControl/>
              <w:spacing w:line="0" w:lineRule="atLeast"/>
              <w:jc w:val="center"/>
              <w:rPr>
                <w:rFonts w:ascii="宋体" w:hAnsi="宋体" w:cs="宋体"/>
                <w:color w:val="auto"/>
                <w:sz w:val="24"/>
                <w:highlight w:val="none"/>
              </w:rPr>
            </w:pPr>
            <w:r>
              <w:rPr>
                <w:rFonts w:ascii="宋体" w:hAnsi="宋体" w:cs="宋体"/>
                <w:color w:val="auto"/>
                <w:sz w:val="24"/>
                <w:highlight w:val="none"/>
              </w:rPr>
              <w:t>质保期</w:t>
            </w:r>
          </w:p>
        </w:tc>
        <w:tc>
          <w:tcPr>
            <w:tcW w:w="5039" w:type="dxa"/>
            <w:tcBorders>
              <w:top w:val="single" w:color="auto" w:sz="4" w:space="0"/>
            </w:tcBorders>
            <w:vAlign w:val="center"/>
          </w:tcPr>
          <w:p w14:paraId="7554BC9B">
            <w:pPr>
              <w:snapToGrid w:val="0"/>
              <w:ind w:right="-108" w:rightChars="0"/>
              <w:rPr>
                <w:rFonts w:ascii="宋体" w:hAnsi="宋体" w:cs="宋体"/>
                <w:color w:val="auto"/>
                <w:sz w:val="24"/>
                <w:highlight w:val="none"/>
              </w:rPr>
            </w:pPr>
            <w:r>
              <w:rPr>
                <w:rFonts w:hint="eastAsia" w:ascii="宋体" w:hAnsi="宋体" w:cs="宋体"/>
                <w:color w:val="auto"/>
                <w:sz w:val="24"/>
                <w:highlight w:val="none"/>
              </w:rPr>
              <w:t>项目整体通过验收并完成移交之日起24个月。质保期内被免费更换的零部件质量保证：自更换之日起计24个月。</w:t>
            </w:r>
          </w:p>
        </w:tc>
        <w:tc>
          <w:tcPr>
            <w:tcW w:w="918" w:type="pct"/>
            <w:tcBorders>
              <w:top w:val="single" w:color="auto" w:sz="4" w:space="0"/>
            </w:tcBorders>
          </w:tcPr>
          <w:p w14:paraId="4DE16D07">
            <w:pPr>
              <w:snapToGrid w:val="0"/>
              <w:ind w:right="-108"/>
              <w:rPr>
                <w:rFonts w:ascii="宋体" w:hAnsi="宋体" w:cs="宋体"/>
                <w:color w:val="auto"/>
                <w:sz w:val="24"/>
                <w:highlight w:val="none"/>
              </w:rPr>
            </w:pPr>
          </w:p>
        </w:tc>
        <w:tc>
          <w:tcPr>
            <w:tcW w:w="918" w:type="pct"/>
            <w:tcBorders>
              <w:top w:val="single" w:color="auto" w:sz="4" w:space="0"/>
            </w:tcBorders>
          </w:tcPr>
          <w:p w14:paraId="2D7900AB">
            <w:pPr>
              <w:snapToGrid w:val="0"/>
              <w:ind w:right="-108"/>
              <w:rPr>
                <w:rFonts w:ascii="宋体" w:hAnsi="宋体" w:cs="宋体"/>
                <w:color w:val="auto"/>
                <w:sz w:val="24"/>
                <w:highlight w:val="none"/>
              </w:rPr>
            </w:pPr>
          </w:p>
        </w:tc>
      </w:tr>
      <w:tr w14:paraId="563B559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20" w:hRule="atLeast"/>
          <w:jc w:val="center"/>
        </w:trPr>
        <w:tc>
          <w:tcPr>
            <w:tcW w:w="837" w:type="dxa"/>
            <w:tcBorders>
              <w:top w:val="single" w:color="auto" w:sz="4" w:space="0"/>
            </w:tcBorders>
            <w:vAlign w:val="center"/>
          </w:tcPr>
          <w:p w14:paraId="68FBD693">
            <w:pPr>
              <w:widowControl/>
              <w:spacing w:line="0" w:lineRule="atLeast"/>
              <w:jc w:val="center"/>
              <w:rPr>
                <w:rFonts w:ascii="宋体" w:hAnsi="宋体" w:cs="宋体"/>
                <w:color w:val="auto"/>
                <w:sz w:val="24"/>
                <w:highlight w:val="none"/>
              </w:rPr>
            </w:pPr>
            <w:r>
              <w:rPr>
                <w:rFonts w:ascii="宋体" w:hAnsi="宋体" w:cs="宋体"/>
                <w:color w:val="auto"/>
                <w:sz w:val="24"/>
                <w:highlight w:val="none"/>
              </w:rPr>
              <w:t>售后技术</w:t>
            </w:r>
            <w:r>
              <w:rPr>
                <w:rFonts w:ascii="宋体" w:hAnsi="宋体" w:cs="宋体"/>
                <w:color w:val="auto"/>
                <w:sz w:val="24"/>
                <w:highlight w:val="none"/>
              </w:rPr>
              <w:br w:type="textWrapping"/>
            </w:r>
            <w:r>
              <w:rPr>
                <w:rFonts w:ascii="宋体" w:hAnsi="宋体" w:cs="宋体"/>
                <w:color w:val="auto"/>
                <w:sz w:val="24"/>
                <w:highlight w:val="none"/>
              </w:rPr>
              <w:t>服务要求</w:t>
            </w:r>
          </w:p>
        </w:tc>
        <w:tc>
          <w:tcPr>
            <w:tcW w:w="5039" w:type="dxa"/>
            <w:tcBorders>
              <w:top w:val="single" w:color="auto" w:sz="4" w:space="0"/>
            </w:tcBorders>
            <w:vAlign w:val="center"/>
          </w:tcPr>
          <w:p w14:paraId="4AEFC544">
            <w:pPr>
              <w:snapToGrid w:val="0"/>
              <w:rPr>
                <w:rFonts w:ascii="宋体" w:hAnsi="宋体" w:cs="宋体"/>
                <w:color w:val="auto"/>
                <w:sz w:val="24"/>
                <w:highlight w:val="none"/>
              </w:rPr>
            </w:pPr>
            <w:r>
              <w:rPr>
                <w:rFonts w:hint="eastAsia" w:ascii="宋体" w:hAnsi="宋体" w:cs="宋体"/>
                <w:color w:val="auto"/>
                <w:sz w:val="24"/>
                <w:highlight w:val="none"/>
              </w:rPr>
              <w:t>接到要求提供服务的电话（或传真）后30分钟内做出响应。60分钟内派出合格的服务人员到达业主设备使用现场。一般故障4小时内修复，重大故障12小时内修复。规定时间内不能修复的免费提供同档次产品供甲方使用。</w:t>
            </w:r>
          </w:p>
        </w:tc>
        <w:tc>
          <w:tcPr>
            <w:tcW w:w="918" w:type="pct"/>
            <w:tcBorders>
              <w:top w:val="single" w:color="auto" w:sz="4" w:space="0"/>
            </w:tcBorders>
          </w:tcPr>
          <w:p w14:paraId="2EBA0DBC">
            <w:pPr>
              <w:snapToGrid w:val="0"/>
              <w:rPr>
                <w:rFonts w:ascii="宋体" w:hAnsi="宋体" w:cs="宋体"/>
                <w:color w:val="auto"/>
                <w:sz w:val="24"/>
                <w:highlight w:val="none"/>
              </w:rPr>
            </w:pPr>
          </w:p>
        </w:tc>
        <w:tc>
          <w:tcPr>
            <w:tcW w:w="918" w:type="pct"/>
            <w:tcBorders>
              <w:top w:val="single" w:color="auto" w:sz="4" w:space="0"/>
            </w:tcBorders>
          </w:tcPr>
          <w:p w14:paraId="16D66149">
            <w:pPr>
              <w:snapToGrid w:val="0"/>
              <w:rPr>
                <w:rFonts w:ascii="宋体" w:hAnsi="宋体" w:cs="宋体"/>
                <w:color w:val="auto"/>
                <w:sz w:val="24"/>
                <w:highlight w:val="none"/>
              </w:rPr>
            </w:pPr>
          </w:p>
        </w:tc>
      </w:tr>
      <w:tr w14:paraId="4BCE650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292" w:hRule="atLeast"/>
          <w:jc w:val="center"/>
        </w:trPr>
        <w:tc>
          <w:tcPr>
            <w:tcW w:w="837" w:type="dxa"/>
            <w:vAlign w:val="center"/>
          </w:tcPr>
          <w:p w14:paraId="45596B65">
            <w:pPr>
              <w:widowControl/>
              <w:spacing w:line="0" w:lineRule="atLeast"/>
              <w:jc w:val="center"/>
              <w:rPr>
                <w:rFonts w:ascii="宋体" w:hAnsi="宋体" w:cs="宋体"/>
                <w:color w:val="auto"/>
                <w:sz w:val="24"/>
                <w:highlight w:val="none"/>
              </w:rPr>
            </w:pPr>
            <w:r>
              <w:rPr>
                <w:rFonts w:hint="eastAsia" w:ascii="宋体" w:hAnsi="宋体" w:cs="宋体"/>
                <w:color w:val="auto"/>
                <w:sz w:val="24"/>
                <w:highlight w:val="none"/>
              </w:rPr>
              <w:t>验收要求</w:t>
            </w:r>
          </w:p>
        </w:tc>
        <w:tc>
          <w:tcPr>
            <w:tcW w:w="5039" w:type="dxa"/>
            <w:vAlign w:val="center"/>
          </w:tcPr>
          <w:p w14:paraId="34B1102E">
            <w:pPr>
              <w:widowControl/>
              <w:spacing w:line="0" w:lineRule="atLeast"/>
              <w:jc w:val="left"/>
              <w:rPr>
                <w:rFonts w:ascii="宋体" w:hAnsi="宋体" w:cs="宋体"/>
                <w:color w:val="auto"/>
                <w:sz w:val="24"/>
                <w:highlight w:val="none"/>
              </w:rPr>
            </w:pPr>
            <w:r>
              <w:rPr>
                <w:rFonts w:hint="eastAsia" w:ascii="宋体" w:hAnsi="宋体" w:cs="宋体"/>
                <w:color w:val="auto"/>
                <w:sz w:val="24"/>
                <w:highlight w:val="none"/>
              </w:rPr>
              <w:t>（1）各软硬件满足招投标文件中所有相关性能指标要求；</w:t>
            </w:r>
          </w:p>
          <w:p w14:paraId="5D1E8A6A">
            <w:pPr>
              <w:widowControl/>
              <w:spacing w:line="0" w:lineRule="atLeast"/>
              <w:jc w:val="left"/>
              <w:rPr>
                <w:rFonts w:ascii="宋体" w:hAnsi="宋体" w:cs="宋体"/>
                <w:color w:val="auto"/>
                <w:sz w:val="24"/>
                <w:highlight w:val="none"/>
              </w:rPr>
            </w:pPr>
            <w:r>
              <w:rPr>
                <w:rFonts w:hint="eastAsia" w:ascii="宋体" w:hAnsi="宋体" w:cs="宋体"/>
                <w:color w:val="auto"/>
                <w:sz w:val="24"/>
                <w:highlight w:val="none"/>
              </w:rPr>
              <w:t>（2）项目中部分系统或设备根据相关要求能够接入相关平台，并符合相关职能要求；</w:t>
            </w:r>
          </w:p>
          <w:p w14:paraId="1D0082A2">
            <w:pPr>
              <w:widowControl/>
              <w:spacing w:line="0" w:lineRule="atLeast"/>
              <w:jc w:val="left"/>
              <w:rPr>
                <w:rFonts w:ascii="宋体" w:hAnsi="宋体" w:cs="宋体"/>
                <w:color w:val="auto"/>
                <w:sz w:val="24"/>
                <w:highlight w:val="none"/>
              </w:rPr>
            </w:pPr>
            <w:r>
              <w:rPr>
                <w:rFonts w:hint="eastAsia" w:ascii="宋体" w:hAnsi="宋体" w:cs="宋体"/>
                <w:color w:val="auto"/>
                <w:sz w:val="24"/>
                <w:highlight w:val="none"/>
              </w:rPr>
              <w:t>（3）验收环节中采购人有权对所供产品进行现场抽样检测。</w:t>
            </w:r>
          </w:p>
        </w:tc>
        <w:tc>
          <w:tcPr>
            <w:tcW w:w="918" w:type="pct"/>
          </w:tcPr>
          <w:p w14:paraId="55525427">
            <w:pPr>
              <w:jc w:val="left"/>
              <w:rPr>
                <w:rFonts w:ascii="宋体" w:hAnsi="宋体" w:cs="宋体"/>
                <w:color w:val="auto"/>
                <w:sz w:val="24"/>
                <w:highlight w:val="none"/>
              </w:rPr>
            </w:pPr>
          </w:p>
        </w:tc>
        <w:tc>
          <w:tcPr>
            <w:tcW w:w="918" w:type="pct"/>
          </w:tcPr>
          <w:p w14:paraId="4A68243D">
            <w:pPr>
              <w:jc w:val="left"/>
              <w:rPr>
                <w:rFonts w:ascii="宋体" w:hAnsi="宋体" w:cs="宋体"/>
                <w:color w:val="auto"/>
                <w:sz w:val="24"/>
                <w:highlight w:val="none"/>
              </w:rPr>
            </w:pPr>
          </w:p>
        </w:tc>
      </w:tr>
      <w:tr w14:paraId="492DDB7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065" w:hRule="atLeast"/>
          <w:jc w:val="center"/>
        </w:trPr>
        <w:tc>
          <w:tcPr>
            <w:tcW w:w="837" w:type="dxa"/>
            <w:vAlign w:val="center"/>
          </w:tcPr>
          <w:p w14:paraId="17C19FAB">
            <w:pPr>
              <w:widowControl/>
              <w:spacing w:line="0" w:lineRule="atLeast"/>
              <w:ind w:left="-108" w:leftChars="0" w:right="-120" w:rightChars="0"/>
              <w:jc w:val="center"/>
              <w:rPr>
                <w:rFonts w:ascii="宋体" w:hAnsi="宋体" w:cs="宋体"/>
                <w:color w:val="auto"/>
                <w:sz w:val="24"/>
                <w:highlight w:val="none"/>
              </w:rPr>
            </w:pPr>
            <w:r>
              <w:rPr>
                <w:rFonts w:hint="eastAsia" w:ascii="宋体" w:hAnsi="宋体" w:cs="宋体"/>
                <w:color w:val="auto"/>
                <w:sz w:val="24"/>
                <w:highlight w:val="none"/>
              </w:rPr>
              <w:t>工期</w:t>
            </w:r>
            <w:r>
              <w:rPr>
                <w:rFonts w:ascii="宋体" w:hAnsi="宋体" w:cs="宋体"/>
                <w:color w:val="auto"/>
                <w:sz w:val="24"/>
                <w:highlight w:val="none"/>
              </w:rPr>
              <w:t>及地点</w:t>
            </w:r>
          </w:p>
        </w:tc>
        <w:tc>
          <w:tcPr>
            <w:tcW w:w="5039" w:type="dxa"/>
            <w:vAlign w:val="center"/>
          </w:tcPr>
          <w:p w14:paraId="2332FDBB">
            <w:pPr>
              <w:jc w:val="left"/>
              <w:rPr>
                <w:rFonts w:ascii="宋体" w:hAnsi="宋体" w:cs="宋体"/>
                <w:color w:val="auto"/>
                <w:sz w:val="24"/>
                <w:highlight w:val="none"/>
              </w:rPr>
            </w:pPr>
            <w:r>
              <w:rPr>
                <w:rFonts w:hint="eastAsia" w:ascii="宋体" w:hAnsi="宋体" w:cs="宋体"/>
                <w:color w:val="auto"/>
                <w:sz w:val="24"/>
                <w:highlight w:val="none"/>
              </w:rPr>
              <w:t>工期：与总体工程进度同步；</w:t>
            </w:r>
          </w:p>
          <w:p w14:paraId="46C05E6C">
            <w:pPr>
              <w:jc w:val="left"/>
              <w:rPr>
                <w:rFonts w:ascii="宋体" w:hAnsi="宋体" w:cs="宋体"/>
                <w:color w:val="auto"/>
                <w:sz w:val="24"/>
                <w:highlight w:val="none"/>
              </w:rPr>
            </w:pPr>
            <w:r>
              <w:rPr>
                <w:rFonts w:ascii="宋体" w:hAnsi="宋体" w:cs="宋体"/>
                <w:color w:val="auto"/>
                <w:sz w:val="24"/>
                <w:highlight w:val="none"/>
              </w:rPr>
              <w:t>地点：</w:t>
            </w:r>
            <w:r>
              <w:rPr>
                <w:rFonts w:hint="eastAsia" w:ascii="宋体" w:hAnsi="宋体" w:cs="宋体"/>
                <w:color w:val="auto"/>
                <w:sz w:val="24"/>
                <w:highlight w:val="none"/>
              </w:rPr>
              <w:t>业主指定地点。</w:t>
            </w:r>
          </w:p>
        </w:tc>
        <w:tc>
          <w:tcPr>
            <w:tcW w:w="918" w:type="pct"/>
          </w:tcPr>
          <w:p w14:paraId="3D820E1C">
            <w:pPr>
              <w:widowControl/>
              <w:spacing w:line="0" w:lineRule="atLeast"/>
              <w:ind w:left="-108" w:right="-120"/>
              <w:jc w:val="left"/>
              <w:rPr>
                <w:rFonts w:ascii="宋体" w:hAnsi="宋体" w:cs="宋体"/>
                <w:color w:val="auto"/>
                <w:sz w:val="24"/>
                <w:highlight w:val="none"/>
              </w:rPr>
            </w:pPr>
          </w:p>
        </w:tc>
        <w:tc>
          <w:tcPr>
            <w:tcW w:w="918" w:type="pct"/>
          </w:tcPr>
          <w:p w14:paraId="33AFE438">
            <w:pPr>
              <w:widowControl/>
              <w:spacing w:line="0" w:lineRule="atLeast"/>
              <w:ind w:left="-108" w:right="-120"/>
              <w:jc w:val="left"/>
              <w:rPr>
                <w:rFonts w:ascii="宋体" w:hAnsi="宋体" w:cs="宋体"/>
                <w:color w:val="auto"/>
                <w:sz w:val="24"/>
                <w:highlight w:val="none"/>
              </w:rPr>
            </w:pPr>
          </w:p>
        </w:tc>
      </w:tr>
      <w:tr w14:paraId="080F644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54" w:hRule="atLeast"/>
          <w:jc w:val="center"/>
        </w:trPr>
        <w:tc>
          <w:tcPr>
            <w:tcW w:w="837" w:type="dxa"/>
            <w:vAlign w:val="center"/>
          </w:tcPr>
          <w:p w14:paraId="7C977B42">
            <w:pPr>
              <w:widowControl/>
              <w:spacing w:line="0" w:lineRule="atLeast"/>
              <w:ind w:left="-108" w:leftChars="0" w:right="-120" w:rightChars="0"/>
              <w:jc w:val="center"/>
              <w:rPr>
                <w:rFonts w:ascii="宋体" w:hAnsi="宋体" w:cs="宋体"/>
                <w:color w:val="auto"/>
                <w:sz w:val="24"/>
                <w:highlight w:val="none"/>
              </w:rPr>
            </w:pPr>
            <w:r>
              <w:rPr>
                <w:rFonts w:hint="eastAsia" w:ascii="宋体" w:hAnsi="宋体" w:cs="宋体"/>
                <w:color w:val="auto"/>
                <w:sz w:val="24"/>
                <w:highlight w:val="none"/>
              </w:rPr>
              <w:t>履约担保</w:t>
            </w:r>
          </w:p>
        </w:tc>
        <w:tc>
          <w:tcPr>
            <w:tcW w:w="5039" w:type="dxa"/>
            <w:vAlign w:val="center"/>
          </w:tcPr>
          <w:p w14:paraId="56853566">
            <w:pPr>
              <w:widowControl/>
              <w:spacing w:line="0" w:lineRule="atLeast"/>
              <w:ind w:left="-108" w:right="-120"/>
              <w:jc w:val="left"/>
              <w:rPr>
                <w:rFonts w:ascii="宋体" w:hAnsi="宋体" w:cs="宋体"/>
                <w:color w:val="auto"/>
                <w:sz w:val="24"/>
                <w:highlight w:val="none"/>
              </w:rPr>
            </w:pPr>
            <w:r>
              <w:rPr>
                <w:rFonts w:hint="eastAsia" w:ascii="宋体" w:hAnsi="宋体" w:cs="宋体"/>
                <w:color w:val="auto"/>
                <w:sz w:val="24"/>
                <w:highlight w:val="none"/>
              </w:rPr>
              <w:t>履约担保</w:t>
            </w:r>
            <w:r>
              <w:rPr>
                <w:rFonts w:ascii="宋体" w:hAnsi="宋体" w:cs="宋体"/>
                <w:color w:val="auto"/>
                <w:sz w:val="24"/>
                <w:highlight w:val="none"/>
              </w:rPr>
              <w:t>形式：</w:t>
            </w:r>
            <w:r>
              <w:rPr>
                <w:rFonts w:hint="eastAsia" w:ascii="宋体" w:hAnsi="宋体" w:cs="宋体"/>
                <w:color w:val="auto"/>
                <w:sz w:val="24"/>
                <w:highlight w:val="none"/>
              </w:rPr>
              <w:t>电汇、银行保函、保险公司保函。</w:t>
            </w:r>
          </w:p>
          <w:p w14:paraId="6C706E3A">
            <w:pPr>
              <w:widowControl/>
              <w:spacing w:line="0" w:lineRule="atLeast"/>
              <w:ind w:left="-108" w:leftChars="0" w:right="-120" w:rightChars="0"/>
              <w:jc w:val="left"/>
              <w:rPr>
                <w:color w:val="auto"/>
                <w:highlight w:val="none"/>
              </w:rPr>
            </w:pPr>
            <w:r>
              <w:rPr>
                <w:rFonts w:hint="eastAsia" w:ascii="宋体" w:hAnsi="宋体" w:cs="宋体"/>
                <w:color w:val="auto"/>
                <w:sz w:val="24"/>
                <w:highlight w:val="none"/>
              </w:rPr>
              <w:t>履约担保</w:t>
            </w:r>
            <w:r>
              <w:rPr>
                <w:rFonts w:ascii="宋体" w:hAnsi="宋体" w:cs="宋体"/>
                <w:color w:val="auto"/>
                <w:sz w:val="24"/>
                <w:highlight w:val="none"/>
              </w:rPr>
              <w:t>的收取及退还：</w:t>
            </w:r>
            <w:r>
              <w:rPr>
                <w:rFonts w:hint="eastAsia" w:ascii="宋体" w:hAnsi="宋体" w:cs="宋体"/>
                <w:color w:val="auto"/>
                <w:sz w:val="24"/>
                <w:highlight w:val="none"/>
              </w:rPr>
              <w:t>按合同总金额的2.5%计收</w:t>
            </w:r>
            <w:r>
              <w:rPr>
                <w:rFonts w:ascii="宋体" w:hAnsi="宋体" w:cs="宋体"/>
                <w:color w:val="auto"/>
                <w:sz w:val="24"/>
                <w:highlight w:val="none"/>
              </w:rPr>
              <w:t>，合同履行完毕（验收合格并交付使用）后5日内无息退还。</w:t>
            </w:r>
          </w:p>
        </w:tc>
        <w:tc>
          <w:tcPr>
            <w:tcW w:w="918" w:type="pct"/>
          </w:tcPr>
          <w:p w14:paraId="713EA939">
            <w:pPr>
              <w:snapToGrid w:val="0"/>
              <w:rPr>
                <w:rFonts w:ascii="宋体" w:hAnsi="宋体" w:cs="宋体"/>
                <w:color w:val="auto"/>
                <w:sz w:val="24"/>
                <w:highlight w:val="none"/>
              </w:rPr>
            </w:pPr>
          </w:p>
        </w:tc>
        <w:tc>
          <w:tcPr>
            <w:tcW w:w="918" w:type="pct"/>
          </w:tcPr>
          <w:p w14:paraId="42943728">
            <w:pPr>
              <w:snapToGrid w:val="0"/>
              <w:rPr>
                <w:rFonts w:ascii="宋体" w:hAnsi="宋体" w:cs="宋体"/>
                <w:color w:val="auto"/>
                <w:sz w:val="24"/>
                <w:highlight w:val="none"/>
              </w:rPr>
            </w:pPr>
          </w:p>
        </w:tc>
      </w:tr>
      <w:tr w14:paraId="5D404D8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846" w:hRule="atLeast"/>
          <w:jc w:val="center"/>
        </w:trPr>
        <w:tc>
          <w:tcPr>
            <w:tcW w:w="837" w:type="dxa"/>
            <w:vAlign w:val="center"/>
          </w:tcPr>
          <w:p w14:paraId="5965A388">
            <w:pPr>
              <w:widowControl/>
              <w:spacing w:line="0" w:lineRule="atLeast"/>
              <w:jc w:val="center"/>
              <w:rPr>
                <w:rFonts w:ascii="宋体" w:hAnsi="宋体" w:cs="宋体"/>
                <w:color w:val="auto"/>
                <w:sz w:val="24"/>
                <w:highlight w:val="none"/>
              </w:rPr>
            </w:pPr>
            <w:r>
              <w:rPr>
                <w:rFonts w:ascii="宋体" w:hAnsi="宋体" w:cs="宋体"/>
                <w:color w:val="auto"/>
                <w:sz w:val="24"/>
                <w:highlight w:val="none"/>
              </w:rPr>
              <w:t>付款条件</w:t>
            </w:r>
          </w:p>
        </w:tc>
        <w:tc>
          <w:tcPr>
            <w:tcW w:w="5039" w:type="dxa"/>
            <w:vAlign w:val="center"/>
          </w:tcPr>
          <w:p w14:paraId="60706DD1">
            <w:pPr>
              <w:snapToGrid w:val="0"/>
              <w:rPr>
                <w:rFonts w:ascii="宋体" w:hAnsi="宋体" w:cs="宋体"/>
                <w:color w:val="auto"/>
                <w:sz w:val="24"/>
                <w:highlight w:val="none"/>
              </w:rPr>
            </w:pPr>
            <w:r>
              <w:rPr>
                <w:rFonts w:ascii="宋体" w:hAnsi="宋体" w:cs="宋体"/>
                <w:color w:val="auto"/>
                <w:sz w:val="24"/>
                <w:highlight w:val="none"/>
              </w:rPr>
              <w:t>合同签订后 10 日内</w:t>
            </w:r>
            <w:r>
              <w:rPr>
                <w:rFonts w:hint="eastAsia" w:ascii="宋体" w:hAnsi="宋体" w:cs="宋体"/>
                <w:color w:val="auto"/>
                <w:sz w:val="24"/>
                <w:highlight w:val="none"/>
              </w:rPr>
              <w:t>采购人</w:t>
            </w:r>
            <w:r>
              <w:rPr>
                <w:rFonts w:ascii="宋体" w:hAnsi="宋体" w:cs="宋体"/>
                <w:color w:val="auto"/>
                <w:sz w:val="24"/>
                <w:highlight w:val="none"/>
              </w:rPr>
              <w:t>向</w:t>
            </w:r>
            <w:r>
              <w:rPr>
                <w:rFonts w:hint="eastAsia" w:ascii="宋体" w:hAnsi="宋体" w:cs="宋体"/>
                <w:color w:val="auto"/>
                <w:sz w:val="24"/>
                <w:highlight w:val="none"/>
              </w:rPr>
              <w:t>中标人</w:t>
            </w:r>
            <w:r>
              <w:rPr>
                <w:rFonts w:ascii="宋体" w:hAnsi="宋体" w:cs="宋体"/>
                <w:color w:val="auto"/>
                <w:sz w:val="24"/>
                <w:highlight w:val="none"/>
              </w:rPr>
              <w:t>支付合同价的15%作为预付款，主要设备（空气</w:t>
            </w:r>
            <w:r>
              <w:rPr>
                <w:rFonts w:hint="eastAsia" w:ascii="宋体" w:hAnsi="宋体" w:cs="宋体"/>
                <w:color w:val="auto"/>
                <w:sz w:val="24"/>
                <w:highlight w:val="none"/>
              </w:rPr>
              <w:t>能</w:t>
            </w:r>
            <w:r>
              <w:rPr>
                <w:rFonts w:ascii="宋体" w:hAnsi="宋体" w:cs="宋体"/>
                <w:color w:val="auto"/>
                <w:sz w:val="24"/>
                <w:highlight w:val="none"/>
              </w:rPr>
              <w:t>）到</w:t>
            </w:r>
            <w:r>
              <w:rPr>
                <w:rFonts w:hint="eastAsia" w:ascii="宋体" w:hAnsi="宋体" w:cs="宋体"/>
                <w:color w:val="auto"/>
                <w:sz w:val="24"/>
                <w:highlight w:val="none"/>
              </w:rPr>
              <w:t>达</w:t>
            </w:r>
            <w:r>
              <w:rPr>
                <w:rFonts w:ascii="宋体" w:hAnsi="宋体" w:cs="宋体"/>
                <w:color w:val="auto"/>
                <w:sz w:val="24"/>
                <w:highlight w:val="none"/>
              </w:rPr>
              <w:t>安装现场且提供与本项目数量相符的进货发票复印件后10日内</w:t>
            </w:r>
            <w:r>
              <w:rPr>
                <w:rFonts w:hint="eastAsia" w:ascii="宋体" w:hAnsi="宋体" w:cs="宋体"/>
                <w:color w:val="auto"/>
                <w:sz w:val="24"/>
                <w:highlight w:val="none"/>
              </w:rPr>
              <w:t>采购人</w:t>
            </w:r>
            <w:r>
              <w:rPr>
                <w:rFonts w:ascii="宋体" w:hAnsi="宋体" w:cs="宋体"/>
                <w:color w:val="auto"/>
                <w:sz w:val="24"/>
                <w:highlight w:val="none"/>
              </w:rPr>
              <w:t>向</w:t>
            </w:r>
            <w:r>
              <w:rPr>
                <w:rFonts w:hint="eastAsia" w:ascii="宋体" w:hAnsi="宋体" w:cs="宋体"/>
                <w:color w:val="auto"/>
                <w:sz w:val="24"/>
                <w:highlight w:val="none"/>
              </w:rPr>
              <w:t>中标人</w:t>
            </w:r>
            <w:r>
              <w:rPr>
                <w:rFonts w:ascii="宋体" w:hAnsi="宋体" w:cs="宋体"/>
                <w:color w:val="auto"/>
                <w:sz w:val="24"/>
                <w:highlight w:val="none"/>
              </w:rPr>
              <w:t>支付至该批次</w:t>
            </w:r>
            <w:r>
              <w:rPr>
                <w:rFonts w:hint="eastAsia" w:ascii="宋体" w:hAnsi="宋体" w:cs="宋体"/>
                <w:color w:val="auto"/>
                <w:sz w:val="24"/>
                <w:highlight w:val="none"/>
              </w:rPr>
              <w:t>货物（空气能）</w:t>
            </w:r>
            <w:r>
              <w:rPr>
                <w:rFonts w:ascii="宋体" w:hAnsi="宋体" w:cs="宋体"/>
                <w:color w:val="auto"/>
                <w:sz w:val="24"/>
                <w:highlight w:val="none"/>
              </w:rPr>
              <w:t>总金额的40％；全部安装完毕验收合格后10日内支付至合同价的80%，审计完成后 10 日内支付至审定价的9</w:t>
            </w:r>
            <w:r>
              <w:rPr>
                <w:rFonts w:hint="eastAsia" w:ascii="宋体" w:hAnsi="宋体" w:cs="宋体"/>
                <w:color w:val="auto"/>
                <w:sz w:val="24"/>
                <w:highlight w:val="none"/>
              </w:rPr>
              <w:t>8</w:t>
            </w:r>
            <w:r>
              <w:rPr>
                <w:rFonts w:ascii="宋体" w:hAnsi="宋体" w:cs="宋体"/>
                <w:color w:val="auto"/>
                <w:sz w:val="24"/>
                <w:highlight w:val="none"/>
              </w:rPr>
              <w:t>.5%（支付该款项时，</w:t>
            </w:r>
            <w:r>
              <w:rPr>
                <w:rFonts w:hint="eastAsia" w:ascii="宋体" w:hAnsi="宋体" w:cs="宋体"/>
                <w:color w:val="auto"/>
                <w:sz w:val="24"/>
                <w:highlight w:val="none"/>
              </w:rPr>
              <w:t>中标人</w:t>
            </w:r>
            <w:r>
              <w:rPr>
                <w:rFonts w:ascii="宋体" w:hAnsi="宋体" w:cs="宋体"/>
                <w:color w:val="auto"/>
                <w:sz w:val="24"/>
                <w:highlight w:val="none"/>
              </w:rPr>
              <w:t>需提供该项目全额增值税专用发票</w:t>
            </w:r>
            <w:r>
              <w:rPr>
                <w:rFonts w:hint="eastAsia" w:ascii="宋体" w:hAnsi="宋体" w:cs="宋体"/>
                <w:color w:val="auto"/>
                <w:sz w:val="24"/>
                <w:highlight w:val="none"/>
              </w:rPr>
              <w:t>）；余款在质保期满后付清。</w:t>
            </w:r>
          </w:p>
        </w:tc>
        <w:tc>
          <w:tcPr>
            <w:tcW w:w="918" w:type="pct"/>
          </w:tcPr>
          <w:p w14:paraId="51B92085">
            <w:pPr>
              <w:snapToGrid w:val="0"/>
              <w:rPr>
                <w:rFonts w:ascii="宋体" w:hAnsi="宋体" w:cs="宋体"/>
                <w:color w:val="auto"/>
                <w:sz w:val="24"/>
                <w:highlight w:val="none"/>
              </w:rPr>
            </w:pPr>
          </w:p>
        </w:tc>
        <w:tc>
          <w:tcPr>
            <w:tcW w:w="918" w:type="pct"/>
          </w:tcPr>
          <w:p w14:paraId="45632403">
            <w:pPr>
              <w:snapToGrid w:val="0"/>
              <w:rPr>
                <w:rFonts w:ascii="宋体" w:hAnsi="宋体" w:cs="宋体"/>
                <w:color w:val="auto"/>
                <w:sz w:val="24"/>
                <w:highlight w:val="none"/>
              </w:rPr>
            </w:pPr>
          </w:p>
        </w:tc>
      </w:tr>
      <w:tr w14:paraId="6C5C1E9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846" w:hRule="atLeast"/>
          <w:jc w:val="center"/>
        </w:trPr>
        <w:tc>
          <w:tcPr>
            <w:tcW w:w="837" w:type="dxa"/>
            <w:vAlign w:val="center"/>
          </w:tcPr>
          <w:p w14:paraId="366B8B1A">
            <w:pPr>
              <w:widowControl/>
              <w:spacing w:line="0" w:lineRule="atLeast"/>
              <w:jc w:val="center"/>
              <w:rPr>
                <w:rFonts w:ascii="宋体" w:hAnsi="宋体" w:cs="宋体"/>
                <w:color w:val="auto"/>
                <w:sz w:val="24"/>
                <w:highlight w:val="none"/>
              </w:rPr>
            </w:pPr>
            <w:r>
              <w:rPr>
                <w:rFonts w:ascii="宋体" w:hAnsi="宋体" w:cs="宋体"/>
                <w:color w:val="auto"/>
                <w:sz w:val="24"/>
                <w:highlight w:val="none"/>
              </w:rPr>
              <w:t>报价组成</w:t>
            </w:r>
          </w:p>
        </w:tc>
        <w:tc>
          <w:tcPr>
            <w:tcW w:w="5039" w:type="dxa"/>
            <w:vAlign w:val="center"/>
          </w:tcPr>
          <w:p w14:paraId="2BEBD22B">
            <w:pPr>
              <w:snapToGrid w:val="0"/>
              <w:rPr>
                <w:rFonts w:ascii="宋体" w:hAnsi="宋体" w:cs="宋体"/>
                <w:color w:val="auto"/>
                <w:sz w:val="24"/>
                <w:highlight w:val="none"/>
              </w:rPr>
            </w:pPr>
            <w:r>
              <w:rPr>
                <w:rFonts w:hint="eastAsia" w:ascii="宋体" w:hAnsi="宋体" w:cs="宋体"/>
                <w:color w:val="auto"/>
                <w:sz w:val="24"/>
                <w:highlight w:val="none"/>
              </w:rPr>
              <w:t>（1）投标报价应包括完成招标文件及图纸范围内的货款、标准附件、备品备件、专用工具、包装、运输、装卸、保险、税金、水电费、开孔及修补费、总包配合费（投标总价的1.5%）、货到就位以及保管、安装、调试、培训、保修等一切税金和费用。（总包配合内容包括垂直运输、配合城建档案归档、必要的土建配合（如填塞浇筑）、场地内机械设备、货物堆放场地等。具体事宜中标单位需与总包单位协商确定。）</w:t>
            </w:r>
          </w:p>
          <w:p w14:paraId="609507C3">
            <w:pPr>
              <w:snapToGrid w:val="0"/>
              <w:rPr>
                <w:rFonts w:ascii="宋体" w:hAnsi="宋体" w:cs="宋体"/>
                <w:color w:val="auto"/>
                <w:sz w:val="24"/>
                <w:highlight w:val="none"/>
              </w:rPr>
            </w:pPr>
            <w:r>
              <w:rPr>
                <w:rFonts w:hint="eastAsia" w:ascii="宋体" w:hAnsi="宋体" w:cs="宋体"/>
                <w:color w:val="auto"/>
                <w:sz w:val="24"/>
                <w:highlight w:val="none"/>
              </w:rPr>
              <w:t>（2）本次项目工程量详见清单与图纸，如有冲突，以图纸为准。图纸未有体现的，以清单为准。投标人的报价不止包含“采购清单”表中所列设备，还须包括完成图纸范围内系统所需要配件、辅助材料，直至系统具备招标中所要求的完整功能，达到设计使用规范，完成系统验收并移交。如涉及设计签单则另行计算。</w:t>
            </w:r>
          </w:p>
          <w:p w14:paraId="2C3586CF">
            <w:pPr>
              <w:snapToGrid w:val="0"/>
              <w:rPr>
                <w:rFonts w:ascii="宋体" w:hAnsi="宋体" w:cs="宋体"/>
                <w:color w:val="auto"/>
                <w:sz w:val="24"/>
                <w:highlight w:val="none"/>
              </w:rPr>
            </w:pPr>
            <w:r>
              <w:rPr>
                <w:rFonts w:hint="eastAsia" w:ascii="宋体" w:hAnsi="宋体" w:cs="宋体"/>
                <w:color w:val="auto"/>
                <w:sz w:val="24"/>
                <w:highlight w:val="none"/>
              </w:rPr>
              <w:t>（3）中标人应考虑交货期间内材料等价格上涨因素，中标后的价格将不予调整。</w:t>
            </w:r>
          </w:p>
          <w:p w14:paraId="2BFA8386">
            <w:pPr>
              <w:snapToGrid w:val="0"/>
              <w:rPr>
                <w:rFonts w:ascii="宋体" w:hAnsi="宋体" w:cs="宋体"/>
                <w:color w:val="auto"/>
                <w:sz w:val="24"/>
                <w:highlight w:val="none"/>
              </w:rPr>
            </w:pPr>
            <w:r>
              <w:rPr>
                <w:rFonts w:hint="eastAsia" w:ascii="宋体" w:hAnsi="宋体" w:cs="宋体"/>
                <w:color w:val="auto"/>
                <w:sz w:val="24"/>
                <w:highlight w:val="none"/>
              </w:rPr>
              <w:t>（4）投标人须提供保证货物在验收合格后保修期内正常使用所必需的辅助材料、人员服务费用和检查、维护、保养费用等，其价格含在总价中。</w:t>
            </w:r>
          </w:p>
        </w:tc>
        <w:tc>
          <w:tcPr>
            <w:tcW w:w="918" w:type="pct"/>
          </w:tcPr>
          <w:p w14:paraId="7648CB90">
            <w:pPr>
              <w:snapToGrid w:val="0"/>
              <w:rPr>
                <w:rFonts w:ascii="宋体" w:hAnsi="宋体" w:cs="宋体"/>
                <w:color w:val="auto"/>
                <w:sz w:val="24"/>
                <w:highlight w:val="none"/>
              </w:rPr>
            </w:pPr>
          </w:p>
        </w:tc>
        <w:tc>
          <w:tcPr>
            <w:tcW w:w="918" w:type="pct"/>
          </w:tcPr>
          <w:p w14:paraId="4842F91E">
            <w:pPr>
              <w:snapToGrid w:val="0"/>
              <w:rPr>
                <w:rFonts w:ascii="宋体" w:hAnsi="宋体" w:cs="宋体"/>
                <w:color w:val="auto"/>
                <w:sz w:val="24"/>
                <w:highlight w:val="none"/>
              </w:rPr>
            </w:pPr>
          </w:p>
        </w:tc>
      </w:tr>
      <w:tr w14:paraId="4E8E4C5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846" w:hRule="atLeast"/>
          <w:jc w:val="center"/>
        </w:trPr>
        <w:tc>
          <w:tcPr>
            <w:tcW w:w="837" w:type="dxa"/>
            <w:vAlign w:val="center"/>
          </w:tcPr>
          <w:p w14:paraId="7E94AF48">
            <w:pPr>
              <w:pStyle w:val="28"/>
              <w:ind w:firstLine="0" w:firstLineChars="0"/>
              <w:jc w:val="left"/>
              <w:rPr>
                <w:rFonts w:ascii="宋体" w:hAnsi="宋体" w:cs="宋体"/>
                <w:color w:val="auto"/>
                <w:sz w:val="24"/>
                <w:highlight w:val="none"/>
              </w:rPr>
            </w:pPr>
            <w:r>
              <w:rPr>
                <w:rFonts w:hint="eastAsia" w:ascii="宋体" w:hAnsi="宋体" w:eastAsia="宋体" w:cs="仿宋"/>
                <w:color w:val="auto"/>
                <w:kern w:val="0"/>
                <w:sz w:val="24"/>
                <w:highlight w:val="none"/>
              </w:rPr>
              <w:t>产品及服务质量保证</w:t>
            </w:r>
          </w:p>
        </w:tc>
        <w:tc>
          <w:tcPr>
            <w:tcW w:w="5039" w:type="dxa"/>
            <w:vAlign w:val="center"/>
          </w:tcPr>
          <w:p w14:paraId="7223D17A">
            <w:pPr>
              <w:snapToGrid w:val="0"/>
              <w:rPr>
                <w:rFonts w:ascii="宋体" w:hAnsi="宋体" w:cs="宋体"/>
                <w:color w:val="auto"/>
                <w:sz w:val="24"/>
                <w:highlight w:val="none"/>
              </w:rPr>
            </w:pPr>
            <w:r>
              <w:rPr>
                <w:rFonts w:hint="eastAsia" w:ascii="宋体" w:hAnsi="宋体" w:cs="宋体"/>
                <w:color w:val="auto"/>
                <w:sz w:val="24"/>
                <w:highlight w:val="none"/>
              </w:rPr>
              <w:t>（1）供应商保证所供的商品必须是出厂原装合格产品,如发生所供的商品与合同不符,采购人有权拒收或退货,由此产生的一切责任和后果由供应商承担。质保期自货物验收合格之日起计。</w:t>
            </w:r>
          </w:p>
          <w:p w14:paraId="740C5536">
            <w:pPr>
              <w:snapToGrid w:val="0"/>
              <w:rPr>
                <w:rFonts w:ascii="宋体" w:hAnsi="宋体" w:cs="宋体"/>
                <w:color w:val="auto"/>
                <w:sz w:val="24"/>
                <w:highlight w:val="none"/>
              </w:rPr>
            </w:pPr>
            <w:r>
              <w:rPr>
                <w:rFonts w:hint="eastAsia" w:ascii="宋体" w:hAnsi="宋体" w:cs="宋体"/>
                <w:color w:val="auto"/>
                <w:sz w:val="24"/>
                <w:highlight w:val="none"/>
              </w:rPr>
              <w:t>（2）在所供商品交付时，供应商必须向采购人提供产品说明书、质量保证书、保修卡等必须具备的相关资料和必备附件。</w:t>
            </w:r>
          </w:p>
        </w:tc>
        <w:tc>
          <w:tcPr>
            <w:tcW w:w="918" w:type="pct"/>
          </w:tcPr>
          <w:p w14:paraId="1EC2DD9B">
            <w:pPr>
              <w:snapToGrid w:val="0"/>
              <w:rPr>
                <w:rFonts w:ascii="宋体" w:hAnsi="宋体" w:cs="宋体"/>
                <w:color w:val="auto"/>
                <w:sz w:val="24"/>
                <w:highlight w:val="none"/>
              </w:rPr>
            </w:pPr>
          </w:p>
        </w:tc>
        <w:tc>
          <w:tcPr>
            <w:tcW w:w="918" w:type="pct"/>
          </w:tcPr>
          <w:p w14:paraId="6460EF8E">
            <w:pPr>
              <w:snapToGrid w:val="0"/>
              <w:rPr>
                <w:rFonts w:ascii="宋体" w:hAnsi="宋体" w:cs="宋体"/>
                <w:color w:val="auto"/>
                <w:sz w:val="24"/>
                <w:highlight w:val="none"/>
              </w:rPr>
            </w:pPr>
          </w:p>
        </w:tc>
      </w:tr>
      <w:tr w14:paraId="15B3B03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846" w:hRule="atLeast"/>
          <w:jc w:val="center"/>
        </w:trPr>
        <w:tc>
          <w:tcPr>
            <w:tcW w:w="837" w:type="dxa"/>
            <w:vAlign w:val="center"/>
          </w:tcPr>
          <w:p w14:paraId="3CDB9EDB">
            <w:pPr>
              <w:spacing w:line="360" w:lineRule="exact"/>
              <w:jc w:val="center"/>
              <w:rPr>
                <w:rFonts w:ascii="宋体" w:hAnsi="宋体" w:cs="宋体"/>
                <w:color w:val="auto"/>
                <w:sz w:val="24"/>
                <w:highlight w:val="none"/>
              </w:rPr>
            </w:pPr>
            <w:r>
              <w:rPr>
                <w:rFonts w:hint="eastAsia" w:ascii="宋体" w:hAnsi="宋体" w:cs="宋体"/>
                <w:color w:val="auto"/>
                <w:sz w:val="24"/>
                <w:highlight w:val="none"/>
              </w:rPr>
              <w:t>合同终止</w:t>
            </w:r>
          </w:p>
        </w:tc>
        <w:tc>
          <w:tcPr>
            <w:tcW w:w="5039" w:type="dxa"/>
            <w:vAlign w:val="center"/>
          </w:tcPr>
          <w:p w14:paraId="1750E4BF">
            <w:pPr>
              <w:snapToGrid w:val="0"/>
              <w:rPr>
                <w:rFonts w:ascii="宋体" w:hAnsi="宋体" w:cs="宋体"/>
                <w:color w:val="auto"/>
                <w:sz w:val="24"/>
                <w:highlight w:val="none"/>
              </w:rPr>
            </w:pPr>
            <w:r>
              <w:rPr>
                <w:rFonts w:hint="eastAsia" w:ascii="宋体" w:hAnsi="宋体" w:cs="宋体"/>
                <w:color w:val="auto"/>
                <w:sz w:val="24"/>
                <w:highlight w:val="none"/>
              </w:rPr>
              <w:t>（1）未能使合同货物达到合同附件规定的技术性能和指标的；</w:t>
            </w:r>
          </w:p>
          <w:p w14:paraId="6086EC42">
            <w:pPr>
              <w:snapToGrid w:val="0"/>
              <w:rPr>
                <w:rFonts w:ascii="宋体" w:hAnsi="宋体" w:cs="宋体"/>
                <w:color w:val="auto"/>
                <w:sz w:val="24"/>
                <w:highlight w:val="none"/>
              </w:rPr>
            </w:pPr>
            <w:r>
              <w:rPr>
                <w:rFonts w:hint="eastAsia" w:ascii="宋体" w:hAnsi="宋体" w:cs="宋体"/>
                <w:color w:val="auto"/>
                <w:sz w:val="24"/>
                <w:highlight w:val="none"/>
              </w:rPr>
              <w:t>（2）未能在合同规定的期限（或采购人同意延长的最终期限）内提供全部或部分货物的；</w:t>
            </w:r>
          </w:p>
          <w:p w14:paraId="4678421A">
            <w:pPr>
              <w:snapToGrid w:val="0"/>
              <w:rPr>
                <w:rFonts w:ascii="宋体" w:hAnsi="宋体" w:cs="宋体"/>
                <w:color w:val="auto"/>
                <w:sz w:val="24"/>
                <w:highlight w:val="none"/>
              </w:rPr>
            </w:pPr>
            <w:r>
              <w:rPr>
                <w:rFonts w:hint="eastAsia" w:ascii="宋体" w:hAnsi="宋体" w:cs="宋体"/>
                <w:color w:val="auto"/>
                <w:sz w:val="24"/>
                <w:highlight w:val="none"/>
              </w:rPr>
              <w:t>（3）未能履行合同规定的其它义务。</w:t>
            </w:r>
          </w:p>
        </w:tc>
        <w:tc>
          <w:tcPr>
            <w:tcW w:w="918" w:type="pct"/>
          </w:tcPr>
          <w:p w14:paraId="4E9B8A7F">
            <w:pPr>
              <w:snapToGrid w:val="0"/>
              <w:rPr>
                <w:rFonts w:ascii="宋体" w:hAnsi="宋体" w:cs="宋体"/>
                <w:color w:val="auto"/>
                <w:sz w:val="24"/>
                <w:highlight w:val="none"/>
              </w:rPr>
            </w:pPr>
          </w:p>
        </w:tc>
        <w:tc>
          <w:tcPr>
            <w:tcW w:w="918" w:type="pct"/>
          </w:tcPr>
          <w:p w14:paraId="4072DE20">
            <w:pPr>
              <w:snapToGrid w:val="0"/>
              <w:rPr>
                <w:rFonts w:ascii="宋体" w:hAnsi="宋体" w:cs="宋体"/>
                <w:color w:val="auto"/>
                <w:sz w:val="24"/>
                <w:highlight w:val="none"/>
              </w:rPr>
            </w:pPr>
          </w:p>
        </w:tc>
      </w:tr>
    </w:tbl>
    <w:p w14:paraId="5B69075B">
      <w:pPr>
        <w:spacing w:line="360" w:lineRule="auto"/>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投标人保证：除商务响应表列出的偏离外，投标人响应招标文件的全部商务要求。</w:t>
      </w:r>
    </w:p>
    <w:p w14:paraId="56E1E444">
      <w:pPr>
        <w:adjustRightInd w:val="0"/>
        <w:snapToGrid w:val="0"/>
        <w:spacing w:line="360" w:lineRule="auto"/>
        <w:jc w:val="righ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法定代表人或其授权委托人（签名或印章）：</w:t>
      </w:r>
    </w:p>
    <w:p w14:paraId="212CA7ED">
      <w:pPr>
        <w:adjustRightInd w:val="0"/>
        <w:snapToGrid w:val="0"/>
        <w:spacing w:line="360" w:lineRule="auto"/>
        <w:ind w:left="3990" w:leftChars="1900"/>
        <w:jc w:val="center"/>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投标人（盖章）：</w:t>
      </w:r>
    </w:p>
    <w:p w14:paraId="14F28E4D">
      <w:pPr>
        <w:adjustRightInd w:val="0"/>
        <w:snapToGrid w:val="0"/>
        <w:spacing w:line="360" w:lineRule="auto"/>
        <w:ind w:right="1920"/>
        <w:jc w:val="center"/>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color w:val="auto"/>
          <w:kern w:val="0"/>
          <w:sz w:val="24"/>
          <w:highlight w:val="none"/>
          <w:lang w:val="zh-CN"/>
        </w:rPr>
        <w:t xml:space="preserve">                                      日期</w:t>
      </w:r>
      <w:r>
        <w:rPr>
          <w:rFonts w:hint="eastAsia" w:cs="仿宋" w:asciiTheme="majorEastAsia" w:hAnsiTheme="majorEastAsia" w:eastAsiaTheme="majorEastAsia"/>
          <w:color w:val="auto"/>
          <w:kern w:val="0"/>
          <w:sz w:val="24"/>
          <w:highlight w:val="none"/>
        </w:rPr>
        <w:t>:</w:t>
      </w:r>
    </w:p>
    <w:p w14:paraId="14744CF9">
      <w:pPr>
        <w:widowControl/>
        <w:jc w:val="left"/>
        <w:rPr>
          <w:rFonts w:asciiTheme="majorEastAsia" w:hAnsiTheme="majorEastAsia" w:eastAsiaTheme="majorEastAsia"/>
          <w:color w:val="auto"/>
          <w:sz w:val="28"/>
          <w:highlight w:val="none"/>
          <w:lang w:val="zh-CN"/>
        </w:rPr>
      </w:pPr>
    </w:p>
    <w:p w14:paraId="422EF189">
      <w:pPr>
        <w:widowControl/>
        <w:jc w:val="left"/>
        <w:rPr>
          <w:rFonts w:asciiTheme="majorEastAsia" w:hAnsiTheme="majorEastAsia" w:eastAsiaTheme="majorEastAsia"/>
          <w:color w:val="auto"/>
          <w:sz w:val="28"/>
          <w:highlight w:val="none"/>
          <w:lang w:val="zh-CN"/>
        </w:rPr>
      </w:pPr>
      <w:r>
        <w:rPr>
          <w:rFonts w:asciiTheme="majorEastAsia" w:hAnsiTheme="majorEastAsia" w:eastAsiaTheme="majorEastAsia"/>
          <w:color w:val="auto"/>
          <w:highlight w:val="none"/>
          <w:lang w:val="zh-CN"/>
        </w:rPr>
        <w:br w:type="page"/>
      </w:r>
    </w:p>
    <w:p w14:paraId="63694814">
      <w:pPr>
        <w:pStyle w:val="28"/>
        <w:ind w:firstLine="560"/>
        <w:rPr>
          <w:rFonts w:asciiTheme="majorEastAsia" w:hAnsiTheme="majorEastAsia" w:eastAsiaTheme="majorEastAsia"/>
          <w:color w:val="auto"/>
          <w:highlight w:val="none"/>
          <w:lang w:val="zh-CN"/>
        </w:rPr>
      </w:pPr>
    </w:p>
    <w:p w14:paraId="0C1B0552">
      <w:pPr>
        <w:numPr>
          <w:ilvl w:val="0"/>
          <w:numId w:val="5"/>
        </w:numPr>
        <w:snapToGrid w:val="0"/>
        <w:spacing w:line="360" w:lineRule="auto"/>
        <w:jc w:val="center"/>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lang w:val="zh-CN"/>
        </w:rPr>
        <w:t>技术响应表</w:t>
      </w:r>
    </w:p>
    <w:p w14:paraId="1A76A554">
      <w:pPr>
        <w:spacing w:line="360" w:lineRule="auto"/>
        <w:jc w:val="center"/>
        <w:rPr>
          <w:rFonts w:ascii="宋体" w:hAnsi="宋体" w:cs="宋体"/>
          <w:color w:val="auto"/>
          <w:highlight w:val="none"/>
        </w:rPr>
      </w:pPr>
      <w:r>
        <w:rPr>
          <w:rFonts w:hint="eastAsia" w:ascii="宋体" w:hAnsi="宋体" w:cs="宋体"/>
          <w:b/>
          <w:color w:val="auto"/>
          <w:highlight w:val="none"/>
        </w:rPr>
        <w:t>1.带</w:t>
      </w:r>
      <w:r>
        <w:rPr>
          <w:rFonts w:hint="eastAsia" w:cs="仿宋" w:asciiTheme="majorEastAsia" w:hAnsiTheme="majorEastAsia" w:eastAsiaTheme="majorEastAsia"/>
          <w:b/>
          <w:color w:val="auto"/>
          <w:highlight w:val="none"/>
        </w:rPr>
        <w:t>▲</w:t>
      </w:r>
      <w:r>
        <w:rPr>
          <w:rFonts w:hint="eastAsia" w:ascii="宋体" w:hAnsi="宋体" w:cs="宋体"/>
          <w:b/>
          <w:color w:val="auto"/>
          <w:highlight w:val="none"/>
        </w:rPr>
        <w:t>条款响应一览表</w:t>
      </w:r>
    </w:p>
    <w:p w14:paraId="77E64217">
      <w:pPr>
        <w:spacing w:line="360" w:lineRule="auto"/>
        <w:rPr>
          <w:rFonts w:cs="仿宋" w:asciiTheme="majorEastAsia" w:hAnsiTheme="majorEastAsia" w:eastAsiaTheme="majorEastAsia"/>
          <w:color w:val="auto"/>
          <w:kern w:val="0"/>
          <w:sz w:val="32"/>
          <w:szCs w:val="32"/>
          <w:highlight w:val="none"/>
          <w:lang w:val="zh-CN"/>
        </w:rPr>
      </w:pPr>
      <w:r>
        <w:rPr>
          <w:rFonts w:hint="eastAsia" w:ascii="宋体" w:hAnsi="宋体" w:cs="宋体"/>
          <w:color w:val="auto"/>
          <w:highlight w:val="none"/>
        </w:rPr>
        <w:t>项目名称：</w:t>
      </w: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787"/>
        <w:gridCol w:w="2788"/>
        <w:gridCol w:w="2788"/>
      </w:tblGrid>
      <w:tr w14:paraId="4F2D5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16C454D5">
            <w:pPr>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2787" w:type="dxa"/>
            <w:vAlign w:val="center"/>
          </w:tcPr>
          <w:p w14:paraId="1BC81713">
            <w:pPr>
              <w:ind w:firstLine="210" w:firstLineChars="100"/>
              <w:rPr>
                <w:rFonts w:ascii="宋体" w:hAnsi="宋体" w:cs="宋体"/>
                <w:color w:val="auto"/>
                <w:highlight w:val="none"/>
              </w:rPr>
            </w:pPr>
            <w:r>
              <w:rPr>
                <w:rFonts w:hint="eastAsia" w:ascii="宋体" w:hAnsi="宋体" w:cs="宋体"/>
                <w:color w:val="auto"/>
                <w:highlight w:val="none"/>
              </w:rPr>
              <w:t>采购文件条款描述</w:t>
            </w:r>
          </w:p>
        </w:tc>
        <w:tc>
          <w:tcPr>
            <w:tcW w:w="2788" w:type="dxa"/>
            <w:vAlign w:val="center"/>
          </w:tcPr>
          <w:p w14:paraId="0823F1FD">
            <w:pPr>
              <w:ind w:left="-78" w:leftChars="-37" w:right="-80" w:rightChars="-38"/>
              <w:jc w:val="center"/>
              <w:rPr>
                <w:rFonts w:ascii="宋体" w:hAnsi="宋体" w:cs="宋体"/>
                <w:color w:val="auto"/>
                <w:highlight w:val="none"/>
              </w:rPr>
            </w:pPr>
            <w:r>
              <w:rPr>
                <w:rFonts w:hint="eastAsia" w:ascii="宋体" w:hAnsi="宋体" w:cs="宋体"/>
                <w:color w:val="auto"/>
                <w:highlight w:val="none"/>
              </w:rPr>
              <w:t>投标人响应描述</w:t>
            </w:r>
          </w:p>
        </w:tc>
        <w:tc>
          <w:tcPr>
            <w:tcW w:w="2788" w:type="dxa"/>
            <w:vAlign w:val="center"/>
          </w:tcPr>
          <w:p w14:paraId="5B68D476">
            <w:pPr>
              <w:ind w:left="-78" w:leftChars="-37" w:right="-80" w:rightChars="-38"/>
              <w:jc w:val="center"/>
              <w:rPr>
                <w:rFonts w:ascii="宋体" w:hAnsi="宋体" w:cs="宋体"/>
                <w:color w:val="auto"/>
                <w:highlight w:val="none"/>
              </w:rPr>
            </w:pPr>
            <w:r>
              <w:rPr>
                <w:rFonts w:hint="eastAsia" w:ascii="宋体" w:hAnsi="宋体" w:cs="宋体"/>
                <w:color w:val="auto"/>
                <w:highlight w:val="none"/>
              </w:rPr>
              <w:t>差异</w:t>
            </w:r>
          </w:p>
        </w:tc>
      </w:tr>
      <w:tr w14:paraId="65A37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1AC6D3CC">
            <w:pPr>
              <w:rPr>
                <w:rFonts w:ascii="宋体" w:hAnsi="宋体" w:cs="宋体"/>
                <w:color w:val="auto"/>
                <w:highlight w:val="none"/>
              </w:rPr>
            </w:pPr>
          </w:p>
        </w:tc>
        <w:tc>
          <w:tcPr>
            <w:tcW w:w="2787" w:type="dxa"/>
          </w:tcPr>
          <w:p w14:paraId="1D0F78C7">
            <w:pPr>
              <w:rPr>
                <w:rFonts w:ascii="宋体" w:hAnsi="宋体" w:cs="宋体"/>
                <w:color w:val="auto"/>
                <w:highlight w:val="none"/>
              </w:rPr>
            </w:pPr>
          </w:p>
        </w:tc>
        <w:tc>
          <w:tcPr>
            <w:tcW w:w="2788" w:type="dxa"/>
          </w:tcPr>
          <w:p w14:paraId="27EB39A2">
            <w:pPr>
              <w:rPr>
                <w:rFonts w:ascii="宋体" w:hAnsi="宋体" w:cs="宋体"/>
                <w:color w:val="auto"/>
                <w:highlight w:val="none"/>
              </w:rPr>
            </w:pPr>
          </w:p>
        </w:tc>
        <w:tc>
          <w:tcPr>
            <w:tcW w:w="2788" w:type="dxa"/>
          </w:tcPr>
          <w:p w14:paraId="29424F53">
            <w:pPr>
              <w:rPr>
                <w:rFonts w:ascii="宋体" w:hAnsi="宋体" w:cs="宋体"/>
                <w:color w:val="auto"/>
                <w:highlight w:val="none"/>
              </w:rPr>
            </w:pPr>
          </w:p>
        </w:tc>
      </w:tr>
      <w:tr w14:paraId="27361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3AE0A429">
            <w:pPr>
              <w:rPr>
                <w:rFonts w:ascii="宋体" w:hAnsi="宋体" w:cs="宋体"/>
                <w:color w:val="auto"/>
                <w:highlight w:val="none"/>
              </w:rPr>
            </w:pPr>
          </w:p>
        </w:tc>
        <w:tc>
          <w:tcPr>
            <w:tcW w:w="2787" w:type="dxa"/>
          </w:tcPr>
          <w:p w14:paraId="174BFB31">
            <w:pPr>
              <w:rPr>
                <w:rFonts w:ascii="宋体" w:hAnsi="宋体" w:cs="宋体"/>
                <w:color w:val="auto"/>
                <w:highlight w:val="none"/>
              </w:rPr>
            </w:pPr>
          </w:p>
        </w:tc>
        <w:tc>
          <w:tcPr>
            <w:tcW w:w="2788" w:type="dxa"/>
          </w:tcPr>
          <w:p w14:paraId="365D0A9C">
            <w:pPr>
              <w:rPr>
                <w:rFonts w:ascii="宋体" w:hAnsi="宋体" w:cs="宋体"/>
                <w:color w:val="auto"/>
                <w:highlight w:val="none"/>
              </w:rPr>
            </w:pPr>
          </w:p>
        </w:tc>
        <w:tc>
          <w:tcPr>
            <w:tcW w:w="2788" w:type="dxa"/>
          </w:tcPr>
          <w:p w14:paraId="77BCA3F9">
            <w:pPr>
              <w:rPr>
                <w:rFonts w:ascii="宋体" w:hAnsi="宋体" w:cs="宋体"/>
                <w:color w:val="auto"/>
                <w:highlight w:val="none"/>
              </w:rPr>
            </w:pPr>
          </w:p>
        </w:tc>
      </w:tr>
      <w:tr w14:paraId="1F0E1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314126F7">
            <w:pPr>
              <w:rPr>
                <w:rFonts w:ascii="宋体" w:hAnsi="宋体" w:cs="宋体"/>
                <w:color w:val="auto"/>
                <w:highlight w:val="none"/>
              </w:rPr>
            </w:pPr>
          </w:p>
        </w:tc>
        <w:tc>
          <w:tcPr>
            <w:tcW w:w="2787" w:type="dxa"/>
          </w:tcPr>
          <w:p w14:paraId="415DB7E7">
            <w:pPr>
              <w:rPr>
                <w:rFonts w:ascii="宋体" w:hAnsi="宋体" w:cs="宋体"/>
                <w:color w:val="auto"/>
                <w:highlight w:val="none"/>
              </w:rPr>
            </w:pPr>
          </w:p>
        </w:tc>
        <w:tc>
          <w:tcPr>
            <w:tcW w:w="2788" w:type="dxa"/>
          </w:tcPr>
          <w:p w14:paraId="4534647B">
            <w:pPr>
              <w:rPr>
                <w:rFonts w:ascii="宋体" w:hAnsi="宋体" w:cs="宋体"/>
                <w:color w:val="auto"/>
                <w:highlight w:val="none"/>
              </w:rPr>
            </w:pPr>
          </w:p>
        </w:tc>
        <w:tc>
          <w:tcPr>
            <w:tcW w:w="2788" w:type="dxa"/>
          </w:tcPr>
          <w:p w14:paraId="44BC746F">
            <w:pPr>
              <w:rPr>
                <w:rFonts w:ascii="宋体" w:hAnsi="宋体" w:cs="宋体"/>
                <w:color w:val="auto"/>
                <w:highlight w:val="none"/>
              </w:rPr>
            </w:pPr>
          </w:p>
        </w:tc>
      </w:tr>
      <w:tr w14:paraId="0F714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CCB2483">
            <w:pPr>
              <w:rPr>
                <w:rFonts w:ascii="宋体" w:hAnsi="宋体" w:cs="宋体"/>
                <w:color w:val="auto"/>
                <w:highlight w:val="none"/>
              </w:rPr>
            </w:pPr>
          </w:p>
        </w:tc>
        <w:tc>
          <w:tcPr>
            <w:tcW w:w="2787" w:type="dxa"/>
          </w:tcPr>
          <w:p w14:paraId="37AA412D">
            <w:pPr>
              <w:rPr>
                <w:rFonts w:ascii="宋体" w:hAnsi="宋体" w:cs="宋体"/>
                <w:color w:val="auto"/>
                <w:highlight w:val="none"/>
              </w:rPr>
            </w:pPr>
          </w:p>
        </w:tc>
        <w:tc>
          <w:tcPr>
            <w:tcW w:w="2788" w:type="dxa"/>
          </w:tcPr>
          <w:p w14:paraId="3D77747F">
            <w:pPr>
              <w:rPr>
                <w:rFonts w:ascii="宋体" w:hAnsi="宋体" w:cs="宋体"/>
                <w:color w:val="auto"/>
                <w:highlight w:val="none"/>
              </w:rPr>
            </w:pPr>
          </w:p>
        </w:tc>
        <w:tc>
          <w:tcPr>
            <w:tcW w:w="2788" w:type="dxa"/>
          </w:tcPr>
          <w:p w14:paraId="71BDA846">
            <w:pPr>
              <w:rPr>
                <w:rFonts w:ascii="宋体" w:hAnsi="宋体" w:cs="宋体"/>
                <w:color w:val="auto"/>
                <w:highlight w:val="none"/>
              </w:rPr>
            </w:pPr>
          </w:p>
        </w:tc>
      </w:tr>
      <w:tr w14:paraId="55A50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0428D60A">
            <w:pPr>
              <w:rPr>
                <w:rFonts w:ascii="宋体" w:hAnsi="宋体" w:cs="宋体"/>
                <w:color w:val="auto"/>
                <w:highlight w:val="none"/>
              </w:rPr>
            </w:pPr>
          </w:p>
        </w:tc>
        <w:tc>
          <w:tcPr>
            <w:tcW w:w="2787" w:type="dxa"/>
          </w:tcPr>
          <w:p w14:paraId="2DB75A90">
            <w:pPr>
              <w:rPr>
                <w:rFonts w:ascii="宋体" w:hAnsi="宋体" w:cs="宋体"/>
                <w:color w:val="auto"/>
                <w:highlight w:val="none"/>
              </w:rPr>
            </w:pPr>
          </w:p>
        </w:tc>
        <w:tc>
          <w:tcPr>
            <w:tcW w:w="2788" w:type="dxa"/>
          </w:tcPr>
          <w:p w14:paraId="61F3F35B">
            <w:pPr>
              <w:rPr>
                <w:rFonts w:ascii="宋体" w:hAnsi="宋体" w:cs="宋体"/>
                <w:color w:val="auto"/>
                <w:highlight w:val="none"/>
              </w:rPr>
            </w:pPr>
          </w:p>
        </w:tc>
        <w:tc>
          <w:tcPr>
            <w:tcW w:w="2788" w:type="dxa"/>
          </w:tcPr>
          <w:p w14:paraId="3B31726B">
            <w:pPr>
              <w:rPr>
                <w:rFonts w:ascii="宋体" w:hAnsi="宋体" w:cs="宋体"/>
                <w:color w:val="auto"/>
                <w:highlight w:val="none"/>
              </w:rPr>
            </w:pPr>
          </w:p>
        </w:tc>
      </w:tr>
      <w:tr w14:paraId="20C75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56D4502D">
            <w:pPr>
              <w:rPr>
                <w:rFonts w:ascii="宋体" w:hAnsi="宋体" w:cs="宋体"/>
                <w:color w:val="auto"/>
                <w:highlight w:val="none"/>
              </w:rPr>
            </w:pPr>
            <w:r>
              <w:rPr>
                <w:rFonts w:hint="eastAsia" w:ascii="宋体" w:hAnsi="宋体" w:cs="宋体"/>
                <w:color w:val="auto"/>
                <w:highlight w:val="none"/>
              </w:rPr>
              <w:t>……</w:t>
            </w:r>
          </w:p>
        </w:tc>
        <w:tc>
          <w:tcPr>
            <w:tcW w:w="2787" w:type="dxa"/>
          </w:tcPr>
          <w:p w14:paraId="5CFF22B5">
            <w:pPr>
              <w:rPr>
                <w:rFonts w:ascii="宋体" w:hAnsi="宋体" w:cs="宋体"/>
                <w:color w:val="auto"/>
                <w:highlight w:val="none"/>
              </w:rPr>
            </w:pPr>
          </w:p>
        </w:tc>
        <w:tc>
          <w:tcPr>
            <w:tcW w:w="2788" w:type="dxa"/>
          </w:tcPr>
          <w:p w14:paraId="47677F34">
            <w:pPr>
              <w:rPr>
                <w:rFonts w:ascii="宋体" w:hAnsi="宋体" w:cs="宋体"/>
                <w:color w:val="auto"/>
                <w:highlight w:val="none"/>
              </w:rPr>
            </w:pPr>
          </w:p>
        </w:tc>
        <w:tc>
          <w:tcPr>
            <w:tcW w:w="2788" w:type="dxa"/>
          </w:tcPr>
          <w:p w14:paraId="0857E1C1">
            <w:pPr>
              <w:rPr>
                <w:rFonts w:ascii="宋体" w:hAnsi="宋体" w:cs="宋体"/>
                <w:color w:val="auto"/>
                <w:highlight w:val="none"/>
              </w:rPr>
            </w:pPr>
          </w:p>
        </w:tc>
      </w:tr>
    </w:tbl>
    <w:p w14:paraId="24387E98">
      <w:pPr>
        <w:spacing w:line="360" w:lineRule="auto"/>
        <w:jc w:val="left"/>
        <w:rPr>
          <w:rFonts w:ascii="宋体" w:hAnsi="宋体" w:cs="宋体"/>
          <w:color w:val="auto"/>
          <w:highlight w:val="none"/>
        </w:rPr>
      </w:pPr>
      <w:r>
        <w:rPr>
          <w:rFonts w:hint="eastAsia" w:ascii="宋体" w:hAnsi="宋体" w:cs="宋体"/>
          <w:color w:val="auto"/>
          <w:highlight w:val="none"/>
        </w:rPr>
        <w:t>说明：投标人必须对应采购文件“第三部分 采购需求”带“</w:t>
      </w:r>
      <w:r>
        <w:rPr>
          <w:rFonts w:hint="eastAsia" w:cs="仿宋" w:asciiTheme="majorEastAsia" w:hAnsiTheme="majorEastAsia" w:eastAsiaTheme="majorEastAsia"/>
          <w:b/>
          <w:color w:val="auto"/>
          <w:highlight w:val="none"/>
        </w:rPr>
        <w:t>▲</w:t>
      </w:r>
      <w:r>
        <w:rPr>
          <w:rFonts w:hint="eastAsia" w:ascii="宋体" w:hAnsi="宋体" w:cs="宋体"/>
          <w:color w:val="auto"/>
          <w:highlight w:val="none"/>
        </w:rPr>
        <w:t>”的条款逐条应答并按要求填写上表。条款要求提供的相关证明资料必须一并提供，否则视为不响应。</w:t>
      </w:r>
    </w:p>
    <w:p w14:paraId="7CD9CA42">
      <w:pPr>
        <w:spacing w:line="360" w:lineRule="auto"/>
        <w:jc w:val="right"/>
        <w:rPr>
          <w:rFonts w:ascii="宋体" w:hAnsi="宋体" w:cs="宋体"/>
          <w:color w:val="auto"/>
          <w:highlight w:val="none"/>
        </w:rPr>
      </w:pPr>
      <w:r>
        <w:rPr>
          <w:rFonts w:hint="eastAsia" w:ascii="宋体" w:hAnsi="宋体" w:cs="宋体"/>
          <w:color w:val="auto"/>
          <w:highlight w:val="none"/>
        </w:rPr>
        <w:t>法定代表人或其授权委托人（签名或印章）：</w:t>
      </w:r>
    </w:p>
    <w:p w14:paraId="79AF4846">
      <w:pPr>
        <w:spacing w:line="360" w:lineRule="auto"/>
        <w:ind w:firstLine="5040" w:firstLineChars="2400"/>
        <w:rPr>
          <w:rFonts w:ascii="宋体" w:hAnsi="宋体" w:cs="宋体"/>
          <w:color w:val="auto"/>
          <w:highlight w:val="none"/>
        </w:rPr>
      </w:pPr>
      <w:r>
        <w:rPr>
          <w:rFonts w:hint="eastAsia" w:ascii="宋体" w:hAnsi="宋体" w:cs="宋体"/>
          <w:color w:val="auto"/>
          <w:highlight w:val="none"/>
        </w:rPr>
        <w:t>投标人（盖章）：</w:t>
      </w:r>
    </w:p>
    <w:p w14:paraId="16871A41">
      <w:pPr>
        <w:spacing w:line="360" w:lineRule="auto"/>
        <w:rPr>
          <w:rFonts w:ascii="宋体" w:hAnsi="宋体" w:cs="宋体"/>
          <w:color w:val="auto"/>
          <w:sz w:val="24"/>
          <w:highlight w:val="none"/>
        </w:rPr>
      </w:pPr>
      <w:r>
        <w:rPr>
          <w:rFonts w:hint="eastAsia" w:ascii="宋体" w:hAnsi="宋体" w:cs="宋体"/>
          <w:color w:val="auto"/>
          <w:highlight w:val="none"/>
        </w:rPr>
        <w:t xml:space="preserve">                                                日期：</w:t>
      </w:r>
    </w:p>
    <w:p w14:paraId="53EBB95B">
      <w:pPr>
        <w:spacing w:line="360" w:lineRule="auto"/>
        <w:jc w:val="center"/>
        <w:rPr>
          <w:rFonts w:ascii="宋体" w:hAnsi="宋体" w:cs="宋体"/>
          <w:b/>
          <w:color w:val="auto"/>
          <w:highlight w:val="none"/>
        </w:rPr>
      </w:pPr>
    </w:p>
    <w:p w14:paraId="64B1FFDA">
      <w:pPr>
        <w:spacing w:line="360" w:lineRule="auto"/>
        <w:jc w:val="center"/>
        <w:rPr>
          <w:rFonts w:ascii="宋体" w:hAnsi="宋体" w:cs="宋体"/>
          <w:b/>
          <w:color w:val="auto"/>
          <w:highlight w:val="none"/>
        </w:rPr>
      </w:pPr>
    </w:p>
    <w:p w14:paraId="0A5D85BE">
      <w:pPr>
        <w:spacing w:line="360" w:lineRule="auto"/>
        <w:jc w:val="center"/>
        <w:rPr>
          <w:rFonts w:ascii="宋体" w:hAnsi="宋体" w:cs="宋体"/>
          <w:color w:val="auto"/>
          <w:highlight w:val="none"/>
        </w:rPr>
      </w:pPr>
      <w:r>
        <w:rPr>
          <w:rFonts w:hint="eastAsia" w:ascii="宋体" w:hAnsi="宋体" w:cs="宋体"/>
          <w:b/>
          <w:color w:val="auto"/>
          <w:highlight w:val="none"/>
        </w:rPr>
        <w:t>2.带</w:t>
      </w:r>
      <w:r>
        <w:rPr>
          <w:rFonts w:hint="eastAsia" w:asciiTheme="minorEastAsia" w:hAnsiTheme="minorEastAsia" w:eastAsiaTheme="minorEastAsia"/>
          <w:color w:val="auto"/>
          <w:sz w:val="24"/>
          <w:highlight w:val="none"/>
        </w:rPr>
        <w:t>★</w:t>
      </w:r>
      <w:r>
        <w:rPr>
          <w:rFonts w:hint="eastAsia" w:ascii="宋体" w:hAnsi="宋体" w:cs="宋体"/>
          <w:b/>
          <w:color w:val="auto"/>
          <w:highlight w:val="none"/>
        </w:rPr>
        <w:t>条款响应一览表</w:t>
      </w:r>
    </w:p>
    <w:p w14:paraId="22D44B90">
      <w:pPr>
        <w:spacing w:line="360" w:lineRule="auto"/>
        <w:rPr>
          <w:rFonts w:cs="仿宋" w:asciiTheme="majorEastAsia" w:hAnsiTheme="majorEastAsia" w:eastAsiaTheme="majorEastAsia"/>
          <w:color w:val="auto"/>
          <w:kern w:val="0"/>
          <w:sz w:val="32"/>
          <w:szCs w:val="32"/>
          <w:highlight w:val="none"/>
          <w:lang w:val="zh-CN"/>
        </w:rPr>
      </w:pPr>
      <w:r>
        <w:rPr>
          <w:rFonts w:hint="eastAsia" w:ascii="宋体" w:hAnsi="宋体" w:cs="宋体"/>
          <w:color w:val="auto"/>
          <w:highlight w:val="none"/>
        </w:rPr>
        <w:t>项目名称：</w:t>
      </w: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787"/>
        <w:gridCol w:w="2788"/>
        <w:gridCol w:w="2788"/>
      </w:tblGrid>
      <w:tr w14:paraId="53C3A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4A851251">
            <w:pPr>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2787" w:type="dxa"/>
            <w:vAlign w:val="center"/>
          </w:tcPr>
          <w:p w14:paraId="321D67B0">
            <w:pPr>
              <w:ind w:firstLine="210" w:firstLineChars="100"/>
              <w:rPr>
                <w:rFonts w:ascii="宋体" w:hAnsi="宋体" w:cs="宋体"/>
                <w:color w:val="auto"/>
                <w:highlight w:val="none"/>
              </w:rPr>
            </w:pPr>
            <w:r>
              <w:rPr>
                <w:rFonts w:hint="eastAsia" w:ascii="宋体" w:hAnsi="宋体" w:cs="宋体"/>
                <w:color w:val="auto"/>
                <w:highlight w:val="none"/>
              </w:rPr>
              <w:t>采购文件条款描述</w:t>
            </w:r>
          </w:p>
        </w:tc>
        <w:tc>
          <w:tcPr>
            <w:tcW w:w="2788" w:type="dxa"/>
            <w:vAlign w:val="center"/>
          </w:tcPr>
          <w:p w14:paraId="6F2D6F75">
            <w:pPr>
              <w:ind w:left="-78" w:leftChars="-37" w:right="-80" w:rightChars="-38"/>
              <w:jc w:val="center"/>
              <w:rPr>
                <w:rFonts w:ascii="宋体" w:hAnsi="宋体" w:cs="宋体"/>
                <w:color w:val="auto"/>
                <w:highlight w:val="none"/>
              </w:rPr>
            </w:pPr>
            <w:r>
              <w:rPr>
                <w:rFonts w:hint="eastAsia" w:ascii="宋体" w:hAnsi="宋体" w:cs="宋体"/>
                <w:color w:val="auto"/>
                <w:highlight w:val="none"/>
              </w:rPr>
              <w:t>投标人响应描述</w:t>
            </w:r>
          </w:p>
        </w:tc>
        <w:tc>
          <w:tcPr>
            <w:tcW w:w="2788" w:type="dxa"/>
            <w:vAlign w:val="center"/>
          </w:tcPr>
          <w:p w14:paraId="4A2CB859">
            <w:pPr>
              <w:ind w:left="-78" w:leftChars="-37" w:right="-80" w:rightChars="-38"/>
              <w:jc w:val="center"/>
              <w:rPr>
                <w:rFonts w:ascii="宋体" w:hAnsi="宋体" w:cs="宋体"/>
                <w:color w:val="auto"/>
                <w:highlight w:val="none"/>
              </w:rPr>
            </w:pPr>
            <w:r>
              <w:rPr>
                <w:rFonts w:hint="eastAsia" w:ascii="宋体" w:hAnsi="宋体" w:cs="宋体"/>
                <w:color w:val="auto"/>
                <w:highlight w:val="none"/>
              </w:rPr>
              <w:t>差异</w:t>
            </w:r>
          </w:p>
        </w:tc>
      </w:tr>
      <w:tr w14:paraId="7CDDC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5908EB3B">
            <w:pPr>
              <w:rPr>
                <w:rFonts w:ascii="宋体" w:hAnsi="宋体" w:cs="宋体"/>
                <w:color w:val="auto"/>
                <w:highlight w:val="none"/>
              </w:rPr>
            </w:pPr>
          </w:p>
        </w:tc>
        <w:tc>
          <w:tcPr>
            <w:tcW w:w="2787" w:type="dxa"/>
          </w:tcPr>
          <w:p w14:paraId="1322E534">
            <w:pPr>
              <w:rPr>
                <w:rFonts w:ascii="宋体" w:hAnsi="宋体" w:cs="宋体"/>
                <w:color w:val="auto"/>
                <w:highlight w:val="none"/>
              </w:rPr>
            </w:pPr>
          </w:p>
        </w:tc>
        <w:tc>
          <w:tcPr>
            <w:tcW w:w="2788" w:type="dxa"/>
          </w:tcPr>
          <w:p w14:paraId="3925271C">
            <w:pPr>
              <w:rPr>
                <w:rFonts w:ascii="宋体" w:hAnsi="宋体" w:cs="宋体"/>
                <w:color w:val="auto"/>
                <w:highlight w:val="none"/>
              </w:rPr>
            </w:pPr>
          </w:p>
        </w:tc>
        <w:tc>
          <w:tcPr>
            <w:tcW w:w="2788" w:type="dxa"/>
          </w:tcPr>
          <w:p w14:paraId="36F7792C">
            <w:pPr>
              <w:rPr>
                <w:rFonts w:ascii="宋体" w:hAnsi="宋体" w:cs="宋体"/>
                <w:color w:val="auto"/>
                <w:highlight w:val="none"/>
              </w:rPr>
            </w:pPr>
          </w:p>
        </w:tc>
      </w:tr>
      <w:tr w14:paraId="56F74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2CC2E9E6">
            <w:pPr>
              <w:rPr>
                <w:rFonts w:ascii="宋体" w:hAnsi="宋体" w:cs="宋体"/>
                <w:color w:val="auto"/>
                <w:highlight w:val="none"/>
              </w:rPr>
            </w:pPr>
          </w:p>
        </w:tc>
        <w:tc>
          <w:tcPr>
            <w:tcW w:w="2787" w:type="dxa"/>
          </w:tcPr>
          <w:p w14:paraId="084403F6">
            <w:pPr>
              <w:rPr>
                <w:rFonts w:ascii="宋体" w:hAnsi="宋体" w:cs="宋体"/>
                <w:color w:val="auto"/>
                <w:highlight w:val="none"/>
              </w:rPr>
            </w:pPr>
          </w:p>
        </w:tc>
        <w:tc>
          <w:tcPr>
            <w:tcW w:w="2788" w:type="dxa"/>
          </w:tcPr>
          <w:p w14:paraId="3A4A414E">
            <w:pPr>
              <w:rPr>
                <w:rFonts w:ascii="宋体" w:hAnsi="宋体" w:cs="宋体"/>
                <w:color w:val="auto"/>
                <w:highlight w:val="none"/>
              </w:rPr>
            </w:pPr>
          </w:p>
        </w:tc>
        <w:tc>
          <w:tcPr>
            <w:tcW w:w="2788" w:type="dxa"/>
          </w:tcPr>
          <w:p w14:paraId="3B8157B8">
            <w:pPr>
              <w:rPr>
                <w:rFonts w:ascii="宋体" w:hAnsi="宋体" w:cs="宋体"/>
                <w:color w:val="auto"/>
                <w:highlight w:val="none"/>
              </w:rPr>
            </w:pPr>
          </w:p>
        </w:tc>
      </w:tr>
      <w:tr w14:paraId="133BF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1F25BEE1">
            <w:pPr>
              <w:rPr>
                <w:rFonts w:ascii="宋体" w:hAnsi="宋体" w:cs="宋体"/>
                <w:color w:val="auto"/>
                <w:highlight w:val="none"/>
              </w:rPr>
            </w:pPr>
          </w:p>
        </w:tc>
        <w:tc>
          <w:tcPr>
            <w:tcW w:w="2787" w:type="dxa"/>
          </w:tcPr>
          <w:p w14:paraId="306A6E25">
            <w:pPr>
              <w:rPr>
                <w:rFonts w:ascii="宋体" w:hAnsi="宋体" w:cs="宋体"/>
                <w:color w:val="auto"/>
                <w:highlight w:val="none"/>
              </w:rPr>
            </w:pPr>
          </w:p>
        </w:tc>
        <w:tc>
          <w:tcPr>
            <w:tcW w:w="2788" w:type="dxa"/>
          </w:tcPr>
          <w:p w14:paraId="6BDBCB40">
            <w:pPr>
              <w:rPr>
                <w:rFonts w:ascii="宋体" w:hAnsi="宋体" w:cs="宋体"/>
                <w:color w:val="auto"/>
                <w:highlight w:val="none"/>
              </w:rPr>
            </w:pPr>
          </w:p>
        </w:tc>
        <w:tc>
          <w:tcPr>
            <w:tcW w:w="2788" w:type="dxa"/>
          </w:tcPr>
          <w:p w14:paraId="03B87A7B">
            <w:pPr>
              <w:rPr>
                <w:rFonts w:ascii="宋体" w:hAnsi="宋体" w:cs="宋体"/>
                <w:color w:val="auto"/>
                <w:highlight w:val="none"/>
              </w:rPr>
            </w:pPr>
          </w:p>
        </w:tc>
      </w:tr>
      <w:tr w14:paraId="47271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394BE546">
            <w:pPr>
              <w:rPr>
                <w:rFonts w:ascii="宋体" w:hAnsi="宋体" w:cs="宋体"/>
                <w:color w:val="auto"/>
                <w:highlight w:val="none"/>
              </w:rPr>
            </w:pPr>
          </w:p>
        </w:tc>
        <w:tc>
          <w:tcPr>
            <w:tcW w:w="2787" w:type="dxa"/>
          </w:tcPr>
          <w:p w14:paraId="0B647349">
            <w:pPr>
              <w:rPr>
                <w:rFonts w:ascii="宋体" w:hAnsi="宋体" w:cs="宋体"/>
                <w:color w:val="auto"/>
                <w:highlight w:val="none"/>
              </w:rPr>
            </w:pPr>
          </w:p>
        </w:tc>
        <w:tc>
          <w:tcPr>
            <w:tcW w:w="2788" w:type="dxa"/>
          </w:tcPr>
          <w:p w14:paraId="06236ADC">
            <w:pPr>
              <w:rPr>
                <w:rFonts w:ascii="宋体" w:hAnsi="宋体" w:cs="宋体"/>
                <w:color w:val="auto"/>
                <w:highlight w:val="none"/>
              </w:rPr>
            </w:pPr>
          </w:p>
        </w:tc>
        <w:tc>
          <w:tcPr>
            <w:tcW w:w="2788" w:type="dxa"/>
          </w:tcPr>
          <w:p w14:paraId="73F07F9C">
            <w:pPr>
              <w:rPr>
                <w:rFonts w:ascii="宋体" w:hAnsi="宋体" w:cs="宋体"/>
                <w:color w:val="auto"/>
                <w:highlight w:val="none"/>
              </w:rPr>
            </w:pPr>
          </w:p>
        </w:tc>
      </w:tr>
      <w:tr w14:paraId="60485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A0CF6E2">
            <w:pPr>
              <w:rPr>
                <w:rFonts w:ascii="宋体" w:hAnsi="宋体" w:cs="宋体"/>
                <w:color w:val="auto"/>
                <w:highlight w:val="none"/>
              </w:rPr>
            </w:pPr>
          </w:p>
        </w:tc>
        <w:tc>
          <w:tcPr>
            <w:tcW w:w="2787" w:type="dxa"/>
          </w:tcPr>
          <w:p w14:paraId="0BA823E0">
            <w:pPr>
              <w:rPr>
                <w:rFonts w:ascii="宋体" w:hAnsi="宋体" w:cs="宋体"/>
                <w:color w:val="auto"/>
                <w:highlight w:val="none"/>
              </w:rPr>
            </w:pPr>
          </w:p>
        </w:tc>
        <w:tc>
          <w:tcPr>
            <w:tcW w:w="2788" w:type="dxa"/>
          </w:tcPr>
          <w:p w14:paraId="38171612">
            <w:pPr>
              <w:rPr>
                <w:rFonts w:ascii="宋体" w:hAnsi="宋体" w:cs="宋体"/>
                <w:color w:val="auto"/>
                <w:highlight w:val="none"/>
              </w:rPr>
            </w:pPr>
          </w:p>
        </w:tc>
        <w:tc>
          <w:tcPr>
            <w:tcW w:w="2788" w:type="dxa"/>
          </w:tcPr>
          <w:p w14:paraId="345A4E94">
            <w:pPr>
              <w:rPr>
                <w:rFonts w:ascii="宋体" w:hAnsi="宋体" w:cs="宋体"/>
                <w:color w:val="auto"/>
                <w:highlight w:val="none"/>
              </w:rPr>
            </w:pPr>
          </w:p>
        </w:tc>
      </w:tr>
      <w:tr w14:paraId="5CD10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29C2706A">
            <w:pPr>
              <w:rPr>
                <w:rFonts w:ascii="宋体" w:hAnsi="宋体" w:cs="宋体"/>
                <w:color w:val="auto"/>
                <w:highlight w:val="none"/>
              </w:rPr>
            </w:pPr>
            <w:r>
              <w:rPr>
                <w:rFonts w:hint="eastAsia" w:ascii="宋体" w:hAnsi="宋体" w:cs="宋体"/>
                <w:color w:val="auto"/>
                <w:highlight w:val="none"/>
              </w:rPr>
              <w:t>……</w:t>
            </w:r>
          </w:p>
        </w:tc>
        <w:tc>
          <w:tcPr>
            <w:tcW w:w="2787" w:type="dxa"/>
          </w:tcPr>
          <w:p w14:paraId="10DC2216">
            <w:pPr>
              <w:rPr>
                <w:rFonts w:ascii="宋体" w:hAnsi="宋体" w:cs="宋体"/>
                <w:color w:val="auto"/>
                <w:highlight w:val="none"/>
              </w:rPr>
            </w:pPr>
          </w:p>
        </w:tc>
        <w:tc>
          <w:tcPr>
            <w:tcW w:w="2788" w:type="dxa"/>
          </w:tcPr>
          <w:p w14:paraId="0DED9961">
            <w:pPr>
              <w:rPr>
                <w:rFonts w:ascii="宋体" w:hAnsi="宋体" w:cs="宋体"/>
                <w:color w:val="auto"/>
                <w:highlight w:val="none"/>
              </w:rPr>
            </w:pPr>
          </w:p>
        </w:tc>
        <w:tc>
          <w:tcPr>
            <w:tcW w:w="2788" w:type="dxa"/>
          </w:tcPr>
          <w:p w14:paraId="228979E5">
            <w:pPr>
              <w:rPr>
                <w:rFonts w:ascii="宋体" w:hAnsi="宋体" w:cs="宋体"/>
                <w:color w:val="auto"/>
                <w:highlight w:val="none"/>
              </w:rPr>
            </w:pPr>
          </w:p>
        </w:tc>
      </w:tr>
    </w:tbl>
    <w:p w14:paraId="38931DC0">
      <w:pPr>
        <w:spacing w:line="360" w:lineRule="auto"/>
        <w:jc w:val="left"/>
        <w:rPr>
          <w:rFonts w:ascii="宋体" w:hAnsi="宋体" w:cs="宋体"/>
          <w:color w:val="auto"/>
          <w:highlight w:val="none"/>
        </w:rPr>
      </w:pPr>
      <w:r>
        <w:rPr>
          <w:rFonts w:hint="eastAsia" w:ascii="宋体" w:hAnsi="宋体" w:cs="宋体"/>
          <w:color w:val="auto"/>
          <w:highlight w:val="none"/>
        </w:rPr>
        <w:t>说明：投标人必须对应采购文件“第三部分 采购需求”带“</w:t>
      </w:r>
      <w:r>
        <w:rPr>
          <w:rFonts w:hint="eastAsia" w:asciiTheme="minorEastAsia" w:hAnsiTheme="minorEastAsia" w:eastAsiaTheme="minorEastAsia"/>
          <w:color w:val="auto"/>
          <w:sz w:val="24"/>
          <w:highlight w:val="none"/>
        </w:rPr>
        <w:t>★</w:t>
      </w:r>
      <w:r>
        <w:rPr>
          <w:rFonts w:hint="eastAsia" w:ascii="宋体" w:hAnsi="宋体" w:cs="宋体"/>
          <w:color w:val="auto"/>
          <w:highlight w:val="none"/>
        </w:rPr>
        <w:t>”的条款逐条应答并按要求填写上表。条款要求提供的相关证明资料必须一并提供，否则视为不响应。</w:t>
      </w:r>
    </w:p>
    <w:p w14:paraId="6490448D">
      <w:pPr>
        <w:spacing w:line="360" w:lineRule="auto"/>
        <w:jc w:val="right"/>
        <w:rPr>
          <w:rFonts w:ascii="宋体" w:hAnsi="宋体" w:cs="宋体"/>
          <w:color w:val="auto"/>
          <w:highlight w:val="none"/>
        </w:rPr>
      </w:pPr>
      <w:r>
        <w:rPr>
          <w:rFonts w:hint="eastAsia" w:ascii="宋体" w:hAnsi="宋体" w:cs="宋体"/>
          <w:color w:val="auto"/>
          <w:highlight w:val="none"/>
        </w:rPr>
        <w:t>法定代表人或其授权委托人（签名或印章）：</w:t>
      </w:r>
    </w:p>
    <w:p w14:paraId="0F9BF933">
      <w:pPr>
        <w:spacing w:line="360" w:lineRule="auto"/>
        <w:ind w:firstLine="5040" w:firstLineChars="2400"/>
        <w:rPr>
          <w:rFonts w:ascii="宋体" w:hAnsi="宋体" w:cs="宋体"/>
          <w:color w:val="auto"/>
          <w:highlight w:val="none"/>
        </w:rPr>
      </w:pPr>
      <w:r>
        <w:rPr>
          <w:rFonts w:hint="eastAsia" w:ascii="宋体" w:hAnsi="宋体" w:cs="宋体"/>
          <w:color w:val="auto"/>
          <w:highlight w:val="none"/>
        </w:rPr>
        <w:t>投标人（盖章）：</w:t>
      </w:r>
    </w:p>
    <w:p w14:paraId="3C12E10E">
      <w:pPr>
        <w:spacing w:line="360" w:lineRule="auto"/>
        <w:rPr>
          <w:rFonts w:ascii="宋体" w:hAnsi="宋体" w:cs="宋体"/>
          <w:color w:val="auto"/>
          <w:sz w:val="24"/>
          <w:highlight w:val="none"/>
        </w:rPr>
      </w:pPr>
      <w:r>
        <w:rPr>
          <w:rFonts w:hint="eastAsia" w:ascii="宋体" w:hAnsi="宋体" w:cs="宋体"/>
          <w:color w:val="auto"/>
          <w:highlight w:val="none"/>
        </w:rPr>
        <w:t xml:space="preserve">                                                日期：</w:t>
      </w:r>
    </w:p>
    <w:p w14:paraId="603FC918">
      <w:pPr>
        <w:rPr>
          <w:rFonts w:ascii="宋体" w:hAnsi="宋体" w:cs="宋体"/>
          <w:b/>
          <w:color w:val="auto"/>
          <w:highlight w:val="none"/>
        </w:rPr>
      </w:pPr>
      <w:r>
        <w:rPr>
          <w:rFonts w:hint="eastAsia" w:ascii="宋体" w:hAnsi="宋体" w:cs="宋体"/>
          <w:b/>
          <w:color w:val="auto"/>
          <w:highlight w:val="none"/>
        </w:rPr>
        <w:br w:type="page"/>
      </w:r>
    </w:p>
    <w:p w14:paraId="1A77537D">
      <w:pPr>
        <w:jc w:val="center"/>
        <w:rPr>
          <w:rFonts w:ascii="宋体" w:hAnsi="宋体" w:cs="宋体"/>
          <w:color w:val="auto"/>
          <w:highlight w:val="none"/>
        </w:rPr>
      </w:pPr>
      <w:r>
        <w:rPr>
          <w:rFonts w:hint="eastAsia" w:ascii="宋体" w:hAnsi="宋体" w:cs="宋体"/>
          <w:b/>
          <w:color w:val="auto"/>
          <w:highlight w:val="none"/>
        </w:rPr>
        <w:t>3.一般性条款响应一览表</w:t>
      </w:r>
    </w:p>
    <w:p w14:paraId="1EF6D96F">
      <w:pPr>
        <w:rPr>
          <w:rFonts w:ascii="宋体" w:hAnsi="宋体" w:cs="宋体"/>
          <w:color w:val="auto"/>
          <w:highlight w:val="none"/>
        </w:rPr>
      </w:pPr>
    </w:p>
    <w:p w14:paraId="11550D97">
      <w:pPr>
        <w:ind w:firstLine="210" w:firstLineChars="100"/>
        <w:rPr>
          <w:rFonts w:ascii="宋体" w:hAnsi="宋体" w:cs="宋体"/>
          <w:color w:val="auto"/>
          <w:highlight w:val="none"/>
        </w:rPr>
      </w:pPr>
      <w:r>
        <w:rPr>
          <w:rFonts w:hint="eastAsia" w:ascii="宋体" w:hAnsi="宋体" w:cs="宋体"/>
          <w:color w:val="auto"/>
          <w:highlight w:val="none"/>
        </w:rPr>
        <w:t xml:space="preserve">  项目名称：     </w:t>
      </w:r>
    </w:p>
    <w:p w14:paraId="53BBFC66">
      <w:pPr>
        <w:ind w:firstLine="210" w:firstLineChars="100"/>
        <w:rPr>
          <w:rFonts w:ascii="宋体" w:hAnsi="宋体" w:cs="宋体"/>
          <w:color w:val="auto"/>
          <w:highlight w:val="none"/>
        </w:rPr>
      </w:pPr>
      <w:r>
        <w:rPr>
          <w:rFonts w:hint="eastAsia" w:ascii="宋体" w:hAnsi="宋体" w:cs="宋体"/>
          <w:color w:val="auto"/>
          <w:highlight w:val="none"/>
        </w:rPr>
        <w:t xml:space="preserve">   </w:t>
      </w: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787"/>
        <w:gridCol w:w="2788"/>
        <w:gridCol w:w="2788"/>
      </w:tblGrid>
      <w:tr w14:paraId="789AD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35DE9AAA">
            <w:pPr>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2787" w:type="dxa"/>
            <w:vAlign w:val="center"/>
          </w:tcPr>
          <w:p w14:paraId="0F673F01">
            <w:pPr>
              <w:ind w:firstLine="210" w:firstLineChars="100"/>
              <w:rPr>
                <w:rFonts w:ascii="宋体" w:hAnsi="宋体" w:cs="宋体"/>
                <w:color w:val="auto"/>
                <w:highlight w:val="none"/>
              </w:rPr>
            </w:pPr>
            <w:r>
              <w:rPr>
                <w:rFonts w:hint="eastAsia" w:ascii="宋体" w:hAnsi="宋体" w:cs="宋体"/>
                <w:color w:val="auto"/>
                <w:highlight w:val="none"/>
              </w:rPr>
              <w:t>采购文件条款描述</w:t>
            </w:r>
          </w:p>
        </w:tc>
        <w:tc>
          <w:tcPr>
            <w:tcW w:w="2788" w:type="dxa"/>
            <w:vAlign w:val="center"/>
          </w:tcPr>
          <w:p w14:paraId="2AC9B126">
            <w:pPr>
              <w:ind w:left="-78" w:leftChars="-37" w:right="-80" w:rightChars="-38"/>
              <w:jc w:val="center"/>
              <w:rPr>
                <w:rFonts w:ascii="宋体" w:hAnsi="宋体" w:cs="宋体"/>
                <w:color w:val="auto"/>
                <w:highlight w:val="none"/>
              </w:rPr>
            </w:pPr>
            <w:r>
              <w:rPr>
                <w:rFonts w:hint="eastAsia" w:ascii="宋体" w:hAnsi="宋体" w:cs="宋体"/>
                <w:color w:val="auto"/>
                <w:highlight w:val="none"/>
              </w:rPr>
              <w:t>投标人响应描述</w:t>
            </w:r>
          </w:p>
        </w:tc>
        <w:tc>
          <w:tcPr>
            <w:tcW w:w="2788" w:type="dxa"/>
            <w:vAlign w:val="center"/>
          </w:tcPr>
          <w:p w14:paraId="21C8ABDA">
            <w:pPr>
              <w:ind w:left="-78" w:leftChars="-37" w:right="-80" w:rightChars="-38"/>
              <w:jc w:val="center"/>
              <w:rPr>
                <w:rFonts w:ascii="宋体" w:hAnsi="宋体" w:cs="宋体"/>
                <w:color w:val="auto"/>
                <w:highlight w:val="none"/>
              </w:rPr>
            </w:pPr>
            <w:r>
              <w:rPr>
                <w:rFonts w:hint="eastAsia" w:ascii="宋体" w:hAnsi="宋体" w:cs="宋体"/>
                <w:color w:val="auto"/>
                <w:highlight w:val="none"/>
              </w:rPr>
              <w:t>差异</w:t>
            </w:r>
          </w:p>
        </w:tc>
      </w:tr>
      <w:tr w14:paraId="7D21D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062C3BCB">
            <w:pPr>
              <w:rPr>
                <w:rFonts w:ascii="宋体" w:hAnsi="宋体" w:cs="宋体"/>
                <w:color w:val="auto"/>
                <w:highlight w:val="none"/>
              </w:rPr>
            </w:pPr>
          </w:p>
        </w:tc>
        <w:tc>
          <w:tcPr>
            <w:tcW w:w="2787" w:type="dxa"/>
          </w:tcPr>
          <w:p w14:paraId="775137AD">
            <w:pPr>
              <w:rPr>
                <w:rFonts w:ascii="宋体" w:hAnsi="宋体" w:cs="宋体"/>
                <w:color w:val="auto"/>
                <w:highlight w:val="none"/>
              </w:rPr>
            </w:pPr>
          </w:p>
        </w:tc>
        <w:tc>
          <w:tcPr>
            <w:tcW w:w="2788" w:type="dxa"/>
          </w:tcPr>
          <w:p w14:paraId="730B430D">
            <w:pPr>
              <w:rPr>
                <w:rFonts w:ascii="宋体" w:hAnsi="宋体" w:cs="宋体"/>
                <w:color w:val="auto"/>
                <w:highlight w:val="none"/>
              </w:rPr>
            </w:pPr>
          </w:p>
        </w:tc>
        <w:tc>
          <w:tcPr>
            <w:tcW w:w="2788" w:type="dxa"/>
          </w:tcPr>
          <w:p w14:paraId="0B5460C3">
            <w:pPr>
              <w:rPr>
                <w:rFonts w:ascii="宋体" w:hAnsi="宋体" w:cs="宋体"/>
                <w:color w:val="auto"/>
                <w:highlight w:val="none"/>
              </w:rPr>
            </w:pPr>
          </w:p>
        </w:tc>
      </w:tr>
      <w:tr w14:paraId="188E2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0EF32483">
            <w:pPr>
              <w:rPr>
                <w:rFonts w:ascii="宋体" w:hAnsi="宋体" w:cs="宋体"/>
                <w:color w:val="auto"/>
                <w:highlight w:val="none"/>
              </w:rPr>
            </w:pPr>
          </w:p>
        </w:tc>
        <w:tc>
          <w:tcPr>
            <w:tcW w:w="2787" w:type="dxa"/>
          </w:tcPr>
          <w:p w14:paraId="2008BDAC">
            <w:pPr>
              <w:rPr>
                <w:rFonts w:ascii="宋体" w:hAnsi="宋体" w:cs="宋体"/>
                <w:color w:val="auto"/>
                <w:highlight w:val="none"/>
              </w:rPr>
            </w:pPr>
          </w:p>
        </w:tc>
        <w:tc>
          <w:tcPr>
            <w:tcW w:w="2788" w:type="dxa"/>
          </w:tcPr>
          <w:p w14:paraId="6B3D22F9">
            <w:pPr>
              <w:rPr>
                <w:rFonts w:ascii="宋体" w:hAnsi="宋体" w:cs="宋体"/>
                <w:color w:val="auto"/>
                <w:highlight w:val="none"/>
              </w:rPr>
            </w:pPr>
          </w:p>
        </w:tc>
        <w:tc>
          <w:tcPr>
            <w:tcW w:w="2788" w:type="dxa"/>
          </w:tcPr>
          <w:p w14:paraId="1EB496EF">
            <w:pPr>
              <w:rPr>
                <w:rFonts w:ascii="宋体" w:hAnsi="宋体" w:cs="宋体"/>
                <w:color w:val="auto"/>
                <w:highlight w:val="none"/>
              </w:rPr>
            </w:pPr>
          </w:p>
        </w:tc>
      </w:tr>
      <w:tr w14:paraId="616F5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0DA63F6A">
            <w:pPr>
              <w:rPr>
                <w:rFonts w:ascii="宋体" w:hAnsi="宋体" w:cs="宋体"/>
                <w:color w:val="auto"/>
                <w:highlight w:val="none"/>
              </w:rPr>
            </w:pPr>
          </w:p>
        </w:tc>
        <w:tc>
          <w:tcPr>
            <w:tcW w:w="2787" w:type="dxa"/>
          </w:tcPr>
          <w:p w14:paraId="2012B0C1">
            <w:pPr>
              <w:rPr>
                <w:rFonts w:ascii="宋体" w:hAnsi="宋体" w:cs="宋体"/>
                <w:color w:val="auto"/>
                <w:highlight w:val="none"/>
              </w:rPr>
            </w:pPr>
          </w:p>
        </w:tc>
        <w:tc>
          <w:tcPr>
            <w:tcW w:w="2788" w:type="dxa"/>
          </w:tcPr>
          <w:p w14:paraId="4DB959E5">
            <w:pPr>
              <w:rPr>
                <w:rFonts w:ascii="宋体" w:hAnsi="宋体" w:cs="宋体"/>
                <w:color w:val="auto"/>
                <w:highlight w:val="none"/>
              </w:rPr>
            </w:pPr>
          </w:p>
        </w:tc>
        <w:tc>
          <w:tcPr>
            <w:tcW w:w="2788" w:type="dxa"/>
          </w:tcPr>
          <w:p w14:paraId="2CD7A303">
            <w:pPr>
              <w:rPr>
                <w:rFonts w:ascii="宋体" w:hAnsi="宋体" w:cs="宋体"/>
                <w:color w:val="auto"/>
                <w:highlight w:val="none"/>
              </w:rPr>
            </w:pPr>
          </w:p>
        </w:tc>
      </w:tr>
      <w:tr w14:paraId="6D8DA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0877683">
            <w:pPr>
              <w:rPr>
                <w:rFonts w:ascii="宋体" w:hAnsi="宋体" w:cs="宋体"/>
                <w:color w:val="auto"/>
                <w:highlight w:val="none"/>
              </w:rPr>
            </w:pPr>
          </w:p>
        </w:tc>
        <w:tc>
          <w:tcPr>
            <w:tcW w:w="2787" w:type="dxa"/>
          </w:tcPr>
          <w:p w14:paraId="40805666">
            <w:pPr>
              <w:rPr>
                <w:rFonts w:ascii="宋体" w:hAnsi="宋体" w:cs="宋体"/>
                <w:color w:val="auto"/>
                <w:highlight w:val="none"/>
              </w:rPr>
            </w:pPr>
          </w:p>
        </w:tc>
        <w:tc>
          <w:tcPr>
            <w:tcW w:w="2788" w:type="dxa"/>
          </w:tcPr>
          <w:p w14:paraId="5C5866AE">
            <w:pPr>
              <w:rPr>
                <w:rFonts w:ascii="宋体" w:hAnsi="宋体" w:cs="宋体"/>
                <w:color w:val="auto"/>
                <w:highlight w:val="none"/>
              </w:rPr>
            </w:pPr>
          </w:p>
        </w:tc>
        <w:tc>
          <w:tcPr>
            <w:tcW w:w="2788" w:type="dxa"/>
          </w:tcPr>
          <w:p w14:paraId="7EABA733">
            <w:pPr>
              <w:rPr>
                <w:rFonts w:ascii="宋体" w:hAnsi="宋体" w:cs="宋体"/>
                <w:color w:val="auto"/>
                <w:highlight w:val="none"/>
              </w:rPr>
            </w:pPr>
          </w:p>
        </w:tc>
      </w:tr>
      <w:tr w14:paraId="0F7F5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0A9E56B5">
            <w:pPr>
              <w:rPr>
                <w:rFonts w:ascii="宋体" w:hAnsi="宋体" w:cs="宋体"/>
                <w:color w:val="auto"/>
                <w:highlight w:val="none"/>
              </w:rPr>
            </w:pPr>
          </w:p>
        </w:tc>
        <w:tc>
          <w:tcPr>
            <w:tcW w:w="2787" w:type="dxa"/>
          </w:tcPr>
          <w:p w14:paraId="73849CCC">
            <w:pPr>
              <w:rPr>
                <w:rFonts w:ascii="宋体" w:hAnsi="宋体" w:cs="宋体"/>
                <w:color w:val="auto"/>
                <w:highlight w:val="none"/>
              </w:rPr>
            </w:pPr>
          </w:p>
        </w:tc>
        <w:tc>
          <w:tcPr>
            <w:tcW w:w="2788" w:type="dxa"/>
          </w:tcPr>
          <w:p w14:paraId="5DF6EB46">
            <w:pPr>
              <w:rPr>
                <w:rFonts w:ascii="宋体" w:hAnsi="宋体" w:cs="宋体"/>
                <w:color w:val="auto"/>
                <w:highlight w:val="none"/>
              </w:rPr>
            </w:pPr>
          </w:p>
        </w:tc>
        <w:tc>
          <w:tcPr>
            <w:tcW w:w="2788" w:type="dxa"/>
          </w:tcPr>
          <w:p w14:paraId="5C3C8269">
            <w:pPr>
              <w:rPr>
                <w:rFonts w:ascii="宋体" w:hAnsi="宋体" w:cs="宋体"/>
                <w:color w:val="auto"/>
                <w:highlight w:val="none"/>
              </w:rPr>
            </w:pPr>
          </w:p>
        </w:tc>
      </w:tr>
      <w:tr w14:paraId="77BEC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292E4BC3">
            <w:pPr>
              <w:rPr>
                <w:rFonts w:ascii="宋体" w:hAnsi="宋体" w:cs="宋体"/>
                <w:color w:val="auto"/>
                <w:highlight w:val="none"/>
              </w:rPr>
            </w:pPr>
            <w:r>
              <w:rPr>
                <w:rFonts w:hint="eastAsia" w:ascii="宋体" w:hAnsi="宋体" w:cs="宋体"/>
                <w:color w:val="auto"/>
                <w:highlight w:val="none"/>
              </w:rPr>
              <w:t>……</w:t>
            </w:r>
          </w:p>
        </w:tc>
        <w:tc>
          <w:tcPr>
            <w:tcW w:w="2787" w:type="dxa"/>
          </w:tcPr>
          <w:p w14:paraId="34AB527B">
            <w:pPr>
              <w:rPr>
                <w:rFonts w:ascii="宋体" w:hAnsi="宋体" w:cs="宋体"/>
                <w:color w:val="auto"/>
                <w:highlight w:val="none"/>
              </w:rPr>
            </w:pPr>
          </w:p>
        </w:tc>
        <w:tc>
          <w:tcPr>
            <w:tcW w:w="2788" w:type="dxa"/>
          </w:tcPr>
          <w:p w14:paraId="21320FFE">
            <w:pPr>
              <w:rPr>
                <w:rFonts w:ascii="宋体" w:hAnsi="宋体" w:cs="宋体"/>
                <w:color w:val="auto"/>
                <w:highlight w:val="none"/>
              </w:rPr>
            </w:pPr>
          </w:p>
        </w:tc>
        <w:tc>
          <w:tcPr>
            <w:tcW w:w="2788" w:type="dxa"/>
          </w:tcPr>
          <w:p w14:paraId="0DB9E754">
            <w:pPr>
              <w:rPr>
                <w:rFonts w:ascii="宋体" w:hAnsi="宋体" w:cs="宋体"/>
                <w:color w:val="auto"/>
                <w:highlight w:val="none"/>
              </w:rPr>
            </w:pPr>
          </w:p>
        </w:tc>
      </w:tr>
    </w:tbl>
    <w:p w14:paraId="59E5BCA9">
      <w:pPr>
        <w:spacing w:line="360" w:lineRule="auto"/>
        <w:ind w:firstLine="210" w:firstLineChars="100"/>
        <w:rPr>
          <w:rFonts w:ascii="宋体" w:hAnsi="宋体" w:cs="宋体"/>
          <w:color w:val="auto"/>
          <w:highlight w:val="none"/>
        </w:rPr>
      </w:pPr>
      <w:r>
        <w:rPr>
          <w:rFonts w:hint="eastAsia" w:ascii="宋体" w:hAnsi="宋体" w:cs="宋体"/>
          <w:color w:val="auto"/>
          <w:highlight w:val="none"/>
        </w:rPr>
        <w:t>注：对采购文件</w:t>
      </w:r>
      <w:r>
        <w:rPr>
          <w:rFonts w:hint="eastAsia" w:ascii="宋体" w:hAnsi="宋体" w:cs="宋体"/>
          <w:b/>
          <w:color w:val="auto"/>
          <w:highlight w:val="none"/>
        </w:rPr>
        <w:t>“</w:t>
      </w:r>
      <w:r>
        <w:rPr>
          <w:rFonts w:hint="eastAsia" w:ascii="宋体" w:hAnsi="宋体" w:cs="宋体"/>
          <w:color w:val="auto"/>
          <w:highlight w:val="none"/>
        </w:rPr>
        <w:t>第三部分 采购需求</w:t>
      </w:r>
      <w:r>
        <w:rPr>
          <w:rFonts w:hint="eastAsia" w:ascii="宋体" w:hAnsi="宋体" w:cs="宋体"/>
          <w:b/>
          <w:color w:val="auto"/>
          <w:highlight w:val="none"/>
        </w:rPr>
        <w:t>”</w:t>
      </w:r>
      <w:r>
        <w:rPr>
          <w:rFonts w:hint="eastAsia" w:ascii="宋体" w:hAnsi="宋体" w:cs="宋体"/>
          <w:color w:val="auto"/>
          <w:highlight w:val="none"/>
        </w:rPr>
        <w:t>中非带“</w:t>
      </w:r>
      <w:r>
        <w:rPr>
          <w:rFonts w:hint="eastAsia" w:cs="仿宋" w:asciiTheme="majorEastAsia" w:hAnsiTheme="majorEastAsia" w:eastAsiaTheme="majorEastAsia"/>
          <w:b/>
          <w:color w:val="auto"/>
          <w:highlight w:val="none"/>
        </w:rPr>
        <w:t>▲</w:t>
      </w:r>
      <w:r>
        <w:rPr>
          <w:rFonts w:hint="eastAsia" w:ascii="宋体" w:hAnsi="宋体" w:cs="宋体"/>
          <w:color w:val="auto"/>
          <w:highlight w:val="none"/>
        </w:rPr>
        <w:t>”、“</w:t>
      </w:r>
      <w:r>
        <w:rPr>
          <w:rFonts w:hint="eastAsia" w:asciiTheme="minorEastAsia" w:hAnsiTheme="minorEastAsia" w:eastAsiaTheme="minorEastAsia"/>
          <w:color w:val="auto"/>
          <w:sz w:val="24"/>
          <w:highlight w:val="none"/>
        </w:rPr>
        <w:t>★</w:t>
      </w:r>
      <w:r>
        <w:rPr>
          <w:rFonts w:hint="eastAsia" w:ascii="宋体" w:hAnsi="宋体" w:cs="宋体"/>
          <w:color w:val="auto"/>
          <w:highlight w:val="none"/>
        </w:rPr>
        <w:t>”的条款逐条应答并按要求填写上表。</w:t>
      </w:r>
    </w:p>
    <w:p w14:paraId="148F7217">
      <w:pPr>
        <w:spacing w:line="360" w:lineRule="auto"/>
        <w:ind w:firstLine="3360" w:firstLineChars="1600"/>
        <w:rPr>
          <w:rFonts w:ascii="宋体" w:hAnsi="宋体" w:cs="宋体"/>
          <w:color w:val="auto"/>
          <w:highlight w:val="none"/>
        </w:rPr>
      </w:pPr>
      <w:r>
        <w:rPr>
          <w:rFonts w:hint="eastAsia" w:ascii="宋体" w:hAnsi="宋体" w:cs="宋体"/>
          <w:color w:val="auto"/>
          <w:highlight w:val="none"/>
        </w:rPr>
        <w:t>法定代表人或其授权委托人（签名或印章）：</w:t>
      </w:r>
    </w:p>
    <w:p w14:paraId="6C9F9AFD">
      <w:pPr>
        <w:spacing w:line="360" w:lineRule="auto"/>
        <w:ind w:firstLine="4830" w:firstLineChars="2300"/>
        <w:rPr>
          <w:rFonts w:ascii="宋体" w:hAnsi="宋体" w:cs="宋体"/>
          <w:color w:val="auto"/>
          <w:highlight w:val="none"/>
        </w:rPr>
      </w:pPr>
      <w:r>
        <w:rPr>
          <w:rFonts w:hint="eastAsia" w:ascii="宋体" w:hAnsi="宋体" w:cs="宋体"/>
          <w:color w:val="auto"/>
          <w:highlight w:val="none"/>
        </w:rPr>
        <w:t>投标人（盖章）：</w:t>
      </w:r>
    </w:p>
    <w:p w14:paraId="08B9C2CC">
      <w:pPr>
        <w:pStyle w:val="28"/>
        <w:ind w:firstLine="588"/>
        <w:rPr>
          <w:color w:val="auto"/>
          <w:highlight w:val="none"/>
        </w:rPr>
      </w:pPr>
      <w:r>
        <w:rPr>
          <w:rFonts w:hint="eastAsia" w:ascii="宋体" w:hAnsi="宋体" w:cs="宋体"/>
          <w:color w:val="auto"/>
          <w:highlight w:val="none"/>
        </w:rPr>
        <w:t xml:space="preserve">                              </w:t>
      </w:r>
      <w:r>
        <w:rPr>
          <w:rFonts w:hint="eastAsia" w:ascii="宋体" w:hAnsi="宋体" w:eastAsia="宋体" w:cs="宋体"/>
          <w:color w:val="auto"/>
          <w:sz w:val="21"/>
          <w:highlight w:val="none"/>
        </w:rPr>
        <w:t>日期：</w:t>
      </w:r>
    </w:p>
    <w:p w14:paraId="1FCD0523">
      <w:pPr>
        <w:numPr>
          <w:ilvl w:val="0"/>
          <w:numId w:val="5"/>
        </w:numPr>
        <w:snapToGrid w:val="0"/>
        <w:spacing w:line="360" w:lineRule="auto"/>
        <w:jc w:val="center"/>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rPr>
        <w:br w:type="page"/>
      </w:r>
      <w:r>
        <w:rPr>
          <w:rFonts w:hint="eastAsia" w:cs="仿宋" w:asciiTheme="majorEastAsia" w:hAnsiTheme="majorEastAsia" w:eastAsiaTheme="majorEastAsia"/>
          <w:b/>
          <w:color w:val="auto"/>
          <w:kern w:val="0"/>
          <w:sz w:val="32"/>
          <w:szCs w:val="32"/>
          <w:highlight w:val="none"/>
        </w:rPr>
        <w:t>同类业绩情况一览表</w:t>
      </w:r>
    </w:p>
    <w:p w14:paraId="24A45B75">
      <w:pPr>
        <w:spacing w:line="360" w:lineRule="auto"/>
        <w:jc w:val="center"/>
        <w:rPr>
          <w:rFonts w:cs="仿宋" w:asciiTheme="majorEastAsia" w:hAnsiTheme="majorEastAsia" w:eastAsiaTheme="majorEastAsia"/>
          <w:color w:val="auto"/>
          <w:highlight w:val="none"/>
        </w:rPr>
      </w:pPr>
    </w:p>
    <w:tbl>
      <w:tblPr>
        <w:tblStyle w:val="21"/>
        <w:tblW w:w="979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1"/>
        <w:gridCol w:w="1555"/>
        <w:gridCol w:w="1732"/>
        <w:gridCol w:w="1936"/>
        <w:gridCol w:w="1950"/>
        <w:gridCol w:w="1792"/>
      </w:tblGrid>
      <w:tr w14:paraId="0AFEE8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25" w:hRule="atLeast"/>
        </w:trPr>
        <w:tc>
          <w:tcPr>
            <w:tcW w:w="831" w:type="dxa"/>
            <w:tcBorders>
              <w:top w:val="single" w:color="auto" w:sz="4" w:space="0"/>
              <w:left w:val="single" w:color="auto" w:sz="4" w:space="0"/>
              <w:bottom w:val="single" w:color="auto" w:sz="4" w:space="0"/>
              <w:right w:val="single" w:color="auto" w:sz="4" w:space="0"/>
            </w:tcBorders>
            <w:vAlign w:val="center"/>
          </w:tcPr>
          <w:p w14:paraId="6159DFF2">
            <w:pPr>
              <w:spacing w:line="360" w:lineRule="auto"/>
              <w:jc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序号</w:t>
            </w:r>
          </w:p>
        </w:tc>
        <w:tc>
          <w:tcPr>
            <w:tcW w:w="1555" w:type="dxa"/>
            <w:tcBorders>
              <w:top w:val="single" w:color="auto" w:sz="4" w:space="0"/>
              <w:left w:val="single" w:color="auto" w:sz="4" w:space="0"/>
              <w:bottom w:val="single" w:color="auto" w:sz="4" w:space="0"/>
              <w:right w:val="single" w:color="auto" w:sz="4" w:space="0"/>
            </w:tcBorders>
            <w:vAlign w:val="center"/>
          </w:tcPr>
          <w:p w14:paraId="18BA6252">
            <w:pPr>
              <w:spacing w:line="360" w:lineRule="auto"/>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采购单位名称</w:t>
            </w:r>
          </w:p>
        </w:tc>
        <w:tc>
          <w:tcPr>
            <w:tcW w:w="1732" w:type="dxa"/>
            <w:tcBorders>
              <w:top w:val="single" w:color="auto" w:sz="4" w:space="0"/>
              <w:left w:val="single" w:color="auto" w:sz="4" w:space="0"/>
              <w:right w:val="single" w:color="auto" w:sz="4" w:space="0"/>
            </w:tcBorders>
            <w:vAlign w:val="center"/>
          </w:tcPr>
          <w:p w14:paraId="7A2DF449">
            <w:pPr>
              <w:spacing w:line="360" w:lineRule="auto"/>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项目名称</w:t>
            </w:r>
          </w:p>
        </w:tc>
        <w:tc>
          <w:tcPr>
            <w:tcW w:w="1936" w:type="dxa"/>
            <w:tcBorders>
              <w:top w:val="single" w:color="auto" w:sz="4" w:space="0"/>
              <w:left w:val="single" w:color="auto" w:sz="4" w:space="0"/>
              <w:bottom w:val="single" w:color="auto" w:sz="4" w:space="0"/>
              <w:right w:val="single" w:color="auto" w:sz="4" w:space="0"/>
            </w:tcBorders>
            <w:vAlign w:val="center"/>
          </w:tcPr>
          <w:p w14:paraId="1EA167E4">
            <w:pPr>
              <w:spacing w:line="360" w:lineRule="auto"/>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合同金额</w:t>
            </w:r>
          </w:p>
          <w:p w14:paraId="6665DFEA">
            <w:pPr>
              <w:spacing w:line="360" w:lineRule="auto"/>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（万元）</w:t>
            </w:r>
          </w:p>
        </w:tc>
        <w:tc>
          <w:tcPr>
            <w:tcW w:w="1950" w:type="dxa"/>
            <w:tcBorders>
              <w:top w:val="single" w:color="auto" w:sz="4" w:space="0"/>
              <w:left w:val="single" w:color="auto" w:sz="4" w:space="0"/>
              <w:bottom w:val="single" w:color="auto" w:sz="4" w:space="0"/>
              <w:right w:val="single" w:color="auto" w:sz="4" w:space="0"/>
            </w:tcBorders>
            <w:vAlign w:val="center"/>
          </w:tcPr>
          <w:p w14:paraId="36F6A762">
            <w:pPr>
              <w:spacing w:line="360" w:lineRule="auto"/>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采购单位联系人及联系电话</w:t>
            </w:r>
          </w:p>
        </w:tc>
        <w:tc>
          <w:tcPr>
            <w:tcW w:w="1792" w:type="dxa"/>
            <w:tcBorders>
              <w:top w:val="single" w:color="auto" w:sz="4" w:space="0"/>
              <w:left w:val="single" w:color="auto" w:sz="4" w:space="0"/>
              <w:bottom w:val="single" w:color="auto" w:sz="4" w:space="0"/>
              <w:right w:val="single" w:color="auto" w:sz="4" w:space="0"/>
            </w:tcBorders>
            <w:vAlign w:val="center"/>
          </w:tcPr>
          <w:p w14:paraId="063D1265">
            <w:pPr>
              <w:spacing w:line="360" w:lineRule="auto"/>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合同签订时间</w:t>
            </w:r>
          </w:p>
        </w:tc>
      </w:tr>
      <w:tr w14:paraId="6694C3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5B2DFB60">
            <w:pPr>
              <w:spacing w:line="360" w:lineRule="auto"/>
              <w:jc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1</w:t>
            </w:r>
          </w:p>
        </w:tc>
        <w:tc>
          <w:tcPr>
            <w:tcW w:w="1555" w:type="dxa"/>
            <w:tcBorders>
              <w:top w:val="single" w:color="auto" w:sz="4" w:space="0"/>
              <w:left w:val="single" w:color="auto" w:sz="4" w:space="0"/>
              <w:bottom w:val="single" w:color="auto" w:sz="4" w:space="0"/>
              <w:right w:val="single" w:color="auto" w:sz="4" w:space="0"/>
            </w:tcBorders>
            <w:vAlign w:val="center"/>
          </w:tcPr>
          <w:p w14:paraId="2593DD3B">
            <w:pPr>
              <w:spacing w:line="360" w:lineRule="auto"/>
              <w:jc w:val="left"/>
              <w:rPr>
                <w:rFonts w:cs="仿宋" w:asciiTheme="majorEastAsia" w:hAnsiTheme="majorEastAsia" w:eastAsiaTheme="majorEastAsia"/>
                <w:color w:val="auto"/>
                <w:kern w:val="0"/>
                <w:sz w:val="24"/>
                <w:highlight w:val="none"/>
              </w:rPr>
            </w:pPr>
          </w:p>
        </w:tc>
        <w:tc>
          <w:tcPr>
            <w:tcW w:w="1732" w:type="dxa"/>
            <w:tcBorders>
              <w:top w:val="single" w:color="auto" w:sz="4" w:space="0"/>
              <w:left w:val="single" w:color="auto" w:sz="4" w:space="0"/>
              <w:bottom w:val="single" w:color="auto" w:sz="4" w:space="0"/>
              <w:right w:val="single" w:color="auto" w:sz="4" w:space="0"/>
            </w:tcBorders>
            <w:vAlign w:val="center"/>
          </w:tcPr>
          <w:p w14:paraId="3EF38D3D">
            <w:pPr>
              <w:spacing w:line="360" w:lineRule="auto"/>
              <w:jc w:val="left"/>
              <w:rPr>
                <w:rFonts w:cs="仿宋" w:asciiTheme="majorEastAsia" w:hAnsiTheme="majorEastAsia" w:eastAsiaTheme="majorEastAsia"/>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14:paraId="16DB20E7">
            <w:pPr>
              <w:spacing w:line="360" w:lineRule="auto"/>
              <w:jc w:val="left"/>
              <w:rPr>
                <w:rFonts w:cs="仿宋" w:asciiTheme="majorEastAsia" w:hAnsiTheme="majorEastAsia" w:eastAsiaTheme="maj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5B88C4F1">
            <w:pPr>
              <w:spacing w:line="360" w:lineRule="auto"/>
              <w:jc w:val="left"/>
              <w:rPr>
                <w:rFonts w:cs="仿宋" w:asciiTheme="majorEastAsia" w:hAnsiTheme="majorEastAsia" w:eastAsiaTheme="maj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5C12EF94">
            <w:pPr>
              <w:spacing w:line="360" w:lineRule="auto"/>
              <w:jc w:val="left"/>
              <w:rPr>
                <w:rFonts w:cs="仿宋" w:asciiTheme="majorEastAsia" w:hAnsiTheme="majorEastAsia" w:eastAsiaTheme="majorEastAsia"/>
                <w:color w:val="auto"/>
                <w:kern w:val="0"/>
                <w:sz w:val="24"/>
                <w:highlight w:val="none"/>
              </w:rPr>
            </w:pPr>
          </w:p>
        </w:tc>
      </w:tr>
      <w:tr w14:paraId="75C1BF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4C6CF9B6">
            <w:pPr>
              <w:spacing w:line="360" w:lineRule="auto"/>
              <w:jc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2</w:t>
            </w:r>
          </w:p>
        </w:tc>
        <w:tc>
          <w:tcPr>
            <w:tcW w:w="1555" w:type="dxa"/>
            <w:tcBorders>
              <w:top w:val="single" w:color="auto" w:sz="4" w:space="0"/>
              <w:left w:val="single" w:color="auto" w:sz="4" w:space="0"/>
              <w:bottom w:val="single" w:color="auto" w:sz="4" w:space="0"/>
              <w:right w:val="single" w:color="auto" w:sz="4" w:space="0"/>
            </w:tcBorders>
            <w:vAlign w:val="center"/>
          </w:tcPr>
          <w:p w14:paraId="56B5FEC3">
            <w:pPr>
              <w:spacing w:line="360" w:lineRule="auto"/>
              <w:jc w:val="left"/>
              <w:rPr>
                <w:rFonts w:cs="仿宋" w:asciiTheme="majorEastAsia" w:hAnsiTheme="majorEastAsia" w:eastAsiaTheme="majorEastAsia"/>
                <w:color w:val="auto"/>
                <w:kern w:val="0"/>
                <w:sz w:val="24"/>
                <w:highlight w:val="none"/>
              </w:rPr>
            </w:pPr>
          </w:p>
        </w:tc>
        <w:tc>
          <w:tcPr>
            <w:tcW w:w="1732" w:type="dxa"/>
            <w:tcBorders>
              <w:top w:val="single" w:color="auto" w:sz="4" w:space="0"/>
              <w:left w:val="single" w:color="auto" w:sz="4" w:space="0"/>
              <w:bottom w:val="single" w:color="auto" w:sz="4" w:space="0"/>
              <w:right w:val="single" w:color="auto" w:sz="4" w:space="0"/>
            </w:tcBorders>
            <w:vAlign w:val="center"/>
          </w:tcPr>
          <w:p w14:paraId="7C81786E">
            <w:pPr>
              <w:spacing w:line="360" w:lineRule="auto"/>
              <w:jc w:val="left"/>
              <w:rPr>
                <w:rFonts w:cs="仿宋" w:asciiTheme="majorEastAsia" w:hAnsiTheme="majorEastAsia" w:eastAsiaTheme="majorEastAsia"/>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14:paraId="56410068">
            <w:pPr>
              <w:spacing w:line="360" w:lineRule="auto"/>
              <w:jc w:val="left"/>
              <w:rPr>
                <w:rFonts w:cs="仿宋" w:asciiTheme="majorEastAsia" w:hAnsiTheme="majorEastAsia" w:eastAsiaTheme="maj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367A3074">
            <w:pPr>
              <w:spacing w:line="360" w:lineRule="auto"/>
              <w:jc w:val="left"/>
              <w:rPr>
                <w:rFonts w:cs="仿宋" w:asciiTheme="majorEastAsia" w:hAnsiTheme="majorEastAsia" w:eastAsiaTheme="maj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5C08D5AB">
            <w:pPr>
              <w:spacing w:line="360" w:lineRule="auto"/>
              <w:jc w:val="left"/>
              <w:rPr>
                <w:rFonts w:cs="仿宋" w:asciiTheme="majorEastAsia" w:hAnsiTheme="majorEastAsia" w:eastAsiaTheme="majorEastAsia"/>
                <w:color w:val="auto"/>
                <w:kern w:val="0"/>
                <w:sz w:val="24"/>
                <w:highlight w:val="none"/>
              </w:rPr>
            </w:pPr>
          </w:p>
        </w:tc>
      </w:tr>
      <w:tr w14:paraId="68566C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560C72F1">
            <w:pPr>
              <w:spacing w:line="360" w:lineRule="auto"/>
              <w:jc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3</w:t>
            </w:r>
          </w:p>
        </w:tc>
        <w:tc>
          <w:tcPr>
            <w:tcW w:w="1555" w:type="dxa"/>
            <w:tcBorders>
              <w:top w:val="single" w:color="auto" w:sz="4" w:space="0"/>
              <w:left w:val="single" w:color="auto" w:sz="4" w:space="0"/>
              <w:bottom w:val="single" w:color="auto" w:sz="4" w:space="0"/>
              <w:right w:val="single" w:color="auto" w:sz="4" w:space="0"/>
            </w:tcBorders>
            <w:vAlign w:val="center"/>
          </w:tcPr>
          <w:p w14:paraId="72B7EB72">
            <w:pPr>
              <w:spacing w:line="360" w:lineRule="auto"/>
              <w:jc w:val="left"/>
              <w:rPr>
                <w:rFonts w:cs="仿宋" w:asciiTheme="majorEastAsia" w:hAnsiTheme="majorEastAsia" w:eastAsiaTheme="majorEastAsia"/>
                <w:color w:val="auto"/>
                <w:kern w:val="0"/>
                <w:sz w:val="24"/>
                <w:highlight w:val="none"/>
              </w:rPr>
            </w:pPr>
          </w:p>
        </w:tc>
        <w:tc>
          <w:tcPr>
            <w:tcW w:w="1732" w:type="dxa"/>
            <w:tcBorders>
              <w:top w:val="single" w:color="auto" w:sz="4" w:space="0"/>
              <w:left w:val="single" w:color="auto" w:sz="4" w:space="0"/>
              <w:bottom w:val="single" w:color="auto" w:sz="4" w:space="0"/>
              <w:right w:val="single" w:color="auto" w:sz="4" w:space="0"/>
            </w:tcBorders>
            <w:vAlign w:val="center"/>
          </w:tcPr>
          <w:p w14:paraId="0D2D7021">
            <w:pPr>
              <w:spacing w:line="360" w:lineRule="auto"/>
              <w:jc w:val="left"/>
              <w:rPr>
                <w:rFonts w:cs="仿宋" w:asciiTheme="majorEastAsia" w:hAnsiTheme="majorEastAsia" w:eastAsiaTheme="majorEastAsia"/>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14:paraId="65C6E4CB">
            <w:pPr>
              <w:spacing w:line="360" w:lineRule="auto"/>
              <w:jc w:val="left"/>
              <w:rPr>
                <w:rFonts w:cs="仿宋" w:asciiTheme="majorEastAsia" w:hAnsiTheme="majorEastAsia" w:eastAsiaTheme="maj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59241153">
            <w:pPr>
              <w:spacing w:line="360" w:lineRule="auto"/>
              <w:jc w:val="left"/>
              <w:rPr>
                <w:rFonts w:cs="仿宋" w:asciiTheme="majorEastAsia" w:hAnsiTheme="majorEastAsia" w:eastAsiaTheme="maj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69F3966B">
            <w:pPr>
              <w:spacing w:line="360" w:lineRule="auto"/>
              <w:jc w:val="left"/>
              <w:rPr>
                <w:rFonts w:cs="仿宋" w:asciiTheme="majorEastAsia" w:hAnsiTheme="majorEastAsia" w:eastAsiaTheme="majorEastAsia"/>
                <w:color w:val="auto"/>
                <w:kern w:val="0"/>
                <w:sz w:val="24"/>
                <w:highlight w:val="none"/>
              </w:rPr>
            </w:pPr>
          </w:p>
        </w:tc>
      </w:tr>
      <w:tr w14:paraId="380F3C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5359E19C">
            <w:pPr>
              <w:spacing w:line="360" w:lineRule="auto"/>
              <w:jc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w:t>
            </w:r>
          </w:p>
        </w:tc>
        <w:tc>
          <w:tcPr>
            <w:tcW w:w="1555" w:type="dxa"/>
            <w:tcBorders>
              <w:top w:val="single" w:color="auto" w:sz="4" w:space="0"/>
              <w:left w:val="single" w:color="auto" w:sz="4" w:space="0"/>
              <w:bottom w:val="single" w:color="auto" w:sz="4" w:space="0"/>
              <w:right w:val="single" w:color="auto" w:sz="4" w:space="0"/>
            </w:tcBorders>
            <w:vAlign w:val="center"/>
          </w:tcPr>
          <w:p w14:paraId="1E2AA1C0">
            <w:pPr>
              <w:spacing w:line="360" w:lineRule="auto"/>
              <w:jc w:val="left"/>
              <w:rPr>
                <w:rFonts w:cs="仿宋" w:asciiTheme="majorEastAsia" w:hAnsiTheme="majorEastAsia" w:eastAsiaTheme="majorEastAsia"/>
                <w:color w:val="auto"/>
                <w:kern w:val="0"/>
                <w:sz w:val="24"/>
                <w:highlight w:val="none"/>
              </w:rPr>
            </w:pPr>
          </w:p>
        </w:tc>
        <w:tc>
          <w:tcPr>
            <w:tcW w:w="1732" w:type="dxa"/>
            <w:tcBorders>
              <w:top w:val="single" w:color="auto" w:sz="4" w:space="0"/>
              <w:left w:val="single" w:color="auto" w:sz="4" w:space="0"/>
              <w:bottom w:val="single" w:color="auto" w:sz="4" w:space="0"/>
              <w:right w:val="single" w:color="auto" w:sz="4" w:space="0"/>
            </w:tcBorders>
            <w:vAlign w:val="center"/>
          </w:tcPr>
          <w:p w14:paraId="4D77039B">
            <w:pPr>
              <w:spacing w:line="360" w:lineRule="auto"/>
              <w:jc w:val="left"/>
              <w:rPr>
                <w:rFonts w:cs="仿宋" w:asciiTheme="majorEastAsia" w:hAnsiTheme="majorEastAsia" w:eastAsiaTheme="majorEastAsia"/>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14:paraId="5B883633">
            <w:pPr>
              <w:spacing w:line="360" w:lineRule="auto"/>
              <w:jc w:val="left"/>
              <w:rPr>
                <w:rFonts w:cs="仿宋" w:asciiTheme="majorEastAsia" w:hAnsiTheme="majorEastAsia" w:eastAsiaTheme="maj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2B0D7031">
            <w:pPr>
              <w:spacing w:line="360" w:lineRule="auto"/>
              <w:jc w:val="left"/>
              <w:rPr>
                <w:rFonts w:cs="仿宋" w:asciiTheme="majorEastAsia" w:hAnsiTheme="majorEastAsia" w:eastAsiaTheme="maj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550077F7">
            <w:pPr>
              <w:spacing w:line="360" w:lineRule="auto"/>
              <w:jc w:val="left"/>
              <w:rPr>
                <w:rFonts w:cs="仿宋" w:asciiTheme="majorEastAsia" w:hAnsiTheme="majorEastAsia" w:eastAsiaTheme="majorEastAsia"/>
                <w:color w:val="auto"/>
                <w:kern w:val="0"/>
                <w:sz w:val="24"/>
                <w:highlight w:val="none"/>
              </w:rPr>
            </w:pPr>
          </w:p>
        </w:tc>
      </w:tr>
      <w:tr w14:paraId="4D65EB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831" w:type="dxa"/>
            <w:tcBorders>
              <w:top w:val="single" w:color="auto" w:sz="4" w:space="0"/>
              <w:left w:val="single" w:color="auto" w:sz="4" w:space="0"/>
              <w:bottom w:val="single" w:color="auto" w:sz="4" w:space="0"/>
              <w:right w:val="single" w:color="auto" w:sz="4" w:space="0"/>
            </w:tcBorders>
            <w:vAlign w:val="center"/>
          </w:tcPr>
          <w:p w14:paraId="164A8E64">
            <w:pPr>
              <w:spacing w:line="360" w:lineRule="auto"/>
              <w:jc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5</w:t>
            </w:r>
          </w:p>
        </w:tc>
        <w:tc>
          <w:tcPr>
            <w:tcW w:w="1555" w:type="dxa"/>
            <w:tcBorders>
              <w:top w:val="single" w:color="auto" w:sz="4" w:space="0"/>
              <w:left w:val="single" w:color="auto" w:sz="4" w:space="0"/>
              <w:bottom w:val="single" w:color="auto" w:sz="4" w:space="0"/>
              <w:right w:val="single" w:color="auto" w:sz="4" w:space="0"/>
            </w:tcBorders>
            <w:vAlign w:val="center"/>
          </w:tcPr>
          <w:p w14:paraId="2381555C">
            <w:pPr>
              <w:spacing w:line="360" w:lineRule="auto"/>
              <w:jc w:val="left"/>
              <w:rPr>
                <w:rFonts w:cs="仿宋" w:asciiTheme="majorEastAsia" w:hAnsiTheme="majorEastAsia" w:eastAsiaTheme="majorEastAsia"/>
                <w:color w:val="auto"/>
                <w:kern w:val="0"/>
                <w:sz w:val="24"/>
                <w:highlight w:val="none"/>
              </w:rPr>
            </w:pPr>
          </w:p>
        </w:tc>
        <w:tc>
          <w:tcPr>
            <w:tcW w:w="1732" w:type="dxa"/>
            <w:tcBorders>
              <w:top w:val="single" w:color="auto" w:sz="4" w:space="0"/>
              <w:left w:val="single" w:color="auto" w:sz="4" w:space="0"/>
              <w:bottom w:val="single" w:color="auto" w:sz="4" w:space="0"/>
              <w:right w:val="single" w:color="auto" w:sz="4" w:space="0"/>
            </w:tcBorders>
            <w:vAlign w:val="center"/>
          </w:tcPr>
          <w:p w14:paraId="3F5B78FC">
            <w:pPr>
              <w:spacing w:line="360" w:lineRule="auto"/>
              <w:jc w:val="left"/>
              <w:rPr>
                <w:rFonts w:cs="仿宋" w:asciiTheme="majorEastAsia" w:hAnsiTheme="majorEastAsia" w:eastAsiaTheme="majorEastAsia"/>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14:paraId="06BAD23A">
            <w:pPr>
              <w:spacing w:line="360" w:lineRule="auto"/>
              <w:jc w:val="left"/>
              <w:rPr>
                <w:rFonts w:cs="仿宋" w:asciiTheme="majorEastAsia" w:hAnsiTheme="majorEastAsia" w:eastAsiaTheme="maj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485F3852">
            <w:pPr>
              <w:spacing w:line="360" w:lineRule="auto"/>
              <w:jc w:val="left"/>
              <w:rPr>
                <w:rFonts w:cs="仿宋" w:asciiTheme="majorEastAsia" w:hAnsiTheme="majorEastAsia" w:eastAsiaTheme="maj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66501ACF">
            <w:pPr>
              <w:spacing w:line="360" w:lineRule="auto"/>
              <w:jc w:val="left"/>
              <w:rPr>
                <w:rFonts w:cs="仿宋" w:asciiTheme="majorEastAsia" w:hAnsiTheme="majorEastAsia" w:eastAsiaTheme="majorEastAsia"/>
                <w:color w:val="auto"/>
                <w:kern w:val="0"/>
                <w:sz w:val="24"/>
                <w:highlight w:val="none"/>
              </w:rPr>
            </w:pPr>
          </w:p>
        </w:tc>
      </w:tr>
    </w:tbl>
    <w:p w14:paraId="6454A4F5">
      <w:pPr>
        <w:spacing w:line="360" w:lineRule="auto"/>
        <w:jc w:val="left"/>
        <w:rPr>
          <w:rFonts w:cs="仿宋" w:asciiTheme="majorEastAsia" w:hAnsiTheme="majorEastAsia" w:eastAsiaTheme="majorEastAsia"/>
          <w:color w:val="auto"/>
          <w:kern w:val="0"/>
          <w:sz w:val="24"/>
          <w:highlight w:val="none"/>
        </w:rPr>
      </w:pPr>
    </w:p>
    <w:p w14:paraId="4BE34B7B">
      <w:pPr>
        <w:spacing w:line="360" w:lineRule="auto"/>
        <w:jc w:val="left"/>
        <w:rPr>
          <w:rFonts w:cs="仿宋" w:asciiTheme="majorEastAsia" w:hAnsiTheme="majorEastAsia" w:eastAsiaTheme="majorEastAsia"/>
          <w:color w:val="auto"/>
          <w:kern w:val="0"/>
          <w:sz w:val="24"/>
          <w:highlight w:val="none"/>
        </w:rPr>
      </w:pPr>
    </w:p>
    <w:p w14:paraId="0BA1FD18">
      <w:pPr>
        <w:spacing w:line="360" w:lineRule="auto"/>
        <w:jc w:val="left"/>
        <w:rPr>
          <w:rFonts w:cs="仿宋" w:asciiTheme="majorEastAsia" w:hAnsiTheme="majorEastAsia" w:eastAsiaTheme="majorEastAsia"/>
          <w:color w:val="auto"/>
          <w:kern w:val="0"/>
          <w:sz w:val="24"/>
          <w:highlight w:val="none"/>
        </w:rPr>
      </w:pPr>
    </w:p>
    <w:p w14:paraId="6DDED0B2">
      <w:pPr>
        <w:adjustRightInd w:val="0"/>
        <w:snapToGrid w:val="0"/>
        <w:spacing w:line="360" w:lineRule="auto"/>
        <w:jc w:val="righ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法定代表人或其授权委托人（签名或印章）：</w:t>
      </w:r>
    </w:p>
    <w:p w14:paraId="592D515B">
      <w:pPr>
        <w:adjustRightInd w:val="0"/>
        <w:snapToGrid w:val="0"/>
        <w:spacing w:line="360" w:lineRule="auto"/>
        <w:ind w:left="3990" w:leftChars="1900"/>
        <w:jc w:val="center"/>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投标人（盖章）：</w:t>
      </w:r>
    </w:p>
    <w:p w14:paraId="388B56D3">
      <w:pPr>
        <w:adjustRightInd w:val="0"/>
        <w:snapToGrid w:val="0"/>
        <w:spacing w:line="360" w:lineRule="auto"/>
        <w:ind w:right="1920"/>
        <w:jc w:val="center"/>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color w:val="auto"/>
          <w:kern w:val="0"/>
          <w:sz w:val="24"/>
          <w:highlight w:val="none"/>
          <w:lang w:val="zh-CN"/>
        </w:rPr>
        <w:t xml:space="preserve">                                      日期</w:t>
      </w:r>
      <w:r>
        <w:rPr>
          <w:rFonts w:hint="eastAsia" w:cs="仿宋" w:asciiTheme="majorEastAsia" w:hAnsiTheme="majorEastAsia" w:eastAsiaTheme="majorEastAsia"/>
          <w:color w:val="auto"/>
          <w:kern w:val="0"/>
          <w:sz w:val="24"/>
          <w:highlight w:val="none"/>
        </w:rPr>
        <w:t>:</w:t>
      </w:r>
    </w:p>
    <w:p w14:paraId="740644B3">
      <w:pPr>
        <w:spacing w:line="360" w:lineRule="auto"/>
        <w:ind w:left="4620" w:leftChars="2200"/>
        <w:jc w:val="left"/>
        <w:rPr>
          <w:rFonts w:cs="仿宋" w:asciiTheme="majorEastAsia" w:hAnsiTheme="majorEastAsia" w:eastAsiaTheme="majorEastAsia"/>
          <w:b/>
          <w:color w:val="auto"/>
          <w:kern w:val="0"/>
          <w:sz w:val="32"/>
          <w:szCs w:val="32"/>
          <w:highlight w:val="none"/>
          <w:lang w:val="zh-CN"/>
        </w:rPr>
      </w:pPr>
    </w:p>
    <w:p w14:paraId="73EE92ED">
      <w:pPr>
        <w:numPr>
          <w:ilvl w:val="0"/>
          <w:numId w:val="5"/>
        </w:numPr>
        <w:snapToGrid w:val="0"/>
        <w:spacing w:line="360" w:lineRule="auto"/>
        <w:jc w:val="center"/>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lang w:val="zh-CN"/>
        </w:rPr>
        <w:br w:type="page"/>
      </w:r>
      <w:r>
        <w:rPr>
          <w:rFonts w:hint="eastAsia" w:cs="仿宋" w:asciiTheme="majorEastAsia" w:hAnsiTheme="majorEastAsia" w:eastAsiaTheme="majorEastAsia"/>
          <w:b/>
          <w:color w:val="auto"/>
          <w:kern w:val="0"/>
          <w:sz w:val="32"/>
          <w:szCs w:val="32"/>
          <w:highlight w:val="none"/>
          <w:lang w:val="zh-CN"/>
        </w:rPr>
        <w:t>政府采购供应商廉洁自律承诺书</w:t>
      </w:r>
    </w:p>
    <w:p w14:paraId="57B25704">
      <w:pPr>
        <w:snapToGrid w:val="0"/>
        <w:spacing w:line="360" w:lineRule="auto"/>
        <w:rPr>
          <w:rFonts w:cs="仿宋" w:asciiTheme="majorEastAsia" w:hAnsiTheme="majorEastAsia" w:eastAsiaTheme="majorEastAsia"/>
          <w:color w:val="auto"/>
          <w:sz w:val="24"/>
          <w:highlight w:val="none"/>
        </w:rPr>
      </w:pPr>
    </w:p>
    <w:p w14:paraId="3796A28B">
      <w:pPr>
        <w:snapToGrid w:val="0"/>
        <w:spacing w:line="360" w:lineRule="auto"/>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sz w:val="24"/>
          <w:highlight w:val="none"/>
        </w:rPr>
        <w:t>（采购人）、（采购代理机构）</w:t>
      </w:r>
      <w:r>
        <w:rPr>
          <w:rFonts w:hint="eastAsia" w:cs="仿宋" w:asciiTheme="majorEastAsia" w:hAnsiTheme="majorEastAsia" w:eastAsiaTheme="majorEastAsia"/>
          <w:color w:val="auto"/>
          <w:kern w:val="0"/>
          <w:sz w:val="24"/>
          <w:highlight w:val="none"/>
          <w:lang w:val="zh-CN"/>
        </w:rPr>
        <w:t>：</w:t>
      </w:r>
    </w:p>
    <w:p w14:paraId="2B8553B7">
      <w:pPr>
        <w:autoSpaceDE w:val="0"/>
        <w:autoSpaceDN w:val="0"/>
        <w:spacing w:line="360" w:lineRule="auto"/>
        <w:ind w:left="2" w:leftChars="1" w:firstLine="480" w:firstLineChars="200"/>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我单位响应你</w:t>
      </w:r>
      <w:r>
        <w:rPr>
          <w:rFonts w:hint="eastAsia" w:cs="仿宋" w:asciiTheme="majorEastAsia" w:hAnsiTheme="majorEastAsia" w:eastAsiaTheme="majorEastAsia"/>
          <w:color w:val="auto"/>
          <w:sz w:val="24"/>
          <w:highlight w:val="none"/>
        </w:rPr>
        <w:t>单位</w:t>
      </w:r>
      <w:r>
        <w:rPr>
          <w:rFonts w:hint="eastAsia" w:cs="仿宋" w:asciiTheme="majorEastAsia" w:hAnsiTheme="majorEastAsia" w:eastAsiaTheme="majorEastAsia"/>
          <w:color w:val="auto"/>
          <w:kern w:val="0"/>
          <w:sz w:val="24"/>
          <w:highlight w:val="none"/>
          <w:lang w:val="zh-CN"/>
        </w:rPr>
        <w:t>项目招标要求参加投标。在这次投标过程中和中标后，我们将严格遵守国家法律法规要求，并郑重承诺：</w:t>
      </w:r>
    </w:p>
    <w:p w14:paraId="5F8A6DF3">
      <w:pPr>
        <w:autoSpaceDE w:val="0"/>
        <w:autoSpaceDN w:val="0"/>
        <w:spacing w:line="360" w:lineRule="auto"/>
        <w:ind w:left="2" w:leftChars="1" w:firstLine="480" w:firstLineChars="200"/>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 xml:space="preserve">一、不向项目有关人员及部门赠送礼金礼物、有价证券、回扣以及中介费、介绍费、咨询费等好处费； </w:t>
      </w:r>
    </w:p>
    <w:p w14:paraId="337799E7">
      <w:pPr>
        <w:autoSpaceDE w:val="0"/>
        <w:autoSpaceDN w:val="0"/>
        <w:spacing w:line="360" w:lineRule="auto"/>
        <w:ind w:left="2" w:leftChars="1" w:firstLine="480" w:firstLineChars="200"/>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 xml:space="preserve">二、不为项目有关人员及部门报销应由你方单位或个人支付的费用； </w:t>
      </w:r>
    </w:p>
    <w:p w14:paraId="163E9C93">
      <w:pPr>
        <w:autoSpaceDE w:val="0"/>
        <w:autoSpaceDN w:val="0"/>
        <w:spacing w:line="360" w:lineRule="auto"/>
        <w:ind w:left="2" w:leftChars="1" w:firstLine="480" w:firstLineChars="200"/>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 xml:space="preserve">三、不向项目有关人员及部门提供有可能影响公正的宴请和健身娱乐等活动； </w:t>
      </w:r>
    </w:p>
    <w:p w14:paraId="2E27DE51">
      <w:pPr>
        <w:autoSpaceDE w:val="0"/>
        <w:autoSpaceDN w:val="0"/>
        <w:spacing w:line="360" w:lineRule="auto"/>
        <w:ind w:left="2" w:leftChars="1" w:firstLine="480" w:firstLineChars="200"/>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四、不为项目有关人员及部门出国（境）、旅游等提供方便；</w:t>
      </w:r>
    </w:p>
    <w:p w14:paraId="0908FEFC">
      <w:pPr>
        <w:autoSpaceDE w:val="0"/>
        <w:autoSpaceDN w:val="0"/>
        <w:spacing w:line="360" w:lineRule="auto"/>
        <w:ind w:left="481" w:leftChars="229"/>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五、不为项目有关人员个人装修住房、婚丧嫁娶、配偶子女工作安排等提供</w:t>
      </w:r>
    </w:p>
    <w:p w14:paraId="270F8CC5">
      <w:pPr>
        <w:autoSpaceDE w:val="0"/>
        <w:autoSpaceDN w:val="0"/>
        <w:spacing w:line="360" w:lineRule="auto"/>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好处；</w:t>
      </w:r>
    </w:p>
    <w:p w14:paraId="53248393">
      <w:pPr>
        <w:autoSpaceDE w:val="0"/>
        <w:autoSpaceDN w:val="0"/>
        <w:spacing w:line="360" w:lineRule="auto"/>
        <w:ind w:left="481" w:leftChars="229"/>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六、严格遵守《</w:t>
      </w:r>
      <w:r>
        <w:rPr>
          <w:rFonts w:hint="eastAsia" w:cs="仿宋" w:asciiTheme="majorEastAsia" w:hAnsiTheme="majorEastAsia" w:eastAsiaTheme="majorEastAsia"/>
          <w:color w:val="auto"/>
          <w:sz w:val="24"/>
          <w:highlight w:val="none"/>
          <w:lang w:val="zh-CN"/>
        </w:rPr>
        <w:t>中华人民共和国</w:t>
      </w:r>
      <w:r>
        <w:rPr>
          <w:rFonts w:hint="eastAsia" w:cs="仿宋" w:asciiTheme="majorEastAsia" w:hAnsiTheme="majorEastAsia" w:eastAsiaTheme="majorEastAsia"/>
          <w:color w:val="auto"/>
          <w:kern w:val="0"/>
          <w:sz w:val="24"/>
          <w:highlight w:val="none"/>
          <w:lang w:val="zh-CN"/>
        </w:rPr>
        <w:t>政府采购法》《</w:t>
      </w:r>
      <w:r>
        <w:rPr>
          <w:rFonts w:hint="eastAsia" w:cs="仿宋" w:asciiTheme="majorEastAsia" w:hAnsiTheme="majorEastAsia" w:eastAsiaTheme="majorEastAsia"/>
          <w:color w:val="auto"/>
          <w:sz w:val="24"/>
          <w:highlight w:val="none"/>
          <w:lang w:val="zh-CN"/>
        </w:rPr>
        <w:t>中华人民共和国</w:t>
      </w:r>
      <w:r>
        <w:rPr>
          <w:rFonts w:hint="eastAsia" w:cs="仿宋" w:asciiTheme="majorEastAsia" w:hAnsiTheme="majorEastAsia" w:eastAsiaTheme="majorEastAsia"/>
          <w:color w:val="auto"/>
          <w:kern w:val="0"/>
          <w:sz w:val="24"/>
          <w:highlight w:val="none"/>
          <w:lang w:val="zh-CN"/>
        </w:rPr>
        <w:t>招标投标</w:t>
      </w:r>
    </w:p>
    <w:p w14:paraId="4693BB78">
      <w:pPr>
        <w:autoSpaceDE w:val="0"/>
        <w:autoSpaceDN w:val="0"/>
        <w:spacing w:line="360" w:lineRule="auto"/>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法》</w:t>
      </w:r>
      <w:r>
        <w:rPr>
          <w:rFonts w:hint="eastAsia" w:cs="仿宋" w:asciiTheme="majorEastAsia" w:hAnsiTheme="majorEastAsia" w:eastAsiaTheme="majorEastAsia"/>
          <w:color w:val="auto"/>
          <w:sz w:val="24"/>
          <w:highlight w:val="none"/>
          <w:lang w:val="zh-CN"/>
        </w:rPr>
        <w:t>《中华人民共和国民法典》</w:t>
      </w:r>
      <w:r>
        <w:rPr>
          <w:rFonts w:hint="eastAsia" w:cs="仿宋" w:asciiTheme="majorEastAsia" w:hAnsiTheme="majorEastAsia" w:eastAsiaTheme="majorEastAsia"/>
          <w:color w:val="auto"/>
          <w:kern w:val="0"/>
          <w:sz w:val="24"/>
          <w:highlight w:val="none"/>
          <w:lang w:val="zh-CN"/>
        </w:rPr>
        <w:t xml:space="preserve">等法律法规，诚实守信，合法经营，坚决抵制各种违法违纪行为。 </w:t>
      </w:r>
    </w:p>
    <w:p w14:paraId="001BDB80">
      <w:pPr>
        <w:autoSpaceDE w:val="0"/>
        <w:autoSpaceDN w:val="0"/>
        <w:spacing w:line="360" w:lineRule="auto"/>
        <w:ind w:firstLine="480" w:firstLineChars="200"/>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如违反上述承诺，你</w:t>
      </w:r>
      <w:r>
        <w:rPr>
          <w:rFonts w:hint="eastAsia" w:cs="仿宋" w:asciiTheme="majorEastAsia" w:hAnsiTheme="majorEastAsia" w:eastAsiaTheme="majorEastAsia"/>
          <w:color w:val="auto"/>
          <w:sz w:val="24"/>
          <w:highlight w:val="none"/>
        </w:rPr>
        <w:t>单位</w:t>
      </w:r>
      <w:r>
        <w:rPr>
          <w:rFonts w:hint="eastAsia" w:cs="仿宋" w:asciiTheme="majorEastAsia" w:hAnsiTheme="majorEastAsia" w:eastAsiaTheme="majorEastAsia"/>
          <w:color w:val="auto"/>
          <w:kern w:val="0"/>
          <w:sz w:val="24"/>
          <w:highlight w:val="none"/>
          <w:lang w:val="zh-CN"/>
        </w:rPr>
        <w:t>有权立即取消我单位投标、中标或在建项目的建设资格，有权拒绝我单位在一定时期内进入你</w:t>
      </w:r>
      <w:r>
        <w:rPr>
          <w:rFonts w:hint="eastAsia" w:cs="仿宋" w:asciiTheme="majorEastAsia" w:hAnsiTheme="majorEastAsia" w:eastAsiaTheme="majorEastAsia"/>
          <w:color w:val="auto"/>
          <w:sz w:val="24"/>
          <w:highlight w:val="none"/>
        </w:rPr>
        <w:t>单位</w:t>
      </w:r>
      <w:r>
        <w:rPr>
          <w:rFonts w:hint="eastAsia" w:cs="仿宋" w:asciiTheme="majorEastAsia" w:hAnsiTheme="majorEastAsia" w:eastAsiaTheme="majorEastAsia"/>
          <w:color w:val="auto"/>
          <w:kern w:val="0"/>
          <w:sz w:val="24"/>
          <w:highlight w:val="none"/>
          <w:lang w:val="zh-CN"/>
        </w:rPr>
        <w:t>进行项目建设或其他经营活动，并通报市财政局。由此引起的相应损失均由我单位承担。</w:t>
      </w:r>
    </w:p>
    <w:p w14:paraId="1810758D">
      <w:pPr>
        <w:autoSpaceDE w:val="0"/>
        <w:autoSpaceDN w:val="0"/>
        <w:spacing w:line="360" w:lineRule="auto"/>
        <w:ind w:left="2"/>
        <w:jc w:val="left"/>
        <w:rPr>
          <w:rFonts w:cs="仿宋" w:asciiTheme="majorEastAsia" w:hAnsiTheme="majorEastAsia" w:eastAsiaTheme="majorEastAsia"/>
          <w:color w:val="auto"/>
          <w:kern w:val="0"/>
          <w:sz w:val="24"/>
          <w:highlight w:val="none"/>
          <w:lang w:val="zh-CN"/>
        </w:rPr>
      </w:pPr>
    </w:p>
    <w:p w14:paraId="142F6D7C">
      <w:pPr>
        <w:autoSpaceDE w:val="0"/>
        <w:autoSpaceDN w:val="0"/>
        <w:spacing w:line="360" w:lineRule="auto"/>
        <w:ind w:left="2"/>
        <w:jc w:val="left"/>
        <w:rPr>
          <w:rFonts w:cs="仿宋" w:asciiTheme="majorEastAsia" w:hAnsiTheme="majorEastAsia" w:eastAsiaTheme="majorEastAsia"/>
          <w:color w:val="auto"/>
          <w:kern w:val="0"/>
          <w:sz w:val="24"/>
          <w:highlight w:val="none"/>
          <w:lang w:val="zh-CN"/>
        </w:rPr>
      </w:pPr>
    </w:p>
    <w:p w14:paraId="053EA93F">
      <w:pPr>
        <w:autoSpaceDE w:val="0"/>
        <w:autoSpaceDN w:val="0"/>
        <w:spacing w:line="360" w:lineRule="auto"/>
        <w:ind w:left="2"/>
        <w:jc w:val="left"/>
        <w:rPr>
          <w:rFonts w:cs="仿宋" w:asciiTheme="majorEastAsia" w:hAnsiTheme="majorEastAsia" w:eastAsiaTheme="majorEastAsia"/>
          <w:color w:val="auto"/>
          <w:kern w:val="0"/>
          <w:sz w:val="24"/>
          <w:highlight w:val="none"/>
          <w:lang w:val="zh-CN"/>
        </w:rPr>
      </w:pPr>
    </w:p>
    <w:p w14:paraId="658249CD">
      <w:pPr>
        <w:adjustRightInd w:val="0"/>
        <w:snapToGrid w:val="0"/>
        <w:spacing w:line="360" w:lineRule="auto"/>
        <w:jc w:val="righ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法定代表人或其授权委托人（签名或印章）：</w:t>
      </w:r>
    </w:p>
    <w:p w14:paraId="32EFB001">
      <w:pPr>
        <w:adjustRightInd w:val="0"/>
        <w:snapToGrid w:val="0"/>
        <w:spacing w:line="360" w:lineRule="auto"/>
        <w:ind w:left="3990" w:leftChars="1900"/>
        <w:jc w:val="center"/>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投标人（盖章）：</w:t>
      </w:r>
    </w:p>
    <w:p w14:paraId="7EBB09EB">
      <w:pPr>
        <w:adjustRightInd w:val="0"/>
        <w:snapToGrid w:val="0"/>
        <w:spacing w:line="360" w:lineRule="auto"/>
        <w:ind w:right="1920"/>
        <w:jc w:val="center"/>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color w:val="auto"/>
          <w:kern w:val="0"/>
          <w:sz w:val="24"/>
          <w:highlight w:val="none"/>
          <w:lang w:val="zh-CN"/>
        </w:rPr>
        <w:t xml:space="preserve">                                      日期</w:t>
      </w:r>
      <w:r>
        <w:rPr>
          <w:rFonts w:hint="eastAsia" w:cs="仿宋" w:asciiTheme="majorEastAsia" w:hAnsiTheme="majorEastAsia" w:eastAsiaTheme="majorEastAsia"/>
          <w:color w:val="auto"/>
          <w:kern w:val="0"/>
          <w:sz w:val="24"/>
          <w:highlight w:val="none"/>
        </w:rPr>
        <w:t>:</w:t>
      </w:r>
    </w:p>
    <w:p w14:paraId="467E1737">
      <w:pPr>
        <w:spacing w:line="360" w:lineRule="auto"/>
        <w:ind w:left="4620" w:leftChars="2200"/>
        <w:rPr>
          <w:rFonts w:cs="仿宋" w:asciiTheme="majorEastAsia" w:hAnsiTheme="majorEastAsia" w:eastAsiaTheme="majorEastAsia"/>
          <w:color w:val="auto"/>
          <w:sz w:val="24"/>
          <w:highlight w:val="none"/>
        </w:rPr>
      </w:pPr>
    </w:p>
    <w:p w14:paraId="09735BB3">
      <w:pPr>
        <w:spacing w:line="360" w:lineRule="auto"/>
        <w:jc w:val="center"/>
        <w:rPr>
          <w:rFonts w:cs="仿宋" w:asciiTheme="majorEastAsia" w:hAnsiTheme="majorEastAsia" w:eastAsiaTheme="majorEastAsia"/>
          <w:b/>
          <w:bCs/>
          <w:color w:val="auto"/>
          <w:sz w:val="24"/>
          <w:highlight w:val="none"/>
        </w:rPr>
      </w:pPr>
    </w:p>
    <w:p w14:paraId="7BD77749">
      <w:pPr>
        <w:spacing w:line="360" w:lineRule="auto"/>
        <w:jc w:val="center"/>
        <w:rPr>
          <w:rFonts w:cs="仿宋" w:asciiTheme="majorEastAsia" w:hAnsiTheme="majorEastAsia" w:eastAsiaTheme="majorEastAsia"/>
          <w:b/>
          <w:bCs/>
          <w:color w:val="auto"/>
          <w:sz w:val="24"/>
          <w:highlight w:val="none"/>
        </w:rPr>
        <w:sectPr>
          <w:pgSz w:w="11906" w:h="16838"/>
          <w:pgMar w:top="1276" w:right="1418" w:bottom="1247" w:left="1418" w:header="851" w:footer="992" w:gutter="0"/>
          <w:cols w:space="720" w:num="1"/>
          <w:titlePg/>
          <w:docGrid w:linePitch="312" w:charSpace="0"/>
        </w:sectPr>
      </w:pPr>
    </w:p>
    <w:p w14:paraId="1A8ADC0C">
      <w:pPr>
        <w:spacing w:line="360" w:lineRule="auto"/>
        <w:jc w:val="center"/>
        <w:outlineLvl w:val="0"/>
        <w:rPr>
          <w:rFonts w:cs="仿宋" w:asciiTheme="majorEastAsia" w:hAnsiTheme="majorEastAsia" w:eastAsiaTheme="majorEastAsia"/>
          <w:b/>
          <w:color w:val="auto"/>
          <w:kern w:val="0"/>
          <w:sz w:val="36"/>
          <w:szCs w:val="36"/>
          <w:highlight w:val="none"/>
        </w:rPr>
      </w:pPr>
    </w:p>
    <w:p w14:paraId="27C03201">
      <w:pPr>
        <w:spacing w:line="360" w:lineRule="auto"/>
        <w:jc w:val="center"/>
        <w:outlineLvl w:val="0"/>
        <w:rPr>
          <w:rFonts w:cs="仿宋" w:asciiTheme="majorEastAsia" w:hAnsiTheme="majorEastAsia" w:eastAsiaTheme="majorEastAsia"/>
          <w:b/>
          <w:color w:val="auto"/>
          <w:kern w:val="0"/>
          <w:sz w:val="36"/>
          <w:szCs w:val="36"/>
          <w:highlight w:val="none"/>
        </w:rPr>
      </w:pPr>
      <w:r>
        <w:rPr>
          <w:rFonts w:hint="eastAsia" w:cs="仿宋" w:asciiTheme="majorEastAsia" w:hAnsiTheme="majorEastAsia" w:eastAsiaTheme="majorEastAsia"/>
          <w:b/>
          <w:color w:val="auto"/>
          <w:kern w:val="0"/>
          <w:sz w:val="36"/>
          <w:szCs w:val="36"/>
          <w:highlight w:val="none"/>
        </w:rPr>
        <w:t>报价文件部分</w:t>
      </w:r>
    </w:p>
    <w:p w14:paraId="409C509C">
      <w:pPr>
        <w:spacing w:line="360" w:lineRule="auto"/>
        <w:jc w:val="center"/>
        <w:outlineLvl w:val="0"/>
        <w:rPr>
          <w:rFonts w:cs="仿宋" w:asciiTheme="majorEastAsia" w:hAnsiTheme="majorEastAsia" w:eastAsiaTheme="majorEastAsia"/>
          <w:b/>
          <w:color w:val="auto"/>
          <w:kern w:val="0"/>
          <w:sz w:val="36"/>
          <w:szCs w:val="36"/>
          <w:highlight w:val="none"/>
        </w:rPr>
      </w:pPr>
      <w:r>
        <w:rPr>
          <w:rFonts w:hint="eastAsia" w:cs="仿宋" w:asciiTheme="majorEastAsia" w:hAnsiTheme="majorEastAsia" w:eastAsiaTheme="majorEastAsia"/>
          <w:b/>
          <w:color w:val="auto"/>
          <w:kern w:val="0"/>
          <w:sz w:val="36"/>
          <w:szCs w:val="36"/>
          <w:highlight w:val="none"/>
        </w:rPr>
        <w:t>目录</w:t>
      </w:r>
    </w:p>
    <w:p w14:paraId="5D047D2E">
      <w:pPr>
        <w:snapToGrid w:val="0"/>
        <w:spacing w:line="360" w:lineRule="auto"/>
        <w:ind w:firstLine="480" w:firstLineChars="200"/>
        <w:rPr>
          <w:rFonts w:cs="仿宋" w:asciiTheme="majorEastAsia" w:hAnsiTheme="majorEastAsia" w:eastAsiaTheme="majorEastAsia"/>
          <w:color w:val="auto"/>
          <w:sz w:val="24"/>
          <w:highlight w:val="none"/>
          <w:u w:val="single"/>
          <w:lang w:val="zh-CN"/>
        </w:rPr>
      </w:pPr>
      <w:r>
        <w:rPr>
          <w:rFonts w:hint="eastAsia" w:cs="仿宋" w:asciiTheme="majorEastAsia" w:hAnsiTheme="majorEastAsia" w:eastAsiaTheme="majorEastAsia"/>
          <w:color w:val="auto"/>
          <w:sz w:val="24"/>
          <w:highlight w:val="none"/>
        </w:rPr>
        <w:t xml:space="preserve"> </w:t>
      </w:r>
    </w:p>
    <w:p w14:paraId="411127AD">
      <w:pPr>
        <w:snapToGrid w:val="0"/>
        <w:spacing w:line="360" w:lineRule="auto"/>
        <w:ind w:firstLine="1120" w:firstLineChars="4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1 开标一览表；</w:t>
      </w:r>
    </w:p>
    <w:p w14:paraId="4161574A">
      <w:pPr>
        <w:snapToGrid w:val="0"/>
        <w:spacing w:line="360" w:lineRule="auto"/>
        <w:ind w:firstLine="1120" w:firstLineChars="4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2 投标报价明细表；</w:t>
      </w:r>
    </w:p>
    <w:p w14:paraId="6AF16A58">
      <w:pPr>
        <w:snapToGrid w:val="0"/>
        <w:spacing w:line="360" w:lineRule="auto"/>
        <w:ind w:firstLine="1120" w:firstLineChars="4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3 中小企业声明函（如有）；</w:t>
      </w:r>
    </w:p>
    <w:p w14:paraId="74F714DC">
      <w:pPr>
        <w:snapToGrid w:val="0"/>
        <w:spacing w:line="360" w:lineRule="auto"/>
        <w:ind w:firstLine="1120" w:firstLineChars="4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4 残疾人福利性单位声明函（如有）；</w:t>
      </w:r>
    </w:p>
    <w:p w14:paraId="33B107B5">
      <w:pPr>
        <w:snapToGrid w:val="0"/>
        <w:spacing w:line="360" w:lineRule="auto"/>
        <w:ind w:firstLine="1120" w:firstLineChars="4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5 监狱企业的证明文件（如有）；</w:t>
      </w:r>
    </w:p>
    <w:p w14:paraId="3B2B9D1C">
      <w:pPr>
        <w:snapToGrid w:val="0"/>
        <w:spacing w:line="360" w:lineRule="auto"/>
        <w:ind w:firstLine="1120" w:firstLineChars="4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6 政府采购统计基础信息表；</w:t>
      </w:r>
    </w:p>
    <w:p w14:paraId="5E1E2E9F">
      <w:pPr>
        <w:snapToGrid w:val="0"/>
        <w:spacing w:line="360" w:lineRule="auto"/>
        <w:ind w:firstLine="1120" w:firstLineChars="4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7 其他资料（如有）。</w:t>
      </w:r>
    </w:p>
    <w:p w14:paraId="4144D500">
      <w:pPr>
        <w:snapToGrid w:val="0"/>
        <w:spacing w:line="360" w:lineRule="auto"/>
        <w:ind w:right="480"/>
        <w:rPr>
          <w:rFonts w:cs="仿宋" w:asciiTheme="majorEastAsia" w:hAnsiTheme="majorEastAsia" w:eastAsiaTheme="majorEastAsia"/>
          <w:b/>
          <w:color w:val="auto"/>
          <w:kern w:val="0"/>
          <w:sz w:val="32"/>
          <w:szCs w:val="32"/>
          <w:highlight w:val="none"/>
        </w:rPr>
      </w:pPr>
    </w:p>
    <w:p w14:paraId="61A435A3">
      <w:pPr>
        <w:pStyle w:val="37"/>
        <w:keepNext w:val="0"/>
        <w:pageBreakBefore w:val="0"/>
        <w:tabs>
          <w:tab w:val="clear" w:pos="720"/>
        </w:tabs>
        <w:snapToGrid w:val="0"/>
        <w:spacing w:before="120" w:after="120"/>
        <w:ind w:firstLine="643"/>
        <w:outlineLvl w:val="9"/>
        <w:rPr>
          <w:rFonts w:cs="仿宋" w:asciiTheme="majorEastAsia" w:hAnsiTheme="majorEastAsia" w:eastAsiaTheme="majorEastAsia"/>
          <w:color w:val="auto"/>
          <w:kern w:val="2"/>
          <w:sz w:val="32"/>
          <w:szCs w:val="32"/>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040DEFF8">
      <w:pPr>
        <w:pStyle w:val="37"/>
        <w:keepNext w:val="0"/>
        <w:pageBreakBefore w:val="0"/>
        <w:tabs>
          <w:tab w:val="clear" w:pos="720"/>
        </w:tabs>
        <w:snapToGrid w:val="0"/>
        <w:spacing w:before="120" w:after="120"/>
        <w:ind w:firstLine="643"/>
        <w:outlineLvl w:val="9"/>
        <w:rPr>
          <w:rFonts w:cs="仿宋" w:asciiTheme="majorEastAsia" w:hAnsiTheme="majorEastAsia" w:eastAsiaTheme="majorEastAsia"/>
          <w:color w:val="auto"/>
          <w:kern w:val="2"/>
          <w:sz w:val="32"/>
          <w:szCs w:val="32"/>
          <w:highlight w:val="none"/>
        </w:rPr>
      </w:pPr>
      <w:r>
        <w:rPr>
          <w:rFonts w:hint="eastAsia" w:cs="仿宋" w:asciiTheme="majorEastAsia" w:hAnsiTheme="majorEastAsia" w:eastAsiaTheme="majorEastAsia"/>
          <w:color w:val="auto"/>
          <w:kern w:val="2"/>
          <w:sz w:val="32"/>
          <w:szCs w:val="32"/>
          <w:highlight w:val="none"/>
        </w:rPr>
        <w:t>一、开标一览表（报价表）</w:t>
      </w:r>
    </w:p>
    <w:p w14:paraId="21F27430">
      <w:pPr>
        <w:snapToGrid w:val="0"/>
        <w:spacing w:line="360" w:lineRule="auto"/>
        <w:rPr>
          <w:rFonts w:cs="仿宋" w:asciiTheme="majorEastAsia" w:hAnsiTheme="majorEastAsia" w:eastAsiaTheme="majorEastAsia"/>
          <w:color w:val="auto"/>
          <w:kern w:val="0"/>
          <w:sz w:val="24"/>
          <w:highlight w:val="none"/>
          <w:u w:val="single"/>
        </w:rPr>
      </w:pPr>
      <w:r>
        <w:rPr>
          <w:rFonts w:hint="eastAsia" w:cs="仿宋" w:asciiTheme="majorEastAsia" w:hAnsiTheme="majorEastAsia" w:eastAsiaTheme="majorEastAsia"/>
          <w:color w:val="auto"/>
          <w:sz w:val="24"/>
          <w:highlight w:val="none"/>
        </w:rPr>
        <w:t>（采购人）、（采购代理机构）</w:t>
      </w:r>
      <w:r>
        <w:rPr>
          <w:rFonts w:hint="eastAsia" w:cs="仿宋" w:asciiTheme="majorEastAsia" w:hAnsiTheme="majorEastAsia" w:eastAsiaTheme="majorEastAsia"/>
          <w:color w:val="auto"/>
          <w:kern w:val="0"/>
          <w:sz w:val="24"/>
          <w:highlight w:val="none"/>
          <w:lang w:val="zh-CN"/>
        </w:rPr>
        <w:t>：</w:t>
      </w:r>
      <w:r>
        <w:rPr>
          <w:rFonts w:hint="eastAsia" w:cs="仿宋" w:asciiTheme="majorEastAsia" w:hAnsiTheme="majorEastAsia" w:eastAsiaTheme="majorEastAsia"/>
          <w:color w:val="auto"/>
          <w:kern w:val="0"/>
          <w:sz w:val="24"/>
          <w:highlight w:val="none"/>
          <w:u w:val="single"/>
        </w:rPr>
        <w:t xml:space="preserve">                                     </w:t>
      </w:r>
    </w:p>
    <w:p w14:paraId="68B0F9BD">
      <w:pPr>
        <w:snapToGrid w:val="0"/>
        <w:spacing w:line="360" w:lineRule="auto"/>
        <w:ind w:firstLine="482"/>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cs="仿宋" w:asciiTheme="majorEastAsia" w:hAnsiTheme="majorEastAsia" w:eastAsiaTheme="majorEastAsia"/>
          <w:color w:val="auto"/>
          <w:sz w:val="24"/>
          <w:highlight w:val="none"/>
        </w:rPr>
        <w:t>（项目名称）【项目编号：        】的实施</w:t>
      </w:r>
      <w:r>
        <w:rPr>
          <w:rFonts w:hint="eastAsia" w:cs="仿宋" w:asciiTheme="majorEastAsia" w:hAnsiTheme="majorEastAsia" w:eastAsiaTheme="majorEastAsia"/>
          <w:color w:val="auto"/>
          <w:kern w:val="0"/>
          <w:sz w:val="24"/>
          <w:highlight w:val="none"/>
          <w:lang w:val="zh-CN"/>
        </w:rPr>
        <w:t>。</w:t>
      </w:r>
    </w:p>
    <w:p w14:paraId="24C70DE2">
      <w:pPr>
        <w:spacing w:line="360" w:lineRule="auto"/>
        <w:jc w:val="center"/>
        <w:rPr>
          <w:rFonts w:cs="仿宋" w:asciiTheme="majorEastAsia" w:hAnsiTheme="majorEastAsia" w:eastAsiaTheme="majorEastAsia"/>
          <w:b/>
          <w:color w:val="auto"/>
          <w:kern w:val="0"/>
          <w:sz w:val="24"/>
          <w:highlight w:val="none"/>
          <w:lang w:val="zh-CN"/>
        </w:rPr>
      </w:pPr>
      <w:r>
        <w:rPr>
          <w:rFonts w:hint="eastAsia" w:cs="仿宋" w:asciiTheme="majorEastAsia" w:hAnsiTheme="majorEastAsia" w:eastAsiaTheme="majorEastAsia"/>
          <w:b/>
          <w:color w:val="auto"/>
          <w:kern w:val="0"/>
          <w:sz w:val="24"/>
          <w:highlight w:val="none"/>
          <w:lang w:val="zh-CN"/>
        </w:rPr>
        <w:t>开标一览表（报价表）(单位均为人民币元)</w:t>
      </w:r>
    </w:p>
    <w:tbl>
      <w:tblPr>
        <w:tblStyle w:val="21"/>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58"/>
        <w:gridCol w:w="4644"/>
        <w:gridCol w:w="973"/>
        <w:gridCol w:w="961"/>
        <w:gridCol w:w="2983"/>
      </w:tblGrid>
      <w:tr w14:paraId="49077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707" w:type="pct"/>
            <w:vAlign w:val="center"/>
          </w:tcPr>
          <w:p w14:paraId="1DB463CD">
            <w:pPr>
              <w:spacing w:line="360" w:lineRule="auto"/>
              <w:jc w:val="center"/>
              <w:rPr>
                <w:rFonts w:ascii="宋体" w:hAnsi="宋体" w:cs="仿宋"/>
                <w:b/>
                <w:color w:val="auto"/>
                <w:sz w:val="24"/>
                <w:highlight w:val="none"/>
              </w:rPr>
            </w:pPr>
            <w:r>
              <w:rPr>
                <w:rFonts w:hint="eastAsia" w:ascii="宋体" w:hAnsi="宋体" w:cs="仿宋"/>
                <w:b/>
                <w:color w:val="auto"/>
                <w:sz w:val="24"/>
                <w:highlight w:val="none"/>
              </w:rPr>
              <w:t>项目名称</w:t>
            </w:r>
          </w:p>
        </w:tc>
        <w:tc>
          <w:tcPr>
            <w:tcW w:w="1599" w:type="pct"/>
            <w:vAlign w:val="center"/>
          </w:tcPr>
          <w:p w14:paraId="63D542CE">
            <w:pPr>
              <w:spacing w:line="360" w:lineRule="auto"/>
              <w:jc w:val="center"/>
              <w:rPr>
                <w:rFonts w:ascii="宋体" w:hAnsi="宋体" w:cs="仿宋"/>
                <w:b/>
                <w:color w:val="auto"/>
                <w:sz w:val="24"/>
                <w:highlight w:val="none"/>
              </w:rPr>
            </w:pPr>
            <w:r>
              <w:rPr>
                <w:rFonts w:hint="eastAsia" w:ascii="宋体" w:hAnsi="宋体" w:cs="仿宋"/>
                <w:b/>
                <w:color w:val="auto"/>
                <w:sz w:val="24"/>
                <w:highlight w:val="none"/>
              </w:rPr>
              <w:t>采购内容</w:t>
            </w:r>
          </w:p>
        </w:tc>
        <w:tc>
          <w:tcPr>
            <w:tcW w:w="335" w:type="pct"/>
            <w:vAlign w:val="center"/>
          </w:tcPr>
          <w:p w14:paraId="3CD776B8">
            <w:pPr>
              <w:spacing w:line="360" w:lineRule="auto"/>
              <w:jc w:val="center"/>
              <w:rPr>
                <w:rFonts w:ascii="宋体" w:hAnsi="宋体" w:cs="仿宋"/>
                <w:b/>
                <w:color w:val="auto"/>
                <w:sz w:val="24"/>
                <w:highlight w:val="none"/>
              </w:rPr>
            </w:pPr>
            <w:r>
              <w:rPr>
                <w:rFonts w:hint="eastAsia" w:ascii="宋体" w:hAnsi="宋体" w:cs="仿宋"/>
                <w:b/>
                <w:color w:val="auto"/>
                <w:sz w:val="24"/>
                <w:highlight w:val="none"/>
              </w:rPr>
              <w:t>单价</w:t>
            </w:r>
          </w:p>
        </w:tc>
        <w:tc>
          <w:tcPr>
            <w:tcW w:w="331" w:type="pct"/>
            <w:vAlign w:val="center"/>
          </w:tcPr>
          <w:p w14:paraId="61AFCD9E">
            <w:pPr>
              <w:spacing w:line="360" w:lineRule="auto"/>
              <w:jc w:val="center"/>
              <w:rPr>
                <w:rFonts w:ascii="宋体" w:hAnsi="宋体" w:cs="仿宋"/>
                <w:b/>
                <w:color w:val="auto"/>
                <w:sz w:val="24"/>
                <w:highlight w:val="none"/>
              </w:rPr>
            </w:pPr>
            <w:r>
              <w:rPr>
                <w:rFonts w:hint="eastAsia" w:ascii="宋体" w:hAnsi="宋体" w:cs="仿宋"/>
                <w:b/>
                <w:color w:val="auto"/>
                <w:sz w:val="24"/>
                <w:highlight w:val="none"/>
              </w:rPr>
              <w:t>合价</w:t>
            </w:r>
          </w:p>
        </w:tc>
        <w:tc>
          <w:tcPr>
            <w:tcW w:w="1027" w:type="pct"/>
            <w:vAlign w:val="center"/>
          </w:tcPr>
          <w:p w14:paraId="54E926DB">
            <w:pPr>
              <w:spacing w:line="360" w:lineRule="auto"/>
              <w:jc w:val="center"/>
              <w:rPr>
                <w:rFonts w:ascii="宋体" w:hAnsi="宋体" w:cs="仿宋"/>
                <w:b/>
                <w:color w:val="auto"/>
                <w:sz w:val="24"/>
                <w:highlight w:val="none"/>
              </w:rPr>
            </w:pPr>
            <w:r>
              <w:rPr>
                <w:rFonts w:hint="eastAsia" w:ascii="宋体" w:hAnsi="宋体" w:cs="仿宋"/>
                <w:b/>
                <w:color w:val="auto"/>
                <w:sz w:val="24"/>
                <w:highlight w:val="none"/>
              </w:rPr>
              <w:t>备注</w:t>
            </w:r>
          </w:p>
        </w:tc>
      </w:tr>
      <w:tr w14:paraId="73D40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707" w:type="pct"/>
            <w:vAlign w:val="center"/>
          </w:tcPr>
          <w:p w14:paraId="348A72F1">
            <w:pPr>
              <w:snapToGrid w:val="0"/>
              <w:spacing w:line="360" w:lineRule="auto"/>
              <w:jc w:val="center"/>
              <w:rPr>
                <w:rFonts w:ascii="宋体" w:hAnsi="宋体" w:cs="仿宋"/>
                <w:color w:val="auto"/>
                <w:sz w:val="24"/>
                <w:highlight w:val="none"/>
              </w:rPr>
            </w:pPr>
            <w:r>
              <w:rPr>
                <w:rFonts w:hint="eastAsia" w:cs="仿宋" w:asciiTheme="majorEastAsia" w:hAnsiTheme="majorEastAsia" w:eastAsiaTheme="majorEastAsia"/>
                <w:color w:val="auto"/>
                <w:sz w:val="24"/>
                <w:highlight w:val="none"/>
              </w:rPr>
              <w:t>奉化区FH24-02-09a地块建设项目光伏系统、空气能热水系统采购项目</w:t>
            </w:r>
          </w:p>
        </w:tc>
        <w:tc>
          <w:tcPr>
            <w:tcW w:w="2265" w:type="pct"/>
            <w:gridSpan w:val="3"/>
            <w:vAlign w:val="center"/>
          </w:tcPr>
          <w:p w14:paraId="13AA2035">
            <w:pPr>
              <w:spacing w:line="360" w:lineRule="auto"/>
              <w:jc w:val="center"/>
              <w:rPr>
                <w:rFonts w:ascii="宋体" w:hAnsi="宋体" w:cs="仿宋"/>
                <w:color w:val="auto"/>
                <w:sz w:val="24"/>
                <w:highlight w:val="none"/>
              </w:rPr>
            </w:pPr>
            <w:r>
              <w:rPr>
                <w:rFonts w:hint="eastAsia" w:ascii="宋体" w:hAnsi="宋体" w:cs="仿宋"/>
                <w:color w:val="auto"/>
                <w:sz w:val="24"/>
                <w:highlight w:val="none"/>
              </w:rPr>
              <w:t>详见“投标报价明细表”</w:t>
            </w:r>
          </w:p>
        </w:tc>
        <w:tc>
          <w:tcPr>
            <w:tcW w:w="1027" w:type="pct"/>
            <w:vAlign w:val="center"/>
          </w:tcPr>
          <w:p w14:paraId="41E26C71">
            <w:pPr>
              <w:spacing w:line="360" w:lineRule="auto"/>
              <w:jc w:val="center"/>
              <w:rPr>
                <w:rFonts w:ascii="宋体" w:hAnsi="宋体" w:cs="仿宋"/>
                <w:color w:val="auto"/>
                <w:sz w:val="24"/>
                <w:highlight w:val="none"/>
              </w:rPr>
            </w:pPr>
          </w:p>
        </w:tc>
      </w:tr>
      <w:tr w14:paraId="5B5FE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707" w:type="pct"/>
            <w:vAlign w:val="center"/>
          </w:tcPr>
          <w:p w14:paraId="0A1CBB4E">
            <w:pPr>
              <w:spacing w:line="360" w:lineRule="auto"/>
              <w:jc w:val="center"/>
              <w:rPr>
                <w:rFonts w:ascii="宋体" w:hAnsi="宋体" w:cs="仿宋"/>
                <w:b/>
                <w:color w:val="auto"/>
                <w:sz w:val="24"/>
                <w:highlight w:val="none"/>
              </w:rPr>
            </w:pPr>
            <w:r>
              <w:rPr>
                <w:rFonts w:hint="eastAsia" w:ascii="宋体" w:hAnsi="宋体" w:cs="仿宋"/>
                <w:b/>
                <w:color w:val="auto"/>
                <w:sz w:val="24"/>
                <w:highlight w:val="none"/>
              </w:rPr>
              <w:t>投标报价（小写）</w:t>
            </w:r>
          </w:p>
        </w:tc>
        <w:tc>
          <w:tcPr>
            <w:tcW w:w="3292" w:type="pct"/>
            <w:gridSpan w:val="4"/>
            <w:vAlign w:val="center"/>
          </w:tcPr>
          <w:p w14:paraId="21370B98">
            <w:pPr>
              <w:spacing w:line="360" w:lineRule="auto"/>
              <w:jc w:val="center"/>
              <w:rPr>
                <w:rFonts w:ascii="宋体" w:hAnsi="宋体" w:cs="仿宋"/>
                <w:b/>
                <w:color w:val="auto"/>
                <w:sz w:val="24"/>
                <w:highlight w:val="none"/>
              </w:rPr>
            </w:pPr>
          </w:p>
        </w:tc>
      </w:tr>
      <w:tr w14:paraId="437E5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707" w:type="pct"/>
            <w:vAlign w:val="center"/>
          </w:tcPr>
          <w:p w14:paraId="72A1933B">
            <w:pPr>
              <w:spacing w:line="360" w:lineRule="auto"/>
              <w:jc w:val="center"/>
              <w:rPr>
                <w:rFonts w:ascii="宋体" w:hAnsi="宋体" w:cs="仿宋"/>
                <w:b/>
                <w:color w:val="auto"/>
                <w:sz w:val="24"/>
                <w:highlight w:val="none"/>
              </w:rPr>
            </w:pPr>
            <w:r>
              <w:rPr>
                <w:rFonts w:hint="eastAsia" w:ascii="宋体" w:hAnsi="宋体" w:cs="仿宋"/>
                <w:b/>
                <w:color w:val="auto"/>
                <w:sz w:val="24"/>
                <w:highlight w:val="none"/>
              </w:rPr>
              <w:t>投标报价（大写）</w:t>
            </w:r>
          </w:p>
        </w:tc>
        <w:tc>
          <w:tcPr>
            <w:tcW w:w="3292" w:type="pct"/>
            <w:gridSpan w:val="4"/>
            <w:vAlign w:val="center"/>
          </w:tcPr>
          <w:p w14:paraId="2D0284BF">
            <w:pPr>
              <w:spacing w:line="360" w:lineRule="auto"/>
              <w:jc w:val="center"/>
              <w:rPr>
                <w:rFonts w:ascii="宋体" w:hAnsi="宋体" w:cs="仿宋"/>
                <w:b/>
                <w:color w:val="auto"/>
                <w:sz w:val="24"/>
                <w:highlight w:val="none"/>
              </w:rPr>
            </w:pPr>
          </w:p>
        </w:tc>
      </w:tr>
    </w:tbl>
    <w:p w14:paraId="6E40A410">
      <w:pPr>
        <w:pStyle w:val="28"/>
        <w:ind w:firstLine="588"/>
        <w:rPr>
          <w:color w:val="auto"/>
          <w:highlight w:val="none"/>
          <w:lang w:val="zh-CN"/>
        </w:rPr>
      </w:pPr>
    </w:p>
    <w:p w14:paraId="57EC332B">
      <w:pPr>
        <w:snapToGrid w:val="0"/>
        <w:spacing w:line="360" w:lineRule="auto"/>
        <w:ind w:left="480"/>
        <w:rPr>
          <w:rFonts w:cs="仿宋" w:asciiTheme="majorEastAsia" w:hAnsiTheme="majorEastAsia" w:eastAsiaTheme="majorEastAsia"/>
          <w:b/>
          <w:color w:val="auto"/>
          <w:kern w:val="0"/>
          <w:sz w:val="24"/>
          <w:highlight w:val="none"/>
          <w:lang w:val="zh-CN"/>
        </w:rPr>
      </w:pPr>
      <w:r>
        <w:rPr>
          <w:rFonts w:hint="eastAsia" w:cs="仿宋" w:asciiTheme="majorEastAsia" w:hAnsiTheme="majorEastAsia" w:eastAsiaTheme="majorEastAsia"/>
          <w:b/>
          <w:color w:val="auto"/>
          <w:kern w:val="0"/>
          <w:sz w:val="24"/>
          <w:highlight w:val="none"/>
          <w:lang w:val="zh-CN"/>
        </w:rPr>
        <w:t>注：</w:t>
      </w:r>
    </w:p>
    <w:p w14:paraId="2924A53A">
      <w:pPr>
        <w:spacing w:line="360" w:lineRule="auto"/>
        <w:ind w:left="-2" w:leftChars="-1" w:firstLine="480" w:firstLineChars="200"/>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1、投标人需按本表格式填写，不得自行更改。</w:t>
      </w:r>
    </w:p>
    <w:p w14:paraId="189DE5F5">
      <w:pPr>
        <w:spacing w:line="360" w:lineRule="auto"/>
        <w:ind w:firstLine="480" w:firstLineChars="200"/>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2、有关本项目实施所涉及的一切费用均计入报价。</w:t>
      </w:r>
      <w:r>
        <w:rPr>
          <w:rFonts w:hint="eastAsia" w:cs="仿宋" w:asciiTheme="majorEastAsia" w:hAnsiTheme="majorEastAsia" w:eastAsiaTheme="majorEastAsia"/>
          <w:b/>
          <w:color w:val="auto"/>
          <w:kern w:val="0"/>
          <w:sz w:val="24"/>
          <w:highlight w:val="none"/>
          <w:lang w:val="zh-CN"/>
        </w:rPr>
        <w:t>采购人将以合同形式有偿取得货物或服务，不接受投标人给予的赠品、回扣或者与采购无关的其他商品、服务</w:t>
      </w:r>
      <w:r>
        <w:rPr>
          <w:rFonts w:hint="eastAsia" w:cs="仿宋" w:asciiTheme="majorEastAsia" w:hAnsiTheme="majorEastAsia" w:eastAsiaTheme="majorEastAsia"/>
          <w:color w:val="auto"/>
          <w:kern w:val="0"/>
          <w:sz w:val="24"/>
          <w:highlight w:val="none"/>
          <w:lang w:val="zh-CN"/>
        </w:rPr>
        <w:t>，</w:t>
      </w:r>
      <w:r>
        <w:rPr>
          <w:rFonts w:hint="eastAsia" w:cs="仿宋" w:asciiTheme="majorEastAsia" w:hAnsiTheme="majorEastAsia" w:eastAsiaTheme="majorEastAsia"/>
          <w:b/>
          <w:color w:val="auto"/>
          <w:kern w:val="0"/>
          <w:sz w:val="24"/>
          <w:highlight w:val="none"/>
          <w:lang w:val="zh-CN"/>
        </w:rPr>
        <w:t>不得出现“0元”“免费赠送”等形式的无偿报价，</w:t>
      </w:r>
      <w:r>
        <w:rPr>
          <w:rFonts w:hint="eastAsia" w:cs="仿宋" w:asciiTheme="majorEastAsia" w:hAnsiTheme="majorEastAsia" w:eastAsiaTheme="majorEastAsia"/>
          <w:b/>
          <w:color w:val="auto"/>
          <w:kern w:val="0"/>
          <w:sz w:val="24"/>
          <w:highlight w:val="none"/>
        </w:rPr>
        <w:t>否则视为</w:t>
      </w:r>
      <w:r>
        <w:rPr>
          <w:rFonts w:hint="eastAsia" w:cs="仿宋" w:asciiTheme="majorEastAsia" w:hAnsiTheme="majorEastAsia" w:eastAsiaTheme="majorEastAsia"/>
          <w:b/>
          <w:color w:val="auto"/>
          <w:sz w:val="24"/>
          <w:highlight w:val="none"/>
        </w:rPr>
        <w:t>投标文件含有采购人不能接受的附加条件的，投标无效</w:t>
      </w:r>
      <w:r>
        <w:rPr>
          <w:rFonts w:hint="eastAsia" w:cs="仿宋" w:asciiTheme="majorEastAsia" w:hAnsiTheme="majorEastAsia" w:eastAsiaTheme="majorEastAsia"/>
          <w:b/>
          <w:color w:val="auto"/>
          <w:kern w:val="0"/>
          <w:sz w:val="24"/>
          <w:highlight w:val="none"/>
          <w:lang w:val="zh-CN"/>
        </w:rPr>
        <w:t>。</w:t>
      </w:r>
    </w:p>
    <w:p w14:paraId="11030073">
      <w:pPr>
        <w:spacing w:line="360" w:lineRule="auto"/>
        <w:ind w:left="3780" w:leftChars="1800"/>
        <w:rPr>
          <w:rFonts w:cs="仿宋" w:asciiTheme="majorEastAsia" w:hAnsiTheme="majorEastAsia" w:eastAsiaTheme="majorEastAsia"/>
          <w:color w:val="auto"/>
          <w:sz w:val="32"/>
          <w:szCs w:val="32"/>
          <w:highlight w:val="none"/>
        </w:rPr>
      </w:pPr>
    </w:p>
    <w:p w14:paraId="6E159BC8">
      <w:pPr>
        <w:pStyle w:val="28"/>
        <w:spacing w:line="360" w:lineRule="auto"/>
        <w:ind w:firstLine="640"/>
        <w:rPr>
          <w:rFonts w:cs="仿宋" w:asciiTheme="majorEastAsia" w:hAnsiTheme="majorEastAsia" w:eastAsiaTheme="majorEastAsia"/>
          <w:color w:val="auto"/>
          <w:sz w:val="32"/>
          <w:szCs w:val="32"/>
          <w:highlight w:val="none"/>
        </w:rPr>
      </w:pPr>
    </w:p>
    <w:p w14:paraId="28B16354">
      <w:pPr>
        <w:pStyle w:val="28"/>
        <w:spacing w:line="360" w:lineRule="auto"/>
        <w:ind w:firstLine="640"/>
        <w:rPr>
          <w:rFonts w:cs="仿宋" w:asciiTheme="majorEastAsia" w:hAnsiTheme="majorEastAsia" w:eastAsiaTheme="majorEastAsia"/>
          <w:color w:val="auto"/>
          <w:sz w:val="32"/>
          <w:szCs w:val="32"/>
          <w:highlight w:val="none"/>
        </w:rPr>
      </w:pPr>
    </w:p>
    <w:p w14:paraId="084D94A5">
      <w:pPr>
        <w:spacing w:line="360" w:lineRule="auto"/>
        <w:ind w:left="7560" w:leftChars="36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法定代表人或其授权委托人（签名或印章）：        </w:t>
      </w:r>
    </w:p>
    <w:p w14:paraId="44B9CF49">
      <w:pPr>
        <w:spacing w:line="360" w:lineRule="auto"/>
        <w:ind w:left="7560" w:leftChars="36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投标人（盖章）：         </w:t>
      </w:r>
    </w:p>
    <w:p w14:paraId="453B1A69">
      <w:pPr>
        <w:spacing w:line="360" w:lineRule="auto"/>
        <w:ind w:left="7560" w:leftChars="3600"/>
        <w:rPr>
          <w:rFonts w:asciiTheme="majorEastAsia" w:hAnsiTheme="majorEastAsia" w:eastAsiaTheme="majorEastAsia"/>
          <w:color w:val="auto"/>
          <w:highlight w:val="none"/>
        </w:rPr>
        <w:sectPr>
          <w:pgSz w:w="16838" w:h="11906" w:orient="landscape"/>
          <w:pgMar w:top="1418" w:right="1247" w:bottom="1418" w:left="1276" w:header="851" w:footer="992" w:gutter="0"/>
          <w:cols w:space="720" w:num="1"/>
          <w:titlePg/>
          <w:docGrid w:linePitch="312" w:charSpace="0"/>
        </w:sectPr>
      </w:pPr>
      <w:r>
        <w:rPr>
          <w:rFonts w:hint="eastAsia" w:cs="仿宋" w:asciiTheme="majorEastAsia" w:hAnsiTheme="majorEastAsia" w:eastAsiaTheme="majorEastAsia"/>
          <w:color w:val="auto"/>
          <w:sz w:val="24"/>
          <w:highlight w:val="none"/>
        </w:rPr>
        <w:t xml:space="preserve">日  期： </w:t>
      </w:r>
    </w:p>
    <w:p w14:paraId="33C89169">
      <w:pPr>
        <w:pStyle w:val="37"/>
        <w:keepNext w:val="0"/>
        <w:pageBreakBefore w:val="0"/>
        <w:tabs>
          <w:tab w:val="clear" w:pos="720"/>
        </w:tabs>
        <w:snapToGrid w:val="0"/>
        <w:spacing w:before="120" w:after="120"/>
        <w:ind w:firstLine="643"/>
        <w:outlineLvl w:val="9"/>
        <w:rPr>
          <w:rFonts w:cs="仿宋" w:asciiTheme="majorEastAsia" w:hAnsiTheme="majorEastAsia" w:eastAsiaTheme="majorEastAsia"/>
          <w:color w:val="auto"/>
          <w:kern w:val="2"/>
          <w:sz w:val="32"/>
          <w:szCs w:val="32"/>
          <w:highlight w:val="none"/>
        </w:rPr>
      </w:pPr>
      <w:r>
        <w:rPr>
          <w:rFonts w:hint="eastAsia" w:cs="仿宋" w:asciiTheme="majorEastAsia" w:hAnsiTheme="majorEastAsia" w:eastAsiaTheme="majorEastAsia"/>
          <w:color w:val="auto"/>
          <w:kern w:val="2"/>
          <w:sz w:val="32"/>
          <w:szCs w:val="32"/>
          <w:highlight w:val="none"/>
        </w:rPr>
        <w:t>二、投标报价明细表</w:t>
      </w:r>
    </w:p>
    <w:p w14:paraId="564126C0">
      <w:pPr>
        <w:snapToGrid w:val="0"/>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投标人名称：</w:t>
      </w:r>
      <w:r>
        <w:rPr>
          <w:rFonts w:hint="eastAsia" w:cs="仿宋" w:asciiTheme="majorEastAsia" w:hAnsiTheme="majorEastAsia" w:eastAsiaTheme="majorEastAsia"/>
          <w:color w:val="auto"/>
          <w:kern w:val="0"/>
          <w:sz w:val="24"/>
          <w:highlight w:val="none"/>
          <w:u w:val="single"/>
        </w:rPr>
        <w:t xml:space="preserve">                            </w:t>
      </w:r>
    </w:p>
    <w:p w14:paraId="4EA3D222">
      <w:pPr>
        <w:snapToGrid w:val="0"/>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标    项：</w:t>
      </w:r>
      <w:r>
        <w:rPr>
          <w:rFonts w:hint="eastAsia" w:cs="仿宋" w:asciiTheme="majorEastAsia" w:hAnsiTheme="majorEastAsia" w:eastAsiaTheme="majorEastAsia"/>
          <w:color w:val="auto"/>
          <w:kern w:val="0"/>
          <w:sz w:val="24"/>
          <w:highlight w:val="none"/>
          <w:u w:val="single"/>
        </w:rPr>
        <w:t xml:space="preserve">                              </w:t>
      </w:r>
    </w:p>
    <w:p w14:paraId="20B37073">
      <w:pPr>
        <w:snapToGri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项目编号： </w:t>
      </w:r>
      <w:r>
        <w:rPr>
          <w:rFonts w:hint="eastAsia" w:cs="仿宋" w:asciiTheme="majorEastAsia" w:hAnsiTheme="majorEastAsia" w:eastAsiaTheme="majorEastAsia"/>
          <w:color w:val="auto"/>
          <w:kern w:val="0"/>
          <w:sz w:val="24"/>
          <w:highlight w:val="none"/>
          <w:u w:val="single"/>
        </w:rPr>
        <w:t xml:space="preserve">                             </w:t>
      </w:r>
      <w:r>
        <w:rPr>
          <w:rFonts w:hint="eastAsia" w:cs="仿宋" w:asciiTheme="majorEastAsia" w:hAnsiTheme="majorEastAsia" w:eastAsiaTheme="majorEastAsia"/>
          <w:color w:val="auto"/>
          <w:sz w:val="24"/>
          <w:highlight w:val="none"/>
        </w:rPr>
        <w:t xml:space="preserve">           金额单位：人民币（元）</w:t>
      </w:r>
    </w:p>
    <w:tbl>
      <w:tblPr>
        <w:tblStyle w:val="21"/>
        <w:tblW w:w="101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1"/>
        <w:gridCol w:w="1399"/>
        <w:gridCol w:w="1846"/>
        <w:gridCol w:w="1637"/>
        <w:gridCol w:w="1513"/>
        <w:gridCol w:w="1500"/>
        <w:gridCol w:w="1411"/>
      </w:tblGrid>
      <w:tr w14:paraId="12D98A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9"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156272F3">
            <w:pP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序号</w:t>
            </w:r>
          </w:p>
        </w:tc>
        <w:tc>
          <w:tcPr>
            <w:tcW w:w="1399" w:type="dxa"/>
            <w:tcBorders>
              <w:top w:val="single" w:color="auto" w:sz="4" w:space="0"/>
              <w:left w:val="single" w:color="auto" w:sz="4" w:space="0"/>
              <w:bottom w:val="single" w:color="auto" w:sz="4" w:space="0"/>
              <w:right w:val="single" w:color="auto" w:sz="4" w:space="0"/>
            </w:tcBorders>
            <w:vAlign w:val="center"/>
          </w:tcPr>
          <w:p w14:paraId="3D51B68D">
            <w:pPr>
              <w:snapToGrid w:val="0"/>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名称</w:t>
            </w:r>
          </w:p>
        </w:tc>
        <w:tc>
          <w:tcPr>
            <w:tcW w:w="1846" w:type="dxa"/>
            <w:tcBorders>
              <w:top w:val="single" w:color="auto" w:sz="4" w:space="0"/>
              <w:left w:val="single" w:color="auto" w:sz="4" w:space="0"/>
              <w:bottom w:val="single" w:color="auto" w:sz="4" w:space="0"/>
              <w:right w:val="single" w:color="auto" w:sz="4" w:space="0"/>
            </w:tcBorders>
            <w:vAlign w:val="center"/>
          </w:tcPr>
          <w:p w14:paraId="36BF88F8">
            <w:pPr>
              <w:snapToGrid w:val="0"/>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品牌</w:t>
            </w:r>
          </w:p>
        </w:tc>
        <w:tc>
          <w:tcPr>
            <w:tcW w:w="1637" w:type="dxa"/>
            <w:tcBorders>
              <w:top w:val="single" w:color="auto" w:sz="4" w:space="0"/>
              <w:left w:val="single" w:color="auto" w:sz="4" w:space="0"/>
              <w:bottom w:val="single" w:color="auto" w:sz="4" w:space="0"/>
              <w:right w:val="single" w:color="auto" w:sz="4" w:space="0"/>
            </w:tcBorders>
            <w:vAlign w:val="center"/>
          </w:tcPr>
          <w:p w14:paraId="55ACC1D3">
            <w:pPr>
              <w:snapToGrid w:val="0"/>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规格型号</w:t>
            </w:r>
          </w:p>
        </w:tc>
        <w:tc>
          <w:tcPr>
            <w:tcW w:w="1513" w:type="dxa"/>
            <w:tcBorders>
              <w:top w:val="single" w:color="auto" w:sz="4" w:space="0"/>
              <w:left w:val="single" w:color="auto" w:sz="4" w:space="0"/>
              <w:bottom w:val="single" w:color="auto" w:sz="4" w:space="0"/>
              <w:right w:val="single" w:color="auto" w:sz="4" w:space="0"/>
            </w:tcBorders>
            <w:vAlign w:val="center"/>
          </w:tcPr>
          <w:p w14:paraId="6A185C96">
            <w:pPr>
              <w:snapToGrid w:val="0"/>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单位及数量</w:t>
            </w:r>
          </w:p>
        </w:tc>
        <w:tc>
          <w:tcPr>
            <w:tcW w:w="1500" w:type="dxa"/>
            <w:tcBorders>
              <w:top w:val="single" w:color="auto" w:sz="4" w:space="0"/>
              <w:left w:val="single" w:color="auto" w:sz="4" w:space="0"/>
              <w:bottom w:val="single" w:color="auto" w:sz="4" w:space="0"/>
              <w:right w:val="single" w:color="auto" w:sz="4" w:space="0"/>
            </w:tcBorders>
            <w:vAlign w:val="center"/>
          </w:tcPr>
          <w:p w14:paraId="2851FCAD">
            <w:pPr>
              <w:snapToGrid w:val="0"/>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单价</w:t>
            </w:r>
          </w:p>
        </w:tc>
        <w:tc>
          <w:tcPr>
            <w:tcW w:w="1411" w:type="dxa"/>
            <w:tcBorders>
              <w:top w:val="single" w:color="auto" w:sz="4" w:space="0"/>
              <w:left w:val="single" w:color="auto" w:sz="4" w:space="0"/>
              <w:bottom w:val="single" w:color="auto" w:sz="4" w:space="0"/>
              <w:right w:val="single" w:color="auto" w:sz="4" w:space="0"/>
            </w:tcBorders>
            <w:vAlign w:val="center"/>
          </w:tcPr>
          <w:p w14:paraId="09817D4E">
            <w:pPr>
              <w:snapToGrid w:val="0"/>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合计</w:t>
            </w:r>
          </w:p>
        </w:tc>
      </w:tr>
      <w:tr w14:paraId="7025DB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11" w:type="dxa"/>
            <w:tcBorders>
              <w:top w:val="single" w:color="auto" w:sz="4" w:space="0"/>
              <w:left w:val="single" w:color="auto" w:sz="4" w:space="0"/>
              <w:bottom w:val="single" w:color="auto" w:sz="4" w:space="0"/>
              <w:right w:val="single" w:color="auto" w:sz="4" w:space="0"/>
            </w:tcBorders>
          </w:tcPr>
          <w:p w14:paraId="77301D45">
            <w:pPr>
              <w:spacing w:line="360" w:lineRule="auto"/>
              <w:rPr>
                <w:rFonts w:cs="仿宋" w:asciiTheme="majorEastAsia" w:hAnsiTheme="majorEastAsia" w:eastAsiaTheme="majorEastAsia"/>
                <w:color w:val="auto"/>
                <w:highlight w:val="none"/>
              </w:rPr>
            </w:pPr>
          </w:p>
        </w:tc>
        <w:tc>
          <w:tcPr>
            <w:tcW w:w="1399" w:type="dxa"/>
            <w:tcBorders>
              <w:top w:val="single" w:color="auto" w:sz="4" w:space="0"/>
              <w:left w:val="single" w:color="auto" w:sz="4" w:space="0"/>
              <w:bottom w:val="single" w:color="auto" w:sz="4" w:space="0"/>
              <w:right w:val="single" w:color="auto" w:sz="4" w:space="0"/>
            </w:tcBorders>
          </w:tcPr>
          <w:p w14:paraId="1FE4D08D">
            <w:pPr>
              <w:spacing w:line="360" w:lineRule="auto"/>
              <w:rPr>
                <w:rFonts w:cs="仿宋" w:asciiTheme="majorEastAsia" w:hAnsiTheme="majorEastAsia" w:eastAsiaTheme="majorEastAsia"/>
                <w:color w:val="auto"/>
                <w:highlight w:val="none"/>
              </w:rPr>
            </w:pPr>
          </w:p>
        </w:tc>
        <w:tc>
          <w:tcPr>
            <w:tcW w:w="1846" w:type="dxa"/>
            <w:tcBorders>
              <w:top w:val="single" w:color="auto" w:sz="4" w:space="0"/>
              <w:left w:val="single" w:color="auto" w:sz="4" w:space="0"/>
              <w:bottom w:val="single" w:color="auto" w:sz="4" w:space="0"/>
              <w:right w:val="single" w:color="auto" w:sz="4" w:space="0"/>
            </w:tcBorders>
          </w:tcPr>
          <w:p w14:paraId="057F5B30">
            <w:pPr>
              <w:spacing w:line="360" w:lineRule="auto"/>
              <w:rPr>
                <w:rFonts w:cs="仿宋" w:asciiTheme="majorEastAsia" w:hAnsiTheme="majorEastAsia" w:eastAsiaTheme="majorEastAsia"/>
                <w:color w:val="auto"/>
                <w:highlight w:val="none"/>
              </w:rPr>
            </w:pPr>
          </w:p>
        </w:tc>
        <w:tc>
          <w:tcPr>
            <w:tcW w:w="1637" w:type="dxa"/>
            <w:tcBorders>
              <w:top w:val="single" w:color="auto" w:sz="4" w:space="0"/>
              <w:left w:val="single" w:color="auto" w:sz="4" w:space="0"/>
              <w:bottom w:val="single" w:color="auto" w:sz="4" w:space="0"/>
              <w:right w:val="single" w:color="auto" w:sz="4" w:space="0"/>
            </w:tcBorders>
          </w:tcPr>
          <w:p w14:paraId="4F839D99">
            <w:pPr>
              <w:spacing w:line="360" w:lineRule="auto"/>
              <w:rPr>
                <w:rFonts w:cs="仿宋" w:asciiTheme="majorEastAsia" w:hAnsiTheme="majorEastAsia" w:eastAsiaTheme="majorEastAsia"/>
                <w:color w:val="auto"/>
                <w:highlight w:val="none"/>
              </w:rPr>
            </w:pPr>
          </w:p>
        </w:tc>
        <w:tc>
          <w:tcPr>
            <w:tcW w:w="1513" w:type="dxa"/>
            <w:tcBorders>
              <w:top w:val="single" w:color="auto" w:sz="4" w:space="0"/>
              <w:left w:val="single" w:color="auto" w:sz="4" w:space="0"/>
              <w:bottom w:val="single" w:color="auto" w:sz="4" w:space="0"/>
              <w:right w:val="single" w:color="auto" w:sz="4" w:space="0"/>
            </w:tcBorders>
          </w:tcPr>
          <w:p w14:paraId="4DB6F6B1">
            <w:pPr>
              <w:spacing w:line="360" w:lineRule="auto"/>
              <w:rPr>
                <w:rFonts w:cs="仿宋" w:asciiTheme="majorEastAsia" w:hAnsiTheme="majorEastAsia" w:eastAsiaTheme="majorEastAsia"/>
                <w:color w:val="auto"/>
                <w:highlight w:val="none"/>
              </w:rPr>
            </w:pPr>
          </w:p>
        </w:tc>
        <w:tc>
          <w:tcPr>
            <w:tcW w:w="1500" w:type="dxa"/>
            <w:tcBorders>
              <w:top w:val="single" w:color="auto" w:sz="4" w:space="0"/>
              <w:left w:val="single" w:color="auto" w:sz="4" w:space="0"/>
              <w:bottom w:val="single" w:color="auto" w:sz="4" w:space="0"/>
              <w:right w:val="single" w:color="auto" w:sz="4" w:space="0"/>
            </w:tcBorders>
          </w:tcPr>
          <w:p w14:paraId="0D4F5EA6">
            <w:pPr>
              <w:spacing w:line="360" w:lineRule="auto"/>
              <w:rPr>
                <w:rFonts w:cs="仿宋" w:asciiTheme="majorEastAsia" w:hAnsiTheme="majorEastAsia" w:eastAsiaTheme="majorEastAsia"/>
                <w:color w:val="auto"/>
                <w:highlight w:val="none"/>
              </w:rPr>
            </w:pPr>
          </w:p>
        </w:tc>
        <w:tc>
          <w:tcPr>
            <w:tcW w:w="1411" w:type="dxa"/>
            <w:tcBorders>
              <w:top w:val="single" w:color="auto" w:sz="4" w:space="0"/>
              <w:left w:val="single" w:color="auto" w:sz="4" w:space="0"/>
              <w:bottom w:val="single" w:color="auto" w:sz="4" w:space="0"/>
              <w:right w:val="single" w:color="auto" w:sz="4" w:space="0"/>
            </w:tcBorders>
          </w:tcPr>
          <w:p w14:paraId="622CB1D7">
            <w:pPr>
              <w:spacing w:line="360" w:lineRule="auto"/>
              <w:rPr>
                <w:rFonts w:cs="仿宋" w:asciiTheme="majorEastAsia" w:hAnsiTheme="majorEastAsia" w:eastAsiaTheme="majorEastAsia"/>
                <w:color w:val="auto"/>
                <w:highlight w:val="none"/>
              </w:rPr>
            </w:pPr>
          </w:p>
        </w:tc>
      </w:tr>
      <w:tr w14:paraId="48E4C3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11" w:type="dxa"/>
            <w:tcBorders>
              <w:top w:val="single" w:color="auto" w:sz="4" w:space="0"/>
              <w:left w:val="single" w:color="auto" w:sz="4" w:space="0"/>
              <w:bottom w:val="single" w:color="auto" w:sz="4" w:space="0"/>
              <w:right w:val="single" w:color="auto" w:sz="4" w:space="0"/>
            </w:tcBorders>
          </w:tcPr>
          <w:p w14:paraId="64E36EA1">
            <w:pPr>
              <w:spacing w:line="360" w:lineRule="auto"/>
              <w:rPr>
                <w:rFonts w:cs="仿宋" w:asciiTheme="majorEastAsia" w:hAnsiTheme="majorEastAsia" w:eastAsiaTheme="majorEastAsia"/>
                <w:color w:val="auto"/>
                <w:highlight w:val="none"/>
              </w:rPr>
            </w:pPr>
          </w:p>
        </w:tc>
        <w:tc>
          <w:tcPr>
            <w:tcW w:w="1399" w:type="dxa"/>
            <w:tcBorders>
              <w:top w:val="single" w:color="auto" w:sz="4" w:space="0"/>
              <w:left w:val="single" w:color="auto" w:sz="4" w:space="0"/>
              <w:bottom w:val="single" w:color="auto" w:sz="4" w:space="0"/>
              <w:right w:val="single" w:color="auto" w:sz="4" w:space="0"/>
            </w:tcBorders>
          </w:tcPr>
          <w:p w14:paraId="4200F083">
            <w:pPr>
              <w:spacing w:line="360" w:lineRule="auto"/>
              <w:rPr>
                <w:rFonts w:cs="仿宋" w:asciiTheme="majorEastAsia" w:hAnsiTheme="majorEastAsia" w:eastAsiaTheme="majorEastAsia"/>
                <w:color w:val="auto"/>
                <w:highlight w:val="none"/>
              </w:rPr>
            </w:pPr>
          </w:p>
        </w:tc>
        <w:tc>
          <w:tcPr>
            <w:tcW w:w="1846" w:type="dxa"/>
            <w:tcBorders>
              <w:top w:val="single" w:color="auto" w:sz="4" w:space="0"/>
              <w:left w:val="single" w:color="auto" w:sz="4" w:space="0"/>
              <w:bottom w:val="single" w:color="auto" w:sz="4" w:space="0"/>
              <w:right w:val="single" w:color="auto" w:sz="4" w:space="0"/>
            </w:tcBorders>
          </w:tcPr>
          <w:p w14:paraId="577FDDE4">
            <w:pPr>
              <w:spacing w:line="360" w:lineRule="auto"/>
              <w:rPr>
                <w:rFonts w:cs="仿宋" w:asciiTheme="majorEastAsia" w:hAnsiTheme="majorEastAsia" w:eastAsiaTheme="majorEastAsia"/>
                <w:color w:val="auto"/>
                <w:highlight w:val="none"/>
              </w:rPr>
            </w:pPr>
          </w:p>
        </w:tc>
        <w:tc>
          <w:tcPr>
            <w:tcW w:w="1637" w:type="dxa"/>
            <w:tcBorders>
              <w:top w:val="single" w:color="auto" w:sz="4" w:space="0"/>
              <w:left w:val="single" w:color="auto" w:sz="4" w:space="0"/>
              <w:bottom w:val="single" w:color="auto" w:sz="4" w:space="0"/>
              <w:right w:val="single" w:color="auto" w:sz="4" w:space="0"/>
            </w:tcBorders>
          </w:tcPr>
          <w:p w14:paraId="4B75602A">
            <w:pPr>
              <w:spacing w:line="360" w:lineRule="auto"/>
              <w:rPr>
                <w:rFonts w:cs="仿宋" w:asciiTheme="majorEastAsia" w:hAnsiTheme="majorEastAsia" w:eastAsiaTheme="majorEastAsia"/>
                <w:color w:val="auto"/>
                <w:highlight w:val="none"/>
              </w:rPr>
            </w:pPr>
          </w:p>
        </w:tc>
        <w:tc>
          <w:tcPr>
            <w:tcW w:w="1513" w:type="dxa"/>
            <w:tcBorders>
              <w:top w:val="single" w:color="auto" w:sz="4" w:space="0"/>
              <w:left w:val="single" w:color="auto" w:sz="4" w:space="0"/>
              <w:bottom w:val="single" w:color="auto" w:sz="4" w:space="0"/>
              <w:right w:val="single" w:color="auto" w:sz="4" w:space="0"/>
            </w:tcBorders>
          </w:tcPr>
          <w:p w14:paraId="4D145B4E">
            <w:pPr>
              <w:spacing w:line="360" w:lineRule="auto"/>
              <w:rPr>
                <w:rFonts w:cs="仿宋" w:asciiTheme="majorEastAsia" w:hAnsiTheme="majorEastAsia" w:eastAsiaTheme="majorEastAsia"/>
                <w:color w:val="auto"/>
                <w:highlight w:val="none"/>
              </w:rPr>
            </w:pPr>
          </w:p>
        </w:tc>
        <w:tc>
          <w:tcPr>
            <w:tcW w:w="1500" w:type="dxa"/>
            <w:tcBorders>
              <w:top w:val="single" w:color="auto" w:sz="4" w:space="0"/>
              <w:left w:val="single" w:color="auto" w:sz="4" w:space="0"/>
              <w:bottom w:val="single" w:color="auto" w:sz="4" w:space="0"/>
              <w:right w:val="single" w:color="auto" w:sz="4" w:space="0"/>
            </w:tcBorders>
          </w:tcPr>
          <w:p w14:paraId="6F73AEAD">
            <w:pPr>
              <w:spacing w:line="360" w:lineRule="auto"/>
              <w:rPr>
                <w:rFonts w:cs="仿宋" w:asciiTheme="majorEastAsia" w:hAnsiTheme="majorEastAsia" w:eastAsiaTheme="majorEastAsia"/>
                <w:color w:val="auto"/>
                <w:highlight w:val="none"/>
              </w:rPr>
            </w:pPr>
          </w:p>
        </w:tc>
        <w:tc>
          <w:tcPr>
            <w:tcW w:w="1411" w:type="dxa"/>
            <w:tcBorders>
              <w:top w:val="single" w:color="auto" w:sz="4" w:space="0"/>
              <w:left w:val="single" w:color="auto" w:sz="4" w:space="0"/>
              <w:bottom w:val="single" w:color="auto" w:sz="4" w:space="0"/>
              <w:right w:val="single" w:color="auto" w:sz="4" w:space="0"/>
            </w:tcBorders>
          </w:tcPr>
          <w:p w14:paraId="7EE2D350">
            <w:pPr>
              <w:spacing w:line="360" w:lineRule="auto"/>
              <w:rPr>
                <w:rFonts w:cs="仿宋" w:asciiTheme="majorEastAsia" w:hAnsiTheme="majorEastAsia" w:eastAsiaTheme="majorEastAsia"/>
                <w:color w:val="auto"/>
                <w:highlight w:val="none"/>
              </w:rPr>
            </w:pPr>
          </w:p>
        </w:tc>
      </w:tr>
      <w:tr w14:paraId="726BD0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11" w:type="dxa"/>
            <w:tcBorders>
              <w:top w:val="single" w:color="auto" w:sz="4" w:space="0"/>
              <w:left w:val="single" w:color="auto" w:sz="4" w:space="0"/>
              <w:bottom w:val="single" w:color="auto" w:sz="4" w:space="0"/>
              <w:right w:val="single" w:color="auto" w:sz="4" w:space="0"/>
            </w:tcBorders>
          </w:tcPr>
          <w:p w14:paraId="4121DC9B">
            <w:pPr>
              <w:spacing w:line="360" w:lineRule="auto"/>
              <w:rPr>
                <w:rFonts w:cs="仿宋" w:asciiTheme="majorEastAsia" w:hAnsiTheme="majorEastAsia" w:eastAsiaTheme="majorEastAsia"/>
                <w:color w:val="auto"/>
                <w:highlight w:val="none"/>
              </w:rPr>
            </w:pPr>
          </w:p>
        </w:tc>
        <w:tc>
          <w:tcPr>
            <w:tcW w:w="1399" w:type="dxa"/>
            <w:tcBorders>
              <w:top w:val="single" w:color="auto" w:sz="4" w:space="0"/>
              <w:left w:val="single" w:color="auto" w:sz="4" w:space="0"/>
              <w:bottom w:val="single" w:color="auto" w:sz="4" w:space="0"/>
              <w:right w:val="single" w:color="auto" w:sz="4" w:space="0"/>
            </w:tcBorders>
          </w:tcPr>
          <w:p w14:paraId="1485B6EA">
            <w:pPr>
              <w:spacing w:line="360" w:lineRule="auto"/>
              <w:rPr>
                <w:rFonts w:cs="仿宋" w:asciiTheme="majorEastAsia" w:hAnsiTheme="majorEastAsia" w:eastAsiaTheme="majorEastAsia"/>
                <w:color w:val="auto"/>
                <w:highlight w:val="none"/>
              </w:rPr>
            </w:pPr>
          </w:p>
        </w:tc>
        <w:tc>
          <w:tcPr>
            <w:tcW w:w="1846" w:type="dxa"/>
            <w:tcBorders>
              <w:top w:val="single" w:color="auto" w:sz="4" w:space="0"/>
              <w:left w:val="single" w:color="auto" w:sz="4" w:space="0"/>
              <w:bottom w:val="single" w:color="auto" w:sz="4" w:space="0"/>
              <w:right w:val="single" w:color="auto" w:sz="4" w:space="0"/>
            </w:tcBorders>
          </w:tcPr>
          <w:p w14:paraId="5ABFA022">
            <w:pPr>
              <w:spacing w:line="360" w:lineRule="auto"/>
              <w:rPr>
                <w:rFonts w:cs="仿宋" w:asciiTheme="majorEastAsia" w:hAnsiTheme="majorEastAsia" w:eastAsiaTheme="majorEastAsia"/>
                <w:color w:val="auto"/>
                <w:highlight w:val="none"/>
              </w:rPr>
            </w:pPr>
          </w:p>
        </w:tc>
        <w:tc>
          <w:tcPr>
            <w:tcW w:w="1637" w:type="dxa"/>
            <w:tcBorders>
              <w:top w:val="single" w:color="auto" w:sz="4" w:space="0"/>
              <w:left w:val="single" w:color="auto" w:sz="4" w:space="0"/>
              <w:bottom w:val="single" w:color="auto" w:sz="4" w:space="0"/>
              <w:right w:val="single" w:color="auto" w:sz="4" w:space="0"/>
            </w:tcBorders>
          </w:tcPr>
          <w:p w14:paraId="2625B231">
            <w:pPr>
              <w:spacing w:line="360" w:lineRule="auto"/>
              <w:rPr>
                <w:rFonts w:cs="仿宋" w:asciiTheme="majorEastAsia" w:hAnsiTheme="majorEastAsia" w:eastAsiaTheme="majorEastAsia"/>
                <w:color w:val="auto"/>
                <w:highlight w:val="none"/>
              </w:rPr>
            </w:pPr>
          </w:p>
        </w:tc>
        <w:tc>
          <w:tcPr>
            <w:tcW w:w="1513" w:type="dxa"/>
            <w:tcBorders>
              <w:top w:val="single" w:color="auto" w:sz="4" w:space="0"/>
              <w:left w:val="single" w:color="auto" w:sz="4" w:space="0"/>
              <w:bottom w:val="single" w:color="auto" w:sz="4" w:space="0"/>
              <w:right w:val="single" w:color="auto" w:sz="4" w:space="0"/>
            </w:tcBorders>
          </w:tcPr>
          <w:p w14:paraId="550A0072">
            <w:pPr>
              <w:spacing w:line="360" w:lineRule="auto"/>
              <w:rPr>
                <w:rFonts w:cs="仿宋" w:asciiTheme="majorEastAsia" w:hAnsiTheme="majorEastAsia" w:eastAsiaTheme="majorEastAsia"/>
                <w:color w:val="auto"/>
                <w:highlight w:val="none"/>
              </w:rPr>
            </w:pPr>
          </w:p>
        </w:tc>
        <w:tc>
          <w:tcPr>
            <w:tcW w:w="1500" w:type="dxa"/>
            <w:tcBorders>
              <w:top w:val="single" w:color="auto" w:sz="4" w:space="0"/>
              <w:left w:val="single" w:color="auto" w:sz="4" w:space="0"/>
              <w:bottom w:val="single" w:color="auto" w:sz="4" w:space="0"/>
              <w:right w:val="single" w:color="auto" w:sz="4" w:space="0"/>
            </w:tcBorders>
          </w:tcPr>
          <w:p w14:paraId="35A4C3CC">
            <w:pPr>
              <w:spacing w:line="360" w:lineRule="auto"/>
              <w:rPr>
                <w:rFonts w:cs="仿宋" w:asciiTheme="majorEastAsia" w:hAnsiTheme="majorEastAsia" w:eastAsiaTheme="majorEastAsia"/>
                <w:color w:val="auto"/>
                <w:highlight w:val="none"/>
              </w:rPr>
            </w:pPr>
          </w:p>
        </w:tc>
        <w:tc>
          <w:tcPr>
            <w:tcW w:w="1411" w:type="dxa"/>
            <w:tcBorders>
              <w:top w:val="single" w:color="auto" w:sz="4" w:space="0"/>
              <w:left w:val="single" w:color="auto" w:sz="4" w:space="0"/>
              <w:bottom w:val="single" w:color="auto" w:sz="4" w:space="0"/>
              <w:right w:val="single" w:color="auto" w:sz="4" w:space="0"/>
            </w:tcBorders>
          </w:tcPr>
          <w:p w14:paraId="0071E834">
            <w:pPr>
              <w:spacing w:line="360" w:lineRule="auto"/>
              <w:rPr>
                <w:rFonts w:cs="仿宋" w:asciiTheme="majorEastAsia" w:hAnsiTheme="majorEastAsia" w:eastAsiaTheme="majorEastAsia"/>
                <w:color w:val="auto"/>
                <w:highlight w:val="none"/>
              </w:rPr>
            </w:pPr>
          </w:p>
        </w:tc>
      </w:tr>
      <w:tr w14:paraId="59DD53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11" w:type="dxa"/>
            <w:tcBorders>
              <w:top w:val="single" w:color="auto" w:sz="4" w:space="0"/>
              <w:left w:val="single" w:color="auto" w:sz="4" w:space="0"/>
              <w:bottom w:val="single" w:color="auto" w:sz="4" w:space="0"/>
              <w:right w:val="single" w:color="auto" w:sz="4" w:space="0"/>
            </w:tcBorders>
          </w:tcPr>
          <w:p w14:paraId="4BA90B07">
            <w:pPr>
              <w:spacing w:line="360" w:lineRule="auto"/>
              <w:rPr>
                <w:rFonts w:cs="仿宋" w:asciiTheme="majorEastAsia" w:hAnsiTheme="majorEastAsia" w:eastAsiaTheme="majorEastAsia"/>
                <w:color w:val="auto"/>
                <w:highlight w:val="none"/>
              </w:rPr>
            </w:pPr>
          </w:p>
        </w:tc>
        <w:tc>
          <w:tcPr>
            <w:tcW w:w="1399" w:type="dxa"/>
            <w:tcBorders>
              <w:top w:val="single" w:color="auto" w:sz="4" w:space="0"/>
              <w:left w:val="single" w:color="auto" w:sz="4" w:space="0"/>
              <w:bottom w:val="single" w:color="auto" w:sz="4" w:space="0"/>
              <w:right w:val="single" w:color="auto" w:sz="4" w:space="0"/>
            </w:tcBorders>
          </w:tcPr>
          <w:p w14:paraId="4678945A">
            <w:pPr>
              <w:spacing w:line="360" w:lineRule="auto"/>
              <w:rPr>
                <w:rFonts w:cs="仿宋" w:asciiTheme="majorEastAsia" w:hAnsiTheme="majorEastAsia" w:eastAsiaTheme="majorEastAsia"/>
                <w:color w:val="auto"/>
                <w:highlight w:val="none"/>
              </w:rPr>
            </w:pPr>
          </w:p>
        </w:tc>
        <w:tc>
          <w:tcPr>
            <w:tcW w:w="1846" w:type="dxa"/>
            <w:tcBorders>
              <w:top w:val="single" w:color="auto" w:sz="4" w:space="0"/>
              <w:left w:val="single" w:color="auto" w:sz="4" w:space="0"/>
              <w:bottom w:val="single" w:color="auto" w:sz="4" w:space="0"/>
              <w:right w:val="single" w:color="auto" w:sz="4" w:space="0"/>
            </w:tcBorders>
          </w:tcPr>
          <w:p w14:paraId="42B59ED9">
            <w:pPr>
              <w:spacing w:line="360" w:lineRule="auto"/>
              <w:rPr>
                <w:rFonts w:cs="仿宋" w:asciiTheme="majorEastAsia" w:hAnsiTheme="majorEastAsia" w:eastAsiaTheme="majorEastAsia"/>
                <w:color w:val="auto"/>
                <w:highlight w:val="none"/>
              </w:rPr>
            </w:pPr>
          </w:p>
        </w:tc>
        <w:tc>
          <w:tcPr>
            <w:tcW w:w="1637" w:type="dxa"/>
            <w:tcBorders>
              <w:top w:val="single" w:color="auto" w:sz="4" w:space="0"/>
              <w:left w:val="single" w:color="auto" w:sz="4" w:space="0"/>
              <w:bottom w:val="single" w:color="auto" w:sz="4" w:space="0"/>
              <w:right w:val="single" w:color="auto" w:sz="4" w:space="0"/>
            </w:tcBorders>
          </w:tcPr>
          <w:p w14:paraId="4396272B">
            <w:pPr>
              <w:spacing w:line="360" w:lineRule="auto"/>
              <w:rPr>
                <w:rFonts w:cs="仿宋" w:asciiTheme="majorEastAsia" w:hAnsiTheme="majorEastAsia" w:eastAsiaTheme="majorEastAsia"/>
                <w:color w:val="auto"/>
                <w:highlight w:val="none"/>
              </w:rPr>
            </w:pPr>
          </w:p>
        </w:tc>
        <w:tc>
          <w:tcPr>
            <w:tcW w:w="1513" w:type="dxa"/>
            <w:tcBorders>
              <w:top w:val="single" w:color="auto" w:sz="4" w:space="0"/>
              <w:left w:val="single" w:color="auto" w:sz="4" w:space="0"/>
              <w:bottom w:val="single" w:color="auto" w:sz="4" w:space="0"/>
              <w:right w:val="single" w:color="auto" w:sz="4" w:space="0"/>
            </w:tcBorders>
          </w:tcPr>
          <w:p w14:paraId="17E26C58">
            <w:pPr>
              <w:spacing w:line="360" w:lineRule="auto"/>
              <w:rPr>
                <w:rFonts w:cs="仿宋" w:asciiTheme="majorEastAsia" w:hAnsiTheme="majorEastAsia" w:eastAsiaTheme="majorEastAsia"/>
                <w:color w:val="auto"/>
                <w:highlight w:val="none"/>
              </w:rPr>
            </w:pPr>
          </w:p>
        </w:tc>
        <w:tc>
          <w:tcPr>
            <w:tcW w:w="1500" w:type="dxa"/>
            <w:tcBorders>
              <w:top w:val="single" w:color="auto" w:sz="4" w:space="0"/>
              <w:left w:val="single" w:color="auto" w:sz="4" w:space="0"/>
              <w:bottom w:val="single" w:color="auto" w:sz="4" w:space="0"/>
              <w:right w:val="single" w:color="auto" w:sz="4" w:space="0"/>
            </w:tcBorders>
          </w:tcPr>
          <w:p w14:paraId="1E226F46">
            <w:pPr>
              <w:spacing w:line="360" w:lineRule="auto"/>
              <w:rPr>
                <w:rFonts w:cs="仿宋" w:asciiTheme="majorEastAsia" w:hAnsiTheme="majorEastAsia" w:eastAsiaTheme="majorEastAsia"/>
                <w:color w:val="auto"/>
                <w:highlight w:val="none"/>
              </w:rPr>
            </w:pPr>
          </w:p>
        </w:tc>
        <w:tc>
          <w:tcPr>
            <w:tcW w:w="1411" w:type="dxa"/>
            <w:tcBorders>
              <w:top w:val="single" w:color="auto" w:sz="4" w:space="0"/>
              <w:left w:val="single" w:color="auto" w:sz="4" w:space="0"/>
              <w:bottom w:val="single" w:color="auto" w:sz="4" w:space="0"/>
              <w:right w:val="single" w:color="auto" w:sz="4" w:space="0"/>
            </w:tcBorders>
          </w:tcPr>
          <w:p w14:paraId="193ED078">
            <w:pPr>
              <w:spacing w:line="360" w:lineRule="auto"/>
              <w:rPr>
                <w:rFonts w:cs="仿宋" w:asciiTheme="majorEastAsia" w:hAnsiTheme="majorEastAsia" w:eastAsiaTheme="majorEastAsia"/>
                <w:color w:val="auto"/>
                <w:highlight w:val="none"/>
              </w:rPr>
            </w:pPr>
          </w:p>
        </w:tc>
      </w:tr>
      <w:tr w14:paraId="14D164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11" w:type="dxa"/>
            <w:tcBorders>
              <w:top w:val="single" w:color="auto" w:sz="4" w:space="0"/>
              <w:left w:val="single" w:color="auto" w:sz="4" w:space="0"/>
              <w:bottom w:val="single" w:color="auto" w:sz="4" w:space="0"/>
              <w:right w:val="single" w:color="auto" w:sz="4" w:space="0"/>
            </w:tcBorders>
          </w:tcPr>
          <w:p w14:paraId="01435364">
            <w:pPr>
              <w:spacing w:line="360" w:lineRule="auto"/>
              <w:rPr>
                <w:rFonts w:cs="仿宋" w:asciiTheme="majorEastAsia" w:hAnsiTheme="majorEastAsia" w:eastAsiaTheme="majorEastAsia"/>
                <w:color w:val="auto"/>
                <w:highlight w:val="none"/>
              </w:rPr>
            </w:pPr>
          </w:p>
        </w:tc>
        <w:tc>
          <w:tcPr>
            <w:tcW w:w="1399" w:type="dxa"/>
            <w:tcBorders>
              <w:top w:val="single" w:color="auto" w:sz="4" w:space="0"/>
              <w:left w:val="single" w:color="auto" w:sz="4" w:space="0"/>
              <w:bottom w:val="single" w:color="auto" w:sz="4" w:space="0"/>
              <w:right w:val="single" w:color="auto" w:sz="4" w:space="0"/>
            </w:tcBorders>
          </w:tcPr>
          <w:p w14:paraId="5D082187">
            <w:pPr>
              <w:spacing w:line="360" w:lineRule="auto"/>
              <w:rPr>
                <w:rFonts w:cs="仿宋" w:asciiTheme="majorEastAsia" w:hAnsiTheme="majorEastAsia" w:eastAsiaTheme="majorEastAsia"/>
                <w:color w:val="auto"/>
                <w:highlight w:val="none"/>
              </w:rPr>
            </w:pPr>
          </w:p>
        </w:tc>
        <w:tc>
          <w:tcPr>
            <w:tcW w:w="1846" w:type="dxa"/>
            <w:tcBorders>
              <w:top w:val="single" w:color="auto" w:sz="4" w:space="0"/>
              <w:left w:val="single" w:color="auto" w:sz="4" w:space="0"/>
              <w:bottom w:val="single" w:color="auto" w:sz="4" w:space="0"/>
              <w:right w:val="single" w:color="auto" w:sz="4" w:space="0"/>
            </w:tcBorders>
          </w:tcPr>
          <w:p w14:paraId="2BFF5152">
            <w:pPr>
              <w:spacing w:line="360" w:lineRule="auto"/>
              <w:rPr>
                <w:rFonts w:cs="仿宋" w:asciiTheme="majorEastAsia" w:hAnsiTheme="majorEastAsia" w:eastAsiaTheme="majorEastAsia"/>
                <w:color w:val="auto"/>
                <w:highlight w:val="none"/>
              </w:rPr>
            </w:pPr>
          </w:p>
        </w:tc>
        <w:tc>
          <w:tcPr>
            <w:tcW w:w="1637" w:type="dxa"/>
            <w:tcBorders>
              <w:top w:val="single" w:color="auto" w:sz="4" w:space="0"/>
              <w:left w:val="single" w:color="auto" w:sz="4" w:space="0"/>
              <w:bottom w:val="single" w:color="auto" w:sz="4" w:space="0"/>
              <w:right w:val="single" w:color="auto" w:sz="4" w:space="0"/>
            </w:tcBorders>
          </w:tcPr>
          <w:p w14:paraId="67BFD5D0">
            <w:pPr>
              <w:spacing w:line="360" w:lineRule="auto"/>
              <w:rPr>
                <w:rFonts w:cs="仿宋" w:asciiTheme="majorEastAsia" w:hAnsiTheme="majorEastAsia" w:eastAsiaTheme="majorEastAsia"/>
                <w:color w:val="auto"/>
                <w:highlight w:val="none"/>
              </w:rPr>
            </w:pPr>
          </w:p>
        </w:tc>
        <w:tc>
          <w:tcPr>
            <w:tcW w:w="1513" w:type="dxa"/>
            <w:tcBorders>
              <w:top w:val="single" w:color="auto" w:sz="4" w:space="0"/>
              <w:left w:val="single" w:color="auto" w:sz="4" w:space="0"/>
              <w:bottom w:val="single" w:color="auto" w:sz="4" w:space="0"/>
              <w:right w:val="single" w:color="auto" w:sz="4" w:space="0"/>
            </w:tcBorders>
          </w:tcPr>
          <w:p w14:paraId="1C438AC9">
            <w:pPr>
              <w:spacing w:line="360" w:lineRule="auto"/>
              <w:rPr>
                <w:rFonts w:cs="仿宋" w:asciiTheme="majorEastAsia" w:hAnsiTheme="majorEastAsia" w:eastAsiaTheme="majorEastAsia"/>
                <w:color w:val="auto"/>
                <w:highlight w:val="none"/>
              </w:rPr>
            </w:pPr>
          </w:p>
        </w:tc>
        <w:tc>
          <w:tcPr>
            <w:tcW w:w="1500" w:type="dxa"/>
            <w:tcBorders>
              <w:top w:val="single" w:color="auto" w:sz="4" w:space="0"/>
              <w:left w:val="single" w:color="auto" w:sz="4" w:space="0"/>
              <w:bottom w:val="single" w:color="auto" w:sz="4" w:space="0"/>
              <w:right w:val="single" w:color="auto" w:sz="4" w:space="0"/>
            </w:tcBorders>
          </w:tcPr>
          <w:p w14:paraId="1A107E55">
            <w:pPr>
              <w:spacing w:line="360" w:lineRule="auto"/>
              <w:rPr>
                <w:rFonts w:cs="仿宋" w:asciiTheme="majorEastAsia" w:hAnsiTheme="majorEastAsia" w:eastAsiaTheme="majorEastAsia"/>
                <w:color w:val="auto"/>
                <w:highlight w:val="none"/>
              </w:rPr>
            </w:pPr>
          </w:p>
        </w:tc>
        <w:tc>
          <w:tcPr>
            <w:tcW w:w="1411" w:type="dxa"/>
            <w:tcBorders>
              <w:top w:val="single" w:color="auto" w:sz="4" w:space="0"/>
              <w:left w:val="single" w:color="auto" w:sz="4" w:space="0"/>
              <w:bottom w:val="single" w:color="auto" w:sz="4" w:space="0"/>
              <w:right w:val="single" w:color="auto" w:sz="4" w:space="0"/>
            </w:tcBorders>
          </w:tcPr>
          <w:p w14:paraId="189050E5">
            <w:pPr>
              <w:spacing w:line="360" w:lineRule="auto"/>
              <w:rPr>
                <w:rFonts w:cs="仿宋" w:asciiTheme="majorEastAsia" w:hAnsiTheme="majorEastAsia" w:eastAsiaTheme="majorEastAsia"/>
                <w:color w:val="auto"/>
                <w:highlight w:val="none"/>
              </w:rPr>
            </w:pPr>
          </w:p>
        </w:tc>
      </w:tr>
      <w:tr w14:paraId="696E1E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11" w:type="dxa"/>
            <w:tcBorders>
              <w:top w:val="single" w:color="auto" w:sz="4" w:space="0"/>
              <w:left w:val="single" w:color="auto" w:sz="4" w:space="0"/>
              <w:bottom w:val="single" w:color="auto" w:sz="4" w:space="0"/>
              <w:right w:val="single" w:color="auto" w:sz="4" w:space="0"/>
            </w:tcBorders>
          </w:tcPr>
          <w:p w14:paraId="1D543E1A">
            <w:pPr>
              <w:spacing w:line="360" w:lineRule="auto"/>
              <w:rPr>
                <w:rFonts w:cs="仿宋" w:asciiTheme="majorEastAsia" w:hAnsiTheme="majorEastAsia" w:eastAsiaTheme="majorEastAsia"/>
                <w:color w:val="auto"/>
                <w:highlight w:val="none"/>
              </w:rPr>
            </w:pPr>
          </w:p>
        </w:tc>
        <w:tc>
          <w:tcPr>
            <w:tcW w:w="1399" w:type="dxa"/>
            <w:tcBorders>
              <w:top w:val="single" w:color="auto" w:sz="4" w:space="0"/>
              <w:left w:val="single" w:color="auto" w:sz="4" w:space="0"/>
              <w:bottom w:val="single" w:color="auto" w:sz="4" w:space="0"/>
              <w:right w:val="single" w:color="auto" w:sz="4" w:space="0"/>
            </w:tcBorders>
          </w:tcPr>
          <w:p w14:paraId="19CEA83A">
            <w:pPr>
              <w:spacing w:line="360" w:lineRule="auto"/>
              <w:rPr>
                <w:rFonts w:cs="仿宋" w:asciiTheme="majorEastAsia" w:hAnsiTheme="majorEastAsia" w:eastAsiaTheme="majorEastAsia"/>
                <w:color w:val="auto"/>
                <w:highlight w:val="none"/>
              </w:rPr>
            </w:pPr>
          </w:p>
        </w:tc>
        <w:tc>
          <w:tcPr>
            <w:tcW w:w="1846" w:type="dxa"/>
            <w:tcBorders>
              <w:top w:val="single" w:color="auto" w:sz="4" w:space="0"/>
              <w:left w:val="single" w:color="auto" w:sz="4" w:space="0"/>
              <w:bottom w:val="single" w:color="auto" w:sz="4" w:space="0"/>
              <w:right w:val="single" w:color="auto" w:sz="4" w:space="0"/>
            </w:tcBorders>
          </w:tcPr>
          <w:p w14:paraId="7AE60E73">
            <w:pPr>
              <w:spacing w:line="360" w:lineRule="auto"/>
              <w:rPr>
                <w:rFonts w:cs="仿宋" w:asciiTheme="majorEastAsia" w:hAnsiTheme="majorEastAsia" w:eastAsiaTheme="majorEastAsia"/>
                <w:color w:val="auto"/>
                <w:highlight w:val="none"/>
              </w:rPr>
            </w:pPr>
          </w:p>
        </w:tc>
        <w:tc>
          <w:tcPr>
            <w:tcW w:w="1637" w:type="dxa"/>
            <w:tcBorders>
              <w:top w:val="single" w:color="auto" w:sz="4" w:space="0"/>
              <w:left w:val="single" w:color="auto" w:sz="4" w:space="0"/>
              <w:bottom w:val="single" w:color="auto" w:sz="4" w:space="0"/>
              <w:right w:val="single" w:color="auto" w:sz="4" w:space="0"/>
            </w:tcBorders>
          </w:tcPr>
          <w:p w14:paraId="582BE1C9">
            <w:pPr>
              <w:spacing w:line="360" w:lineRule="auto"/>
              <w:rPr>
                <w:rFonts w:cs="仿宋" w:asciiTheme="majorEastAsia" w:hAnsiTheme="majorEastAsia" w:eastAsiaTheme="majorEastAsia"/>
                <w:color w:val="auto"/>
                <w:highlight w:val="none"/>
              </w:rPr>
            </w:pPr>
          </w:p>
        </w:tc>
        <w:tc>
          <w:tcPr>
            <w:tcW w:w="1513" w:type="dxa"/>
            <w:tcBorders>
              <w:top w:val="single" w:color="auto" w:sz="4" w:space="0"/>
              <w:left w:val="single" w:color="auto" w:sz="4" w:space="0"/>
              <w:bottom w:val="single" w:color="auto" w:sz="4" w:space="0"/>
              <w:right w:val="single" w:color="auto" w:sz="4" w:space="0"/>
            </w:tcBorders>
          </w:tcPr>
          <w:p w14:paraId="7EFE0124">
            <w:pPr>
              <w:spacing w:line="360" w:lineRule="auto"/>
              <w:rPr>
                <w:rFonts w:cs="仿宋" w:asciiTheme="majorEastAsia" w:hAnsiTheme="majorEastAsia" w:eastAsiaTheme="majorEastAsia"/>
                <w:color w:val="auto"/>
                <w:highlight w:val="none"/>
              </w:rPr>
            </w:pPr>
          </w:p>
        </w:tc>
        <w:tc>
          <w:tcPr>
            <w:tcW w:w="1500" w:type="dxa"/>
            <w:tcBorders>
              <w:top w:val="single" w:color="auto" w:sz="4" w:space="0"/>
              <w:left w:val="single" w:color="auto" w:sz="4" w:space="0"/>
              <w:bottom w:val="single" w:color="auto" w:sz="4" w:space="0"/>
              <w:right w:val="single" w:color="auto" w:sz="4" w:space="0"/>
            </w:tcBorders>
          </w:tcPr>
          <w:p w14:paraId="5E6B1EAE">
            <w:pPr>
              <w:spacing w:line="360" w:lineRule="auto"/>
              <w:rPr>
                <w:rFonts w:cs="仿宋" w:asciiTheme="majorEastAsia" w:hAnsiTheme="majorEastAsia" w:eastAsiaTheme="majorEastAsia"/>
                <w:color w:val="auto"/>
                <w:highlight w:val="none"/>
              </w:rPr>
            </w:pPr>
          </w:p>
        </w:tc>
        <w:tc>
          <w:tcPr>
            <w:tcW w:w="1411" w:type="dxa"/>
            <w:tcBorders>
              <w:top w:val="single" w:color="auto" w:sz="4" w:space="0"/>
              <w:left w:val="single" w:color="auto" w:sz="4" w:space="0"/>
              <w:bottom w:val="single" w:color="auto" w:sz="4" w:space="0"/>
              <w:right w:val="single" w:color="auto" w:sz="4" w:space="0"/>
            </w:tcBorders>
          </w:tcPr>
          <w:p w14:paraId="39C1CCF0">
            <w:pPr>
              <w:spacing w:line="360" w:lineRule="auto"/>
              <w:rPr>
                <w:rFonts w:cs="仿宋" w:asciiTheme="majorEastAsia" w:hAnsiTheme="majorEastAsia" w:eastAsiaTheme="majorEastAsia"/>
                <w:color w:val="auto"/>
                <w:highlight w:val="none"/>
              </w:rPr>
            </w:pPr>
          </w:p>
        </w:tc>
      </w:tr>
      <w:tr w14:paraId="215FE7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11" w:type="dxa"/>
            <w:tcBorders>
              <w:top w:val="single" w:color="auto" w:sz="4" w:space="0"/>
              <w:left w:val="single" w:color="auto" w:sz="4" w:space="0"/>
              <w:bottom w:val="single" w:color="auto" w:sz="4" w:space="0"/>
              <w:right w:val="single" w:color="auto" w:sz="4" w:space="0"/>
            </w:tcBorders>
          </w:tcPr>
          <w:p w14:paraId="2A380942">
            <w:pPr>
              <w:spacing w:line="360" w:lineRule="auto"/>
              <w:rPr>
                <w:rFonts w:cs="仿宋" w:asciiTheme="majorEastAsia" w:hAnsiTheme="majorEastAsia" w:eastAsiaTheme="majorEastAsia"/>
                <w:color w:val="auto"/>
                <w:highlight w:val="none"/>
              </w:rPr>
            </w:pPr>
          </w:p>
        </w:tc>
        <w:tc>
          <w:tcPr>
            <w:tcW w:w="1399" w:type="dxa"/>
            <w:tcBorders>
              <w:top w:val="single" w:color="auto" w:sz="4" w:space="0"/>
              <w:left w:val="single" w:color="auto" w:sz="4" w:space="0"/>
              <w:bottom w:val="single" w:color="auto" w:sz="4" w:space="0"/>
              <w:right w:val="single" w:color="auto" w:sz="4" w:space="0"/>
            </w:tcBorders>
          </w:tcPr>
          <w:p w14:paraId="180EA6DF">
            <w:pPr>
              <w:spacing w:line="360" w:lineRule="auto"/>
              <w:rPr>
                <w:rFonts w:cs="仿宋" w:asciiTheme="majorEastAsia" w:hAnsiTheme="majorEastAsia" w:eastAsiaTheme="majorEastAsia"/>
                <w:color w:val="auto"/>
                <w:highlight w:val="none"/>
              </w:rPr>
            </w:pPr>
          </w:p>
        </w:tc>
        <w:tc>
          <w:tcPr>
            <w:tcW w:w="1846" w:type="dxa"/>
            <w:tcBorders>
              <w:top w:val="single" w:color="auto" w:sz="4" w:space="0"/>
              <w:left w:val="single" w:color="auto" w:sz="4" w:space="0"/>
              <w:bottom w:val="single" w:color="auto" w:sz="4" w:space="0"/>
              <w:right w:val="single" w:color="auto" w:sz="4" w:space="0"/>
            </w:tcBorders>
          </w:tcPr>
          <w:p w14:paraId="2F26D7FE">
            <w:pPr>
              <w:spacing w:line="360" w:lineRule="auto"/>
              <w:rPr>
                <w:rFonts w:cs="仿宋" w:asciiTheme="majorEastAsia" w:hAnsiTheme="majorEastAsia" w:eastAsiaTheme="majorEastAsia"/>
                <w:color w:val="auto"/>
                <w:highlight w:val="none"/>
              </w:rPr>
            </w:pPr>
          </w:p>
        </w:tc>
        <w:tc>
          <w:tcPr>
            <w:tcW w:w="1637" w:type="dxa"/>
            <w:tcBorders>
              <w:top w:val="single" w:color="auto" w:sz="4" w:space="0"/>
              <w:left w:val="single" w:color="auto" w:sz="4" w:space="0"/>
              <w:bottom w:val="single" w:color="auto" w:sz="4" w:space="0"/>
              <w:right w:val="single" w:color="auto" w:sz="4" w:space="0"/>
            </w:tcBorders>
          </w:tcPr>
          <w:p w14:paraId="666D2598">
            <w:pPr>
              <w:spacing w:line="360" w:lineRule="auto"/>
              <w:rPr>
                <w:rFonts w:cs="仿宋" w:asciiTheme="majorEastAsia" w:hAnsiTheme="majorEastAsia" w:eastAsiaTheme="majorEastAsia"/>
                <w:color w:val="auto"/>
                <w:highlight w:val="none"/>
              </w:rPr>
            </w:pPr>
          </w:p>
        </w:tc>
        <w:tc>
          <w:tcPr>
            <w:tcW w:w="1513" w:type="dxa"/>
            <w:tcBorders>
              <w:top w:val="single" w:color="auto" w:sz="4" w:space="0"/>
              <w:left w:val="single" w:color="auto" w:sz="4" w:space="0"/>
              <w:bottom w:val="single" w:color="auto" w:sz="4" w:space="0"/>
              <w:right w:val="single" w:color="auto" w:sz="4" w:space="0"/>
            </w:tcBorders>
          </w:tcPr>
          <w:p w14:paraId="37559039">
            <w:pPr>
              <w:spacing w:line="360" w:lineRule="auto"/>
              <w:rPr>
                <w:rFonts w:cs="仿宋" w:asciiTheme="majorEastAsia" w:hAnsiTheme="majorEastAsia" w:eastAsiaTheme="majorEastAsia"/>
                <w:color w:val="auto"/>
                <w:highlight w:val="none"/>
              </w:rPr>
            </w:pPr>
          </w:p>
        </w:tc>
        <w:tc>
          <w:tcPr>
            <w:tcW w:w="1500" w:type="dxa"/>
            <w:tcBorders>
              <w:top w:val="single" w:color="auto" w:sz="4" w:space="0"/>
              <w:left w:val="single" w:color="auto" w:sz="4" w:space="0"/>
              <w:bottom w:val="single" w:color="auto" w:sz="4" w:space="0"/>
              <w:right w:val="single" w:color="auto" w:sz="4" w:space="0"/>
            </w:tcBorders>
          </w:tcPr>
          <w:p w14:paraId="5674F83D">
            <w:pPr>
              <w:spacing w:line="360" w:lineRule="auto"/>
              <w:rPr>
                <w:rFonts w:cs="仿宋" w:asciiTheme="majorEastAsia" w:hAnsiTheme="majorEastAsia" w:eastAsiaTheme="majorEastAsia"/>
                <w:color w:val="auto"/>
                <w:highlight w:val="none"/>
              </w:rPr>
            </w:pPr>
          </w:p>
        </w:tc>
        <w:tc>
          <w:tcPr>
            <w:tcW w:w="1411" w:type="dxa"/>
            <w:tcBorders>
              <w:top w:val="single" w:color="auto" w:sz="4" w:space="0"/>
              <w:left w:val="single" w:color="auto" w:sz="4" w:space="0"/>
              <w:bottom w:val="single" w:color="auto" w:sz="4" w:space="0"/>
              <w:right w:val="single" w:color="auto" w:sz="4" w:space="0"/>
            </w:tcBorders>
          </w:tcPr>
          <w:p w14:paraId="5BC0A093">
            <w:pPr>
              <w:spacing w:line="360" w:lineRule="auto"/>
              <w:rPr>
                <w:rFonts w:cs="仿宋" w:asciiTheme="majorEastAsia" w:hAnsiTheme="majorEastAsia" w:eastAsiaTheme="majorEastAsia"/>
                <w:color w:val="auto"/>
                <w:highlight w:val="none"/>
              </w:rPr>
            </w:pPr>
          </w:p>
        </w:tc>
      </w:tr>
      <w:tr w14:paraId="735182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11" w:type="dxa"/>
            <w:tcBorders>
              <w:top w:val="single" w:color="auto" w:sz="4" w:space="0"/>
              <w:left w:val="single" w:color="auto" w:sz="4" w:space="0"/>
              <w:bottom w:val="single" w:color="auto" w:sz="4" w:space="0"/>
              <w:right w:val="single" w:color="auto" w:sz="4" w:space="0"/>
            </w:tcBorders>
          </w:tcPr>
          <w:p w14:paraId="4A3731B4">
            <w:pPr>
              <w:spacing w:line="360" w:lineRule="auto"/>
              <w:rPr>
                <w:rFonts w:cs="仿宋" w:asciiTheme="majorEastAsia" w:hAnsiTheme="majorEastAsia" w:eastAsiaTheme="majorEastAsia"/>
                <w:color w:val="auto"/>
                <w:highlight w:val="none"/>
              </w:rPr>
            </w:pPr>
          </w:p>
        </w:tc>
        <w:tc>
          <w:tcPr>
            <w:tcW w:w="1399" w:type="dxa"/>
            <w:tcBorders>
              <w:top w:val="single" w:color="auto" w:sz="4" w:space="0"/>
              <w:left w:val="single" w:color="auto" w:sz="4" w:space="0"/>
              <w:bottom w:val="single" w:color="auto" w:sz="4" w:space="0"/>
              <w:right w:val="single" w:color="auto" w:sz="4" w:space="0"/>
            </w:tcBorders>
          </w:tcPr>
          <w:p w14:paraId="5498D1D2">
            <w:pPr>
              <w:spacing w:line="360" w:lineRule="auto"/>
              <w:rPr>
                <w:rFonts w:cs="仿宋" w:asciiTheme="majorEastAsia" w:hAnsiTheme="majorEastAsia" w:eastAsiaTheme="majorEastAsia"/>
                <w:color w:val="auto"/>
                <w:highlight w:val="none"/>
              </w:rPr>
            </w:pPr>
          </w:p>
        </w:tc>
        <w:tc>
          <w:tcPr>
            <w:tcW w:w="1846" w:type="dxa"/>
            <w:tcBorders>
              <w:top w:val="single" w:color="auto" w:sz="4" w:space="0"/>
              <w:left w:val="single" w:color="auto" w:sz="4" w:space="0"/>
              <w:bottom w:val="single" w:color="auto" w:sz="4" w:space="0"/>
              <w:right w:val="single" w:color="auto" w:sz="4" w:space="0"/>
            </w:tcBorders>
          </w:tcPr>
          <w:p w14:paraId="399F33BA">
            <w:pPr>
              <w:spacing w:line="360" w:lineRule="auto"/>
              <w:rPr>
                <w:rFonts w:cs="仿宋" w:asciiTheme="majorEastAsia" w:hAnsiTheme="majorEastAsia" w:eastAsiaTheme="majorEastAsia"/>
                <w:color w:val="auto"/>
                <w:highlight w:val="none"/>
              </w:rPr>
            </w:pPr>
          </w:p>
        </w:tc>
        <w:tc>
          <w:tcPr>
            <w:tcW w:w="1637" w:type="dxa"/>
            <w:tcBorders>
              <w:top w:val="single" w:color="auto" w:sz="4" w:space="0"/>
              <w:left w:val="single" w:color="auto" w:sz="4" w:space="0"/>
              <w:bottom w:val="single" w:color="auto" w:sz="4" w:space="0"/>
              <w:right w:val="single" w:color="auto" w:sz="4" w:space="0"/>
            </w:tcBorders>
          </w:tcPr>
          <w:p w14:paraId="7A477362">
            <w:pPr>
              <w:spacing w:line="360" w:lineRule="auto"/>
              <w:rPr>
                <w:rFonts w:cs="仿宋" w:asciiTheme="majorEastAsia" w:hAnsiTheme="majorEastAsia" w:eastAsiaTheme="majorEastAsia"/>
                <w:color w:val="auto"/>
                <w:highlight w:val="none"/>
              </w:rPr>
            </w:pPr>
          </w:p>
        </w:tc>
        <w:tc>
          <w:tcPr>
            <w:tcW w:w="1513" w:type="dxa"/>
            <w:tcBorders>
              <w:top w:val="single" w:color="auto" w:sz="4" w:space="0"/>
              <w:left w:val="single" w:color="auto" w:sz="4" w:space="0"/>
              <w:bottom w:val="single" w:color="auto" w:sz="4" w:space="0"/>
              <w:right w:val="single" w:color="auto" w:sz="4" w:space="0"/>
            </w:tcBorders>
          </w:tcPr>
          <w:p w14:paraId="101D23BC">
            <w:pPr>
              <w:spacing w:line="360" w:lineRule="auto"/>
              <w:rPr>
                <w:rFonts w:cs="仿宋" w:asciiTheme="majorEastAsia" w:hAnsiTheme="majorEastAsia" w:eastAsiaTheme="majorEastAsia"/>
                <w:color w:val="auto"/>
                <w:highlight w:val="none"/>
              </w:rPr>
            </w:pPr>
          </w:p>
        </w:tc>
        <w:tc>
          <w:tcPr>
            <w:tcW w:w="1500" w:type="dxa"/>
            <w:tcBorders>
              <w:top w:val="single" w:color="auto" w:sz="4" w:space="0"/>
              <w:left w:val="single" w:color="auto" w:sz="4" w:space="0"/>
              <w:bottom w:val="single" w:color="auto" w:sz="4" w:space="0"/>
              <w:right w:val="single" w:color="auto" w:sz="4" w:space="0"/>
            </w:tcBorders>
          </w:tcPr>
          <w:p w14:paraId="33533F5B">
            <w:pPr>
              <w:spacing w:line="360" w:lineRule="auto"/>
              <w:rPr>
                <w:rFonts w:cs="仿宋" w:asciiTheme="majorEastAsia" w:hAnsiTheme="majorEastAsia" w:eastAsiaTheme="majorEastAsia"/>
                <w:color w:val="auto"/>
                <w:highlight w:val="none"/>
              </w:rPr>
            </w:pPr>
          </w:p>
        </w:tc>
        <w:tc>
          <w:tcPr>
            <w:tcW w:w="1411" w:type="dxa"/>
            <w:tcBorders>
              <w:top w:val="single" w:color="auto" w:sz="4" w:space="0"/>
              <w:left w:val="single" w:color="auto" w:sz="4" w:space="0"/>
              <w:bottom w:val="single" w:color="auto" w:sz="4" w:space="0"/>
              <w:right w:val="single" w:color="auto" w:sz="4" w:space="0"/>
            </w:tcBorders>
          </w:tcPr>
          <w:p w14:paraId="6FFA9F8F">
            <w:pPr>
              <w:spacing w:line="360" w:lineRule="auto"/>
              <w:rPr>
                <w:rFonts w:cs="仿宋" w:asciiTheme="majorEastAsia" w:hAnsiTheme="majorEastAsia" w:eastAsiaTheme="majorEastAsia"/>
                <w:color w:val="auto"/>
                <w:highlight w:val="none"/>
              </w:rPr>
            </w:pPr>
          </w:p>
        </w:tc>
      </w:tr>
      <w:tr w14:paraId="6E9DDF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11" w:type="dxa"/>
            <w:tcBorders>
              <w:top w:val="single" w:color="auto" w:sz="4" w:space="0"/>
              <w:left w:val="single" w:color="auto" w:sz="4" w:space="0"/>
              <w:bottom w:val="single" w:color="auto" w:sz="4" w:space="0"/>
              <w:right w:val="single" w:color="auto" w:sz="4" w:space="0"/>
            </w:tcBorders>
          </w:tcPr>
          <w:p w14:paraId="6677B538">
            <w:pPr>
              <w:spacing w:line="360" w:lineRule="auto"/>
              <w:rPr>
                <w:rFonts w:cs="仿宋" w:asciiTheme="majorEastAsia" w:hAnsiTheme="majorEastAsia" w:eastAsiaTheme="majorEastAsia"/>
                <w:color w:val="auto"/>
                <w:highlight w:val="none"/>
              </w:rPr>
            </w:pPr>
          </w:p>
        </w:tc>
        <w:tc>
          <w:tcPr>
            <w:tcW w:w="1399" w:type="dxa"/>
            <w:tcBorders>
              <w:top w:val="single" w:color="auto" w:sz="4" w:space="0"/>
              <w:left w:val="single" w:color="auto" w:sz="4" w:space="0"/>
              <w:bottom w:val="single" w:color="auto" w:sz="4" w:space="0"/>
              <w:right w:val="single" w:color="auto" w:sz="4" w:space="0"/>
            </w:tcBorders>
          </w:tcPr>
          <w:p w14:paraId="4DD6CF94">
            <w:pPr>
              <w:spacing w:line="360" w:lineRule="auto"/>
              <w:rPr>
                <w:rFonts w:cs="仿宋" w:asciiTheme="majorEastAsia" w:hAnsiTheme="majorEastAsia" w:eastAsiaTheme="majorEastAsia"/>
                <w:color w:val="auto"/>
                <w:highlight w:val="none"/>
              </w:rPr>
            </w:pPr>
          </w:p>
        </w:tc>
        <w:tc>
          <w:tcPr>
            <w:tcW w:w="1846" w:type="dxa"/>
            <w:tcBorders>
              <w:top w:val="single" w:color="auto" w:sz="4" w:space="0"/>
              <w:left w:val="single" w:color="auto" w:sz="4" w:space="0"/>
              <w:bottom w:val="single" w:color="auto" w:sz="4" w:space="0"/>
              <w:right w:val="single" w:color="auto" w:sz="4" w:space="0"/>
            </w:tcBorders>
          </w:tcPr>
          <w:p w14:paraId="0A46F1C4">
            <w:pPr>
              <w:spacing w:line="360" w:lineRule="auto"/>
              <w:rPr>
                <w:rFonts w:cs="仿宋" w:asciiTheme="majorEastAsia" w:hAnsiTheme="majorEastAsia" w:eastAsiaTheme="majorEastAsia"/>
                <w:color w:val="auto"/>
                <w:highlight w:val="none"/>
              </w:rPr>
            </w:pPr>
          </w:p>
        </w:tc>
        <w:tc>
          <w:tcPr>
            <w:tcW w:w="1637" w:type="dxa"/>
            <w:tcBorders>
              <w:top w:val="single" w:color="auto" w:sz="4" w:space="0"/>
              <w:left w:val="single" w:color="auto" w:sz="4" w:space="0"/>
              <w:bottom w:val="single" w:color="auto" w:sz="4" w:space="0"/>
              <w:right w:val="single" w:color="auto" w:sz="4" w:space="0"/>
            </w:tcBorders>
          </w:tcPr>
          <w:p w14:paraId="5BAE9A2B">
            <w:pPr>
              <w:spacing w:line="360" w:lineRule="auto"/>
              <w:rPr>
                <w:rFonts w:cs="仿宋" w:asciiTheme="majorEastAsia" w:hAnsiTheme="majorEastAsia" w:eastAsiaTheme="majorEastAsia"/>
                <w:color w:val="auto"/>
                <w:highlight w:val="none"/>
              </w:rPr>
            </w:pPr>
          </w:p>
        </w:tc>
        <w:tc>
          <w:tcPr>
            <w:tcW w:w="1513" w:type="dxa"/>
            <w:tcBorders>
              <w:top w:val="single" w:color="auto" w:sz="4" w:space="0"/>
              <w:left w:val="single" w:color="auto" w:sz="4" w:space="0"/>
              <w:bottom w:val="single" w:color="auto" w:sz="4" w:space="0"/>
              <w:right w:val="single" w:color="auto" w:sz="4" w:space="0"/>
            </w:tcBorders>
          </w:tcPr>
          <w:p w14:paraId="02D17363">
            <w:pPr>
              <w:spacing w:line="360" w:lineRule="auto"/>
              <w:rPr>
                <w:rFonts w:cs="仿宋" w:asciiTheme="majorEastAsia" w:hAnsiTheme="majorEastAsia" w:eastAsiaTheme="majorEastAsia"/>
                <w:color w:val="auto"/>
                <w:highlight w:val="none"/>
              </w:rPr>
            </w:pPr>
          </w:p>
        </w:tc>
        <w:tc>
          <w:tcPr>
            <w:tcW w:w="1500" w:type="dxa"/>
            <w:tcBorders>
              <w:top w:val="single" w:color="auto" w:sz="4" w:space="0"/>
              <w:left w:val="single" w:color="auto" w:sz="4" w:space="0"/>
              <w:bottom w:val="single" w:color="auto" w:sz="4" w:space="0"/>
              <w:right w:val="single" w:color="auto" w:sz="4" w:space="0"/>
            </w:tcBorders>
          </w:tcPr>
          <w:p w14:paraId="51759F0C">
            <w:pPr>
              <w:spacing w:line="360" w:lineRule="auto"/>
              <w:rPr>
                <w:rFonts w:cs="仿宋" w:asciiTheme="majorEastAsia" w:hAnsiTheme="majorEastAsia" w:eastAsiaTheme="majorEastAsia"/>
                <w:color w:val="auto"/>
                <w:highlight w:val="none"/>
              </w:rPr>
            </w:pPr>
          </w:p>
        </w:tc>
        <w:tc>
          <w:tcPr>
            <w:tcW w:w="1411" w:type="dxa"/>
            <w:tcBorders>
              <w:top w:val="single" w:color="auto" w:sz="4" w:space="0"/>
              <w:left w:val="single" w:color="auto" w:sz="4" w:space="0"/>
              <w:bottom w:val="single" w:color="auto" w:sz="4" w:space="0"/>
              <w:right w:val="single" w:color="auto" w:sz="4" w:space="0"/>
            </w:tcBorders>
          </w:tcPr>
          <w:p w14:paraId="1534170A">
            <w:pPr>
              <w:spacing w:line="360" w:lineRule="auto"/>
              <w:rPr>
                <w:rFonts w:cs="仿宋" w:asciiTheme="majorEastAsia" w:hAnsiTheme="majorEastAsia" w:eastAsiaTheme="majorEastAsia"/>
                <w:color w:val="auto"/>
                <w:highlight w:val="none"/>
              </w:rPr>
            </w:pPr>
          </w:p>
        </w:tc>
      </w:tr>
      <w:tr w14:paraId="3BA30C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11" w:type="dxa"/>
            <w:tcBorders>
              <w:top w:val="single" w:color="auto" w:sz="4" w:space="0"/>
              <w:left w:val="single" w:color="auto" w:sz="4" w:space="0"/>
              <w:bottom w:val="single" w:color="auto" w:sz="4" w:space="0"/>
              <w:right w:val="single" w:color="auto" w:sz="4" w:space="0"/>
            </w:tcBorders>
          </w:tcPr>
          <w:p w14:paraId="03481048">
            <w:pPr>
              <w:spacing w:line="360" w:lineRule="auto"/>
              <w:rPr>
                <w:rFonts w:cs="仿宋" w:asciiTheme="majorEastAsia" w:hAnsiTheme="majorEastAsia" w:eastAsiaTheme="majorEastAsia"/>
                <w:color w:val="auto"/>
                <w:highlight w:val="none"/>
              </w:rPr>
            </w:pPr>
          </w:p>
        </w:tc>
        <w:tc>
          <w:tcPr>
            <w:tcW w:w="1399" w:type="dxa"/>
            <w:tcBorders>
              <w:top w:val="single" w:color="auto" w:sz="4" w:space="0"/>
              <w:left w:val="single" w:color="auto" w:sz="4" w:space="0"/>
              <w:bottom w:val="single" w:color="auto" w:sz="4" w:space="0"/>
              <w:right w:val="single" w:color="auto" w:sz="4" w:space="0"/>
            </w:tcBorders>
          </w:tcPr>
          <w:p w14:paraId="4BB7DBD3">
            <w:pPr>
              <w:spacing w:line="360" w:lineRule="auto"/>
              <w:rPr>
                <w:rFonts w:cs="仿宋" w:asciiTheme="majorEastAsia" w:hAnsiTheme="majorEastAsia" w:eastAsiaTheme="majorEastAsia"/>
                <w:color w:val="auto"/>
                <w:highlight w:val="none"/>
              </w:rPr>
            </w:pPr>
          </w:p>
        </w:tc>
        <w:tc>
          <w:tcPr>
            <w:tcW w:w="1846" w:type="dxa"/>
            <w:tcBorders>
              <w:top w:val="single" w:color="auto" w:sz="4" w:space="0"/>
              <w:left w:val="single" w:color="auto" w:sz="4" w:space="0"/>
              <w:bottom w:val="single" w:color="auto" w:sz="4" w:space="0"/>
              <w:right w:val="single" w:color="auto" w:sz="4" w:space="0"/>
            </w:tcBorders>
          </w:tcPr>
          <w:p w14:paraId="393B1BA8">
            <w:pPr>
              <w:spacing w:line="360" w:lineRule="auto"/>
              <w:rPr>
                <w:rFonts w:cs="仿宋" w:asciiTheme="majorEastAsia" w:hAnsiTheme="majorEastAsia" w:eastAsiaTheme="majorEastAsia"/>
                <w:color w:val="auto"/>
                <w:highlight w:val="none"/>
              </w:rPr>
            </w:pPr>
          </w:p>
        </w:tc>
        <w:tc>
          <w:tcPr>
            <w:tcW w:w="1637" w:type="dxa"/>
            <w:tcBorders>
              <w:top w:val="single" w:color="auto" w:sz="4" w:space="0"/>
              <w:left w:val="single" w:color="auto" w:sz="4" w:space="0"/>
              <w:bottom w:val="single" w:color="auto" w:sz="4" w:space="0"/>
              <w:right w:val="single" w:color="auto" w:sz="4" w:space="0"/>
            </w:tcBorders>
          </w:tcPr>
          <w:p w14:paraId="2D6B4610">
            <w:pPr>
              <w:spacing w:line="360" w:lineRule="auto"/>
              <w:rPr>
                <w:rFonts w:cs="仿宋" w:asciiTheme="majorEastAsia" w:hAnsiTheme="majorEastAsia" w:eastAsiaTheme="majorEastAsia"/>
                <w:color w:val="auto"/>
                <w:highlight w:val="none"/>
              </w:rPr>
            </w:pPr>
          </w:p>
        </w:tc>
        <w:tc>
          <w:tcPr>
            <w:tcW w:w="1513" w:type="dxa"/>
            <w:tcBorders>
              <w:top w:val="single" w:color="auto" w:sz="4" w:space="0"/>
              <w:left w:val="single" w:color="auto" w:sz="4" w:space="0"/>
              <w:bottom w:val="single" w:color="auto" w:sz="4" w:space="0"/>
              <w:right w:val="single" w:color="auto" w:sz="4" w:space="0"/>
            </w:tcBorders>
          </w:tcPr>
          <w:p w14:paraId="762324A4">
            <w:pPr>
              <w:spacing w:line="360" w:lineRule="auto"/>
              <w:rPr>
                <w:rFonts w:cs="仿宋" w:asciiTheme="majorEastAsia" w:hAnsiTheme="majorEastAsia" w:eastAsiaTheme="majorEastAsia"/>
                <w:color w:val="auto"/>
                <w:highlight w:val="none"/>
              </w:rPr>
            </w:pPr>
          </w:p>
        </w:tc>
        <w:tc>
          <w:tcPr>
            <w:tcW w:w="1500" w:type="dxa"/>
            <w:tcBorders>
              <w:top w:val="single" w:color="auto" w:sz="4" w:space="0"/>
              <w:left w:val="single" w:color="auto" w:sz="4" w:space="0"/>
              <w:bottom w:val="single" w:color="auto" w:sz="4" w:space="0"/>
              <w:right w:val="single" w:color="auto" w:sz="4" w:space="0"/>
            </w:tcBorders>
          </w:tcPr>
          <w:p w14:paraId="0A8D3064">
            <w:pPr>
              <w:spacing w:line="360" w:lineRule="auto"/>
              <w:rPr>
                <w:rFonts w:cs="仿宋" w:asciiTheme="majorEastAsia" w:hAnsiTheme="majorEastAsia" w:eastAsiaTheme="majorEastAsia"/>
                <w:color w:val="auto"/>
                <w:highlight w:val="none"/>
              </w:rPr>
            </w:pPr>
          </w:p>
        </w:tc>
        <w:tc>
          <w:tcPr>
            <w:tcW w:w="1411" w:type="dxa"/>
            <w:tcBorders>
              <w:top w:val="single" w:color="auto" w:sz="4" w:space="0"/>
              <w:left w:val="single" w:color="auto" w:sz="4" w:space="0"/>
              <w:bottom w:val="single" w:color="auto" w:sz="4" w:space="0"/>
              <w:right w:val="single" w:color="auto" w:sz="4" w:space="0"/>
            </w:tcBorders>
          </w:tcPr>
          <w:p w14:paraId="10AC03B0">
            <w:pPr>
              <w:spacing w:line="360" w:lineRule="auto"/>
              <w:rPr>
                <w:rFonts w:cs="仿宋" w:asciiTheme="majorEastAsia" w:hAnsiTheme="majorEastAsia" w:eastAsiaTheme="majorEastAsia"/>
                <w:color w:val="auto"/>
                <w:highlight w:val="none"/>
              </w:rPr>
            </w:pPr>
          </w:p>
        </w:tc>
      </w:tr>
      <w:tr w14:paraId="13B174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11" w:type="dxa"/>
            <w:tcBorders>
              <w:top w:val="single" w:color="auto" w:sz="4" w:space="0"/>
              <w:left w:val="single" w:color="auto" w:sz="4" w:space="0"/>
              <w:bottom w:val="single" w:color="auto" w:sz="4" w:space="0"/>
              <w:right w:val="single" w:color="auto" w:sz="4" w:space="0"/>
            </w:tcBorders>
          </w:tcPr>
          <w:p w14:paraId="213A0E76">
            <w:pPr>
              <w:spacing w:line="360" w:lineRule="auto"/>
              <w:rPr>
                <w:rFonts w:cs="仿宋" w:asciiTheme="majorEastAsia" w:hAnsiTheme="majorEastAsia" w:eastAsiaTheme="majorEastAsia"/>
                <w:color w:val="auto"/>
                <w:highlight w:val="none"/>
              </w:rPr>
            </w:pPr>
          </w:p>
        </w:tc>
        <w:tc>
          <w:tcPr>
            <w:tcW w:w="1399" w:type="dxa"/>
            <w:tcBorders>
              <w:top w:val="single" w:color="auto" w:sz="4" w:space="0"/>
              <w:left w:val="single" w:color="auto" w:sz="4" w:space="0"/>
              <w:bottom w:val="single" w:color="auto" w:sz="4" w:space="0"/>
              <w:right w:val="single" w:color="auto" w:sz="4" w:space="0"/>
            </w:tcBorders>
          </w:tcPr>
          <w:p w14:paraId="0B943F54">
            <w:pPr>
              <w:spacing w:line="360" w:lineRule="auto"/>
              <w:rPr>
                <w:rFonts w:cs="仿宋" w:asciiTheme="majorEastAsia" w:hAnsiTheme="majorEastAsia" w:eastAsiaTheme="majorEastAsia"/>
                <w:color w:val="auto"/>
                <w:highlight w:val="none"/>
              </w:rPr>
            </w:pPr>
          </w:p>
        </w:tc>
        <w:tc>
          <w:tcPr>
            <w:tcW w:w="1846" w:type="dxa"/>
            <w:tcBorders>
              <w:top w:val="single" w:color="auto" w:sz="4" w:space="0"/>
              <w:left w:val="single" w:color="auto" w:sz="4" w:space="0"/>
              <w:bottom w:val="single" w:color="auto" w:sz="4" w:space="0"/>
              <w:right w:val="single" w:color="auto" w:sz="4" w:space="0"/>
            </w:tcBorders>
          </w:tcPr>
          <w:p w14:paraId="45DFABE4">
            <w:pPr>
              <w:spacing w:line="360" w:lineRule="auto"/>
              <w:rPr>
                <w:rFonts w:cs="仿宋" w:asciiTheme="majorEastAsia" w:hAnsiTheme="majorEastAsia" w:eastAsiaTheme="majorEastAsia"/>
                <w:color w:val="auto"/>
                <w:highlight w:val="none"/>
              </w:rPr>
            </w:pPr>
          </w:p>
        </w:tc>
        <w:tc>
          <w:tcPr>
            <w:tcW w:w="1637" w:type="dxa"/>
            <w:tcBorders>
              <w:top w:val="single" w:color="auto" w:sz="4" w:space="0"/>
              <w:left w:val="single" w:color="auto" w:sz="4" w:space="0"/>
              <w:bottom w:val="single" w:color="auto" w:sz="4" w:space="0"/>
              <w:right w:val="single" w:color="auto" w:sz="4" w:space="0"/>
            </w:tcBorders>
          </w:tcPr>
          <w:p w14:paraId="222CAB8F">
            <w:pPr>
              <w:spacing w:line="360" w:lineRule="auto"/>
              <w:rPr>
                <w:rFonts w:cs="仿宋" w:asciiTheme="majorEastAsia" w:hAnsiTheme="majorEastAsia" w:eastAsiaTheme="majorEastAsia"/>
                <w:color w:val="auto"/>
                <w:highlight w:val="none"/>
              </w:rPr>
            </w:pPr>
          </w:p>
        </w:tc>
        <w:tc>
          <w:tcPr>
            <w:tcW w:w="1513" w:type="dxa"/>
            <w:tcBorders>
              <w:top w:val="single" w:color="auto" w:sz="4" w:space="0"/>
              <w:left w:val="single" w:color="auto" w:sz="4" w:space="0"/>
              <w:bottom w:val="single" w:color="auto" w:sz="4" w:space="0"/>
              <w:right w:val="single" w:color="auto" w:sz="4" w:space="0"/>
            </w:tcBorders>
          </w:tcPr>
          <w:p w14:paraId="7F96C002">
            <w:pPr>
              <w:spacing w:line="360" w:lineRule="auto"/>
              <w:rPr>
                <w:rFonts w:cs="仿宋" w:asciiTheme="majorEastAsia" w:hAnsiTheme="majorEastAsia" w:eastAsiaTheme="majorEastAsia"/>
                <w:color w:val="auto"/>
                <w:highlight w:val="none"/>
              </w:rPr>
            </w:pPr>
          </w:p>
        </w:tc>
        <w:tc>
          <w:tcPr>
            <w:tcW w:w="1500" w:type="dxa"/>
            <w:tcBorders>
              <w:top w:val="single" w:color="auto" w:sz="4" w:space="0"/>
              <w:left w:val="single" w:color="auto" w:sz="4" w:space="0"/>
              <w:bottom w:val="single" w:color="auto" w:sz="4" w:space="0"/>
              <w:right w:val="single" w:color="auto" w:sz="4" w:space="0"/>
            </w:tcBorders>
          </w:tcPr>
          <w:p w14:paraId="5A8446EF">
            <w:pPr>
              <w:spacing w:line="360" w:lineRule="auto"/>
              <w:rPr>
                <w:rFonts w:cs="仿宋" w:asciiTheme="majorEastAsia" w:hAnsiTheme="majorEastAsia" w:eastAsiaTheme="majorEastAsia"/>
                <w:color w:val="auto"/>
                <w:highlight w:val="none"/>
              </w:rPr>
            </w:pPr>
          </w:p>
        </w:tc>
        <w:tc>
          <w:tcPr>
            <w:tcW w:w="1411" w:type="dxa"/>
            <w:tcBorders>
              <w:top w:val="single" w:color="auto" w:sz="4" w:space="0"/>
              <w:left w:val="single" w:color="auto" w:sz="4" w:space="0"/>
              <w:bottom w:val="single" w:color="auto" w:sz="4" w:space="0"/>
              <w:right w:val="single" w:color="auto" w:sz="4" w:space="0"/>
            </w:tcBorders>
          </w:tcPr>
          <w:p w14:paraId="3CAEE737">
            <w:pPr>
              <w:spacing w:line="360" w:lineRule="auto"/>
              <w:rPr>
                <w:rFonts w:cs="仿宋" w:asciiTheme="majorEastAsia" w:hAnsiTheme="majorEastAsia" w:eastAsiaTheme="majorEastAsia"/>
                <w:color w:val="auto"/>
                <w:highlight w:val="none"/>
              </w:rPr>
            </w:pPr>
          </w:p>
        </w:tc>
      </w:tr>
      <w:tr w14:paraId="2FCE5E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11" w:type="dxa"/>
            <w:tcBorders>
              <w:top w:val="single" w:color="auto" w:sz="4" w:space="0"/>
              <w:left w:val="single" w:color="auto" w:sz="4" w:space="0"/>
              <w:bottom w:val="single" w:color="auto" w:sz="4" w:space="0"/>
              <w:right w:val="single" w:color="auto" w:sz="4" w:space="0"/>
            </w:tcBorders>
          </w:tcPr>
          <w:p w14:paraId="34068FE1">
            <w:pPr>
              <w:spacing w:line="360" w:lineRule="auto"/>
              <w:rPr>
                <w:rFonts w:cs="仿宋" w:asciiTheme="majorEastAsia" w:hAnsiTheme="majorEastAsia" w:eastAsiaTheme="majorEastAsia"/>
                <w:color w:val="auto"/>
                <w:highlight w:val="none"/>
              </w:rPr>
            </w:pPr>
          </w:p>
        </w:tc>
        <w:tc>
          <w:tcPr>
            <w:tcW w:w="1399" w:type="dxa"/>
            <w:tcBorders>
              <w:top w:val="single" w:color="auto" w:sz="4" w:space="0"/>
              <w:left w:val="single" w:color="auto" w:sz="4" w:space="0"/>
              <w:bottom w:val="single" w:color="auto" w:sz="4" w:space="0"/>
              <w:right w:val="single" w:color="auto" w:sz="4" w:space="0"/>
            </w:tcBorders>
          </w:tcPr>
          <w:p w14:paraId="398F7418">
            <w:pPr>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w:t>
            </w:r>
          </w:p>
        </w:tc>
        <w:tc>
          <w:tcPr>
            <w:tcW w:w="1846" w:type="dxa"/>
            <w:tcBorders>
              <w:top w:val="single" w:color="auto" w:sz="4" w:space="0"/>
              <w:left w:val="single" w:color="auto" w:sz="4" w:space="0"/>
              <w:bottom w:val="single" w:color="auto" w:sz="4" w:space="0"/>
              <w:right w:val="single" w:color="auto" w:sz="4" w:space="0"/>
            </w:tcBorders>
          </w:tcPr>
          <w:p w14:paraId="27E51BA7">
            <w:pPr>
              <w:spacing w:line="360" w:lineRule="auto"/>
              <w:rPr>
                <w:rFonts w:cs="仿宋" w:asciiTheme="majorEastAsia" w:hAnsiTheme="majorEastAsia" w:eastAsiaTheme="majorEastAsia"/>
                <w:color w:val="auto"/>
                <w:highlight w:val="none"/>
              </w:rPr>
            </w:pPr>
          </w:p>
        </w:tc>
        <w:tc>
          <w:tcPr>
            <w:tcW w:w="1637" w:type="dxa"/>
            <w:tcBorders>
              <w:top w:val="single" w:color="auto" w:sz="4" w:space="0"/>
              <w:left w:val="single" w:color="auto" w:sz="4" w:space="0"/>
              <w:bottom w:val="single" w:color="auto" w:sz="4" w:space="0"/>
              <w:right w:val="single" w:color="auto" w:sz="4" w:space="0"/>
            </w:tcBorders>
          </w:tcPr>
          <w:p w14:paraId="6179A645">
            <w:pPr>
              <w:spacing w:line="360" w:lineRule="auto"/>
              <w:rPr>
                <w:rFonts w:cs="仿宋" w:asciiTheme="majorEastAsia" w:hAnsiTheme="majorEastAsia" w:eastAsiaTheme="majorEastAsia"/>
                <w:color w:val="auto"/>
                <w:highlight w:val="none"/>
              </w:rPr>
            </w:pPr>
          </w:p>
        </w:tc>
        <w:tc>
          <w:tcPr>
            <w:tcW w:w="1513" w:type="dxa"/>
            <w:tcBorders>
              <w:top w:val="single" w:color="auto" w:sz="4" w:space="0"/>
              <w:left w:val="single" w:color="auto" w:sz="4" w:space="0"/>
              <w:bottom w:val="single" w:color="auto" w:sz="4" w:space="0"/>
              <w:right w:val="single" w:color="auto" w:sz="4" w:space="0"/>
            </w:tcBorders>
          </w:tcPr>
          <w:p w14:paraId="3C8147DA">
            <w:pPr>
              <w:spacing w:line="360" w:lineRule="auto"/>
              <w:rPr>
                <w:rFonts w:cs="仿宋" w:asciiTheme="majorEastAsia" w:hAnsiTheme="majorEastAsia" w:eastAsiaTheme="majorEastAsia"/>
                <w:color w:val="auto"/>
                <w:highlight w:val="none"/>
              </w:rPr>
            </w:pPr>
          </w:p>
        </w:tc>
        <w:tc>
          <w:tcPr>
            <w:tcW w:w="1500" w:type="dxa"/>
            <w:tcBorders>
              <w:top w:val="single" w:color="auto" w:sz="4" w:space="0"/>
              <w:left w:val="single" w:color="auto" w:sz="4" w:space="0"/>
              <w:bottom w:val="single" w:color="auto" w:sz="4" w:space="0"/>
              <w:right w:val="single" w:color="auto" w:sz="4" w:space="0"/>
            </w:tcBorders>
          </w:tcPr>
          <w:p w14:paraId="7988BAE1">
            <w:pPr>
              <w:spacing w:line="360" w:lineRule="auto"/>
              <w:rPr>
                <w:rFonts w:cs="仿宋" w:asciiTheme="majorEastAsia" w:hAnsiTheme="majorEastAsia" w:eastAsiaTheme="majorEastAsia"/>
                <w:color w:val="auto"/>
                <w:highlight w:val="none"/>
              </w:rPr>
            </w:pPr>
          </w:p>
        </w:tc>
        <w:tc>
          <w:tcPr>
            <w:tcW w:w="1411" w:type="dxa"/>
            <w:tcBorders>
              <w:top w:val="single" w:color="auto" w:sz="4" w:space="0"/>
              <w:left w:val="single" w:color="auto" w:sz="4" w:space="0"/>
              <w:bottom w:val="single" w:color="auto" w:sz="4" w:space="0"/>
              <w:right w:val="single" w:color="auto" w:sz="4" w:space="0"/>
            </w:tcBorders>
          </w:tcPr>
          <w:p w14:paraId="2A306CA0">
            <w:pPr>
              <w:spacing w:line="360" w:lineRule="auto"/>
              <w:rPr>
                <w:rFonts w:cs="仿宋" w:asciiTheme="majorEastAsia" w:hAnsiTheme="majorEastAsia" w:eastAsiaTheme="majorEastAsia"/>
                <w:color w:val="auto"/>
                <w:highlight w:val="none"/>
              </w:rPr>
            </w:pPr>
          </w:p>
        </w:tc>
      </w:tr>
      <w:tr w14:paraId="1209D6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jc w:val="center"/>
        </w:trPr>
        <w:tc>
          <w:tcPr>
            <w:tcW w:w="811" w:type="dxa"/>
            <w:tcBorders>
              <w:top w:val="single" w:color="auto" w:sz="4" w:space="0"/>
              <w:left w:val="single" w:color="auto" w:sz="4" w:space="0"/>
              <w:bottom w:val="single" w:color="auto" w:sz="4" w:space="0"/>
              <w:right w:val="single" w:color="auto" w:sz="4" w:space="0"/>
            </w:tcBorders>
          </w:tcPr>
          <w:p w14:paraId="099DDDD9">
            <w:pPr>
              <w:spacing w:line="360" w:lineRule="auto"/>
              <w:rPr>
                <w:rFonts w:cs="仿宋" w:asciiTheme="majorEastAsia" w:hAnsiTheme="majorEastAsia" w:eastAsiaTheme="majorEastAsia"/>
                <w:color w:val="auto"/>
                <w:sz w:val="24"/>
                <w:highlight w:val="none"/>
              </w:rPr>
            </w:pPr>
          </w:p>
        </w:tc>
        <w:tc>
          <w:tcPr>
            <w:tcW w:w="4882" w:type="dxa"/>
            <w:gridSpan w:val="3"/>
            <w:tcBorders>
              <w:top w:val="single" w:color="auto" w:sz="4" w:space="0"/>
              <w:left w:val="single" w:color="auto" w:sz="4" w:space="0"/>
              <w:bottom w:val="single" w:color="auto" w:sz="4" w:space="0"/>
              <w:right w:val="single" w:color="auto" w:sz="4" w:space="0"/>
            </w:tcBorders>
          </w:tcPr>
          <w:p w14:paraId="58E2F8F3">
            <w:pP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总报价：</w:t>
            </w:r>
          </w:p>
        </w:tc>
        <w:tc>
          <w:tcPr>
            <w:tcW w:w="1513" w:type="dxa"/>
            <w:tcBorders>
              <w:top w:val="single" w:color="auto" w:sz="4" w:space="0"/>
              <w:left w:val="single" w:color="auto" w:sz="4" w:space="0"/>
              <w:bottom w:val="single" w:color="auto" w:sz="4" w:space="0"/>
              <w:right w:val="single" w:color="auto" w:sz="4" w:space="0"/>
            </w:tcBorders>
          </w:tcPr>
          <w:p w14:paraId="41273180">
            <w:pPr>
              <w:spacing w:line="360" w:lineRule="auto"/>
              <w:rPr>
                <w:rFonts w:cs="仿宋" w:asciiTheme="majorEastAsia" w:hAnsiTheme="majorEastAsia" w:eastAsiaTheme="majorEastAsia"/>
                <w:color w:val="auto"/>
                <w:highlight w:val="none"/>
              </w:rPr>
            </w:pPr>
          </w:p>
        </w:tc>
        <w:tc>
          <w:tcPr>
            <w:tcW w:w="1500" w:type="dxa"/>
            <w:tcBorders>
              <w:top w:val="single" w:color="auto" w:sz="4" w:space="0"/>
              <w:left w:val="single" w:color="auto" w:sz="4" w:space="0"/>
              <w:bottom w:val="single" w:color="auto" w:sz="4" w:space="0"/>
              <w:right w:val="single" w:color="auto" w:sz="4" w:space="0"/>
            </w:tcBorders>
          </w:tcPr>
          <w:p w14:paraId="56F5ADF7">
            <w:pPr>
              <w:spacing w:line="360" w:lineRule="auto"/>
              <w:rPr>
                <w:rFonts w:cs="仿宋" w:asciiTheme="majorEastAsia" w:hAnsiTheme="majorEastAsia" w:eastAsiaTheme="majorEastAsia"/>
                <w:color w:val="auto"/>
                <w:highlight w:val="none"/>
              </w:rPr>
            </w:pPr>
          </w:p>
        </w:tc>
        <w:tc>
          <w:tcPr>
            <w:tcW w:w="1411" w:type="dxa"/>
            <w:tcBorders>
              <w:top w:val="single" w:color="auto" w:sz="4" w:space="0"/>
              <w:left w:val="single" w:color="auto" w:sz="4" w:space="0"/>
              <w:bottom w:val="single" w:color="auto" w:sz="4" w:space="0"/>
              <w:right w:val="single" w:color="auto" w:sz="4" w:space="0"/>
            </w:tcBorders>
          </w:tcPr>
          <w:p w14:paraId="5078B44A">
            <w:pPr>
              <w:spacing w:line="360" w:lineRule="auto"/>
              <w:rPr>
                <w:rFonts w:cs="仿宋" w:asciiTheme="majorEastAsia" w:hAnsiTheme="majorEastAsia" w:eastAsiaTheme="majorEastAsia"/>
                <w:color w:val="auto"/>
                <w:highlight w:val="none"/>
              </w:rPr>
            </w:pPr>
          </w:p>
        </w:tc>
      </w:tr>
    </w:tbl>
    <w:p w14:paraId="0AC5B413">
      <w:pPr>
        <w:pStyle w:val="9"/>
        <w:spacing w:line="360" w:lineRule="auto"/>
        <w:ind w:left="-178" w:leftChars="-85"/>
        <w:rPr>
          <w:rFonts w:cs="仿宋" w:asciiTheme="majorEastAsia" w:hAnsiTheme="majorEastAsia" w:eastAsiaTheme="majorEastAsia"/>
          <w:color w:val="auto"/>
          <w:highlight w:val="none"/>
        </w:rPr>
      </w:pPr>
    </w:p>
    <w:p w14:paraId="64C81110">
      <w:pPr>
        <w:pStyle w:val="9"/>
        <w:spacing w:line="360" w:lineRule="auto"/>
        <w:ind w:left="-178" w:leftChars="-85"/>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注：</w:t>
      </w:r>
    </w:p>
    <w:p w14:paraId="07C9E5ED">
      <w:pPr>
        <w:pStyle w:val="9"/>
        <w:spacing w:line="360" w:lineRule="auto"/>
        <w:ind w:left="-178" w:leftChars="-85"/>
        <w:rPr>
          <w:rFonts w:cs="仿宋" w:asciiTheme="majorEastAsia" w:hAnsiTheme="majorEastAsia"/>
          <w:color w:val="auto"/>
          <w:highlight w:val="none"/>
        </w:rPr>
      </w:pPr>
      <w:r>
        <w:rPr>
          <w:rFonts w:hint="eastAsia" w:cs="仿宋" w:asciiTheme="majorEastAsia" w:hAnsiTheme="majorEastAsia" w:eastAsiaTheme="majorEastAsia"/>
          <w:color w:val="auto"/>
          <w:highlight w:val="none"/>
        </w:rPr>
        <w:t>1.投标人根据“</w:t>
      </w:r>
      <w:r>
        <w:rPr>
          <w:rFonts w:hint="eastAsia" w:cs="宋体" w:eastAsiaTheme="majorEastAsia"/>
          <w:color w:val="auto"/>
          <w:highlight w:val="none"/>
        </w:rPr>
        <w:t>采购清单</w:t>
      </w:r>
      <w:r>
        <w:rPr>
          <w:rFonts w:hint="eastAsia" w:cs="仿宋" w:asciiTheme="majorEastAsia" w:hAnsiTheme="majorEastAsia" w:eastAsiaTheme="majorEastAsia"/>
          <w:color w:val="auto"/>
          <w:highlight w:val="none"/>
        </w:rPr>
        <w:t>”</w:t>
      </w:r>
      <w:r>
        <w:rPr>
          <w:rFonts w:hint="eastAsia" w:cs="宋体"/>
          <w:color w:val="auto"/>
          <w:highlight w:val="none"/>
        </w:rPr>
        <w:t>内容填写以上表格，内容不得缺项、漏项。</w:t>
      </w:r>
    </w:p>
    <w:p w14:paraId="0394C12F">
      <w:pPr>
        <w:pStyle w:val="9"/>
        <w:spacing w:line="360" w:lineRule="auto"/>
        <w:ind w:left="-178" w:leftChars="-85"/>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2.本表格仅供参考，投标人可根据项目实际情况扩展表格。</w:t>
      </w:r>
    </w:p>
    <w:p w14:paraId="0769FD6E">
      <w:pPr>
        <w:pStyle w:val="9"/>
        <w:spacing w:line="360" w:lineRule="auto"/>
        <w:ind w:left="-178" w:leftChars="-85"/>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3.总报价应与开标一览表的投标报价一致。</w:t>
      </w:r>
    </w:p>
    <w:p w14:paraId="5707D04E">
      <w:pPr>
        <w:spacing w:line="360" w:lineRule="auto"/>
        <w:ind w:left="3780" w:leftChars="18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法定代表人或其授权委托人（签名或印章）：        </w:t>
      </w:r>
    </w:p>
    <w:p w14:paraId="4BD4E7AC">
      <w:pPr>
        <w:spacing w:line="360" w:lineRule="auto"/>
        <w:ind w:left="3780" w:leftChars="18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投标人（盖章）：         </w:t>
      </w:r>
    </w:p>
    <w:p w14:paraId="78E56206">
      <w:pPr>
        <w:pStyle w:val="37"/>
        <w:keepNext w:val="0"/>
        <w:pageBreakBefore w:val="0"/>
        <w:tabs>
          <w:tab w:val="clear" w:pos="720"/>
        </w:tabs>
        <w:snapToGrid w:val="0"/>
        <w:spacing w:before="120" w:after="120"/>
        <w:ind w:left="3780" w:leftChars="1800"/>
        <w:jc w:val="both"/>
        <w:outlineLvl w:val="9"/>
        <w:rPr>
          <w:rFonts w:cs="仿宋" w:asciiTheme="majorEastAsia" w:hAnsiTheme="majorEastAsia" w:eastAsiaTheme="majorEastAsia"/>
          <w:b w:val="0"/>
          <w:color w:val="auto"/>
          <w:kern w:val="2"/>
          <w:sz w:val="24"/>
          <w:szCs w:val="24"/>
          <w:highlight w:val="none"/>
        </w:rPr>
      </w:pPr>
      <w:r>
        <w:rPr>
          <w:rFonts w:hint="eastAsia" w:cs="仿宋" w:asciiTheme="majorEastAsia" w:hAnsiTheme="majorEastAsia" w:eastAsiaTheme="majorEastAsia"/>
          <w:b w:val="0"/>
          <w:color w:val="auto"/>
          <w:kern w:val="2"/>
          <w:sz w:val="24"/>
          <w:szCs w:val="24"/>
          <w:highlight w:val="none"/>
        </w:rPr>
        <w:t xml:space="preserve">日  期：  </w:t>
      </w:r>
    </w:p>
    <w:p w14:paraId="24AA7785">
      <w:pPr>
        <w:pStyle w:val="37"/>
        <w:keepNext w:val="0"/>
        <w:pageBreakBefore w:val="0"/>
        <w:tabs>
          <w:tab w:val="clear" w:pos="720"/>
        </w:tabs>
        <w:snapToGrid w:val="0"/>
        <w:spacing w:before="120" w:after="120"/>
        <w:outlineLvl w:val="9"/>
        <w:rPr>
          <w:rFonts w:cs="仿宋" w:asciiTheme="majorEastAsia" w:hAnsiTheme="majorEastAsia" w:eastAsiaTheme="majorEastAsia"/>
          <w:color w:val="auto"/>
          <w:sz w:val="32"/>
          <w:szCs w:val="32"/>
          <w:highlight w:val="none"/>
        </w:rPr>
      </w:pPr>
      <w:r>
        <w:rPr>
          <w:rFonts w:hint="eastAsia" w:cs="仿宋" w:asciiTheme="majorEastAsia" w:hAnsiTheme="majorEastAsia" w:eastAsiaTheme="majorEastAsia"/>
          <w:b w:val="0"/>
          <w:color w:val="auto"/>
          <w:kern w:val="2"/>
          <w:sz w:val="24"/>
          <w:szCs w:val="24"/>
          <w:highlight w:val="none"/>
        </w:rPr>
        <w:br w:type="page"/>
      </w:r>
      <w:r>
        <w:rPr>
          <w:rFonts w:hint="eastAsia" w:cs="仿宋" w:asciiTheme="majorEastAsia" w:hAnsiTheme="majorEastAsia" w:eastAsiaTheme="majorEastAsia"/>
          <w:color w:val="auto"/>
          <w:kern w:val="2"/>
          <w:sz w:val="32"/>
          <w:szCs w:val="32"/>
          <w:highlight w:val="none"/>
        </w:rPr>
        <w:t>三、</w:t>
      </w:r>
      <w:r>
        <w:rPr>
          <w:rFonts w:hint="eastAsia" w:cs="仿宋" w:asciiTheme="majorEastAsia" w:hAnsiTheme="majorEastAsia" w:eastAsiaTheme="majorEastAsia"/>
          <w:color w:val="auto"/>
          <w:sz w:val="32"/>
          <w:szCs w:val="32"/>
          <w:highlight w:val="none"/>
        </w:rPr>
        <w:t>中小企业声明函</w:t>
      </w:r>
    </w:p>
    <w:p w14:paraId="20D41267">
      <w:pPr>
        <w:widowControl/>
        <w:spacing w:line="360" w:lineRule="auto"/>
        <w:ind w:firstLine="120" w:firstLineChars="50"/>
        <w:jc w:val="left"/>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w:t>
      </w:r>
    </w:p>
    <w:p w14:paraId="225DE4D0">
      <w:pPr>
        <w:spacing w:line="360" w:lineRule="auto"/>
        <w:jc w:val="center"/>
        <w:rPr>
          <w:rFonts w:cs="仿宋" w:asciiTheme="majorEastAsia" w:hAnsiTheme="majorEastAsia" w:eastAsiaTheme="majorEastAsia"/>
          <w:b/>
          <w:color w:val="auto"/>
          <w:sz w:val="32"/>
          <w:szCs w:val="32"/>
          <w:highlight w:val="none"/>
        </w:rPr>
      </w:pPr>
      <w:r>
        <w:rPr>
          <w:rFonts w:hint="eastAsia" w:cs="仿宋" w:asciiTheme="majorEastAsia" w:hAnsiTheme="majorEastAsia" w:eastAsiaTheme="majorEastAsia"/>
          <w:b/>
          <w:color w:val="auto"/>
          <w:sz w:val="32"/>
          <w:szCs w:val="32"/>
          <w:highlight w:val="none"/>
        </w:rPr>
        <w:t>中小企业声明函（货物）</w:t>
      </w:r>
    </w:p>
    <w:p w14:paraId="5FC739AE">
      <w:pPr>
        <w:spacing w:line="360" w:lineRule="auto"/>
        <w:ind w:firstLine="482" w:firstLineChars="200"/>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（对相关制造商信息了解不充分，或者不能确定相关信息真实、准确的，不建议出具《中小企业声明函》。）</w:t>
      </w:r>
    </w:p>
    <w:p w14:paraId="67CA10CC">
      <w:pP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本公司郑重声明，根据《政府采购促进中小企业发展管理办法》（财库﹝2020﹞46 号）的规定，本公司参加</w:t>
      </w:r>
      <w:r>
        <w:rPr>
          <w:rFonts w:hint="eastAsia" w:cs="仿宋" w:asciiTheme="majorEastAsia" w:hAnsiTheme="majorEastAsia" w:eastAsiaTheme="majorEastAsia"/>
          <w:color w:val="auto"/>
          <w:sz w:val="24"/>
          <w:highlight w:val="none"/>
          <w:u w:val="single"/>
        </w:rPr>
        <w:t xml:space="preserve"> （单位名称） </w:t>
      </w:r>
      <w:r>
        <w:rPr>
          <w:rFonts w:hint="eastAsia" w:cs="仿宋" w:asciiTheme="majorEastAsia" w:hAnsiTheme="majorEastAsia" w:eastAsiaTheme="majorEastAsia"/>
          <w:color w:val="auto"/>
          <w:sz w:val="24"/>
          <w:highlight w:val="none"/>
        </w:rPr>
        <w:t>的</w:t>
      </w:r>
      <w:r>
        <w:rPr>
          <w:rFonts w:hint="eastAsia" w:cs="仿宋" w:asciiTheme="majorEastAsia" w:hAnsiTheme="majorEastAsia" w:eastAsiaTheme="majorEastAsia"/>
          <w:color w:val="auto"/>
          <w:sz w:val="24"/>
          <w:highlight w:val="none"/>
          <w:u w:val="single"/>
        </w:rPr>
        <w:t xml:space="preserve"> （项目名称） </w:t>
      </w:r>
      <w:r>
        <w:rPr>
          <w:rFonts w:hint="eastAsia" w:cs="仿宋" w:asciiTheme="majorEastAsia" w:hAnsiTheme="majorEastAsia" w:eastAsiaTheme="majorEastAsia"/>
          <w:color w:val="auto"/>
          <w:sz w:val="24"/>
          <w:highlight w:val="none"/>
        </w:rPr>
        <w:t>采购活动，提供的货物全部由符合政策要求的中小企业制造。相关企业的具体情况如下：</w:t>
      </w:r>
    </w:p>
    <w:p w14:paraId="22191C65">
      <w:pP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w:t>
      </w:r>
      <w:r>
        <w:rPr>
          <w:rFonts w:hint="eastAsia" w:cs="仿宋" w:asciiTheme="majorEastAsia" w:hAnsiTheme="majorEastAsia" w:eastAsiaTheme="majorEastAsia"/>
          <w:color w:val="auto"/>
          <w:sz w:val="24"/>
          <w:highlight w:val="none"/>
          <w:u w:val="single"/>
        </w:rPr>
        <w:t xml:space="preserve"> 空气源热泵机组（1#楼）</w:t>
      </w:r>
      <w:r>
        <w:rPr>
          <w:rFonts w:hint="eastAsia" w:cs="仿宋" w:asciiTheme="majorEastAsia" w:hAnsiTheme="majorEastAsia" w:eastAsiaTheme="majorEastAsia"/>
          <w:color w:val="auto"/>
          <w:sz w:val="24"/>
          <w:highlight w:val="none"/>
        </w:rPr>
        <w:t xml:space="preserve">，属于 </w:t>
      </w:r>
      <w:r>
        <w:rPr>
          <w:rFonts w:hint="eastAsia" w:cs="仿宋" w:asciiTheme="majorEastAsia" w:hAnsiTheme="majorEastAsia" w:eastAsiaTheme="majorEastAsia"/>
          <w:color w:val="auto"/>
          <w:sz w:val="24"/>
          <w:highlight w:val="none"/>
          <w:u w:val="single"/>
        </w:rPr>
        <w:t xml:space="preserve">工业 </w:t>
      </w:r>
      <w:r>
        <w:rPr>
          <w:rFonts w:hint="eastAsia" w:cs="仿宋" w:asciiTheme="majorEastAsia" w:hAnsiTheme="majorEastAsia" w:eastAsiaTheme="majorEastAsia"/>
          <w:color w:val="auto"/>
          <w:sz w:val="24"/>
          <w:highlight w:val="none"/>
        </w:rPr>
        <w:t>行业 ；制造商为</w:t>
      </w:r>
      <w:r>
        <w:rPr>
          <w:rFonts w:hint="eastAsia" w:cs="仿宋" w:asciiTheme="majorEastAsia" w:hAnsiTheme="majorEastAsia" w:eastAsiaTheme="majorEastAsia"/>
          <w:color w:val="auto"/>
          <w:sz w:val="24"/>
          <w:highlight w:val="none"/>
          <w:u w:val="single"/>
        </w:rPr>
        <w:t xml:space="preserve"> （企业名称）</w:t>
      </w:r>
      <w:r>
        <w:rPr>
          <w:rFonts w:hint="eastAsia" w:cs="仿宋" w:asciiTheme="majorEastAsia" w:hAnsiTheme="majorEastAsia" w:eastAsiaTheme="majorEastAsia"/>
          <w:color w:val="auto"/>
          <w:sz w:val="24"/>
          <w:highlight w:val="none"/>
        </w:rPr>
        <w:t xml:space="preserve"> ，从业人员</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人，营业收入为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万元，资产总额为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万元，属于</w:t>
      </w:r>
      <w:r>
        <w:rPr>
          <w:rFonts w:hint="eastAsia" w:cs="仿宋" w:asciiTheme="majorEastAsia" w:hAnsiTheme="majorEastAsia" w:eastAsiaTheme="majorEastAsia"/>
          <w:color w:val="auto"/>
          <w:sz w:val="24"/>
          <w:highlight w:val="none"/>
          <w:u w:val="single"/>
        </w:rPr>
        <w:t xml:space="preserve"> （中型企业、小型企业、微型企业）</w:t>
      </w:r>
      <w:r>
        <w:rPr>
          <w:rFonts w:hint="eastAsia" w:cs="仿宋" w:asciiTheme="majorEastAsia" w:hAnsiTheme="majorEastAsia" w:eastAsiaTheme="majorEastAsia"/>
          <w:color w:val="auto"/>
          <w:sz w:val="24"/>
          <w:highlight w:val="none"/>
        </w:rPr>
        <w:t xml:space="preserve"> ；</w:t>
      </w:r>
    </w:p>
    <w:p w14:paraId="3374A5EB">
      <w:pP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highlight w:val="none"/>
          <w:u w:val="single"/>
        </w:rPr>
        <w:t xml:space="preserve"> 循环泵（</w:t>
      </w:r>
      <w:r>
        <w:rPr>
          <w:rFonts w:hint="eastAsia" w:cs="仿宋" w:asciiTheme="majorEastAsia" w:hAnsiTheme="majorEastAsia" w:eastAsiaTheme="majorEastAsia"/>
          <w:color w:val="auto"/>
          <w:sz w:val="24"/>
          <w:highlight w:val="none"/>
          <w:u w:val="single"/>
        </w:rPr>
        <w:t>1#楼</w:t>
      </w:r>
      <w:r>
        <w:rPr>
          <w:rFonts w:hint="eastAsia" w:cs="仿宋" w:asciiTheme="majorEastAsia" w:hAnsiTheme="majorEastAsia" w:eastAsiaTheme="majorEastAsia"/>
          <w:color w:val="auto"/>
          <w:highlight w:val="none"/>
          <w:u w:val="single"/>
        </w:rPr>
        <w:t>）</w:t>
      </w:r>
      <w:r>
        <w:rPr>
          <w:rFonts w:hint="eastAsia" w:cs="仿宋" w:asciiTheme="majorEastAsia" w:hAnsiTheme="majorEastAsia" w:eastAsiaTheme="majorEastAsia"/>
          <w:color w:val="auto"/>
          <w:sz w:val="24"/>
          <w:highlight w:val="none"/>
        </w:rPr>
        <w:t xml:space="preserve"> ，属于</w:t>
      </w:r>
      <w:r>
        <w:rPr>
          <w:rFonts w:hint="eastAsia" w:cs="仿宋" w:asciiTheme="majorEastAsia" w:hAnsiTheme="majorEastAsia" w:eastAsiaTheme="majorEastAsia"/>
          <w:color w:val="auto"/>
          <w:sz w:val="24"/>
          <w:highlight w:val="none"/>
          <w:u w:val="single"/>
        </w:rPr>
        <w:t xml:space="preserve"> 工业 </w:t>
      </w:r>
      <w:r>
        <w:rPr>
          <w:rFonts w:hint="eastAsia" w:cs="仿宋" w:asciiTheme="majorEastAsia" w:hAnsiTheme="majorEastAsia" w:eastAsiaTheme="majorEastAsia"/>
          <w:color w:val="auto"/>
          <w:sz w:val="24"/>
          <w:highlight w:val="none"/>
        </w:rPr>
        <w:t>行业 ；制造商为</w:t>
      </w:r>
      <w:r>
        <w:rPr>
          <w:rFonts w:hint="eastAsia" w:cs="仿宋" w:asciiTheme="majorEastAsia" w:hAnsiTheme="majorEastAsia" w:eastAsiaTheme="majorEastAsia"/>
          <w:color w:val="auto"/>
          <w:sz w:val="24"/>
          <w:highlight w:val="none"/>
          <w:u w:val="single"/>
        </w:rPr>
        <w:t xml:space="preserve"> （企业名称）</w:t>
      </w:r>
      <w:r>
        <w:rPr>
          <w:rFonts w:hint="eastAsia" w:cs="仿宋" w:asciiTheme="majorEastAsia" w:hAnsiTheme="majorEastAsia" w:eastAsiaTheme="majorEastAsia"/>
          <w:color w:val="auto"/>
          <w:sz w:val="24"/>
          <w:highlight w:val="none"/>
        </w:rPr>
        <w:t xml:space="preserve"> ，从业人员</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人，营业收入为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万元，资产总额为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万元，属于</w:t>
      </w:r>
      <w:r>
        <w:rPr>
          <w:rFonts w:hint="eastAsia" w:cs="仿宋" w:asciiTheme="majorEastAsia" w:hAnsiTheme="majorEastAsia" w:eastAsiaTheme="majorEastAsia"/>
          <w:color w:val="auto"/>
          <w:sz w:val="24"/>
          <w:highlight w:val="none"/>
          <w:u w:val="single"/>
        </w:rPr>
        <w:t xml:space="preserve"> （中型企业、小型企业、微型企业）</w:t>
      </w:r>
      <w:r>
        <w:rPr>
          <w:rFonts w:hint="eastAsia" w:cs="仿宋" w:asciiTheme="majorEastAsia" w:hAnsiTheme="majorEastAsia" w:eastAsiaTheme="majorEastAsia"/>
          <w:color w:val="auto"/>
          <w:sz w:val="24"/>
          <w:highlight w:val="none"/>
        </w:rPr>
        <w:t xml:space="preserve"> ；</w:t>
      </w:r>
    </w:p>
    <w:p w14:paraId="74D81B70">
      <w:pP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w:t>
      </w:r>
      <w:r>
        <w:rPr>
          <w:rFonts w:hint="eastAsia" w:cs="仿宋" w:asciiTheme="majorEastAsia" w:hAnsiTheme="majorEastAsia" w:eastAsiaTheme="majorEastAsia"/>
          <w:color w:val="auto"/>
          <w:sz w:val="24"/>
          <w:highlight w:val="none"/>
          <w:u w:val="single"/>
        </w:rPr>
        <w:t xml:space="preserve"> 空气源热泵机组（3#楼）</w:t>
      </w:r>
      <w:r>
        <w:rPr>
          <w:rFonts w:hint="eastAsia" w:cs="仿宋" w:asciiTheme="majorEastAsia" w:hAnsiTheme="majorEastAsia" w:eastAsiaTheme="majorEastAsia"/>
          <w:color w:val="auto"/>
          <w:sz w:val="24"/>
          <w:highlight w:val="none"/>
        </w:rPr>
        <w:t xml:space="preserve">，属于 </w:t>
      </w:r>
      <w:r>
        <w:rPr>
          <w:rFonts w:hint="eastAsia" w:cs="仿宋" w:asciiTheme="majorEastAsia" w:hAnsiTheme="majorEastAsia" w:eastAsiaTheme="majorEastAsia"/>
          <w:color w:val="auto"/>
          <w:sz w:val="24"/>
          <w:highlight w:val="none"/>
          <w:u w:val="single"/>
        </w:rPr>
        <w:t xml:space="preserve">工业 </w:t>
      </w:r>
      <w:r>
        <w:rPr>
          <w:rFonts w:hint="eastAsia" w:cs="仿宋" w:asciiTheme="majorEastAsia" w:hAnsiTheme="majorEastAsia" w:eastAsiaTheme="majorEastAsia"/>
          <w:color w:val="auto"/>
          <w:sz w:val="24"/>
          <w:highlight w:val="none"/>
        </w:rPr>
        <w:t>行业 ；制造商为</w:t>
      </w:r>
      <w:r>
        <w:rPr>
          <w:rFonts w:hint="eastAsia" w:cs="仿宋" w:asciiTheme="majorEastAsia" w:hAnsiTheme="majorEastAsia" w:eastAsiaTheme="majorEastAsia"/>
          <w:color w:val="auto"/>
          <w:sz w:val="24"/>
          <w:highlight w:val="none"/>
          <w:u w:val="single"/>
        </w:rPr>
        <w:t xml:space="preserve"> （企业名称）</w:t>
      </w:r>
      <w:r>
        <w:rPr>
          <w:rFonts w:hint="eastAsia" w:cs="仿宋" w:asciiTheme="majorEastAsia" w:hAnsiTheme="majorEastAsia" w:eastAsiaTheme="majorEastAsia"/>
          <w:color w:val="auto"/>
          <w:sz w:val="24"/>
          <w:highlight w:val="none"/>
        </w:rPr>
        <w:t xml:space="preserve"> ，从业人员</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人，营业收入为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万元，资产总额为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万元，属于</w:t>
      </w:r>
      <w:r>
        <w:rPr>
          <w:rFonts w:hint="eastAsia" w:cs="仿宋" w:asciiTheme="majorEastAsia" w:hAnsiTheme="majorEastAsia" w:eastAsiaTheme="majorEastAsia"/>
          <w:color w:val="auto"/>
          <w:sz w:val="24"/>
          <w:highlight w:val="none"/>
          <w:u w:val="single"/>
        </w:rPr>
        <w:t xml:space="preserve"> （中型企业、小型企业、微型企业）</w:t>
      </w:r>
      <w:r>
        <w:rPr>
          <w:rFonts w:hint="eastAsia" w:cs="仿宋" w:asciiTheme="majorEastAsia" w:hAnsiTheme="majorEastAsia" w:eastAsiaTheme="majorEastAsia"/>
          <w:color w:val="auto"/>
          <w:sz w:val="24"/>
          <w:highlight w:val="none"/>
        </w:rPr>
        <w:t xml:space="preserve"> ；</w:t>
      </w:r>
    </w:p>
    <w:p w14:paraId="2B51A5CB">
      <w:pPr>
        <w:pStyle w:val="2"/>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w:t>
      </w:r>
      <w:r>
        <w:rPr>
          <w:rFonts w:hint="eastAsia" w:cs="仿宋" w:asciiTheme="majorEastAsia" w:hAnsiTheme="majorEastAsia" w:eastAsiaTheme="majorEastAsia"/>
          <w:color w:val="auto"/>
          <w:highlight w:val="none"/>
          <w:u w:val="single"/>
        </w:rPr>
        <w:t xml:space="preserve"> </w:t>
      </w:r>
      <w:r>
        <w:rPr>
          <w:rFonts w:hint="eastAsia" w:cs="仿宋" w:asciiTheme="majorEastAsia" w:hAnsiTheme="majorEastAsia" w:eastAsiaTheme="majorEastAsia"/>
          <w:snapToGrid/>
          <w:color w:val="auto"/>
          <w:kern w:val="2"/>
          <w:sz w:val="24"/>
          <w:szCs w:val="24"/>
          <w:highlight w:val="none"/>
          <w:u w:val="single"/>
        </w:rPr>
        <w:t>循环泵（3#楼）</w:t>
      </w:r>
      <w:r>
        <w:rPr>
          <w:rFonts w:hint="eastAsia" w:cs="仿宋" w:asciiTheme="majorEastAsia" w:hAnsiTheme="majorEastAsia" w:eastAsiaTheme="majorEastAsia"/>
          <w:color w:val="auto"/>
          <w:sz w:val="24"/>
          <w:highlight w:val="none"/>
        </w:rPr>
        <w:t xml:space="preserve"> ，属于</w:t>
      </w:r>
      <w:r>
        <w:rPr>
          <w:rFonts w:hint="eastAsia" w:cs="仿宋" w:asciiTheme="majorEastAsia" w:hAnsiTheme="majorEastAsia" w:eastAsiaTheme="majorEastAsia"/>
          <w:color w:val="auto"/>
          <w:sz w:val="24"/>
          <w:highlight w:val="none"/>
          <w:u w:val="single"/>
        </w:rPr>
        <w:t xml:space="preserve"> 工业 </w:t>
      </w:r>
      <w:r>
        <w:rPr>
          <w:rFonts w:hint="eastAsia" w:cs="仿宋" w:asciiTheme="majorEastAsia" w:hAnsiTheme="majorEastAsia" w:eastAsiaTheme="majorEastAsia"/>
          <w:color w:val="auto"/>
          <w:sz w:val="24"/>
          <w:highlight w:val="none"/>
        </w:rPr>
        <w:t>行业 ；制造商为</w:t>
      </w:r>
      <w:r>
        <w:rPr>
          <w:rFonts w:hint="eastAsia" w:cs="仿宋" w:asciiTheme="majorEastAsia" w:hAnsiTheme="majorEastAsia" w:eastAsiaTheme="majorEastAsia"/>
          <w:color w:val="auto"/>
          <w:sz w:val="24"/>
          <w:highlight w:val="none"/>
          <w:u w:val="single"/>
        </w:rPr>
        <w:t xml:space="preserve"> （企业名称）</w:t>
      </w:r>
      <w:r>
        <w:rPr>
          <w:rFonts w:hint="eastAsia" w:cs="仿宋" w:asciiTheme="majorEastAsia" w:hAnsiTheme="majorEastAsia" w:eastAsiaTheme="majorEastAsia"/>
          <w:color w:val="auto"/>
          <w:sz w:val="24"/>
          <w:highlight w:val="none"/>
        </w:rPr>
        <w:t xml:space="preserve"> ，从业人员</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人，营业收入为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万元，资产总额为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万元，属于</w:t>
      </w:r>
      <w:r>
        <w:rPr>
          <w:rFonts w:hint="eastAsia" w:cs="仿宋" w:asciiTheme="majorEastAsia" w:hAnsiTheme="majorEastAsia" w:eastAsiaTheme="majorEastAsia"/>
          <w:color w:val="auto"/>
          <w:sz w:val="24"/>
          <w:highlight w:val="none"/>
          <w:u w:val="single"/>
        </w:rPr>
        <w:t xml:space="preserve"> （中型企业、小型企业、微型企业）</w:t>
      </w:r>
      <w:r>
        <w:rPr>
          <w:rFonts w:hint="eastAsia" w:cs="仿宋" w:asciiTheme="majorEastAsia" w:hAnsiTheme="majorEastAsia" w:eastAsiaTheme="majorEastAsia"/>
          <w:color w:val="auto"/>
          <w:sz w:val="24"/>
          <w:highlight w:val="none"/>
        </w:rPr>
        <w:t xml:space="preserve"> ；</w:t>
      </w:r>
    </w:p>
    <w:p w14:paraId="3576CB08">
      <w:pP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u w:val="single"/>
        </w:rPr>
        <w:t xml:space="preserve"> 空气源热泵热水机组（6#楼）</w:t>
      </w:r>
      <w:r>
        <w:rPr>
          <w:rFonts w:hint="eastAsia" w:cs="仿宋" w:asciiTheme="majorEastAsia" w:hAnsiTheme="majorEastAsia" w:eastAsiaTheme="majorEastAsia"/>
          <w:color w:val="auto"/>
          <w:sz w:val="24"/>
          <w:highlight w:val="none"/>
        </w:rPr>
        <w:t xml:space="preserve">，属于 </w:t>
      </w:r>
      <w:r>
        <w:rPr>
          <w:rFonts w:hint="eastAsia" w:cs="仿宋" w:asciiTheme="majorEastAsia" w:hAnsiTheme="majorEastAsia" w:eastAsiaTheme="majorEastAsia"/>
          <w:color w:val="auto"/>
          <w:sz w:val="24"/>
          <w:highlight w:val="none"/>
          <w:u w:val="single"/>
        </w:rPr>
        <w:t xml:space="preserve">工业 </w:t>
      </w:r>
      <w:r>
        <w:rPr>
          <w:rFonts w:hint="eastAsia" w:cs="仿宋" w:asciiTheme="majorEastAsia" w:hAnsiTheme="majorEastAsia" w:eastAsiaTheme="majorEastAsia"/>
          <w:color w:val="auto"/>
          <w:sz w:val="24"/>
          <w:highlight w:val="none"/>
        </w:rPr>
        <w:t>行业 ；制造商为</w:t>
      </w:r>
      <w:r>
        <w:rPr>
          <w:rFonts w:hint="eastAsia" w:cs="仿宋" w:asciiTheme="majorEastAsia" w:hAnsiTheme="majorEastAsia" w:eastAsiaTheme="majorEastAsia"/>
          <w:color w:val="auto"/>
          <w:sz w:val="24"/>
          <w:highlight w:val="none"/>
          <w:u w:val="single"/>
        </w:rPr>
        <w:t xml:space="preserve"> （企业名称）</w:t>
      </w:r>
      <w:r>
        <w:rPr>
          <w:rFonts w:hint="eastAsia" w:cs="仿宋" w:asciiTheme="majorEastAsia" w:hAnsiTheme="majorEastAsia" w:eastAsiaTheme="majorEastAsia"/>
          <w:color w:val="auto"/>
          <w:sz w:val="24"/>
          <w:highlight w:val="none"/>
        </w:rPr>
        <w:t xml:space="preserve"> ，从业人员</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人，营业收入为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万元，资产总额为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万元，属于</w:t>
      </w:r>
      <w:r>
        <w:rPr>
          <w:rFonts w:hint="eastAsia" w:cs="仿宋" w:asciiTheme="majorEastAsia" w:hAnsiTheme="majorEastAsia" w:eastAsiaTheme="majorEastAsia"/>
          <w:color w:val="auto"/>
          <w:sz w:val="24"/>
          <w:highlight w:val="none"/>
          <w:u w:val="single"/>
        </w:rPr>
        <w:t xml:space="preserve"> （中型企业、小型企业、微型企业）</w:t>
      </w:r>
      <w:r>
        <w:rPr>
          <w:rFonts w:hint="eastAsia" w:cs="仿宋" w:asciiTheme="majorEastAsia" w:hAnsiTheme="majorEastAsia" w:eastAsiaTheme="majorEastAsia"/>
          <w:color w:val="auto"/>
          <w:sz w:val="24"/>
          <w:highlight w:val="none"/>
        </w:rPr>
        <w:t xml:space="preserve"> ；</w:t>
      </w:r>
    </w:p>
    <w:p w14:paraId="7C738B26">
      <w:pPr>
        <w:pStyle w:val="2"/>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6.</w:t>
      </w:r>
      <w:r>
        <w:rPr>
          <w:rFonts w:hint="eastAsia" w:cs="仿宋" w:asciiTheme="majorEastAsia" w:hAnsiTheme="majorEastAsia" w:eastAsiaTheme="majorEastAsia"/>
          <w:color w:val="auto"/>
          <w:highlight w:val="none"/>
          <w:u w:val="single"/>
        </w:rPr>
        <w:t xml:space="preserve"> </w:t>
      </w:r>
      <w:r>
        <w:rPr>
          <w:rFonts w:hint="eastAsia" w:cs="仿宋" w:asciiTheme="majorEastAsia" w:hAnsiTheme="majorEastAsia" w:eastAsiaTheme="majorEastAsia"/>
          <w:snapToGrid/>
          <w:color w:val="auto"/>
          <w:kern w:val="2"/>
          <w:sz w:val="24"/>
          <w:szCs w:val="24"/>
          <w:highlight w:val="none"/>
          <w:u w:val="single"/>
        </w:rPr>
        <w:t>空气源热泵机组循环泵（</w:t>
      </w:r>
      <w:r>
        <w:rPr>
          <w:rFonts w:hint="eastAsia" w:cs="仿宋" w:asciiTheme="majorEastAsia" w:hAnsiTheme="majorEastAsia" w:eastAsiaTheme="majorEastAsia"/>
          <w:color w:val="auto"/>
          <w:sz w:val="24"/>
          <w:highlight w:val="none"/>
          <w:u w:val="single"/>
        </w:rPr>
        <w:t>6#</w:t>
      </w:r>
      <w:r>
        <w:rPr>
          <w:rFonts w:hint="eastAsia" w:cs="仿宋" w:asciiTheme="majorEastAsia" w:hAnsiTheme="majorEastAsia" w:eastAsiaTheme="majorEastAsia"/>
          <w:snapToGrid/>
          <w:color w:val="auto"/>
          <w:kern w:val="2"/>
          <w:sz w:val="24"/>
          <w:szCs w:val="24"/>
          <w:highlight w:val="none"/>
          <w:u w:val="single"/>
        </w:rPr>
        <w:t>楼）</w:t>
      </w:r>
      <w:r>
        <w:rPr>
          <w:rFonts w:hint="eastAsia" w:cs="仿宋" w:asciiTheme="majorEastAsia" w:hAnsiTheme="majorEastAsia" w:eastAsiaTheme="majorEastAsia"/>
          <w:color w:val="auto"/>
          <w:sz w:val="24"/>
          <w:highlight w:val="none"/>
        </w:rPr>
        <w:t xml:space="preserve"> ，属于</w:t>
      </w:r>
      <w:r>
        <w:rPr>
          <w:rFonts w:hint="eastAsia" w:cs="仿宋" w:asciiTheme="majorEastAsia" w:hAnsiTheme="majorEastAsia" w:eastAsiaTheme="majorEastAsia"/>
          <w:color w:val="auto"/>
          <w:sz w:val="24"/>
          <w:highlight w:val="none"/>
          <w:u w:val="single"/>
        </w:rPr>
        <w:t xml:space="preserve"> 工业 </w:t>
      </w:r>
      <w:r>
        <w:rPr>
          <w:rFonts w:hint="eastAsia" w:cs="仿宋" w:asciiTheme="majorEastAsia" w:hAnsiTheme="majorEastAsia" w:eastAsiaTheme="majorEastAsia"/>
          <w:color w:val="auto"/>
          <w:sz w:val="24"/>
          <w:highlight w:val="none"/>
        </w:rPr>
        <w:t>行业 ；制造商为</w:t>
      </w:r>
      <w:r>
        <w:rPr>
          <w:rFonts w:hint="eastAsia" w:cs="仿宋" w:asciiTheme="majorEastAsia" w:hAnsiTheme="majorEastAsia" w:eastAsiaTheme="majorEastAsia"/>
          <w:color w:val="auto"/>
          <w:sz w:val="24"/>
          <w:highlight w:val="none"/>
          <w:u w:val="single"/>
        </w:rPr>
        <w:t xml:space="preserve"> （企业名称）</w:t>
      </w:r>
      <w:r>
        <w:rPr>
          <w:rFonts w:hint="eastAsia" w:cs="仿宋" w:asciiTheme="majorEastAsia" w:hAnsiTheme="majorEastAsia" w:eastAsiaTheme="majorEastAsia"/>
          <w:color w:val="auto"/>
          <w:sz w:val="24"/>
          <w:highlight w:val="none"/>
        </w:rPr>
        <w:t xml:space="preserve"> ，从业人员</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人，营业收入为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万元，资产总额为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万元，属于</w:t>
      </w:r>
      <w:r>
        <w:rPr>
          <w:rFonts w:hint="eastAsia" w:cs="仿宋" w:asciiTheme="majorEastAsia" w:hAnsiTheme="majorEastAsia" w:eastAsiaTheme="majorEastAsia"/>
          <w:color w:val="auto"/>
          <w:sz w:val="24"/>
          <w:highlight w:val="none"/>
          <w:u w:val="single"/>
        </w:rPr>
        <w:t xml:space="preserve"> （中型企业、小型企业、微型企业）</w:t>
      </w:r>
      <w:r>
        <w:rPr>
          <w:rFonts w:hint="eastAsia" w:cs="仿宋" w:asciiTheme="majorEastAsia" w:hAnsiTheme="majorEastAsia" w:eastAsiaTheme="majorEastAsia"/>
          <w:color w:val="auto"/>
          <w:sz w:val="24"/>
          <w:highlight w:val="none"/>
        </w:rPr>
        <w:t xml:space="preserve"> ；</w:t>
      </w:r>
    </w:p>
    <w:p w14:paraId="5C189BBD">
      <w:pPr>
        <w:pStyle w:val="2"/>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7.</w:t>
      </w:r>
      <w:r>
        <w:rPr>
          <w:rFonts w:hint="eastAsia" w:cs="仿宋" w:asciiTheme="majorEastAsia" w:hAnsiTheme="majorEastAsia" w:eastAsiaTheme="majorEastAsia"/>
          <w:color w:val="auto"/>
          <w:highlight w:val="none"/>
          <w:u w:val="single"/>
        </w:rPr>
        <w:t xml:space="preserve"> </w:t>
      </w:r>
      <w:r>
        <w:rPr>
          <w:rFonts w:hint="eastAsia" w:cs="仿宋" w:asciiTheme="majorEastAsia" w:hAnsiTheme="majorEastAsia" w:eastAsiaTheme="majorEastAsia"/>
          <w:snapToGrid/>
          <w:color w:val="auto"/>
          <w:kern w:val="2"/>
          <w:sz w:val="24"/>
          <w:szCs w:val="24"/>
          <w:highlight w:val="none"/>
          <w:u w:val="single"/>
        </w:rPr>
        <w:t>热水循环泵（</w:t>
      </w:r>
      <w:r>
        <w:rPr>
          <w:rFonts w:hint="eastAsia" w:cs="仿宋" w:asciiTheme="majorEastAsia" w:hAnsiTheme="majorEastAsia" w:eastAsiaTheme="majorEastAsia"/>
          <w:color w:val="auto"/>
          <w:sz w:val="24"/>
          <w:highlight w:val="none"/>
          <w:u w:val="single"/>
        </w:rPr>
        <w:t>6#</w:t>
      </w:r>
      <w:r>
        <w:rPr>
          <w:rFonts w:hint="eastAsia" w:cs="仿宋" w:asciiTheme="majorEastAsia" w:hAnsiTheme="majorEastAsia" w:eastAsiaTheme="majorEastAsia"/>
          <w:snapToGrid/>
          <w:color w:val="auto"/>
          <w:kern w:val="2"/>
          <w:sz w:val="24"/>
          <w:szCs w:val="24"/>
          <w:highlight w:val="none"/>
          <w:u w:val="single"/>
        </w:rPr>
        <w:t>楼）</w:t>
      </w:r>
      <w:r>
        <w:rPr>
          <w:rFonts w:hint="eastAsia" w:cs="仿宋" w:asciiTheme="majorEastAsia" w:hAnsiTheme="majorEastAsia" w:eastAsiaTheme="majorEastAsia"/>
          <w:color w:val="auto"/>
          <w:sz w:val="24"/>
          <w:highlight w:val="none"/>
        </w:rPr>
        <w:t xml:space="preserve"> ，属于</w:t>
      </w:r>
      <w:r>
        <w:rPr>
          <w:rFonts w:hint="eastAsia" w:cs="仿宋" w:asciiTheme="majorEastAsia" w:hAnsiTheme="majorEastAsia" w:eastAsiaTheme="majorEastAsia"/>
          <w:color w:val="auto"/>
          <w:sz w:val="24"/>
          <w:highlight w:val="none"/>
          <w:u w:val="single"/>
        </w:rPr>
        <w:t xml:space="preserve"> 工业 </w:t>
      </w:r>
      <w:r>
        <w:rPr>
          <w:rFonts w:hint="eastAsia" w:cs="仿宋" w:asciiTheme="majorEastAsia" w:hAnsiTheme="majorEastAsia" w:eastAsiaTheme="majorEastAsia"/>
          <w:color w:val="auto"/>
          <w:sz w:val="24"/>
          <w:highlight w:val="none"/>
        </w:rPr>
        <w:t>行业 ；制造商为</w:t>
      </w:r>
      <w:r>
        <w:rPr>
          <w:rFonts w:hint="eastAsia" w:cs="仿宋" w:asciiTheme="majorEastAsia" w:hAnsiTheme="majorEastAsia" w:eastAsiaTheme="majorEastAsia"/>
          <w:color w:val="auto"/>
          <w:sz w:val="24"/>
          <w:highlight w:val="none"/>
          <w:u w:val="single"/>
        </w:rPr>
        <w:t xml:space="preserve"> （企业名称）</w:t>
      </w:r>
      <w:r>
        <w:rPr>
          <w:rFonts w:hint="eastAsia" w:cs="仿宋" w:asciiTheme="majorEastAsia" w:hAnsiTheme="majorEastAsia" w:eastAsiaTheme="majorEastAsia"/>
          <w:color w:val="auto"/>
          <w:sz w:val="24"/>
          <w:highlight w:val="none"/>
        </w:rPr>
        <w:t xml:space="preserve"> ，从业人员</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人，营业收入为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万元，资产总额为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万元，属于</w:t>
      </w:r>
      <w:r>
        <w:rPr>
          <w:rFonts w:hint="eastAsia" w:cs="仿宋" w:asciiTheme="majorEastAsia" w:hAnsiTheme="majorEastAsia" w:eastAsiaTheme="majorEastAsia"/>
          <w:color w:val="auto"/>
          <w:sz w:val="24"/>
          <w:highlight w:val="none"/>
          <w:u w:val="single"/>
        </w:rPr>
        <w:t xml:space="preserve"> （中型企业、小型企业、微型企业）</w:t>
      </w:r>
      <w:r>
        <w:rPr>
          <w:rFonts w:hint="eastAsia" w:cs="仿宋" w:asciiTheme="majorEastAsia" w:hAnsiTheme="majorEastAsia" w:eastAsiaTheme="majorEastAsia"/>
          <w:color w:val="auto"/>
          <w:sz w:val="24"/>
          <w:highlight w:val="none"/>
        </w:rPr>
        <w:t xml:space="preserve"> ；</w:t>
      </w:r>
    </w:p>
    <w:p w14:paraId="6B2A9DC6">
      <w:pPr>
        <w:pStyle w:val="2"/>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8.</w:t>
      </w:r>
      <w:r>
        <w:rPr>
          <w:rFonts w:hint="eastAsia" w:cs="仿宋" w:asciiTheme="majorEastAsia" w:hAnsiTheme="majorEastAsia" w:eastAsiaTheme="majorEastAsia"/>
          <w:color w:val="auto"/>
          <w:highlight w:val="none"/>
          <w:u w:val="single"/>
        </w:rPr>
        <w:t xml:space="preserve"> </w:t>
      </w:r>
      <w:r>
        <w:rPr>
          <w:rFonts w:hint="eastAsia" w:cs="仿宋" w:asciiTheme="majorEastAsia" w:hAnsiTheme="majorEastAsia" w:eastAsiaTheme="majorEastAsia"/>
          <w:snapToGrid/>
          <w:color w:val="auto"/>
          <w:kern w:val="2"/>
          <w:sz w:val="24"/>
          <w:szCs w:val="24"/>
          <w:highlight w:val="none"/>
          <w:u w:val="single"/>
        </w:rPr>
        <w:t>水泵控制箱（</w:t>
      </w:r>
      <w:r>
        <w:rPr>
          <w:rFonts w:hint="eastAsia" w:cs="仿宋" w:asciiTheme="majorEastAsia" w:hAnsiTheme="majorEastAsia" w:eastAsiaTheme="majorEastAsia"/>
          <w:color w:val="auto"/>
          <w:sz w:val="24"/>
          <w:highlight w:val="none"/>
          <w:u w:val="single"/>
        </w:rPr>
        <w:t>6#</w:t>
      </w:r>
      <w:r>
        <w:rPr>
          <w:rFonts w:hint="eastAsia" w:cs="仿宋" w:asciiTheme="majorEastAsia" w:hAnsiTheme="majorEastAsia" w:eastAsiaTheme="majorEastAsia"/>
          <w:snapToGrid/>
          <w:color w:val="auto"/>
          <w:kern w:val="2"/>
          <w:sz w:val="24"/>
          <w:szCs w:val="24"/>
          <w:highlight w:val="none"/>
          <w:u w:val="single"/>
        </w:rPr>
        <w:t>楼）</w:t>
      </w:r>
      <w:r>
        <w:rPr>
          <w:rFonts w:hint="eastAsia" w:cs="仿宋" w:asciiTheme="majorEastAsia" w:hAnsiTheme="majorEastAsia" w:eastAsiaTheme="majorEastAsia"/>
          <w:color w:val="auto"/>
          <w:sz w:val="24"/>
          <w:highlight w:val="none"/>
        </w:rPr>
        <w:t xml:space="preserve"> ，属于</w:t>
      </w:r>
      <w:r>
        <w:rPr>
          <w:rFonts w:hint="eastAsia" w:cs="仿宋" w:asciiTheme="majorEastAsia" w:hAnsiTheme="majorEastAsia" w:eastAsiaTheme="majorEastAsia"/>
          <w:color w:val="auto"/>
          <w:sz w:val="24"/>
          <w:highlight w:val="none"/>
          <w:u w:val="single"/>
        </w:rPr>
        <w:t xml:space="preserve"> 工业 </w:t>
      </w:r>
      <w:r>
        <w:rPr>
          <w:rFonts w:hint="eastAsia" w:cs="仿宋" w:asciiTheme="majorEastAsia" w:hAnsiTheme="majorEastAsia" w:eastAsiaTheme="majorEastAsia"/>
          <w:color w:val="auto"/>
          <w:sz w:val="24"/>
          <w:highlight w:val="none"/>
        </w:rPr>
        <w:t>行业 ；制造商为</w:t>
      </w:r>
      <w:r>
        <w:rPr>
          <w:rFonts w:hint="eastAsia" w:cs="仿宋" w:asciiTheme="majorEastAsia" w:hAnsiTheme="majorEastAsia" w:eastAsiaTheme="majorEastAsia"/>
          <w:color w:val="auto"/>
          <w:sz w:val="24"/>
          <w:highlight w:val="none"/>
          <w:u w:val="single"/>
        </w:rPr>
        <w:t xml:space="preserve"> （企业名称）</w:t>
      </w:r>
      <w:r>
        <w:rPr>
          <w:rFonts w:hint="eastAsia" w:cs="仿宋" w:asciiTheme="majorEastAsia" w:hAnsiTheme="majorEastAsia" w:eastAsiaTheme="majorEastAsia"/>
          <w:color w:val="auto"/>
          <w:sz w:val="24"/>
          <w:highlight w:val="none"/>
        </w:rPr>
        <w:t xml:space="preserve"> ，从业人员</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人，营业收入为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万元，资产总额为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万元，属于</w:t>
      </w:r>
      <w:r>
        <w:rPr>
          <w:rFonts w:hint="eastAsia" w:cs="仿宋" w:asciiTheme="majorEastAsia" w:hAnsiTheme="majorEastAsia" w:eastAsiaTheme="majorEastAsia"/>
          <w:color w:val="auto"/>
          <w:sz w:val="24"/>
          <w:highlight w:val="none"/>
          <w:u w:val="single"/>
        </w:rPr>
        <w:t xml:space="preserve"> （中型企业、小型企业、微型企业）</w:t>
      </w:r>
      <w:r>
        <w:rPr>
          <w:rFonts w:hint="eastAsia" w:cs="仿宋" w:asciiTheme="majorEastAsia" w:hAnsiTheme="majorEastAsia" w:eastAsiaTheme="majorEastAsia"/>
          <w:color w:val="auto"/>
          <w:sz w:val="24"/>
          <w:highlight w:val="none"/>
        </w:rPr>
        <w:t xml:space="preserve"> ；</w:t>
      </w:r>
    </w:p>
    <w:p w14:paraId="075CC66A">
      <w:pPr>
        <w:pStyle w:val="2"/>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w:t>
      </w:r>
      <w:r>
        <w:rPr>
          <w:rFonts w:hint="eastAsia" w:cs="仿宋" w:asciiTheme="majorEastAsia" w:hAnsiTheme="majorEastAsia" w:eastAsiaTheme="majorEastAsia"/>
          <w:color w:val="auto"/>
          <w:highlight w:val="none"/>
          <w:u w:val="single"/>
        </w:rPr>
        <w:t xml:space="preserve"> </w:t>
      </w:r>
      <w:r>
        <w:rPr>
          <w:rFonts w:hint="eastAsia" w:cs="仿宋" w:asciiTheme="majorEastAsia" w:hAnsiTheme="majorEastAsia" w:eastAsiaTheme="majorEastAsia"/>
          <w:snapToGrid/>
          <w:color w:val="auto"/>
          <w:kern w:val="2"/>
          <w:sz w:val="24"/>
          <w:szCs w:val="24"/>
          <w:highlight w:val="none"/>
          <w:u w:val="single"/>
        </w:rPr>
        <w:t>承压卧式储热水箱 （</w:t>
      </w:r>
      <w:r>
        <w:rPr>
          <w:rFonts w:hint="eastAsia" w:cs="仿宋" w:asciiTheme="majorEastAsia" w:hAnsiTheme="majorEastAsia" w:eastAsiaTheme="majorEastAsia"/>
          <w:color w:val="auto"/>
          <w:sz w:val="24"/>
          <w:highlight w:val="none"/>
          <w:u w:val="single"/>
        </w:rPr>
        <w:t>6#</w:t>
      </w:r>
      <w:r>
        <w:rPr>
          <w:rFonts w:hint="eastAsia" w:cs="仿宋" w:asciiTheme="majorEastAsia" w:hAnsiTheme="majorEastAsia" w:eastAsiaTheme="majorEastAsia"/>
          <w:snapToGrid/>
          <w:color w:val="auto"/>
          <w:kern w:val="2"/>
          <w:sz w:val="24"/>
          <w:szCs w:val="24"/>
          <w:highlight w:val="none"/>
          <w:u w:val="single"/>
        </w:rPr>
        <w:t>楼）</w:t>
      </w:r>
      <w:r>
        <w:rPr>
          <w:rFonts w:hint="eastAsia" w:cs="仿宋" w:asciiTheme="majorEastAsia" w:hAnsiTheme="majorEastAsia" w:eastAsiaTheme="majorEastAsia"/>
          <w:color w:val="auto"/>
          <w:sz w:val="24"/>
          <w:highlight w:val="none"/>
        </w:rPr>
        <w:t xml:space="preserve"> ，属于</w:t>
      </w:r>
      <w:r>
        <w:rPr>
          <w:rFonts w:hint="eastAsia" w:cs="仿宋" w:asciiTheme="majorEastAsia" w:hAnsiTheme="majorEastAsia" w:eastAsiaTheme="majorEastAsia"/>
          <w:color w:val="auto"/>
          <w:sz w:val="24"/>
          <w:highlight w:val="none"/>
          <w:u w:val="single"/>
        </w:rPr>
        <w:t xml:space="preserve"> 工业 </w:t>
      </w:r>
      <w:r>
        <w:rPr>
          <w:rFonts w:hint="eastAsia" w:cs="仿宋" w:asciiTheme="majorEastAsia" w:hAnsiTheme="majorEastAsia" w:eastAsiaTheme="majorEastAsia"/>
          <w:color w:val="auto"/>
          <w:sz w:val="24"/>
          <w:highlight w:val="none"/>
        </w:rPr>
        <w:t>行业 ；制造商为</w:t>
      </w:r>
      <w:r>
        <w:rPr>
          <w:rFonts w:hint="eastAsia" w:cs="仿宋" w:asciiTheme="majorEastAsia" w:hAnsiTheme="majorEastAsia" w:eastAsiaTheme="majorEastAsia"/>
          <w:color w:val="auto"/>
          <w:sz w:val="24"/>
          <w:highlight w:val="none"/>
          <w:u w:val="single"/>
        </w:rPr>
        <w:t xml:space="preserve"> （企业名称）</w:t>
      </w:r>
      <w:r>
        <w:rPr>
          <w:rFonts w:hint="eastAsia" w:cs="仿宋" w:asciiTheme="majorEastAsia" w:hAnsiTheme="majorEastAsia" w:eastAsiaTheme="majorEastAsia"/>
          <w:color w:val="auto"/>
          <w:sz w:val="24"/>
          <w:highlight w:val="none"/>
        </w:rPr>
        <w:t xml:space="preserve"> ，从业人员</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人，营业收入为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万元，资产总额为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万元，属于</w:t>
      </w:r>
      <w:r>
        <w:rPr>
          <w:rFonts w:hint="eastAsia" w:cs="仿宋" w:asciiTheme="majorEastAsia" w:hAnsiTheme="majorEastAsia" w:eastAsiaTheme="majorEastAsia"/>
          <w:color w:val="auto"/>
          <w:sz w:val="24"/>
          <w:highlight w:val="none"/>
          <w:u w:val="single"/>
        </w:rPr>
        <w:t xml:space="preserve"> （中型企业、小型企业、微型企业）</w:t>
      </w:r>
      <w:r>
        <w:rPr>
          <w:rFonts w:hint="eastAsia" w:cs="仿宋" w:asciiTheme="majorEastAsia" w:hAnsiTheme="majorEastAsia" w:eastAsiaTheme="majorEastAsia"/>
          <w:color w:val="auto"/>
          <w:sz w:val="24"/>
          <w:highlight w:val="none"/>
        </w:rPr>
        <w:t xml:space="preserve"> ；</w:t>
      </w:r>
    </w:p>
    <w:p w14:paraId="5F0D75C5">
      <w:pPr>
        <w:pStyle w:val="2"/>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10.</w:t>
      </w:r>
      <w:r>
        <w:rPr>
          <w:rFonts w:hint="eastAsia" w:cs="仿宋" w:asciiTheme="majorEastAsia" w:hAnsiTheme="majorEastAsia" w:eastAsiaTheme="majorEastAsia"/>
          <w:snapToGrid/>
          <w:color w:val="auto"/>
          <w:kern w:val="2"/>
          <w:sz w:val="24"/>
          <w:szCs w:val="24"/>
          <w:highlight w:val="none"/>
          <w:u w:val="single"/>
        </w:rPr>
        <w:t>紫外线消毒器（</w:t>
      </w:r>
      <w:r>
        <w:rPr>
          <w:rFonts w:hint="eastAsia" w:cs="仿宋" w:asciiTheme="majorEastAsia" w:hAnsiTheme="majorEastAsia" w:eastAsiaTheme="majorEastAsia"/>
          <w:color w:val="auto"/>
          <w:sz w:val="24"/>
          <w:highlight w:val="none"/>
          <w:u w:val="single"/>
        </w:rPr>
        <w:t>6#</w:t>
      </w:r>
      <w:r>
        <w:rPr>
          <w:rFonts w:hint="eastAsia" w:cs="仿宋" w:asciiTheme="majorEastAsia" w:hAnsiTheme="majorEastAsia" w:eastAsiaTheme="majorEastAsia"/>
          <w:snapToGrid/>
          <w:color w:val="auto"/>
          <w:kern w:val="2"/>
          <w:sz w:val="24"/>
          <w:szCs w:val="24"/>
          <w:highlight w:val="none"/>
          <w:u w:val="single"/>
        </w:rPr>
        <w:t>楼）</w:t>
      </w:r>
      <w:r>
        <w:rPr>
          <w:rFonts w:hint="eastAsia" w:cs="仿宋" w:asciiTheme="majorEastAsia" w:hAnsiTheme="majorEastAsia" w:eastAsiaTheme="majorEastAsia"/>
          <w:color w:val="auto"/>
          <w:sz w:val="24"/>
          <w:highlight w:val="none"/>
        </w:rPr>
        <w:t xml:space="preserve"> ，属于</w:t>
      </w:r>
      <w:r>
        <w:rPr>
          <w:rFonts w:hint="eastAsia" w:cs="仿宋" w:asciiTheme="majorEastAsia" w:hAnsiTheme="majorEastAsia" w:eastAsiaTheme="majorEastAsia"/>
          <w:color w:val="auto"/>
          <w:sz w:val="24"/>
          <w:highlight w:val="none"/>
          <w:u w:val="single"/>
        </w:rPr>
        <w:t xml:space="preserve"> 工业 </w:t>
      </w:r>
      <w:r>
        <w:rPr>
          <w:rFonts w:hint="eastAsia" w:cs="仿宋" w:asciiTheme="majorEastAsia" w:hAnsiTheme="majorEastAsia" w:eastAsiaTheme="majorEastAsia"/>
          <w:color w:val="auto"/>
          <w:sz w:val="24"/>
          <w:highlight w:val="none"/>
        </w:rPr>
        <w:t>行业 ；制造商为</w:t>
      </w:r>
      <w:r>
        <w:rPr>
          <w:rFonts w:hint="eastAsia" w:cs="仿宋" w:asciiTheme="majorEastAsia" w:hAnsiTheme="majorEastAsia" w:eastAsiaTheme="majorEastAsia"/>
          <w:color w:val="auto"/>
          <w:sz w:val="24"/>
          <w:highlight w:val="none"/>
          <w:u w:val="single"/>
        </w:rPr>
        <w:t xml:space="preserve"> （企业名称）</w:t>
      </w:r>
      <w:r>
        <w:rPr>
          <w:rFonts w:hint="eastAsia" w:cs="仿宋" w:asciiTheme="majorEastAsia" w:hAnsiTheme="majorEastAsia" w:eastAsiaTheme="majorEastAsia"/>
          <w:color w:val="auto"/>
          <w:sz w:val="24"/>
          <w:highlight w:val="none"/>
        </w:rPr>
        <w:t xml:space="preserve"> ，从业人员</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人，营业收入为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万元，资产总额为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万元，属于</w:t>
      </w:r>
      <w:r>
        <w:rPr>
          <w:rFonts w:hint="eastAsia" w:cs="仿宋" w:asciiTheme="majorEastAsia" w:hAnsiTheme="majorEastAsia" w:eastAsiaTheme="majorEastAsia"/>
          <w:color w:val="auto"/>
          <w:sz w:val="24"/>
          <w:highlight w:val="none"/>
          <w:u w:val="single"/>
        </w:rPr>
        <w:t xml:space="preserve"> （中型企业、小型企业、微型企业）</w:t>
      </w:r>
      <w:r>
        <w:rPr>
          <w:rFonts w:hint="eastAsia" w:cs="仿宋" w:asciiTheme="majorEastAsia" w:hAnsiTheme="majorEastAsia" w:eastAsiaTheme="majorEastAsia"/>
          <w:color w:val="auto"/>
          <w:sz w:val="24"/>
          <w:highlight w:val="none"/>
        </w:rPr>
        <w:t xml:space="preserve"> ；</w:t>
      </w:r>
    </w:p>
    <w:p w14:paraId="4C278D57">
      <w:pPr>
        <w:pStyle w:val="2"/>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11.</w:t>
      </w:r>
      <w:r>
        <w:rPr>
          <w:rFonts w:hint="eastAsia" w:cs="仿宋" w:asciiTheme="majorEastAsia" w:hAnsiTheme="majorEastAsia" w:eastAsiaTheme="majorEastAsia"/>
          <w:color w:val="auto"/>
          <w:sz w:val="24"/>
          <w:highlight w:val="none"/>
          <w:u w:val="single"/>
        </w:rPr>
        <w:t>低压开关柜</w:t>
      </w:r>
      <w:r>
        <w:rPr>
          <w:rFonts w:hint="eastAsia" w:cs="仿宋" w:asciiTheme="majorEastAsia" w:hAnsiTheme="majorEastAsia" w:eastAsiaTheme="majorEastAsia"/>
          <w:color w:val="auto"/>
          <w:sz w:val="24"/>
          <w:highlight w:val="none"/>
        </w:rPr>
        <w:t xml:space="preserve"> ，属于</w:t>
      </w:r>
      <w:r>
        <w:rPr>
          <w:rFonts w:hint="eastAsia" w:cs="仿宋" w:asciiTheme="majorEastAsia" w:hAnsiTheme="majorEastAsia" w:eastAsiaTheme="majorEastAsia"/>
          <w:color w:val="auto"/>
          <w:sz w:val="24"/>
          <w:highlight w:val="none"/>
          <w:u w:val="single"/>
        </w:rPr>
        <w:t xml:space="preserve"> 工业 </w:t>
      </w:r>
      <w:r>
        <w:rPr>
          <w:rFonts w:hint="eastAsia" w:cs="仿宋" w:asciiTheme="majorEastAsia" w:hAnsiTheme="majorEastAsia" w:eastAsiaTheme="majorEastAsia"/>
          <w:color w:val="auto"/>
          <w:sz w:val="24"/>
          <w:highlight w:val="none"/>
        </w:rPr>
        <w:t>行业 ；制造商为</w:t>
      </w:r>
      <w:r>
        <w:rPr>
          <w:rFonts w:hint="eastAsia" w:cs="仿宋" w:asciiTheme="majorEastAsia" w:hAnsiTheme="majorEastAsia" w:eastAsiaTheme="majorEastAsia"/>
          <w:color w:val="auto"/>
          <w:sz w:val="24"/>
          <w:highlight w:val="none"/>
          <w:u w:val="single"/>
        </w:rPr>
        <w:t xml:space="preserve"> （企业名称）</w:t>
      </w:r>
      <w:r>
        <w:rPr>
          <w:rFonts w:hint="eastAsia" w:cs="仿宋" w:asciiTheme="majorEastAsia" w:hAnsiTheme="majorEastAsia" w:eastAsiaTheme="majorEastAsia"/>
          <w:color w:val="auto"/>
          <w:sz w:val="24"/>
          <w:highlight w:val="none"/>
        </w:rPr>
        <w:t xml:space="preserve"> ，从业人员</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人，营业收入为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万元，资产总额为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万元，属于</w:t>
      </w:r>
      <w:r>
        <w:rPr>
          <w:rFonts w:hint="eastAsia" w:cs="仿宋" w:asciiTheme="majorEastAsia" w:hAnsiTheme="majorEastAsia" w:eastAsiaTheme="majorEastAsia"/>
          <w:color w:val="auto"/>
          <w:sz w:val="24"/>
          <w:highlight w:val="none"/>
          <w:u w:val="single"/>
        </w:rPr>
        <w:t xml:space="preserve"> （中型企业、小型企业、微型企业）</w:t>
      </w:r>
      <w:r>
        <w:rPr>
          <w:rFonts w:hint="eastAsia" w:cs="仿宋" w:asciiTheme="majorEastAsia" w:hAnsiTheme="majorEastAsia" w:eastAsiaTheme="majorEastAsia"/>
          <w:color w:val="auto"/>
          <w:sz w:val="24"/>
          <w:highlight w:val="none"/>
        </w:rPr>
        <w:t xml:space="preserve"> ；</w:t>
      </w:r>
    </w:p>
    <w:p w14:paraId="2D0D2F67">
      <w:pP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12.</w:t>
      </w:r>
      <w:r>
        <w:rPr>
          <w:rFonts w:hint="eastAsia" w:cs="仿宋" w:asciiTheme="majorEastAsia" w:hAnsiTheme="majorEastAsia" w:eastAsiaTheme="majorEastAsia"/>
          <w:color w:val="auto"/>
          <w:highlight w:val="none"/>
          <w:u w:val="single"/>
        </w:rPr>
        <w:t xml:space="preserve"> </w:t>
      </w:r>
      <w:r>
        <w:rPr>
          <w:rFonts w:hint="eastAsia" w:cs="仿宋" w:asciiTheme="majorEastAsia" w:hAnsiTheme="majorEastAsia" w:eastAsiaTheme="majorEastAsia"/>
          <w:color w:val="auto"/>
          <w:sz w:val="24"/>
          <w:highlight w:val="none"/>
          <w:u w:val="single"/>
        </w:rPr>
        <w:t>单晶硅电池组件</w:t>
      </w:r>
      <w:r>
        <w:rPr>
          <w:rFonts w:hint="eastAsia" w:cs="仿宋" w:asciiTheme="majorEastAsia" w:hAnsiTheme="majorEastAsia" w:eastAsiaTheme="majorEastAsia"/>
          <w:color w:val="auto"/>
          <w:sz w:val="24"/>
          <w:highlight w:val="none"/>
        </w:rPr>
        <w:t xml:space="preserve"> ，属于</w:t>
      </w:r>
      <w:r>
        <w:rPr>
          <w:rFonts w:hint="eastAsia" w:cs="仿宋" w:asciiTheme="majorEastAsia" w:hAnsiTheme="majorEastAsia" w:eastAsiaTheme="majorEastAsia"/>
          <w:color w:val="auto"/>
          <w:sz w:val="24"/>
          <w:highlight w:val="none"/>
          <w:u w:val="single"/>
        </w:rPr>
        <w:t xml:space="preserve"> 工业 </w:t>
      </w:r>
      <w:r>
        <w:rPr>
          <w:rFonts w:hint="eastAsia" w:cs="仿宋" w:asciiTheme="majorEastAsia" w:hAnsiTheme="majorEastAsia" w:eastAsiaTheme="majorEastAsia"/>
          <w:color w:val="auto"/>
          <w:sz w:val="24"/>
          <w:highlight w:val="none"/>
        </w:rPr>
        <w:t>行业 ；制造商为</w:t>
      </w:r>
      <w:r>
        <w:rPr>
          <w:rFonts w:hint="eastAsia" w:cs="仿宋" w:asciiTheme="majorEastAsia" w:hAnsiTheme="majorEastAsia" w:eastAsiaTheme="majorEastAsia"/>
          <w:color w:val="auto"/>
          <w:sz w:val="24"/>
          <w:highlight w:val="none"/>
          <w:u w:val="single"/>
        </w:rPr>
        <w:t xml:space="preserve"> （企业名称）</w:t>
      </w:r>
      <w:r>
        <w:rPr>
          <w:rFonts w:hint="eastAsia" w:cs="仿宋" w:asciiTheme="majorEastAsia" w:hAnsiTheme="majorEastAsia" w:eastAsiaTheme="majorEastAsia"/>
          <w:color w:val="auto"/>
          <w:sz w:val="24"/>
          <w:highlight w:val="none"/>
        </w:rPr>
        <w:t xml:space="preserve"> ，从业人员</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人，营业收入为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万元，资产总额为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万元，属于</w:t>
      </w:r>
      <w:r>
        <w:rPr>
          <w:rFonts w:hint="eastAsia" w:cs="仿宋" w:asciiTheme="majorEastAsia" w:hAnsiTheme="majorEastAsia" w:eastAsiaTheme="majorEastAsia"/>
          <w:color w:val="auto"/>
          <w:sz w:val="24"/>
          <w:highlight w:val="none"/>
          <w:u w:val="single"/>
        </w:rPr>
        <w:t xml:space="preserve"> （中型企业、小型企业、微型企业）</w:t>
      </w:r>
      <w:r>
        <w:rPr>
          <w:rFonts w:hint="eastAsia" w:cs="仿宋" w:asciiTheme="majorEastAsia" w:hAnsiTheme="majorEastAsia" w:eastAsiaTheme="majorEastAsia"/>
          <w:color w:val="auto"/>
          <w:sz w:val="24"/>
          <w:highlight w:val="none"/>
        </w:rPr>
        <w:t xml:space="preserve"> ；</w:t>
      </w:r>
    </w:p>
    <w:p w14:paraId="62F96865">
      <w:pP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13.</w:t>
      </w:r>
      <w:r>
        <w:rPr>
          <w:rFonts w:hint="eastAsia" w:cs="仿宋" w:asciiTheme="majorEastAsia" w:hAnsiTheme="majorEastAsia" w:eastAsiaTheme="majorEastAsia"/>
          <w:color w:val="auto"/>
          <w:highlight w:val="none"/>
          <w:u w:val="single"/>
        </w:rPr>
        <w:t xml:space="preserve"> </w:t>
      </w:r>
      <w:r>
        <w:rPr>
          <w:rFonts w:hint="eastAsia" w:cs="仿宋" w:asciiTheme="majorEastAsia" w:hAnsiTheme="majorEastAsia" w:eastAsiaTheme="majorEastAsia"/>
          <w:color w:val="auto"/>
          <w:sz w:val="24"/>
          <w:highlight w:val="none"/>
          <w:u w:val="single"/>
        </w:rPr>
        <w:t>光伏逆变器 ，</w:t>
      </w:r>
      <w:r>
        <w:rPr>
          <w:rFonts w:hint="eastAsia" w:cs="仿宋" w:asciiTheme="majorEastAsia" w:hAnsiTheme="majorEastAsia" w:eastAsiaTheme="majorEastAsia"/>
          <w:color w:val="auto"/>
          <w:sz w:val="24"/>
          <w:highlight w:val="none"/>
        </w:rPr>
        <w:t>属于</w:t>
      </w:r>
      <w:r>
        <w:rPr>
          <w:rFonts w:hint="eastAsia" w:cs="仿宋" w:asciiTheme="majorEastAsia" w:hAnsiTheme="majorEastAsia" w:eastAsiaTheme="majorEastAsia"/>
          <w:color w:val="auto"/>
          <w:sz w:val="24"/>
          <w:highlight w:val="none"/>
          <w:u w:val="single"/>
        </w:rPr>
        <w:t xml:space="preserve"> 工业 </w:t>
      </w:r>
      <w:r>
        <w:rPr>
          <w:rFonts w:hint="eastAsia" w:cs="仿宋" w:asciiTheme="majorEastAsia" w:hAnsiTheme="majorEastAsia" w:eastAsiaTheme="majorEastAsia"/>
          <w:color w:val="auto"/>
          <w:sz w:val="24"/>
          <w:highlight w:val="none"/>
        </w:rPr>
        <w:t>行业 ；制造商为</w:t>
      </w:r>
      <w:r>
        <w:rPr>
          <w:rFonts w:hint="eastAsia" w:cs="仿宋" w:asciiTheme="majorEastAsia" w:hAnsiTheme="majorEastAsia" w:eastAsiaTheme="majorEastAsia"/>
          <w:color w:val="auto"/>
          <w:sz w:val="24"/>
          <w:highlight w:val="none"/>
          <w:u w:val="single"/>
        </w:rPr>
        <w:t xml:space="preserve"> （企业名称）</w:t>
      </w:r>
      <w:r>
        <w:rPr>
          <w:rFonts w:hint="eastAsia" w:cs="仿宋" w:asciiTheme="majorEastAsia" w:hAnsiTheme="majorEastAsia" w:eastAsiaTheme="majorEastAsia"/>
          <w:color w:val="auto"/>
          <w:sz w:val="24"/>
          <w:highlight w:val="none"/>
        </w:rPr>
        <w:t xml:space="preserve"> ，从业人员</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人，营业收入为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万元，资产总额为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万元，属于</w:t>
      </w:r>
      <w:r>
        <w:rPr>
          <w:rFonts w:hint="eastAsia" w:cs="仿宋" w:asciiTheme="majorEastAsia" w:hAnsiTheme="majorEastAsia" w:eastAsiaTheme="majorEastAsia"/>
          <w:color w:val="auto"/>
          <w:sz w:val="24"/>
          <w:highlight w:val="none"/>
          <w:u w:val="single"/>
        </w:rPr>
        <w:t xml:space="preserve"> （中型企业、小型企业、微型企业）</w:t>
      </w:r>
      <w:r>
        <w:rPr>
          <w:rFonts w:hint="eastAsia" w:cs="仿宋" w:asciiTheme="majorEastAsia" w:hAnsiTheme="majorEastAsia" w:eastAsiaTheme="majorEastAsia"/>
          <w:color w:val="auto"/>
          <w:sz w:val="24"/>
          <w:highlight w:val="none"/>
        </w:rPr>
        <w:t xml:space="preserve"> ；</w:t>
      </w:r>
    </w:p>
    <w:p w14:paraId="49948328">
      <w:pP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以上企业，不属于大企业的分支机构，不存在控股股东为大企业的情形，也不存在与大企业的负责人为同一人的情形。</w:t>
      </w:r>
    </w:p>
    <w:p w14:paraId="5C964749">
      <w:pP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本企业对上述声明内容的真实性负责。如有虚假，将依法承担相应责任。</w:t>
      </w:r>
    </w:p>
    <w:p w14:paraId="3C2CF4DA">
      <w:pPr>
        <w:snapToGrid w:val="0"/>
        <w:spacing w:line="360" w:lineRule="auto"/>
        <w:ind w:firstLine="5160" w:firstLineChars="2150"/>
        <w:rPr>
          <w:rFonts w:cs="仿宋" w:asciiTheme="majorEastAsia" w:hAnsiTheme="majorEastAsia" w:eastAsiaTheme="majorEastAsia"/>
          <w:color w:val="auto"/>
          <w:kern w:val="0"/>
          <w:sz w:val="24"/>
          <w:highlight w:val="none"/>
          <w:lang w:val="zh-CN"/>
        </w:rPr>
      </w:pPr>
    </w:p>
    <w:p w14:paraId="0E337294">
      <w:pPr>
        <w:spacing w:line="360" w:lineRule="auto"/>
        <w:ind w:left="3780" w:leftChars="18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法定代表人或其授权委托人（签名或印章）：        </w:t>
      </w:r>
    </w:p>
    <w:p w14:paraId="3313460E">
      <w:pPr>
        <w:spacing w:line="360" w:lineRule="auto"/>
        <w:ind w:left="3780" w:leftChars="18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投标人（盖章）：         </w:t>
      </w:r>
    </w:p>
    <w:p w14:paraId="34DDB290">
      <w:pPr>
        <w:spacing w:line="360" w:lineRule="auto"/>
        <w:ind w:left="3780" w:leftChars="18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日  期：</w:t>
      </w:r>
    </w:p>
    <w:p w14:paraId="07149A80">
      <w:pPr>
        <w:spacing w:line="360" w:lineRule="auto"/>
        <w:jc w:val="left"/>
        <w:rPr>
          <w:rFonts w:cs="仿宋" w:asciiTheme="majorEastAsia" w:hAnsiTheme="majorEastAsia" w:eastAsiaTheme="majorEastAsia"/>
          <w:color w:val="auto"/>
          <w:sz w:val="18"/>
          <w:szCs w:val="18"/>
          <w:highlight w:val="none"/>
        </w:rPr>
      </w:pPr>
      <w:r>
        <w:rPr>
          <w:rFonts w:hint="eastAsia" w:cs="仿宋" w:asciiTheme="majorEastAsia" w:hAnsiTheme="majorEastAsia" w:eastAsiaTheme="majorEastAsia"/>
          <w:color w:val="auto"/>
          <w:sz w:val="18"/>
          <w:szCs w:val="18"/>
          <w:highlight w:val="none"/>
        </w:rPr>
        <w:t>从业人员、营业收入、资产总额填报上一年度数据，无上一年度数据的新成立企业可不填报。</w:t>
      </w:r>
    </w:p>
    <w:p w14:paraId="49613498">
      <w:pPr>
        <w:spacing w:line="360" w:lineRule="auto"/>
        <w:ind w:right="-420" w:rightChars="-200" w:firstLine="480" w:firstLineChars="200"/>
        <w:rPr>
          <w:rFonts w:cs="仿宋" w:asciiTheme="majorEastAsia" w:hAnsiTheme="majorEastAsia" w:eastAsiaTheme="majorEastAsia"/>
          <w:b/>
          <w:color w:val="auto"/>
          <w:sz w:val="32"/>
          <w:szCs w:val="32"/>
          <w:highlight w:val="none"/>
        </w:rPr>
      </w:pPr>
      <w:r>
        <w:rPr>
          <w:rFonts w:hint="eastAsia" w:cs="仿宋" w:asciiTheme="majorEastAsia" w:hAnsiTheme="majorEastAsia" w:eastAsiaTheme="majorEastAsia"/>
          <w:color w:val="auto"/>
          <w:sz w:val="24"/>
          <w:highlight w:val="none"/>
        </w:rPr>
        <w:t>注：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09C0CD7">
      <w:pPr>
        <w:spacing w:line="360" w:lineRule="auto"/>
        <w:jc w:val="center"/>
        <w:rPr>
          <w:rFonts w:cs="仿宋" w:asciiTheme="majorEastAsia" w:hAnsiTheme="majorEastAsia" w:eastAsiaTheme="majorEastAsia"/>
          <w:b/>
          <w:bCs/>
          <w:color w:val="auto"/>
          <w:sz w:val="32"/>
          <w:szCs w:val="32"/>
          <w:highlight w:val="none"/>
        </w:rPr>
      </w:pPr>
      <w:r>
        <w:rPr>
          <w:rFonts w:hint="eastAsia" w:cs="仿宋" w:asciiTheme="majorEastAsia" w:hAnsiTheme="majorEastAsia" w:eastAsiaTheme="majorEastAsia"/>
          <w:b/>
          <w:color w:val="auto"/>
          <w:sz w:val="32"/>
          <w:szCs w:val="32"/>
          <w:highlight w:val="none"/>
        </w:rPr>
        <w:br w:type="page"/>
      </w:r>
    </w:p>
    <w:p w14:paraId="44C1ABDF">
      <w:pPr>
        <w:spacing w:line="360" w:lineRule="auto"/>
        <w:jc w:val="center"/>
        <w:rPr>
          <w:rFonts w:cs="仿宋" w:asciiTheme="majorEastAsia" w:hAnsiTheme="majorEastAsia" w:eastAsiaTheme="majorEastAsia"/>
          <w:color w:val="auto"/>
          <w:sz w:val="32"/>
          <w:szCs w:val="32"/>
          <w:highlight w:val="none"/>
        </w:rPr>
      </w:pPr>
      <w:r>
        <w:rPr>
          <w:rFonts w:hint="eastAsia" w:cs="仿宋" w:asciiTheme="majorEastAsia" w:hAnsiTheme="majorEastAsia" w:eastAsiaTheme="majorEastAsia"/>
          <w:b/>
          <w:bCs/>
          <w:color w:val="auto"/>
          <w:sz w:val="32"/>
          <w:szCs w:val="32"/>
          <w:highlight w:val="none"/>
        </w:rPr>
        <w:t>四、残疾人福利性单位声明函</w:t>
      </w:r>
    </w:p>
    <w:p w14:paraId="1549753E">
      <w:pPr>
        <w:spacing w:line="360" w:lineRule="auto"/>
        <w:rPr>
          <w:rFonts w:cs="仿宋" w:asciiTheme="majorEastAsia" w:hAnsiTheme="majorEastAsia" w:eastAsiaTheme="majorEastAsia"/>
          <w:b/>
          <w:color w:val="auto"/>
          <w:spacing w:val="6"/>
          <w:sz w:val="30"/>
          <w:szCs w:val="30"/>
          <w:highlight w:val="none"/>
        </w:rPr>
      </w:pPr>
    </w:p>
    <w:p w14:paraId="0F0F7B6F">
      <w:pPr>
        <w:spacing w:line="360" w:lineRule="auto"/>
        <w:ind w:firstLine="480" w:firstLineChars="200"/>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D67392F">
      <w:pPr>
        <w:spacing w:line="360" w:lineRule="auto"/>
        <w:ind w:firstLine="480" w:firstLineChars="200"/>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本单位对上述声明的真实性负责。如有虚假，将依法承担相应责任。</w:t>
      </w:r>
    </w:p>
    <w:p w14:paraId="073C62FA">
      <w:pPr>
        <w:spacing w:line="360" w:lineRule="auto"/>
        <w:ind w:firstLine="480" w:firstLineChars="200"/>
        <w:jc w:val="left"/>
        <w:rPr>
          <w:rFonts w:cs="仿宋" w:asciiTheme="majorEastAsia" w:hAnsiTheme="majorEastAsia" w:eastAsiaTheme="majorEastAsia"/>
          <w:color w:val="auto"/>
          <w:sz w:val="24"/>
          <w:highlight w:val="none"/>
        </w:rPr>
      </w:pPr>
    </w:p>
    <w:p w14:paraId="66B4F56C">
      <w:pPr>
        <w:spacing w:line="360" w:lineRule="auto"/>
        <w:ind w:firstLine="480" w:firstLineChars="200"/>
        <w:jc w:val="left"/>
        <w:rPr>
          <w:rFonts w:cs="仿宋" w:asciiTheme="majorEastAsia" w:hAnsiTheme="majorEastAsia" w:eastAsiaTheme="majorEastAsia"/>
          <w:color w:val="auto"/>
          <w:sz w:val="24"/>
          <w:highlight w:val="none"/>
        </w:rPr>
      </w:pPr>
    </w:p>
    <w:p w14:paraId="5DE5A0B5">
      <w:pPr>
        <w:adjustRightInd w:val="0"/>
        <w:spacing w:line="360" w:lineRule="auto"/>
        <w:ind w:firstLine="2400" w:firstLineChars="1000"/>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            法定代表人或其授权委托人（签名或印章）：</w:t>
      </w:r>
    </w:p>
    <w:p w14:paraId="6693AE1E">
      <w:pPr>
        <w:adjustRightInd w:val="0"/>
        <w:spacing w:line="360" w:lineRule="auto"/>
        <w:ind w:firstLine="3840" w:firstLineChars="1600"/>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投标人（盖章）：</w:t>
      </w:r>
    </w:p>
    <w:p w14:paraId="3E18BCE0">
      <w:pPr>
        <w:rPr>
          <w:rFonts w:asciiTheme="majorEastAsia" w:hAnsiTheme="majorEastAsia" w:eastAsiaTheme="majorEastAsia"/>
          <w:color w:val="auto"/>
          <w:highlight w:val="none"/>
        </w:rPr>
      </w:pPr>
      <w:r>
        <w:rPr>
          <w:rFonts w:hint="eastAsia" w:cs="仿宋" w:asciiTheme="majorEastAsia" w:hAnsiTheme="majorEastAsia" w:eastAsiaTheme="majorEastAsia"/>
          <w:color w:val="auto"/>
          <w:sz w:val="24"/>
          <w:highlight w:val="none"/>
        </w:rPr>
        <w:t xml:space="preserve">                                日期：</w:t>
      </w:r>
    </w:p>
    <w:p w14:paraId="3C50C27B">
      <w:pPr>
        <w:spacing w:line="360" w:lineRule="auto"/>
        <w:ind w:firstLine="643" w:firstLineChars="200"/>
        <w:jc w:val="left"/>
        <w:rPr>
          <w:rFonts w:cs="仿宋" w:asciiTheme="majorEastAsia" w:hAnsiTheme="majorEastAsia" w:eastAsiaTheme="majorEastAsia"/>
          <w:b/>
          <w:color w:val="auto"/>
          <w:sz w:val="32"/>
          <w:szCs w:val="32"/>
          <w:highlight w:val="none"/>
        </w:rPr>
      </w:pPr>
    </w:p>
    <w:p w14:paraId="6861143F">
      <w:pPr>
        <w:spacing w:line="360" w:lineRule="auto"/>
        <w:rPr>
          <w:rFonts w:cs="仿宋" w:asciiTheme="majorEastAsia" w:hAnsiTheme="majorEastAsia" w:eastAsiaTheme="majorEastAsia"/>
          <w:b/>
          <w:color w:val="auto"/>
          <w:sz w:val="32"/>
          <w:szCs w:val="32"/>
          <w:highlight w:val="none"/>
        </w:rPr>
      </w:pPr>
    </w:p>
    <w:p w14:paraId="2025E07D">
      <w:pPr>
        <w:numPr>
          <w:ilvl w:val="0"/>
          <w:numId w:val="6"/>
        </w:numPr>
        <w:spacing w:line="360" w:lineRule="auto"/>
        <w:jc w:val="center"/>
        <w:rPr>
          <w:rFonts w:cs="仿宋" w:asciiTheme="majorEastAsia" w:hAnsiTheme="majorEastAsia" w:eastAsiaTheme="majorEastAsia"/>
          <w:b/>
          <w:color w:val="auto"/>
          <w:spacing w:val="6"/>
          <w:sz w:val="32"/>
          <w:szCs w:val="32"/>
          <w:highlight w:val="none"/>
        </w:rPr>
      </w:pPr>
      <w:r>
        <w:rPr>
          <w:rFonts w:hint="eastAsia" w:cs="仿宋" w:asciiTheme="majorEastAsia" w:hAnsiTheme="majorEastAsia" w:eastAsiaTheme="majorEastAsia"/>
          <w:b/>
          <w:color w:val="auto"/>
          <w:spacing w:val="6"/>
          <w:sz w:val="32"/>
          <w:szCs w:val="32"/>
          <w:highlight w:val="none"/>
        </w:rPr>
        <w:br w:type="page"/>
      </w:r>
      <w:r>
        <w:rPr>
          <w:rFonts w:hint="eastAsia" w:cs="仿宋" w:asciiTheme="majorEastAsia" w:hAnsiTheme="majorEastAsia" w:eastAsiaTheme="majorEastAsia"/>
          <w:b/>
          <w:color w:val="auto"/>
          <w:spacing w:val="6"/>
          <w:sz w:val="32"/>
          <w:szCs w:val="32"/>
          <w:highlight w:val="none"/>
        </w:rPr>
        <w:t>政府采购统计基础信息表</w:t>
      </w:r>
    </w:p>
    <w:p w14:paraId="653241AD">
      <w:pPr>
        <w:pStyle w:val="28"/>
        <w:spacing w:line="360" w:lineRule="auto"/>
        <w:ind w:firstLine="0" w:firstLineChars="0"/>
        <w:rPr>
          <w:rFonts w:cs="仿宋" w:asciiTheme="majorEastAsia" w:hAnsiTheme="majorEastAsia" w:eastAsiaTheme="majorEastAsia"/>
          <w:color w:val="auto"/>
          <w:highlight w:val="none"/>
        </w:rPr>
      </w:pPr>
    </w:p>
    <w:tbl>
      <w:tblPr>
        <w:tblStyle w:val="21"/>
        <w:tblW w:w="8537" w:type="dxa"/>
        <w:jc w:val="center"/>
        <w:tblLayout w:type="fixed"/>
        <w:tblCellMar>
          <w:top w:w="0" w:type="dxa"/>
          <w:left w:w="108" w:type="dxa"/>
          <w:bottom w:w="0" w:type="dxa"/>
          <w:right w:w="108" w:type="dxa"/>
        </w:tblCellMar>
      </w:tblPr>
      <w:tblGrid>
        <w:gridCol w:w="4998"/>
        <w:gridCol w:w="3539"/>
      </w:tblGrid>
      <w:tr w14:paraId="1D1D87BB">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4EFD7ACB">
            <w:pP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采购人及采购项目名称</w:t>
            </w:r>
          </w:p>
        </w:tc>
        <w:tc>
          <w:tcPr>
            <w:tcW w:w="3539" w:type="dxa"/>
            <w:tcBorders>
              <w:top w:val="single" w:color="000000" w:sz="4" w:space="0"/>
              <w:left w:val="nil"/>
              <w:bottom w:val="single" w:color="000000" w:sz="4" w:space="0"/>
              <w:right w:val="single" w:color="000000" w:sz="4" w:space="0"/>
            </w:tcBorders>
          </w:tcPr>
          <w:p w14:paraId="5EC8CACD">
            <w:pPr>
              <w:spacing w:line="360" w:lineRule="auto"/>
              <w:rPr>
                <w:rFonts w:cs="仿宋" w:asciiTheme="majorEastAsia" w:hAnsiTheme="majorEastAsia" w:eastAsiaTheme="majorEastAsia"/>
                <w:color w:val="auto"/>
                <w:highlight w:val="none"/>
              </w:rPr>
            </w:pPr>
          </w:p>
        </w:tc>
      </w:tr>
      <w:tr w14:paraId="1352B20D">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3F2CABD2">
            <w:pP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投标单位名称</w:t>
            </w:r>
          </w:p>
        </w:tc>
        <w:tc>
          <w:tcPr>
            <w:tcW w:w="3539" w:type="dxa"/>
            <w:tcBorders>
              <w:top w:val="single" w:color="000000" w:sz="4" w:space="0"/>
              <w:left w:val="nil"/>
              <w:bottom w:val="single" w:color="000000" w:sz="4" w:space="0"/>
              <w:right w:val="single" w:color="000000" w:sz="4" w:space="0"/>
            </w:tcBorders>
          </w:tcPr>
          <w:p w14:paraId="33DE9A08">
            <w:pPr>
              <w:spacing w:line="360" w:lineRule="auto"/>
              <w:rPr>
                <w:rFonts w:cs="仿宋" w:asciiTheme="majorEastAsia" w:hAnsiTheme="majorEastAsia" w:eastAsiaTheme="majorEastAsia"/>
                <w:color w:val="auto"/>
                <w:highlight w:val="none"/>
              </w:rPr>
            </w:pPr>
          </w:p>
        </w:tc>
      </w:tr>
      <w:tr w14:paraId="037C899D">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5D4CA475">
            <w:pP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投标单位是否为外商投资企业</w:t>
            </w:r>
          </w:p>
        </w:tc>
        <w:tc>
          <w:tcPr>
            <w:tcW w:w="3539" w:type="dxa"/>
            <w:tcBorders>
              <w:top w:val="single" w:color="000000" w:sz="4" w:space="0"/>
              <w:left w:val="nil"/>
              <w:bottom w:val="single" w:color="000000" w:sz="4" w:space="0"/>
              <w:right w:val="single" w:color="000000" w:sz="4" w:space="0"/>
            </w:tcBorders>
          </w:tcPr>
          <w:p w14:paraId="06626FBB">
            <w:pPr>
              <w:spacing w:line="360" w:lineRule="auto"/>
              <w:rPr>
                <w:rFonts w:cs="仿宋" w:asciiTheme="majorEastAsia" w:hAnsiTheme="majorEastAsia" w:eastAsiaTheme="majorEastAsia"/>
                <w:color w:val="auto"/>
                <w:highlight w:val="none"/>
              </w:rPr>
            </w:pPr>
          </w:p>
        </w:tc>
      </w:tr>
      <w:tr w14:paraId="48DA219C">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3EB13F4E">
            <w:pP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投标单位是否为宁波企业</w:t>
            </w:r>
          </w:p>
        </w:tc>
        <w:tc>
          <w:tcPr>
            <w:tcW w:w="3539" w:type="dxa"/>
            <w:tcBorders>
              <w:top w:val="single" w:color="000000" w:sz="4" w:space="0"/>
              <w:left w:val="nil"/>
              <w:bottom w:val="single" w:color="000000" w:sz="4" w:space="0"/>
              <w:right w:val="single" w:color="000000" w:sz="4" w:space="0"/>
            </w:tcBorders>
          </w:tcPr>
          <w:p w14:paraId="15BF255B">
            <w:pPr>
              <w:spacing w:line="360" w:lineRule="auto"/>
              <w:rPr>
                <w:rFonts w:cs="仿宋" w:asciiTheme="majorEastAsia" w:hAnsiTheme="majorEastAsia" w:eastAsiaTheme="majorEastAsia"/>
                <w:color w:val="auto"/>
                <w:highlight w:val="none"/>
              </w:rPr>
            </w:pPr>
          </w:p>
        </w:tc>
      </w:tr>
      <w:tr w14:paraId="26184FF7">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1868F5C8">
            <w:pP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企业划分标准类型（大型、中型、小型、微型）</w:t>
            </w:r>
          </w:p>
        </w:tc>
        <w:tc>
          <w:tcPr>
            <w:tcW w:w="3539" w:type="dxa"/>
            <w:tcBorders>
              <w:top w:val="single" w:color="000000" w:sz="4" w:space="0"/>
              <w:left w:val="nil"/>
              <w:bottom w:val="single" w:color="000000" w:sz="4" w:space="0"/>
              <w:right w:val="single" w:color="000000" w:sz="4" w:space="0"/>
            </w:tcBorders>
          </w:tcPr>
          <w:p w14:paraId="2494EC35">
            <w:pPr>
              <w:spacing w:line="360" w:lineRule="auto"/>
              <w:rPr>
                <w:rFonts w:cs="仿宋" w:asciiTheme="majorEastAsia" w:hAnsiTheme="majorEastAsia" w:eastAsiaTheme="majorEastAsia"/>
                <w:color w:val="auto"/>
                <w:highlight w:val="none"/>
              </w:rPr>
            </w:pPr>
          </w:p>
        </w:tc>
      </w:tr>
      <w:tr w14:paraId="7A6217E2">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1A2EF7A9">
            <w:pP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提供的货物是否本企业制造</w:t>
            </w:r>
          </w:p>
        </w:tc>
        <w:tc>
          <w:tcPr>
            <w:tcW w:w="3539" w:type="dxa"/>
            <w:tcBorders>
              <w:top w:val="single" w:color="000000" w:sz="4" w:space="0"/>
              <w:left w:val="nil"/>
              <w:bottom w:val="single" w:color="000000" w:sz="4" w:space="0"/>
              <w:right w:val="single" w:color="000000" w:sz="4" w:space="0"/>
            </w:tcBorders>
          </w:tcPr>
          <w:p w14:paraId="00C21218">
            <w:pPr>
              <w:spacing w:line="360" w:lineRule="auto"/>
              <w:rPr>
                <w:rFonts w:cs="仿宋" w:asciiTheme="majorEastAsia" w:hAnsiTheme="majorEastAsia" w:eastAsiaTheme="majorEastAsia"/>
                <w:color w:val="auto"/>
                <w:highlight w:val="none"/>
              </w:rPr>
            </w:pPr>
          </w:p>
        </w:tc>
      </w:tr>
      <w:tr w14:paraId="30A2407E">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4C426CB0">
            <w:pP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货物原产地国别</w:t>
            </w:r>
          </w:p>
        </w:tc>
        <w:tc>
          <w:tcPr>
            <w:tcW w:w="3539" w:type="dxa"/>
            <w:tcBorders>
              <w:top w:val="single" w:color="000000" w:sz="4" w:space="0"/>
              <w:left w:val="nil"/>
              <w:bottom w:val="single" w:color="000000" w:sz="4" w:space="0"/>
              <w:right w:val="single" w:color="000000" w:sz="4" w:space="0"/>
            </w:tcBorders>
          </w:tcPr>
          <w:p w14:paraId="7920ACCF">
            <w:pPr>
              <w:spacing w:line="360" w:lineRule="auto"/>
              <w:rPr>
                <w:rFonts w:cs="仿宋" w:asciiTheme="majorEastAsia" w:hAnsiTheme="majorEastAsia" w:eastAsiaTheme="majorEastAsia"/>
                <w:color w:val="auto"/>
                <w:highlight w:val="none"/>
              </w:rPr>
            </w:pPr>
          </w:p>
        </w:tc>
      </w:tr>
      <w:tr w14:paraId="4D4A7D47">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4A851558">
            <w:pP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提供的货物是否为节能清单产品</w:t>
            </w:r>
          </w:p>
        </w:tc>
        <w:tc>
          <w:tcPr>
            <w:tcW w:w="3539" w:type="dxa"/>
            <w:tcBorders>
              <w:top w:val="single" w:color="000000" w:sz="4" w:space="0"/>
              <w:left w:val="nil"/>
              <w:bottom w:val="single" w:color="000000" w:sz="4" w:space="0"/>
              <w:right w:val="single" w:color="000000" w:sz="4" w:space="0"/>
            </w:tcBorders>
          </w:tcPr>
          <w:p w14:paraId="784ECA42">
            <w:pPr>
              <w:spacing w:line="360" w:lineRule="auto"/>
              <w:rPr>
                <w:rFonts w:cs="仿宋" w:asciiTheme="majorEastAsia" w:hAnsiTheme="majorEastAsia" w:eastAsiaTheme="majorEastAsia"/>
                <w:color w:val="auto"/>
                <w:highlight w:val="none"/>
              </w:rPr>
            </w:pPr>
          </w:p>
        </w:tc>
      </w:tr>
      <w:tr w14:paraId="0D7574D8">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64A82689">
            <w:pP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提供的货物是否为环境标志清单产品</w:t>
            </w:r>
          </w:p>
        </w:tc>
        <w:tc>
          <w:tcPr>
            <w:tcW w:w="3539" w:type="dxa"/>
            <w:tcBorders>
              <w:top w:val="single" w:color="000000" w:sz="4" w:space="0"/>
              <w:left w:val="nil"/>
              <w:bottom w:val="single" w:color="000000" w:sz="4" w:space="0"/>
              <w:right w:val="single" w:color="000000" w:sz="4" w:space="0"/>
            </w:tcBorders>
          </w:tcPr>
          <w:p w14:paraId="1C4B061E">
            <w:pPr>
              <w:spacing w:line="360" w:lineRule="auto"/>
              <w:rPr>
                <w:rFonts w:cs="仿宋" w:asciiTheme="majorEastAsia" w:hAnsiTheme="majorEastAsia" w:eastAsiaTheme="majorEastAsia"/>
                <w:color w:val="auto"/>
                <w:highlight w:val="none"/>
              </w:rPr>
            </w:pPr>
          </w:p>
        </w:tc>
      </w:tr>
      <w:tr w14:paraId="477D1CDA">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0E4097A7">
            <w:pP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承担的工程或服务是否本企业提供</w:t>
            </w:r>
          </w:p>
        </w:tc>
        <w:tc>
          <w:tcPr>
            <w:tcW w:w="3539" w:type="dxa"/>
            <w:tcBorders>
              <w:top w:val="single" w:color="000000" w:sz="4" w:space="0"/>
              <w:left w:val="nil"/>
              <w:bottom w:val="single" w:color="000000" w:sz="4" w:space="0"/>
              <w:right w:val="single" w:color="000000" w:sz="4" w:space="0"/>
            </w:tcBorders>
          </w:tcPr>
          <w:p w14:paraId="33E6B261">
            <w:pPr>
              <w:spacing w:line="360" w:lineRule="auto"/>
              <w:rPr>
                <w:rFonts w:cs="仿宋" w:asciiTheme="majorEastAsia" w:hAnsiTheme="majorEastAsia" w:eastAsiaTheme="majorEastAsia"/>
                <w:color w:val="auto"/>
                <w:highlight w:val="none"/>
              </w:rPr>
            </w:pPr>
          </w:p>
        </w:tc>
      </w:tr>
    </w:tbl>
    <w:p w14:paraId="020510B2">
      <w:pPr>
        <w:adjustRightInd w:val="0"/>
        <w:spacing w:line="360" w:lineRule="auto"/>
        <w:jc w:val="left"/>
        <w:rPr>
          <w:rFonts w:cs="仿宋" w:asciiTheme="majorEastAsia" w:hAnsiTheme="majorEastAsia" w:eastAsiaTheme="majorEastAsia"/>
          <w:color w:val="auto"/>
          <w:sz w:val="24"/>
          <w:highlight w:val="none"/>
        </w:rPr>
      </w:pPr>
    </w:p>
    <w:p w14:paraId="141433E3">
      <w:pP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备注：请各投标人务必填写此表作为投标文件的组成部分。</w:t>
      </w:r>
    </w:p>
    <w:p w14:paraId="0BE144D0">
      <w:pPr>
        <w:adjustRightInd w:val="0"/>
        <w:spacing w:line="360" w:lineRule="auto"/>
        <w:jc w:val="left"/>
        <w:rPr>
          <w:rFonts w:cs="仿宋" w:asciiTheme="majorEastAsia" w:hAnsiTheme="majorEastAsia" w:eastAsiaTheme="majorEastAsia"/>
          <w:color w:val="auto"/>
          <w:sz w:val="24"/>
          <w:highlight w:val="none"/>
        </w:rPr>
      </w:pPr>
    </w:p>
    <w:p w14:paraId="53D91152">
      <w:pPr>
        <w:adjustRightInd w:val="0"/>
        <w:spacing w:line="360" w:lineRule="auto"/>
        <w:jc w:val="left"/>
        <w:rPr>
          <w:rFonts w:cs="仿宋" w:asciiTheme="majorEastAsia" w:hAnsiTheme="majorEastAsia" w:eastAsiaTheme="majorEastAsia"/>
          <w:color w:val="auto"/>
          <w:sz w:val="24"/>
          <w:highlight w:val="none"/>
        </w:rPr>
      </w:pPr>
    </w:p>
    <w:p w14:paraId="1F6361F9">
      <w:pPr>
        <w:adjustRightInd w:val="0"/>
        <w:spacing w:line="360" w:lineRule="auto"/>
        <w:ind w:firstLine="2400" w:firstLineChars="1000"/>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法定代表人或其授权委托人（签名或印章）：</w:t>
      </w:r>
    </w:p>
    <w:p w14:paraId="1082BE2E">
      <w:pPr>
        <w:adjustRightInd w:val="0"/>
        <w:spacing w:line="360" w:lineRule="auto"/>
        <w:ind w:firstLine="2400" w:firstLineChars="1000"/>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投标人（盖章）：</w:t>
      </w:r>
    </w:p>
    <w:p w14:paraId="008CED22">
      <w:pPr>
        <w:rPr>
          <w:rFonts w:asciiTheme="majorEastAsia" w:hAnsiTheme="majorEastAsia" w:eastAsiaTheme="majorEastAsia"/>
          <w:color w:val="auto"/>
          <w:highlight w:val="none"/>
        </w:rPr>
      </w:pPr>
      <w:r>
        <w:rPr>
          <w:rFonts w:hint="eastAsia" w:cs="仿宋" w:asciiTheme="majorEastAsia" w:hAnsiTheme="majorEastAsia" w:eastAsiaTheme="majorEastAsia"/>
          <w:color w:val="auto"/>
          <w:sz w:val="24"/>
          <w:highlight w:val="none"/>
        </w:rPr>
        <w:t xml:space="preserve">                    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85295">
    <w:pPr>
      <w:pStyle w:val="1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108</w:t>
    </w:r>
    <w:r>
      <w:rPr>
        <w:rFonts w:hint="eastAsia" w:ascii="仿宋_GB2312" w:eastAsia="仿宋_GB2312"/>
        <w:kern w:val="0"/>
      </w:rPr>
      <w:fldChar w:fldCharType="end"/>
    </w:r>
    <w:r>
      <w:rPr>
        <w:rFonts w:hint="eastAsia" w:ascii="仿宋_GB2312" w:eastAsia="仿宋_GB2312"/>
        <w:kern w:val="0"/>
      </w:rPr>
      <w:t xml:space="preserve"> 页</w:t>
    </w:r>
  </w:p>
  <w:p w14:paraId="27F6EE74">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BBEFE7">
    <w:pPr>
      <w:pStyle w:val="1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108</w:t>
    </w:r>
    <w:r>
      <w:rPr>
        <w:rFonts w:hint="eastAsia" w:ascii="仿宋_GB2312" w:eastAsia="仿宋_GB2312"/>
        <w:kern w:val="0"/>
      </w:rPr>
      <w:fldChar w:fldCharType="end"/>
    </w:r>
    <w:r>
      <w:rPr>
        <w:rFonts w:hint="eastAsia" w:ascii="仿宋_GB2312" w:eastAsia="仿宋_GB2312"/>
        <w:kern w:val="0"/>
      </w:rPr>
      <w:t xml:space="preserve"> 页</w:t>
    </w:r>
  </w:p>
  <w:p w14:paraId="62470EF5">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23A35">
    <w:pPr>
      <w:pStyle w:val="1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108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108</w:t>
    </w:r>
    <w:r>
      <w:rPr>
        <w:rFonts w:hint="eastAsia" w:ascii="仿宋_GB2312" w:eastAsia="仿宋_GB2312"/>
        <w:kern w:val="0"/>
      </w:rPr>
      <w:fldChar w:fldCharType="end"/>
    </w:r>
    <w:r>
      <w:rPr>
        <w:rFonts w:hint="eastAsia" w:ascii="仿宋_GB2312" w:eastAsia="仿宋_GB2312"/>
        <w:kern w:val="0"/>
      </w:rPr>
      <w:t xml:space="preserve"> 页</w:t>
    </w:r>
  </w:p>
  <w:p w14:paraId="3856C835">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A4391">
    <w:pPr>
      <w:pStyle w:val="1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100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108</w:t>
    </w:r>
    <w:r>
      <w:rPr>
        <w:rFonts w:hint="eastAsia" w:ascii="仿宋_GB2312" w:eastAsia="仿宋_GB2312"/>
        <w:kern w:val="0"/>
      </w:rPr>
      <w:fldChar w:fldCharType="end"/>
    </w:r>
    <w:r>
      <w:rPr>
        <w:rFonts w:hint="eastAsia" w:ascii="仿宋_GB2312" w:eastAsia="仿宋_GB2312"/>
        <w:kern w:val="0"/>
      </w:rPr>
      <w:t xml:space="preserve"> 页</w:t>
    </w:r>
  </w:p>
  <w:p w14:paraId="6F9ECBAC">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3F795">
    <w:pPr>
      <w:pStyle w:val="15"/>
      <w:pBdr>
        <w:bottom w:val="none" w:color="auto" w:sz="0" w:space="0"/>
      </w:pBdr>
      <w:jc w:val="right"/>
      <w:rPr>
        <w:rFonts w:ascii="仿宋_GB2312" w:eastAsia="仿宋_GB2312"/>
        <w:b/>
        <w:i/>
        <w:u w:val="single"/>
      </w:rPr>
    </w:pPr>
    <w:r>
      <w:t></w:t>
    </w:r>
    <w:r>
      <w:rPr>
        <w:rFonts w:hint="eastAsia"/>
      </w:rPr>
      <w:t xml:space="preserve">                                               </w:t>
    </w:r>
  </w:p>
  <w:p w14:paraId="6EE5935B">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8C1D8">
    <w:pPr>
      <w:pStyle w:val="15"/>
      <w:jc w:val="right"/>
    </w:pP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0ACD9">
    <w:pPr>
      <w:pStyle w:val="15"/>
      <w:jc w:val="right"/>
      <w:rPr>
        <w:rFonts w:ascii="仿宋_GB2312" w:eastAsia="仿宋_GB2312"/>
        <w:b/>
        <w:i/>
        <w:u w:val="single"/>
      </w:rPr>
    </w:pPr>
    <w:r>
      <w:rPr>
        <w:rFonts w:hint="eastAsia"/>
      </w:rPr>
      <w:t xml:space="preserve">                                 </w:t>
    </w:r>
  </w:p>
  <w:p w14:paraId="4930B77B">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02EEF">
    <w:pPr>
      <w:pStyle w:val="15"/>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225D33"/>
    <w:multiLevelType w:val="singleLevel"/>
    <w:tmpl w:val="9D225D33"/>
    <w:lvl w:ilvl="0" w:tentative="0">
      <w:start w:val="5"/>
      <w:numFmt w:val="chineseCounting"/>
      <w:suff w:val="nothing"/>
      <w:lvlText w:val="%1、"/>
      <w:lvlJc w:val="left"/>
      <w:rPr>
        <w:rFonts w:hint="eastAsia"/>
      </w:rPr>
    </w:lvl>
  </w:abstractNum>
  <w:abstractNum w:abstractNumId="1">
    <w:nsid w:val="A95BA21C"/>
    <w:multiLevelType w:val="singleLevel"/>
    <w:tmpl w:val="A95BA21C"/>
    <w:lvl w:ilvl="0" w:tentative="0">
      <w:start w:val="1"/>
      <w:numFmt w:val="decimal"/>
      <w:suff w:val="nothing"/>
      <w:lvlText w:val="%1．"/>
      <w:lvlJc w:val="left"/>
      <w:pPr>
        <w:ind w:left="0" w:firstLine="400"/>
      </w:pPr>
      <w:rPr>
        <w:rFonts w:hint="default"/>
      </w:rPr>
    </w:lvl>
  </w:abstractNum>
  <w:abstractNum w:abstractNumId="2">
    <w:nsid w:val="2DC53F9C"/>
    <w:multiLevelType w:val="singleLevel"/>
    <w:tmpl w:val="2DC53F9C"/>
    <w:lvl w:ilvl="0" w:tentative="0">
      <w:start w:val="5"/>
      <w:numFmt w:val="chineseCounting"/>
      <w:suff w:val="space"/>
      <w:lvlText w:val="第%1部分"/>
      <w:lvlJc w:val="left"/>
      <w:rPr>
        <w:rFonts w:hint="eastAsia"/>
      </w:rPr>
    </w:lvl>
  </w:abstractNum>
  <w:abstractNum w:abstractNumId="3">
    <w:nsid w:val="495C2BCE"/>
    <w:multiLevelType w:val="singleLevel"/>
    <w:tmpl w:val="495C2BCE"/>
    <w:lvl w:ilvl="0" w:tentative="0">
      <w:start w:val="1"/>
      <w:numFmt w:val="chineseCounting"/>
      <w:suff w:val="nothing"/>
      <w:lvlText w:val="%1、"/>
      <w:lvlJc w:val="left"/>
      <w:rPr>
        <w:rFonts w:hint="eastAsia"/>
      </w:rPr>
    </w:lvl>
  </w:abstractNum>
  <w:abstractNum w:abstractNumId="4">
    <w:nsid w:val="5D2451E3"/>
    <w:multiLevelType w:val="singleLevel"/>
    <w:tmpl w:val="5D2451E3"/>
    <w:lvl w:ilvl="0" w:tentative="0">
      <w:start w:val="26"/>
      <w:numFmt w:val="decimal"/>
      <w:suff w:val="nothing"/>
      <w:lvlText w:val="%1."/>
      <w:lvlJc w:val="left"/>
    </w:lvl>
  </w:abstractNum>
  <w:abstractNum w:abstractNumId="5">
    <w:nsid w:val="766A9831"/>
    <w:multiLevelType w:val="singleLevel"/>
    <w:tmpl w:val="766A9831"/>
    <w:lvl w:ilvl="0" w:tentative="0">
      <w:start w:val="1"/>
      <w:numFmt w:val="decimal"/>
      <w:suff w:val="nothing"/>
      <w:lvlText w:val="%1）"/>
      <w:lvlJc w:val="left"/>
    </w:lvl>
  </w:abstractNum>
  <w:num w:numId="1">
    <w:abstractNumId w:val="1"/>
  </w:num>
  <w:num w:numId="2">
    <w:abstractNumId w:val="5"/>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Y1ZGNkMmVmYTc0MzgzZDY0NWM1YWY1ODNjN2IyNmIifQ=="/>
    <w:docVar w:name="KSO_WPS_MARK_KEY" w:val="088f987d-1505-4ada-a399-fd12d7d13faf"/>
  </w:docVars>
  <w:rsids>
    <w:rsidRoot w:val="00982EB4"/>
    <w:rsid w:val="00001ECB"/>
    <w:rsid w:val="00004D7C"/>
    <w:rsid w:val="00011599"/>
    <w:rsid w:val="0001162B"/>
    <w:rsid w:val="00016734"/>
    <w:rsid w:val="00026D0E"/>
    <w:rsid w:val="0003260A"/>
    <w:rsid w:val="00034903"/>
    <w:rsid w:val="000465D3"/>
    <w:rsid w:val="00047659"/>
    <w:rsid w:val="00047A8D"/>
    <w:rsid w:val="0005032F"/>
    <w:rsid w:val="0005149D"/>
    <w:rsid w:val="00053CEE"/>
    <w:rsid w:val="000609FA"/>
    <w:rsid w:val="00063188"/>
    <w:rsid w:val="00065DEA"/>
    <w:rsid w:val="00071345"/>
    <w:rsid w:val="00072538"/>
    <w:rsid w:val="000729C7"/>
    <w:rsid w:val="00074CA2"/>
    <w:rsid w:val="000871A1"/>
    <w:rsid w:val="000949CA"/>
    <w:rsid w:val="00095D46"/>
    <w:rsid w:val="0009648B"/>
    <w:rsid w:val="000A40CE"/>
    <w:rsid w:val="000B0844"/>
    <w:rsid w:val="000B0B87"/>
    <w:rsid w:val="000B602D"/>
    <w:rsid w:val="000C30EF"/>
    <w:rsid w:val="000D65BC"/>
    <w:rsid w:val="000D7731"/>
    <w:rsid w:val="000E0497"/>
    <w:rsid w:val="000E209C"/>
    <w:rsid w:val="000E448A"/>
    <w:rsid w:val="000F250D"/>
    <w:rsid w:val="000F7752"/>
    <w:rsid w:val="001019AA"/>
    <w:rsid w:val="00113D45"/>
    <w:rsid w:val="0012153D"/>
    <w:rsid w:val="001343C0"/>
    <w:rsid w:val="00134480"/>
    <w:rsid w:val="00140A20"/>
    <w:rsid w:val="001412B0"/>
    <w:rsid w:val="00144480"/>
    <w:rsid w:val="001553AB"/>
    <w:rsid w:val="001630C6"/>
    <w:rsid w:val="001665AB"/>
    <w:rsid w:val="00167CC2"/>
    <w:rsid w:val="0017012F"/>
    <w:rsid w:val="001716B0"/>
    <w:rsid w:val="00185916"/>
    <w:rsid w:val="00193541"/>
    <w:rsid w:val="001A3F73"/>
    <w:rsid w:val="001B1F50"/>
    <w:rsid w:val="001B2FBB"/>
    <w:rsid w:val="001B61A6"/>
    <w:rsid w:val="001C1283"/>
    <w:rsid w:val="001C58B3"/>
    <w:rsid w:val="001C6F37"/>
    <w:rsid w:val="001D1B29"/>
    <w:rsid w:val="001E02B1"/>
    <w:rsid w:val="001E1684"/>
    <w:rsid w:val="001E245B"/>
    <w:rsid w:val="001E4C01"/>
    <w:rsid w:val="001E521A"/>
    <w:rsid w:val="001F1D61"/>
    <w:rsid w:val="001F35E9"/>
    <w:rsid w:val="001F3EFC"/>
    <w:rsid w:val="0020071A"/>
    <w:rsid w:val="00203461"/>
    <w:rsid w:val="00213CF6"/>
    <w:rsid w:val="002142FC"/>
    <w:rsid w:val="00215736"/>
    <w:rsid w:val="00217B60"/>
    <w:rsid w:val="00222694"/>
    <w:rsid w:val="00223803"/>
    <w:rsid w:val="00227C4E"/>
    <w:rsid w:val="0024092E"/>
    <w:rsid w:val="00240D47"/>
    <w:rsid w:val="00247FDB"/>
    <w:rsid w:val="00257FDF"/>
    <w:rsid w:val="00260EFB"/>
    <w:rsid w:val="00261391"/>
    <w:rsid w:val="00261ED0"/>
    <w:rsid w:val="0026201D"/>
    <w:rsid w:val="0027141A"/>
    <w:rsid w:val="00275C8E"/>
    <w:rsid w:val="002809CA"/>
    <w:rsid w:val="00286636"/>
    <w:rsid w:val="002875ED"/>
    <w:rsid w:val="00290260"/>
    <w:rsid w:val="002A1A2E"/>
    <w:rsid w:val="002A2803"/>
    <w:rsid w:val="002A4263"/>
    <w:rsid w:val="002C580B"/>
    <w:rsid w:val="002D1CA7"/>
    <w:rsid w:val="002D6922"/>
    <w:rsid w:val="002E2FC9"/>
    <w:rsid w:val="002E5673"/>
    <w:rsid w:val="0030032C"/>
    <w:rsid w:val="003033C3"/>
    <w:rsid w:val="00305C42"/>
    <w:rsid w:val="00312806"/>
    <w:rsid w:val="00316668"/>
    <w:rsid w:val="0032369D"/>
    <w:rsid w:val="00333C7E"/>
    <w:rsid w:val="00334436"/>
    <w:rsid w:val="0033720C"/>
    <w:rsid w:val="0034556E"/>
    <w:rsid w:val="003460FA"/>
    <w:rsid w:val="00346E54"/>
    <w:rsid w:val="003549BF"/>
    <w:rsid w:val="003569CF"/>
    <w:rsid w:val="00371A37"/>
    <w:rsid w:val="003773A8"/>
    <w:rsid w:val="003776CE"/>
    <w:rsid w:val="0038462A"/>
    <w:rsid w:val="003A3E53"/>
    <w:rsid w:val="003A564C"/>
    <w:rsid w:val="003A5E38"/>
    <w:rsid w:val="003B1D26"/>
    <w:rsid w:val="003C1B65"/>
    <w:rsid w:val="003D3EFA"/>
    <w:rsid w:val="003E2377"/>
    <w:rsid w:val="003F0E54"/>
    <w:rsid w:val="003F6DC2"/>
    <w:rsid w:val="00404243"/>
    <w:rsid w:val="00410017"/>
    <w:rsid w:val="0041144A"/>
    <w:rsid w:val="0041335C"/>
    <w:rsid w:val="00414050"/>
    <w:rsid w:val="00415334"/>
    <w:rsid w:val="00417D61"/>
    <w:rsid w:val="00433A0B"/>
    <w:rsid w:val="00452882"/>
    <w:rsid w:val="0046404A"/>
    <w:rsid w:val="004675BC"/>
    <w:rsid w:val="0048230E"/>
    <w:rsid w:val="004A3EC7"/>
    <w:rsid w:val="004A47D1"/>
    <w:rsid w:val="004B5B48"/>
    <w:rsid w:val="004C32C3"/>
    <w:rsid w:val="004C4064"/>
    <w:rsid w:val="004C4A1E"/>
    <w:rsid w:val="004C4BF1"/>
    <w:rsid w:val="004E0051"/>
    <w:rsid w:val="004E23EB"/>
    <w:rsid w:val="004E484A"/>
    <w:rsid w:val="004E6028"/>
    <w:rsid w:val="004E7F11"/>
    <w:rsid w:val="0050438B"/>
    <w:rsid w:val="005047BD"/>
    <w:rsid w:val="005069F9"/>
    <w:rsid w:val="00507B69"/>
    <w:rsid w:val="005109FF"/>
    <w:rsid w:val="00514314"/>
    <w:rsid w:val="005221C2"/>
    <w:rsid w:val="00524560"/>
    <w:rsid w:val="005409B1"/>
    <w:rsid w:val="00544535"/>
    <w:rsid w:val="00545EB5"/>
    <w:rsid w:val="00550EE6"/>
    <w:rsid w:val="005512AB"/>
    <w:rsid w:val="00552871"/>
    <w:rsid w:val="005537BE"/>
    <w:rsid w:val="00555D80"/>
    <w:rsid w:val="00557ADC"/>
    <w:rsid w:val="00563484"/>
    <w:rsid w:val="00576867"/>
    <w:rsid w:val="00587285"/>
    <w:rsid w:val="005909CD"/>
    <w:rsid w:val="005A15D5"/>
    <w:rsid w:val="005A2739"/>
    <w:rsid w:val="005A54A7"/>
    <w:rsid w:val="005B0674"/>
    <w:rsid w:val="005B09B1"/>
    <w:rsid w:val="005B250C"/>
    <w:rsid w:val="005B4807"/>
    <w:rsid w:val="005B49BC"/>
    <w:rsid w:val="005B4CBC"/>
    <w:rsid w:val="005C0993"/>
    <w:rsid w:val="005C1E38"/>
    <w:rsid w:val="005D37FA"/>
    <w:rsid w:val="005D4304"/>
    <w:rsid w:val="005D6AD8"/>
    <w:rsid w:val="005D7DD9"/>
    <w:rsid w:val="005E1EFF"/>
    <w:rsid w:val="00604048"/>
    <w:rsid w:val="0063685D"/>
    <w:rsid w:val="00645F96"/>
    <w:rsid w:val="0065305C"/>
    <w:rsid w:val="006555E8"/>
    <w:rsid w:val="0065579D"/>
    <w:rsid w:val="00660EA6"/>
    <w:rsid w:val="00660ED1"/>
    <w:rsid w:val="00662B59"/>
    <w:rsid w:val="00673D9C"/>
    <w:rsid w:val="00686437"/>
    <w:rsid w:val="00693366"/>
    <w:rsid w:val="00693390"/>
    <w:rsid w:val="0069454C"/>
    <w:rsid w:val="006A67DA"/>
    <w:rsid w:val="006B593D"/>
    <w:rsid w:val="006B5EFC"/>
    <w:rsid w:val="006D0AF6"/>
    <w:rsid w:val="006D1824"/>
    <w:rsid w:val="006D63C7"/>
    <w:rsid w:val="006E1C6F"/>
    <w:rsid w:val="006E5113"/>
    <w:rsid w:val="006E55CA"/>
    <w:rsid w:val="007007DA"/>
    <w:rsid w:val="00706C27"/>
    <w:rsid w:val="00714177"/>
    <w:rsid w:val="0072009B"/>
    <w:rsid w:val="00731605"/>
    <w:rsid w:val="00736033"/>
    <w:rsid w:val="0074653B"/>
    <w:rsid w:val="00752857"/>
    <w:rsid w:val="00764A69"/>
    <w:rsid w:val="0076652D"/>
    <w:rsid w:val="00767E02"/>
    <w:rsid w:val="007724EC"/>
    <w:rsid w:val="00773362"/>
    <w:rsid w:val="007878CB"/>
    <w:rsid w:val="00794005"/>
    <w:rsid w:val="007C6CF9"/>
    <w:rsid w:val="007C6E98"/>
    <w:rsid w:val="007D1053"/>
    <w:rsid w:val="007D3047"/>
    <w:rsid w:val="007D6969"/>
    <w:rsid w:val="007E3C6D"/>
    <w:rsid w:val="007E5A2D"/>
    <w:rsid w:val="00822769"/>
    <w:rsid w:val="00825F1D"/>
    <w:rsid w:val="0083502E"/>
    <w:rsid w:val="00843E42"/>
    <w:rsid w:val="008508CC"/>
    <w:rsid w:val="0085676B"/>
    <w:rsid w:val="00857454"/>
    <w:rsid w:val="0087319C"/>
    <w:rsid w:val="00886BF0"/>
    <w:rsid w:val="008A3D03"/>
    <w:rsid w:val="008B0252"/>
    <w:rsid w:val="008B113D"/>
    <w:rsid w:val="008B1E35"/>
    <w:rsid w:val="008C7259"/>
    <w:rsid w:val="008D0014"/>
    <w:rsid w:val="008D10A3"/>
    <w:rsid w:val="008F739E"/>
    <w:rsid w:val="009018CB"/>
    <w:rsid w:val="009024C2"/>
    <w:rsid w:val="00904347"/>
    <w:rsid w:val="00905E5E"/>
    <w:rsid w:val="009127A5"/>
    <w:rsid w:val="00912902"/>
    <w:rsid w:val="00930A5D"/>
    <w:rsid w:val="00932764"/>
    <w:rsid w:val="00937314"/>
    <w:rsid w:val="00952351"/>
    <w:rsid w:val="009646D5"/>
    <w:rsid w:val="009753D6"/>
    <w:rsid w:val="00982EB4"/>
    <w:rsid w:val="00983479"/>
    <w:rsid w:val="00986FFC"/>
    <w:rsid w:val="00994AFB"/>
    <w:rsid w:val="00994C2D"/>
    <w:rsid w:val="00995301"/>
    <w:rsid w:val="00996E07"/>
    <w:rsid w:val="009A0C0C"/>
    <w:rsid w:val="009A18D8"/>
    <w:rsid w:val="009A63D4"/>
    <w:rsid w:val="009B4083"/>
    <w:rsid w:val="009D513D"/>
    <w:rsid w:val="009E3511"/>
    <w:rsid w:val="009F47DB"/>
    <w:rsid w:val="009F5B94"/>
    <w:rsid w:val="00A0175A"/>
    <w:rsid w:val="00A11C20"/>
    <w:rsid w:val="00A12465"/>
    <w:rsid w:val="00A16A42"/>
    <w:rsid w:val="00A23DA0"/>
    <w:rsid w:val="00A400EB"/>
    <w:rsid w:val="00A5265A"/>
    <w:rsid w:val="00A64BE4"/>
    <w:rsid w:val="00A728CC"/>
    <w:rsid w:val="00A82396"/>
    <w:rsid w:val="00A83EED"/>
    <w:rsid w:val="00A85DCA"/>
    <w:rsid w:val="00A94353"/>
    <w:rsid w:val="00A94AFE"/>
    <w:rsid w:val="00AA47EF"/>
    <w:rsid w:val="00AC77A7"/>
    <w:rsid w:val="00AD1DCA"/>
    <w:rsid w:val="00AE149C"/>
    <w:rsid w:val="00AE2547"/>
    <w:rsid w:val="00AE51B2"/>
    <w:rsid w:val="00AE76E2"/>
    <w:rsid w:val="00AF3BC5"/>
    <w:rsid w:val="00B006FB"/>
    <w:rsid w:val="00B13FEF"/>
    <w:rsid w:val="00B24029"/>
    <w:rsid w:val="00B247A3"/>
    <w:rsid w:val="00B2606F"/>
    <w:rsid w:val="00B3449C"/>
    <w:rsid w:val="00B35E61"/>
    <w:rsid w:val="00B408F1"/>
    <w:rsid w:val="00B419F7"/>
    <w:rsid w:val="00B5246B"/>
    <w:rsid w:val="00B56D6D"/>
    <w:rsid w:val="00B60324"/>
    <w:rsid w:val="00B613FC"/>
    <w:rsid w:val="00B80328"/>
    <w:rsid w:val="00B938F7"/>
    <w:rsid w:val="00B96EBC"/>
    <w:rsid w:val="00BA37B2"/>
    <w:rsid w:val="00BA7F9C"/>
    <w:rsid w:val="00BB4A33"/>
    <w:rsid w:val="00BC3FFF"/>
    <w:rsid w:val="00BC71DD"/>
    <w:rsid w:val="00BD468E"/>
    <w:rsid w:val="00BF1581"/>
    <w:rsid w:val="00BF3281"/>
    <w:rsid w:val="00BF605B"/>
    <w:rsid w:val="00BF607B"/>
    <w:rsid w:val="00BF60F9"/>
    <w:rsid w:val="00C043DA"/>
    <w:rsid w:val="00C04E3A"/>
    <w:rsid w:val="00C07316"/>
    <w:rsid w:val="00C3014A"/>
    <w:rsid w:val="00C351CF"/>
    <w:rsid w:val="00C428E2"/>
    <w:rsid w:val="00C53DA7"/>
    <w:rsid w:val="00C56A2B"/>
    <w:rsid w:val="00C63565"/>
    <w:rsid w:val="00C63C65"/>
    <w:rsid w:val="00C6594A"/>
    <w:rsid w:val="00C73083"/>
    <w:rsid w:val="00C76458"/>
    <w:rsid w:val="00C82E86"/>
    <w:rsid w:val="00C82EC8"/>
    <w:rsid w:val="00C96292"/>
    <w:rsid w:val="00C97D4F"/>
    <w:rsid w:val="00CB17EC"/>
    <w:rsid w:val="00CB32FC"/>
    <w:rsid w:val="00CB34BF"/>
    <w:rsid w:val="00CB418E"/>
    <w:rsid w:val="00CC6165"/>
    <w:rsid w:val="00CD2B1D"/>
    <w:rsid w:val="00CD4A01"/>
    <w:rsid w:val="00CE18C1"/>
    <w:rsid w:val="00D03DEC"/>
    <w:rsid w:val="00D0725E"/>
    <w:rsid w:val="00D13B85"/>
    <w:rsid w:val="00D161B1"/>
    <w:rsid w:val="00D16B90"/>
    <w:rsid w:val="00D226DF"/>
    <w:rsid w:val="00D238CC"/>
    <w:rsid w:val="00D322A1"/>
    <w:rsid w:val="00D33842"/>
    <w:rsid w:val="00D33BF5"/>
    <w:rsid w:val="00D407E0"/>
    <w:rsid w:val="00D4526A"/>
    <w:rsid w:val="00D474AE"/>
    <w:rsid w:val="00D621D2"/>
    <w:rsid w:val="00D62310"/>
    <w:rsid w:val="00D71BB7"/>
    <w:rsid w:val="00D72AEF"/>
    <w:rsid w:val="00D75034"/>
    <w:rsid w:val="00D75BB4"/>
    <w:rsid w:val="00D773B2"/>
    <w:rsid w:val="00D81D6C"/>
    <w:rsid w:val="00D91518"/>
    <w:rsid w:val="00D9198C"/>
    <w:rsid w:val="00D93F68"/>
    <w:rsid w:val="00DA4688"/>
    <w:rsid w:val="00DA795E"/>
    <w:rsid w:val="00DB26F8"/>
    <w:rsid w:val="00DB3AFD"/>
    <w:rsid w:val="00DC3139"/>
    <w:rsid w:val="00DD58D5"/>
    <w:rsid w:val="00DD67DD"/>
    <w:rsid w:val="00DD6BE5"/>
    <w:rsid w:val="00DE59EB"/>
    <w:rsid w:val="00DF05BF"/>
    <w:rsid w:val="00E04542"/>
    <w:rsid w:val="00E11157"/>
    <w:rsid w:val="00E13794"/>
    <w:rsid w:val="00E14BBF"/>
    <w:rsid w:val="00E14F75"/>
    <w:rsid w:val="00E23AD0"/>
    <w:rsid w:val="00E24F7B"/>
    <w:rsid w:val="00E262D7"/>
    <w:rsid w:val="00E50B2F"/>
    <w:rsid w:val="00E53F51"/>
    <w:rsid w:val="00E569AB"/>
    <w:rsid w:val="00E6459C"/>
    <w:rsid w:val="00E73A2B"/>
    <w:rsid w:val="00E81D88"/>
    <w:rsid w:val="00E86843"/>
    <w:rsid w:val="00EB2459"/>
    <w:rsid w:val="00EB25A8"/>
    <w:rsid w:val="00EC3260"/>
    <w:rsid w:val="00EC4AA7"/>
    <w:rsid w:val="00ED669C"/>
    <w:rsid w:val="00EF1EBB"/>
    <w:rsid w:val="00F00022"/>
    <w:rsid w:val="00F0217B"/>
    <w:rsid w:val="00F0445F"/>
    <w:rsid w:val="00F117CF"/>
    <w:rsid w:val="00F128C1"/>
    <w:rsid w:val="00F14A68"/>
    <w:rsid w:val="00F16100"/>
    <w:rsid w:val="00F1792E"/>
    <w:rsid w:val="00F20DD6"/>
    <w:rsid w:val="00F21A6A"/>
    <w:rsid w:val="00F30009"/>
    <w:rsid w:val="00F306B9"/>
    <w:rsid w:val="00F324B7"/>
    <w:rsid w:val="00F36900"/>
    <w:rsid w:val="00F46013"/>
    <w:rsid w:val="00F5009D"/>
    <w:rsid w:val="00F51917"/>
    <w:rsid w:val="00F60919"/>
    <w:rsid w:val="00F754D1"/>
    <w:rsid w:val="00F85EC7"/>
    <w:rsid w:val="00F876E3"/>
    <w:rsid w:val="00FA1621"/>
    <w:rsid w:val="00FA1C49"/>
    <w:rsid w:val="00FB3B85"/>
    <w:rsid w:val="00FC1D12"/>
    <w:rsid w:val="00FD26E6"/>
    <w:rsid w:val="00FD2B7E"/>
    <w:rsid w:val="00FD3F44"/>
    <w:rsid w:val="00FD5BE2"/>
    <w:rsid w:val="00FE20BC"/>
    <w:rsid w:val="00FE2BA4"/>
    <w:rsid w:val="00FF2337"/>
    <w:rsid w:val="00FF2980"/>
    <w:rsid w:val="00FF710F"/>
    <w:rsid w:val="00FF796A"/>
    <w:rsid w:val="00FF7E38"/>
    <w:rsid w:val="012077D0"/>
    <w:rsid w:val="0123301A"/>
    <w:rsid w:val="0131236B"/>
    <w:rsid w:val="01322A11"/>
    <w:rsid w:val="01325E2D"/>
    <w:rsid w:val="01415983"/>
    <w:rsid w:val="0147153B"/>
    <w:rsid w:val="0150170A"/>
    <w:rsid w:val="018F4C90"/>
    <w:rsid w:val="01D926EC"/>
    <w:rsid w:val="02054F52"/>
    <w:rsid w:val="021653B1"/>
    <w:rsid w:val="022278B2"/>
    <w:rsid w:val="02232F51"/>
    <w:rsid w:val="02AF6C05"/>
    <w:rsid w:val="02B237ED"/>
    <w:rsid w:val="02C47F4A"/>
    <w:rsid w:val="02D15920"/>
    <w:rsid w:val="030F798C"/>
    <w:rsid w:val="031E62CB"/>
    <w:rsid w:val="03305A05"/>
    <w:rsid w:val="036039F8"/>
    <w:rsid w:val="037240DF"/>
    <w:rsid w:val="03732911"/>
    <w:rsid w:val="03736DED"/>
    <w:rsid w:val="03767EB5"/>
    <w:rsid w:val="039E11BA"/>
    <w:rsid w:val="03B46580"/>
    <w:rsid w:val="03B70B69"/>
    <w:rsid w:val="03C74BB5"/>
    <w:rsid w:val="03EA08A3"/>
    <w:rsid w:val="03FC4E8A"/>
    <w:rsid w:val="04073DA7"/>
    <w:rsid w:val="046B53C8"/>
    <w:rsid w:val="04754611"/>
    <w:rsid w:val="04A81EAC"/>
    <w:rsid w:val="04B1222D"/>
    <w:rsid w:val="04B62533"/>
    <w:rsid w:val="04BD1B14"/>
    <w:rsid w:val="04C86DB6"/>
    <w:rsid w:val="04F12FE0"/>
    <w:rsid w:val="04FE5298"/>
    <w:rsid w:val="054B2CA6"/>
    <w:rsid w:val="05510166"/>
    <w:rsid w:val="05532D97"/>
    <w:rsid w:val="05790131"/>
    <w:rsid w:val="05A03D9E"/>
    <w:rsid w:val="05D81577"/>
    <w:rsid w:val="05E74173"/>
    <w:rsid w:val="05EC7590"/>
    <w:rsid w:val="060C0620"/>
    <w:rsid w:val="06113EC5"/>
    <w:rsid w:val="062E78AB"/>
    <w:rsid w:val="064249C6"/>
    <w:rsid w:val="065F10D4"/>
    <w:rsid w:val="067C6FEE"/>
    <w:rsid w:val="06856661"/>
    <w:rsid w:val="068F0749"/>
    <w:rsid w:val="06A670EF"/>
    <w:rsid w:val="06BF4A74"/>
    <w:rsid w:val="06D02705"/>
    <w:rsid w:val="06D03D80"/>
    <w:rsid w:val="06F061D0"/>
    <w:rsid w:val="06F6179A"/>
    <w:rsid w:val="07035F04"/>
    <w:rsid w:val="070D6D82"/>
    <w:rsid w:val="072F6D5A"/>
    <w:rsid w:val="07414C7E"/>
    <w:rsid w:val="075065BC"/>
    <w:rsid w:val="07591FC8"/>
    <w:rsid w:val="07632E46"/>
    <w:rsid w:val="076F17EB"/>
    <w:rsid w:val="078801B7"/>
    <w:rsid w:val="07DE7205"/>
    <w:rsid w:val="084E1401"/>
    <w:rsid w:val="088C017B"/>
    <w:rsid w:val="089F7EAE"/>
    <w:rsid w:val="08D43AEC"/>
    <w:rsid w:val="08D96E6F"/>
    <w:rsid w:val="08F43B13"/>
    <w:rsid w:val="0903191E"/>
    <w:rsid w:val="09300B06"/>
    <w:rsid w:val="095B5701"/>
    <w:rsid w:val="097B5D2D"/>
    <w:rsid w:val="09824B3E"/>
    <w:rsid w:val="098470A4"/>
    <w:rsid w:val="09873D9F"/>
    <w:rsid w:val="09B40D9C"/>
    <w:rsid w:val="09B421E7"/>
    <w:rsid w:val="09E142F4"/>
    <w:rsid w:val="0A075D0B"/>
    <w:rsid w:val="0A1C72DC"/>
    <w:rsid w:val="0A3E54A5"/>
    <w:rsid w:val="0A430D0D"/>
    <w:rsid w:val="0A4505E1"/>
    <w:rsid w:val="0A4725AB"/>
    <w:rsid w:val="0A4D7B7C"/>
    <w:rsid w:val="0A7D5345"/>
    <w:rsid w:val="0A942F8F"/>
    <w:rsid w:val="0AD568DC"/>
    <w:rsid w:val="0AD96F7B"/>
    <w:rsid w:val="0AE24082"/>
    <w:rsid w:val="0B06331C"/>
    <w:rsid w:val="0B1511B9"/>
    <w:rsid w:val="0B7F3FC7"/>
    <w:rsid w:val="0BAC4707"/>
    <w:rsid w:val="0BB6080B"/>
    <w:rsid w:val="0BC0370E"/>
    <w:rsid w:val="0BC63A93"/>
    <w:rsid w:val="0BFC2F25"/>
    <w:rsid w:val="0C360B29"/>
    <w:rsid w:val="0C367D95"/>
    <w:rsid w:val="0C73097D"/>
    <w:rsid w:val="0C7B29E0"/>
    <w:rsid w:val="0CF462EF"/>
    <w:rsid w:val="0CF54541"/>
    <w:rsid w:val="0CFE4FA0"/>
    <w:rsid w:val="0D0E533C"/>
    <w:rsid w:val="0D186481"/>
    <w:rsid w:val="0D222E5C"/>
    <w:rsid w:val="0D703BC7"/>
    <w:rsid w:val="0D8C3821"/>
    <w:rsid w:val="0D9B1F9A"/>
    <w:rsid w:val="0DA16FB1"/>
    <w:rsid w:val="0DA63A8D"/>
    <w:rsid w:val="0DCB1D25"/>
    <w:rsid w:val="0E0147FF"/>
    <w:rsid w:val="0E0731FA"/>
    <w:rsid w:val="0E3C619F"/>
    <w:rsid w:val="0E537EEE"/>
    <w:rsid w:val="0E7261E0"/>
    <w:rsid w:val="0EAF2BD2"/>
    <w:rsid w:val="0EE45C3D"/>
    <w:rsid w:val="0F3D3824"/>
    <w:rsid w:val="0F5B4403"/>
    <w:rsid w:val="0F9242C9"/>
    <w:rsid w:val="0F9C5147"/>
    <w:rsid w:val="0F9E4EDD"/>
    <w:rsid w:val="0FA739F9"/>
    <w:rsid w:val="0FC14275"/>
    <w:rsid w:val="0FC63F72"/>
    <w:rsid w:val="0FC82856"/>
    <w:rsid w:val="0FE763CC"/>
    <w:rsid w:val="0FF73C08"/>
    <w:rsid w:val="1018349D"/>
    <w:rsid w:val="10305890"/>
    <w:rsid w:val="10386485"/>
    <w:rsid w:val="10644E9B"/>
    <w:rsid w:val="10766575"/>
    <w:rsid w:val="108268ED"/>
    <w:rsid w:val="108A1177"/>
    <w:rsid w:val="10FD5988"/>
    <w:rsid w:val="10FE773C"/>
    <w:rsid w:val="11517552"/>
    <w:rsid w:val="11586E4C"/>
    <w:rsid w:val="115E78DC"/>
    <w:rsid w:val="11985E75"/>
    <w:rsid w:val="121A67F7"/>
    <w:rsid w:val="122C5D91"/>
    <w:rsid w:val="122F22A3"/>
    <w:rsid w:val="124835D6"/>
    <w:rsid w:val="12696E37"/>
    <w:rsid w:val="12B2294C"/>
    <w:rsid w:val="12D04739"/>
    <w:rsid w:val="12EF1A32"/>
    <w:rsid w:val="131F726B"/>
    <w:rsid w:val="13294F44"/>
    <w:rsid w:val="13367661"/>
    <w:rsid w:val="137141F5"/>
    <w:rsid w:val="137A05B3"/>
    <w:rsid w:val="1397356A"/>
    <w:rsid w:val="13A637C9"/>
    <w:rsid w:val="13F60B9E"/>
    <w:rsid w:val="140212F1"/>
    <w:rsid w:val="14164D9C"/>
    <w:rsid w:val="14215BE8"/>
    <w:rsid w:val="14471BBD"/>
    <w:rsid w:val="14566E74"/>
    <w:rsid w:val="149D101A"/>
    <w:rsid w:val="14A16D5C"/>
    <w:rsid w:val="14A80F48"/>
    <w:rsid w:val="150177FB"/>
    <w:rsid w:val="15154B48"/>
    <w:rsid w:val="151C4634"/>
    <w:rsid w:val="153E27FD"/>
    <w:rsid w:val="157D50D3"/>
    <w:rsid w:val="15A22D8C"/>
    <w:rsid w:val="15AA1B77"/>
    <w:rsid w:val="15B142F9"/>
    <w:rsid w:val="15BB1881"/>
    <w:rsid w:val="15C8425F"/>
    <w:rsid w:val="15EB62E3"/>
    <w:rsid w:val="16070E41"/>
    <w:rsid w:val="160F6C80"/>
    <w:rsid w:val="161D0664"/>
    <w:rsid w:val="164C2CF7"/>
    <w:rsid w:val="16505904"/>
    <w:rsid w:val="1651241D"/>
    <w:rsid w:val="16777D74"/>
    <w:rsid w:val="168B3820"/>
    <w:rsid w:val="16980BBB"/>
    <w:rsid w:val="17386439"/>
    <w:rsid w:val="175C6F6A"/>
    <w:rsid w:val="17624DC0"/>
    <w:rsid w:val="176743DD"/>
    <w:rsid w:val="17746C15"/>
    <w:rsid w:val="178A6C3E"/>
    <w:rsid w:val="17901BFA"/>
    <w:rsid w:val="17991A81"/>
    <w:rsid w:val="17B311A4"/>
    <w:rsid w:val="17D25605"/>
    <w:rsid w:val="182932F0"/>
    <w:rsid w:val="18664544"/>
    <w:rsid w:val="187237A3"/>
    <w:rsid w:val="19023DC2"/>
    <w:rsid w:val="19266750"/>
    <w:rsid w:val="19410B0E"/>
    <w:rsid w:val="19640A4A"/>
    <w:rsid w:val="196F567B"/>
    <w:rsid w:val="1988673C"/>
    <w:rsid w:val="199F6EBD"/>
    <w:rsid w:val="19A24FE2"/>
    <w:rsid w:val="19DB686C"/>
    <w:rsid w:val="19E17DEB"/>
    <w:rsid w:val="1A27385F"/>
    <w:rsid w:val="1A333C63"/>
    <w:rsid w:val="1A3C3210"/>
    <w:rsid w:val="1A642D06"/>
    <w:rsid w:val="1A6745A4"/>
    <w:rsid w:val="1A9829AF"/>
    <w:rsid w:val="1AB23A71"/>
    <w:rsid w:val="1AE34C66"/>
    <w:rsid w:val="1AF776D6"/>
    <w:rsid w:val="1B171B26"/>
    <w:rsid w:val="1B195CB1"/>
    <w:rsid w:val="1B50416C"/>
    <w:rsid w:val="1B5A7B11"/>
    <w:rsid w:val="1B5C165F"/>
    <w:rsid w:val="1B6D7998"/>
    <w:rsid w:val="1B746F78"/>
    <w:rsid w:val="1B8B42C2"/>
    <w:rsid w:val="1BAF1D5E"/>
    <w:rsid w:val="1BC05D1A"/>
    <w:rsid w:val="1BCF374C"/>
    <w:rsid w:val="1BEA723A"/>
    <w:rsid w:val="1C057BD0"/>
    <w:rsid w:val="1C5608C6"/>
    <w:rsid w:val="1C691F5E"/>
    <w:rsid w:val="1C7909EF"/>
    <w:rsid w:val="1C896A53"/>
    <w:rsid w:val="1CB02232"/>
    <w:rsid w:val="1CE20C6F"/>
    <w:rsid w:val="1CE819CC"/>
    <w:rsid w:val="1D0878F2"/>
    <w:rsid w:val="1D3914DB"/>
    <w:rsid w:val="1D436C02"/>
    <w:rsid w:val="1D752B34"/>
    <w:rsid w:val="1D903206"/>
    <w:rsid w:val="1DB00010"/>
    <w:rsid w:val="1DD66F82"/>
    <w:rsid w:val="1DE42C65"/>
    <w:rsid w:val="1DEB5D36"/>
    <w:rsid w:val="1E4F586D"/>
    <w:rsid w:val="1E591E39"/>
    <w:rsid w:val="1E5C4616"/>
    <w:rsid w:val="1E7C3D55"/>
    <w:rsid w:val="1EB02100"/>
    <w:rsid w:val="1EB318D6"/>
    <w:rsid w:val="1EB55657"/>
    <w:rsid w:val="1EBA2506"/>
    <w:rsid w:val="1ECC70CB"/>
    <w:rsid w:val="1EDF771E"/>
    <w:rsid w:val="1EED151B"/>
    <w:rsid w:val="1EF87EC0"/>
    <w:rsid w:val="1F0423C1"/>
    <w:rsid w:val="1F326EC2"/>
    <w:rsid w:val="1F3C7DAD"/>
    <w:rsid w:val="1F522645"/>
    <w:rsid w:val="1F596214"/>
    <w:rsid w:val="1F5D5E58"/>
    <w:rsid w:val="1F615E1D"/>
    <w:rsid w:val="1F9F1BD7"/>
    <w:rsid w:val="1FD57E6F"/>
    <w:rsid w:val="1FD772E5"/>
    <w:rsid w:val="1FE4066F"/>
    <w:rsid w:val="200C1D97"/>
    <w:rsid w:val="2015617A"/>
    <w:rsid w:val="202E243B"/>
    <w:rsid w:val="20534BB8"/>
    <w:rsid w:val="20813C06"/>
    <w:rsid w:val="20831BA0"/>
    <w:rsid w:val="20924ED8"/>
    <w:rsid w:val="2092623D"/>
    <w:rsid w:val="2093570F"/>
    <w:rsid w:val="20FC0388"/>
    <w:rsid w:val="20FD17BE"/>
    <w:rsid w:val="21171940"/>
    <w:rsid w:val="212905D5"/>
    <w:rsid w:val="212A1E87"/>
    <w:rsid w:val="212C3E51"/>
    <w:rsid w:val="2168216D"/>
    <w:rsid w:val="217A3951"/>
    <w:rsid w:val="21823A71"/>
    <w:rsid w:val="218850C1"/>
    <w:rsid w:val="21C02D6D"/>
    <w:rsid w:val="22253663"/>
    <w:rsid w:val="22672C11"/>
    <w:rsid w:val="22743D02"/>
    <w:rsid w:val="22A068A5"/>
    <w:rsid w:val="22B85E94"/>
    <w:rsid w:val="23871B0E"/>
    <w:rsid w:val="23914DA9"/>
    <w:rsid w:val="239D1036"/>
    <w:rsid w:val="23AF59E1"/>
    <w:rsid w:val="23D314EB"/>
    <w:rsid w:val="23F70746"/>
    <w:rsid w:val="23FA1FE5"/>
    <w:rsid w:val="2429042B"/>
    <w:rsid w:val="24484394"/>
    <w:rsid w:val="2480073C"/>
    <w:rsid w:val="249266C1"/>
    <w:rsid w:val="24ED31FD"/>
    <w:rsid w:val="24FE5B05"/>
    <w:rsid w:val="251A1F8F"/>
    <w:rsid w:val="251D5F8B"/>
    <w:rsid w:val="252C2926"/>
    <w:rsid w:val="25331C52"/>
    <w:rsid w:val="25357778"/>
    <w:rsid w:val="254E0105"/>
    <w:rsid w:val="255C2942"/>
    <w:rsid w:val="25787665"/>
    <w:rsid w:val="25AD30B0"/>
    <w:rsid w:val="25E87C00"/>
    <w:rsid w:val="25EF2799"/>
    <w:rsid w:val="25F57DE5"/>
    <w:rsid w:val="260649A8"/>
    <w:rsid w:val="260929B3"/>
    <w:rsid w:val="263F63D5"/>
    <w:rsid w:val="2641067D"/>
    <w:rsid w:val="265263A2"/>
    <w:rsid w:val="26527EB6"/>
    <w:rsid w:val="265440F9"/>
    <w:rsid w:val="268F0A13"/>
    <w:rsid w:val="26B8127A"/>
    <w:rsid w:val="26DB1FBA"/>
    <w:rsid w:val="270A14E8"/>
    <w:rsid w:val="278E7024"/>
    <w:rsid w:val="27C748D4"/>
    <w:rsid w:val="27C96466"/>
    <w:rsid w:val="27FC457D"/>
    <w:rsid w:val="281A7C8A"/>
    <w:rsid w:val="28247630"/>
    <w:rsid w:val="28373807"/>
    <w:rsid w:val="283A676F"/>
    <w:rsid w:val="28481571"/>
    <w:rsid w:val="286D547B"/>
    <w:rsid w:val="287B7B98"/>
    <w:rsid w:val="28836A4D"/>
    <w:rsid w:val="28A32C4B"/>
    <w:rsid w:val="28C655E7"/>
    <w:rsid w:val="28E43B95"/>
    <w:rsid w:val="290375DA"/>
    <w:rsid w:val="292F44DF"/>
    <w:rsid w:val="29305041"/>
    <w:rsid w:val="29477A7A"/>
    <w:rsid w:val="295E1680"/>
    <w:rsid w:val="297D349C"/>
    <w:rsid w:val="29822972"/>
    <w:rsid w:val="29935BF3"/>
    <w:rsid w:val="299A70B4"/>
    <w:rsid w:val="29A0718A"/>
    <w:rsid w:val="29AF73CD"/>
    <w:rsid w:val="2A102562"/>
    <w:rsid w:val="2A39571E"/>
    <w:rsid w:val="2A4D57CE"/>
    <w:rsid w:val="2A5515F4"/>
    <w:rsid w:val="2A783C63"/>
    <w:rsid w:val="2A9D36CA"/>
    <w:rsid w:val="2AAB1038"/>
    <w:rsid w:val="2AAD0268"/>
    <w:rsid w:val="2AB90504"/>
    <w:rsid w:val="2AC375D4"/>
    <w:rsid w:val="2AD37872"/>
    <w:rsid w:val="2B117156"/>
    <w:rsid w:val="2B204A27"/>
    <w:rsid w:val="2B2A115D"/>
    <w:rsid w:val="2B395AE8"/>
    <w:rsid w:val="2B433878"/>
    <w:rsid w:val="2B492BEF"/>
    <w:rsid w:val="2B6C7C6C"/>
    <w:rsid w:val="2B8724A6"/>
    <w:rsid w:val="2B886128"/>
    <w:rsid w:val="2B9B0F31"/>
    <w:rsid w:val="2BA678EF"/>
    <w:rsid w:val="2BFD4C22"/>
    <w:rsid w:val="2C025EDA"/>
    <w:rsid w:val="2C1C6592"/>
    <w:rsid w:val="2C1F083A"/>
    <w:rsid w:val="2C22657D"/>
    <w:rsid w:val="2C7F39CF"/>
    <w:rsid w:val="2C96154C"/>
    <w:rsid w:val="2C9A25B7"/>
    <w:rsid w:val="2C9F7BCD"/>
    <w:rsid w:val="2CAC1AA9"/>
    <w:rsid w:val="2CBA0563"/>
    <w:rsid w:val="2CC43190"/>
    <w:rsid w:val="2CCB2770"/>
    <w:rsid w:val="2D0A3299"/>
    <w:rsid w:val="2D0A7783"/>
    <w:rsid w:val="2D1F19F4"/>
    <w:rsid w:val="2D23544A"/>
    <w:rsid w:val="2D4928AD"/>
    <w:rsid w:val="2D4A7B39"/>
    <w:rsid w:val="2D5829B1"/>
    <w:rsid w:val="2D6A0133"/>
    <w:rsid w:val="2D7E3C87"/>
    <w:rsid w:val="2D94105E"/>
    <w:rsid w:val="2D9B65E7"/>
    <w:rsid w:val="2DB43204"/>
    <w:rsid w:val="2DB81A56"/>
    <w:rsid w:val="2DB8419B"/>
    <w:rsid w:val="2DC93154"/>
    <w:rsid w:val="2DDB69E3"/>
    <w:rsid w:val="2E001F63"/>
    <w:rsid w:val="2E250A7D"/>
    <w:rsid w:val="2E4B3B69"/>
    <w:rsid w:val="2EA94D33"/>
    <w:rsid w:val="2F042AC8"/>
    <w:rsid w:val="2F14696D"/>
    <w:rsid w:val="2F61116A"/>
    <w:rsid w:val="2F631386"/>
    <w:rsid w:val="2F7075FF"/>
    <w:rsid w:val="2F77098D"/>
    <w:rsid w:val="2FA774C5"/>
    <w:rsid w:val="2FAD0853"/>
    <w:rsid w:val="2FAD43AF"/>
    <w:rsid w:val="2FB614B6"/>
    <w:rsid w:val="2FB63264"/>
    <w:rsid w:val="30292BB1"/>
    <w:rsid w:val="302A5A00"/>
    <w:rsid w:val="30303E19"/>
    <w:rsid w:val="30316D8E"/>
    <w:rsid w:val="30444A75"/>
    <w:rsid w:val="3071036C"/>
    <w:rsid w:val="30734635"/>
    <w:rsid w:val="307750E9"/>
    <w:rsid w:val="30E92F44"/>
    <w:rsid w:val="31146950"/>
    <w:rsid w:val="312863E3"/>
    <w:rsid w:val="313B4368"/>
    <w:rsid w:val="315419A0"/>
    <w:rsid w:val="31771119"/>
    <w:rsid w:val="317B29B7"/>
    <w:rsid w:val="317D0677"/>
    <w:rsid w:val="31850497"/>
    <w:rsid w:val="319D6CD7"/>
    <w:rsid w:val="322F2540"/>
    <w:rsid w:val="3281495D"/>
    <w:rsid w:val="32857B22"/>
    <w:rsid w:val="329830F5"/>
    <w:rsid w:val="32A721EF"/>
    <w:rsid w:val="32B01706"/>
    <w:rsid w:val="32B11FA7"/>
    <w:rsid w:val="32FA08CF"/>
    <w:rsid w:val="330F04C8"/>
    <w:rsid w:val="33105381"/>
    <w:rsid w:val="331D184C"/>
    <w:rsid w:val="3328091C"/>
    <w:rsid w:val="333911A3"/>
    <w:rsid w:val="333F5C66"/>
    <w:rsid w:val="335D7E9A"/>
    <w:rsid w:val="33883169"/>
    <w:rsid w:val="340B09AD"/>
    <w:rsid w:val="343725EF"/>
    <w:rsid w:val="3454129D"/>
    <w:rsid w:val="346F60D7"/>
    <w:rsid w:val="348E5749"/>
    <w:rsid w:val="34CE1050"/>
    <w:rsid w:val="34CF6B76"/>
    <w:rsid w:val="35260E8C"/>
    <w:rsid w:val="35307061"/>
    <w:rsid w:val="353E4427"/>
    <w:rsid w:val="356A11C5"/>
    <w:rsid w:val="357B204A"/>
    <w:rsid w:val="357C0AAC"/>
    <w:rsid w:val="357E2A76"/>
    <w:rsid w:val="35CE2537"/>
    <w:rsid w:val="35D46EEF"/>
    <w:rsid w:val="35DA1C76"/>
    <w:rsid w:val="360311CD"/>
    <w:rsid w:val="36056CF3"/>
    <w:rsid w:val="361707D4"/>
    <w:rsid w:val="36254ED9"/>
    <w:rsid w:val="36290F76"/>
    <w:rsid w:val="363475D8"/>
    <w:rsid w:val="365732C7"/>
    <w:rsid w:val="366C4DE8"/>
    <w:rsid w:val="36823A72"/>
    <w:rsid w:val="36C505C0"/>
    <w:rsid w:val="36C56E02"/>
    <w:rsid w:val="36C95F72"/>
    <w:rsid w:val="36E03CD3"/>
    <w:rsid w:val="36E508D2"/>
    <w:rsid w:val="37233953"/>
    <w:rsid w:val="37357164"/>
    <w:rsid w:val="37475721"/>
    <w:rsid w:val="37735EDE"/>
    <w:rsid w:val="37977E1F"/>
    <w:rsid w:val="379A5AEA"/>
    <w:rsid w:val="37A16410"/>
    <w:rsid w:val="37B26D95"/>
    <w:rsid w:val="37C93D50"/>
    <w:rsid w:val="37D65C45"/>
    <w:rsid w:val="37DF3574"/>
    <w:rsid w:val="380A4E20"/>
    <w:rsid w:val="38120940"/>
    <w:rsid w:val="38132044"/>
    <w:rsid w:val="38206066"/>
    <w:rsid w:val="384F4255"/>
    <w:rsid w:val="38530FF4"/>
    <w:rsid w:val="388C7258"/>
    <w:rsid w:val="38912AC0"/>
    <w:rsid w:val="38ED3A6E"/>
    <w:rsid w:val="3905633D"/>
    <w:rsid w:val="39167469"/>
    <w:rsid w:val="3923219C"/>
    <w:rsid w:val="393B2A2C"/>
    <w:rsid w:val="394352BA"/>
    <w:rsid w:val="39595618"/>
    <w:rsid w:val="399C3F3A"/>
    <w:rsid w:val="39A9208B"/>
    <w:rsid w:val="39C11183"/>
    <w:rsid w:val="39CE1AF2"/>
    <w:rsid w:val="39E35860"/>
    <w:rsid w:val="39E66E3B"/>
    <w:rsid w:val="3A331955"/>
    <w:rsid w:val="3A4A78E5"/>
    <w:rsid w:val="3A695646"/>
    <w:rsid w:val="3A80103E"/>
    <w:rsid w:val="3AB31AA7"/>
    <w:rsid w:val="3AB65962"/>
    <w:rsid w:val="3ABA038B"/>
    <w:rsid w:val="3AD62A0C"/>
    <w:rsid w:val="3AFC4544"/>
    <w:rsid w:val="3B000813"/>
    <w:rsid w:val="3B0F23C2"/>
    <w:rsid w:val="3B1226F4"/>
    <w:rsid w:val="3B1E327E"/>
    <w:rsid w:val="3B381919"/>
    <w:rsid w:val="3B441599"/>
    <w:rsid w:val="3B4C44F9"/>
    <w:rsid w:val="3B604CD9"/>
    <w:rsid w:val="3B734798"/>
    <w:rsid w:val="3B7F4E52"/>
    <w:rsid w:val="3BDD426E"/>
    <w:rsid w:val="3BE73A1E"/>
    <w:rsid w:val="3BF770DE"/>
    <w:rsid w:val="3C034A42"/>
    <w:rsid w:val="3C0C543A"/>
    <w:rsid w:val="3C243C4B"/>
    <w:rsid w:val="3C331066"/>
    <w:rsid w:val="3C36369E"/>
    <w:rsid w:val="3C4935A2"/>
    <w:rsid w:val="3C646031"/>
    <w:rsid w:val="3C8A5D88"/>
    <w:rsid w:val="3D053A7C"/>
    <w:rsid w:val="3D0A4004"/>
    <w:rsid w:val="3D18006E"/>
    <w:rsid w:val="3D314871"/>
    <w:rsid w:val="3D332398"/>
    <w:rsid w:val="3D4B1A69"/>
    <w:rsid w:val="3D950CBD"/>
    <w:rsid w:val="3DB1150E"/>
    <w:rsid w:val="3DC2567B"/>
    <w:rsid w:val="3DCF7FC2"/>
    <w:rsid w:val="3E265A58"/>
    <w:rsid w:val="3E524A9F"/>
    <w:rsid w:val="3E75253C"/>
    <w:rsid w:val="3E9C3F6D"/>
    <w:rsid w:val="3EA65E94"/>
    <w:rsid w:val="3ED8360B"/>
    <w:rsid w:val="3EED2A1A"/>
    <w:rsid w:val="3EED2C60"/>
    <w:rsid w:val="3F1F4709"/>
    <w:rsid w:val="3F4E170B"/>
    <w:rsid w:val="3F7647BE"/>
    <w:rsid w:val="3F792AA4"/>
    <w:rsid w:val="3F927E6F"/>
    <w:rsid w:val="3F9D427A"/>
    <w:rsid w:val="3FA40226"/>
    <w:rsid w:val="3FAC6431"/>
    <w:rsid w:val="3FBA4AEC"/>
    <w:rsid w:val="3FBD419A"/>
    <w:rsid w:val="3FD71FC8"/>
    <w:rsid w:val="401F6C03"/>
    <w:rsid w:val="40373D7A"/>
    <w:rsid w:val="406D35F8"/>
    <w:rsid w:val="40813529"/>
    <w:rsid w:val="40895989"/>
    <w:rsid w:val="40D774DE"/>
    <w:rsid w:val="40DB5220"/>
    <w:rsid w:val="40EB11DB"/>
    <w:rsid w:val="412B0CB2"/>
    <w:rsid w:val="41320BB8"/>
    <w:rsid w:val="418745E6"/>
    <w:rsid w:val="41962EF5"/>
    <w:rsid w:val="41BD12FB"/>
    <w:rsid w:val="423654AA"/>
    <w:rsid w:val="42621029"/>
    <w:rsid w:val="4263645E"/>
    <w:rsid w:val="426E1EFE"/>
    <w:rsid w:val="427A2817"/>
    <w:rsid w:val="42E45414"/>
    <w:rsid w:val="42F17DBB"/>
    <w:rsid w:val="42F73E67"/>
    <w:rsid w:val="42F848B2"/>
    <w:rsid w:val="43340C18"/>
    <w:rsid w:val="434D2461"/>
    <w:rsid w:val="435C6B0C"/>
    <w:rsid w:val="437E00E5"/>
    <w:rsid w:val="43876C4E"/>
    <w:rsid w:val="438C56DB"/>
    <w:rsid w:val="43AD5077"/>
    <w:rsid w:val="43B835F7"/>
    <w:rsid w:val="43B92ECB"/>
    <w:rsid w:val="43BB6C43"/>
    <w:rsid w:val="43F735BB"/>
    <w:rsid w:val="43FB34E3"/>
    <w:rsid w:val="44391547"/>
    <w:rsid w:val="4470570D"/>
    <w:rsid w:val="44753296"/>
    <w:rsid w:val="448B64E5"/>
    <w:rsid w:val="44A771C7"/>
    <w:rsid w:val="44B85878"/>
    <w:rsid w:val="44B9717F"/>
    <w:rsid w:val="44C1472D"/>
    <w:rsid w:val="44C16FBB"/>
    <w:rsid w:val="44E779C7"/>
    <w:rsid w:val="44F85F96"/>
    <w:rsid w:val="45210923"/>
    <w:rsid w:val="45344EFF"/>
    <w:rsid w:val="454B049A"/>
    <w:rsid w:val="45545E5C"/>
    <w:rsid w:val="45554E75"/>
    <w:rsid w:val="45633A36"/>
    <w:rsid w:val="459C60A2"/>
    <w:rsid w:val="45BB52D0"/>
    <w:rsid w:val="45CE5353"/>
    <w:rsid w:val="45F15DD5"/>
    <w:rsid w:val="46245A4B"/>
    <w:rsid w:val="46761547"/>
    <w:rsid w:val="46B207D1"/>
    <w:rsid w:val="46BA7686"/>
    <w:rsid w:val="46E6008B"/>
    <w:rsid w:val="471C3E9C"/>
    <w:rsid w:val="47370455"/>
    <w:rsid w:val="47486A40"/>
    <w:rsid w:val="475F3D89"/>
    <w:rsid w:val="476B0980"/>
    <w:rsid w:val="477171F4"/>
    <w:rsid w:val="4777055B"/>
    <w:rsid w:val="47D77DC3"/>
    <w:rsid w:val="482A25E9"/>
    <w:rsid w:val="483376F0"/>
    <w:rsid w:val="487321E2"/>
    <w:rsid w:val="488A12DA"/>
    <w:rsid w:val="48C22822"/>
    <w:rsid w:val="48CF7143"/>
    <w:rsid w:val="48E7427A"/>
    <w:rsid w:val="49553696"/>
    <w:rsid w:val="495F2766"/>
    <w:rsid w:val="498B355B"/>
    <w:rsid w:val="49957F36"/>
    <w:rsid w:val="499F1DEA"/>
    <w:rsid w:val="49E81B1B"/>
    <w:rsid w:val="4A4D6A38"/>
    <w:rsid w:val="4AAA6EA2"/>
    <w:rsid w:val="4AC46D25"/>
    <w:rsid w:val="4AD60806"/>
    <w:rsid w:val="4AF018C8"/>
    <w:rsid w:val="4B007631"/>
    <w:rsid w:val="4B08259F"/>
    <w:rsid w:val="4B533C05"/>
    <w:rsid w:val="4B6127C6"/>
    <w:rsid w:val="4B8C7D59"/>
    <w:rsid w:val="4BD31332"/>
    <w:rsid w:val="4BE567F2"/>
    <w:rsid w:val="4C06511B"/>
    <w:rsid w:val="4C0B5CC0"/>
    <w:rsid w:val="4C12586E"/>
    <w:rsid w:val="4C63431C"/>
    <w:rsid w:val="4C9170DB"/>
    <w:rsid w:val="4CA4286F"/>
    <w:rsid w:val="4CB85550"/>
    <w:rsid w:val="4CF90FE0"/>
    <w:rsid w:val="4CF972F1"/>
    <w:rsid w:val="4D0A1558"/>
    <w:rsid w:val="4D2834AF"/>
    <w:rsid w:val="4D304DF9"/>
    <w:rsid w:val="4D60323F"/>
    <w:rsid w:val="4D782049"/>
    <w:rsid w:val="4D810EFD"/>
    <w:rsid w:val="4D876AB0"/>
    <w:rsid w:val="4D88228C"/>
    <w:rsid w:val="4DAC72E2"/>
    <w:rsid w:val="4DC112FA"/>
    <w:rsid w:val="4DDE198B"/>
    <w:rsid w:val="4DE70AF0"/>
    <w:rsid w:val="4DFC2FC7"/>
    <w:rsid w:val="4E73216C"/>
    <w:rsid w:val="4E994025"/>
    <w:rsid w:val="4EC158AF"/>
    <w:rsid w:val="4F0A6CD0"/>
    <w:rsid w:val="4F6C1739"/>
    <w:rsid w:val="4F9A5520"/>
    <w:rsid w:val="4FAE57F5"/>
    <w:rsid w:val="4FB8672C"/>
    <w:rsid w:val="4FF22ABF"/>
    <w:rsid w:val="50067498"/>
    <w:rsid w:val="50227E28"/>
    <w:rsid w:val="502F0FC5"/>
    <w:rsid w:val="507C1E50"/>
    <w:rsid w:val="508A1E77"/>
    <w:rsid w:val="50E33C7D"/>
    <w:rsid w:val="50E53A32"/>
    <w:rsid w:val="50F814D6"/>
    <w:rsid w:val="50F923CD"/>
    <w:rsid w:val="511E6A63"/>
    <w:rsid w:val="51606DB2"/>
    <w:rsid w:val="517639BB"/>
    <w:rsid w:val="519C4558"/>
    <w:rsid w:val="51B56995"/>
    <w:rsid w:val="51D84E64"/>
    <w:rsid w:val="51DD6C77"/>
    <w:rsid w:val="520B114F"/>
    <w:rsid w:val="520B6FE7"/>
    <w:rsid w:val="52291B63"/>
    <w:rsid w:val="523F3135"/>
    <w:rsid w:val="5246001F"/>
    <w:rsid w:val="52595FA5"/>
    <w:rsid w:val="528F630F"/>
    <w:rsid w:val="52D753D2"/>
    <w:rsid w:val="53820528"/>
    <w:rsid w:val="53B94238"/>
    <w:rsid w:val="53CA4E93"/>
    <w:rsid w:val="53E733E0"/>
    <w:rsid w:val="54034EFE"/>
    <w:rsid w:val="540C5058"/>
    <w:rsid w:val="541C4A8A"/>
    <w:rsid w:val="542E3166"/>
    <w:rsid w:val="54554E92"/>
    <w:rsid w:val="545C3B2A"/>
    <w:rsid w:val="547D7839"/>
    <w:rsid w:val="54A83F9E"/>
    <w:rsid w:val="54D339C8"/>
    <w:rsid w:val="55450D6C"/>
    <w:rsid w:val="557F7470"/>
    <w:rsid w:val="55F3789F"/>
    <w:rsid w:val="56062BE4"/>
    <w:rsid w:val="56306A8D"/>
    <w:rsid w:val="56424FA2"/>
    <w:rsid w:val="56492D88"/>
    <w:rsid w:val="566079B5"/>
    <w:rsid w:val="56665134"/>
    <w:rsid w:val="56C3556D"/>
    <w:rsid w:val="56D87365"/>
    <w:rsid w:val="56E348F4"/>
    <w:rsid w:val="56FF1113"/>
    <w:rsid w:val="57723665"/>
    <w:rsid w:val="5778511F"/>
    <w:rsid w:val="579653E4"/>
    <w:rsid w:val="57AD28EF"/>
    <w:rsid w:val="57C245EC"/>
    <w:rsid w:val="57D44F65"/>
    <w:rsid w:val="57D64DA8"/>
    <w:rsid w:val="580738A7"/>
    <w:rsid w:val="58382B00"/>
    <w:rsid w:val="584F6EF4"/>
    <w:rsid w:val="58615BB3"/>
    <w:rsid w:val="58873311"/>
    <w:rsid w:val="58CD3B3B"/>
    <w:rsid w:val="58CE3417"/>
    <w:rsid w:val="58D565A1"/>
    <w:rsid w:val="58E53E0B"/>
    <w:rsid w:val="58FC72A7"/>
    <w:rsid w:val="591E1CF6"/>
    <w:rsid w:val="59464DA9"/>
    <w:rsid w:val="594D6137"/>
    <w:rsid w:val="594F0101"/>
    <w:rsid w:val="5951478A"/>
    <w:rsid w:val="598A4E0E"/>
    <w:rsid w:val="59941FB8"/>
    <w:rsid w:val="59AF0BA0"/>
    <w:rsid w:val="59B14918"/>
    <w:rsid w:val="59BB5888"/>
    <w:rsid w:val="59C6762F"/>
    <w:rsid w:val="5A3376C8"/>
    <w:rsid w:val="5A3572F7"/>
    <w:rsid w:val="5A4455DB"/>
    <w:rsid w:val="5A9654FD"/>
    <w:rsid w:val="5A997912"/>
    <w:rsid w:val="5AC40FFA"/>
    <w:rsid w:val="5AC742A5"/>
    <w:rsid w:val="5AD11250"/>
    <w:rsid w:val="5AF27442"/>
    <w:rsid w:val="5B092532"/>
    <w:rsid w:val="5B4F263B"/>
    <w:rsid w:val="5B9C3DBC"/>
    <w:rsid w:val="5BD82630"/>
    <w:rsid w:val="5C086AE8"/>
    <w:rsid w:val="5C0A1A47"/>
    <w:rsid w:val="5C3B2BBF"/>
    <w:rsid w:val="5C433822"/>
    <w:rsid w:val="5C4A5F64"/>
    <w:rsid w:val="5C7A0D57"/>
    <w:rsid w:val="5C806824"/>
    <w:rsid w:val="5C9A7850"/>
    <w:rsid w:val="5CA0231D"/>
    <w:rsid w:val="5CC901CB"/>
    <w:rsid w:val="5CCF7D6C"/>
    <w:rsid w:val="5CE84AF5"/>
    <w:rsid w:val="5D011B02"/>
    <w:rsid w:val="5D301FF8"/>
    <w:rsid w:val="5D352CFB"/>
    <w:rsid w:val="5D440CB7"/>
    <w:rsid w:val="5D5061F6"/>
    <w:rsid w:val="5D6E48CE"/>
    <w:rsid w:val="5DA62637"/>
    <w:rsid w:val="5DD15838"/>
    <w:rsid w:val="5DD9443E"/>
    <w:rsid w:val="5E316028"/>
    <w:rsid w:val="5E3C4934"/>
    <w:rsid w:val="5E4A086F"/>
    <w:rsid w:val="5EBC438F"/>
    <w:rsid w:val="5ECC3FA2"/>
    <w:rsid w:val="5EE72B8A"/>
    <w:rsid w:val="5F635E18"/>
    <w:rsid w:val="5F9E76ED"/>
    <w:rsid w:val="5FCF35E5"/>
    <w:rsid w:val="5FE544C4"/>
    <w:rsid w:val="60027E52"/>
    <w:rsid w:val="60067040"/>
    <w:rsid w:val="60394D62"/>
    <w:rsid w:val="6048641D"/>
    <w:rsid w:val="606B2F95"/>
    <w:rsid w:val="607E12CC"/>
    <w:rsid w:val="609C3B91"/>
    <w:rsid w:val="60B45399"/>
    <w:rsid w:val="60B5389D"/>
    <w:rsid w:val="60C07B37"/>
    <w:rsid w:val="60C15B9B"/>
    <w:rsid w:val="60DE1BBB"/>
    <w:rsid w:val="60FF187C"/>
    <w:rsid w:val="614E2C65"/>
    <w:rsid w:val="6152250D"/>
    <w:rsid w:val="616710AC"/>
    <w:rsid w:val="61774699"/>
    <w:rsid w:val="61995466"/>
    <w:rsid w:val="61CD6067"/>
    <w:rsid w:val="61FC53C8"/>
    <w:rsid w:val="620632A8"/>
    <w:rsid w:val="620A44F8"/>
    <w:rsid w:val="621B4377"/>
    <w:rsid w:val="621D24E4"/>
    <w:rsid w:val="621E0449"/>
    <w:rsid w:val="622F6D22"/>
    <w:rsid w:val="6243457B"/>
    <w:rsid w:val="624D00D5"/>
    <w:rsid w:val="62876A46"/>
    <w:rsid w:val="629149FC"/>
    <w:rsid w:val="629848C7"/>
    <w:rsid w:val="62D50CF8"/>
    <w:rsid w:val="63035AB9"/>
    <w:rsid w:val="632042AD"/>
    <w:rsid w:val="63273E9D"/>
    <w:rsid w:val="6338770C"/>
    <w:rsid w:val="637251F2"/>
    <w:rsid w:val="640B6A1B"/>
    <w:rsid w:val="642913A3"/>
    <w:rsid w:val="644A7E43"/>
    <w:rsid w:val="64791E56"/>
    <w:rsid w:val="64852C29"/>
    <w:rsid w:val="649345DE"/>
    <w:rsid w:val="64B53086"/>
    <w:rsid w:val="64CB142E"/>
    <w:rsid w:val="64FC7645"/>
    <w:rsid w:val="651F66E3"/>
    <w:rsid w:val="65271455"/>
    <w:rsid w:val="6554126D"/>
    <w:rsid w:val="656D36EF"/>
    <w:rsid w:val="65A11CE5"/>
    <w:rsid w:val="65B94452"/>
    <w:rsid w:val="65DF280D"/>
    <w:rsid w:val="65E149E7"/>
    <w:rsid w:val="65E31542"/>
    <w:rsid w:val="65E322FD"/>
    <w:rsid w:val="65E41BD1"/>
    <w:rsid w:val="65E47122"/>
    <w:rsid w:val="65E54871"/>
    <w:rsid w:val="66037DBF"/>
    <w:rsid w:val="661E27A3"/>
    <w:rsid w:val="66246B74"/>
    <w:rsid w:val="66811B16"/>
    <w:rsid w:val="66AB26EF"/>
    <w:rsid w:val="66BA0A94"/>
    <w:rsid w:val="66BF5110"/>
    <w:rsid w:val="66C33EDD"/>
    <w:rsid w:val="66C35C8B"/>
    <w:rsid w:val="66CA2CA0"/>
    <w:rsid w:val="66D47E98"/>
    <w:rsid w:val="66FB7A23"/>
    <w:rsid w:val="670C7632"/>
    <w:rsid w:val="67211BE9"/>
    <w:rsid w:val="672524A2"/>
    <w:rsid w:val="672E57FA"/>
    <w:rsid w:val="67893604"/>
    <w:rsid w:val="6790177A"/>
    <w:rsid w:val="67CA57F5"/>
    <w:rsid w:val="67CF6087"/>
    <w:rsid w:val="67D42744"/>
    <w:rsid w:val="67E2284E"/>
    <w:rsid w:val="67F8158F"/>
    <w:rsid w:val="6809591F"/>
    <w:rsid w:val="68185632"/>
    <w:rsid w:val="685F19E3"/>
    <w:rsid w:val="686314D3"/>
    <w:rsid w:val="68AE68FE"/>
    <w:rsid w:val="68D15D47"/>
    <w:rsid w:val="68EF7605"/>
    <w:rsid w:val="690A420D"/>
    <w:rsid w:val="69423360"/>
    <w:rsid w:val="697469DA"/>
    <w:rsid w:val="698A00BA"/>
    <w:rsid w:val="69960B13"/>
    <w:rsid w:val="699D58C3"/>
    <w:rsid w:val="69AE49D0"/>
    <w:rsid w:val="69B1341E"/>
    <w:rsid w:val="69BD6237"/>
    <w:rsid w:val="69C22C62"/>
    <w:rsid w:val="69CF4947"/>
    <w:rsid w:val="69E13887"/>
    <w:rsid w:val="6A0D4726"/>
    <w:rsid w:val="6A21549A"/>
    <w:rsid w:val="6A3A44B6"/>
    <w:rsid w:val="6AA81A8A"/>
    <w:rsid w:val="6ABA5A6F"/>
    <w:rsid w:val="6AC124E1"/>
    <w:rsid w:val="6AF74155"/>
    <w:rsid w:val="6B1470D9"/>
    <w:rsid w:val="6B19231D"/>
    <w:rsid w:val="6B3E0F09"/>
    <w:rsid w:val="6B6F018F"/>
    <w:rsid w:val="6B7B4D86"/>
    <w:rsid w:val="6B87250B"/>
    <w:rsid w:val="6B9B0D7D"/>
    <w:rsid w:val="6BD25A78"/>
    <w:rsid w:val="6C022DB1"/>
    <w:rsid w:val="6C040F0E"/>
    <w:rsid w:val="6C042FCD"/>
    <w:rsid w:val="6C044EAC"/>
    <w:rsid w:val="6C140B28"/>
    <w:rsid w:val="6C262F44"/>
    <w:rsid w:val="6C2C6080"/>
    <w:rsid w:val="6C325359"/>
    <w:rsid w:val="6C58250B"/>
    <w:rsid w:val="6C6D7564"/>
    <w:rsid w:val="6C702411"/>
    <w:rsid w:val="6C8B0FF9"/>
    <w:rsid w:val="6C8C7F9E"/>
    <w:rsid w:val="6CA0286F"/>
    <w:rsid w:val="6CEC5EAE"/>
    <w:rsid w:val="6D2D3E5E"/>
    <w:rsid w:val="6D30394E"/>
    <w:rsid w:val="6D5E42E7"/>
    <w:rsid w:val="6D7A2239"/>
    <w:rsid w:val="6D7C4C11"/>
    <w:rsid w:val="6D8A5133"/>
    <w:rsid w:val="6D982937"/>
    <w:rsid w:val="6DCA5B51"/>
    <w:rsid w:val="6E02353D"/>
    <w:rsid w:val="6E026744"/>
    <w:rsid w:val="6E2750B7"/>
    <w:rsid w:val="6E6E49E4"/>
    <w:rsid w:val="6E820121"/>
    <w:rsid w:val="6E97792A"/>
    <w:rsid w:val="6EE802F2"/>
    <w:rsid w:val="6EEF1D13"/>
    <w:rsid w:val="6EF94940"/>
    <w:rsid w:val="6F125A01"/>
    <w:rsid w:val="6F127055"/>
    <w:rsid w:val="6F180D78"/>
    <w:rsid w:val="6F2F51CC"/>
    <w:rsid w:val="6F377216"/>
    <w:rsid w:val="6F435BBB"/>
    <w:rsid w:val="6F643647"/>
    <w:rsid w:val="6F651FD5"/>
    <w:rsid w:val="6F9208F0"/>
    <w:rsid w:val="6FA66736"/>
    <w:rsid w:val="701B2E02"/>
    <w:rsid w:val="70635EE3"/>
    <w:rsid w:val="70666005"/>
    <w:rsid w:val="707331AB"/>
    <w:rsid w:val="7081199A"/>
    <w:rsid w:val="70950698"/>
    <w:rsid w:val="70E909E4"/>
    <w:rsid w:val="711F61B4"/>
    <w:rsid w:val="71212192"/>
    <w:rsid w:val="715C7408"/>
    <w:rsid w:val="716167CC"/>
    <w:rsid w:val="716D5171"/>
    <w:rsid w:val="71B132B0"/>
    <w:rsid w:val="71B92D4A"/>
    <w:rsid w:val="71BB5EDC"/>
    <w:rsid w:val="71C13139"/>
    <w:rsid w:val="71D36C4C"/>
    <w:rsid w:val="71D47B7C"/>
    <w:rsid w:val="71DB3640"/>
    <w:rsid w:val="723B5565"/>
    <w:rsid w:val="72565C05"/>
    <w:rsid w:val="7258197D"/>
    <w:rsid w:val="72B362E0"/>
    <w:rsid w:val="72C40DC1"/>
    <w:rsid w:val="72C9287B"/>
    <w:rsid w:val="72FE2DB9"/>
    <w:rsid w:val="73350E05"/>
    <w:rsid w:val="734463A5"/>
    <w:rsid w:val="734819F2"/>
    <w:rsid w:val="734E2D80"/>
    <w:rsid w:val="73614861"/>
    <w:rsid w:val="738D3BAF"/>
    <w:rsid w:val="73A14A96"/>
    <w:rsid w:val="73E84F83"/>
    <w:rsid w:val="74033B6B"/>
    <w:rsid w:val="741A0CEE"/>
    <w:rsid w:val="7425388F"/>
    <w:rsid w:val="74275B70"/>
    <w:rsid w:val="74381A66"/>
    <w:rsid w:val="74441817"/>
    <w:rsid w:val="746626FF"/>
    <w:rsid w:val="746D3A32"/>
    <w:rsid w:val="74850A24"/>
    <w:rsid w:val="749D6383"/>
    <w:rsid w:val="74AF459F"/>
    <w:rsid w:val="74B502E0"/>
    <w:rsid w:val="74C00763"/>
    <w:rsid w:val="75263FB5"/>
    <w:rsid w:val="752E10BB"/>
    <w:rsid w:val="75433EEE"/>
    <w:rsid w:val="757C2526"/>
    <w:rsid w:val="75AB191F"/>
    <w:rsid w:val="76055D50"/>
    <w:rsid w:val="7641097A"/>
    <w:rsid w:val="7683168D"/>
    <w:rsid w:val="7686575A"/>
    <w:rsid w:val="769135B9"/>
    <w:rsid w:val="76AA71B4"/>
    <w:rsid w:val="76AD5B98"/>
    <w:rsid w:val="76C75323"/>
    <w:rsid w:val="76CD5FD8"/>
    <w:rsid w:val="76F2314F"/>
    <w:rsid w:val="76FB321F"/>
    <w:rsid w:val="76FC7D33"/>
    <w:rsid w:val="77075720"/>
    <w:rsid w:val="771E3F3E"/>
    <w:rsid w:val="771F2A69"/>
    <w:rsid w:val="77244318"/>
    <w:rsid w:val="779A2A38"/>
    <w:rsid w:val="77B27D81"/>
    <w:rsid w:val="77C80083"/>
    <w:rsid w:val="77E912C9"/>
    <w:rsid w:val="77E95D99"/>
    <w:rsid w:val="780E6D69"/>
    <w:rsid w:val="78616A57"/>
    <w:rsid w:val="786A240A"/>
    <w:rsid w:val="78AD7221"/>
    <w:rsid w:val="78CA58AB"/>
    <w:rsid w:val="78D213FD"/>
    <w:rsid w:val="78F47F26"/>
    <w:rsid w:val="790E223E"/>
    <w:rsid w:val="793437F6"/>
    <w:rsid w:val="796C21B2"/>
    <w:rsid w:val="79870D9A"/>
    <w:rsid w:val="79A45D8C"/>
    <w:rsid w:val="79B67B89"/>
    <w:rsid w:val="79B80F53"/>
    <w:rsid w:val="79CB44AD"/>
    <w:rsid w:val="7A1A1C0E"/>
    <w:rsid w:val="7A434CC1"/>
    <w:rsid w:val="7A4B1DC7"/>
    <w:rsid w:val="7A8D418E"/>
    <w:rsid w:val="7A93499B"/>
    <w:rsid w:val="7A9B793E"/>
    <w:rsid w:val="7A9C0875"/>
    <w:rsid w:val="7AAB2866"/>
    <w:rsid w:val="7AB61937"/>
    <w:rsid w:val="7ACF5F05"/>
    <w:rsid w:val="7AE83ABA"/>
    <w:rsid w:val="7B113011"/>
    <w:rsid w:val="7B512D73"/>
    <w:rsid w:val="7B56087C"/>
    <w:rsid w:val="7B7F55C1"/>
    <w:rsid w:val="7B9B1144"/>
    <w:rsid w:val="7BA3748A"/>
    <w:rsid w:val="7BB104F0"/>
    <w:rsid w:val="7BBA0FB3"/>
    <w:rsid w:val="7BBF3F84"/>
    <w:rsid w:val="7BDD3E21"/>
    <w:rsid w:val="7BFC2078"/>
    <w:rsid w:val="7C2D4077"/>
    <w:rsid w:val="7C46665A"/>
    <w:rsid w:val="7C47549D"/>
    <w:rsid w:val="7C687E6D"/>
    <w:rsid w:val="7C7575D0"/>
    <w:rsid w:val="7C784EA2"/>
    <w:rsid w:val="7CCC3693"/>
    <w:rsid w:val="7CCD2092"/>
    <w:rsid w:val="7CDA2186"/>
    <w:rsid w:val="7CDF651C"/>
    <w:rsid w:val="7D012C11"/>
    <w:rsid w:val="7D18144B"/>
    <w:rsid w:val="7D24527D"/>
    <w:rsid w:val="7D4A4935"/>
    <w:rsid w:val="7D594108"/>
    <w:rsid w:val="7D5E4829"/>
    <w:rsid w:val="7D5F2576"/>
    <w:rsid w:val="7D715FE9"/>
    <w:rsid w:val="7D955A0C"/>
    <w:rsid w:val="7DA501C2"/>
    <w:rsid w:val="7DB3215D"/>
    <w:rsid w:val="7E040C0B"/>
    <w:rsid w:val="7E4D5EDF"/>
    <w:rsid w:val="7E8D0C00"/>
    <w:rsid w:val="7EC44A62"/>
    <w:rsid w:val="7F080287"/>
    <w:rsid w:val="7F11504C"/>
    <w:rsid w:val="7F267F9C"/>
    <w:rsid w:val="7F40565D"/>
    <w:rsid w:val="7F523476"/>
    <w:rsid w:val="7F624234"/>
    <w:rsid w:val="7F912BF1"/>
    <w:rsid w:val="7FB11F72"/>
    <w:rsid w:val="7FC05F86"/>
    <w:rsid w:val="7FE36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link w:val="31"/>
    <w:autoRedefine/>
    <w:qFormat/>
    <w:uiPriority w:val="0"/>
    <w:pPr>
      <w:keepNext/>
      <w:keepLines/>
      <w:tabs>
        <w:tab w:val="left" w:pos="432"/>
      </w:tabs>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link w:val="45"/>
    <w:autoRedefine/>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46"/>
    <w:autoRedefine/>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link w:val="53"/>
    <w:autoRedefine/>
    <w:qFormat/>
    <w:uiPriority w:val="99"/>
    <w:pPr>
      <w:widowControl/>
      <w:snapToGrid w:val="0"/>
      <w:spacing w:line="480" w:lineRule="exact"/>
      <w:ind w:firstLine="567"/>
    </w:pPr>
    <w:rPr>
      <w:rFonts w:ascii="宋体"/>
      <w:snapToGrid w:val="0"/>
      <w:color w:val="000000"/>
      <w:kern w:val="28"/>
      <w:sz w:val="28"/>
      <w:szCs w:val="20"/>
    </w:rPr>
  </w:style>
  <w:style w:type="paragraph" w:styleId="6">
    <w:name w:val="annotation text"/>
    <w:basedOn w:val="1"/>
    <w:link w:val="54"/>
    <w:autoRedefine/>
    <w:unhideWhenUsed/>
    <w:qFormat/>
    <w:uiPriority w:val="99"/>
    <w:pPr>
      <w:spacing w:line="360" w:lineRule="auto"/>
      <w:jc w:val="left"/>
    </w:pPr>
    <w:rPr>
      <w:rFonts w:ascii="宋体" w:hAnsi="宋体"/>
      <w:color w:val="FF0000"/>
      <w:szCs w:val="21"/>
    </w:rPr>
  </w:style>
  <w:style w:type="paragraph" w:styleId="7">
    <w:name w:val="Body Text"/>
    <w:basedOn w:val="1"/>
    <w:next w:val="8"/>
    <w:link w:val="35"/>
    <w:autoRedefine/>
    <w:qFormat/>
    <w:uiPriority w:val="0"/>
    <w:pPr>
      <w:autoSpaceDE w:val="0"/>
      <w:autoSpaceDN w:val="0"/>
      <w:spacing w:line="360" w:lineRule="auto"/>
    </w:pPr>
    <w:rPr>
      <w:rFonts w:ascii="宋体" w:hAnsi="Arial" w:cs="Arial"/>
      <w:snapToGrid w:val="0"/>
      <w:sz w:val="24"/>
      <w:szCs w:val="21"/>
      <w:lang w:val="zh-CN"/>
    </w:rPr>
  </w:style>
  <w:style w:type="paragraph" w:styleId="8">
    <w:name w:val="Body Text First Indent"/>
    <w:basedOn w:val="7"/>
    <w:next w:val="1"/>
    <w:autoRedefine/>
    <w:qFormat/>
    <w:uiPriority w:val="0"/>
    <w:pPr>
      <w:widowControl/>
      <w:spacing w:after="120" w:line="240" w:lineRule="auto"/>
      <w:ind w:firstLine="420" w:firstLineChars="100"/>
    </w:pPr>
    <w:rPr>
      <w:szCs w:val="20"/>
    </w:rPr>
  </w:style>
  <w:style w:type="paragraph" w:styleId="9">
    <w:name w:val="Body Text Indent"/>
    <w:basedOn w:val="1"/>
    <w:next w:val="1"/>
    <w:link w:val="32"/>
    <w:autoRedefine/>
    <w:qFormat/>
    <w:uiPriority w:val="0"/>
    <w:pPr>
      <w:spacing w:line="480" w:lineRule="exact"/>
      <w:ind w:firstLine="480" w:firstLineChars="200"/>
    </w:pPr>
    <w:rPr>
      <w:rFonts w:ascii="宋体" w:hAnsi="宋体"/>
      <w:sz w:val="24"/>
    </w:rPr>
  </w:style>
  <w:style w:type="paragraph" w:styleId="10">
    <w:name w:val="toc 3"/>
    <w:basedOn w:val="1"/>
    <w:next w:val="1"/>
    <w:autoRedefine/>
    <w:qFormat/>
    <w:uiPriority w:val="0"/>
    <w:pPr>
      <w:ind w:left="840" w:leftChars="400"/>
    </w:pPr>
    <w:rPr>
      <w:rFonts w:ascii="Times New Roman" w:hAnsi="Times New Roman"/>
    </w:rPr>
  </w:style>
  <w:style w:type="paragraph" w:styleId="11">
    <w:name w:val="Plain Text"/>
    <w:basedOn w:val="1"/>
    <w:link w:val="34"/>
    <w:autoRedefine/>
    <w:qFormat/>
    <w:uiPriority w:val="0"/>
    <w:rPr>
      <w:rFonts w:ascii="宋体" w:hAnsi="Courier New" w:cs="Arial"/>
      <w:snapToGrid w:val="0"/>
      <w:szCs w:val="21"/>
    </w:rPr>
  </w:style>
  <w:style w:type="paragraph" w:styleId="12">
    <w:name w:val="Date"/>
    <w:basedOn w:val="1"/>
    <w:next w:val="1"/>
    <w:link w:val="33"/>
    <w:autoRedefine/>
    <w:qFormat/>
    <w:uiPriority w:val="0"/>
    <w:pPr>
      <w:ind w:left="100" w:leftChars="2500"/>
    </w:pPr>
    <w:rPr>
      <w:rFonts w:ascii="宋体"/>
      <w:sz w:val="24"/>
      <w:szCs w:val="21"/>
      <w:lang w:val="zh-CN"/>
    </w:rPr>
  </w:style>
  <w:style w:type="paragraph" w:styleId="13">
    <w:name w:val="Balloon Text"/>
    <w:basedOn w:val="1"/>
    <w:link w:val="48"/>
    <w:autoRedefine/>
    <w:semiHidden/>
    <w:unhideWhenUsed/>
    <w:qFormat/>
    <w:uiPriority w:val="99"/>
    <w:rPr>
      <w:sz w:val="18"/>
      <w:szCs w:val="18"/>
    </w:rPr>
  </w:style>
  <w:style w:type="paragraph" w:styleId="14">
    <w:name w:val="footer"/>
    <w:basedOn w:val="1"/>
    <w:link w:val="30"/>
    <w:autoRedefine/>
    <w:unhideWhenUsed/>
    <w:qFormat/>
    <w:uiPriority w:val="99"/>
    <w:pPr>
      <w:tabs>
        <w:tab w:val="center" w:pos="4153"/>
        <w:tab w:val="right" w:pos="8306"/>
      </w:tabs>
      <w:snapToGrid w:val="0"/>
      <w:jc w:val="left"/>
    </w:pPr>
    <w:rPr>
      <w:sz w:val="18"/>
      <w:szCs w:val="18"/>
    </w:rPr>
  </w:style>
  <w:style w:type="paragraph" w:styleId="15">
    <w:name w:val="header"/>
    <w:basedOn w:val="1"/>
    <w:link w:val="2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6"/>
    <w:basedOn w:val="1"/>
    <w:next w:val="1"/>
    <w:qFormat/>
    <w:uiPriority w:val="0"/>
    <w:pPr>
      <w:ind w:left="2100" w:leftChars="1000"/>
    </w:pPr>
  </w:style>
  <w:style w:type="paragraph" w:styleId="17">
    <w:name w:val="Body Text Indent 3"/>
    <w:basedOn w:val="1"/>
    <w:link w:val="52"/>
    <w:autoRedefine/>
    <w:qFormat/>
    <w:uiPriority w:val="0"/>
    <w:pPr>
      <w:spacing w:after="120"/>
      <w:ind w:left="420" w:leftChars="200"/>
    </w:pPr>
    <w:rPr>
      <w:rFonts w:ascii="Times New Roman" w:hAnsi="Times New Roman"/>
      <w:sz w:val="16"/>
      <w:szCs w:val="16"/>
    </w:rPr>
  </w:style>
  <w:style w:type="paragraph" w:styleId="18">
    <w:name w:val="Normal (Web)"/>
    <w:basedOn w:val="1"/>
    <w:qFormat/>
    <w:uiPriority w:val="0"/>
    <w:pPr>
      <w:spacing w:before="100" w:beforeAutospacing="1" w:after="100" w:afterAutospacing="1"/>
      <w:jc w:val="left"/>
    </w:pPr>
    <w:rPr>
      <w:kern w:val="0"/>
      <w:sz w:val="24"/>
    </w:rPr>
  </w:style>
  <w:style w:type="paragraph" w:styleId="19">
    <w:name w:val="annotation subject"/>
    <w:basedOn w:val="6"/>
    <w:next w:val="6"/>
    <w:link w:val="55"/>
    <w:autoRedefine/>
    <w:semiHidden/>
    <w:unhideWhenUsed/>
    <w:qFormat/>
    <w:uiPriority w:val="99"/>
    <w:rPr>
      <w:b/>
      <w:bCs/>
    </w:rPr>
  </w:style>
  <w:style w:type="paragraph" w:styleId="20">
    <w:name w:val="Body Text First Indent 2"/>
    <w:basedOn w:val="9"/>
    <w:next w:val="1"/>
    <w:qFormat/>
    <w:uiPriority w:val="0"/>
    <w:pPr>
      <w:spacing w:after="120" w:line="240" w:lineRule="auto"/>
      <w:ind w:left="420" w:leftChars="200" w:firstLine="210"/>
    </w:pPr>
    <w:rPr>
      <w:sz w:val="21"/>
    </w:rPr>
  </w:style>
  <w:style w:type="table" w:styleId="22">
    <w:name w:val="Table Grid"/>
    <w:basedOn w:val="21"/>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page number"/>
    <w:basedOn w:val="23"/>
    <w:autoRedefine/>
    <w:qFormat/>
    <w:uiPriority w:val="0"/>
    <w:rPr>
      <w:rFonts w:ascii="Arial" w:hAnsi="Arial" w:eastAsia="黑体" w:cs="Arial"/>
      <w:snapToGrid w:val="0"/>
      <w:kern w:val="0"/>
      <w:szCs w:val="21"/>
    </w:rPr>
  </w:style>
  <w:style w:type="character" w:styleId="25">
    <w:name w:val="FollowedHyperlink"/>
    <w:basedOn w:val="23"/>
    <w:autoRedefine/>
    <w:semiHidden/>
    <w:unhideWhenUsed/>
    <w:qFormat/>
    <w:uiPriority w:val="99"/>
    <w:rPr>
      <w:color w:val="800080" w:themeColor="followedHyperlink"/>
      <w:u w:val="single"/>
    </w:rPr>
  </w:style>
  <w:style w:type="character" w:styleId="26">
    <w:name w:val="Hyperlink"/>
    <w:autoRedefine/>
    <w:qFormat/>
    <w:uiPriority w:val="99"/>
    <w:rPr>
      <w:rFonts w:ascii="Arial" w:hAnsi="Arial" w:eastAsia="黑体" w:cs="Arial"/>
      <w:snapToGrid w:val="0"/>
      <w:color w:val="000000"/>
      <w:kern w:val="0"/>
      <w:sz w:val="18"/>
      <w:szCs w:val="18"/>
      <w:u w:val="none"/>
    </w:rPr>
  </w:style>
  <w:style w:type="character" w:styleId="27">
    <w:name w:val="annotation reference"/>
    <w:basedOn w:val="23"/>
    <w:autoRedefine/>
    <w:semiHidden/>
    <w:unhideWhenUsed/>
    <w:qFormat/>
    <w:uiPriority w:val="99"/>
    <w:rPr>
      <w:sz w:val="21"/>
      <w:szCs w:val="21"/>
    </w:rPr>
  </w:style>
  <w:style w:type="paragraph" w:customStyle="1" w:styleId="28">
    <w:name w:val="_Style 3"/>
    <w:basedOn w:val="1"/>
    <w:autoRedefine/>
    <w:qFormat/>
    <w:uiPriority w:val="1"/>
    <w:pPr>
      <w:ind w:firstLine="420" w:firstLineChars="200"/>
    </w:pPr>
    <w:rPr>
      <w:rFonts w:eastAsia="仿宋_GB2312"/>
      <w:sz w:val="28"/>
    </w:rPr>
  </w:style>
  <w:style w:type="character" w:customStyle="1" w:styleId="29">
    <w:name w:val="页眉 Char"/>
    <w:basedOn w:val="23"/>
    <w:link w:val="15"/>
    <w:autoRedefine/>
    <w:qFormat/>
    <w:uiPriority w:val="99"/>
    <w:rPr>
      <w:sz w:val="18"/>
      <w:szCs w:val="18"/>
    </w:rPr>
  </w:style>
  <w:style w:type="character" w:customStyle="1" w:styleId="30">
    <w:name w:val="页脚 Char"/>
    <w:basedOn w:val="23"/>
    <w:link w:val="14"/>
    <w:autoRedefine/>
    <w:qFormat/>
    <w:uiPriority w:val="99"/>
    <w:rPr>
      <w:sz w:val="18"/>
      <w:szCs w:val="18"/>
    </w:rPr>
  </w:style>
  <w:style w:type="character" w:customStyle="1" w:styleId="31">
    <w:name w:val="标题 2 Char"/>
    <w:basedOn w:val="23"/>
    <w:link w:val="3"/>
    <w:autoRedefine/>
    <w:qFormat/>
    <w:uiPriority w:val="0"/>
    <w:rPr>
      <w:rFonts w:ascii="仿宋_GB2312" w:hAnsi="仿宋" w:eastAsia="仿宋_GB2312" w:cs="Times New Roman"/>
      <w:b/>
      <w:bCs/>
      <w:sz w:val="32"/>
      <w:szCs w:val="32"/>
      <w:lang w:val="zh-CN"/>
    </w:rPr>
  </w:style>
  <w:style w:type="character" w:customStyle="1" w:styleId="32">
    <w:name w:val="正文文本缩进 Char"/>
    <w:basedOn w:val="23"/>
    <w:link w:val="9"/>
    <w:autoRedefine/>
    <w:qFormat/>
    <w:uiPriority w:val="0"/>
    <w:rPr>
      <w:rFonts w:ascii="宋体" w:hAnsi="宋体" w:eastAsia="宋体" w:cs="Times New Roman"/>
      <w:sz w:val="24"/>
      <w:szCs w:val="24"/>
    </w:rPr>
  </w:style>
  <w:style w:type="character" w:customStyle="1" w:styleId="33">
    <w:name w:val="日期 Char"/>
    <w:basedOn w:val="23"/>
    <w:link w:val="12"/>
    <w:autoRedefine/>
    <w:qFormat/>
    <w:uiPriority w:val="0"/>
    <w:rPr>
      <w:rFonts w:ascii="宋体" w:hAnsi="Calibri" w:eastAsia="宋体" w:cs="Times New Roman"/>
      <w:sz w:val="24"/>
      <w:szCs w:val="21"/>
      <w:lang w:val="zh-CN"/>
    </w:rPr>
  </w:style>
  <w:style w:type="character" w:customStyle="1" w:styleId="34">
    <w:name w:val="纯文本 Char"/>
    <w:basedOn w:val="23"/>
    <w:link w:val="11"/>
    <w:autoRedefine/>
    <w:qFormat/>
    <w:uiPriority w:val="0"/>
    <w:rPr>
      <w:rFonts w:ascii="宋体" w:hAnsi="Courier New" w:eastAsia="宋体" w:cs="Arial"/>
      <w:snapToGrid w:val="0"/>
      <w:szCs w:val="21"/>
    </w:rPr>
  </w:style>
  <w:style w:type="character" w:customStyle="1" w:styleId="35">
    <w:name w:val="正文文本 Char"/>
    <w:basedOn w:val="23"/>
    <w:link w:val="7"/>
    <w:autoRedefine/>
    <w:qFormat/>
    <w:uiPriority w:val="0"/>
    <w:rPr>
      <w:rFonts w:ascii="宋体" w:hAnsi="Arial" w:eastAsia="宋体" w:cs="Arial"/>
      <w:snapToGrid w:val="0"/>
      <w:sz w:val="24"/>
      <w:szCs w:val="21"/>
      <w:lang w:val="zh-CN"/>
    </w:rPr>
  </w:style>
  <w:style w:type="paragraph" w:customStyle="1" w:styleId="36">
    <w:name w:val="索引 11"/>
    <w:basedOn w:val="1"/>
    <w:next w:val="1"/>
    <w:autoRedefine/>
    <w:qFormat/>
    <w:uiPriority w:val="99"/>
    <w:pPr>
      <w:spacing w:line="360" w:lineRule="auto"/>
    </w:pPr>
    <w:rPr>
      <w:rFonts w:ascii="仿宋_GB2312" w:eastAsia="仿宋_GB2312"/>
      <w:sz w:val="24"/>
      <w:szCs w:val="20"/>
    </w:rPr>
  </w:style>
  <w:style w:type="paragraph" w:customStyle="1" w:styleId="37">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9">
    <w:name w:val="text-tag"/>
    <w:basedOn w:val="1"/>
    <w:autoRedefine/>
    <w:semiHidden/>
    <w:qFormat/>
    <w:uiPriority w:val="99"/>
    <w:pPr>
      <w:widowControl/>
      <w:spacing w:before="100" w:beforeAutospacing="1" w:after="100" w:afterAutospacing="1"/>
      <w:jc w:val="left"/>
    </w:pPr>
    <w:rPr>
      <w:rFonts w:ascii="宋体" w:hAnsi="宋体" w:cs="宋体"/>
      <w:kern w:val="0"/>
      <w:sz w:val="24"/>
    </w:rPr>
  </w:style>
  <w:style w:type="paragraph" w:customStyle="1" w:styleId="40">
    <w:name w:val="纯文本1"/>
    <w:basedOn w:val="1"/>
    <w:autoRedefine/>
    <w:qFormat/>
    <w:uiPriority w:val="0"/>
    <w:rPr>
      <w:rFonts w:ascii="宋体" w:hAnsi="Courier New"/>
      <w:kern w:val="0"/>
      <w:sz w:val="20"/>
      <w:szCs w:val="20"/>
    </w:rPr>
  </w:style>
  <w:style w:type="paragraph" w:customStyle="1" w:styleId="41">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纯文本_0_0"/>
    <w:basedOn w:val="41"/>
    <w:autoRedefine/>
    <w:qFormat/>
    <w:uiPriority w:val="0"/>
    <w:rPr>
      <w:rFonts w:ascii="宋体" w:hAnsi="Courier New"/>
      <w:szCs w:val="21"/>
    </w:rPr>
  </w:style>
  <w:style w:type="paragraph" w:customStyle="1" w:styleId="43">
    <w:name w:val="正文2"/>
    <w:basedOn w:val="1"/>
    <w:autoRedefine/>
    <w:qFormat/>
    <w:uiPriority w:val="0"/>
    <w:pPr>
      <w:spacing w:before="156" w:line="360" w:lineRule="auto"/>
      <w:ind w:firstLine="510" w:firstLineChars="200"/>
    </w:pPr>
    <w:rPr>
      <w:sz w:val="24"/>
      <w:szCs w:val="20"/>
    </w:rPr>
  </w:style>
  <w:style w:type="paragraph" w:customStyle="1" w:styleId="44">
    <w:name w:val="正文缩进1"/>
    <w:basedOn w:val="1"/>
    <w:next w:val="9"/>
    <w:autoRedefine/>
    <w:qFormat/>
    <w:uiPriority w:val="0"/>
    <w:pPr>
      <w:autoSpaceDE w:val="0"/>
      <w:autoSpaceDN w:val="0"/>
      <w:snapToGrid w:val="0"/>
      <w:spacing w:after="120" w:line="360" w:lineRule="auto"/>
      <w:ind w:left="420" w:leftChars="200" w:firstLine="480" w:firstLineChars="200"/>
    </w:pPr>
    <w:rPr>
      <w:sz w:val="24"/>
      <w:szCs w:val="21"/>
    </w:rPr>
  </w:style>
  <w:style w:type="character" w:customStyle="1" w:styleId="45">
    <w:name w:val="标题 3 Char"/>
    <w:basedOn w:val="23"/>
    <w:link w:val="4"/>
    <w:autoRedefine/>
    <w:semiHidden/>
    <w:qFormat/>
    <w:uiPriority w:val="9"/>
    <w:rPr>
      <w:rFonts w:ascii="Calibri" w:hAnsi="Calibri" w:eastAsia="宋体" w:cs="Times New Roman"/>
      <w:b/>
      <w:bCs/>
      <w:sz w:val="32"/>
      <w:szCs w:val="32"/>
    </w:rPr>
  </w:style>
  <w:style w:type="character" w:customStyle="1" w:styleId="46">
    <w:name w:val="标题 4 Char"/>
    <w:basedOn w:val="23"/>
    <w:link w:val="5"/>
    <w:autoRedefine/>
    <w:semiHidden/>
    <w:qFormat/>
    <w:uiPriority w:val="9"/>
    <w:rPr>
      <w:rFonts w:asciiTheme="majorHAnsi" w:hAnsiTheme="majorHAnsi" w:eastAsiaTheme="majorEastAsia" w:cstheme="majorBidi"/>
      <w:b/>
      <w:bCs/>
      <w:sz w:val="28"/>
      <w:szCs w:val="28"/>
    </w:rPr>
  </w:style>
  <w:style w:type="paragraph" w:customStyle="1" w:styleId="47">
    <w:name w:val="标题4"/>
    <w:basedOn w:val="1"/>
    <w:autoRedefine/>
    <w:qFormat/>
    <w:uiPriority w:val="0"/>
    <w:rPr>
      <w:rFonts w:ascii="Times New Roman" w:hAnsi="Times New Roman" w:eastAsia="仿宋_GB2312"/>
      <w:sz w:val="32"/>
      <w:szCs w:val="20"/>
    </w:rPr>
  </w:style>
  <w:style w:type="character" w:customStyle="1" w:styleId="48">
    <w:name w:val="批注框文本 Char"/>
    <w:basedOn w:val="23"/>
    <w:link w:val="13"/>
    <w:autoRedefine/>
    <w:semiHidden/>
    <w:qFormat/>
    <w:uiPriority w:val="99"/>
    <w:rPr>
      <w:rFonts w:ascii="Calibri" w:hAnsi="Calibri" w:eastAsia="宋体" w:cs="Times New Roman"/>
      <w:sz w:val="18"/>
      <w:szCs w:val="18"/>
    </w:rPr>
  </w:style>
  <w:style w:type="character" w:customStyle="1" w:styleId="49">
    <w:name w:val="List Paragraph Char"/>
    <w:link w:val="50"/>
    <w:autoRedefine/>
    <w:qFormat/>
    <w:locked/>
    <w:uiPriority w:val="0"/>
    <w:rPr>
      <w:rFonts w:ascii="Times New Roman" w:hAnsi="Times New Roman"/>
      <w:szCs w:val="24"/>
    </w:rPr>
  </w:style>
  <w:style w:type="paragraph" w:customStyle="1" w:styleId="50">
    <w:name w:val="列出段落1"/>
    <w:basedOn w:val="1"/>
    <w:link w:val="49"/>
    <w:autoRedefine/>
    <w:qFormat/>
    <w:uiPriority w:val="0"/>
    <w:pPr>
      <w:ind w:firstLine="420" w:firstLineChars="200"/>
    </w:pPr>
    <w:rPr>
      <w:rFonts w:ascii="Times New Roman" w:hAnsi="Times New Roman" w:eastAsiaTheme="minorEastAsia" w:cstheme="minorBidi"/>
    </w:rPr>
  </w:style>
  <w:style w:type="paragraph" w:customStyle="1" w:styleId="51">
    <w:name w:val="表内文字"/>
    <w:basedOn w:val="1"/>
    <w:autoRedefine/>
    <w:qFormat/>
    <w:uiPriority w:val="0"/>
    <w:pPr>
      <w:tabs>
        <w:tab w:val="left" w:pos="1418"/>
      </w:tabs>
      <w:spacing w:line="360" w:lineRule="auto"/>
      <w:jc w:val="center"/>
    </w:pPr>
    <w:rPr>
      <w:rFonts w:ascii="仿宋_GB2312" w:hAnsi="Times New Roman" w:eastAsia="仿宋_GB2312"/>
      <w:spacing w:val="-20"/>
      <w:kern w:val="0"/>
      <w:sz w:val="24"/>
    </w:rPr>
  </w:style>
  <w:style w:type="character" w:customStyle="1" w:styleId="52">
    <w:name w:val="正文文本缩进 3 Char"/>
    <w:basedOn w:val="23"/>
    <w:link w:val="17"/>
    <w:autoRedefine/>
    <w:qFormat/>
    <w:uiPriority w:val="0"/>
    <w:rPr>
      <w:rFonts w:ascii="Times New Roman" w:hAnsi="Times New Roman" w:eastAsia="宋体" w:cs="Times New Roman"/>
      <w:kern w:val="2"/>
      <w:sz w:val="16"/>
      <w:szCs w:val="16"/>
    </w:rPr>
  </w:style>
  <w:style w:type="character" w:customStyle="1" w:styleId="53">
    <w:name w:val="正文缩进 Char"/>
    <w:link w:val="2"/>
    <w:autoRedefine/>
    <w:qFormat/>
    <w:uiPriority w:val="99"/>
    <w:rPr>
      <w:rFonts w:ascii="宋体" w:hAnsi="Calibri" w:eastAsia="宋体" w:cs="Times New Roman"/>
      <w:snapToGrid w:val="0"/>
      <w:color w:val="000000"/>
      <w:kern w:val="28"/>
      <w:sz w:val="28"/>
    </w:rPr>
  </w:style>
  <w:style w:type="character" w:customStyle="1" w:styleId="54">
    <w:name w:val="批注文字 Char"/>
    <w:basedOn w:val="23"/>
    <w:link w:val="6"/>
    <w:autoRedefine/>
    <w:qFormat/>
    <w:uiPriority w:val="99"/>
    <w:rPr>
      <w:rFonts w:ascii="宋体" w:hAnsi="宋体"/>
      <w:color w:val="FF0000"/>
      <w:kern w:val="2"/>
      <w:sz w:val="21"/>
      <w:szCs w:val="21"/>
    </w:rPr>
  </w:style>
  <w:style w:type="character" w:customStyle="1" w:styleId="55">
    <w:name w:val="批注主题 Char"/>
    <w:basedOn w:val="54"/>
    <w:link w:val="19"/>
    <w:autoRedefine/>
    <w:semiHidden/>
    <w:qFormat/>
    <w:uiPriority w:val="99"/>
    <w:rPr>
      <w:rFonts w:ascii="Calibri" w:hAnsi="Calibri" w:eastAsia="宋体" w:cs="Times New Roman"/>
      <w:b/>
      <w:bCs/>
      <w:color w:val="FF0000"/>
      <w:kern w:val="2"/>
      <w:sz w:val="21"/>
      <w:szCs w:val="24"/>
    </w:rPr>
  </w:style>
  <w:style w:type="character" w:customStyle="1" w:styleId="56">
    <w:name w:val="textcolor1"/>
    <w:basedOn w:val="23"/>
    <w:autoRedefine/>
    <w:qFormat/>
    <w:uiPriority w:val="0"/>
    <w:rPr>
      <w:color w:val="FF6600"/>
    </w:rPr>
  </w:style>
  <w:style w:type="character" w:customStyle="1" w:styleId="57">
    <w:name w:val="font71"/>
    <w:basedOn w:val="23"/>
    <w:autoRedefine/>
    <w:qFormat/>
    <w:uiPriority w:val="0"/>
    <w:rPr>
      <w:rFonts w:ascii="Arial" w:hAnsi="Arial" w:cs="Arial"/>
      <w:color w:val="000000"/>
      <w:sz w:val="22"/>
      <w:szCs w:val="22"/>
      <w:u w:val="none"/>
    </w:rPr>
  </w:style>
  <w:style w:type="character" w:customStyle="1" w:styleId="58">
    <w:name w:val="font11"/>
    <w:basedOn w:val="23"/>
    <w:autoRedefine/>
    <w:qFormat/>
    <w:uiPriority w:val="0"/>
    <w:rPr>
      <w:rFonts w:hint="eastAsia" w:ascii="宋体" w:hAnsi="宋体" w:eastAsia="宋体" w:cs="宋体"/>
      <w:color w:val="000000"/>
      <w:sz w:val="22"/>
      <w:szCs w:val="22"/>
      <w:u w:val="none"/>
    </w:rPr>
  </w:style>
  <w:style w:type="character" w:customStyle="1" w:styleId="59">
    <w:name w:val="font81"/>
    <w:basedOn w:val="23"/>
    <w:autoRedefine/>
    <w:qFormat/>
    <w:uiPriority w:val="0"/>
    <w:rPr>
      <w:rFonts w:ascii="Wingdings 2" w:hAnsi="Wingdings 2" w:eastAsia="Wingdings 2" w:cs="Wingdings 2"/>
      <w:color w:val="000000"/>
      <w:sz w:val="22"/>
      <w:szCs w:val="22"/>
      <w:u w:val="none"/>
    </w:rPr>
  </w:style>
  <w:style w:type="character" w:customStyle="1" w:styleId="60">
    <w:name w:val="font61"/>
    <w:basedOn w:val="23"/>
    <w:autoRedefine/>
    <w:qFormat/>
    <w:uiPriority w:val="0"/>
    <w:rPr>
      <w:rFonts w:ascii="Arial" w:hAnsi="Arial" w:cs="Arial"/>
      <w:color w:val="000000"/>
      <w:sz w:val="24"/>
      <w:szCs w:val="24"/>
      <w:u w:val="none"/>
    </w:rPr>
  </w:style>
  <w:style w:type="character" w:customStyle="1" w:styleId="61">
    <w:name w:val="font01"/>
    <w:basedOn w:val="23"/>
    <w:autoRedefine/>
    <w:qFormat/>
    <w:uiPriority w:val="0"/>
    <w:rPr>
      <w:rFonts w:hint="eastAsia" w:ascii="宋体" w:hAnsi="宋体" w:eastAsia="宋体" w:cs="宋体"/>
      <w:color w:val="000000"/>
      <w:sz w:val="24"/>
      <w:szCs w:val="24"/>
      <w:u w:val="none"/>
    </w:rPr>
  </w:style>
  <w:style w:type="character" w:customStyle="1" w:styleId="62">
    <w:name w:val="font51"/>
    <w:basedOn w:val="23"/>
    <w:autoRedefine/>
    <w:qFormat/>
    <w:uiPriority w:val="0"/>
    <w:rPr>
      <w:rFonts w:ascii="Arial" w:hAnsi="Arial" w:cs="Arial"/>
      <w:color w:val="000000"/>
      <w:sz w:val="22"/>
      <w:szCs w:val="22"/>
      <w:u w:val="none"/>
    </w:rPr>
  </w:style>
  <w:style w:type="table" w:customStyle="1" w:styleId="63">
    <w:name w:val="Table Normal"/>
    <w:autoRedefine/>
    <w:semiHidden/>
    <w:unhideWhenUsed/>
    <w:qFormat/>
    <w:uiPriority w:val="0"/>
    <w:tblPr>
      <w:tblCellMar>
        <w:top w:w="0" w:type="dxa"/>
        <w:left w:w="0" w:type="dxa"/>
        <w:bottom w:w="0" w:type="dxa"/>
        <w:right w:w="0" w:type="dxa"/>
      </w:tblCellMar>
    </w:tblPr>
  </w:style>
  <w:style w:type="paragraph" w:customStyle="1" w:styleId="64">
    <w:name w:val="正文空格"/>
    <w:basedOn w:val="1"/>
    <w:next w:val="1"/>
    <w:autoRedefine/>
    <w:qFormat/>
    <w:uiPriority w:val="0"/>
    <w:pPr>
      <w:spacing w:line="400" w:lineRule="exact"/>
      <w:ind w:firstLine="200" w:firstLineChars="200"/>
    </w:pPr>
    <w:rPr>
      <w:sz w:val="24"/>
      <w:szCs w:val="22"/>
    </w:rPr>
  </w:style>
  <w:style w:type="character" w:customStyle="1" w:styleId="65">
    <w:name w:val="font21"/>
    <w:basedOn w:val="23"/>
    <w:qFormat/>
    <w:uiPriority w:val="0"/>
    <w:rPr>
      <w:rFonts w:hint="eastAsia" w:ascii="宋体" w:hAnsi="宋体" w:eastAsia="宋体" w:cs="宋体"/>
      <w:color w:val="FF0000"/>
      <w:sz w:val="20"/>
      <w:szCs w:val="20"/>
      <w:u w:val="none"/>
    </w:rPr>
  </w:style>
  <w:style w:type="paragraph" w:customStyle="1" w:styleId="66">
    <w:name w:val="p0"/>
    <w:basedOn w:val="1"/>
    <w:qFormat/>
    <w:uiPriority w:val="0"/>
    <w:pPr>
      <w:widowControl/>
    </w:pPr>
    <w:rPr>
      <w:kern w:val="0"/>
      <w:szCs w:val="21"/>
    </w:rPr>
  </w:style>
  <w:style w:type="character" w:customStyle="1" w:styleId="67">
    <w:name w:val="font31"/>
    <w:basedOn w:val="23"/>
    <w:qFormat/>
    <w:uiPriority w:val="0"/>
    <w:rPr>
      <w:rFonts w:hint="eastAsia" w:ascii="宋体" w:hAnsi="宋体" w:eastAsia="宋体" w:cs="宋体"/>
      <w:color w:val="000000"/>
      <w:sz w:val="20"/>
      <w:szCs w:val="20"/>
      <w:u w:val="none"/>
    </w:rPr>
  </w:style>
  <w:style w:type="character" w:customStyle="1" w:styleId="68">
    <w:name w:val="font101"/>
    <w:basedOn w:val="23"/>
    <w:qFormat/>
    <w:uiPriority w:val="0"/>
    <w:rPr>
      <w:rFonts w:hint="eastAsia" w:ascii="宋体" w:hAnsi="宋体" w:eastAsia="宋体" w:cs="宋体"/>
      <w:color w:val="0070C0"/>
      <w:sz w:val="20"/>
      <w:szCs w:val="20"/>
      <w:u w:val="none"/>
    </w:rPr>
  </w:style>
  <w:style w:type="character" w:customStyle="1" w:styleId="69">
    <w:name w:val="font112"/>
    <w:basedOn w:val="23"/>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108</Pages>
  <Words>3018</Words>
  <Characters>3656</Characters>
  <Lines>446</Lines>
  <Paragraphs>125</Paragraphs>
  <TotalTime>42</TotalTime>
  <ScaleCrop>false</ScaleCrop>
  <LinksUpToDate>false</LinksUpToDate>
  <CharactersWithSpaces>3943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2022-05-13T07:22:00Z</dcterms:created>
  <dc:creator>Microsoft</dc:creator>
  <cp:lastModifiedBy>一</cp:lastModifiedBy>
  <cp:lastPrinted>2024-10-09T08:06:00Z</cp:lastPrinted>
  <dcterms:modified xsi:type="dcterms:W3CDTF">2024-12-30T06:21:02Z</dcterms:modified>
  <cp:revision>346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A12025A4C1A0495C92A5218CFCA62A79</vt:lpwstr>
  </property>
  <property fmtid="{D5CDD505-2E9C-101B-9397-08002B2CF9AE}" pid="4" name="KSOTemplateDocerSaveRecord">
    <vt:lpwstr>eyJoZGlkIjoiMDQzYjI0NjIyYjFmZDI2ZWQ2MDdlNGM3MWMyYmQxYWMiLCJ1c2VySWQiOiI4OTMxNjkyMTYifQ==</vt:lpwstr>
  </property>
</Properties>
</file>